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0F77" w14:textId="705B0913" w:rsidR="0062046C" w:rsidRPr="00341E6C" w:rsidRDefault="0062046C" w:rsidP="00930B4E">
      <w:pPr>
        <w:tabs>
          <w:tab w:val="left" w:pos="720"/>
        </w:tabs>
        <w:spacing w:after="0" w:line="276" w:lineRule="auto"/>
        <w:jc w:val="right"/>
        <w:rPr>
          <w:rFonts w:asciiTheme="majorHAnsi" w:eastAsia="Times New Roman" w:hAnsiTheme="majorHAnsi" w:cstheme="majorHAnsi"/>
          <w:bCs/>
          <w:sz w:val="28"/>
          <w:szCs w:val="28"/>
          <w:lang w:val="ro-RO"/>
        </w:rPr>
      </w:pPr>
      <w:bookmarkStart w:id="0" w:name="_Toc468866344"/>
      <w:bookmarkStart w:id="1" w:name="_GoBack"/>
      <w:bookmarkEnd w:id="1"/>
      <w:r w:rsidRPr="00341E6C">
        <w:rPr>
          <w:rFonts w:asciiTheme="majorHAnsi" w:eastAsia="Times New Roman" w:hAnsiTheme="majorHAnsi" w:cstheme="majorHAnsi"/>
          <w:bCs/>
          <w:sz w:val="28"/>
          <w:szCs w:val="28"/>
          <w:lang w:val="ro-RO"/>
        </w:rPr>
        <w:t xml:space="preserve">Anexă </w:t>
      </w:r>
    </w:p>
    <w:p w14:paraId="285F279E" w14:textId="77777777" w:rsidR="0062046C" w:rsidRPr="00341E6C" w:rsidRDefault="0062046C" w:rsidP="00930B4E">
      <w:pPr>
        <w:tabs>
          <w:tab w:val="left" w:pos="720"/>
        </w:tabs>
        <w:spacing w:after="0" w:line="276" w:lineRule="auto"/>
        <w:jc w:val="right"/>
        <w:rPr>
          <w:rFonts w:asciiTheme="majorHAnsi" w:eastAsia="Times New Roman" w:hAnsiTheme="majorHAnsi" w:cstheme="majorHAnsi"/>
          <w:bCs/>
          <w:sz w:val="28"/>
          <w:szCs w:val="28"/>
          <w:lang w:val="ro-RO"/>
        </w:rPr>
      </w:pPr>
      <w:r w:rsidRPr="00341E6C">
        <w:rPr>
          <w:rFonts w:asciiTheme="majorHAnsi" w:eastAsia="Times New Roman" w:hAnsiTheme="majorHAnsi" w:cstheme="majorHAnsi"/>
          <w:bCs/>
          <w:sz w:val="28"/>
          <w:szCs w:val="28"/>
          <w:lang w:val="ro-RO"/>
        </w:rPr>
        <w:t xml:space="preserve">la Hotărârea Curții de Conturi </w:t>
      </w:r>
    </w:p>
    <w:p w14:paraId="657F94A4" w14:textId="26E4FFA1" w:rsidR="0062046C" w:rsidRPr="00341E6C" w:rsidRDefault="0062046C" w:rsidP="00930B4E">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o-RO"/>
        </w:rPr>
      </w:pPr>
      <w:r w:rsidRPr="00341E6C">
        <w:rPr>
          <w:rFonts w:asciiTheme="majorHAnsi" w:eastAsia="Times New Roman" w:hAnsiTheme="majorHAnsi" w:cstheme="majorHAnsi"/>
          <w:bCs/>
          <w:sz w:val="28"/>
          <w:szCs w:val="28"/>
          <w:lang w:val="ro-RO"/>
        </w:rPr>
        <w:t xml:space="preserve"> nr</w:t>
      </w:r>
      <w:r w:rsidR="00C752AB">
        <w:rPr>
          <w:rFonts w:asciiTheme="majorHAnsi" w:eastAsia="Times New Roman" w:hAnsiTheme="majorHAnsi" w:cstheme="majorHAnsi"/>
          <w:bCs/>
          <w:sz w:val="28"/>
          <w:szCs w:val="28"/>
          <w:lang w:val="ro-RO"/>
        </w:rPr>
        <w:t xml:space="preserve">.20 </w:t>
      </w:r>
      <w:r w:rsidRPr="00341E6C">
        <w:rPr>
          <w:rFonts w:asciiTheme="majorHAnsi" w:eastAsia="Times New Roman" w:hAnsiTheme="majorHAnsi" w:cstheme="majorHAnsi"/>
          <w:bCs/>
          <w:sz w:val="28"/>
          <w:szCs w:val="28"/>
          <w:lang w:val="ro-RO"/>
        </w:rPr>
        <w:t>din</w:t>
      </w:r>
      <w:r w:rsidR="00926A0E" w:rsidRPr="00341E6C">
        <w:rPr>
          <w:rFonts w:asciiTheme="majorHAnsi" w:eastAsia="Times New Roman" w:hAnsiTheme="majorHAnsi" w:cstheme="majorHAnsi"/>
          <w:bCs/>
          <w:sz w:val="28"/>
          <w:szCs w:val="28"/>
          <w:lang w:val="ro-RO"/>
        </w:rPr>
        <w:t xml:space="preserve"> </w:t>
      </w:r>
      <w:r w:rsidR="005513A1" w:rsidRPr="00341E6C">
        <w:rPr>
          <w:rFonts w:asciiTheme="majorHAnsi" w:eastAsia="Times New Roman" w:hAnsiTheme="majorHAnsi" w:cstheme="majorHAnsi"/>
          <w:bCs/>
          <w:sz w:val="28"/>
          <w:szCs w:val="28"/>
          <w:lang w:val="ro-RO"/>
        </w:rPr>
        <w:t>03</w:t>
      </w:r>
      <w:r w:rsidR="00154CAB" w:rsidRPr="00341E6C">
        <w:rPr>
          <w:rFonts w:asciiTheme="majorHAnsi" w:eastAsia="Times New Roman" w:hAnsiTheme="majorHAnsi" w:cstheme="majorHAnsi"/>
          <w:bCs/>
          <w:sz w:val="28"/>
          <w:szCs w:val="28"/>
          <w:lang w:val="ro-RO"/>
        </w:rPr>
        <w:t xml:space="preserve"> </w:t>
      </w:r>
      <w:r w:rsidR="005513A1" w:rsidRPr="00341E6C">
        <w:rPr>
          <w:rFonts w:asciiTheme="majorHAnsi" w:eastAsia="Times New Roman" w:hAnsiTheme="majorHAnsi" w:cstheme="majorHAnsi"/>
          <w:bCs/>
          <w:sz w:val="28"/>
          <w:szCs w:val="28"/>
          <w:lang w:val="ro-RO"/>
        </w:rPr>
        <w:t xml:space="preserve">iunie </w:t>
      </w:r>
      <w:r w:rsidRPr="00341E6C">
        <w:rPr>
          <w:rFonts w:asciiTheme="majorHAnsi" w:eastAsia="Times New Roman" w:hAnsiTheme="majorHAnsi" w:cstheme="majorHAnsi"/>
          <w:bCs/>
          <w:sz w:val="28"/>
          <w:szCs w:val="28"/>
          <w:lang w:val="ro-RO"/>
        </w:rPr>
        <w:t>20</w:t>
      </w:r>
      <w:r w:rsidR="00C3668A" w:rsidRPr="00341E6C">
        <w:rPr>
          <w:rFonts w:asciiTheme="majorHAnsi" w:eastAsia="Times New Roman" w:hAnsiTheme="majorHAnsi" w:cstheme="majorHAnsi"/>
          <w:bCs/>
          <w:sz w:val="28"/>
          <w:szCs w:val="28"/>
          <w:lang w:val="ro-RO"/>
        </w:rPr>
        <w:t>2</w:t>
      </w:r>
      <w:r w:rsidR="00154CAB" w:rsidRPr="00341E6C">
        <w:rPr>
          <w:rFonts w:asciiTheme="majorHAnsi" w:eastAsia="Times New Roman" w:hAnsiTheme="majorHAnsi" w:cstheme="majorHAnsi"/>
          <w:bCs/>
          <w:sz w:val="28"/>
          <w:szCs w:val="28"/>
          <w:lang w:val="ro-RO"/>
        </w:rPr>
        <w:t>1</w:t>
      </w:r>
    </w:p>
    <w:p w14:paraId="6A7632EA" w14:textId="77777777" w:rsidR="0062046C" w:rsidRPr="00341E6C" w:rsidRDefault="0062046C" w:rsidP="00633617">
      <w:pPr>
        <w:tabs>
          <w:tab w:val="left" w:pos="7200"/>
        </w:tabs>
        <w:spacing w:after="0" w:line="276" w:lineRule="auto"/>
        <w:rPr>
          <w:rFonts w:asciiTheme="majorHAnsi" w:hAnsiTheme="majorHAnsi" w:cstheme="majorHAnsi"/>
          <w:lang w:val="ro-RO"/>
        </w:rPr>
      </w:pPr>
    </w:p>
    <w:p w14:paraId="538C24F5" w14:textId="77777777" w:rsidR="0062046C" w:rsidRPr="00341E6C" w:rsidRDefault="0062046C" w:rsidP="00930B4E">
      <w:pPr>
        <w:spacing w:after="0" w:line="276" w:lineRule="auto"/>
        <w:rPr>
          <w:rFonts w:asciiTheme="majorHAnsi" w:hAnsiTheme="majorHAnsi" w:cstheme="majorHAnsi"/>
          <w:lang w:val="ro-RO"/>
        </w:rPr>
      </w:pPr>
    </w:p>
    <w:p w14:paraId="42729EB3" w14:textId="77777777" w:rsidR="0062046C" w:rsidRPr="00341E6C" w:rsidRDefault="0062046C" w:rsidP="00930B4E">
      <w:pPr>
        <w:spacing w:after="0" w:line="276" w:lineRule="auto"/>
        <w:rPr>
          <w:rFonts w:asciiTheme="majorHAnsi" w:hAnsiTheme="majorHAnsi" w:cstheme="majorHAnsi"/>
          <w:lang w:val="ro-RO"/>
        </w:rPr>
      </w:pPr>
    </w:p>
    <w:p w14:paraId="423F0EBF" w14:textId="77777777" w:rsidR="0062046C" w:rsidRPr="00341E6C" w:rsidRDefault="0062046C" w:rsidP="00930B4E">
      <w:pPr>
        <w:spacing w:after="0" w:line="276" w:lineRule="auto"/>
        <w:jc w:val="center"/>
        <w:rPr>
          <w:rFonts w:asciiTheme="majorHAnsi" w:hAnsiTheme="majorHAnsi" w:cstheme="majorHAnsi"/>
          <w:b/>
          <w:sz w:val="28"/>
          <w:szCs w:val="28"/>
          <w:lang w:val="ro-RO"/>
        </w:rPr>
      </w:pPr>
    </w:p>
    <w:p w14:paraId="4E968058" w14:textId="65BEE3D9" w:rsidR="00041921" w:rsidRPr="00341E6C" w:rsidRDefault="0062046C" w:rsidP="00041921">
      <w:pPr>
        <w:spacing w:after="0" w:line="276" w:lineRule="auto"/>
        <w:jc w:val="center"/>
        <w:rPr>
          <w:rFonts w:asciiTheme="majorHAnsi" w:hAnsiTheme="majorHAnsi" w:cstheme="majorHAnsi"/>
          <w:b/>
          <w:sz w:val="28"/>
          <w:szCs w:val="28"/>
          <w:lang w:val="ro-RO"/>
        </w:rPr>
      </w:pPr>
      <w:r w:rsidRPr="00341E6C">
        <w:rPr>
          <w:rFonts w:asciiTheme="majorHAnsi" w:hAnsiTheme="majorHAnsi" w:cstheme="majorHAnsi"/>
          <w:b/>
          <w:noProof/>
          <w:sz w:val="28"/>
          <w:szCs w:val="28"/>
        </w:rPr>
        <w:drawing>
          <wp:inline distT="0" distB="0" distL="0" distR="0" wp14:anchorId="08B6C5EB" wp14:editId="66D36DA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7EC68A41" w14:textId="77777777" w:rsidR="00041921" w:rsidRPr="00341E6C" w:rsidRDefault="00041921" w:rsidP="00041921">
      <w:pPr>
        <w:spacing w:after="0" w:line="276" w:lineRule="auto"/>
        <w:rPr>
          <w:rFonts w:asciiTheme="majorHAnsi" w:hAnsiTheme="majorHAnsi" w:cstheme="majorHAnsi"/>
          <w:i/>
          <w:sz w:val="24"/>
          <w:szCs w:val="24"/>
          <w:lang w:val="ro-RO"/>
        </w:rPr>
      </w:pPr>
    </w:p>
    <w:p w14:paraId="21B2DB19" w14:textId="77777777" w:rsidR="00041921" w:rsidRPr="00341E6C" w:rsidRDefault="00041921" w:rsidP="00041921">
      <w:pPr>
        <w:spacing w:after="0" w:line="276" w:lineRule="auto"/>
        <w:rPr>
          <w:rFonts w:asciiTheme="majorHAnsi" w:hAnsiTheme="majorHAnsi" w:cstheme="majorHAnsi"/>
          <w:i/>
          <w:sz w:val="24"/>
          <w:szCs w:val="24"/>
          <w:lang w:val="ro-RO"/>
        </w:rPr>
      </w:pPr>
    </w:p>
    <w:p w14:paraId="74751F14" w14:textId="77777777" w:rsidR="00041921" w:rsidRPr="00341E6C" w:rsidRDefault="00041921" w:rsidP="00041921">
      <w:pPr>
        <w:spacing w:after="0" w:line="276" w:lineRule="auto"/>
        <w:rPr>
          <w:rFonts w:asciiTheme="majorHAnsi" w:hAnsiTheme="majorHAnsi" w:cstheme="majorHAnsi"/>
          <w:i/>
          <w:sz w:val="24"/>
          <w:szCs w:val="24"/>
          <w:lang w:val="ro-RO"/>
        </w:rPr>
      </w:pPr>
    </w:p>
    <w:p w14:paraId="4C362E63" w14:textId="77777777" w:rsidR="00041921" w:rsidRPr="00341E6C" w:rsidRDefault="00041921" w:rsidP="00041921">
      <w:pPr>
        <w:spacing w:after="0" w:line="276" w:lineRule="auto"/>
        <w:rPr>
          <w:rFonts w:asciiTheme="majorHAnsi" w:hAnsiTheme="majorHAnsi" w:cstheme="majorHAnsi"/>
          <w:b/>
          <w:sz w:val="24"/>
          <w:szCs w:val="24"/>
          <w:lang w:val="ro-RO"/>
        </w:rPr>
      </w:pPr>
    </w:p>
    <w:p w14:paraId="559E6A00" w14:textId="77777777" w:rsidR="00041921" w:rsidRPr="00341E6C" w:rsidRDefault="00041921" w:rsidP="00041921">
      <w:pPr>
        <w:spacing w:after="0" w:line="276" w:lineRule="auto"/>
        <w:jc w:val="center"/>
        <w:rPr>
          <w:rFonts w:asciiTheme="majorHAnsi" w:hAnsiTheme="majorHAnsi" w:cstheme="majorHAnsi"/>
          <w:b/>
          <w:sz w:val="28"/>
          <w:szCs w:val="28"/>
          <w:lang w:val="ro-RO"/>
        </w:rPr>
      </w:pPr>
      <w:r w:rsidRPr="00341E6C">
        <w:rPr>
          <w:rFonts w:asciiTheme="majorHAnsi" w:hAnsiTheme="majorHAnsi" w:cstheme="majorHAnsi"/>
          <w:b/>
          <w:sz w:val="28"/>
          <w:szCs w:val="28"/>
          <w:lang w:val="ro-RO"/>
        </w:rPr>
        <w:t>CURTEA DE CONTURI A REPUBLICII MOLDOVA</w:t>
      </w:r>
    </w:p>
    <w:p w14:paraId="39555A44" w14:textId="089686E5" w:rsidR="00041921" w:rsidRPr="00341E6C" w:rsidRDefault="00041921" w:rsidP="00041921">
      <w:pPr>
        <w:spacing w:after="0" w:line="276" w:lineRule="auto"/>
        <w:rPr>
          <w:rFonts w:asciiTheme="majorHAnsi" w:hAnsiTheme="majorHAnsi" w:cstheme="majorHAnsi"/>
          <w:sz w:val="24"/>
          <w:szCs w:val="24"/>
          <w:lang w:val="ro-RO"/>
        </w:rPr>
      </w:pPr>
    </w:p>
    <w:p w14:paraId="11C1AD47" w14:textId="77777777" w:rsidR="00B95640" w:rsidRPr="00341E6C" w:rsidRDefault="00B95640" w:rsidP="00041921">
      <w:pPr>
        <w:spacing w:after="0" w:line="276" w:lineRule="auto"/>
        <w:rPr>
          <w:rFonts w:asciiTheme="majorHAnsi" w:hAnsiTheme="majorHAnsi" w:cstheme="majorHAnsi"/>
          <w:sz w:val="24"/>
          <w:szCs w:val="24"/>
          <w:lang w:val="ro-RO"/>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041921" w:rsidRPr="00341E6C" w14:paraId="258A6A8B" w14:textId="77777777" w:rsidTr="001C340C">
        <w:trPr>
          <w:trHeight w:val="396"/>
          <w:jc w:val="center"/>
        </w:trPr>
        <w:tc>
          <w:tcPr>
            <w:tcW w:w="9350" w:type="dxa"/>
            <w:tcBorders>
              <w:top w:val="thinThickSmallGap" w:sz="12" w:space="0" w:color="00000A"/>
              <w:bottom w:val="thickThinSmallGap" w:sz="12" w:space="0" w:color="00000A"/>
            </w:tcBorders>
            <w:shd w:val="clear" w:color="auto" w:fill="auto"/>
          </w:tcPr>
          <w:p w14:paraId="1A74BB7F" w14:textId="77777777" w:rsidR="00041921" w:rsidRPr="00341E6C" w:rsidRDefault="00041921" w:rsidP="001C340C">
            <w:pPr>
              <w:spacing w:after="0" w:line="276" w:lineRule="auto"/>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MD-2001, mun. Chișinău, bd. Ștefan cel Mare și Sfânt,69, tel.: (+373) 22 26 60 02, </w:t>
            </w:r>
          </w:p>
          <w:p w14:paraId="0B49B3FB" w14:textId="77777777" w:rsidR="00041921" w:rsidRPr="00341E6C" w:rsidRDefault="00041921" w:rsidP="001C340C">
            <w:pPr>
              <w:spacing w:after="0" w:line="276" w:lineRule="auto"/>
              <w:rPr>
                <w:rFonts w:asciiTheme="majorHAnsi" w:hAnsiTheme="majorHAnsi" w:cstheme="majorHAnsi"/>
                <w:b/>
                <w:lang w:val="ro-RO"/>
              </w:rPr>
            </w:pPr>
            <w:r w:rsidRPr="00341E6C">
              <w:rPr>
                <w:rFonts w:asciiTheme="majorHAnsi" w:hAnsiTheme="majorHAnsi" w:cstheme="majorHAnsi"/>
                <w:sz w:val="24"/>
                <w:szCs w:val="24"/>
                <w:lang w:val="ro-RO"/>
              </w:rPr>
              <w:t xml:space="preserve">fax: (+373) 22 26 61 00, </w:t>
            </w:r>
            <w:hyperlink r:id="rId9">
              <w:r w:rsidRPr="00341E6C">
                <w:rPr>
                  <w:rStyle w:val="LegturInternet"/>
                  <w:rFonts w:cstheme="majorHAnsi"/>
                  <w:sz w:val="24"/>
                  <w:szCs w:val="24"/>
                  <w:lang w:val="ro-RO"/>
                </w:rPr>
                <w:t>www.ccrm.md</w:t>
              </w:r>
            </w:hyperlink>
            <w:r w:rsidRPr="00341E6C">
              <w:rPr>
                <w:rFonts w:asciiTheme="majorHAnsi" w:hAnsiTheme="majorHAnsi" w:cstheme="majorHAnsi"/>
                <w:sz w:val="24"/>
                <w:szCs w:val="24"/>
                <w:u w:val="single"/>
                <w:lang w:val="ro-RO"/>
              </w:rPr>
              <w:t>;</w:t>
            </w:r>
            <w:r w:rsidRPr="00341E6C">
              <w:rPr>
                <w:rFonts w:asciiTheme="majorHAnsi" w:hAnsiTheme="majorHAnsi" w:cstheme="majorHAnsi"/>
                <w:sz w:val="24"/>
                <w:szCs w:val="24"/>
                <w:lang w:val="ro-RO"/>
              </w:rPr>
              <w:t xml:space="preserve"> e-mail: </w:t>
            </w:r>
            <w:hyperlink r:id="rId10">
              <w:r w:rsidRPr="00341E6C">
                <w:rPr>
                  <w:rStyle w:val="LegturInternet"/>
                  <w:rFonts w:cstheme="majorHAnsi"/>
                  <w:sz w:val="24"/>
                  <w:szCs w:val="24"/>
                  <w:lang w:val="ro-RO"/>
                </w:rPr>
                <w:t>ccrm@ccrm.md</w:t>
              </w:r>
            </w:hyperlink>
            <w:r w:rsidRPr="00341E6C">
              <w:rPr>
                <w:rStyle w:val="LegturInternet"/>
                <w:rFonts w:cstheme="majorHAnsi"/>
                <w:sz w:val="24"/>
                <w:szCs w:val="24"/>
                <w:lang w:val="ro-RO"/>
              </w:rPr>
              <w:t xml:space="preserve"> </w:t>
            </w:r>
          </w:p>
        </w:tc>
      </w:tr>
    </w:tbl>
    <w:p w14:paraId="1950C66F" w14:textId="7A35C1C7" w:rsidR="0062046C" w:rsidRPr="00341E6C" w:rsidRDefault="00041921" w:rsidP="00041921">
      <w:pPr>
        <w:spacing w:after="0" w:line="276" w:lineRule="auto"/>
        <w:rPr>
          <w:rFonts w:asciiTheme="majorHAnsi" w:eastAsia="Times New Roman" w:hAnsiTheme="majorHAnsi" w:cstheme="majorHAnsi"/>
          <w:sz w:val="24"/>
          <w:szCs w:val="24"/>
          <w:lang w:val="ro-RO"/>
        </w:rPr>
      </w:pPr>
      <w:r w:rsidRPr="00341E6C">
        <w:rPr>
          <w:rFonts w:asciiTheme="majorHAnsi" w:eastAsia="Times New Roman" w:hAnsiTheme="majorHAnsi" w:cstheme="majorHAnsi"/>
          <w:sz w:val="24"/>
          <w:szCs w:val="24"/>
          <w:lang w:val="ro-RO"/>
        </w:rPr>
        <w:br/>
      </w:r>
    </w:p>
    <w:p w14:paraId="4AD96272" w14:textId="77777777" w:rsidR="0062046C" w:rsidRPr="00341E6C" w:rsidRDefault="0062046C" w:rsidP="00930B4E">
      <w:pPr>
        <w:tabs>
          <w:tab w:val="left" w:pos="720"/>
        </w:tabs>
        <w:spacing w:after="0" w:line="276" w:lineRule="auto"/>
        <w:jc w:val="center"/>
        <w:rPr>
          <w:rFonts w:asciiTheme="majorHAnsi" w:eastAsia="Times New Roman" w:hAnsiTheme="majorHAnsi" w:cstheme="majorHAnsi"/>
          <w:b/>
          <w:bCs/>
          <w:sz w:val="28"/>
          <w:szCs w:val="28"/>
          <w:lang w:val="ro-RO"/>
        </w:rPr>
      </w:pPr>
      <w:r w:rsidRPr="00341E6C">
        <w:rPr>
          <w:rFonts w:asciiTheme="majorHAnsi" w:eastAsia="Times New Roman" w:hAnsiTheme="majorHAnsi" w:cstheme="majorHAnsi"/>
          <w:b/>
          <w:bCs/>
          <w:sz w:val="28"/>
          <w:szCs w:val="28"/>
          <w:lang w:val="ro-RO"/>
        </w:rPr>
        <w:t>RAPORTUL</w:t>
      </w:r>
    </w:p>
    <w:p w14:paraId="10A28C41" w14:textId="77777777" w:rsidR="0062046C" w:rsidRPr="00341E6C" w:rsidRDefault="0062046C" w:rsidP="00930B4E">
      <w:pPr>
        <w:spacing w:after="0" w:line="276" w:lineRule="auto"/>
        <w:jc w:val="center"/>
        <w:rPr>
          <w:rFonts w:asciiTheme="majorHAnsi" w:hAnsiTheme="majorHAnsi" w:cstheme="majorHAnsi"/>
          <w:b/>
          <w:sz w:val="28"/>
          <w:szCs w:val="28"/>
          <w:lang w:val="ro-RO"/>
        </w:rPr>
      </w:pPr>
      <w:r w:rsidRPr="00341E6C">
        <w:rPr>
          <w:rFonts w:asciiTheme="majorHAnsi" w:eastAsia="Times New Roman" w:hAnsiTheme="majorHAnsi" w:cstheme="majorHAnsi"/>
          <w:b/>
          <w:bCs/>
          <w:sz w:val="28"/>
          <w:szCs w:val="28"/>
          <w:lang w:val="ro-RO"/>
        </w:rPr>
        <w:t xml:space="preserve">auditului financiar al </w:t>
      </w:r>
      <w:r w:rsidRPr="00341E6C">
        <w:rPr>
          <w:rFonts w:asciiTheme="majorHAnsi" w:hAnsiTheme="majorHAnsi" w:cstheme="majorHAnsi"/>
          <w:b/>
          <w:sz w:val="28"/>
          <w:szCs w:val="28"/>
          <w:lang w:val="ro-RO"/>
        </w:rPr>
        <w:t xml:space="preserve">Raportului Guvernului </w:t>
      </w:r>
    </w:p>
    <w:p w14:paraId="46EB4F1D" w14:textId="77777777" w:rsidR="0062046C" w:rsidRPr="00341E6C" w:rsidRDefault="0062046C" w:rsidP="00930B4E">
      <w:pPr>
        <w:spacing w:after="0" w:line="276" w:lineRule="auto"/>
        <w:jc w:val="center"/>
        <w:rPr>
          <w:rFonts w:asciiTheme="majorHAnsi" w:hAnsiTheme="majorHAnsi" w:cstheme="majorHAnsi"/>
          <w:b/>
          <w:sz w:val="28"/>
          <w:szCs w:val="28"/>
          <w:lang w:val="ro-RO"/>
        </w:rPr>
      </w:pPr>
      <w:r w:rsidRPr="00341E6C">
        <w:rPr>
          <w:rFonts w:asciiTheme="majorHAnsi" w:hAnsiTheme="majorHAnsi" w:cstheme="majorHAnsi"/>
          <w:b/>
          <w:sz w:val="28"/>
          <w:szCs w:val="28"/>
          <w:lang w:val="ro-RO"/>
        </w:rPr>
        <w:t xml:space="preserve">privind executarea bugetului asigurărilor sociale de stat </w:t>
      </w:r>
    </w:p>
    <w:p w14:paraId="4C46D989" w14:textId="48042C0F" w:rsidR="0062046C" w:rsidRPr="00341E6C" w:rsidRDefault="0062046C" w:rsidP="00930B4E">
      <w:pPr>
        <w:spacing w:after="0" w:line="276" w:lineRule="auto"/>
        <w:jc w:val="center"/>
        <w:rPr>
          <w:rFonts w:asciiTheme="majorHAnsi" w:eastAsia="Times New Roman" w:hAnsiTheme="majorHAnsi" w:cstheme="majorHAnsi"/>
          <w:b/>
          <w:bCs/>
          <w:sz w:val="28"/>
          <w:szCs w:val="28"/>
          <w:lang w:val="ro-RO"/>
        </w:rPr>
      </w:pPr>
      <w:r w:rsidRPr="00341E6C">
        <w:rPr>
          <w:rFonts w:asciiTheme="majorHAnsi" w:hAnsiTheme="majorHAnsi" w:cstheme="majorHAnsi"/>
          <w:b/>
          <w:sz w:val="28"/>
          <w:szCs w:val="28"/>
          <w:lang w:val="ro-RO"/>
        </w:rPr>
        <w:t>în anul 20</w:t>
      </w:r>
      <w:r w:rsidR="00864B8D" w:rsidRPr="00341E6C">
        <w:rPr>
          <w:rFonts w:asciiTheme="majorHAnsi" w:hAnsiTheme="majorHAnsi" w:cstheme="majorHAnsi"/>
          <w:b/>
          <w:sz w:val="28"/>
          <w:szCs w:val="28"/>
          <w:lang w:val="ro-RO"/>
        </w:rPr>
        <w:t>20</w:t>
      </w:r>
    </w:p>
    <w:p w14:paraId="551439FB" w14:textId="77777777" w:rsidR="0062046C" w:rsidRPr="00341E6C" w:rsidRDefault="0062046C" w:rsidP="00930B4E">
      <w:pPr>
        <w:spacing w:after="0" w:line="276" w:lineRule="auto"/>
        <w:rPr>
          <w:rFonts w:asciiTheme="majorHAnsi" w:hAnsiTheme="majorHAnsi" w:cstheme="majorHAnsi"/>
          <w:sz w:val="28"/>
          <w:szCs w:val="28"/>
          <w:lang w:val="ro-RO"/>
        </w:rPr>
      </w:pPr>
    </w:p>
    <w:p w14:paraId="04012A87" w14:textId="77777777" w:rsidR="0062046C" w:rsidRPr="00341E6C" w:rsidRDefault="0062046C" w:rsidP="00930B4E">
      <w:pPr>
        <w:spacing w:after="0" w:line="276" w:lineRule="auto"/>
        <w:rPr>
          <w:rFonts w:asciiTheme="majorHAnsi" w:hAnsiTheme="majorHAnsi" w:cstheme="majorHAnsi"/>
          <w:lang w:val="ro-RO"/>
        </w:rPr>
      </w:pPr>
    </w:p>
    <w:p w14:paraId="3BC93670" w14:textId="53DADA9C" w:rsidR="00395584" w:rsidRDefault="00395584" w:rsidP="00930B4E">
      <w:pPr>
        <w:spacing w:after="0" w:line="276" w:lineRule="auto"/>
        <w:jc w:val="center"/>
        <w:rPr>
          <w:rFonts w:asciiTheme="majorHAnsi" w:hAnsiTheme="majorHAnsi" w:cstheme="majorHAnsi"/>
          <w:lang w:val="ro-RO"/>
        </w:rPr>
      </w:pPr>
      <w:r>
        <w:rPr>
          <w:rFonts w:asciiTheme="majorHAnsi" w:hAnsiTheme="majorHAnsi" w:cstheme="majorHAnsi"/>
          <w:lang w:val="ro-RO"/>
        </w:rPr>
        <w:br w:type="page"/>
      </w:r>
    </w:p>
    <w:p w14:paraId="1F419645" w14:textId="5E0AAE5F" w:rsidR="00395584" w:rsidRDefault="00395584" w:rsidP="00395584">
      <w:pPr>
        <w:tabs>
          <w:tab w:val="left" w:pos="720"/>
        </w:tabs>
        <w:spacing w:after="0" w:line="276" w:lineRule="auto"/>
        <w:jc w:val="center"/>
        <w:rPr>
          <w:rFonts w:asciiTheme="majorHAnsi" w:eastAsia="Times New Roman" w:hAnsiTheme="majorHAnsi" w:cs="Times New Roman"/>
          <w:b/>
          <w:bCs/>
          <w:sz w:val="28"/>
          <w:szCs w:val="28"/>
          <w:lang w:val="ro-MD"/>
        </w:rPr>
      </w:pPr>
      <w:r>
        <w:rPr>
          <w:rFonts w:asciiTheme="majorHAnsi" w:eastAsia="Times New Roman" w:hAnsiTheme="majorHAnsi" w:cs="Times New Roman"/>
          <w:b/>
          <w:bCs/>
          <w:sz w:val="28"/>
          <w:szCs w:val="28"/>
          <w:lang w:val="ro-MD"/>
        </w:rPr>
        <w:lastRenderedPageBreak/>
        <w:t>Lista acronimelor</w:t>
      </w:r>
    </w:p>
    <w:p w14:paraId="5AD06C7E" w14:textId="77777777" w:rsidR="00395584" w:rsidRDefault="00395584" w:rsidP="00395584">
      <w:pPr>
        <w:tabs>
          <w:tab w:val="left" w:pos="720"/>
        </w:tabs>
        <w:spacing w:after="0" w:line="276" w:lineRule="auto"/>
        <w:jc w:val="center"/>
        <w:rPr>
          <w:rFonts w:asciiTheme="majorHAnsi" w:eastAsia="Times New Roman" w:hAnsiTheme="majorHAnsi" w:cs="Times New Roman"/>
          <w:b/>
          <w:bCs/>
          <w:sz w:val="28"/>
          <w:szCs w:val="28"/>
          <w:lang w:val="ro-MD"/>
        </w:rPr>
      </w:pPr>
    </w:p>
    <w:tbl>
      <w:tblPr>
        <w:tblStyle w:val="GridTable1Light"/>
        <w:tblW w:w="0" w:type="auto"/>
        <w:jc w:val="center"/>
        <w:tblInd w:w="0" w:type="dxa"/>
        <w:tblLook w:val="04A0" w:firstRow="1" w:lastRow="0" w:firstColumn="1" w:lastColumn="0" w:noHBand="0" w:noVBand="1"/>
      </w:tblPr>
      <w:tblGrid>
        <w:gridCol w:w="1555"/>
        <w:gridCol w:w="7229"/>
      </w:tblGrid>
      <w:tr w:rsidR="00395584" w:rsidRPr="00395584" w14:paraId="3357D2FD" w14:textId="77777777" w:rsidTr="003955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22E9A60"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Acronimul</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0E52F63" w14:textId="77777777" w:rsidR="00395584" w:rsidRPr="00395584" w:rsidRDefault="00395584">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Termenul abreviat</w:t>
            </w:r>
          </w:p>
        </w:tc>
      </w:tr>
      <w:tr w:rsidR="00395584" w:rsidRPr="00395584" w14:paraId="6742A56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460E93"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AGE</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9EEFF"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Agenția de Guvernare Electronică</w:t>
            </w:r>
          </w:p>
        </w:tc>
      </w:tr>
      <w:tr w:rsidR="00395584" w:rsidRPr="00395584" w14:paraId="34348FB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0F296"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ANOFM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70982"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Agenția Națională pentru Ocuparea Forței de Mincă</w:t>
            </w:r>
          </w:p>
        </w:tc>
      </w:tr>
      <w:tr w:rsidR="00395584" w:rsidRPr="00395584" w14:paraId="32E24663"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AB8B2"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APRA</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C749C"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Ajutor pentru perioada rece a anului</w:t>
            </w:r>
          </w:p>
        </w:tc>
      </w:tr>
      <w:tr w:rsidR="00395584" w:rsidRPr="00395584" w14:paraId="15DE032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302E9"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35EF0"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Ajutor social</w:t>
            </w:r>
          </w:p>
        </w:tc>
      </w:tr>
      <w:tr w:rsidR="00395584" w:rsidRPr="00BB5F9B" w14:paraId="31904796"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C4445"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BASS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3AEA9" w14:textId="701F143E" w:rsidR="00395584" w:rsidRPr="00395584" w:rsidRDefault="00395584" w:rsidP="00BB5F9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Bugetul Asigurărilor Sociale de Stat</w:t>
            </w:r>
          </w:p>
        </w:tc>
      </w:tr>
      <w:tr w:rsidR="00395584" w:rsidRPr="00395584" w14:paraId="1432EF2C"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721B2"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BPN</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45D7B"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Bugetul Public Național</w:t>
            </w:r>
          </w:p>
        </w:tc>
      </w:tr>
      <w:tr w:rsidR="00395584" w:rsidRPr="00395584" w14:paraId="32219E40"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E1EA7"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BS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A9638"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Bugetul de Stat</w:t>
            </w:r>
          </w:p>
        </w:tc>
      </w:tr>
      <w:tr w:rsidR="00395584" w:rsidRPr="00395584" w14:paraId="3438F5B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0D7EA"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CIM</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7FD9B"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Control Intern Managerial</w:t>
            </w:r>
          </w:p>
        </w:tc>
      </w:tr>
      <w:tr w:rsidR="00395584" w:rsidRPr="00395584" w14:paraId="08DED946"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7D949"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CNAS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976A88"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Casa Națională de Asigurări Sociale</w:t>
            </w:r>
          </w:p>
        </w:tc>
      </w:tr>
      <w:tr w:rsidR="00395584" w:rsidRPr="00395584" w14:paraId="46CA51AA"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1FB30"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CTAS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4E5972" w14:textId="66E736E8" w:rsidR="00395584" w:rsidRPr="00395584" w:rsidRDefault="00BB5F9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Pr>
                <w:rFonts w:asciiTheme="majorHAnsi" w:eastAsia="Times New Roman" w:hAnsiTheme="majorHAnsi" w:cstheme="majorHAnsi"/>
                <w:bCs/>
                <w:sz w:val="24"/>
                <w:szCs w:val="24"/>
                <w:lang w:val="ro-MD"/>
              </w:rPr>
              <w:t>C</w:t>
            </w:r>
            <w:r w:rsidR="00395584" w:rsidRPr="00395584">
              <w:rPr>
                <w:rFonts w:asciiTheme="majorHAnsi" w:eastAsia="Times New Roman" w:hAnsiTheme="majorHAnsi" w:cstheme="majorHAnsi"/>
                <w:bCs/>
                <w:sz w:val="24"/>
                <w:szCs w:val="24"/>
                <w:lang w:val="ro-MD"/>
              </w:rPr>
              <w:t>asa Teritorială de Asigurări Sociale</w:t>
            </w:r>
          </w:p>
        </w:tc>
      </w:tr>
      <w:tr w:rsidR="00395584" w:rsidRPr="00395584" w14:paraId="59626D2A"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ABCC22"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IMSP</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32B57"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Instituție Medico-Sanitară Publică</w:t>
            </w:r>
          </w:p>
        </w:tc>
      </w:tr>
      <w:tr w:rsidR="00395584" w:rsidRPr="00395584" w14:paraId="3E4FDE3E"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2C5D1"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ÎS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BA96E"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Întreprindere de Stat</w:t>
            </w:r>
          </w:p>
        </w:tc>
      </w:tr>
      <w:tr w:rsidR="00395584" w:rsidRPr="00395584" w14:paraId="02A33984"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DBEFA"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MAI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4371D"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Ministerul Afacerilor Interne</w:t>
            </w:r>
          </w:p>
        </w:tc>
      </w:tr>
      <w:tr w:rsidR="00395584" w:rsidRPr="00395584" w14:paraId="5B3AF653"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23899"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MSMPS</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20F89" w14:textId="158414D4"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Ministerul Sănătății</w:t>
            </w:r>
            <w:r w:rsidR="00BB5F9B">
              <w:rPr>
                <w:rFonts w:asciiTheme="majorHAnsi" w:eastAsia="Times New Roman" w:hAnsiTheme="majorHAnsi" w:cstheme="majorHAnsi"/>
                <w:bCs/>
                <w:sz w:val="24"/>
                <w:szCs w:val="24"/>
                <w:lang w:val="ro-MD"/>
              </w:rPr>
              <w:t>,</w:t>
            </w:r>
            <w:r w:rsidRPr="00395584">
              <w:rPr>
                <w:rFonts w:asciiTheme="majorHAnsi" w:eastAsia="Times New Roman" w:hAnsiTheme="majorHAnsi" w:cstheme="majorHAnsi"/>
                <w:bCs/>
                <w:sz w:val="24"/>
                <w:szCs w:val="24"/>
                <w:lang w:val="ro-MD"/>
              </w:rPr>
              <w:t xml:space="preserve"> Muncii și Protecției Sociale</w:t>
            </w:r>
          </w:p>
        </w:tc>
      </w:tr>
      <w:tr w:rsidR="00395584" w:rsidRPr="00395584" w14:paraId="6D263DE4"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8BC27"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PIB</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6CA28" w14:textId="1608B69F"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Produsul Intern Brut</w:t>
            </w:r>
          </w:p>
        </w:tc>
      </w:tr>
      <w:tr w:rsidR="00395584" w:rsidRPr="00395584" w14:paraId="66E87908"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147BD" w14:textId="77777777" w:rsidR="00395584" w:rsidRPr="00395584" w:rsidRDefault="00395584">
            <w:pPr>
              <w:tabs>
                <w:tab w:val="left" w:pos="720"/>
              </w:tabs>
              <w:spacing w:line="276" w:lineRule="auto"/>
              <w:jc w:val="center"/>
              <w:rPr>
                <w:rFonts w:asciiTheme="majorHAnsi" w:eastAsia="Times New Roman" w:hAnsiTheme="majorHAnsi" w:cstheme="majorHAnsi"/>
                <w:sz w:val="24"/>
                <w:szCs w:val="24"/>
                <w:lang w:val="ro-MD"/>
              </w:rPr>
            </w:pPr>
            <w:r w:rsidRPr="00395584">
              <w:rPr>
                <w:rFonts w:asciiTheme="majorHAnsi" w:eastAsia="Times New Roman" w:hAnsiTheme="majorHAnsi" w:cstheme="majorHAnsi"/>
                <w:sz w:val="24"/>
                <w:szCs w:val="24"/>
                <w:lang w:val="ro-MD"/>
              </w:rPr>
              <w:t>SI</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CA1DDC" w14:textId="77777777" w:rsidR="00395584" w:rsidRPr="00395584" w:rsidRDefault="00395584">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o-MD"/>
              </w:rPr>
            </w:pPr>
            <w:r w:rsidRPr="00395584">
              <w:rPr>
                <w:rFonts w:asciiTheme="majorHAnsi" w:eastAsia="Times New Roman" w:hAnsiTheme="majorHAnsi" w:cstheme="majorHAnsi"/>
                <w:bCs/>
                <w:sz w:val="24"/>
                <w:szCs w:val="24"/>
                <w:lang w:val="ro-MD"/>
              </w:rPr>
              <w:t>Sistem Informațional</w:t>
            </w:r>
          </w:p>
        </w:tc>
      </w:tr>
    </w:tbl>
    <w:p w14:paraId="0E016A57" w14:textId="77777777" w:rsidR="0062046C" w:rsidRPr="00341E6C" w:rsidRDefault="0062046C" w:rsidP="00930B4E">
      <w:pPr>
        <w:spacing w:after="0" w:line="276" w:lineRule="auto"/>
        <w:jc w:val="center"/>
        <w:rPr>
          <w:rFonts w:asciiTheme="majorHAnsi" w:hAnsiTheme="majorHAnsi" w:cstheme="majorHAnsi"/>
          <w:lang w:val="ro-RO"/>
        </w:rPr>
      </w:pPr>
    </w:p>
    <w:p w14:paraId="313A45C6" w14:textId="77777777" w:rsidR="0062046C" w:rsidRPr="00341E6C" w:rsidRDefault="0062046C" w:rsidP="00930B4E">
      <w:pPr>
        <w:spacing w:after="0" w:line="276" w:lineRule="auto"/>
        <w:rPr>
          <w:rFonts w:asciiTheme="majorHAnsi" w:hAnsiTheme="majorHAnsi" w:cstheme="majorHAnsi"/>
          <w:lang w:val="ro-RO"/>
        </w:rPr>
      </w:pPr>
    </w:p>
    <w:p w14:paraId="239383AA" w14:textId="77777777" w:rsidR="0062046C" w:rsidRPr="00341E6C" w:rsidRDefault="0062046C" w:rsidP="00930B4E">
      <w:pPr>
        <w:spacing w:after="0" w:line="276" w:lineRule="auto"/>
        <w:rPr>
          <w:rFonts w:asciiTheme="majorHAnsi" w:hAnsiTheme="majorHAnsi" w:cstheme="majorHAnsi"/>
          <w:lang w:val="ro-RO"/>
        </w:rPr>
      </w:pPr>
    </w:p>
    <w:p w14:paraId="6D2ED637" w14:textId="77777777" w:rsidR="0062046C" w:rsidRPr="00341E6C" w:rsidRDefault="0062046C" w:rsidP="00930B4E">
      <w:pPr>
        <w:spacing w:after="0" w:line="276" w:lineRule="auto"/>
        <w:rPr>
          <w:rFonts w:asciiTheme="majorHAnsi" w:hAnsiTheme="majorHAnsi" w:cstheme="majorHAnsi"/>
          <w:lang w:val="ro-RO"/>
        </w:rPr>
      </w:pPr>
    </w:p>
    <w:p w14:paraId="37A6BA76" w14:textId="77777777" w:rsidR="001A662E" w:rsidRPr="00341E6C" w:rsidRDefault="001A662E" w:rsidP="00930B4E">
      <w:pPr>
        <w:pStyle w:val="Heading1"/>
        <w:spacing w:before="0"/>
        <w:ind w:left="0" w:firstLine="0"/>
        <w:jc w:val="left"/>
        <w:rPr>
          <w:rFonts w:asciiTheme="majorHAnsi" w:hAnsiTheme="majorHAnsi" w:cstheme="majorHAnsi"/>
          <w:sz w:val="28"/>
          <w:szCs w:val="28"/>
          <w:lang w:val="ro-RO"/>
        </w:rPr>
      </w:pPr>
      <w:bookmarkStart w:id="2" w:name="_Toc35000680"/>
      <w:bookmarkEnd w:id="0"/>
      <w:r w:rsidRPr="00341E6C">
        <w:rPr>
          <w:rFonts w:asciiTheme="majorHAnsi" w:hAnsiTheme="majorHAnsi" w:cstheme="majorHAnsi"/>
          <w:sz w:val="28"/>
          <w:szCs w:val="28"/>
          <w:lang w:val="ro-RO"/>
        </w:rPr>
        <w:br w:type="page"/>
      </w:r>
    </w:p>
    <w:p w14:paraId="2A5C0B7C" w14:textId="5C9378A5" w:rsidR="00C75E87" w:rsidRPr="00341E6C" w:rsidRDefault="00C75E87" w:rsidP="009B59B6">
      <w:pPr>
        <w:pStyle w:val="Heading1"/>
        <w:numPr>
          <w:ilvl w:val="0"/>
          <w:numId w:val="4"/>
        </w:numPr>
        <w:spacing w:before="0"/>
        <w:ind w:left="0" w:firstLine="0"/>
        <w:jc w:val="left"/>
        <w:rPr>
          <w:rFonts w:asciiTheme="majorHAnsi" w:hAnsiTheme="majorHAnsi" w:cstheme="majorHAnsi"/>
          <w:sz w:val="28"/>
          <w:szCs w:val="28"/>
          <w:lang w:val="ro-RO"/>
        </w:rPr>
      </w:pPr>
      <w:r w:rsidRPr="00341E6C">
        <w:rPr>
          <w:rFonts w:asciiTheme="majorHAnsi" w:hAnsiTheme="majorHAnsi" w:cstheme="majorHAnsi"/>
          <w:sz w:val="28"/>
          <w:szCs w:val="28"/>
          <w:lang w:val="ro-RO"/>
        </w:rPr>
        <w:lastRenderedPageBreak/>
        <w:t>O</w:t>
      </w:r>
      <w:r w:rsidR="00967BA1" w:rsidRPr="00341E6C">
        <w:rPr>
          <w:rFonts w:asciiTheme="majorHAnsi" w:hAnsiTheme="majorHAnsi" w:cstheme="majorHAnsi"/>
          <w:sz w:val="28"/>
          <w:szCs w:val="28"/>
          <w:lang w:val="ro-RO"/>
        </w:rPr>
        <w:t xml:space="preserve">PINIA </w:t>
      </w:r>
      <w:bookmarkEnd w:id="2"/>
      <w:r w:rsidR="00757271">
        <w:rPr>
          <w:rFonts w:asciiTheme="majorHAnsi" w:hAnsiTheme="majorHAnsi" w:cstheme="majorHAnsi"/>
          <w:sz w:val="28"/>
          <w:szCs w:val="28"/>
          <w:lang w:val="ro-RO"/>
        </w:rPr>
        <w:t>CU REZERVE</w:t>
      </w:r>
    </w:p>
    <w:p w14:paraId="283158F2" w14:textId="69F8BEE2" w:rsidR="005B28B7" w:rsidRPr="00341E6C" w:rsidRDefault="00AB25E0" w:rsidP="00930B4E">
      <w:pPr>
        <w:pStyle w:val="NormalWeb"/>
        <w:spacing w:line="276" w:lineRule="auto"/>
        <w:ind w:firstLine="0"/>
        <w:rPr>
          <w:rFonts w:asciiTheme="majorHAnsi" w:hAnsiTheme="majorHAnsi" w:cstheme="majorHAnsi"/>
          <w:lang w:val="ro-RO"/>
        </w:rPr>
      </w:pPr>
      <w:r w:rsidRPr="00341E6C">
        <w:rPr>
          <w:rFonts w:asciiTheme="majorHAnsi" w:hAnsiTheme="majorHAnsi" w:cstheme="majorHAnsi"/>
          <w:lang w:val="ro-RO"/>
        </w:rPr>
        <w:t>Am</w:t>
      </w:r>
      <w:r w:rsidR="005B28B7" w:rsidRPr="00341E6C">
        <w:rPr>
          <w:rFonts w:asciiTheme="majorHAnsi" w:hAnsiTheme="majorHAnsi" w:cstheme="majorHAnsi"/>
          <w:lang w:val="ro-RO"/>
        </w:rPr>
        <w:t xml:space="preserve"> auditat Raportul Guvernului privind executarea bugetulu</w:t>
      </w:r>
      <w:r w:rsidR="009F6299" w:rsidRPr="00341E6C">
        <w:rPr>
          <w:rFonts w:asciiTheme="majorHAnsi" w:hAnsiTheme="majorHAnsi" w:cstheme="majorHAnsi"/>
          <w:lang w:val="ro-RO"/>
        </w:rPr>
        <w:t>i asigurărilor sociale de stat în anul 20</w:t>
      </w:r>
      <w:r w:rsidR="00CF676A" w:rsidRPr="00341E6C">
        <w:rPr>
          <w:rFonts w:asciiTheme="majorHAnsi" w:hAnsiTheme="majorHAnsi" w:cstheme="majorHAnsi"/>
          <w:lang w:val="ro-RO"/>
        </w:rPr>
        <w:t>20</w:t>
      </w:r>
      <w:r w:rsidR="005B28B7" w:rsidRPr="00341E6C">
        <w:rPr>
          <w:rFonts w:asciiTheme="majorHAnsi" w:hAnsiTheme="majorHAnsi" w:cstheme="majorHAnsi"/>
          <w:lang w:val="ro-RO"/>
        </w:rPr>
        <w:t xml:space="preserve">, întocmit de Casa </w:t>
      </w:r>
      <w:r w:rsidR="009F6299" w:rsidRPr="00341E6C">
        <w:rPr>
          <w:rFonts w:asciiTheme="majorHAnsi" w:hAnsiTheme="majorHAnsi" w:cstheme="majorHAnsi"/>
          <w:lang w:val="ro-RO"/>
        </w:rPr>
        <w:t>Naţională de Asigurări Sociale</w:t>
      </w:r>
      <w:r w:rsidR="005B28B7" w:rsidRPr="00341E6C">
        <w:rPr>
          <w:rFonts w:asciiTheme="majorHAnsi" w:hAnsiTheme="majorHAnsi" w:cstheme="majorHAnsi"/>
          <w:lang w:val="ro-RO"/>
        </w:rPr>
        <w:t>, care cuprinde: Formularul nr.1 CNAS, Formularul nr.2 CNAS, Formularul nr.4 CNAS, Formularul nr.4.1 CNAS şi descrierea narativă</w:t>
      </w:r>
      <w:r w:rsidR="009F6299" w:rsidRPr="00341E6C">
        <w:rPr>
          <w:rStyle w:val="FootnoteReference"/>
          <w:rFonts w:asciiTheme="majorHAnsi" w:hAnsiTheme="majorHAnsi" w:cstheme="majorHAnsi"/>
          <w:lang w:val="ro-RO"/>
        </w:rPr>
        <w:footnoteReference w:id="1"/>
      </w:r>
      <w:r w:rsidR="009F6299" w:rsidRPr="00341E6C">
        <w:rPr>
          <w:rFonts w:asciiTheme="majorHAnsi" w:hAnsiTheme="majorHAnsi" w:cstheme="majorHAnsi"/>
          <w:lang w:val="ro-RO"/>
        </w:rPr>
        <w:t>, inclusiv un sumar al politicilor contabile semnificative</w:t>
      </w:r>
      <w:r w:rsidR="005B28B7" w:rsidRPr="00341E6C">
        <w:rPr>
          <w:rFonts w:asciiTheme="majorHAnsi" w:hAnsiTheme="majorHAnsi" w:cstheme="majorHAnsi"/>
          <w:lang w:val="ro-RO"/>
        </w:rPr>
        <w:t>.</w:t>
      </w:r>
    </w:p>
    <w:p w14:paraId="082E0349" w14:textId="2025360B" w:rsidR="005B28B7" w:rsidRPr="00341E6C" w:rsidRDefault="005B28B7" w:rsidP="00930B4E">
      <w:pPr>
        <w:pStyle w:val="NormalWeb"/>
        <w:spacing w:line="276" w:lineRule="auto"/>
        <w:ind w:firstLine="0"/>
        <w:rPr>
          <w:rFonts w:asciiTheme="majorHAnsi" w:hAnsiTheme="majorHAnsi" w:cstheme="majorHAnsi"/>
          <w:lang w:val="ro-RO"/>
        </w:rPr>
      </w:pPr>
      <w:r w:rsidRPr="00341E6C">
        <w:rPr>
          <w:rFonts w:asciiTheme="majorHAnsi" w:hAnsiTheme="majorHAnsi" w:cstheme="majorHAnsi"/>
          <w:lang w:val="ro-RO"/>
        </w:rPr>
        <w:t xml:space="preserve">În opinia </w:t>
      </w:r>
      <w:r w:rsidR="00AB25E0" w:rsidRPr="00341E6C">
        <w:rPr>
          <w:rFonts w:asciiTheme="majorHAnsi" w:hAnsiTheme="majorHAnsi" w:cstheme="majorHAnsi"/>
          <w:lang w:val="ro-RO"/>
        </w:rPr>
        <w:t>noastră</w:t>
      </w:r>
      <w:r w:rsidRPr="00341E6C">
        <w:rPr>
          <w:rFonts w:asciiTheme="majorHAnsi" w:hAnsiTheme="majorHAnsi" w:cstheme="majorHAnsi"/>
          <w:lang w:val="ro-RO"/>
        </w:rPr>
        <w:t xml:space="preserve">, cu </w:t>
      </w:r>
      <w:r w:rsidR="00AB25E0" w:rsidRPr="00341E6C">
        <w:rPr>
          <w:rFonts w:asciiTheme="majorHAnsi" w:hAnsiTheme="majorHAnsi" w:cstheme="majorHAnsi"/>
          <w:lang w:val="ro-RO"/>
        </w:rPr>
        <w:t>excepția</w:t>
      </w:r>
      <w:r w:rsidRPr="00341E6C">
        <w:rPr>
          <w:rFonts w:asciiTheme="majorHAnsi" w:hAnsiTheme="majorHAnsi" w:cstheme="majorHAnsi"/>
          <w:lang w:val="ro-RO"/>
        </w:rPr>
        <w:t xml:space="preserve"> </w:t>
      </w:r>
      <w:r w:rsidR="00F96953">
        <w:rPr>
          <w:rFonts w:asciiTheme="majorHAnsi" w:hAnsiTheme="majorHAnsi" w:cstheme="majorHAnsi"/>
          <w:lang w:val="ro-RO"/>
        </w:rPr>
        <w:t>posibilelor efecte</w:t>
      </w:r>
      <w:r w:rsidR="009F6299" w:rsidRPr="00341E6C">
        <w:rPr>
          <w:rFonts w:asciiTheme="majorHAnsi" w:hAnsiTheme="majorHAnsi" w:cstheme="majorHAnsi"/>
          <w:lang w:val="ro-RO"/>
        </w:rPr>
        <w:t xml:space="preserve"> </w:t>
      </w:r>
      <w:r w:rsidR="00D748E3" w:rsidRPr="00341E6C">
        <w:rPr>
          <w:rFonts w:asciiTheme="majorHAnsi" w:hAnsiTheme="majorHAnsi" w:cstheme="majorHAnsi"/>
          <w:lang w:val="ro-RO"/>
        </w:rPr>
        <w:t>descrise</w:t>
      </w:r>
      <w:r w:rsidRPr="00341E6C">
        <w:rPr>
          <w:rFonts w:asciiTheme="majorHAnsi" w:hAnsiTheme="majorHAnsi" w:cstheme="majorHAnsi"/>
          <w:lang w:val="ro-RO"/>
        </w:rPr>
        <w:t xml:space="preserve"> în </w:t>
      </w:r>
      <w:r w:rsidR="00D748E3" w:rsidRPr="00341E6C">
        <w:rPr>
          <w:rFonts w:asciiTheme="majorHAnsi" w:hAnsiTheme="majorHAnsi" w:cstheme="majorHAnsi"/>
          <w:lang w:val="ro-RO"/>
        </w:rPr>
        <w:t xml:space="preserve">secțiunea </w:t>
      </w:r>
      <w:r w:rsidRPr="00341E6C">
        <w:rPr>
          <w:rFonts w:asciiTheme="majorHAnsi" w:hAnsiTheme="majorHAnsi" w:cstheme="majorHAnsi"/>
          <w:i/>
          <w:lang w:val="ro-RO"/>
        </w:rPr>
        <w:t>Baza pentru opini</w:t>
      </w:r>
      <w:r w:rsidR="002E7557" w:rsidRPr="00341E6C">
        <w:rPr>
          <w:rFonts w:asciiTheme="majorHAnsi" w:hAnsiTheme="majorHAnsi" w:cstheme="majorHAnsi"/>
          <w:i/>
          <w:lang w:val="ro-RO"/>
        </w:rPr>
        <w:t>a</w:t>
      </w:r>
      <w:r w:rsidRPr="00341E6C">
        <w:rPr>
          <w:rFonts w:asciiTheme="majorHAnsi" w:hAnsiTheme="majorHAnsi" w:cstheme="majorHAnsi"/>
          <w:i/>
          <w:lang w:val="ro-RO"/>
        </w:rPr>
        <w:t xml:space="preserve"> </w:t>
      </w:r>
      <w:r w:rsidR="00337BE2" w:rsidRPr="00341E6C">
        <w:rPr>
          <w:rFonts w:asciiTheme="majorHAnsi" w:hAnsiTheme="majorHAnsi" w:cstheme="majorHAnsi"/>
          <w:i/>
          <w:lang w:val="ro-RO"/>
        </w:rPr>
        <w:t xml:space="preserve">cu </w:t>
      </w:r>
      <w:r w:rsidRPr="00341E6C">
        <w:rPr>
          <w:rFonts w:asciiTheme="majorHAnsi" w:hAnsiTheme="majorHAnsi" w:cstheme="majorHAnsi"/>
          <w:i/>
          <w:lang w:val="ro-RO"/>
        </w:rPr>
        <w:t>rezerve</w:t>
      </w:r>
      <w:r w:rsidRPr="00341E6C">
        <w:rPr>
          <w:rFonts w:asciiTheme="majorHAnsi" w:hAnsiTheme="majorHAnsi" w:cstheme="majorHAnsi"/>
          <w:lang w:val="ro-RO"/>
        </w:rPr>
        <w:t xml:space="preserve">, Raportul </w:t>
      </w:r>
      <w:r w:rsidR="009F6299" w:rsidRPr="00341E6C">
        <w:rPr>
          <w:rFonts w:asciiTheme="majorHAnsi" w:hAnsiTheme="majorHAnsi" w:cstheme="majorHAnsi"/>
          <w:lang w:val="ro-RO"/>
        </w:rPr>
        <w:t xml:space="preserve">Guvernului privind executarea bugetului asigurărilor sociale de stat oferă, </w:t>
      </w:r>
      <w:r w:rsidRPr="00341E6C">
        <w:rPr>
          <w:rFonts w:asciiTheme="majorHAnsi" w:hAnsiTheme="majorHAnsi" w:cstheme="majorHAnsi"/>
          <w:lang w:val="ro-RO"/>
        </w:rPr>
        <w:t>sub toate aspectele semnificative, o imagine corectă şi fidelă, în conformitate cu cadrul de raportare aplicabil</w:t>
      </w:r>
      <w:r w:rsidR="009F6299" w:rsidRPr="00341E6C">
        <w:rPr>
          <w:rStyle w:val="FootnoteReference"/>
          <w:rFonts w:asciiTheme="majorHAnsi" w:hAnsiTheme="majorHAnsi" w:cstheme="majorHAnsi"/>
          <w:lang w:val="ro-RO"/>
        </w:rPr>
        <w:footnoteReference w:id="2"/>
      </w:r>
      <w:r w:rsidRPr="00341E6C">
        <w:rPr>
          <w:rFonts w:asciiTheme="majorHAnsi" w:hAnsiTheme="majorHAnsi" w:cstheme="majorHAnsi"/>
          <w:lang w:val="ro-RO"/>
        </w:rPr>
        <w:t>.</w:t>
      </w:r>
    </w:p>
    <w:p w14:paraId="7AD36EB6" w14:textId="77777777" w:rsidR="008D1BDF" w:rsidRPr="00341E6C" w:rsidRDefault="008D1BDF" w:rsidP="00930B4E">
      <w:pPr>
        <w:pStyle w:val="NormalWeb"/>
        <w:spacing w:line="276" w:lineRule="auto"/>
        <w:ind w:firstLine="0"/>
        <w:rPr>
          <w:rFonts w:asciiTheme="majorHAnsi" w:hAnsiTheme="majorHAnsi" w:cstheme="majorHAnsi"/>
          <w:lang w:val="ro-RO"/>
        </w:rPr>
      </w:pPr>
    </w:p>
    <w:p w14:paraId="1945285D" w14:textId="4BDBC02A" w:rsidR="00C75E87" w:rsidRPr="00341E6C" w:rsidRDefault="00757271" w:rsidP="00930B4E">
      <w:pPr>
        <w:pStyle w:val="Heading1"/>
        <w:tabs>
          <w:tab w:val="left" w:pos="142"/>
          <w:tab w:val="left" w:pos="284"/>
        </w:tabs>
        <w:spacing w:before="0"/>
        <w:ind w:left="0" w:firstLine="0"/>
        <w:jc w:val="left"/>
        <w:rPr>
          <w:rFonts w:asciiTheme="majorHAnsi" w:hAnsiTheme="majorHAnsi" w:cstheme="majorHAnsi"/>
          <w:sz w:val="28"/>
          <w:szCs w:val="28"/>
          <w:lang w:val="ro-RO"/>
        </w:rPr>
      </w:pPr>
      <w:r>
        <w:rPr>
          <w:rFonts w:asciiTheme="majorHAnsi" w:hAnsiTheme="majorHAnsi" w:cstheme="majorHAnsi"/>
          <w:sz w:val="28"/>
          <w:szCs w:val="28"/>
          <w:lang w:val="ro-RO"/>
        </w:rPr>
        <w:t>BAZA PENTRU OPINIA CU REZERVE</w:t>
      </w:r>
    </w:p>
    <w:p w14:paraId="420EE9E3" w14:textId="3C8DD58A" w:rsidR="00F33882" w:rsidRPr="00371868" w:rsidRDefault="00F33882" w:rsidP="00F33882">
      <w:pPr>
        <w:pStyle w:val="CommentText"/>
        <w:numPr>
          <w:ilvl w:val="1"/>
          <w:numId w:val="10"/>
        </w:numPr>
        <w:spacing w:before="240" w:after="0" w:line="276" w:lineRule="auto"/>
        <w:ind w:left="0" w:firstLine="0"/>
        <w:jc w:val="both"/>
        <w:outlineLvl w:val="1"/>
        <w:rPr>
          <w:rFonts w:asciiTheme="majorHAnsi" w:hAnsiTheme="majorHAnsi" w:cstheme="majorHAnsi"/>
          <w:sz w:val="24"/>
          <w:szCs w:val="24"/>
          <w:lang w:val="ro-RO"/>
        </w:rPr>
      </w:pPr>
      <w:r>
        <w:rPr>
          <w:rFonts w:asciiTheme="majorHAnsi" w:hAnsiTheme="majorHAnsi" w:cstheme="majorHAnsi"/>
          <w:b/>
          <w:sz w:val="24"/>
          <w:szCs w:val="24"/>
          <w:lang w:val="ro-RO"/>
        </w:rPr>
        <w:t>L</w:t>
      </w:r>
      <w:r w:rsidRPr="00C7193D">
        <w:rPr>
          <w:rFonts w:asciiTheme="majorHAnsi" w:hAnsiTheme="majorHAnsi" w:cstheme="majorHAnsi"/>
          <w:b/>
          <w:sz w:val="24"/>
          <w:szCs w:val="24"/>
          <w:lang w:val="ro-RO"/>
        </w:rPr>
        <w:t xml:space="preserve">imitarea auditorilor în verificarea corectitudinii estimării și raportării datoriilor față de </w:t>
      </w:r>
      <w:r w:rsidRPr="008C4805">
        <w:rPr>
          <w:rFonts w:asciiTheme="majorHAnsi" w:hAnsiTheme="majorHAnsi" w:cstheme="majorHAnsi"/>
          <w:b/>
          <w:sz w:val="24"/>
          <w:szCs w:val="24"/>
          <w:lang w:val="ro-RO"/>
        </w:rPr>
        <w:t xml:space="preserve">beneficiari per total prestație, </w:t>
      </w:r>
      <w:r w:rsidR="00BB5F9B" w:rsidRPr="008C4805">
        <w:rPr>
          <w:rFonts w:asciiTheme="majorHAnsi" w:hAnsiTheme="majorHAnsi" w:cstheme="majorHAnsi"/>
          <w:b/>
          <w:sz w:val="24"/>
          <w:szCs w:val="24"/>
          <w:lang w:val="ro-RO"/>
        </w:rPr>
        <w:t>c</w:t>
      </w:r>
      <w:r w:rsidR="00BB5F9B">
        <w:rPr>
          <w:rFonts w:asciiTheme="majorHAnsi" w:hAnsiTheme="majorHAnsi" w:cstheme="majorHAnsi"/>
          <w:b/>
          <w:sz w:val="24"/>
          <w:szCs w:val="24"/>
          <w:lang w:val="ro-RO"/>
        </w:rPr>
        <w:t xml:space="preserve">a </w:t>
      </w:r>
      <w:r>
        <w:rPr>
          <w:rFonts w:asciiTheme="majorHAnsi" w:hAnsiTheme="majorHAnsi" w:cstheme="majorHAnsi"/>
          <w:b/>
          <w:sz w:val="24"/>
          <w:szCs w:val="24"/>
          <w:lang w:val="ro-RO"/>
        </w:rPr>
        <w:t>rezultat al a</w:t>
      </w:r>
      <w:r w:rsidRPr="00C7193D">
        <w:rPr>
          <w:rFonts w:asciiTheme="majorHAnsi" w:hAnsiTheme="majorHAnsi" w:cstheme="majorHAnsi"/>
          <w:b/>
          <w:sz w:val="24"/>
          <w:szCs w:val="24"/>
          <w:lang w:val="ro-RO"/>
        </w:rPr>
        <w:t>nul</w:t>
      </w:r>
      <w:r>
        <w:rPr>
          <w:rFonts w:asciiTheme="majorHAnsi" w:hAnsiTheme="majorHAnsi" w:cstheme="majorHAnsi"/>
          <w:b/>
          <w:sz w:val="24"/>
          <w:szCs w:val="24"/>
          <w:lang w:val="ro-RO"/>
        </w:rPr>
        <w:t>ării</w:t>
      </w:r>
      <w:r w:rsidRPr="00C7193D">
        <w:rPr>
          <w:rFonts w:asciiTheme="majorHAnsi" w:hAnsiTheme="majorHAnsi" w:cstheme="majorHAnsi"/>
          <w:b/>
          <w:sz w:val="24"/>
          <w:szCs w:val="24"/>
          <w:lang w:val="ro-RO"/>
        </w:rPr>
        <w:t xml:space="preserve"> în evidența contabilă a obligațiunilor față de beneficiari în cazul neridicării consecuti</w:t>
      </w:r>
      <w:r>
        <w:rPr>
          <w:rFonts w:asciiTheme="majorHAnsi" w:hAnsiTheme="majorHAnsi" w:cstheme="majorHAnsi"/>
          <w:b/>
          <w:sz w:val="24"/>
          <w:szCs w:val="24"/>
          <w:lang w:val="ro-RO"/>
        </w:rPr>
        <w:t>ve de 3 sau 6 luni a prestației. Aceasta</w:t>
      </w:r>
      <w:r w:rsidRPr="00C7193D">
        <w:rPr>
          <w:rFonts w:asciiTheme="majorHAnsi" w:hAnsiTheme="majorHAnsi" w:cstheme="majorHAnsi"/>
          <w:b/>
          <w:sz w:val="24"/>
          <w:szCs w:val="24"/>
          <w:lang w:val="ro-RO"/>
        </w:rPr>
        <w:t xml:space="preserve"> nu a permis confirmarea și obținerea probelor de audit suficiente și adecvate cu privire la valoarea </w:t>
      </w:r>
      <w:r w:rsidR="008C4805" w:rsidRPr="00A420EF">
        <w:rPr>
          <w:rFonts w:asciiTheme="majorHAnsi" w:hAnsiTheme="majorHAnsi" w:cstheme="majorHAnsi"/>
          <w:b/>
          <w:sz w:val="24"/>
          <w:szCs w:val="24"/>
          <w:lang w:val="ro-RO"/>
        </w:rPr>
        <w:t>reală</w:t>
      </w:r>
      <w:r w:rsidRPr="00C7193D">
        <w:rPr>
          <w:rFonts w:asciiTheme="majorHAnsi" w:hAnsiTheme="majorHAnsi" w:cstheme="majorHAnsi"/>
          <w:b/>
          <w:sz w:val="24"/>
          <w:szCs w:val="24"/>
          <w:lang w:val="ro-RO"/>
        </w:rPr>
        <w:t xml:space="preserve"> a datoriilor de 111,8 mil. lei prezentată în Rapoartele privind executarea bugetul</w:t>
      </w:r>
      <w:r>
        <w:rPr>
          <w:rFonts w:asciiTheme="majorHAnsi" w:hAnsiTheme="majorHAnsi" w:cstheme="majorHAnsi"/>
          <w:b/>
          <w:sz w:val="24"/>
          <w:szCs w:val="24"/>
          <w:lang w:val="ro-RO"/>
        </w:rPr>
        <w:t xml:space="preserve">ui </w:t>
      </w:r>
      <w:r w:rsidRPr="00371868">
        <w:rPr>
          <w:rFonts w:asciiTheme="majorHAnsi" w:hAnsiTheme="majorHAnsi" w:cstheme="majorHAnsi"/>
          <w:b/>
          <w:sz w:val="24"/>
          <w:szCs w:val="24"/>
          <w:lang w:val="ro-RO"/>
        </w:rPr>
        <w:t>asigurărilor sociale de stat</w:t>
      </w:r>
      <w:r w:rsidR="00BB5F9B">
        <w:rPr>
          <w:rFonts w:asciiTheme="majorHAnsi" w:hAnsiTheme="majorHAnsi" w:cstheme="majorHAnsi"/>
          <w:b/>
          <w:sz w:val="24"/>
          <w:szCs w:val="24"/>
          <w:lang w:val="ro-RO"/>
        </w:rPr>
        <w:t>.</w:t>
      </w:r>
      <w:r w:rsidRPr="00371868">
        <w:rPr>
          <w:rFonts w:asciiTheme="majorHAnsi" w:hAnsiTheme="majorHAnsi" w:cstheme="majorHAnsi"/>
          <w:b/>
          <w:sz w:val="24"/>
          <w:szCs w:val="24"/>
          <w:lang w:val="ro-RO"/>
        </w:rPr>
        <w:t xml:space="preserve"> </w:t>
      </w:r>
    </w:p>
    <w:p w14:paraId="26B35A1F" w14:textId="4A93D838" w:rsidR="00671CA7" w:rsidRPr="00644A77" w:rsidRDefault="00671CA7" w:rsidP="00F33882">
      <w:pPr>
        <w:pStyle w:val="CommentText"/>
        <w:spacing w:line="276" w:lineRule="auto"/>
        <w:jc w:val="both"/>
        <w:rPr>
          <w:rFonts w:asciiTheme="majorHAnsi" w:hAnsiTheme="majorHAnsi" w:cstheme="majorHAnsi"/>
          <w:sz w:val="24"/>
          <w:szCs w:val="24"/>
          <w:lang w:val="ro-RO"/>
        </w:rPr>
      </w:pPr>
      <w:r w:rsidRPr="00371868">
        <w:rPr>
          <w:rFonts w:asciiTheme="majorHAnsi" w:hAnsiTheme="majorHAnsi" w:cstheme="majorHAnsi"/>
          <w:sz w:val="24"/>
          <w:szCs w:val="24"/>
          <w:lang w:val="ro-RO"/>
        </w:rPr>
        <w:t>În pofida dezvoltărilor</w:t>
      </w:r>
      <w:r w:rsidR="0025739C" w:rsidRPr="00371868">
        <w:rPr>
          <w:rFonts w:asciiTheme="majorHAnsi" w:hAnsiTheme="majorHAnsi" w:cstheme="majorHAnsi"/>
          <w:sz w:val="24"/>
          <w:szCs w:val="24"/>
          <w:lang w:val="ro-RO"/>
        </w:rPr>
        <w:t xml:space="preserve"> de către CNAS,</w:t>
      </w:r>
      <w:r w:rsidRPr="00371868">
        <w:rPr>
          <w:rFonts w:asciiTheme="majorHAnsi" w:hAnsiTheme="majorHAnsi" w:cstheme="majorHAnsi"/>
          <w:sz w:val="24"/>
          <w:szCs w:val="24"/>
          <w:lang w:val="ro-RO"/>
        </w:rPr>
        <w:t xml:space="preserve"> în curs de desfășurarea ale </w:t>
      </w:r>
      <w:r w:rsidR="0025739C" w:rsidRPr="00371868">
        <w:rPr>
          <w:rFonts w:asciiTheme="majorHAnsi" w:hAnsiTheme="majorHAnsi" w:cstheme="majorHAnsi"/>
          <w:sz w:val="24"/>
          <w:szCs w:val="24"/>
          <w:lang w:val="ro-RO"/>
        </w:rPr>
        <w:t>SI „Protecția Socială”,</w:t>
      </w:r>
      <w:r w:rsidR="00644A77" w:rsidRPr="00371868">
        <w:rPr>
          <w:rFonts w:asciiTheme="majorHAnsi" w:hAnsiTheme="majorHAnsi" w:cstheme="majorHAnsi"/>
          <w:sz w:val="24"/>
          <w:szCs w:val="24"/>
          <w:lang w:val="ro-RO"/>
        </w:rPr>
        <w:t xml:space="preserve"> informația consolidată aferentă datoriilor față de beneficiari și obligațiunile acestora nu poate fi generată</w:t>
      </w:r>
      <w:r w:rsidR="0025739C" w:rsidRPr="00371868">
        <w:rPr>
          <w:rFonts w:asciiTheme="majorHAnsi" w:hAnsiTheme="majorHAnsi" w:cstheme="majorHAnsi"/>
          <w:sz w:val="24"/>
          <w:szCs w:val="24"/>
          <w:lang w:val="ro-RO"/>
        </w:rPr>
        <w:t xml:space="preserve"> pentru anul 2020</w:t>
      </w:r>
      <w:r w:rsidR="00644A77" w:rsidRPr="00371868">
        <w:rPr>
          <w:rFonts w:asciiTheme="majorHAnsi" w:hAnsiTheme="majorHAnsi" w:cstheme="majorHAnsi"/>
          <w:sz w:val="24"/>
          <w:szCs w:val="24"/>
          <w:lang w:val="ro-RO"/>
        </w:rPr>
        <w:t>. În plus, valoarea datoriilor de 111,8 mil. lei</w:t>
      </w:r>
      <w:r w:rsidR="008C4805">
        <w:rPr>
          <w:rFonts w:asciiTheme="majorHAnsi" w:hAnsiTheme="majorHAnsi" w:cstheme="majorHAnsi"/>
          <w:sz w:val="24"/>
          <w:szCs w:val="24"/>
          <w:lang w:val="ro-RO"/>
        </w:rPr>
        <w:t>,</w:t>
      </w:r>
      <w:r w:rsidR="00644A77" w:rsidRPr="00371868">
        <w:rPr>
          <w:rFonts w:asciiTheme="majorHAnsi" w:hAnsiTheme="majorHAnsi" w:cstheme="majorHAnsi"/>
          <w:sz w:val="24"/>
          <w:szCs w:val="24"/>
          <w:lang w:val="ro-RO"/>
        </w:rPr>
        <w:t xml:space="preserve"> prezentată de CNAS în Rapoartele privind executarea bugetului asigurărilor sociale de stat</w:t>
      </w:r>
      <w:r w:rsidR="008C4805">
        <w:rPr>
          <w:rFonts w:asciiTheme="majorHAnsi" w:hAnsiTheme="majorHAnsi" w:cstheme="majorHAnsi"/>
          <w:sz w:val="24"/>
          <w:szCs w:val="24"/>
          <w:lang w:val="ro-RO"/>
        </w:rPr>
        <w:t>,</w:t>
      </w:r>
      <w:r w:rsidR="00644A77" w:rsidRPr="00371868">
        <w:rPr>
          <w:rFonts w:asciiTheme="majorHAnsi" w:hAnsiTheme="majorHAnsi" w:cstheme="majorHAnsi"/>
          <w:sz w:val="24"/>
          <w:szCs w:val="24"/>
          <w:lang w:val="ro-RO"/>
        </w:rPr>
        <w:t xml:space="preserve"> </w:t>
      </w:r>
      <w:r w:rsidR="00B03D91" w:rsidRPr="00371868">
        <w:rPr>
          <w:rFonts w:asciiTheme="majorHAnsi" w:hAnsiTheme="majorHAnsi" w:cstheme="majorHAnsi"/>
          <w:sz w:val="24"/>
          <w:szCs w:val="24"/>
          <w:lang w:val="ro-RO"/>
        </w:rPr>
        <w:t xml:space="preserve">este </w:t>
      </w:r>
      <w:r w:rsidR="00644A77" w:rsidRPr="00371868">
        <w:rPr>
          <w:rFonts w:asciiTheme="majorHAnsi" w:hAnsiTheme="majorHAnsi" w:cstheme="majorHAnsi"/>
          <w:sz w:val="24"/>
          <w:szCs w:val="24"/>
          <w:lang w:val="ro-RO"/>
        </w:rPr>
        <w:t>subevaluat</w:t>
      </w:r>
      <w:r w:rsidR="00B03D91" w:rsidRPr="00371868">
        <w:rPr>
          <w:rFonts w:asciiTheme="majorHAnsi" w:hAnsiTheme="majorHAnsi" w:cstheme="majorHAnsi"/>
          <w:sz w:val="24"/>
          <w:szCs w:val="24"/>
          <w:lang w:val="ro-RO"/>
        </w:rPr>
        <w:t>ă</w:t>
      </w:r>
      <w:r w:rsidR="008C4805">
        <w:rPr>
          <w:rFonts w:asciiTheme="majorHAnsi" w:hAnsiTheme="majorHAnsi" w:cstheme="majorHAnsi"/>
          <w:sz w:val="24"/>
          <w:szCs w:val="24"/>
          <w:lang w:val="ro-RO"/>
        </w:rPr>
        <w:t>, fiind</w:t>
      </w:r>
      <w:r w:rsidR="00644A77" w:rsidRPr="00371868">
        <w:rPr>
          <w:rFonts w:asciiTheme="majorHAnsi" w:hAnsiTheme="majorHAnsi" w:cstheme="majorHAnsi"/>
          <w:sz w:val="24"/>
          <w:szCs w:val="24"/>
          <w:lang w:val="ro-RO"/>
        </w:rPr>
        <w:t xml:space="preserve"> d</w:t>
      </w:r>
      <w:r w:rsidR="004A63F2" w:rsidRPr="00371868">
        <w:rPr>
          <w:rFonts w:asciiTheme="majorHAnsi" w:hAnsiTheme="majorHAnsi" w:cstheme="majorHAnsi"/>
          <w:sz w:val="24"/>
          <w:szCs w:val="24"/>
          <w:lang w:val="ro-RO"/>
        </w:rPr>
        <w:t>eterminat</w:t>
      </w:r>
      <w:r w:rsidR="00B03D91" w:rsidRPr="00371868">
        <w:rPr>
          <w:rFonts w:asciiTheme="majorHAnsi" w:hAnsiTheme="majorHAnsi" w:cstheme="majorHAnsi"/>
          <w:sz w:val="24"/>
          <w:szCs w:val="24"/>
          <w:lang w:val="ro-RO"/>
        </w:rPr>
        <w:t>ă</w:t>
      </w:r>
      <w:r w:rsidR="004A63F2" w:rsidRPr="00371868">
        <w:rPr>
          <w:rFonts w:asciiTheme="majorHAnsi" w:hAnsiTheme="majorHAnsi" w:cstheme="majorHAnsi"/>
          <w:sz w:val="24"/>
          <w:szCs w:val="24"/>
          <w:lang w:val="ro-RO"/>
        </w:rPr>
        <w:t xml:space="preserve"> de: </w:t>
      </w:r>
      <w:r w:rsidR="00B03D91" w:rsidRPr="00371868">
        <w:rPr>
          <w:rFonts w:asciiTheme="majorHAnsi" w:hAnsiTheme="majorHAnsi" w:cstheme="majorHAnsi"/>
          <w:sz w:val="24"/>
          <w:szCs w:val="24"/>
          <w:lang w:val="ro-RO"/>
        </w:rPr>
        <w:t>imposibilitatea confirmării datoriilor anului precedent</w:t>
      </w:r>
      <w:r w:rsidR="008C4805">
        <w:rPr>
          <w:rFonts w:asciiTheme="majorHAnsi" w:hAnsiTheme="majorHAnsi" w:cstheme="majorHAnsi"/>
          <w:sz w:val="24"/>
          <w:szCs w:val="24"/>
          <w:lang w:val="ro-RO"/>
        </w:rPr>
        <w:t>,</w:t>
      </w:r>
      <w:r w:rsidR="00B03D91" w:rsidRPr="00371868">
        <w:rPr>
          <w:rFonts w:asciiTheme="majorHAnsi" w:hAnsiTheme="majorHAnsi" w:cstheme="majorHAnsi"/>
          <w:sz w:val="24"/>
          <w:szCs w:val="24"/>
          <w:lang w:val="ro-RO"/>
        </w:rPr>
        <w:t xml:space="preserve"> care nu au fost ajustate și au servit drept bază ale </w:t>
      </w:r>
      <w:r w:rsidR="008C4805">
        <w:rPr>
          <w:rFonts w:asciiTheme="majorHAnsi" w:hAnsiTheme="majorHAnsi" w:cstheme="majorHAnsi"/>
          <w:sz w:val="24"/>
          <w:szCs w:val="24"/>
          <w:lang w:val="ro-RO"/>
        </w:rPr>
        <w:t xml:space="preserve">formării </w:t>
      </w:r>
      <w:r w:rsidR="00644A77" w:rsidRPr="00371868">
        <w:rPr>
          <w:rFonts w:asciiTheme="majorHAnsi" w:hAnsiTheme="majorHAnsi" w:cstheme="majorHAnsi"/>
          <w:sz w:val="24"/>
          <w:szCs w:val="24"/>
          <w:lang w:val="ro-RO"/>
        </w:rPr>
        <w:t>solduril</w:t>
      </w:r>
      <w:r w:rsidR="00B03D91" w:rsidRPr="00371868">
        <w:rPr>
          <w:rFonts w:asciiTheme="majorHAnsi" w:hAnsiTheme="majorHAnsi" w:cstheme="majorHAnsi"/>
          <w:sz w:val="24"/>
          <w:szCs w:val="24"/>
          <w:lang w:val="ro-RO"/>
        </w:rPr>
        <w:t>or</w:t>
      </w:r>
      <w:r w:rsidR="00644A77" w:rsidRPr="00371868">
        <w:rPr>
          <w:rFonts w:asciiTheme="majorHAnsi" w:hAnsiTheme="majorHAnsi" w:cstheme="majorHAnsi"/>
          <w:sz w:val="24"/>
          <w:szCs w:val="24"/>
          <w:lang w:val="ro-RO"/>
        </w:rPr>
        <w:t xml:space="preserve"> </w:t>
      </w:r>
      <w:r w:rsidR="004A63F2" w:rsidRPr="00371868">
        <w:rPr>
          <w:rFonts w:asciiTheme="majorHAnsi" w:hAnsiTheme="majorHAnsi" w:cstheme="majorHAnsi"/>
          <w:sz w:val="24"/>
          <w:szCs w:val="24"/>
          <w:lang w:val="ro-RO"/>
        </w:rPr>
        <w:t>inițiale ale anului 2020</w:t>
      </w:r>
      <w:r w:rsidR="00371868">
        <w:rPr>
          <w:rStyle w:val="FootnoteReference"/>
          <w:rFonts w:asciiTheme="majorHAnsi" w:hAnsiTheme="majorHAnsi" w:cstheme="majorHAnsi"/>
          <w:sz w:val="24"/>
          <w:szCs w:val="24"/>
          <w:lang w:val="ro-RO"/>
        </w:rPr>
        <w:footnoteReference w:id="3"/>
      </w:r>
      <w:r w:rsidR="004A63F2" w:rsidRPr="00371868">
        <w:rPr>
          <w:rFonts w:asciiTheme="majorHAnsi" w:hAnsiTheme="majorHAnsi" w:cstheme="majorHAnsi"/>
          <w:sz w:val="24"/>
          <w:szCs w:val="24"/>
          <w:lang w:val="ro-RO"/>
        </w:rPr>
        <w:t xml:space="preserve"> </w:t>
      </w:r>
      <w:r w:rsidR="00644A77" w:rsidRPr="00371868">
        <w:rPr>
          <w:rFonts w:asciiTheme="majorHAnsi" w:hAnsiTheme="majorHAnsi" w:cstheme="majorHAnsi"/>
          <w:sz w:val="24"/>
          <w:szCs w:val="24"/>
          <w:lang w:val="ro-RO"/>
        </w:rPr>
        <w:t xml:space="preserve">și faptul că datoria asociată cu plățile suspendate </w:t>
      </w:r>
      <w:r w:rsidR="00B03D91" w:rsidRPr="00371868">
        <w:rPr>
          <w:rFonts w:asciiTheme="majorHAnsi" w:hAnsiTheme="majorHAnsi" w:cstheme="majorHAnsi"/>
          <w:sz w:val="24"/>
          <w:szCs w:val="24"/>
          <w:lang w:val="ro-RO"/>
        </w:rPr>
        <w:t xml:space="preserve">(în cazul neridicării consecutive timp de 3 sau 6 luni a prestației) </w:t>
      </w:r>
      <w:r w:rsidR="00644A77" w:rsidRPr="00371868">
        <w:rPr>
          <w:rFonts w:asciiTheme="majorHAnsi" w:hAnsiTheme="majorHAnsi" w:cstheme="majorHAnsi"/>
          <w:sz w:val="24"/>
          <w:szCs w:val="24"/>
          <w:lang w:val="ro-RO"/>
        </w:rPr>
        <w:t xml:space="preserve">ale beneficiilor nu </w:t>
      </w:r>
      <w:r w:rsidR="00B03D91" w:rsidRPr="00371868">
        <w:rPr>
          <w:rFonts w:asciiTheme="majorHAnsi" w:hAnsiTheme="majorHAnsi" w:cstheme="majorHAnsi"/>
          <w:sz w:val="24"/>
          <w:szCs w:val="24"/>
          <w:lang w:val="ro-RO"/>
        </w:rPr>
        <w:t>sunt</w:t>
      </w:r>
      <w:r w:rsidR="00644A77" w:rsidRPr="00371868">
        <w:rPr>
          <w:rFonts w:asciiTheme="majorHAnsi" w:hAnsiTheme="majorHAnsi" w:cstheme="majorHAnsi"/>
          <w:sz w:val="24"/>
          <w:szCs w:val="24"/>
          <w:lang w:val="ro-RO"/>
        </w:rPr>
        <w:t xml:space="preserve"> inclus</w:t>
      </w:r>
      <w:r w:rsidR="00B03D91" w:rsidRPr="00371868">
        <w:rPr>
          <w:rFonts w:asciiTheme="majorHAnsi" w:hAnsiTheme="majorHAnsi" w:cstheme="majorHAnsi"/>
          <w:sz w:val="24"/>
          <w:szCs w:val="24"/>
          <w:lang w:val="ro-RO"/>
        </w:rPr>
        <w:t>e</w:t>
      </w:r>
      <w:r w:rsidR="00644A77" w:rsidRPr="00371868">
        <w:rPr>
          <w:rFonts w:asciiTheme="majorHAnsi" w:hAnsiTheme="majorHAnsi" w:cstheme="majorHAnsi"/>
          <w:sz w:val="24"/>
          <w:szCs w:val="24"/>
          <w:lang w:val="ro-RO"/>
        </w:rPr>
        <w:t xml:space="preserve"> </w:t>
      </w:r>
      <w:r w:rsidR="00B03D91" w:rsidRPr="00371868">
        <w:rPr>
          <w:rFonts w:asciiTheme="majorHAnsi" w:hAnsiTheme="majorHAnsi" w:cstheme="majorHAnsi"/>
          <w:sz w:val="24"/>
          <w:szCs w:val="24"/>
          <w:lang w:val="ro-RO"/>
        </w:rPr>
        <w:t xml:space="preserve">în evidența contabilă.  </w:t>
      </w:r>
      <w:r w:rsidR="001C018D" w:rsidRPr="00371868">
        <w:rPr>
          <w:rFonts w:asciiTheme="majorHAnsi" w:hAnsiTheme="majorHAnsi" w:cstheme="majorHAnsi"/>
          <w:sz w:val="24"/>
          <w:szCs w:val="24"/>
          <w:lang w:val="ro-RO"/>
        </w:rPr>
        <w:t>Se estimează că datoriile suspendate</w:t>
      </w:r>
      <w:r w:rsidR="00B03D91" w:rsidRPr="00371868">
        <w:rPr>
          <w:rFonts w:asciiTheme="majorHAnsi" w:eastAsia="Times New Roman" w:hAnsiTheme="majorHAnsi" w:cstheme="majorHAnsi"/>
          <w:color w:val="000000"/>
          <w:sz w:val="24"/>
          <w:szCs w:val="24"/>
          <w:lang w:val="ro-RO"/>
        </w:rPr>
        <w:t xml:space="preserve"> față de beneficiar</w:t>
      </w:r>
      <w:r w:rsidR="001C018D" w:rsidRPr="00371868">
        <w:rPr>
          <w:rFonts w:asciiTheme="majorHAnsi" w:eastAsia="Times New Roman" w:hAnsiTheme="majorHAnsi" w:cstheme="majorHAnsi"/>
          <w:color w:val="000000"/>
          <w:sz w:val="24"/>
          <w:szCs w:val="24"/>
          <w:lang w:val="ro-RO"/>
        </w:rPr>
        <w:t>i</w:t>
      </w:r>
      <w:r w:rsidR="008C4805">
        <w:rPr>
          <w:rFonts w:asciiTheme="majorHAnsi" w:eastAsia="Times New Roman" w:hAnsiTheme="majorHAnsi" w:cstheme="majorHAnsi"/>
          <w:color w:val="000000"/>
          <w:sz w:val="24"/>
          <w:szCs w:val="24"/>
          <w:lang w:val="ro-RO"/>
        </w:rPr>
        <w:t>,</w:t>
      </w:r>
      <w:r w:rsidR="001C018D" w:rsidRPr="00371868">
        <w:rPr>
          <w:rFonts w:asciiTheme="majorHAnsi" w:eastAsia="Times New Roman" w:hAnsiTheme="majorHAnsi" w:cstheme="majorHAnsi"/>
          <w:color w:val="000000"/>
          <w:sz w:val="24"/>
          <w:szCs w:val="24"/>
          <w:lang w:val="ro-RO"/>
        </w:rPr>
        <w:t xml:space="preserve"> pentru pensii și indemnizații</w:t>
      </w:r>
      <w:r w:rsidR="008C4805">
        <w:rPr>
          <w:rFonts w:asciiTheme="majorHAnsi" w:eastAsia="Times New Roman" w:hAnsiTheme="majorHAnsi" w:cstheme="majorHAnsi"/>
          <w:color w:val="000000"/>
          <w:sz w:val="24"/>
          <w:szCs w:val="24"/>
          <w:lang w:val="ro-RO"/>
        </w:rPr>
        <w:t>,</w:t>
      </w:r>
      <w:r w:rsidR="001C018D" w:rsidRPr="00371868">
        <w:rPr>
          <w:rFonts w:asciiTheme="majorHAnsi" w:eastAsia="Times New Roman" w:hAnsiTheme="majorHAnsi" w:cstheme="majorHAnsi"/>
          <w:color w:val="000000"/>
          <w:sz w:val="24"/>
          <w:szCs w:val="24"/>
          <w:lang w:val="ro-RO"/>
        </w:rPr>
        <w:t xml:space="preserve"> reprezintă 84,6 mil</w:t>
      </w:r>
      <w:r w:rsidR="008C4805">
        <w:rPr>
          <w:rFonts w:asciiTheme="majorHAnsi" w:eastAsia="Times New Roman" w:hAnsiTheme="majorHAnsi" w:cstheme="majorHAnsi"/>
          <w:color w:val="000000"/>
          <w:sz w:val="24"/>
          <w:szCs w:val="24"/>
          <w:lang w:val="ro-RO"/>
        </w:rPr>
        <w:t>,</w:t>
      </w:r>
      <w:r w:rsidR="001C018D" w:rsidRPr="00371868">
        <w:rPr>
          <w:rFonts w:asciiTheme="majorHAnsi" w:eastAsia="Times New Roman" w:hAnsiTheme="majorHAnsi" w:cstheme="majorHAnsi"/>
          <w:color w:val="000000"/>
          <w:sz w:val="24"/>
          <w:szCs w:val="24"/>
          <w:lang w:val="ro-RO"/>
        </w:rPr>
        <w:t xml:space="preserve"> lei</w:t>
      </w:r>
      <w:r w:rsidR="00B03D91" w:rsidRPr="00371868">
        <w:rPr>
          <w:rFonts w:asciiTheme="majorHAnsi" w:eastAsia="Times New Roman" w:hAnsiTheme="majorHAnsi" w:cstheme="majorHAnsi"/>
          <w:color w:val="000000"/>
          <w:sz w:val="24"/>
          <w:szCs w:val="24"/>
          <w:lang w:val="ro-RO"/>
        </w:rPr>
        <w:t>,</w:t>
      </w:r>
      <w:r w:rsidR="001C018D" w:rsidRPr="00371868">
        <w:rPr>
          <w:rFonts w:asciiTheme="majorHAnsi" w:eastAsia="Times New Roman" w:hAnsiTheme="majorHAnsi" w:cstheme="majorHAnsi"/>
          <w:color w:val="000000"/>
          <w:sz w:val="24"/>
          <w:szCs w:val="24"/>
          <w:lang w:val="ro-RO"/>
        </w:rPr>
        <w:t xml:space="preserve"> </w:t>
      </w:r>
      <w:r w:rsidR="001C018D" w:rsidRPr="00371868">
        <w:rPr>
          <w:rFonts w:asciiTheme="majorHAnsi" w:hAnsiTheme="majorHAnsi" w:cstheme="majorHAnsi"/>
          <w:sz w:val="24"/>
          <w:szCs w:val="24"/>
          <w:lang w:val="ro-RO"/>
        </w:rPr>
        <w:t xml:space="preserve">care din nou nu pot fi verificate, deoarece </w:t>
      </w:r>
      <w:r w:rsidR="001C018D" w:rsidRPr="00371868">
        <w:rPr>
          <w:rFonts w:asciiTheme="majorHAnsi" w:eastAsia="Times New Roman" w:hAnsiTheme="majorHAnsi" w:cstheme="majorHAnsi"/>
          <w:color w:val="000000"/>
          <w:sz w:val="24"/>
          <w:szCs w:val="24"/>
          <w:lang w:val="ro-RO"/>
        </w:rPr>
        <w:t xml:space="preserve">la momentul actual </w:t>
      </w:r>
      <w:r w:rsidR="001C018D" w:rsidRPr="00371868">
        <w:rPr>
          <w:rFonts w:asciiTheme="majorHAnsi" w:hAnsiTheme="majorHAnsi" w:cstheme="majorHAnsi"/>
          <w:sz w:val="24"/>
          <w:szCs w:val="24"/>
          <w:lang w:val="ro-RO"/>
        </w:rPr>
        <w:t xml:space="preserve">SI „Protecția Socială” oferă posibilitatea accesării datoriei per beneficiar (prin </w:t>
      </w:r>
      <w:r w:rsidR="008C4805">
        <w:rPr>
          <w:rFonts w:asciiTheme="majorHAnsi" w:hAnsiTheme="majorHAnsi" w:cstheme="majorHAnsi"/>
          <w:sz w:val="24"/>
          <w:szCs w:val="24"/>
          <w:lang w:val="ro-RO"/>
        </w:rPr>
        <w:t>verificarea</w:t>
      </w:r>
      <w:r w:rsidR="008C4805" w:rsidRPr="00371868">
        <w:rPr>
          <w:rFonts w:asciiTheme="majorHAnsi" w:hAnsiTheme="majorHAnsi" w:cstheme="majorHAnsi"/>
          <w:sz w:val="24"/>
          <w:szCs w:val="24"/>
          <w:lang w:val="ro-RO"/>
        </w:rPr>
        <w:t xml:space="preserve"> </w:t>
      </w:r>
      <w:r w:rsidR="001C018D" w:rsidRPr="00371868">
        <w:rPr>
          <w:rFonts w:asciiTheme="majorHAnsi" w:hAnsiTheme="majorHAnsi" w:cstheme="majorHAnsi"/>
          <w:sz w:val="24"/>
          <w:szCs w:val="24"/>
          <w:lang w:val="ro-RO"/>
        </w:rPr>
        <w:t>contului individual, în contextul în care beneficiari ai acestui buget sunt peste trei milioane</w:t>
      </w:r>
      <w:r w:rsidR="007E3518">
        <w:rPr>
          <w:rFonts w:asciiTheme="majorHAnsi" w:hAnsiTheme="majorHAnsi" w:cstheme="majorHAnsi"/>
          <w:sz w:val="24"/>
          <w:szCs w:val="24"/>
          <w:lang w:val="ro-RO"/>
        </w:rPr>
        <w:t xml:space="preserve"> de cetățeni</w:t>
      </w:r>
      <w:r w:rsidR="001C018D" w:rsidRPr="00371868">
        <w:rPr>
          <w:rFonts w:asciiTheme="majorHAnsi" w:hAnsiTheme="majorHAnsi" w:cstheme="majorHAnsi"/>
          <w:sz w:val="24"/>
          <w:szCs w:val="24"/>
          <w:lang w:val="ro-RO"/>
        </w:rPr>
        <w:t>)</w:t>
      </w:r>
      <w:r w:rsidR="001C018D" w:rsidRPr="00371868">
        <w:rPr>
          <w:rStyle w:val="FootnoteReference"/>
          <w:rFonts w:asciiTheme="majorHAnsi" w:hAnsiTheme="majorHAnsi" w:cstheme="majorHAnsi"/>
          <w:sz w:val="24"/>
          <w:szCs w:val="24"/>
          <w:lang w:val="ro-RO"/>
        </w:rPr>
        <w:footnoteReference w:id="4"/>
      </w:r>
      <w:r w:rsidR="001C018D" w:rsidRPr="00371868">
        <w:rPr>
          <w:rFonts w:asciiTheme="majorHAnsi" w:hAnsiTheme="majorHAnsi" w:cstheme="majorHAnsi"/>
          <w:sz w:val="24"/>
          <w:szCs w:val="24"/>
          <w:lang w:val="ro-RO"/>
        </w:rPr>
        <w:t>. Prin urmare, am fost limitați în domeniul de aplicare la verificarea schemei de formare a datoriilor prezentate</w:t>
      </w:r>
      <w:r w:rsidR="00371868" w:rsidRPr="00371868">
        <w:rPr>
          <w:rFonts w:asciiTheme="majorHAnsi" w:hAnsiTheme="majorHAnsi" w:cstheme="majorHAnsi"/>
          <w:sz w:val="24"/>
          <w:szCs w:val="24"/>
          <w:lang w:val="ro-RO"/>
        </w:rPr>
        <w:t xml:space="preserve"> și </w:t>
      </w:r>
      <w:r w:rsidR="001C018D" w:rsidRPr="00371868">
        <w:rPr>
          <w:rFonts w:asciiTheme="majorHAnsi" w:hAnsiTheme="majorHAnsi" w:cstheme="majorHAnsi"/>
          <w:sz w:val="24"/>
          <w:szCs w:val="24"/>
          <w:lang w:val="ro-RO"/>
        </w:rPr>
        <w:t>nu am reușit să obținem suficiente probe de audit pentru a verifica o va</w:t>
      </w:r>
      <w:r w:rsidR="00371868" w:rsidRPr="00371868">
        <w:rPr>
          <w:rFonts w:asciiTheme="majorHAnsi" w:hAnsiTheme="majorHAnsi" w:cstheme="majorHAnsi"/>
          <w:sz w:val="24"/>
          <w:szCs w:val="24"/>
          <w:lang w:val="ro-RO"/>
        </w:rPr>
        <w:t>loare a datoriei mai mare de 196,4</w:t>
      </w:r>
      <w:r w:rsidR="001C018D" w:rsidRPr="00371868">
        <w:rPr>
          <w:rFonts w:asciiTheme="majorHAnsi" w:hAnsiTheme="majorHAnsi" w:cstheme="majorHAnsi"/>
          <w:sz w:val="24"/>
          <w:szCs w:val="24"/>
          <w:lang w:val="ro-RO"/>
        </w:rPr>
        <w:t xml:space="preserve"> </w:t>
      </w:r>
      <w:r w:rsidR="00371868" w:rsidRPr="00371868">
        <w:rPr>
          <w:rFonts w:asciiTheme="majorHAnsi" w:hAnsiTheme="majorHAnsi" w:cstheme="majorHAnsi"/>
          <w:sz w:val="24"/>
          <w:szCs w:val="24"/>
          <w:lang w:val="ro-RO"/>
        </w:rPr>
        <w:t>mil</w:t>
      </w:r>
      <w:r w:rsidR="008C4805">
        <w:rPr>
          <w:rFonts w:asciiTheme="majorHAnsi" w:hAnsiTheme="majorHAnsi" w:cstheme="majorHAnsi"/>
          <w:sz w:val="24"/>
          <w:szCs w:val="24"/>
          <w:lang w:val="ro-RO"/>
        </w:rPr>
        <w:t>.</w:t>
      </w:r>
      <w:r w:rsidR="00371868" w:rsidRPr="00371868">
        <w:rPr>
          <w:rFonts w:asciiTheme="majorHAnsi" w:hAnsiTheme="majorHAnsi" w:cstheme="majorHAnsi"/>
          <w:sz w:val="24"/>
          <w:szCs w:val="24"/>
          <w:lang w:val="ro-RO"/>
        </w:rPr>
        <w:t xml:space="preserve"> lei</w:t>
      </w:r>
      <w:r w:rsidR="00371868">
        <w:rPr>
          <w:rFonts w:asciiTheme="majorHAnsi" w:hAnsiTheme="majorHAnsi" w:cstheme="majorHAnsi"/>
          <w:sz w:val="24"/>
          <w:szCs w:val="24"/>
          <w:lang w:val="ro-RO"/>
        </w:rPr>
        <w:t>.</w:t>
      </w:r>
    </w:p>
    <w:p w14:paraId="60C423E9" w14:textId="5B3385B0" w:rsidR="00AC5D2E" w:rsidRPr="00355794" w:rsidRDefault="00432DC9" w:rsidP="00F33882">
      <w:pPr>
        <w:pStyle w:val="Heading2"/>
        <w:numPr>
          <w:ilvl w:val="1"/>
          <w:numId w:val="10"/>
        </w:numPr>
        <w:spacing w:before="0" w:after="240" w:line="276" w:lineRule="auto"/>
        <w:ind w:left="0" w:firstLine="0"/>
        <w:rPr>
          <w:rFonts w:asciiTheme="majorHAnsi" w:hAnsiTheme="majorHAnsi" w:cstheme="majorHAnsi"/>
          <w:b w:val="0"/>
          <w:sz w:val="24"/>
          <w:szCs w:val="24"/>
          <w:lang w:val="ro-RO"/>
        </w:rPr>
      </w:pPr>
      <w:r w:rsidRPr="006236E4">
        <w:rPr>
          <w:rFonts w:asciiTheme="majorHAnsi" w:hAnsiTheme="majorHAnsi" w:cstheme="majorHAnsi"/>
          <w:sz w:val="24"/>
          <w:szCs w:val="24"/>
          <w:lang w:val="ro-RO"/>
        </w:rPr>
        <w:lastRenderedPageBreak/>
        <w:t>C</w:t>
      </w:r>
      <w:r w:rsidR="003D1C8F" w:rsidRPr="006236E4">
        <w:rPr>
          <w:rFonts w:asciiTheme="majorHAnsi" w:hAnsiTheme="majorHAnsi" w:cstheme="majorHAnsi"/>
          <w:sz w:val="24"/>
          <w:szCs w:val="24"/>
          <w:lang w:val="ro-RO"/>
        </w:rPr>
        <w:t>heltuielil</w:t>
      </w:r>
      <w:r w:rsidRPr="006236E4">
        <w:rPr>
          <w:rFonts w:asciiTheme="majorHAnsi" w:hAnsiTheme="majorHAnsi" w:cstheme="majorHAnsi"/>
          <w:sz w:val="24"/>
          <w:szCs w:val="24"/>
          <w:lang w:val="ro-RO"/>
        </w:rPr>
        <w:t>e</w:t>
      </w:r>
      <w:r w:rsidR="003D1C8F" w:rsidRPr="006236E4">
        <w:rPr>
          <w:rFonts w:asciiTheme="majorHAnsi" w:hAnsiTheme="majorHAnsi" w:cstheme="majorHAnsi"/>
          <w:sz w:val="24"/>
          <w:szCs w:val="24"/>
          <w:lang w:val="ro-RO"/>
        </w:rPr>
        <w:t xml:space="preserve"> </w:t>
      </w:r>
      <w:r w:rsidR="003D1C8F" w:rsidRPr="006236E4">
        <w:rPr>
          <w:rFonts w:asciiTheme="majorHAnsi" w:hAnsiTheme="majorHAnsi" w:cstheme="majorHAnsi"/>
          <w:color w:val="000000"/>
          <w:sz w:val="24"/>
          <w:szCs w:val="24"/>
          <w:lang w:val="ro-RO"/>
        </w:rPr>
        <w:t>efective</w:t>
      </w:r>
      <w:r w:rsidR="003D1C8F" w:rsidRPr="006236E4">
        <w:rPr>
          <w:rFonts w:asciiTheme="majorHAnsi" w:hAnsiTheme="majorHAnsi" w:cstheme="majorHAnsi"/>
          <w:sz w:val="24"/>
          <w:szCs w:val="24"/>
          <w:lang w:val="ro-RO"/>
        </w:rPr>
        <w:t xml:space="preserve"> ale prestațiilor sociale de </w:t>
      </w:r>
      <w:r w:rsidRPr="006236E4">
        <w:rPr>
          <w:rFonts w:asciiTheme="majorHAnsi" w:hAnsiTheme="majorHAnsi" w:cstheme="majorHAnsi"/>
          <w:sz w:val="24"/>
          <w:szCs w:val="24"/>
          <w:lang w:val="ro-RO"/>
        </w:rPr>
        <w:t>23896,5 mil. le</w:t>
      </w:r>
      <w:r w:rsidR="003D1C8F" w:rsidRPr="006236E4">
        <w:rPr>
          <w:rFonts w:asciiTheme="majorHAnsi" w:hAnsiTheme="majorHAnsi" w:cstheme="majorHAnsi"/>
          <w:sz w:val="24"/>
          <w:szCs w:val="24"/>
          <w:lang w:val="ro-RO"/>
        </w:rPr>
        <w:t xml:space="preserve">i </w:t>
      </w:r>
      <w:r w:rsidRPr="006236E4">
        <w:rPr>
          <w:rFonts w:asciiTheme="majorHAnsi" w:hAnsiTheme="majorHAnsi" w:cstheme="majorHAnsi"/>
          <w:sz w:val="24"/>
          <w:szCs w:val="24"/>
          <w:lang w:val="ro-RO"/>
        </w:rPr>
        <w:t>sunt</w:t>
      </w:r>
      <w:r w:rsidR="003D1C8F" w:rsidRPr="006236E4">
        <w:rPr>
          <w:rFonts w:asciiTheme="majorHAnsi" w:hAnsiTheme="majorHAnsi" w:cstheme="majorHAnsi"/>
          <w:sz w:val="24"/>
          <w:szCs w:val="24"/>
          <w:lang w:val="ro-RO"/>
        </w:rPr>
        <w:t xml:space="preserve"> subevaluat</w:t>
      </w:r>
      <w:r w:rsidRPr="006236E4">
        <w:rPr>
          <w:rFonts w:asciiTheme="majorHAnsi" w:hAnsiTheme="majorHAnsi" w:cstheme="majorHAnsi"/>
          <w:sz w:val="24"/>
          <w:szCs w:val="24"/>
          <w:lang w:val="ro-RO"/>
        </w:rPr>
        <w:t>e</w:t>
      </w:r>
      <w:r w:rsidR="003D1C8F" w:rsidRPr="006236E4">
        <w:rPr>
          <w:rFonts w:asciiTheme="majorHAnsi" w:hAnsiTheme="majorHAnsi" w:cstheme="majorHAnsi"/>
          <w:sz w:val="24"/>
          <w:szCs w:val="24"/>
          <w:lang w:val="ro-RO"/>
        </w:rPr>
        <w:t xml:space="preserve"> </w:t>
      </w:r>
      <w:r w:rsidRPr="006236E4">
        <w:rPr>
          <w:rFonts w:asciiTheme="majorHAnsi" w:hAnsiTheme="majorHAnsi" w:cstheme="majorHAnsi"/>
          <w:sz w:val="24"/>
          <w:szCs w:val="24"/>
          <w:lang w:val="ro-RO"/>
        </w:rPr>
        <w:t xml:space="preserve">cu suma prestațiilor suspendate </w:t>
      </w:r>
      <w:r w:rsidR="003D1C8F" w:rsidRPr="006236E4">
        <w:rPr>
          <w:rFonts w:asciiTheme="majorHAnsi" w:hAnsiTheme="majorHAnsi" w:cstheme="majorHAnsi"/>
          <w:sz w:val="24"/>
          <w:szCs w:val="24"/>
          <w:lang w:val="ro-RO"/>
        </w:rPr>
        <w:t xml:space="preserve">și nu reprezintă valoarea </w:t>
      </w:r>
      <w:r w:rsidR="006236E4" w:rsidRPr="006236E4">
        <w:rPr>
          <w:rFonts w:asciiTheme="majorHAnsi" w:hAnsiTheme="majorHAnsi" w:cstheme="majorHAnsi"/>
          <w:sz w:val="24"/>
          <w:szCs w:val="24"/>
          <w:lang w:val="ro-RO"/>
        </w:rPr>
        <w:t xml:space="preserve">lor </w:t>
      </w:r>
      <w:r w:rsidR="003D1C8F" w:rsidRPr="006236E4">
        <w:rPr>
          <w:rFonts w:asciiTheme="majorHAnsi" w:hAnsiTheme="majorHAnsi" w:cstheme="majorHAnsi"/>
          <w:sz w:val="24"/>
          <w:szCs w:val="24"/>
          <w:lang w:val="ro-RO"/>
        </w:rPr>
        <w:t xml:space="preserve">deplină </w:t>
      </w:r>
      <w:r w:rsidRPr="006236E4">
        <w:rPr>
          <w:rFonts w:asciiTheme="majorHAnsi" w:hAnsiTheme="majorHAnsi" w:cstheme="majorHAnsi"/>
          <w:sz w:val="24"/>
          <w:szCs w:val="24"/>
          <w:lang w:val="ro-RO"/>
        </w:rPr>
        <w:t>prezentată în</w:t>
      </w:r>
      <w:r w:rsidR="003C28E4" w:rsidRPr="006236E4">
        <w:rPr>
          <w:rFonts w:asciiTheme="majorHAnsi" w:hAnsiTheme="majorHAnsi" w:cstheme="majorHAnsi"/>
          <w:sz w:val="24"/>
          <w:szCs w:val="24"/>
          <w:lang w:val="ro-RO"/>
        </w:rPr>
        <w:t xml:space="preserve"> Rapoartel</w:t>
      </w:r>
      <w:r w:rsidRPr="006236E4">
        <w:rPr>
          <w:rFonts w:asciiTheme="majorHAnsi" w:hAnsiTheme="majorHAnsi" w:cstheme="majorHAnsi"/>
          <w:sz w:val="24"/>
          <w:szCs w:val="24"/>
          <w:lang w:val="ro-RO"/>
        </w:rPr>
        <w:t>e</w:t>
      </w:r>
      <w:r w:rsidR="003C28E4" w:rsidRPr="006236E4">
        <w:rPr>
          <w:rFonts w:asciiTheme="majorHAnsi" w:hAnsiTheme="majorHAnsi" w:cstheme="majorHAnsi"/>
          <w:sz w:val="24"/>
          <w:szCs w:val="24"/>
          <w:lang w:val="ro-RO"/>
        </w:rPr>
        <w:t xml:space="preserve"> privind executarea bugetului asigurărilor sociale de stat</w:t>
      </w:r>
      <w:r w:rsidR="00D82B22">
        <w:rPr>
          <w:rFonts w:asciiTheme="majorHAnsi" w:hAnsiTheme="majorHAnsi" w:cstheme="majorHAnsi"/>
          <w:sz w:val="24"/>
          <w:szCs w:val="24"/>
          <w:lang w:val="ro-RO"/>
        </w:rPr>
        <w:t xml:space="preserve">. </w:t>
      </w:r>
      <w:r w:rsidR="008B7943" w:rsidRPr="00355794">
        <w:rPr>
          <w:rFonts w:asciiTheme="majorHAnsi" w:hAnsiTheme="majorHAnsi" w:cstheme="majorHAnsi"/>
          <w:b w:val="0"/>
          <w:sz w:val="24"/>
          <w:szCs w:val="24"/>
          <w:lang w:val="ro-RO"/>
        </w:rPr>
        <w:t>Potrivit normelor legale</w:t>
      </w:r>
      <w:r w:rsidR="008B7943" w:rsidRPr="00355794">
        <w:rPr>
          <w:rStyle w:val="FootnoteReference"/>
          <w:rFonts w:asciiTheme="majorHAnsi" w:hAnsiTheme="majorHAnsi" w:cstheme="majorHAnsi"/>
          <w:b w:val="0"/>
          <w:sz w:val="24"/>
          <w:szCs w:val="24"/>
          <w:lang w:val="ro-RO"/>
        </w:rPr>
        <w:footnoteReference w:id="5"/>
      </w:r>
      <w:r w:rsidR="008B7943" w:rsidRPr="00355794">
        <w:rPr>
          <w:rFonts w:asciiTheme="majorHAnsi" w:hAnsiTheme="majorHAnsi" w:cstheme="majorHAnsi"/>
          <w:b w:val="0"/>
          <w:sz w:val="24"/>
          <w:szCs w:val="24"/>
          <w:lang w:val="ro-RO"/>
        </w:rPr>
        <w:t>, înregistrar</w:t>
      </w:r>
      <w:r w:rsidR="0065634A" w:rsidRPr="00355794">
        <w:rPr>
          <w:rFonts w:asciiTheme="majorHAnsi" w:hAnsiTheme="majorHAnsi" w:cstheme="majorHAnsi"/>
          <w:b w:val="0"/>
          <w:sz w:val="24"/>
          <w:szCs w:val="24"/>
          <w:lang w:val="ro-RO"/>
        </w:rPr>
        <w:t xml:space="preserve">ea cheltuielilor prin metoda de </w:t>
      </w:r>
      <w:r w:rsidR="008B7943" w:rsidRPr="00355794">
        <w:rPr>
          <w:rFonts w:asciiTheme="majorHAnsi" w:hAnsiTheme="majorHAnsi" w:cstheme="majorHAnsi"/>
          <w:b w:val="0"/>
          <w:iCs/>
          <w:sz w:val="24"/>
          <w:szCs w:val="24"/>
          <w:lang w:val="ro-RO"/>
        </w:rPr>
        <w:t>angajamente</w:t>
      </w:r>
      <w:r w:rsidR="008B7943" w:rsidRPr="00355794">
        <w:rPr>
          <w:rFonts w:asciiTheme="majorHAnsi" w:hAnsiTheme="majorHAnsi" w:cstheme="majorHAnsi"/>
          <w:b w:val="0"/>
          <w:sz w:val="24"/>
          <w:szCs w:val="24"/>
          <w:lang w:val="ro-RO"/>
        </w:rPr>
        <w:t xml:space="preserve"> prevede recunoașterea lor pe măsura apariției acestora, adică la momentul apariției obligațiunilor față de beneficiar, indiferent de momentul plății. S-a constatat că</w:t>
      </w:r>
      <w:r w:rsidR="00E4309A">
        <w:rPr>
          <w:rFonts w:asciiTheme="majorHAnsi" w:hAnsiTheme="majorHAnsi" w:cstheme="majorHAnsi"/>
          <w:b w:val="0"/>
          <w:sz w:val="24"/>
          <w:szCs w:val="24"/>
          <w:lang w:val="ro-RO"/>
        </w:rPr>
        <w:t>,</w:t>
      </w:r>
      <w:r w:rsidR="008B7943" w:rsidRPr="00355794">
        <w:rPr>
          <w:rFonts w:asciiTheme="majorHAnsi" w:hAnsiTheme="majorHAnsi" w:cstheme="majorHAnsi"/>
          <w:b w:val="0"/>
          <w:sz w:val="24"/>
          <w:szCs w:val="24"/>
          <w:lang w:val="ro-RO"/>
        </w:rPr>
        <w:t xml:space="preserve"> </w:t>
      </w:r>
      <w:r w:rsidR="007F606F" w:rsidRPr="00355794">
        <w:rPr>
          <w:rFonts w:asciiTheme="majorHAnsi" w:hAnsiTheme="majorHAnsi" w:cstheme="majorHAnsi"/>
          <w:b w:val="0"/>
          <w:sz w:val="24"/>
          <w:szCs w:val="24"/>
          <w:lang w:val="ro-RO"/>
        </w:rPr>
        <w:t>Casa Națională de Asigurări Sociale</w:t>
      </w:r>
      <w:r w:rsidR="00AC5D2E" w:rsidRPr="00355794">
        <w:rPr>
          <w:rFonts w:asciiTheme="majorHAnsi" w:hAnsiTheme="majorHAnsi" w:cstheme="majorHAnsi"/>
          <w:b w:val="0"/>
          <w:sz w:val="24"/>
          <w:szCs w:val="24"/>
          <w:lang w:val="ro-RO"/>
        </w:rPr>
        <w:t xml:space="preserve"> nu recunoaște cheltuielile efective pentru prestații</w:t>
      </w:r>
      <w:r w:rsidR="00E4309A">
        <w:rPr>
          <w:rFonts w:asciiTheme="majorHAnsi" w:hAnsiTheme="majorHAnsi" w:cstheme="majorHAnsi"/>
          <w:b w:val="0"/>
          <w:sz w:val="24"/>
          <w:szCs w:val="24"/>
          <w:lang w:val="ro-RO"/>
        </w:rPr>
        <w:t>le</w:t>
      </w:r>
      <w:r w:rsidR="00AC5D2E" w:rsidRPr="00355794">
        <w:rPr>
          <w:rFonts w:asciiTheme="majorHAnsi" w:hAnsiTheme="majorHAnsi" w:cstheme="majorHAnsi"/>
          <w:b w:val="0"/>
          <w:sz w:val="24"/>
          <w:szCs w:val="24"/>
          <w:lang w:val="ro-RO"/>
        </w:rPr>
        <w:t xml:space="preserve"> sociale pe măsura apariției, dar în valoarea prestațiilor sociale îndreptate spre plată, cu diminuarea sumelor </w:t>
      </w:r>
      <w:r w:rsidR="007717AC" w:rsidRPr="00355794">
        <w:rPr>
          <w:rFonts w:asciiTheme="majorHAnsi" w:hAnsiTheme="majorHAnsi" w:cstheme="majorHAnsi"/>
          <w:b w:val="0"/>
          <w:sz w:val="24"/>
          <w:szCs w:val="24"/>
          <w:lang w:val="ro-RO"/>
        </w:rPr>
        <w:t>suspendate</w:t>
      </w:r>
      <w:r w:rsidR="00215798" w:rsidRPr="00355794">
        <w:rPr>
          <w:rFonts w:asciiTheme="majorHAnsi" w:hAnsiTheme="majorHAnsi" w:cstheme="majorHAnsi"/>
          <w:b w:val="0"/>
          <w:sz w:val="24"/>
          <w:szCs w:val="24"/>
          <w:lang w:val="ro-RO"/>
        </w:rPr>
        <w:t>, ceea ce nu asigură plenitudinea raportării indicatorilor de cheltuieli ale prestațiilor sociale</w:t>
      </w:r>
      <w:r w:rsidR="00AC5D2E" w:rsidRPr="00355794">
        <w:rPr>
          <w:rFonts w:asciiTheme="majorHAnsi" w:hAnsiTheme="majorHAnsi" w:cstheme="majorHAnsi"/>
          <w:b w:val="0"/>
          <w:sz w:val="24"/>
          <w:szCs w:val="24"/>
          <w:lang w:val="ro-RO"/>
        </w:rPr>
        <w:t xml:space="preserve">. Reducerea cheltuielilor datorită plăților </w:t>
      </w:r>
      <w:r w:rsidR="007717AC" w:rsidRPr="00355794">
        <w:rPr>
          <w:rFonts w:asciiTheme="majorHAnsi" w:hAnsiTheme="majorHAnsi" w:cstheme="majorHAnsi"/>
          <w:b w:val="0"/>
          <w:sz w:val="24"/>
          <w:szCs w:val="24"/>
          <w:lang w:val="ro-RO"/>
        </w:rPr>
        <w:t xml:space="preserve">suspendate </w:t>
      </w:r>
      <w:r w:rsidR="00B1341C" w:rsidRPr="00355794">
        <w:rPr>
          <w:rFonts w:asciiTheme="majorHAnsi" w:hAnsiTheme="majorHAnsi" w:cstheme="majorHAnsi"/>
          <w:b w:val="0"/>
          <w:sz w:val="24"/>
          <w:szCs w:val="24"/>
          <w:lang w:val="ro-RO"/>
        </w:rPr>
        <w:t xml:space="preserve">doar </w:t>
      </w:r>
      <w:r w:rsidR="007717AC" w:rsidRPr="00355794">
        <w:rPr>
          <w:rFonts w:asciiTheme="majorHAnsi" w:hAnsiTheme="majorHAnsi" w:cstheme="majorHAnsi"/>
          <w:b w:val="0"/>
          <w:sz w:val="24"/>
          <w:szCs w:val="24"/>
          <w:lang w:val="ro-RO"/>
        </w:rPr>
        <w:t xml:space="preserve">pentru </w:t>
      </w:r>
      <w:r w:rsidR="00B1341C" w:rsidRPr="00355794">
        <w:rPr>
          <w:rFonts w:asciiTheme="majorHAnsi" w:hAnsiTheme="majorHAnsi" w:cstheme="majorHAnsi"/>
          <w:b w:val="0"/>
          <w:sz w:val="24"/>
          <w:szCs w:val="24"/>
          <w:lang w:val="ro-RO"/>
        </w:rPr>
        <w:t>pensii</w:t>
      </w:r>
      <w:r w:rsidR="007E2372">
        <w:rPr>
          <w:rFonts w:asciiTheme="majorHAnsi" w:hAnsiTheme="majorHAnsi" w:cstheme="majorHAnsi"/>
          <w:b w:val="0"/>
          <w:sz w:val="24"/>
          <w:szCs w:val="24"/>
          <w:lang w:val="ro-RO"/>
        </w:rPr>
        <w:t xml:space="preserve"> și indemnizații</w:t>
      </w:r>
      <w:r w:rsidR="00437E42">
        <w:rPr>
          <w:rFonts w:asciiTheme="majorHAnsi" w:hAnsiTheme="majorHAnsi" w:cstheme="majorHAnsi"/>
          <w:b w:val="0"/>
          <w:sz w:val="24"/>
          <w:szCs w:val="24"/>
          <w:lang w:val="ro-RO"/>
        </w:rPr>
        <w:t xml:space="preserve"> </w:t>
      </w:r>
      <w:r w:rsidR="00AC5D2E" w:rsidRPr="00355794">
        <w:rPr>
          <w:rFonts w:asciiTheme="majorHAnsi" w:hAnsiTheme="majorHAnsi" w:cstheme="majorHAnsi"/>
          <w:b w:val="0"/>
          <w:sz w:val="24"/>
          <w:szCs w:val="24"/>
          <w:lang w:val="ro-RO"/>
        </w:rPr>
        <w:t>sunt estimate la</w:t>
      </w:r>
      <w:r w:rsidR="00C7193D" w:rsidRPr="00355794">
        <w:rPr>
          <w:rFonts w:asciiTheme="majorHAnsi" w:hAnsiTheme="majorHAnsi" w:cstheme="majorHAnsi"/>
          <w:b w:val="0"/>
          <w:sz w:val="24"/>
          <w:szCs w:val="24"/>
          <w:lang w:val="ro-RO"/>
        </w:rPr>
        <w:t xml:space="preserve"> cel puțin</w:t>
      </w:r>
      <w:r w:rsidR="00AC5D2E" w:rsidRPr="00355794">
        <w:rPr>
          <w:rFonts w:asciiTheme="majorHAnsi" w:hAnsiTheme="majorHAnsi" w:cstheme="majorHAnsi"/>
          <w:b w:val="0"/>
          <w:sz w:val="24"/>
          <w:szCs w:val="24"/>
          <w:lang w:val="ro-RO"/>
        </w:rPr>
        <w:t xml:space="preserve"> cca </w:t>
      </w:r>
      <w:r w:rsidR="007E2372">
        <w:rPr>
          <w:rFonts w:asciiTheme="majorHAnsi" w:hAnsiTheme="majorHAnsi" w:cstheme="majorHAnsi"/>
          <w:b w:val="0"/>
          <w:sz w:val="24"/>
          <w:szCs w:val="24"/>
          <w:lang w:val="ro-RO"/>
        </w:rPr>
        <w:t>84,6</w:t>
      </w:r>
      <w:r w:rsidR="00AC5D2E" w:rsidRPr="00355794">
        <w:rPr>
          <w:rFonts w:asciiTheme="majorHAnsi" w:hAnsiTheme="majorHAnsi" w:cstheme="majorHAnsi"/>
          <w:b w:val="0"/>
          <w:sz w:val="24"/>
          <w:szCs w:val="24"/>
          <w:lang w:val="ro-RO"/>
        </w:rPr>
        <w:t xml:space="preserve"> mil. lei. </w:t>
      </w:r>
      <w:r w:rsidR="00A0568C" w:rsidRPr="00355794">
        <w:rPr>
          <w:rFonts w:asciiTheme="majorHAnsi" w:hAnsiTheme="majorHAnsi" w:cstheme="majorHAnsi"/>
          <w:b w:val="0"/>
          <w:sz w:val="24"/>
          <w:szCs w:val="24"/>
          <w:lang w:val="ro-RO"/>
        </w:rPr>
        <w:t xml:space="preserve">Chiar dacă </w:t>
      </w:r>
      <w:r w:rsidR="008A6871" w:rsidRPr="00355794">
        <w:rPr>
          <w:rFonts w:asciiTheme="majorHAnsi" w:hAnsiTheme="majorHAnsi" w:cstheme="majorHAnsi"/>
          <w:b w:val="0"/>
          <w:sz w:val="24"/>
          <w:szCs w:val="24"/>
          <w:lang w:val="ro-RO"/>
        </w:rPr>
        <w:t>o parte din prestațiile suspendate sunt incluse ca cheltuieli în una din lunile următoare</w:t>
      </w:r>
      <w:r w:rsidR="00AC5D2E" w:rsidRPr="00355794">
        <w:rPr>
          <w:rFonts w:asciiTheme="majorHAnsi" w:hAnsiTheme="majorHAnsi" w:cstheme="majorHAnsi"/>
          <w:b w:val="0"/>
          <w:sz w:val="24"/>
          <w:szCs w:val="24"/>
          <w:lang w:val="ro-RO"/>
        </w:rPr>
        <w:t>, auditul este în imposibilitate de a le estima din SI „Protecția Socială” și nici CNAS nu deține o anal</w:t>
      </w:r>
      <w:r w:rsidR="00C23958" w:rsidRPr="00355794">
        <w:rPr>
          <w:rFonts w:asciiTheme="majorHAnsi" w:hAnsiTheme="majorHAnsi" w:cstheme="majorHAnsi"/>
          <w:b w:val="0"/>
          <w:sz w:val="24"/>
          <w:szCs w:val="24"/>
          <w:lang w:val="ro-RO"/>
        </w:rPr>
        <w:t xml:space="preserve">iză a valorii celor restabilite. </w:t>
      </w:r>
      <w:r w:rsidR="00AE6329" w:rsidRPr="00355794">
        <w:rPr>
          <w:rFonts w:asciiTheme="majorHAnsi" w:hAnsiTheme="majorHAnsi" w:cstheme="majorHAnsi"/>
          <w:b w:val="0"/>
          <w:sz w:val="24"/>
          <w:szCs w:val="24"/>
          <w:lang w:val="ro-RO"/>
        </w:rPr>
        <w:t xml:space="preserve"> </w:t>
      </w:r>
      <w:r w:rsidR="007F606F" w:rsidRPr="00355794">
        <w:rPr>
          <w:rFonts w:asciiTheme="majorHAnsi" w:hAnsiTheme="majorHAnsi" w:cstheme="majorHAnsi"/>
          <w:b w:val="0"/>
          <w:sz w:val="24"/>
          <w:szCs w:val="24"/>
          <w:lang w:val="ro-RO"/>
        </w:rPr>
        <w:t>Această situație este determinată de prezența a 2 sisteme inform</w:t>
      </w:r>
      <w:r w:rsidR="00AE6329" w:rsidRPr="00355794">
        <w:rPr>
          <w:rFonts w:asciiTheme="majorHAnsi" w:hAnsiTheme="majorHAnsi" w:cstheme="majorHAnsi"/>
          <w:b w:val="0"/>
          <w:sz w:val="24"/>
          <w:szCs w:val="24"/>
          <w:lang w:val="ro-RO"/>
        </w:rPr>
        <w:t>aționale:</w:t>
      </w:r>
      <w:r w:rsidR="00E93C71" w:rsidRPr="00355794">
        <w:rPr>
          <w:rFonts w:asciiTheme="majorHAnsi" w:hAnsiTheme="majorHAnsi" w:cstheme="majorHAnsi"/>
          <w:b w:val="0"/>
          <w:sz w:val="24"/>
          <w:szCs w:val="24"/>
          <w:lang w:val="ro-RO"/>
        </w:rPr>
        <w:t xml:space="preserve"> </w:t>
      </w:r>
      <w:r w:rsidR="007F606F" w:rsidRPr="00355794">
        <w:rPr>
          <w:rFonts w:asciiTheme="majorHAnsi" w:hAnsiTheme="majorHAnsi" w:cstheme="majorHAnsi"/>
          <w:b w:val="0"/>
          <w:sz w:val="24"/>
          <w:szCs w:val="24"/>
          <w:lang w:val="ro-RO"/>
        </w:rPr>
        <w:t xml:space="preserve">SI „Protecția Socială”, care este </w:t>
      </w:r>
      <w:r w:rsidR="00E93C71" w:rsidRPr="00355794">
        <w:rPr>
          <w:rFonts w:asciiTheme="majorHAnsi" w:hAnsiTheme="majorHAnsi" w:cstheme="majorHAnsi"/>
          <w:b w:val="0"/>
          <w:sz w:val="24"/>
          <w:szCs w:val="24"/>
          <w:lang w:val="ro-RO"/>
        </w:rPr>
        <w:t xml:space="preserve">conceput să asigure  stabilirea, calcularea, </w:t>
      </w:r>
      <w:r w:rsidR="007F606F" w:rsidRPr="00355794">
        <w:rPr>
          <w:rFonts w:asciiTheme="majorHAnsi" w:hAnsiTheme="majorHAnsi" w:cstheme="majorHAnsi"/>
          <w:b w:val="0"/>
          <w:sz w:val="24"/>
          <w:szCs w:val="24"/>
          <w:lang w:val="ro-RO"/>
        </w:rPr>
        <w:t>plata prestațiilor sociale</w:t>
      </w:r>
      <w:r w:rsidR="00E4309A">
        <w:rPr>
          <w:rFonts w:asciiTheme="majorHAnsi" w:hAnsiTheme="majorHAnsi" w:cstheme="majorHAnsi"/>
          <w:b w:val="0"/>
          <w:sz w:val="24"/>
          <w:szCs w:val="24"/>
          <w:lang w:val="ro-RO"/>
        </w:rPr>
        <w:t>,</w:t>
      </w:r>
      <w:r w:rsidR="007F606F" w:rsidRPr="00355794">
        <w:rPr>
          <w:rFonts w:asciiTheme="majorHAnsi" w:hAnsiTheme="majorHAnsi" w:cstheme="majorHAnsi"/>
          <w:b w:val="0"/>
          <w:sz w:val="24"/>
          <w:szCs w:val="24"/>
          <w:lang w:val="ro-RO"/>
        </w:rPr>
        <w:t xml:space="preserve"> </w:t>
      </w:r>
      <w:r w:rsidR="00E93C71" w:rsidRPr="00355794">
        <w:rPr>
          <w:rFonts w:asciiTheme="majorHAnsi" w:hAnsiTheme="majorHAnsi" w:cstheme="majorHAnsi"/>
          <w:b w:val="0"/>
          <w:sz w:val="24"/>
          <w:szCs w:val="24"/>
          <w:lang w:val="ro-RO"/>
        </w:rPr>
        <w:t xml:space="preserve">precum </w:t>
      </w:r>
      <w:r w:rsidR="007F606F" w:rsidRPr="00355794">
        <w:rPr>
          <w:rFonts w:asciiTheme="majorHAnsi" w:hAnsiTheme="majorHAnsi" w:cstheme="majorHAnsi"/>
          <w:b w:val="0"/>
          <w:sz w:val="24"/>
          <w:szCs w:val="24"/>
          <w:lang w:val="ro-RO"/>
        </w:rPr>
        <w:t>ș</w:t>
      </w:r>
      <w:r w:rsidR="00AE6329" w:rsidRPr="00355794">
        <w:rPr>
          <w:rFonts w:asciiTheme="majorHAnsi" w:hAnsiTheme="majorHAnsi" w:cstheme="majorHAnsi"/>
          <w:b w:val="0"/>
          <w:sz w:val="24"/>
          <w:szCs w:val="24"/>
          <w:lang w:val="ro-RO"/>
        </w:rPr>
        <w:t>i evidența beneficiarilor</w:t>
      </w:r>
      <w:r w:rsidR="007F606F" w:rsidRPr="00355794">
        <w:rPr>
          <w:rFonts w:asciiTheme="majorHAnsi" w:hAnsiTheme="majorHAnsi" w:cstheme="majorHAnsi"/>
          <w:b w:val="0"/>
          <w:sz w:val="24"/>
          <w:szCs w:val="24"/>
          <w:lang w:val="ro-RO"/>
        </w:rPr>
        <w:t xml:space="preserve"> și</w:t>
      </w:r>
      <w:r w:rsidR="00AE6329" w:rsidRPr="00355794">
        <w:rPr>
          <w:rFonts w:asciiTheme="majorHAnsi" w:hAnsiTheme="majorHAnsi" w:cstheme="majorHAnsi"/>
          <w:b w:val="0"/>
          <w:sz w:val="24"/>
          <w:szCs w:val="24"/>
          <w:lang w:val="ro-RO"/>
        </w:rPr>
        <w:t xml:space="preserve"> SI 1C</w:t>
      </w:r>
      <w:r w:rsidR="00E4309A">
        <w:rPr>
          <w:rFonts w:asciiTheme="majorHAnsi" w:hAnsiTheme="majorHAnsi" w:cstheme="majorHAnsi"/>
          <w:b w:val="0"/>
          <w:sz w:val="24"/>
          <w:szCs w:val="24"/>
          <w:lang w:val="ro-RO"/>
        </w:rPr>
        <w:t>,</w:t>
      </w:r>
      <w:r w:rsidR="00AE6329" w:rsidRPr="00355794">
        <w:rPr>
          <w:rFonts w:asciiTheme="majorHAnsi" w:hAnsiTheme="majorHAnsi" w:cstheme="majorHAnsi"/>
          <w:b w:val="0"/>
          <w:sz w:val="24"/>
          <w:szCs w:val="24"/>
          <w:lang w:val="ro-RO"/>
        </w:rPr>
        <w:t xml:space="preserve"> care este un sistem de contabilizare</w:t>
      </w:r>
      <w:r w:rsidR="007F606F" w:rsidRPr="00355794">
        <w:rPr>
          <w:rFonts w:asciiTheme="majorHAnsi" w:hAnsiTheme="majorHAnsi" w:cstheme="majorHAnsi"/>
          <w:b w:val="0"/>
          <w:sz w:val="24"/>
          <w:szCs w:val="24"/>
          <w:lang w:val="ro-RO"/>
        </w:rPr>
        <w:t xml:space="preserve"> și raportare financiară.</w:t>
      </w:r>
      <w:r w:rsidR="00812A4F" w:rsidRPr="00355794">
        <w:rPr>
          <w:b w:val="0"/>
          <w:i/>
          <w:lang w:val="ro-RO"/>
        </w:rPr>
        <w:t xml:space="preserve"> </w:t>
      </w:r>
      <w:r w:rsidR="004B66B4" w:rsidRPr="00355794">
        <w:rPr>
          <w:rFonts w:asciiTheme="majorHAnsi" w:hAnsiTheme="majorHAnsi" w:cstheme="majorHAnsi"/>
          <w:b w:val="0"/>
          <w:sz w:val="24"/>
          <w:szCs w:val="24"/>
          <w:lang w:val="ro-RO"/>
        </w:rPr>
        <w:t>Astfel</w:t>
      </w:r>
      <w:r w:rsidR="00812A4F" w:rsidRPr="00355794">
        <w:rPr>
          <w:rFonts w:asciiTheme="majorHAnsi" w:hAnsiTheme="majorHAnsi" w:cstheme="majorHAnsi"/>
          <w:b w:val="0"/>
          <w:sz w:val="24"/>
          <w:szCs w:val="24"/>
          <w:lang w:val="ro-RO"/>
        </w:rPr>
        <w:t>, interacțiun</w:t>
      </w:r>
      <w:r w:rsidR="001476D7" w:rsidRPr="00355794">
        <w:rPr>
          <w:rFonts w:asciiTheme="majorHAnsi" w:hAnsiTheme="majorHAnsi" w:cstheme="majorHAnsi"/>
          <w:b w:val="0"/>
          <w:sz w:val="24"/>
          <w:szCs w:val="24"/>
          <w:lang w:val="ro-RO"/>
        </w:rPr>
        <w:t>ea</w:t>
      </w:r>
      <w:r w:rsidR="00812A4F" w:rsidRPr="00355794">
        <w:rPr>
          <w:rFonts w:asciiTheme="majorHAnsi" w:hAnsiTheme="majorHAnsi" w:cstheme="majorHAnsi"/>
          <w:b w:val="0"/>
          <w:sz w:val="24"/>
          <w:szCs w:val="24"/>
          <w:lang w:val="ro-RO"/>
        </w:rPr>
        <w:t xml:space="preserve"> dintre SI </w:t>
      </w:r>
      <w:r w:rsidR="00C05CCC" w:rsidRPr="00355794">
        <w:rPr>
          <w:rFonts w:asciiTheme="majorHAnsi" w:hAnsiTheme="majorHAnsi" w:cstheme="majorHAnsi"/>
          <w:b w:val="0"/>
          <w:sz w:val="24"/>
          <w:szCs w:val="24"/>
          <w:lang w:val="ro-RO"/>
        </w:rPr>
        <w:t>„</w:t>
      </w:r>
      <w:r w:rsidR="00812A4F" w:rsidRPr="00355794">
        <w:rPr>
          <w:rFonts w:asciiTheme="majorHAnsi" w:hAnsiTheme="majorHAnsi" w:cstheme="majorHAnsi"/>
          <w:b w:val="0"/>
          <w:sz w:val="24"/>
          <w:szCs w:val="24"/>
          <w:lang w:val="ro-RO"/>
        </w:rPr>
        <w:t>Protecți</w:t>
      </w:r>
      <w:r w:rsidR="00E4309A">
        <w:rPr>
          <w:rFonts w:asciiTheme="majorHAnsi" w:hAnsiTheme="majorHAnsi" w:cstheme="majorHAnsi"/>
          <w:b w:val="0"/>
          <w:sz w:val="24"/>
          <w:szCs w:val="24"/>
          <w:lang w:val="ro-RO"/>
        </w:rPr>
        <w:t>a</w:t>
      </w:r>
      <w:r w:rsidR="00812A4F" w:rsidRPr="00355794">
        <w:rPr>
          <w:rFonts w:asciiTheme="majorHAnsi" w:hAnsiTheme="majorHAnsi" w:cstheme="majorHAnsi"/>
          <w:b w:val="0"/>
          <w:sz w:val="24"/>
          <w:szCs w:val="24"/>
          <w:lang w:val="ro-RO"/>
        </w:rPr>
        <w:t xml:space="preserve"> Socială</w:t>
      </w:r>
      <w:r w:rsidR="00C05CCC" w:rsidRPr="00355794">
        <w:rPr>
          <w:rFonts w:asciiTheme="majorHAnsi" w:hAnsiTheme="majorHAnsi" w:cstheme="majorHAnsi"/>
          <w:b w:val="0"/>
          <w:sz w:val="24"/>
          <w:szCs w:val="24"/>
          <w:lang w:val="ro-RO"/>
        </w:rPr>
        <w:t>”</w:t>
      </w:r>
      <w:r w:rsidR="00812A4F" w:rsidRPr="00355794">
        <w:rPr>
          <w:rFonts w:asciiTheme="majorHAnsi" w:hAnsiTheme="majorHAnsi" w:cstheme="majorHAnsi"/>
          <w:b w:val="0"/>
          <w:sz w:val="24"/>
          <w:szCs w:val="24"/>
          <w:lang w:val="ro-RO"/>
        </w:rPr>
        <w:t xml:space="preserve"> </w:t>
      </w:r>
      <w:r w:rsidR="00E4309A">
        <w:rPr>
          <w:rFonts w:asciiTheme="majorHAnsi" w:hAnsiTheme="majorHAnsi" w:cstheme="majorHAnsi"/>
          <w:b w:val="0"/>
          <w:sz w:val="24"/>
          <w:szCs w:val="24"/>
          <w:lang w:val="ro-RO"/>
        </w:rPr>
        <w:t>(</w:t>
      </w:r>
      <w:r w:rsidR="00812A4F" w:rsidRPr="00355794">
        <w:rPr>
          <w:rFonts w:asciiTheme="majorHAnsi" w:hAnsiTheme="majorHAnsi" w:cstheme="majorHAnsi"/>
          <w:b w:val="0"/>
          <w:sz w:val="24"/>
          <w:szCs w:val="24"/>
          <w:lang w:val="ro-RO"/>
        </w:rPr>
        <w:t>în care se ține evide</w:t>
      </w:r>
      <w:r w:rsidR="001476D7" w:rsidRPr="00355794">
        <w:rPr>
          <w:rFonts w:asciiTheme="majorHAnsi" w:hAnsiTheme="majorHAnsi" w:cstheme="majorHAnsi"/>
          <w:b w:val="0"/>
          <w:sz w:val="24"/>
          <w:szCs w:val="24"/>
          <w:lang w:val="ro-RO"/>
        </w:rPr>
        <w:t>nța analitică pe beneficiar</w:t>
      </w:r>
      <w:r w:rsidR="00E4309A">
        <w:rPr>
          <w:rFonts w:asciiTheme="majorHAnsi" w:hAnsiTheme="majorHAnsi" w:cstheme="majorHAnsi"/>
          <w:b w:val="0"/>
          <w:sz w:val="24"/>
          <w:szCs w:val="24"/>
          <w:lang w:val="ro-RO"/>
        </w:rPr>
        <w:t>)</w:t>
      </w:r>
      <w:r w:rsidR="001476D7" w:rsidRPr="00355794">
        <w:rPr>
          <w:rFonts w:asciiTheme="majorHAnsi" w:hAnsiTheme="majorHAnsi" w:cstheme="majorHAnsi"/>
          <w:b w:val="0"/>
          <w:sz w:val="24"/>
          <w:szCs w:val="24"/>
          <w:lang w:val="ro-RO"/>
        </w:rPr>
        <w:t xml:space="preserve"> și</w:t>
      </w:r>
      <w:r w:rsidR="00812A4F" w:rsidRPr="00355794">
        <w:rPr>
          <w:rFonts w:asciiTheme="majorHAnsi" w:hAnsiTheme="majorHAnsi" w:cstheme="majorHAnsi"/>
          <w:b w:val="0"/>
          <w:sz w:val="24"/>
          <w:szCs w:val="24"/>
          <w:lang w:val="ro-RO"/>
        </w:rPr>
        <w:t xml:space="preserve"> </w:t>
      </w:r>
      <w:r w:rsidR="00E4309A">
        <w:rPr>
          <w:rFonts w:asciiTheme="majorHAnsi" w:hAnsiTheme="majorHAnsi" w:cstheme="majorHAnsi"/>
          <w:b w:val="0"/>
          <w:sz w:val="24"/>
          <w:szCs w:val="24"/>
          <w:lang w:val="ro-RO"/>
        </w:rPr>
        <w:t xml:space="preserve">SI </w:t>
      </w:r>
      <w:r w:rsidR="00812A4F" w:rsidRPr="00355794">
        <w:rPr>
          <w:rFonts w:asciiTheme="majorHAnsi" w:hAnsiTheme="majorHAnsi" w:cstheme="majorHAnsi"/>
          <w:b w:val="0"/>
          <w:sz w:val="24"/>
          <w:szCs w:val="24"/>
          <w:lang w:val="ro-RO"/>
        </w:rPr>
        <w:t>1C (evidența sintetică) nu permite estimare</w:t>
      </w:r>
      <w:r w:rsidR="006236E4" w:rsidRPr="00355794">
        <w:rPr>
          <w:rFonts w:asciiTheme="majorHAnsi" w:hAnsiTheme="majorHAnsi" w:cstheme="majorHAnsi"/>
          <w:b w:val="0"/>
          <w:sz w:val="24"/>
          <w:szCs w:val="24"/>
          <w:lang w:val="ro-RO"/>
        </w:rPr>
        <w:t>a valorii reale a cheltuielilor</w:t>
      </w:r>
      <w:r w:rsidR="003D1C8F" w:rsidRPr="00355794">
        <w:rPr>
          <w:rFonts w:asciiTheme="majorHAnsi" w:hAnsiTheme="majorHAnsi" w:cstheme="majorHAnsi"/>
          <w:b w:val="0"/>
          <w:sz w:val="24"/>
          <w:szCs w:val="24"/>
          <w:lang w:val="ro-RO"/>
        </w:rPr>
        <w:t>.</w:t>
      </w:r>
    </w:p>
    <w:p w14:paraId="7DCFE0AB" w14:textId="14409830" w:rsidR="00145FD0" w:rsidRDefault="00145FD0" w:rsidP="00D147E7">
      <w:pPr>
        <w:pStyle w:val="CommentText"/>
        <w:spacing w:after="0" w:line="276" w:lineRule="auto"/>
        <w:jc w:val="both"/>
        <w:rPr>
          <w:rFonts w:asciiTheme="majorHAnsi" w:eastAsia="Times New Roman" w:hAnsiTheme="majorHAnsi" w:cstheme="majorHAnsi"/>
          <w:color w:val="000000" w:themeColor="text1"/>
          <w:sz w:val="24"/>
          <w:szCs w:val="24"/>
          <w:lang w:val="ro-RO"/>
        </w:rPr>
      </w:pPr>
      <w:r w:rsidRPr="00341E6C">
        <w:rPr>
          <w:rFonts w:asciiTheme="majorHAnsi" w:eastAsia="Times New Roman" w:hAnsiTheme="majorHAnsi" w:cstheme="majorHAnsi"/>
          <w:color w:val="000000" w:themeColor="text1"/>
          <w:sz w:val="24"/>
          <w:szCs w:val="24"/>
          <w:lang w:val="ro-RO"/>
        </w:rPr>
        <w:t>Am realizat misiunea de audit</w:t>
      </w:r>
      <w:r w:rsidR="00C25300">
        <w:rPr>
          <w:rFonts w:asciiTheme="majorHAnsi" w:eastAsia="Times New Roman" w:hAnsiTheme="majorHAnsi" w:cstheme="majorHAnsi"/>
          <w:color w:val="000000" w:themeColor="text1"/>
          <w:sz w:val="24"/>
          <w:szCs w:val="24"/>
          <w:lang w:val="ro-RO"/>
        </w:rPr>
        <w:t xml:space="preserve"> public extern</w:t>
      </w:r>
      <w:r w:rsidRPr="00341E6C">
        <w:rPr>
          <w:rFonts w:asciiTheme="majorHAnsi" w:eastAsia="Times New Roman" w:hAnsiTheme="majorHAnsi" w:cstheme="majorHAnsi"/>
          <w:color w:val="000000" w:themeColor="text1"/>
          <w:sz w:val="24"/>
          <w:szCs w:val="24"/>
          <w:lang w:val="ro-RO"/>
        </w:rPr>
        <w:t xml:space="preserve"> în conformitate cu Standardele Internaționale ale Instituțiilor Supreme de Audit aplicate de Curtea de Conturi</w:t>
      </w:r>
      <w:r w:rsidRPr="00341E6C">
        <w:rPr>
          <w:rStyle w:val="FootnoteReference"/>
          <w:rFonts w:asciiTheme="majorHAnsi" w:hAnsiTheme="majorHAnsi" w:cstheme="majorHAnsi"/>
          <w:sz w:val="24"/>
          <w:szCs w:val="24"/>
          <w:lang w:val="ro-RO"/>
        </w:rPr>
        <w:footnoteReference w:id="6"/>
      </w:r>
      <w:r w:rsidRPr="00341E6C">
        <w:rPr>
          <w:rFonts w:asciiTheme="majorHAnsi" w:eastAsia="Times New Roman" w:hAnsiTheme="majorHAnsi" w:cstheme="majorHAnsi"/>
          <w:color w:val="000000" w:themeColor="text1"/>
          <w:sz w:val="24"/>
          <w:szCs w:val="24"/>
          <w:lang w:val="ro-RO"/>
        </w:rPr>
        <w:t xml:space="preserve">. Responsabilitățile noastre, potrivit standardelor respective, sunt expuse în secțiunea </w:t>
      </w:r>
      <w:r w:rsidRPr="00341E6C">
        <w:rPr>
          <w:rFonts w:asciiTheme="majorHAnsi" w:eastAsia="Times New Roman" w:hAnsiTheme="majorHAnsi" w:cstheme="majorHAnsi"/>
          <w:i/>
          <w:sz w:val="24"/>
          <w:szCs w:val="24"/>
          <w:lang w:val="ro-RO"/>
        </w:rPr>
        <w:t>Responsabilitățile auditorului</w:t>
      </w:r>
      <w:r w:rsidRPr="00341E6C">
        <w:rPr>
          <w:rFonts w:asciiTheme="majorHAnsi" w:eastAsia="Times New Roman" w:hAnsiTheme="majorHAnsi" w:cstheme="majorHAnsi"/>
          <w:i/>
          <w:color w:val="000000" w:themeColor="text1"/>
          <w:sz w:val="24"/>
          <w:szCs w:val="24"/>
          <w:lang w:val="ro-RO"/>
        </w:rPr>
        <w:t xml:space="preserve"> într-un audit al rapoartelor financiare</w:t>
      </w:r>
      <w:r w:rsidRPr="00341E6C">
        <w:rPr>
          <w:rFonts w:asciiTheme="majorHAnsi" w:eastAsia="Times New Roman" w:hAnsiTheme="majorHAnsi" w:cstheme="majorHAnsi"/>
          <w:color w:val="000000" w:themeColor="text1"/>
          <w:sz w:val="24"/>
          <w:szCs w:val="24"/>
          <w:lang w:val="ro-RO"/>
        </w:rPr>
        <w:t xml:space="preserve"> din prezentul Raport. Suntem independenți față de instituția auditată și am îndeplinit responsabilitățile de etică conform cerințelor Codului etic al Curții de Conturi</w:t>
      </w:r>
      <w:r w:rsidRPr="00341E6C">
        <w:rPr>
          <w:rStyle w:val="FootnoteReference"/>
          <w:rFonts w:asciiTheme="majorHAnsi" w:hAnsiTheme="majorHAnsi" w:cstheme="majorHAnsi"/>
          <w:sz w:val="24"/>
          <w:szCs w:val="24"/>
          <w:lang w:val="ro-RO"/>
        </w:rPr>
        <w:footnoteReference w:id="7"/>
      </w:r>
      <w:r w:rsidRPr="00341E6C">
        <w:rPr>
          <w:rFonts w:asciiTheme="majorHAnsi" w:eastAsia="Times New Roman" w:hAnsiTheme="majorHAnsi" w:cstheme="majorHAnsi"/>
          <w:color w:val="000000" w:themeColor="text1"/>
          <w:sz w:val="24"/>
          <w:szCs w:val="24"/>
          <w:lang w:val="ro-RO"/>
        </w:rPr>
        <w:t xml:space="preserve">. Considerăm că probele de audit </w:t>
      </w:r>
      <w:r w:rsidR="00621CE3" w:rsidRPr="00341E6C">
        <w:rPr>
          <w:rFonts w:asciiTheme="majorHAnsi" w:eastAsia="Times New Roman" w:hAnsiTheme="majorHAnsi" w:cstheme="majorHAnsi"/>
          <w:color w:val="000000" w:themeColor="text1"/>
          <w:sz w:val="24"/>
          <w:szCs w:val="24"/>
          <w:lang w:val="ro-RO"/>
        </w:rPr>
        <w:t xml:space="preserve">pe care le-am obținut </w:t>
      </w:r>
      <w:r w:rsidRPr="00341E6C">
        <w:rPr>
          <w:rFonts w:asciiTheme="majorHAnsi" w:eastAsia="Times New Roman" w:hAnsiTheme="majorHAnsi" w:cstheme="majorHAnsi"/>
          <w:color w:val="000000" w:themeColor="text1"/>
          <w:sz w:val="24"/>
          <w:szCs w:val="24"/>
          <w:lang w:val="ro-RO"/>
        </w:rPr>
        <w:t>sunt suficiente și adecvate pentru a furniza o bază pentru opinia noastră.</w:t>
      </w:r>
    </w:p>
    <w:p w14:paraId="7A74073A" w14:textId="5C4860DC" w:rsidR="006C0F1C" w:rsidRPr="00B85263" w:rsidRDefault="007F422D" w:rsidP="00B85263">
      <w:pPr>
        <w:pStyle w:val="Heading1"/>
        <w:ind w:left="0" w:firstLine="0"/>
        <w:jc w:val="left"/>
        <w:rPr>
          <w:rFonts w:asciiTheme="majorHAnsi" w:hAnsiTheme="majorHAnsi" w:cstheme="majorHAnsi"/>
          <w:sz w:val="28"/>
          <w:szCs w:val="28"/>
        </w:rPr>
      </w:pPr>
      <w:r w:rsidRPr="007F422D">
        <w:rPr>
          <w:rFonts w:asciiTheme="majorHAnsi" w:hAnsiTheme="majorHAnsi" w:cstheme="majorHAnsi"/>
          <w:sz w:val="28"/>
          <w:szCs w:val="28"/>
        </w:rPr>
        <w:t>PARAGRAF DE EVIDENȚIEIRE</w:t>
      </w:r>
    </w:p>
    <w:p w14:paraId="227DA79A" w14:textId="033E8AE1" w:rsidR="00BF713D" w:rsidRPr="00341E6C" w:rsidRDefault="00E4309A" w:rsidP="009B59B6">
      <w:pPr>
        <w:pStyle w:val="ListParagraph"/>
        <w:numPr>
          <w:ilvl w:val="1"/>
          <w:numId w:val="14"/>
        </w:numPr>
        <w:spacing w:before="240" w:after="0"/>
        <w:ind w:left="0" w:firstLine="0"/>
        <w:jc w:val="both"/>
        <w:outlineLvl w:val="1"/>
        <w:rPr>
          <w:rFonts w:asciiTheme="majorHAnsi" w:hAnsiTheme="majorHAnsi" w:cstheme="majorHAnsi"/>
          <w:b/>
          <w:sz w:val="24"/>
          <w:szCs w:val="24"/>
          <w:lang w:val="ro-RO"/>
        </w:rPr>
      </w:pPr>
      <w:r>
        <w:rPr>
          <w:rFonts w:asciiTheme="majorHAnsi" w:hAnsiTheme="majorHAnsi" w:cstheme="majorHAnsi"/>
          <w:b/>
          <w:sz w:val="24"/>
          <w:szCs w:val="24"/>
          <w:lang w:val="ro-RO"/>
        </w:rPr>
        <w:t>Auditul semnalează</w:t>
      </w:r>
      <w:r w:rsidR="008A66AD">
        <w:rPr>
          <w:rFonts w:asciiTheme="majorHAnsi" w:hAnsiTheme="majorHAnsi" w:cstheme="majorHAnsi"/>
          <w:b/>
          <w:sz w:val="24"/>
          <w:szCs w:val="24"/>
          <w:lang w:val="ro-RO"/>
        </w:rPr>
        <w:t xml:space="preserve"> că v</w:t>
      </w:r>
      <w:r w:rsidR="005B4004" w:rsidRPr="00341E6C">
        <w:rPr>
          <w:rFonts w:asciiTheme="majorHAnsi" w:hAnsiTheme="majorHAnsi" w:cstheme="majorHAnsi"/>
          <w:b/>
          <w:sz w:val="24"/>
          <w:szCs w:val="24"/>
          <w:lang w:val="ro-RO"/>
        </w:rPr>
        <w:t xml:space="preserve">eniturile BASS provenite din contribuțiile de asigurări sociale, încasate în anul 2020, au fost </w:t>
      </w:r>
      <w:r w:rsidR="005B4004" w:rsidRPr="005B4004">
        <w:rPr>
          <w:rFonts w:asciiTheme="majorHAnsi" w:hAnsiTheme="majorHAnsi" w:cstheme="majorHAnsi"/>
          <w:b/>
          <w:sz w:val="24"/>
          <w:szCs w:val="24"/>
          <w:lang w:val="ro-RO"/>
        </w:rPr>
        <w:t>înregistrate şi</w:t>
      </w:r>
      <w:r w:rsidR="008A66AD">
        <w:rPr>
          <w:rFonts w:asciiTheme="majorHAnsi" w:hAnsiTheme="majorHAnsi" w:cstheme="majorHAnsi"/>
          <w:b/>
          <w:sz w:val="24"/>
          <w:szCs w:val="24"/>
          <w:lang w:val="ro-RO"/>
        </w:rPr>
        <w:t xml:space="preserve"> raportate regulamentar, în timp ce </w:t>
      </w:r>
      <w:r w:rsidR="005B4004" w:rsidRPr="005B4004">
        <w:rPr>
          <w:rFonts w:asciiTheme="majorHAnsi" w:hAnsiTheme="majorHAnsi" w:cstheme="majorHAnsi"/>
          <w:b/>
          <w:sz w:val="24"/>
          <w:szCs w:val="24"/>
          <w:lang w:val="ro-RO"/>
        </w:rPr>
        <w:t>n</w:t>
      </w:r>
      <w:r w:rsidR="00402EE0" w:rsidRPr="005B4004">
        <w:rPr>
          <w:rFonts w:asciiTheme="majorHAnsi" w:hAnsiTheme="majorHAnsi" w:cstheme="majorHAnsi"/>
          <w:b/>
          <w:sz w:val="24"/>
          <w:szCs w:val="24"/>
          <w:lang w:val="ro-RO"/>
        </w:rPr>
        <w:t>ormele de raportare a veniturilor nu oferă utilizatorilor o imagine de ansamblu asupra calculării, achitării, creanțelor și datoriilor pe indicatori se</w:t>
      </w:r>
      <w:r w:rsidR="00C933B3">
        <w:rPr>
          <w:rFonts w:asciiTheme="majorHAnsi" w:hAnsiTheme="majorHAnsi" w:cstheme="majorHAnsi"/>
          <w:b/>
          <w:sz w:val="24"/>
          <w:szCs w:val="24"/>
          <w:lang w:val="ro-RO"/>
        </w:rPr>
        <w:t>parați</w:t>
      </w:r>
      <w:r>
        <w:rPr>
          <w:rFonts w:asciiTheme="majorHAnsi" w:hAnsiTheme="majorHAnsi" w:cstheme="majorHAnsi"/>
          <w:b/>
          <w:sz w:val="24"/>
          <w:szCs w:val="24"/>
          <w:lang w:val="ro-RO"/>
        </w:rPr>
        <w:t>.</w:t>
      </w:r>
    </w:p>
    <w:p w14:paraId="4AB9A99F" w14:textId="5A42E026" w:rsidR="00500E43" w:rsidRDefault="00500E43" w:rsidP="00DE750B">
      <w:pPr>
        <w:spacing w:after="0" w:line="276" w:lineRule="auto"/>
        <w:jc w:val="both"/>
        <w:rPr>
          <w:rFonts w:asciiTheme="majorHAnsi" w:hAnsiTheme="majorHAnsi" w:cstheme="majorHAnsi"/>
          <w:sz w:val="24"/>
          <w:szCs w:val="24"/>
          <w:lang w:val="ro-RO"/>
        </w:rPr>
      </w:pPr>
      <w:r w:rsidRPr="00500E43">
        <w:rPr>
          <w:rFonts w:asciiTheme="majorHAnsi" w:hAnsiTheme="majorHAnsi" w:cstheme="majorHAnsi"/>
          <w:sz w:val="24"/>
          <w:szCs w:val="24"/>
          <w:lang w:val="ro-RO"/>
        </w:rPr>
        <w:t>Atragem atenția asupra normelor care prevăd modul de raportare a veniturilor BASS provenite din contribuțiile de asigurări sociale</w:t>
      </w:r>
      <w:r w:rsidRPr="00341E6C">
        <w:rPr>
          <w:rStyle w:val="FootnoteReference"/>
          <w:rFonts w:asciiTheme="majorHAnsi" w:hAnsiTheme="majorHAnsi" w:cstheme="majorHAnsi"/>
          <w:color w:val="000000" w:themeColor="text1"/>
          <w:sz w:val="24"/>
          <w:szCs w:val="24"/>
          <w:lang w:val="ro-RO"/>
        </w:rPr>
        <w:footnoteReference w:id="8"/>
      </w:r>
      <w:r w:rsidRPr="00500E43">
        <w:rPr>
          <w:rFonts w:asciiTheme="majorHAnsi" w:hAnsiTheme="majorHAnsi" w:cstheme="majorHAnsi"/>
          <w:sz w:val="24"/>
          <w:szCs w:val="24"/>
          <w:lang w:val="ro-RO"/>
        </w:rPr>
        <w:t>.</w:t>
      </w:r>
      <w:r>
        <w:rPr>
          <w:rFonts w:asciiTheme="majorHAnsi" w:hAnsiTheme="majorHAnsi" w:cstheme="majorHAnsi"/>
          <w:sz w:val="24"/>
          <w:szCs w:val="24"/>
          <w:lang w:val="ro-RO"/>
        </w:rPr>
        <w:t xml:space="preserve"> </w:t>
      </w:r>
      <w:r w:rsidRPr="00500E43">
        <w:rPr>
          <w:rFonts w:asciiTheme="majorHAnsi" w:hAnsiTheme="majorHAnsi" w:cstheme="majorHAnsi"/>
          <w:sz w:val="24"/>
          <w:szCs w:val="24"/>
          <w:lang w:val="ro-RO"/>
        </w:rPr>
        <w:t xml:space="preserve">Astfel, </w:t>
      </w:r>
      <w:r w:rsidRPr="00500E43">
        <w:rPr>
          <w:rFonts w:asciiTheme="majorHAnsi" w:hAnsiTheme="majorHAnsi" w:cstheme="majorHAnsi"/>
          <w:color w:val="000000" w:themeColor="text1"/>
          <w:sz w:val="24"/>
          <w:szCs w:val="24"/>
          <w:lang w:val="ro-RO"/>
        </w:rPr>
        <w:t>Rapoartele Guvernului privind executarea BASS (tabelare) prezintă valoric veniturile doar în suma executată, adică încasările (Formularul nr.1 CNAS și Formularul nr.4 CNAS)</w:t>
      </w:r>
      <w:r w:rsidR="00326190">
        <w:rPr>
          <w:rFonts w:asciiTheme="majorHAnsi" w:hAnsiTheme="majorHAnsi" w:cstheme="majorHAnsi"/>
          <w:color w:val="000000" w:themeColor="text1"/>
          <w:sz w:val="24"/>
          <w:szCs w:val="24"/>
          <w:lang w:val="ro-RO"/>
        </w:rPr>
        <w:t>,</w:t>
      </w:r>
      <w:r w:rsidRPr="00500E43">
        <w:rPr>
          <w:rFonts w:asciiTheme="majorHAnsi" w:hAnsiTheme="majorHAnsi" w:cstheme="majorHAnsi"/>
          <w:color w:val="000000" w:themeColor="text1"/>
          <w:sz w:val="24"/>
          <w:szCs w:val="24"/>
          <w:lang w:val="ro-RO"/>
        </w:rPr>
        <w:t xml:space="preserve"> însă aceste formulare nu prevăd </w:t>
      </w:r>
      <w:r w:rsidRPr="00500E43">
        <w:rPr>
          <w:rFonts w:asciiTheme="majorHAnsi" w:hAnsiTheme="majorHAnsi" w:cstheme="majorHAnsi"/>
          <w:sz w:val="24"/>
          <w:szCs w:val="24"/>
          <w:lang w:val="ro-RO"/>
        </w:rPr>
        <w:t>va</w:t>
      </w:r>
      <w:r w:rsidRPr="00500E43">
        <w:rPr>
          <w:rFonts w:asciiTheme="majorHAnsi" w:hAnsiTheme="majorHAnsi" w:cstheme="majorHAnsi"/>
          <w:color w:val="000000" w:themeColor="text1"/>
          <w:sz w:val="24"/>
          <w:szCs w:val="24"/>
          <w:lang w:val="ro-RO"/>
        </w:rPr>
        <w:t>loarea contribuțiilor calculate și suma datoriilor/restanțelor formate la finele perioadei de gestiune.</w:t>
      </w:r>
      <w:r w:rsidRPr="00500E43">
        <w:rPr>
          <w:rFonts w:asciiTheme="majorHAnsi" w:hAnsiTheme="majorHAnsi" w:cstheme="majorHAnsi"/>
          <w:sz w:val="24"/>
          <w:szCs w:val="24"/>
          <w:lang w:val="ro-RO"/>
        </w:rPr>
        <w:t xml:space="preserve"> CNAS  dispune de date care reflectă valoarea contribuțiilor de asigurări sociale de stat calculate și suma datoriilor/restanțelor formate pe perioade de gestiune</w:t>
      </w:r>
      <w:r>
        <w:rPr>
          <w:rFonts w:asciiTheme="majorHAnsi" w:hAnsiTheme="majorHAnsi" w:cstheme="majorHAnsi"/>
          <w:sz w:val="24"/>
          <w:szCs w:val="24"/>
          <w:lang w:val="ro-RO"/>
        </w:rPr>
        <w:t>,</w:t>
      </w:r>
      <w:r w:rsidRPr="00500E43">
        <w:rPr>
          <w:rFonts w:asciiTheme="majorHAnsi" w:hAnsiTheme="majorHAnsi" w:cstheme="majorHAnsi"/>
          <w:sz w:val="24"/>
          <w:szCs w:val="24"/>
          <w:lang w:val="ro-RO"/>
        </w:rPr>
        <w:t xml:space="preserve"> însă</w:t>
      </w:r>
      <w:r>
        <w:rPr>
          <w:rFonts w:asciiTheme="majorHAnsi" w:hAnsiTheme="majorHAnsi" w:cstheme="majorHAnsi"/>
          <w:sz w:val="24"/>
          <w:szCs w:val="24"/>
          <w:lang w:val="ro-RO"/>
        </w:rPr>
        <w:t>,</w:t>
      </w:r>
      <w:r w:rsidRPr="00500E43">
        <w:rPr>
          <w:rFonts w:asciiTheme="majorHAnsi" w:hAnsiTheme="majorHAnsi" w:cstheme="majorHAnsi"/>
          <w:sz w:val="24"/>
          <w:szCs w:val="24"/>
          <w:lang w:val="ro-RO"/>
        </w:rPr>
        <w:t xml:space="preserve"> în conformitate cu cadrul de raportare</w:t>
      </w:r>
      <w:r w:rsidR="00326190">
        <w:rPr>
          <w:rFonts w:asciiTheme="majorHAnsi" w:hAnsiTheme="majorHAnsi" w:cstheme="majorHAnsi"/>
          <w:sz w:val="24"/>
          <w:szCs w:val="24"/>
          <w:lang w:val="ro-RO"/>
        </w:rPr>
        <w:t>,</w:t>
      </w:r>
      <w:r w:rsidRPr="00500E43">
        <w:rPr>
          <w:rFonts w:asciiTheme="majorHAnsi" w:hAnsiTheme="majorHAnsi" w:cstheme="majorHAnsi"/>
          <w:sz w:val="24"/>
          <w:szCs w:val="24"/>
          <w:lang w:val="ro-RO"/>
        </w:rPr>
        <w:t xml:space="preserve"> dezvăluie această informație </w:t>
      </w:r>
      <w:r w:rsidRPr="00500E43">
        <w:rPr>
          <w:rFonts w:asciiTheme="majorHAnsi" w:hAnsiTheme="majorHAnsi" w:cstheme="majorHAnsi"/>
          <w:sz w:val="24"/>
          <w:szCs w:val="24"/>
          <w:lang w:val="ro-RO"/>
        </w:rPr>
        <w:lastRenderedPageBreak/>
        <w:t xml:space="preserve">în Raportul narativ privind executarea BASS. Aceste rapoarte nu oferă valorile planificate, executate de casă și efective separat, care ar asigura o imagine </w:t>
      </w:r>
      <w:r w:rsidRPr="00283DE9">
        <w:rPr>
          <w:rFonts w:asciiTheme="majorHAnsi" w:hAnsiTheme="majorHAnsi" w:cstheme="majorHAnsi"/>
          <w:sz w:val="24"/>
          <w:szCs w:val="24"/>
          <w:lang w:val="ro-RO"/>
        </w:rPr>
        <w:t>de ansamblu privind calcularea, achitarea, creanțele și datoriile pe indicatori separați de venituri</w:t>
      </w:r>
      <w:r>
        <w:rPr>
          <w:rFonts w:asciiTheme="majorHAnsi" w:hAnsiTheme="majorHAnsi" w:cstheme="majorHAnsi"/>
          <w:sz w:val="24"/>
          <w:szCs w:val="24"/>
          <w:lang w:val="ro-RO"/>
        </w:rPr>
        <w:t>.</w:t>
      </w:r>
    </w:p>
    <w:p w14:paraId="50C835CB" w14:textId="10F70CC0" w:rsidR="00BF713D" w:rsidRDefault="00A74781" w:rsidP="00A74781">
      <w:pPr>
        <w:spacing w:after="0" w:line="276" w:lineRule="auto"/>
        <w:jc w:val="both"/>
        <w:rPr>
          <w:rFonts w:asciiTheme="majorHAnsi" w:hAnsiTheme="majorHAnsi" w:cstheme="majorHAnsi"/>
          <w:sz w:val="24"/>
          <w:szCs w:val="24"/>
          <w:lang w:val="ro-RO"/>
        </w:rPr>
      </w:pPr>
      <w:r w:rsidRPr="00A74781">
        <w:rPr>
          <w:rFonts w:asciiTheme="majorHAnsi" w:hAnsiTheme="majorHAnsi" w:cstheme="majorHAnsi"/>
          <w:sz w:val="24"/>
          <w:szCs w:val="24"/>
          <w:lang w:val="ro-RO"/>
        </w:rPr>
        <w:t xml:space="preserve">Deși opinia de audit nu este modificată din cauza acestui aspect, </w:t>
      </w:r>
      <w:r>
        <w:rPr>
          <w:rFonts w:asciiTheme="majorHAnsi" w:hAnsiTheme="majorHAnsi" w:cstheme="majorHAnsi"/>
          <w:sz w:val="24"/>
          <w:szCs w:val="24"/>
          <w:lang w:val="ro-RO"/>
        </w:rPr>
        <w:t>r</w:t>
      </w:r>
      <w:r w:rsidR="00283DE9" w:rsidRPr="00283DE9">
        <w:rPr>
          <w:rFonts w:asciiTheme="majorHAnsi" w:hAnsiTheme="majorHAnsi" w:cstheme="majorHAnsi"/>
          <w:sz w:val="24"/>
          <w:szCs w:val="24"/>
          <w:lang w:val="ro-RO"/>
        </w:rPr>
        <w:t>aportarea veniturilor BASS, reieșind din importanța și specificul acestui buget</w:t>
      </w:r>
      <w:r w:rsidR="00326190">
        <w:rPr>
          <w:rFonts w:asciiTheme="majorHAnsi" w:hAnsiTheme="majorHAnsi" w:cstheme="majorHAnsi"/>
          <w:sz w:val="24"/>
          <w:szCs w:val="24"/>
          <w:lang w:val="ro-RO"/>
        </w:rPr>
        <w:t>,</w:t>
      </w:r>
      <w:r w:rsidR="00283DE9" w:rsidRPr="00283DE9">
        <w:rPr>
          <w:rFonts w:asciiTheme="majorHAnsi" w:hAnsiTheme="majorHAnsi" w:cstheme="majorHAnsi"/>
          <w:sz w:val="24"/>
          <w:szCs w:val="24"/>
          <w:lang w:val="ro-RO"/>
        </w:rPr>
        <w:t xml:space="preserve"> urmează să ofere </w:t>
      </w:r>
      <w:r w:rsidR="00283DE9">
        <w:rPr>
          <w:rFonts w:asciiTheme="majorHAnsi" w:hAnsiTheme="majorHAnsi" w:cstheme="majorHAnsi"/>
          <w:sz w:val="24"/>
          <w:szCs w:val="24"/>
          <w:lang w:val="ro-RO"/>
        </w:rPr>
        <w:t>date</w:t>
      </w:r>
      <w:r w:rsidR="00283DE9" w:rsidRPr="00283DE9">
        <w:rPr>
          <w:rFonts w:asciiTheme="majorHAnsi" w:hAnsiTheme="majorHAnsi" w:cstheme="majorHAnsi"/>
          <w:sz w:val="24"/>
          <w:szCs w:val="24"/>
          <w:lang w:val="ro-RO"/>
        </w:rPr>
        <w:t xml:space="preserve"> de</w:t>
      </w:r>
      <w:r w:rsidR="00326190">
        <w:rPr>
          <w:rFonts w:asciiTheme="majorHAnsi" w:hAnsiTheme="majorHAnsi" w:cstheme="majorHAnsi"/>
          <w:sz w:val="24"/>
          <w:szCs w:val="24"/>
          <w:lang w:val="ro-RO"/>
        </w:rPr>
        <w:t>spre</w:t>
      </w:r>
      <w:r w:rsidR="00283DE9" w:rsidRPr="00283DE9">
        <w:rPr>
          <w:rFonts w:asciiTheme="majorHAnsi" w:hAnsiTheme="majorHAnsi" w:cstheme="majorHAnsi"/>
          <w:sz w:val="24"/>
          <w:szCs w:val="24"/>
          <w:lang w:val="ro-RO"/>
        </w:rPr>
        <w:t xml:space="preserve"> planificare, executare</w:t>
      </w:r>
      <w:r w:rsidR="00326190">
        <w:rPr>
          <w:rFonts w:asciiTheme="majorHAnsi" w:hAnsiTheme="majorHAnsi" w:cstheme="majorHAnsi"/>
          <w:sz w:val="24"/>
          <w:szCs w:val="24"/>
          <w:lang w:val="ro-RO"/>
        </w:rPr>
        <w:t>a</w:t>
      </w:r>
      <w:r w:rsidR="00283DE9" w:rsidRPr="00283DE9">
        <w:rPr>
          <w:rFonts w:asciiTheme="majorHAnsi" w:hAnsiTheme="majorHAnsi" w:cstheme="majorHAnsi"/>
          <w:sz w:val="24"/>
          <w:szCs w:val="24"/>
          <w:lang w:val="ro-RO"/>
        </w:rPr>
        <w:t xml:space="preserve"> de casă și </w:t>
      </w:r>
      <w:r w:rsidR="00326190">
        <w:rPr>
          <w:rFonts w:asciiTheme="majorHAnsi" w:hAnsiTheme="majorHAnsi" w:cstheme="majorHAnsi"/>
          <w:sz w:val="24"/>
          <w:szCs w:val="24"/>
          <w:lang w:val="ro-RO"/>
        </w:rPr>
        <w:t xml:space="preserve">cea </w:t>
      </w:r>
      <w:r w:rsidR="00283DE9" w:rsidRPr="00283DE9">
        <w:rPr>
          <w:rFonts w:asciiTheme="majorHAnsi" w:hAnsiTheme="majorHAnsi" w:cstheme="majorHAnsi"/>
          <w:sz w:val="24"/>
          <w:szCs w:val="24"/>
          <w:lang w:val="ro-RO"/>
        </w:rPr>
        <w:t>reală separat, ceea ce va</w:t>
      </w:r>
      <w:r w:rsidR="00BF713D" w:rsidRPr="00283DE9">
        <w:rPr>
          <w:rFonts w:asciiTheme="majorHAnsi" w:hAnsiTheme="majorHAnsi" w:cstheme="majorHAnsi"/>
          <w:sz w:val="24"/>
          <w:szCs w:val="24"/>
          <w:lang w:val="ro-RO"/>
        </w:rPr>
        <w:t xml:space="preserve"> asigur</w:t>
      </w:r>
      <w:r w:rsidR="00283DE9" w:rsidRPr="00283DE9">
        <w:rPr>
          <w:rFonts w:asciiTheme="majorHAnsi" w:hAnsiTheme="majorHAnsi" w:cstheme="majorHAnsi"/>
          <w:sz w:val="24"/>
          <w:szCs w:val="24"/>
          <w:lang w:val="ro-RO"/>
        </w:rPr>
        <w:t>a</w:t>
      </w:r>
      <w:r w:rsidR="00BF713D" w:rsidRPr="00283DE9">
        <w:rPr>
          <w:rFonts w:asciiTheme="majorHAnsi" w:hAnsiTheme="majorHAnsi" w:cstheme="majorHAnsi"/>
          <w:sz w:val="24"/>
          <w:szCs w:val="24"/>
          <w:lang w:val="ro-RO"/>
        </w:rPr>
        <w:t xml:space="preserve"> o imagine de ansamblu privind calcularea, achitarea, creanțele și datoriile pe indicatori separați de venituri.</w:t>
      </w:r>
      <w:r w:rsidR="00BF713D" w:rsidRPr="00341E6C">
        <w:rPr>
          <w:rFonts w:asciiTheme="majorHAnsi" w:hAnsiTheme="majorHAnsi" w:cstheme="majorHAnsi"/>
          <w:sz w:val="24"/>
          <w:szCs w:val="24"/>
          <w:lang w:val="ro-RO"/>
        </w:rPr>
        <w:t xml:space="preserve"> </w:t>
      </w:r>
    </w:p>
    <w:p w14:paraId="2BC48816" w14:textId="43F09CED" w:rsidR="00BF713D" w:rsidRPr="00DE750B" w:rsidRDefault="00B85263" w:rsidP="00DE750B">
      <w:pPr>
        <w:spacing w:before="24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Analiza </w:t>
      </w:r>
      <w:r w:rsidRPr="005B4004">
        <w:rPr>
          <w:rFonts w:asciiTheme="majorHAnsi" w:hAnsiTheme="majorHAnsi" w:cstheme="majorHAnsi"/>
          <w:sz w:val="24"/>
          <w:szCs w:val="24"/>
          <w:lang w:val="ro-RO"/>
        </w:rPr>
        <w:t xml:space="preserve">înregistrării și raportării de către CNAS a indicatorilor de venituri, </w:t>
      </w:r>
      <w:r w:rsidR="00326190">
        <w:rPr>
          <w:rFonts w:asciiTheme="majorHAnsi" w:hAnsiTheme="majorHAnsi" w:cstheme="majorHAnsi"/>
          <w:sz w:val="24"/>
          <w:szCs w:val="24"/>
          <w:lang w:val="ro-RO"/>
        </w:rPr>
        <w:t xml:space="preserve">ca </w:t>
      </w:r>
      <w:r w:rsidRPr="005B4004">
        <w:rPr>
          <w:rFonts w:asciiTheme="majorHAnsi" w:hAnsiTheme="majorHAnsi" w:cstheme="majorHAnsi"/>
          <w:sz w:val="24"/>
          <w:szCs w:val="24"/>
          <w:lang w:val="ro-RO"/>
        </w:rPr>
        <w:t xml:space="preserve">urmare a primirii de la Serviciul Fiscal de Stat și </w:t>
      </w:r>
      <w:r w:rsidR="00326190">
        <w:rPr>
          <w:rFonts w:asciiTheme="majorHAnsi" w:hAnsiTheme="majorHAnsi" w:cstheme="majorHAnsi"/>
          <w:sz w:val="24"/>
          <w:szCs w:val="24"/>
          <w:lang w:val="ro-RO"/>
        </w:rPr>
        <w:t xml:space="preserve">de la </w:t>
      </w:r>
      <w:r w:rsidRPr="005B4004">
        <w:rPr>
          <w:rFonts w:asciiTheme="majorHAnsi" w:hAnsiTheme="majorHAnsi" w:cstheme="majorHAnsi"/>
          <w:sz w:val="24"/>
          <w:szCs w:val="24"/>
          <w:lang w:val="ro-RO"/>
        </w:rPr>
        <w:t xml:space="preserve">Ministerul Finanțelor </w:t>
      </w:r>
      <w:r w:rsidR="00326190">
        <w:rPr>
          <w:rFonts w:asciiTheme="majorHAnsi" w:hAnsiTheme="majorHAnsi" w:cstheme="majorHAnsi"/>
          <w:sz w:val="24"/>
          <w:szCs w:val="24"/>
          <w:lang w:val="ro-RO"/>
        </w:rPr>
        <w:t>(</w:t>
      </w:r>
      <w:r w:rsidRPr="005B4004">
        <w:rPr>
          <w:rFonts w:asciiTheme="majorHAnsi" w:hAnsiTheme="majorHAnsi" w:cstheme="majorHAnsi"/>
          <w:sz w:val="24"/>
          <w:szCs w:val="24"/>
          <w:lang w:val="ro-RO"/>
        </w:rPr>
        <w:t>Trezoreria de Stat</w:t>
      </w:r>
      <w:r w:rsidR="00DE750B" w:rsidRPr="005B4004">
        <w:rPr>
          <w:rStyle w:val="FootnoteReference"/>
          <w:rFonts w:asciiTheme="majorHAnsi" w:hAnsiTheme="majorHAnsi" w:cstheme="majorHAnsi"/>
          <w:sz w:val="24"/>
          <w:szCs w:val="24"/>
          <w:lang w:val="ro-RO"/>
        </w:rPr>
        <w:footnoteReference w:id="9"/>
      </w:r>
      <w:r w:rsidR="00326190">
        <w:rPr>
          <w:rFonts w:asciiTheme="majorHAnsi" w:hAnsiTheme="majorHAnsi" w:cstheme="majorHAnsi"/>
          <w:sz w:val="24"/>
          <w:szCs w:val="24"/>
          <w:lang w:val="ro-RO"/>
        </w:rPr>
        <w:t>)</w:t>
      </w:r>
      <w:r w:rsidRPr="005B4004">
        <w:rPr>
          <w:rFonts w:asciiTheme="majorHAnsi" w:hAnsiTheme="majorHAnsi" w:cstheme="majorHAnsi"/>
          <w:sz w:val="24"/>
          <w:szCs w:val="24"/>
          <w:lang w:val="ro-RO"/>
        </w:rPr>
        <w:t>, a datelor privind ve</w:t>
      </w:r>
      <w:r>
        <w:rPr>
          <w:rFonts w:asciiTheme="majorHAnsi" w:hAnsiTheme="majorHAnsi" w:cstheme="majorHAnsi"/>
          <w:sz w:val="24"/>
          <w:szCs w:val="24"/>
          <w:lang w:val="ro-RO"/>
        </w:rPr>
        <w:t xml:space="preserve">niturile calculate și încasate </w:t>
      </w:r>
      <w:r w:rsidRPr="005B4004">
        <w:rPr>
          <w:rFonts w:asciiTheme="majorHAnsi" w:eastAsia="Times New Roman" w:hAnsiTheme="majorHAnsi" w:cstheme="majorHAnsi"/>
          <w:sz w:val="24"/>
          <w:szCs w:val="24"/>
          <w:lang w:val="ro-RO"/>
        </w:rPr>
        <w:t>nu au stabilit devieri.</w:t>
      </w:r>
      <w:r w:rsidR="00DE750B">
        <w:rPr>
          <w:rFonts w:asciiTheme="majorHAnsi" w:hAnsiTheme="majorHAnsi" w:cstheme="majorHAnsi"/>
          <w:sz w:val="24"/>
          <w:szCs w:val="24"/>
          <w:lang w:val="ro-RO"/>
        </w:rPr>
        <w:t xml:space="preserve"> </w:t>
      </w:r>
      <w:r w:rsidR="00D105A2" w:rsidRPr="00E44817">
        <w:rPr>
          <w:rFonts w:asciiTheme="majorHAnsi" w:hAnsiTheme="majorHAnsi" w:cstheme="majorHAnsi"/>
          <w:sz w:val="24"/>
          <w:szCs w:val="24"/>
          <w:lang w:val="ro-RO"/>
        </w:rPr>
        <w:t xml:space="preserve">Astfel, </w:t>
      </w:r>
      <w:r w:rsidR="00E44817" w:rsidRPr="00E44817">
        <w:rPr>
          <w:rFonts w:asciiTheme="majorHAnsi" w:hAnsiTheme="majorHAnsi" w:cstheme="majorHAnsi"/>
          <w:sz w:val="24"/>
          <w:szCs w:val="24"/>
          <w:lang w:val="ro-RO"/>
        </w:rPr>
        <w:t xml:space="preserve">din suma totală a veniturilor, 1 716,8 mil. lei </w:t>
      </w:r>
      <w:r w:rsidR="00D105A2" w:rsidRPr="00E44817">
        <w:rPr>
          <w:rFonts w:asciiTheme="majorHAnsi" w:hAnsiTheme="majorHAnsi" w:cstheme="majorHAnsi"/>
          <w:sz w:val="24"/>
          <w:szCs w:val="24"/>
          <w:lang w:val="ro-RO"/>
        </w:rPr>
        <w:t>constituie contribuţiile de asigurări sociale de stat pentru luna decembrie 2020,</w:t>
      </w:r>
      <w:r w:rsidR="00D105A2" w:rsidRPr="002644FA">
        <w:rPr>
          <w:rFonts w:asciiTheme="majorHAnsi" w:hAnsiTheme="majorHAnsi" w:cstheme="majorHAnsi"/>
          <w:sz w:val="24"/>
          <w:szCs w:val="24"/>
          <w:lang w:val="ro-RO"/>
        </w:rPr>
        <w:t xml:space="preserve"> a</w:t>
      </w:r>
      <w:r w:rsidR="00326190">
        <w:rPr>
          <w:rFonts w:asciiTheme="majorHAnsi" w:hAnsiTheme="majorHAnsi" w:cstheme="majorHAnsi"/>
          <w:sz w:val="24"/>
          <w:szCs w:val="24"/>
          <w:lang w:val="ro-RO"/>
        </w:rPr>
        <w:t>l</w:t>
      </w:r>
      <w:r w:rsidR="00D105A2" w:rsidRPr="002644FA">
        <w:rPr>
          <w:rFonts w:asciiTheme="majorHAnsi" w:hAnsiTheme="majorHAnsi" w:cstheme="majorHAnsi"/>
          <w:sz w:val="24"/>
          <w:szCs w:val="24"/>
          <w:lang w:val="ro-RO"/>
        </w:rPr>
        <w:t xml:space="preserve"> căror termen de achitare este luna ianuarie 202</w:t>
      </w:r>
      <w:r w:rsidR="00D105A2">
        <w:rPr>
          <w:rFonts w:asciiTheme="majorHAnsi" w:hAnsiTheme="majorHAnsi" w:cstheme="majorHAnsi"/>
          <w:sz w:val="24"/>
          <w:szCs w:val="24"/>
          <w:lang w:val="ro-RO"/>
        </w:rPr>
        <w:t>1.</w:t>
      </w:r>
      <w:r w:rsidR="00D105A2">
        <w:rPr>
          <w:rFonts w:asciiTheme="majorHAnsi" w:eastAsia="Times New Roman" w:hAnsiTheme="majorHAnsi" w:cstheme="majorHAnsi"/>
          <w:b/>
          <w:bCs/>
          <w:sz w:val="16"/>
          <w:szCs w:val="16"/>
          <w:lang w:val="ro-RO"/>
        </w:rPr>
        <w:t xml:space="preserve"> </w:t>
      </w:r>
      <w:r w:rsidR="00BF713D" w:rsidRPr="00341E6C">
        <w:rPr>
          <w:rFonts w:asciiTheme="majorHAnsi" w:hAnsiTheme="majorHAnsi" w:cstheme="majorHAnsi"/>
          <w:sz w:val="24"/>
          <w:szCs w:val="24"/>
          <w:lang w:val="ro-RO"/>
        </w:rPr>
        <w:t xml:space="preserve">Cei mai importanți indicatori </w:t>
      </w:r>
      <w:r w:rsidR="00626D5E">
        <w:rPr>
          <w:rFonts w:asciiTheme="majorHAnsi" w:hAnsiTheme="majorHAnsi" w:cstheme="majorHAnsi"/>
          <w:sz w:val="24"/>
          <w:szCs w:val="24"/>
          <w:lang w:val="ro-RO"/>
        </w:rPr>
        <w:t>analizați și generalizați</w:t>
      </w:r>
      <w:r w:rsidR="00BF713D" w:rsidRPr="00341E6C">
        <w:rPr>
          <w:rFonts w:asciiTheme="majorHAnsi" w:hAnsiTheme="majorHAnsi" w:cstheme="majorHAnsi"/>
          <w:sz w:val="24"/>
          <w:szCs w:val="24"/>
          <w:lang w:val="ro-RO"/>
        </w:rPr>
        <w:t xml:space="preserve"> </w:t>
      </w:r>
      <w:r w:rsidR="00626D5E">
        <w:rPr>
          <w:rFonts w:asciiTheme="majorHAnsi" w:hAnsiTheme="majorHAnsi" w:cstheme="majorHAnsi"/>
          <w:sz w:val="24"/>
          <w:szCs w:val="24"/>
          <w:lang w:val="ro-RO"/>
        </w:rPr>
        <w:t xml:space="preserve">de audit </w:t>
      </w:r>
      <w:r w:rsidR="00326190" w:rsidRPr="00341E6C">
        <w:rPr>
          <w:rFonts w:asciiTheme="majorHAnsi" w:hAnsiTheme="majorHAnsi" w:cstheme="majorHAnsi"/>
          <w:sz w:val="24"/>
          <w:szCs w:val="24"/>
          <w:lang w:val="ro-RO"/>
        </w:rPr>
        <w:t>la partea de venituri</w:t>
      </w:r>
      <w:r w:rsidR="00326190">
        <w:rPr>
          <w:rFonts w:asciiTheme="majorHAnsi" w:hAnsiTheme="majorHAnsi" w:cstheme="majorHAnsi"/>
          <w:sz w:val="24"/>
          <w:szCs w:val="24"/>
          <w:lang w:val="ro-RO"/>
        </w:rPr>
        <w:t xml:space="preserve"> </w:t>
      </w:r>
      <w:r w:rsidR="00BF713D" w:rsidRPr="00341E6C">
        <w:rPr>
          <w:rFonts w:asciiTheme="majorHAnsi" w:hAnsiTheme="majorHAnsi" w:cstheme="majorHAnsi"/>
          <w:sz w:val="24"/>
          <w:szCs w:val="24"/>
          <w:lang w:val="ro-RO"/>
        </w:rPr>
        <w:t xml:space="preserve">se prezintă în </w:t>
      </w:r>
      <w:r w:rsidR="00A74781">
        <w:rPr>
          <w:rFonts w:asciiTheme="majorHAnsi" w:hAnsiTheme="majorHAnsi" w:cstheme="majorHAnsi"/>
          <w:sz w:val="24"/>
          <w:szCs w:val="24"/>
          <w:lang w:val="ro-RO"/>
        </w:rPr>
        <w:t>Anexa nr. 1</w:t>
      </w:r>
      <w:r w:rsidR="00326190">
        <w:rPr>
          <w:rFonts w:asciiTheme="majorHAnsi" w:hAnsiTheme="majorHAnsi" w:cstheme="majorHAnsi"/>
          <w:sz w:val="24"/>
          <w:szCs w:val="24"/>
          <w:lang w:val="ro-RO"/>
        </w:rPr>
        <w:t xml:space="preserve"> la prezentul Raport</w:t>
      </w:r>
      <w:r w:rsidR="00BF713D" w:rsidRPr="00341E6C">
        <w:rPr>
          <w:rFonts w:asciiTheme="majorHAnsi" w:hAnsiTheme="majorHAnsi" w:cstheme="majorHAnsi"/>
          <w:sz w:val="24"/>
          <w:szCs w:val="24"/>
          <w:lang w:val="ro-RO"/>
        </w:rPr>
        <w:t>.</w:t>
      </w:r>
    </w:p>
    <w:p w14:paraId="38A0714F" w14:textId="27C95774" w:rsidR="00C75E87" w:rsidRPr="007F422D" w:rsidRDefault="007F422D" w:rsidP="00D105A2">
      <w:pPr>
        <w:pStyle w:val="Heading1"/>
        <w:tabs>
          <w:tab w:val="left" w:pos="709"/>
        </w:tabs>
        <w:spacing w:before="120" w:after="120"/>
        <w:ind w:left="1699" w:hanging="1699"/>
        <w:jc w:val="left"/>
        <w:rPr>
          <w:rFonts w:asciiTheme="majorHAnsi" w:hAnsiTheme="majorHAnsi" w:cstheme="majorHAnsi"/>
          <w:sz w:val="28"/>
          <w:szCs w:val="28"/>
          <w:lang w:val="ro-RO"/>
        </w:rPr>
      </w:pPr>
      <w:bookmarkStart w:id="3" w:name="_Toc35000683"/>
      <w:r w:rsidRPr="007F422D">
        <w:rPr>
          <w:rFonts w:asciiTheme="majorHAnsi" w:hAnsiTheme="majorHAnsi" w:cstheme="majorHAnsi"/>
          <w:sz w:val="28"/>
          <w:szCs w:val="28"/>
          <w:lang w:val="ro-RO"/>
        </w:rPr>
        <w:t>ASPECTE-CHEIE DE AUDIT</w:t>
      </w:r>
      <w:bookmarkEnd w:id="3"/>
    </w:p>
    <w:p w14:paraId="1D93DFB8" w14:textId="4C35BC19" w:rsidR="00216731" w:rsidRPr="00341E6C" w:rsidRDefault="00A83D6A" w:rsidP="00C9314E">
      <w:pPr>
        <w:tabs>
          <w:tab w:val="left" w:pos="720"/>
        </w:tabs>
        <w:spacing w:before="240" w:line="276" w:lineRule="auto"/>
        <w:ind w:right="-29"/>
        <w:jc w:val="both"/>
        <w:rPr>
          <w:rFonts w:asciiTheme="majorHAnsi" w:eastAsia="Calibri" w:hAnsiTheme="majorHAnsi" w:cstheme="majorHAnsi"/>
          <w:sz w:val="24"/>
          <w:szCs w:val="24"/>
          <w:lang w:val="ro-RO"/>
        </w:rPr>
      </w:pPr>
      <w:r w:rsidRPr="00341E6C">
        <w:rPr>
          <w:rFonts w:asciiTheme="majorHAnsi" w:eastAsia="Calibri" w:hAnsiTheme="majorHAnsi" w:cstheme="majorHAnsi"/>
          <w:sz w:val="24"/>
          <w:szCs w:val="24"/>
          <w:lang w:val="ro-RO"/>
        </w:rPr>
        <w:t xml:space="preserve">Aspectele-cheie de audit sunt acele aspecte care, în baza raționamentului nostru profesional, au avut cea mai mare </w:t>
      </w:r>
      <w:r w:rsidR="007656E2" w:rsidRPr="00341E6C">
        <w:rPr>
          <w:rFonts w:asciiTheme="majorHAnsi" w:eastAsia="Calibri" w:hAnsiTheme="majorHAnsi" w:cstheme="majorHAnsi"/>
          <w:sz w:val="24"/>
          <w:szCs w:val="24"/>
          <w:lang w:val="ro-RO"/>
        </w:rPr>
        <w:t>importanță pentru auditul</w:t>
      </w:r>
      <w:r w:rsidR="00C25300">
        <w:rPr>
          <w:rFonts w:asciiTheme="majorHAnsi" w:eastAsia="Calibri" w:hAnsiTheme="majorHAnsi" w:cstheme="majorHAnsi"/>
          <w:sz w:val="24"/>
          <w:szCs w:val="24"/>
          <w:lang w:val="ro-RO"/>
        </w:rPr>
        <w:t xml:space="preserve"> financiar al</w:t>
      </w:r>
      <w:r w:rsidR="007656E2" w:rsidRPr="00341E6C">
        <w:rPr>
          <w:rFonts w:asciiTheme="majorHAnsi" w:eastAsia="Calibri" w:hAnsiTheme="majorHAnsi" w:cstheme="majorHAnsi"/>
          <w:sz w:val="24"/>
          <w:szCs w:val="24"/>
          <w:lang w:val="ro-RO"/>
        </w:rPr>
        <w:t xml:space="preserve"> Raportului</w:t>
      </w:r>
      <w:r w:rsidRPr="00341E6C">
        <w:rPr>
          <w:rFonts w:asciiTheme="majorHAnsi" w:eastAsia="Calibri" w:hAnsiTheme="majorHAnsi" w:cstheme="majorHAnsi"/>
          <w:sz w:val="24"/>
          <w:szCs w:val="24"/>
          <w:lang w:val="ro-RO"/>
        </w:rPr>
        <w:t xml:space="preserve"> Guvernului privind executarea BASS în anul 20</w:t>
      </w:r>
      <w:r w:rsidR="00CF676A" w:rsidRPr="00341E6C">
        <w:rPr>
          <w:rFonts w:asciiTheme="majorHAnsi" w:eastAsia="Calibri" w:hAnsiTheme="majorHAnsi" w:cstheme="majorHAnsi"/>
          <w:sz w:val="24"/>
          <w:szCs w:val="24"/>
          <w:lang w:val="ro-RO"/>
        </w:rPr>
        <w:t>20</w:t>
      </w:r>
      <w:r w:rsidRPr="00341E6C">
        <w:rPr>
          <w:rFonts w:asciiTheme="majorHAnsi" w:eastAsia="Calibri" w:hAnsiTheme="majorHAnsi" w:cstheme="majorHAnsi"/>
          <w:sz w:val="24"/>
          <w:szCs w:val="24"/>
          <w:lang w:val="ro-RO"/>
        </w:rPr>
        <w:t xml:space="preserve">. Aceste aspecte au fost abordate în contextul auditului </w:t>
      </w:r>
      <w:r w:rsidR="002E7550" w:rsidRPr="00341E6C">
        <w:rPr>
          <w:rFonts w:asciiTheme="majorHAnsi" w:eastAsia="Calibri" w:hAnsiTheme="majorHAnsi" w:cstheme="majorHAnsi"/>
          <w:sz w:val="24"/>
          <w:szCs w:val="24"/>
          <w:lang w:val="ro-RO"/>
        </w:rPr>
        <w:t>situațiilor</w:t>
      </w:r>
      <w:r w:rsidRPr="00341E6C">
        <w:rPr>
          <w:rFonts w:asciiTheme="majorHAnsi" w:eastAsia="Calibri" w:hAnsiTheme="majorHAnsi" w:cstheme="majorHAnsi"/>
          <w:sz w:val="24"/>
          <w:szCs w:val="24"/>
          <w:lang w:val="ro-RO"/>
        </w:rPr>
        <w:t xml:space="preserve"> financiare în ansamblu şi în formarea o</w:t>
      </w:r>
      <w:r w:rsidR="00C82B0D">
        <w:rPr>
          <w:rFonts w:asciiTheme="majorHAnsi" w:eastAsia="Calibri" w:hAnsiTheme="majorHAnsi" w:cstheme="majorHAnsi"/>
          <w:sz w:val="24"/>
          <w:szCs w:val="24"/>
          <w:lang w:val="ro-RO"/>
        </w:rPr>
        <w:t>piniei asupra acestora ș</w:t>
      </w:r>
      <w:r w:rsidRPr="00341E6C">
        <w:rPr>
          <w:rFonts w:asciiTheme="majorHAnsi" w:eastAsia="Calibri" w:hAnsiTheme="majorHAnsi" w:cstheme="majorHAnsi"/>
          <w:sz w:val="24"/>
          <w:szCs w:val="24"/>
          <w:lang w:val="ro-RO"/>
        </w:rPr>
        <w:t xml:space="preserve">i nu oferim o opinie separată cu privire la aceste aspecte. Considerăm că aspectele descrise mai jos, deși nu au influențat opinia de audit, reprezintă aspectele-cheie de audit care trebuie comunicate în </w:t>
      </w:r>
      <w:r w:rsidR="008430B7" w:rsidRPr="00341E6C">
        <w:rPr>
          <w:rFonts w:asciiTheme="majorHAnsi" w:eastAsia="Calibri" w:hAnsiTheme="majorHAnsi" w:cstheme="majorHAnsi"/>
          <w:sz w:val="24"/>
          <w:szCs w:val="24"/>
          <w:lang w:val="ro-RO"/>
        </w:rPr>
        <w:t>R</w:t>
      </w:r>
      <w:r w:rsidRPr="00341E6C">
        <w:rPr>
          <w:rFonts w:asciiTheme="majorHAnsi" w:eastAsia="Calibri" w:hAnsiTheme="majorHAnsi" w:cstheme="majorHAnsi"/>
          <w:sz w:val="24"/>
          <w:szCs w:val="24"/>
          <w:lang w:val="ro-RO"/>
        </w:rPr>
        <w:t>aportul nostru.</w:t>
      </w:r>
    </w:p>
    <w:p w14:paraId="057651E3" w14:textId="5427275B" w:rsidR="00140056" w:rsidRPr="00341E6C" w:rsidRDefault="005B4004" w:rsidP="009B59B6">
      <w:pPr>
        <w:pStyle w:val="ListParagraph"/>
        <w:numPr>
          <w:ilvl w:val="1"/>
          <w:numId w:val="16"/>
        </w:numPr>
        <w:spacing w:after="0" w:line="276" w:lineRule="auto"/>
        <w:ind w:left="0" w:firstLine="0"/>
        <w:jc w:val="both"/>
        <w:outlineLvl w:val="1"/>
        <w:rPr>
          <w:rFonts w:asciiTheme="majorHAnsi" w:hAnsiTheme="majorHAnsi" w:cstheme="majorHAnsi"/>
          <w:b/>
          <w:sz w:val="24"/>
          <w:szCs w:val="24"/>
          <w:lang w:val="ro-RO"/>
        </w:rPr>
      </w:pPr>
      <w:r>
        <w:rPr>
          <w:rFonts w:asciiTheme="majorHAnsi" w:hAnsiTheme="majorHAnsi" w:cstheme="majorHAnsi"/>
          <w:b/>
          <w:sz w:val="24"/>
          <w:szCs w:val="24"/>
          <w:lang w:val="ro-RO"/>
        </w:rPr>
        <w:t>Evoluția cheltuielilor față de veniturile</w:t>
      </w:r>
      <w:r w:rsidR="00763C23" w:rsidRPr="00763C23">
        <w:rPr>
          <w:rFonts w:asciiTheme="majorHAnsi" w:hAnsiTheme="majorHAnsi" w:cstheme="majorHAnsi"/>
          <w:b/>
          <w:sz w:val="24"/>
          <w:szCs w:val="24"/>
          <w:lang w:val="ro-RO"/>
        </w:rPr>
        <w:t xml:space="preserve"> BASS implică </w:t>
      </w:r>
      <w:r w:rsidR="00140056" w:rsidRPr="00763C23">
        <w:rPr>
          <w:rFonts w:asciiTheme="majorHAnsi" w:hAnsiTheme="majorHAnsi" w:cstheme="majorHAnsi"/>
          <w:b/>
          <w:sz w:val="24"/>
          <w:szCs w:val="24"/>
          <w:lang w:val="ro-RO"/>
        </w:rPr>
        <w:t>creșt</w:t>
      </w:r>
      <w:r w:rsidR="00140056" w:rsidRPr="00341E6C">
        <w:rPr>
          <w:rFonts w:asciiTheme="majorHAnsi" w:hAnsiTheme="majorHAnsi" w:cstheme="majorHAnsi"/>
          <w:b/>
          <w:sz w:val="24"/>
          <w:szCs w:val="24"/>
          <w:lang w:val="ro-RO"/>
        </w:rPr>
        <w:t>erea depen</w:t>
      </w:r>
      <w:r>
        <w:rPr>
          <w:rFonts w:asciiTheme="majorHAnsi" w:hAnsiTheme="majorHAnsi" w:cstheme="majorHAnsi"/>
          <w:b/>
          <w:sz w:val="24"/>
          <w:szCs w:val="24"/>
          <w:lang w:val="ro-RO"/>
        </w:rPr>
        <w:t xml:space="preserve">denței față de bugetul de stat și </w:t>
      </w:r>
      <w:r w:rsidR="00140056" w:rsidRPr="00341E6C">
        <w:rPr>
          <w:rFonts w:asciiTheme="majorHAnsi" w:hAnsiTheme="majorHAnsi" w:cstheme="majorHAnsi"/>
          <w:b/>
          <w:sz w:val="24"/>
          <w:szCs w:val="24"/>
          <w:lang w:val="ro-RO"/>
        </w:rPr>
        <w:t>solicitarea transferuril</w:t>
      </w:r>
      <w:r w:rsidR="00140056">
        <w:rPr>
          <w:rFonts w:asciiTheme="majorHAnsi" w:hAnsiTheme="majorHAnsi" w:cstheme="majorHAnsi"/>
          <w:b/>
          <w:sz w:val="24"/>
          <w:szCs w:val="24"/>
          <w:lang w:val="ro-RO"/>
        </w:rPr>
        <w:t>or</w:t>
      </w:r>
      <w:r w:rsidR="00140056" w:rsidRPr="00341E6C">
        <w:rPr>
          <w:rFonts w:asciiTheme="majorHAnsi" w:hAnsiTheme="majorHAnsi" w:cstheme="majorHAnsi"/>
          <w:b/>
          <w:sz w:val="24"/>
          <w:szCs w:val="24"/>
          <w:lang w:val="ro-RO"/>
        </w:rPr>
        <w:t xml:space="preserve"> primite cu destinație generală (pentru acoperirea deficitului)</w:t>
      </w:r>
      <w:r w:rsidR="00326190">
        <w:rPr>
          <w:rFonts w:asciiTheme="majorHAnsi" w:hAnsiTheme="majorHAnsi" w:cstheme="majorHAnsi"/>
          <w:b/>
          <w:sz w:val="24"/>
          <w:szCs w:val="24"/>
          <w:lang w:val="ro-RO"/>
        </w:rPr>
        <w:t>,</w:t>
      </w:r>
      <w:r w:rsidR="00763C23">
        <w:rPr>
          <w:rFonts w:asciiTheme="majorHAnsi" w:hAnsiTheme="majorHAnsi" w:cstheme="majorHAnsi"/>
          <w:b/>
          <w:sz w:val="24"/>
          <w:szCs w:val="24"/>
          <w:lang w:val="ro-RO"/>
        </w:rPr>
        <w:t xml:space="preserve"> </w:t>
      </w:r>
      <w:r w:rsidR="00D10B7F">
        <w:rPr>
          <w:rFonts w:asciiTheme="majorHAnsi" w:hAnsiTheme="majorHAnsi" w:cstheme="majorHAnsi"/>
          <w:b/>
          <w:sz w:val="24"/>
          <w:szCs w:val="24"/>
          <w:lang w:val="ro-RO"/>
        </w:rPr>
        <w:t xml:space="preserve">care s-au majorat </w:t>
      </w:r>
      <w:r w:rsidR="00763C23">
        <w:rPr>
          <w:rFonts w:asciiTheme="majorHAnsi" w:hAnsiTheme="majorHAnsi" w:cstheme="majorHAnsi"/>
          <w:b/>
          <w:sz w:val="24"/>
          <w:szCs w:val="24"/>
          <w:lang w:val="ro-RO"/>
        </w:rPr>
        <w:t>cu 566,9 mil</w:t>
      </w:r>
      <w:r w:rsidR="00326190">
        <w:rPr>
          <w:rFonts w:asciiTheme="majorHAnsi" w:hAnsiTheme="majorHAnsi" w:cstheme="majorHAnsi"/>
          <w:b/>
          <w:sz w:val="24"/>
          <w:szCs w:val="24"/>
          <w:lang w:val="ro-RO"/>
        </w:rPr>
        <w:t>.</w:t>
      </w:r>
      <w:r w:rsidR="00763C23">
        <w:rPr>
          <w:rFonts w:asciiTheme="majorHAnsi" w:hAnsiTheme="majorHAnsi" w:cstheme="majorHAnsi"/>
          <w:b/>
          <w:sz w:val="24"/>
          <w:szCs w:val="24"/>
          <w:lang w:val="ro-RO"/>
        </w:rPr>
        <w:t xml:space="preserve"> lei</w:t>
      </w:r>
      <w:r w:rsidR="00C933B3">
        <w:rPr>
          <w:rFonts w:asciiTheme="majorHAnsi" w:hAnsiTheme="majorHAnsi" w:cstheme="majorHAnsi"/>
          <w:b/>
          <w:sz w:val="24"/>
          <w:szCs w:val="24"/>
          <w:lang w:val="ro-RO"/>
        </w:rPr>
        <w:t xml:space="preserve"> față de anul precedent</w:t>
      </w:r>
      <w:r w:rsidR="00326190">
        <w:rPr>
          <w:rFonts w:asciiTheme="majorHAnsi" w:hAnsiTheme="majorHAnsi" w:cstheme="majorHAnsi"/>
          <w:b/>
          <w:sz w:val="24"/>
          <w:szCs w:val="24"/>
          <w:lang w:val="ro-RO"/>
        </w:rPr>
        <w:t>.</w:t>
      </w:r>
    </w:p>
    <w:p w14:paraId="27301D14" w14:textId="36C1F4C0" w:rsidR="00140056" w:rsidRPr="00341E6C" w:rsidRDefault="00140056" w:rsidP="00140056">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O problemă majoră pentru BASS este dependența financiară continuă față de bugetul de stat, transferurile primite cu destinație generală fiind în creștere cu 28,</w:t>
      </w:r>
      <w:r w:rsidR="00C523EA">
        <w:rPr>
          <w:rFonts w:asciiTheme="majorHAnsi" w:hAnsiTheme="majorHAnsi" w:cstheme="majorHAnsi"/>
          <w:sz w:val="24"/>
          <w:szCs w:val="24"/>
          <w:lang w:val="ro-RO"/>
        </w:rPr>
        <w:t>5%</w:t>
      </w:r>
      <w:r w:rsidR="00326190">
        <w:rPr>
          <w:rFonts w:asciiTheme="majorHAnsi" w:hAnsiTheme="majorHAnsi" w:cstheme="majorHAnsi"/>
          <w:sz w:val="24"/>
          <w:szCs w:val="24"/>
          <w:lang w:val="ro-RO"/>
        </w:rPr>
        <w:t>,</w:t>
      </w:r>
      <w:r w:rsidR="00C523EA">
        <w:rPr>
          <w:rFonts w:asciiTheme="majorHAnsi" w:hAnsiTheme="majorHAnsi" w:cstheme="majorHAnsi"/>
          <w:sz w:val="24"/>
          <w:szCs w:val="24"/>
          <w:lang w:val="ro-RO"/>
        </w:rPr>
        <w:t xml:space="preserve"> comparativ cu anul precedent</w:t>
      </w:r>
      <w:r w:rsidR="00326190">
        <w:rPr>
          <w:rFonts w:asciiTheme="majorHAnsi" w:hAnsiTheme="majorHAnsi" w:cstheme="majorHAnsi"/>
          <w:sz w:val="24"/>
          <w:szCs w:val="24"/>
          <w:lang w:val="ro-RO"/>
        </w:rPr>
        <w:t>,</w:t>
      </w:r>
      <w:r w:rsidR="00C523EA">
        <w:rPr>
          <w:rFonts w:asciiTheme="majorHAnsi" w:hAnsiTheme="majorHAnsi" w:cstheme="majorHAnsi"/>
          <w:sz w:val="24"/>
          <w:szCs w:val="24"/>
          <w:lang w:val="ro-RO"/>
        </w:rPr>
        <w:t xml:space="preserve"> și cu 129,3%</w:t>
      </w:r>
      <w:r w:rsidR="00326190">
        <w:rPr>
          <w:rFonts w:asciiTheme="majorHAnsi" w:hAnsiTheme="majorHAnsi" w:cstheme="majorHAnsi"/>
          <w:sz w:val="24"/>
          <w:szCs w:val="24"/>
          <w:lang w:val="ro-RO"/>
        </w:rPr>
        <w:t>,</w:t>
      </w:r>
      <w:r w:rsidR="00C523EA">
        <w:rPr>
          <w:rFonts w:asciiTheme="majorHAnsi" w:hAnsiTheme="majorHAnsi" w:cstheme="majorHAnsi"/>
          <w:sz w:val="24"/>
          <w:szCs w:val="24"/>
          <w:lang w:val="ro-RO"/>
        </w:rPr>
        <w:t xml:space="preserve"> față de anul 2018.</w:t>
      </w:r>
      <w:r w:rsidRPr="00341E6C">
        <w:rPr>
          <w:rFonts w:asciiTheme="majorHAnsi" w:hAnsiTheme="majorHAnsi" w:cstheme="majorHAnsi"/>
          <w:sz w:val="24"/>
          <w:szCs w:val="24"/>
          <w:lang w:val="ro-RO"/>
        </w:rPr>
        <w:t xml:space="preserve"> E</w:t>
      </w:r>
      <w:r w:rsidR="00C523EA">
        <w:rPr>
          <w:rFonts w:asciiTheme="majorHAnsi" w:hAnsiTheme="majorHAnsi" w:cstheme="majorHAnsi"/>
          <w:sz w:val="24"/>
          <w:szCs w:val="24"/>
          <w:lang w:val="ro-RO"/>
        </w:rPr>
        <w:t>voluția transferurilor, precum și o</w:t>
      </w:r>
      <w:r w:rsidRPr="00341E6C">
        <w:rPr>
          <w:rFonts w:asciiTheme="majorHAnsi" w:hAnsiTheme="majorHAnsi" w:cstheme="majorHAnsi"/>
          <w:sz w:val="24"/>
          <w:szCs w:val="24"/>
          <w:lang w:val="ro-RO"/>
        </w:rPr>
        <w:t xml:space="preserve">bligațiile față de beneficiari </w:t>
      </w:r>
      <w:r w:rsidR="00D10B7F">
        <w:rPr>
          <w:rFonts w:asciiTheme="majorHAnsi" w:hAnsiTheme="majorHAnsi" w:cstheme="majorHAnsi"/>
          <w:sz w:val="24"/>
          <w:szCs w:val="24"/>
          <w:lang w:val="ro-RO"/>
        </w:rPr>
        <w:t>care urmează</w:t>
      </w:r>
      <w:r w:rsidRPr="00341E6C">
        <w:rPr>
          <w:rFonts w:asciiTheme="majorHAnsi" w:hAnsiTheme="majorHAnsi" w:cstheme="majorHAnsi"/>
          <w:sz w:val="24"/>
          <w:szCs w:val="24"/>
          <w:lang w:val="ro-RO"/>
        </w:rPr>
        <w:t xml:space="preserve"> </w:t>
      </w:r>
      <w:r w:rsidR="00326190">
        <w:rPr>
          <w:rFonts w:asciiTheme="majorHAnsi" w:hAnsiTheme="majorHAnsi" w:cstheme="majorHAnsi"/>
          <w:sz w:val="24"/>
          <w:szCs w:val="24"/>
          <w:lang w:val="ro-RO"/>
        </w:rPr>
        <w:t xml:space="preserve">a </w:t>
      </w:r>
      <w:r w:rsidRPr="00341E6C">
        <w:rPr>
          <w:rFonts w:asciiTheme="majorHAnsi" w:hAnsiTheme="majorHAnsi" w:cstheme="majorHAnsi"/>
          <w:sz w:val="24"/>
          <w:szCs w:val="24"/>
          <w:lang w:val="ro-RO"/>
        </w:rPr>
        <w:t>fi realizate în exercițiile financ</w:t>
      </w:r>
      <w:r w:rsidR="00C523EA">
        <w:rPr>
          <w:rFonts w:asciiTheme="majorHAnsi" w:hAnsiTheme="majorHAnsi" w:cstheme="majorHAnsi"/>
          <w:sz w:val="24"/>
          <w:szCs w:val="24"/>
          <w:lang w:val="ro-RO"/>
        </w:rPr>
        <w:t>iare viitoare pot afecta</w:t>
      </w:r>
      <w:r w:rsidRPr="00341E6C">
        <w:rPr>
          <w:rFonts w:asciiTheme="majorHAnsi" w:hAnsiTheme="majorHAnsi" w:cstheme="majorHAnsi"/>
          <w:sz w:val="24"/>
          <w:szCs w:val="24"/>
          <w:lang w:val="ro-RO"/>
        </w:rPr>
        <w:t xml:space="preserve"> sustenabilitatea BASS. Aceasta poate condiționa perturbarea echilibrului bugetului asigurărilor sociale de stat, ceea ce va impune majorarea poverii bugetului asigurărilor sociale de stat și/sau, după caz, a bugetului de stat, odată cu solicitarea transferurilor cu destinație generală (resurse financiare pentru acoperirea deficitului). </w:t>
      </w:r>
    </w:p>
    <w:p w14:paraId="7BD847CB" w14:textId="7BAF8D5E" w:rsidR="00140056" w:rsidRPr="00341E6C" w:rsidRDefault="00140056" w:rsidP="00140056">
      <w:pPr>
        <w:tabs>
          <w:tab w:val="left" w:pos="426"/>
          <w:tab w:val="left" w:pos="709"/>
          <w:tab w:val="left" w:pos="993"/>
        </w:tabs>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În anul 2020, transferurile cu destinație generală au însumat 2 554,6 mil. lei</w:t>
      </w:r>
      <w:r w:rsidR="0067179F">
        <w:rPr>
          <w:rFonts w:asciiTheme="majorHAnsi" w:hAnsiTheme="majorHAnsi" w:cstheme="majorHAnsi"/>
          <w:sz w:val="24"/>
          <w:szCs w:val="24"/>
          <w:lang w:val="ro-RO"/>
        </w:rPr>
        <w:t>,</w:t>
      </w:r>
      <w:r w:rsidR="00763C23">
        <w:rPr>
          <w:rFonts w:asciiTheme="majorHAnsi" w:hAnsiTheme="majorHAnsi" w:cstheme="majorHAnsi"/>
          <w:sz w:val="24"/>
          <w:szCs w:val="24"/>
          <w:lang w:val="ro-RO"/>
        </w:rPr>
        <w:t xml:space="preserve"> ceea ce constituie o creștere cu 28,5% față de anul precedent (</w:t>
      </w:r>
      <w:r w:rsidR="00763C23" w:rsidRPr="00763C23">
        <w:rPr>
          <w:rFonts w:asciiTheme="majorHAnsi" w:hAnsiTheme="majorHAnsi" w:cstheme="majorHAnsi"/>
          <w:sz w:val="24"/>
          <w:szCs w:val="24"/>
          <w:lang w:val="ro-RO"/>
        </w:rPr>
        <w:t>1</w:t>
      </w:r>
      <w:r w:rsidR="007F762A">
        <w:rPr>
          <w:rFonts w:asciiTheme="majorHAnsi" w:hAnsiTheme="majorHAnsi" w:cstheme="majorHAnsi"/>
          <w:sz w:val="24"/>
          <w:szCs w:val="24"/>
          <w:lang w:val="ro-RO"/>
        </w:rPr>
        <w:t xml:space="preserve"> </w:t>
      </w:r>
      <w:r w:rsidR="00763C23" w:rsidRPr="00763C23">
        <w:rPr>
          <w:rFonts w:asciiTheme="majorHAnsi" w:hAnsiTheme="majorHAnsi" w:cstheme="majorHAnsi"/>
          <w:sz w:val="24"/>
          <w:szCs w:val="24"/>
          <w:lang w:val="ro-RO"/>
        </w:rPr>
        <w:t>987</w:t>
      </w:r>
      <w:r w:rsidR="00763C23">
        <w:rPr>
          <w:rFonts w:asciiTheme="majorHAnsi" w:hAnsiTheme="majorHAnsi" w:cstheme="majorHAnsi"/>
          <w:sz w:val="24"/>
          <w:szCs w:val="24"/>
          <w:lang w:val="ro-RO"/>
        </w:rPr>
        <w:t>,7 mil. lei).</w:t>
      </w:r>
      <w:r w:rsidRPr="00341E6C">
        <w:rPr>
          <w:rFonts w:asciiTheme="majorHAnsi" w:hAnsiTheme="majorHAnsi" w:cstheme="majorHAnsi"/>
          <w:sz w:val="24"/>
          <w:szCs w:val="24"/>
          <w:lang w:val="ro-RO"/>
        </w:rPr>
        <w:t xml:space="preserve"> Concomitent, se menționează că, pentru acoperirea decalajului temporar de casă, CNAS a fost nevoită de a contracta 3  împrumuturi de la bugetul de stat, în sumă totală de 600</w:t>
      </w:r>
      <w:r w:rsidR="00E44817">
        <w:rPr>
          <w:rFonts w:asciiTheme="majorHAnsi" w:hAnsiTheme="majorHAnsi" w:cstheme="majorHAnsi"/>
          <w:sz w:val="24"/>
          <w:szCs w:val="24"/>
          <w:lang w:val="ro-RO"/>
        </w:rPr>
        <w:t>,0</w:t>
      </w:r>
      <w:r w:rsidRPr="00341E6C">
        <w:rPr>
          <w:rFonts w:asciiTheme="majorHAnsi" w:hAnsiTheme="majorHAnsi" w:cstheme="majorHAnsi"/>
          <w:sz w:val="24"/>
          <w:szCs w:val="24"/>
          <w:lang w:val="ro-RO"/>
        </w:rPr>
        <w:t xml:space="preserve"> mil. lei, care au fost restituite în același an bugetar</w:t>
      </w:r>
      <w:r w:rsidRPr="00341E6C">
        <w:rPr>
          <w:rStyle w:val="FootnoteReference"/>
          <w:rFonts w:asciiTheme="majorHAnsi" w:hAnsiTheme="majorHAnsi" w:cstheme="majorHAnsi"/>
          <w:sz w:val="24"/>
          <w:szCs w:val="24"/>
          <w:lang w:val="ro-RO"/>
        </w:rPr>
        <w:footnoteReference w:id="10"/>
      </w:r>
      <w:r w:rsidRPr="00341E6C">
        <w:rPr>
          <w:rFonts w:asciiTheme="majorHAnsi" w:hAnsiTheme="majorHAnsi" w:cstheme="majorHAnsi"/>
          <w:sz w:val="24"/>
          <w:szCs w:val="24"/>
          <w:lang w:val="ro-RO"/>
        </w:rPr>
        <w:t xml:space="preserve">. Analiza transferurilor primite de la bugetul de stat </w:t>
      </w:r>
      <w:r>
        <w:rPr>
          <w:rFonts w:asciiTheme="majorHAnsi" w:hAnsiTheme="majorHAnsi" w:cstheme="majorHAnsi"/>
          <w:sz w:val="24"/>
          <w:szCs w:val="24"/>
          <w:lang w:val="ro-RO"/>
        </w:rPr>
        <w:t>este</w:t>
      </w:r>
      <w:r w:rsidRPr="00341E6C">
        <w:rPr>
          <w:rFonts w:asciiTheme="majorHAnsi" w:hAnsiTheme="majorHAnsi" w:cstheme="majorHAnsi"/>
          <w:sz w:val="24"/>
          <w:szCs w:val="24"/>
          <w:lang w:val="ro-RO"/>
        </w:rPr>
        <w:t xml:space="preserve"> prezentat</w:t>
      </w:r>
      <w:r>
        <w:rPr>
          <w:rFonts w:asciiTheme="majorHAnsi" w:hAnsiTheme="majorHAnsi" w:cstheme="majorHAnsi"/>
          <w:sz w:val="24"/>
          <w:szCs w:val="24"/>
          <w:lang w:val="ro-RO"/>
        </w:rPr>
        <w:t>ă</w:t>
      </w:r>
      <w:r w:rsidRPr="00341E6C">
        <w:rPr>
          <w:rFonts w:asciiTheme="majorHAnsi" w:hAnsiTheme="majorHAnsi" w:cstheme="majorHAnsi"/>
          <w:sz w:val="24"/>
          <w:szCs w:val="24"/>
          <w:lang w:val="ro-RO"/>
        </w:rPr>
        <w:t xml:space="preserve"> în Anexa nr. 5</w:t>
      </w:r>
      <w:r w:rsidR="0067179F">
        <w:rPr>
          <w:rFonts w:asciiTheme="majorHAnsi" w:hAnsiTheme="majorHAnsi" w:cstheme="majorHAnsi"/>
          <w:sz w:val="24"/>
          <w:szCs w:val="24"/>
          <w:lang w:val="ro-RO"/>
        </w:rPr>
        <w:t xml:space="preserve"> la prezentul Raport de audit</w:t>
      </w:r>
      <w:r w:rsidRPr="00341E6C">
        <w:rPr>
          <w:rFonts w:asciiTheme="majorHAnsi" w:hAnsiTheme="majorHAnsi" w:cstheme="majorHAnsi"/>
          <w:sz w:val="24"/>
          <w:szCs w:val="24"/>
          <w:lang w:val="ro-RO"/>
        </w:rPr>
        <w:t>.</w:t>
      </w:r>
    </w:p>
    <w:p w14:paraId="4354E90D" w14:textId="2EC85359" w:rsidR="00ED3980" w:rsidRPr="00CE7234" w:rsidRDefault="00ED3980" w:rsidP="009B59B6">
      <w:pPr>
        <w:pStyle w:val="ListParagraph"/>
        <w:numPr>
          <w:ilvl w:val="1"/>
          <w:numId w:val="16"/>
        </w:numPr>
        <w:spacing w:after="0" w:line="276" w:lineRule="auto"/>
        <w:ind w:left="0" w:firstLine="0"/>
        <w:jc w:val="both"/>
        <w:outlineLvl w:val="1"/>
        <w:rPr>
          <w:rFonts w:asciiTheme="majorHAnsi" w:eastAsia="Times New Roman" w:hAnsiTheme="majorHAnsi" w:cstheme="majorHAnsi"/>
          <w:b/>
          <w:sz w:val="24"/>
          <w:szCs w:val="24"/>
          <w:lang w:val="ro-MD"/>
        </w:rPr>
      </w:pPr>
      <w:r w:rsidRPr="00CE7234">
        <w:rPr>
          <w:rFonts w:asciiTheme="majorHAnsi" w:eastAsia="Times New Roman" w:hAnsiTheme="majorHAnsi" w:cstheme="majorHAnsi"/>
          <w:b/>
          <w:sz w:val="24"/>
          <w:szCs w:val="24"/>
          <w:lang w:val="ro-MD"/>
        </w:rPr>
        <w:lastRenderedPageBreak/>
        <w:t>Veniturile bugetului asigurărilor sociale de stat executate în anul 2020 au înregistrat un excedent față de anul 2019</w:t>
      </w:r>
      <w:r w:rsidR="0067179F">
        <w:rPr>
          <w:rFonts w:asciiTheme="majorHAnsi" w:eastAsia="Times New Roman" w:hAnsiTheme="majorHAnsi" w:cstheme="majorHAnsi"/>
          <w:b/>
          <w:sz w:val="24"/>
          <w:szCs w:val="24"/>
          <w:lang w:val="ro-MD"/>
        </w:rPr>
        <w:t>.</w:t>
      </w:r>
    </w:p>
    <w:p w14:paraId="2B7D63ED" w14:textId="0CF6A055" w:rsidR="00ED3980" w:rsidRPr="00CE7234" w:rsidRDefault="00ED3980" w:rsidP="00ED3980">
      <w:pPr>
        <w:spacing w:after="0" w:line="276" w:lineRule="auto"/>
        <w:jc w:val="both"/>
        <w:rPr>
          <w:rFonts w:asciiTheme="majorHAnsi" w:eastAsia="Times New Roman" w:hAnsiTheme="majorHAnsi" w:cstheme="majorHAnsi"/>
          <w:i/>
          <w:iCs/>
          <w:sz w:val="24"/>
          <w:szCs w:val="24"/>
          <w:lang w:val="ro-MD"/>
        </w:rPr>
      </w:pPr>
      <w:r w:rsidRPr="00CE7234">
        <w:rPr>
          <w:rFonts w:asciiTheme="majorHAnsi" w:eastAsia="Times New Roman" w:hAnsiTheme="majorHAnsi" w:cstheme="majorHAnsi"/>
          <w:sz w:val="24"/>
          <w:szCs w:val="24"/>
          <w:lang w:val="ro-MD"/>
        </w:rPr>
        <w:t xml:space="preserve">În anul 2020, veniturile bugetului asigurărilor sociale de stat însumează 24 285,5 mil. lei, fiind cu 2 537,1 mil. lei mai mari față de anul 2019, dar mai mici cu 286,6 mil. lei decât nivelul planificat. </w:t>
      </w:r>
      <w:r w:rsidRPr="00CE7234">
        <w:rPr>
          <w:rFonts w:asciiTheme="majorHAnsi" w:eastAsia="Times New Roman" w:hAnsiTheme="majorHAnsi" w:cstheme="majorHAnsi"/>
          <w:i/>
          <w:iCs/>
          <w:sz w:val="24"/>
          <w:szCs w:val="24"/>
          <w:lang w:val="ro-MD"/>
        </w:rPr>
        <w:t>Realizarea veniturilor bugetului asigurărilor sociale de stat în anul 2020, în comparație cu anii 2018 și 2</w:t>
      </w:r>
      <w:r w:rsidR="00143DE8">
        <w:rPr>
          <w:rFonts w:asciiTheme="majorHAnsi" w:eastAsia="Times New Roman" w:hAnsiTheme="majorHAnsi" w:cstheme="majorHAnsi"/>
          <w:i/>
          <w:iCs/>
          <w:sz w:val="24"/>
          <w:szCs w:val="24"/>
          <w:lang w:val="ro-MD"/>
        </w:rPr>
        <w:t>019, se prezintă în Tabelul nr.2</w:t>
      </w:r>
      <w:r w:rsidRPr="00CE7234">
        <w:rPr>
          <w:rFonts w:asciiTheme="majorHAnsi" w:eastAsia="Times New Roman" w:hAnsiTheme="majorHAnsi" w:cstheme="majorHAnsi"/>
          <w:i/>
          <w:iCs/>
          <w:sz w:val="24"/>
          <w:szCs w:val="24"/>
          <w:lang w:val="ro-MD"/>
        </w:rPr>
        <w:t>.</w:t>
      </w:r>
    </w:p>
    <w:p w14:paraId="046F4A87" w14:textId="6E6815BA" w:rsidR="00ED3980" w:rsidRPr="0040646E" w:rsidRDefault="009E0D96" w:rsidP="00ED3980">
      <w:pPr>
        <w:spacing w:after="0" w:line="240" w:lineRule="auto"/>
        <w:jc w:val="right"/>
        <w:rPr>
          <w:rFonts w:asciiTheme="majorHAnsi" w:eastAsia="Times New Roman" w:hAnsiTheme="majorHAnsi" w:cstheme="majorHAnsi"/>
          <w:b/>
          <w:sz w:val="24"/>
          <w:szCs w:val="24"/>
          <w:lang w:val="ro-MD"/>
        </w:rPr>
      </w:pPr>
      <w:r w:rsidRPr="0040646E">
        <w:rPr>
          <w:rFonts w:asciiTheme="majorHAnsi" w:eastAsia="Times New Roman" w:hAnsiTheme="majorHAnsi" w:cstheme="majorHAnsi"/>
          <w:b/>
          <w:sz w:val="24"/>
          <w:szCs w:val="24"/>
          <w:lang w:val="ro-MD"/>
        </w:rPr>
        <w:t>Tabelul nr.</w:t>
      </w:r>
      <w:r w:rsidR="00786886">
        <w:rPr>
          <w:rFonts w:asciiTheme="majorHAnsi" w:eastAsia="Times New Roman" w:hAnsiTheme="majorHAnsi" w:cstheme="majorHAnsi"/>
          <w:b/>
          <w:sz w:val="24"/>
          <w:szCs w:val="24"/>
          <w:lang w:val="ro-MD"/>
        </w:rPr>
        <w:t>1</w:t>
      </w:r>
    </w:p>
    <w:p w14:paraId="3C8ABED6" w14:textId="77777777" w:rsidR="00ED3980" w:rsidRPr="00CE7234" w:rsidRDefault="00ED3980" w:rsidP="00ED3980">
      <w:pPr>
        <w:pStyle w:val="NormalWeb"/>
        <w:tabs>
          <w:tab w:val="left" w:pos="162"/>
        </w:tabs>
        <w:spacing w:line="276" w:lineRule="auto"/>
        <w:ind w:firstLine="0"/>
        <w:jc w:val="center"/>
        <w:rPr>
          <w:rFonts w:asciiTheme="majorHAnsi" w:hAnsiTheme="majorHAnsi" w:cstheme="majorHAnsi"/>
          <w:b/>
          <w:lang w:val="ro-RO"/>
        </w:rPr>
      </w:pPr>
      <w:r w:rsidRPr="00CE7234">
        <w:rPr>
          <w:rFonts w:asciiTheme="majorHAnsi" w:hAnsiTheme="majorHAnsi" w:cstheme="majorHAnsi"/>
          <w:b/>
          <w:lang w:val="ro-RO"/>
        </w:rPr>
        <w:t>Dinamica evoluției veniturilor bugetului asigurărilor sociale de stat în anii 2018-2020</w:t>
      </w:r>
    </w:p>
    <w:p w14:paraId="31C7EE83" w14:textId="77777777" w:rsidR="00ED3980" w:rsidRPr="00CE7234" w:rsidRDefault="00ED3980" w:rsidP="00ED3980">
      <w:pPr>
        <w:spacing w:after="0" w:line="240" w:lineRule="auto"/>
        <w:ind w:firstLine="567"/>
        <w:jc w:val="right"/>
        <w:rPr>
          <w:rFonts w:asciiTheme="majorHAnsi" w:eastAsia="Times New Roman" w:hAnsiTheme="majorHAnsi" w:cstheme="majorHAnsi"/>
          <w:b/>
          <w:sz w:val="24"/>
          <w:szCs w:val="24"/>
        </w:rPr>
      </w:pPr>
      <w:r w:rsidRPr="00CE7234">
        <w:rPr>
          <w:rFonts w:asciiTheme="majorHAnsi" w:eastAsia="Times New Roman" w:hAnsiTheme="majorHAnsi" w:cstheme="majorHAnsi"/>
          <w:b/>
          <w:sz w:val="24"/>
          <w:szCs w:val="24"/>
        </w:rPr>
        <w:t> (mil. lei)</w:t>
      </w:r>
    </w:p>
    <w:tbl>
      <w:tblPr>
        <w:tblW w:w="9428" w:type="dxa"/>
        <w:tblLayout w:type="fixed"/>
        <w:tblLook w:val="04A0" w:firstRow="1" w:lastRow="0" w:firstColumn="1" w:lastColumn="0" w:noHBand="0" w:noVBand="1"/>
      </w:tblPr>
      <w:tblGrid>
        <w:gridCol w:w="2825"/>
        <w:gridCol w:w="993"/>
        <w:gridCol w:w="992"/>
        <w:gridCol w:w="992"/>
        <w:gridCol w:w="929"/>
        <w:gridCol w:w="921"/>
        <w:gridCol w:w="844"/>
        <w:gridCol w:w="932"/>
      </w:tblGrid>
      <w:tr w:rsidR="00ED3980" w:rsidRPr="00CE7234" w14:paraId="38C550C8" w14:textId="77777777" w:rsidTr="00CE7234">
        <w:trPr>
          <w:trHeight w:val="425"/>
        </w:trPr>
        <w:tc>
          <w:tcPr>
            <w:tcW w:w="2825"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5E15D81A" w14:textId="77777777" w:rsidR="00ED3980" w:rsidRPr="00CE7234" w:rsidRDefault="00ED3980" w:rsidP="00FB3794">
            <w:pPr>
              <w:spacing w:after="0" w:line="240"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Indicatori</w:t>
            </w:r>
          </w:p>
        </w:tc>
        <w:tc>
          <w:tcPr>
            <w:tcW w:w="2977" w:type="dxa"/>
            <w:gridSpan w:val="3"/>
            <w:tcBorders>
              <w:top w:val="single" w:sz="8" w:space="0" w:color="auto"/>
              <w:left w:val="nil"/>
              <w:bottom w:val="single" w:sz="8" w:space="0" w:color="auto"/>
              <w:right w:val="single" w:sz="8" w:space="0" w:color="000000"/>
            </w:tcBorders>
            <w:shd w:val="clear" w:color="auto" w:fill="92D050"/>
            <w:vAlign w:val="center"/>
            <w:hideMark/>
          </w:tcPr>
          <w:p w14:paraId="07104659"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Anii</w:t>
            </w:r>
          </w:p>
        </w:tc>
        <w:tc>
          <w:tcPr>
            <w:tcW w:w="1850" w:type="dxa"/>
            <w:gridSpan w:val="2"/>
            <w:tcBorders>
              <w:top w:val="single" w:sz="8" w:space="0" w:color="auto"/>
              <w:left w:val="nil"/>
              <w:bottom w:val="single" w:sz="8" w:space="0" w:color="auto"/>
              <w:right w:val="single" w:sz="8" w:space="0" w:color="000000"/>
            </w:tcBorders>
            <w:shd w:val="clear" w:color="auto" w:fill="92D050"/>
            <w:vAlign w:val="center"/>
            <w:hideMark/>
          </w:tcPr>
          <w:p w14:paraId="16678333"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Devieri 2020/2019</w:t>
            </w:r>
          </w:p>
        </w:tc>
        <w:tc>
          <w:tcPr>
            <w:tcW w:w="1776" w:type="dxa"/>
            <w:gridSpan w:val="2"/>
            <w:tcBorders>
              <w:top w:val="single" w:sz="8" w:space="0" w:color="auto"/>
              <w:left w:val="nil"/>
              <w:bottom w:val="single" w:sz="8" w:space="0" w:color="auto"/>
              <w:right w:val="single" w:sz="8" w:space="0" w:color="000000"/>
            </w:tcBorders>
            <w:shd w:val="clear" w:color="auto" w:fill="92D050"/>
            <w:vAlign w:val="center"/>
            <w:hideMark/>
          </w:tcPr>
          <w:p w14:paraId="1C20FE37"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Devieri 2020/2018</w:t>
            </w:r>
          </w:p>
        </w:tc>
      </w:tr>
      <w:tr w:rsidR="00ED3980" w:rsidRPr="00CE7234" w14:paraId="5E52E51B" w14:textId="77777777" w:rsidTr="00CE7234">
        <w:trPr>
          <w:trHeight w:val="515"/>
        </w:trPr>
        <w:tc>
          <w:tcPr>
            <w:tcW w:w="2825"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04B8E978" w14:textId="77777777" w:rsidR="00ED3980" w:rsidRPr="00CE7234" w:rsidRDefault="00ED3980" w:rsidP="00FB3794">
            <w:pPr>
              <w:spacing w:after="0" w:line="256" w:lineRule="auto"/>
              <w:rPr>
                <w:rFonts w:asciiTheme="majorHAnsi" w:hAnsiTheme="majorHAnsi" w:cstheme="majorHAnsi"/>
                <w:b/>
                <w:bCs/>
                <w:color w:val="000000"/>
                <w:sz w:val="20"/>
                <w:szCs w:val="20"/>
                <w:lang w:val="ro-RO"/>
              </w:rPr>
            </w:pPr>
          </w:p>
        </w:tc>
        <w:tc>
          <w:tcPr>
            <w:tcW w:w="993" w:type="dxa"/>
            <w:tcBorders>
              <w:top w:val="nil"/>
              <w:left w:val="nil"/>
              <w:bottom w:val="single" w:sz="8" w:space="0" w:color="auto"/>
              <w:right w:val="single" w:sz="8" w:space="0" w:color="auto"/>
            </w:tcBorders>
            <w:shd w:val="clear" w:color="auto" w:fill="92D050"/>
            <w:vAlign w:val="center"/>
            <w:hideMark/>
          </w:tcPr>
          <w:p w14:paraId="44E147C8"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2018</w:t>
            </w:r>
          </w:p>
        </w:tc>
        <w:tc>
          <w:tcPr>
            <w:tcW w:w="992" w:type="dxa"/>
            <w:tcBorders>
              <w:top w:val="nil"/>
              <w:left w:val="nil"/>
              <w:bottom w:val="single" w:sz="8" w:space="0" w:color="auto"/>
              <w:right w:val="single" w:sz="8" w:space="0" w:color="auto"/>
            </w:tcBorders>
            <w:shd w:val="clear" w:color="auto" w:fill="92D050"/>
            <w:vAlign w:val="center"/>
            <w:hideMark/>
          </w:tcPr>
          <w:p w14:paraId="118B9D6C"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2019</w:t>
            </w:r>
          </w:p>
        </w:tc>
        <w:tc>
          <w:tcPr>
            <w:tcW w:w="992" w:type="dxa"/>
            <w:tcBorders>
              <w:top w:val="nil"/>
              <w:left w:val="nil"/>
              <w:bottom w:val="single" w:sz="8" w:space="0" w:color="auto"/>
              <w:right w:val="single" w:sz="8" w:space="0" w:color="auto"/>
            </w:tcBorders>
            <w:shd w:val="clear" w:color="auto" w:fill="92D050"/>
            <w:vAlign w:val="center"/>
            <w:hideMark/>
          </w:tcPr>
          <w:p w14:paraId="342302F0"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2020</w:t>
            </w:r>
          </w:p>
        </w:tc>
        <w:tc>
          <w:tcPr>
            <w:tcW w:w="929" w:type="dxa"/>
            <w:tcBorders>
              <w:top w:val="nil"/>
              <w:left w:val="nil"/>
              <w:bottom w:val="single" w:sz="8" w:space="0" w:color="auto"/>
              <w:right w:val="single" w:sz="8" w:space="0" w:color="auto"/>
            </w:tcBorders>
            <w:shd w:val="clear" w:color="auto" w:fill="92D050"/>
            <w:vAlign w:val="center"/>
            <w:hideMark/>
          </w:tcPr>
          <w:p w14:paraId="3E348EB3"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c>
          <w:tcPr>
            <w:tcW w:w="921" w:type="dxa"/>
            <w:tcBorders>
              <w:top w:val="nil"/>
              <w:left w:val="nil"/>
              <w:bottom w:val="single" w:sz="8" w:space="0" w:color="auto"/>
              <w:right w:val="single" w:sz="8" w:space="0" w:color="auto"/>
            </w:tcBorders>
            <w:shd w:val="clear" w:color="auto" w:fill="92D050"/>
            <w:vAlign w:val="center"/>
            <w:hideMark/>
          </w:tcPr>
          <w:p w14:paraId="015336E2"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c>
          <w:tcPr>
            <w:tcW w:w="844" w:type="dxa"/>
            <w:tcBorders>
              <w:top w:val="nil"/>
              <w:left w:val="nil"/>
              <w:bottom w:val="single" w:sz="8" w:space="0" w:color="auto"/>
              <w:right w:val="single" w:sz="8" w:space="0" w:color="auto"/>
            </w:tcBorders>
            <w:shd w:val="clear" w:color="auto" w:fill="92D050"/>
            <w:vAlign w:val="center"/>
            <w:hideMark/>
          </w:tcPr>
          <w:p w14:paraId="706D2503"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c>
          <w:tcPr>
            <w:tcW w:w="932" w:type="dxa"/>
            <w:tcBorders>
              <w:top w:val="nil"/>
              <w:left w:val="nil"/>
              <w:bottom w:val="single" w:sz="8" w:space="0" w:color="auto"/>
              <w:right w:val="single" w:sz="8" w:space="0" w:color="auto"/>
            </w:tcBorders>
            <w:shd w:val="clear" w:color="auto" w:fill="92D050"/>
            <w:vAlign w:val="center"/>
            <w:hideMark/>
          </w:tcPr>
          <w:p w14:paraId="2631C4AD" w14:textId="77777777" w:rsidR="00ED3980" w:rsidRPr="00CE7234" w:rsidRDefault="00ED3980" w:rsidP="00FB3794">
            <w:pPr>
              <w:spacing w:after="0" w:line="256"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r>
      <w:tr w:rsidR="00ED3980" w:rsidRPr="00CE7234" w14:paraId="23C533B2" w14:textId="77777777" w:rsidTr="00FB3794">
        <w:trPr>
          <w:trHeight w:val="4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D2C28DB" w14:textId="77777777" w:rsidR="00ED3980" w:rsidRPr="00CE7234" w:rsidRDefault="00ED3980" w:rsidP="00FB3794">
            <w:pPr>
              <w:spacing w:after="0" w:line="256" w:lineRule="auto"/>
              <w:jc w:val="center"/>
              <w:rPr>
                <w:rFonts w:asciiTheme="majorHAnsi" w:hAnsiTheme="majorHAnsi" w:cstheme="majorHAnsi"/>
                <w:b/>
                <w:bCs/>
                <w:color w:val="000000"/>
                <w:sz w:val="16"/>
                <w:szCs w:val="16"/>
                <w:lang w:val="ro-RO"/>
              </w:rPr>
            </w:pPr>
            <w:r w:rsidRPr="00CE7234">
              <w:rPr>
                <w:rFonts w:asciiTheme="majorHAnsi" w:hAnsiTheme="majorHAnsi" w:cstheme="majorHAnsi"/>
                <w:b/>
                <w:bCs/>
                <w:color w:val="000000"/>
                <w:sz w:val="16"/>
                <w:szCs w:val="16"/>
                <w:lang w:val="ro-RO"/>
              </w:rPr>
              <w:t>1</w:t>
            </w:r>
          </w:p>
        </w:tc>
        <w:tc>
          <w:tcPr>
            <w:tcW w:w="993" w:type="dxa"/>
            <w:tcBorders>
              <w:top w:val="nil"/>
              <w:left w:val="nil"/>
              <w:bottom w:val="single" w:sz="8" w:space="0" w:color="auto"/>
              <w:right w:val="single" w:sz="8" w:space="0" w:color="auto"/>
            </w:tcBorders>
            <w:shd w:val="clear" w:color="auto" w:fill="auto"/>
            <w:vAlign w:val="center"/>
            <w:hideMark/>
          </w:tcPr>
          <w:p w14:paraId="1228308E"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2</w:t>
            </w:r>
          </w:p>
        </w:tc>
        <w:tc>
          <w:tcPr>
            <w:tcW w:w="992" w:type="dxa"/>
            <w:tcBorders>
              <w:top w:val="nil"/>
              <w:left w:val="nil"/>
              <w:bottom w:val="single" w:sz="8" w:space="0" w:color="auto"/>
              <w:right w:val="single" w:sz="8" w:space="0" w:color="auto"/>
            </w:tcBorders>
            <w:shd w:val="clear" w:color="auto" w:fill="auto"/>
            <w:vAlign w:val="center"/>
            <w:hideMark/>
          </w:tcPr>
          <w:p w14:paraId="2ADB66A4"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3</w:t>
            </w:r>
          </w:p>
        </w:tc>
        <w:tc>
          <w:tcPr>
            <w:tcW w:w="992" w:type="dxa"/>
            <w:tcBorders>
              <w:top w:val="nil"/>
              <w:left w:val="nil"/>
              <w:bottom w:val="single" w:sz="8" w:space="0" w:color="auto"/>
              <w:right w:val="single" w:sz="8" w:space="0" w:color="auto"/>
            </w:tcBorders>
            <w:shd w:val="clear" w:color="auto" w:fill="auto"/>
            <w:vAlign w:val="center"/>
            <w:hideMark/>
          </w:tcPr>
          <w:p w14:paraId="3DFD7E1D"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4</w:t>
            </w:r>
          </w:p>
        </w:tc>
        <w:tc>
          <w:tcPr>
            <w:tcW w:w="929" w:type="dxa"/>
            <w:tcBorders>
              <w:top w:val="nil"/>
              <w:left w:val="nil"/>
              <w:bottom w:val="single" w:sz="8" w:space="0" w:color="auto"/>
              <w:right w:val="single" w:sz="8" w:space="0" w:color="auto"/>
            </w:tcBorders>
            <w:shd w:val="clear" w:color="auto" w:fill="auto"/>
            <w:vAlign w:val="center"/>
            <w:hideMark/>
          </w:tcPr>
          <w:p w14:paraId="40DC04E3"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5=4-3</w:t>
            </w:r>
          </w:p>
        </w:tc>
        <w:tc>
          <w:tcPr>
            <w:tcW w:w="921" w:type="dxa"/>
            <w:tcBorders>
              <w:top w:val="nil"/>
              <w:left w:val="nil"/>
              <w:bottom w:val="single" w:sz="8" w:space="0" w:color="auto"/>
              <w:right w:val="single" w:sz="8" w:space="0" w:color="auto"/>
            </w:tcBorders>
            <w:shd w:val="clear" w:color="auto" w:fill="auto"/>
            <w:vAlign w:val="center"/>
            <w:hideMark/>
          </w:tcPr>
          <w:p w14:paraId="53B456F3"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6=4*100/3</w:t>
            </w:r>
          </w:p>
        </w:tc>
        <w:tc>
          <w:tcPr>
            <w:tcW w:w="844" w:type="dxa"/>
            <w:tcBorders>
              <w:top w:val="nil"/>
              <w:left w:val="nil"/>
              <w:bottom w:val="single" w:sz="8" w:space="0" w:color="auto"/>
              <w:right w:val="single" w:sz="8" w:space="0" w:color="auto"/>
            </w:tcBorders>
            <w:shd w:val="clear" w:color="auto" w:fill="auto"/>
            <w:vAlign w:val="center"/>
            <w:hideMark/>
          </w:tcPr>
          <w:p w14:paraId="487883FD"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7=4-2</w:t>
            </w:r>
          </w:p>
        </w:tc>
        <w:tc>
          <w:tcPr>
            <w:tcW w:w="932" w:type="dxa"/>
            <w:tcBorders>
              <w:top w:val="nil"/>
              <w:left w:val="nil"/>
              <w:bottom w:val="single" w:sz="8" w:space="0" w:color="auto"/>
              <w:right w:val="single" w:sz="8" w:space="0" w:color="auto"/>
            </w:tcBorders>
            <w:shd w:val="clear" w:color="auto" w:fill="auto"/>
            <w:vAlign w:val="center"/>
            <w:hideMark/>
          </w:tcPr>
          <w:p w14:paraId="526C6756" w14:textId="77777777" w:rsidR="00ED3980" w:rsidRPr="00CE7234" w:rsidRDefault="00ED3980" w:rsidP="00FB3794">
            <w:pPr>
              <w:spacing w:after="0" w:line="256" w:lineRule="auto"/>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8=4*100/2</w:t>
            </w:r>
          </w:p>
        </w:tc>
      </w:tr>
      <w:tr w:rsidR="00ED3980" w:rsidRPr="00CE7234" w14:paraId="60EE0C90" w14:textId="77777777" w:rsidTr="00CE7234">
        <w:trPr>
          <w:trHeight w:val="299"/>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F5D0B41" w14:textId="77777777" w:rsidR="00ED3980" w:rsidRPr="00CE7234" w:rsidRDefault="00ED3980" w:rsidP="00FB3794">
            <w:pPr>
              <w:spacing w:after="0" w:line="256" w:lineRule="auto"/>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Venituri precizate</w:t>
            </w:r>
          </w:p>
        </w:tc>
        <w:tc>
          <w:tcPr>
            <w:tcW w:w="993" w:type="dxa"/>
            <w:tcBorders>
              <w:top w:val="nil"/>
              <w:left w:val="nil"/>
              <w:bottom w:val="single" w:sz="8" w:space="0" w:color="auto"/>
              <w:right w:val="single" w:sz="8" w:space="0" w:color="auto"/>
            </w:tcBorders>
            <w:shd w:val="clear" w:color="auto" w:fill="auto"/>
            <w:vAlign w:val="center"/>
            <w:hideMark/>
          </w:tcPr>
          <w:p w14:paraId="0F85A36B" w14:textId="0E2C11AC" w:rsidR="00ED3980" w:rsidRPr="00E44817" w:rsidRDefault="00ED3980" w:rsidP="00E44817">
            <w:pPr>
              <w:spacing w:after="0" w:line="256" w:lineRule="auto"/>
              <w:jc w:val="right"/>
              <w:rPr>
                <w:rFonts w:asciiTheme="majorHAnsi" w:hAnsiTheme="majorHAnsi" w:cstheme="majorHAnsi"/>
                <w:b/>
                <w:bCs/>
                <w:iCs/>
                <w:color w:val="000000"/>
                <w:sz w:val="20"/>
                <w:szCs w:val="20"/>
                <w:lang w:val="ro-RO"/>
              </w:rPr>
            </w:pPr>
            <w:r w:rsidRPr="00E44817">
              <w:rPr>
                <w:rFonts w:asciiTheme="majorHAnsi" w:hAnsiTheme="majorHAnsi" w:cstheme="majorHAnsi"/>
                <w:b/>
                <w:bCs/>
                <w:iCs/>
                <w:color w:val="000000"/>
                <w:sz w:val="20"/>
                <w:szCs w:val="20"/>
                <w:lang w:val="ro-RO"/>
              </w:rPr>
              <w:t>19</w:t>
            </w:r>
            <w:r w:rsidR="00E44817">
              <w:rPr>
                <w:rFonts w:asciiTheme="majorHAnsi" w:hAnsiTheme="majorHAnsi" w:cstheme="majorHAnsi"/>
                <w:b/>
                <w:bCs/>
                <w:iCs/>
                <w:color w:val="000000"/>
                <w:sz w:val="20"/>
                <w:szCs w:val="20"/>
                <w:lang w:val="ro-RO"/>
              </w:rPr>
              <w:t xml:space="preserve"> </w:t>
            </w:r>
            <w:r w:rsidRPr="00E44817">
              <w:rPr>
                <w:rFonts w:asciiTheme="majorHAnsi" w:hAnsiTheme="majorHAnsi" w:cstheme="majorHAnsi"/>
                <w:b/>
                <w:bCs/>
                <w:iCs/>
                <w:color w:val="000000"/>
                <w:sz w:val="20"/>
                <w:szCs w:val="20"/>
                <w:lang w:val="ro-RO"/>
              </w:rPr>
              <w:t>628</w:t>
            </w:r>
            <w:r w:rsidR="00E44817">
              <w:rPr>
                <w:rFonts w:asciiTheme="majorHAnsi" w:hAnsiTheme="majorHAnsi" w:cstheme="majorHAnsi"/>
                <w:b/>
                <w:bCs/>
                <w:iCs/>
                <w:color w:val="000000"/>
                <w:sz w:val="20"/>
                <w:szCs w:val="20"/>
                <w:lang w:val="ro-RO"/>
              </w:rPr>
              <w:t>,</w:t>
            </w:r>
            <w:r w:rsidRPr="00E44817">
              <w:rPr>
                <w:rFonts w:asciiTheme="majorHAnsi" w:hAnsiTheme="majorHAnsi" w:cstheme="majorHAnsi"/>
                <w:b/>
                <w:bCs/>
                <w:iCs/>
                <w:color w:val="000000"/>
                <w:sz w:val="20"/>
                <w:szCs w:val="20"/>
                <w:lang w:val="ro-RO"/>
              </w:rPr>
              <w:t>9</w:t>
            </w:r>
          </w:p>
        </w:tc>
        <w:tc>
          <w:tcPr>
            <w:tcW w:w="992" w:type="dxa"/>
            <w:tcBorders>
              <w:top w:val="nil"/>
              <w:left w:val="nil"/>
              <w:bottom w:val="single" w:sz="8" w:space="0" w:color="auto"/>
              <w:right w:val="single" w:sz="8" w:space="0" w:color="auto"/>
            </w:tcBorders>
            <w:shd w:val="clear" w:color="auto" w:fill="auto"/>
            <w:vAlign w:val="center"/>
            <w:hideMark/>
          </w:tcPr>
          <w:p w14:paraId="14DAFB71" w14:textId="6538A586"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21</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869</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9</w:t>
            </w:r>
          </w:p>
        </w:tc>
        <w:tc>
          <w:tcPr>
            <w:tcW w:w="992" w:type="dxa"/>
            <w:tcBorders>
              <w:top w:val="nil"/>
              <w:left w:val="nil"/>
              <w:bottom w:val="single" w:sz="8" w:space="0" w:color="auto"/>
              <w:right w:val="single" w:sz="8" w:space="0" w:color="auto"/>
            </w:tcBorders>
            <w:shd w:val="clear" w:color="auto" w:fill="auto"/>
            <w:vAlign w:val="center"/>
            <w:hideMark/>
          </w:tcPr>
          <w:p w14:paraId="2FECE10A" w14:textId="48D89ED8"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24</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572</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1</w:t>
            </w:r>
          </w:p>
        </w:tc>
        <w:tc>
          <w:tcPr>
            <w:tcW w:w="929" w:type="dxa"/>
            <w:tcBorders>
              <w:top w:val="nil"/>
              <w:left w:val="nil"/>
              <w:bottom w:val="single" w:sz="8" w:space="0" w:color="auto"/>
              <w:right w:val="single" w:sz="8" w:space="0" w:color="auto"/>
            </w:tcBorders>
            <w:shd w:val="clear" w:color="auto" w:fill="auto"/>
            <w:vAlign w:val="center"/>
            <w:hideMark/>
          </w:tcPr>
          <w:p w14:paraId="2D81FEF2" w14:textId="3DE5D2EC"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702</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2</w:t>
            </w:r>
          </w:p>
        </w:tc>
        <w:tc>
          <w:tcPr>
            <w:tcW w:w="921" w:type="dxa"/>
            <w:tcBorders>
              <w:top w:val="nil"/>
              <w:left w:val="nil"/>
              <w:bottom w:val="single" w:sz="8" w:space="0" w:color="auto"/>
              <w:right w:val="single" w:sz="8" w:space="0" w:color="auto"/>
            </w:tcBorders>
            <w:shd w:val="clear" w:color="auto" w:fill="auto"/>
            <w:vAlign w:val="center"/>
            <w:hideMark/>
          </w:tcPr>
          <w:p w14:paraId="6F1E5A3C" w14:textId="3E32321A"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112</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4</w:t>
            </w:r>
          </w:p>
        </w:tc>
        <w:tc>
          <w:tcPr>
            <w:tcW w:w="844" w:type="dxa"/>
            <w:tcBorders>
              <w:top w:val="nil"/>
              <w:left w:val="nil"/>
              <w:bottom w:val="single" w:sz="8" w:space="0" w:color="auto"/>
              <w:right w:val="single" w:sz="8" w:space="0" w:color="auto"/>
            </w:tcBorders>
            <w:shd w:val="clear" w:color="auto" w:fill="auto"/>
            <w:vAlign w:val="center"/>
            <w:hideMark/>
          </w:tcPr>
          <w:p w14:paraId="7A78A535" w14:textId="45D4C6F6"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4</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943</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2</w:t>
            </w:r>
          </w:p>
        </w:tc>
        <w:tc>
          <w:tcPr>
            <w:tcW w:w="932" w:type="dxa"/>
            <w:tcBorders>
              <w:top w:val="nil"/>
              <w:left w:val="nil"/>
              <w:bottom w:val="single" w:sz="8" w:space="0" w:color="auto"/>
              <w:right w:val="single" w:sz="8" w:space="0" w:color="auto"/>
            </w:tcBorders>
            <w:shd w:val="clear" w:color="auto" w:fill="auto"/>
            <w:vAlign w:val="center"/>
            <w:hideMark/>
          </w:tcPr>
          <w:p w14:paraId="0166D460" w14:textId="1BDB83BE"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125</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2</w:t>
            </w:r>
          </w:p>
        </w:tc>
      </w:tr>
      <w:tr w:rsidR="00ED3980" w:rsidRPr="00CE7234" w14:paraId="67C80FE1" w14:textId="77777777" w:rsidTr="00CE7234">
        <w:trPr>
          <w:trHeight w:val="344"/>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764D82B" w14:textId="77777777" w:rsidR="00ED3980" w:rsidRPr="00CE7234" w:rsidRDefault="00ED3980" w:rsidP="00FB3794">
            <w:pPr>
              <w:spacing w:after="0" w:line="256" w:lineRule="auto"/>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Venituri executate, inclusiv:</w:t>
            </w:r>
          </w:p>
        </w:tc>
        <w:tc>
          <w:tcPr>
            <w:tcW w:w="993" w:type="dxa"/>
            <w:tcBorders>
              <w:top w:val="nil"/>
              <w:left w:val="nil"/>
              <w:bottom w:val="single" w:sz="8" w:space="0" w:color="auto"/>
              <w:right w:val="single" w:sz="8" w:space="0" w:color="auto"/>
            </w:tcBorders>
            <w:shd w:val="clear" w:color="auto" w:fill="auto"/>
            <w:vAlign w:val="center"/>
            <w:hideMark/>
          </w:tcPr>
          <w:p w14:paraId="62C59F1E" w14:textId="2DB908BB"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19</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790</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3</w:t>
            </w:r>
          </w:p>
        </w:tc>
        <w:tc>
          <w:tcPr>
            <w:tcW w:w="992" w:type="dxa"/>
            <w:tcBorders>
              <w:top w:val="nil"/>
              <w:left w:val="nil"/>
              <w:bottom w:val="single" w:sz="8" w:space="0" w:color="auto"/>
              <w:right w:val="single" w:sz="8" w:space="0" w:color="auto"/>
            </w:tcBorders>
            <w:shd w:val="clear" w:color="auto" w:fill="auto"/>
            <w:vAlign w:val="center"/>
            <w:hideMark/>
          </w:tcPr>
          <w:p w14:paraId="52763643" w14:textId="7CD1AD05" w:rsidR="00ED3980" w:rsidRPr="00CE7234" w:rsidRDefault="00ED3980" w:rsidP="00FB3794">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21</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748</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4</w:t>
            </w:r>
          </w:p>
        </w:tc>
        <w:tc>
          <w:tcPr>
            <w:tcW w:w="992" w:type="dxa"/>
            <w:tcBorders>
              <w:top w:val="nil"/>
              <w:left w:val="nil"/>
              <w:bottom w:val="single" w:sz="8" w:space="0" w:color="auto"/>
              <w:right w:val="single" w:sz="8" w:space="0" w:color="auto"/>
            </w:tcBorders>
            <w:shd w:val="clear" w:color="auto" w:fill="auto"/>
            <w:vAlign w:val="center"/>
            <w:hideMark/>
          </w:tcPr>
          <w:p w14:paraId="1C0C858E" w14:textId="7CE27AB8"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24</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285</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5</w:t>
            </w:r>
          </w:p>
        </w:tc>
        <w:tc>
          <w:tcPr>
            <w:tcW w:w="929" w:type="dxa"/>
            <w:tcBorders>
              <w:top w:val="nil"/>
              <w:left w:val="nil"/>
              <w:bottom w:val="single" w:sz="8" w:space="0" w:color="auto"/>
              <w:right w:val="single" w:sz="8" w:space="0" w:color="auto"/>
            </w:tcBorders>
            <w:shd w:val="clear" w:color="auto" w:fill="auto"/>
            <w:vAlign w:val="center"/>
            <w:hideMark/>
          </w:tcPr>
          <w:p w14:paraId="276C4A91" w14:textId="7386BD34" w:rsidR="00ED3980" w:rsidRPr="00CE7234" w:rsidRDefault="00ED3980" w:rsidP="00FB3794">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w:t>
            </w:r>
            <w:r w:rsidR="00E44817">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537.1</w:t>
            </w:r>
          </w:p>
        </w:tc>
        <w:tc>
          <w:tcPr>
            <w:tcW w:w="921" w:type="dxa"/>
            <w:tcBorders>
              <w:top w:val="nil"/>
              <w:left w:val="nil"/>
              <w:bottom w:val="single" w:sz="8" w:space="0" w:color="auto"/>
              <w:right w:val="single" w:sz="8" w:space="0" w:color="auto"/>
            </w:tcBorders>
            <w:shd w:val="clear" w:color="auto" w:fill="auto"/>
            <w:vAlign w:val="center"/>
            <w:hideMark/>
          </w:tcPr>
          <w:p w14:paraId="00755613" w14:textId="54F19541"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111</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7</w:t>
            </w:r>
          </w:p>
        </w:tc>
        <w:tc>
          <w:tcPr>
            <w:tcW w:w="844" w:type="dxa"/>
            <w:tcBorders>
              <w:top w:val="nil"/>
              <w:left w:val="nil"/>
              <w:bottom w:val="single" w:sz="8" w:space="0" w:color="auto"/>
              <w:right w:val="single" w:sz="8" w:space="0" w:color="auto"/>
            </w:tcBorders>
            <w:shd w:val="clear" w:color="auto" w:fill="auto"/>
            <w:vAlign w:val="center"/>
            <w:hideMark/>
          </w:tcPr>
          <w:p w14:paraId="3073CFA0" w14:textId="7AAE55BF"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4495</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2</w:t>
            </w:r>
          </w:p>
        </w:tc>
        <w:tc>
          <w:tcPr>
            <w:tcW w:w="932" w:type="dxa"/>
            <w:tcBorders>
              <w:top w:val="nil"/>
              <w:left w:val="nil"/>
              <w:bottom w:val="single" w:sz="8" w:space="0" w:color="auto"/>
              <w:right w:val="single" w:sz="8" w:space="0" w:color="auto"/>
            </w:tcBorders>
            <w:shd w:val="clear" w:color="auto" w:fill="auto"/>
            <w:vAlign w:val="center"/>
            <w:hideMark/>
          </w:tcPr>
          <w:p w14:paraId="65F0F3DB" w14:textId="6EBAC631" w:rsidR="00ED3980" w:rsidRPr="00CE7234" w:rsidRDefault="00ED3980" w:rsidP="00E44817">
            <w:pPr>
              <w:spacing w:after="0" w:line="256" w:lineRule="auto"/>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122</w:t>
            </w:r>
            <w:r w:rsidR="00E44817">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7</w:t>
            </w:r>
          </w:p>
        </w:tc>
      </w:tr>
      <w:tr w:rsidR="00ED3980" w:rsidRPr="00CE7234" w14:paraId="2F357D24" w14:textId="77777777" w:rsidTr="00FB3794">
        <w:trPr>
          <w:trHeight w:val="36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11621E1" w14:textId="77777777" w:rsidR="00ED3980" w:rsidRPr="00CE7234" w:rsidRDefault="00ED3980" w:rsidP="00FB3794">
            <w:pPr>
              <w:spacing w:after="0" w:line="240" w:lineRule="auto"/>
              <w:jc w:val="both"/>
              <w:rPr>
                <w:rFonts w:asciiTheme="majorHAnsi" w:hAnsiTheme="majorHAnsi" w:cstheme="majorHAnsi"/>
                <w:b/>
                <w:i/>
                <w:iCs/>
                <w:color w:val="000000"/>
                <w:sz w:val="20"/>
                <w:szCs w:val="20"/>
                <w:lang w:val="ro-RO"/>
              </w:rPr>
            </w:pPr>
            <w:r w:rsidRPr="00CE7234">
              <w:rPr>
                <w:rFonts w:asciiTheme="majorHAnsi" w:hAnsiTheme="majorHAnsi" w:cstheme="majorHAnsi"/>
                <w:b/>
                <w:i/>
                <w:iCs/>
                <w:color w:val="000000"/>
                <w:sz w:val="20"/>
                <w:szCs w:val="20"/>
                <w:lang w:val="ro-RO"/>
              </w:rPr>
              <w:t>Contribuții şi prime de asigurări sociale de stat obligatorii</w:t>
            </w:r>
          </w:p>
        </w:tc>
        <w:tc>
          <w:tcPr>
            <w:tcW w:w="993" w:type="dxa"/>
            <w:tcBorders>
              <w:top w:val="nil"/>
              <w:left w:val="nil"/>
              <w:bottom w:val="single" w:sz="8" w:space="0" w:color="auto"/>
              <w:right w:val="single" w:sz="8" w:space="0" w:color="auto"/>
            </w:tcBorders>
            <w:shd w:val="clear" w:color="auto" w:fill="auto"/>
            <w:vAlign w:val="center"/>
            <w:hideMark/>
          </w:tcPr>
          <w:p w14:paraId="491E60DF" w14:textId="441F2A42"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13</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037</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9</w:t>
            </w:r>
          </w:p>
        </w:tc>
        <w:tc>
          <w:tcPr>
            <w:tcW w:w="992" w:type="dxa"/>
            <w:tcBorders>
              <w:top w:val="nil"/>
              <w:left w:val="nil"/>
              <w:bottom w:val="single" w:sz="8" w:space="0" w:color="auto"/>
              <w:right w:val="single" w:sz="8" w:space="0" w:color="auto"/>
            </w:tcBorders>
            <w:shd w:val="clear" w:color="auto" w:fill="auto"/>
            <w:vAlign w:val="center"/>
            <w:hideMark/>
          </w:tcPr>
          <w:p w14:paraId="2D772454" w14:textId="0D3F2704"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13</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635</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6</w:t>
            </w:r>
          </w:p>
        </w:tc>
        <w:tc>
          <w:tcPr>
            <w:tcW w:w="992" w:type="dxa"/>
            <w:tcBorders>
              <w:top w:val="nil"/>
              <w:left w:val="nil"/>
              <w:bottom w:val="single" w:sz="8" w:space="0" w:color="auto"/>
              <w:right w:val="single" w:sz="8" w:space="0" w:color="auto"/>
            </w:tcBorders>
            <w:shd w:val="clear" w:color="auto" w:fill="auto"/>
            <w:vAlign w:val="center"/>
            <w:hideMark/>
          </w:tcPr>
          <w:p w14:paraId="4EB97D3C" w14:textId="3EA95173"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14295</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4</w:t>
            </w:r>
          </w:p>
        </w:tc>
        <w:tc>
          <w:tcPr>
            <w:tcW w:w="929" w:type="dxa"/>
            <w:tcBorders>
              <w:top w:val="nil"/>
              <w:left w:val="nil"/>
              <w:bottom w:val="single" w:sz="8" w:space="0" w:color="auto"/>
              <w:right w:val="single" w:sz="8" w:space="0" w:color="auto"/>
            </w:tcBorders>
            <w:shd w:val="clear" w:color="auto" w:fill="auto"/>
            <w:vAlign w:val="center"/>
            <w:hideMark/>
          </w:tcPr>
          <w:p w14:paraId="3D065504" w14:textId="6DE4F227"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659</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8</w:t>
            </w:r>
          </w:p>
        </w:tc>
        <w:tc>
          <w:tcPr>
            <w:tcW w:w="921" w:type="dxa"/>
            <w:tcBorders>
              <w:top w:val="nil"/>
              <w:left w:val="nil"/>
              <w:bottom w:val="single" w:sz="8" w:space="0" w:color="auto"/>
              <w:right w:val="single" w:sz="8" w:space="0" w:color="auto"/>
            </w:tcBorders>
            <w:shd w:val="clear" w:color="auto" w:fill="auto"/>
            <w:vAlign w:val="center"/>
            <w:hideMark/>
          </w:tcPr>
          <w:p w14:paraId="36F85BB6" w14:textId="4AB18320"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104</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8</w:t>
            </w:r>
          </w:p>
        </w:tc>
        <w:tc>
          <w:tcPr>
            <w:tcW w:w="844" w:type="dxa"/>
            <w:tcBorders>
              <w:top w:val="nil"/>
              <w:left w:val="nil"/>
              <w:bottom w:val="single" w:sz="8" w:space="0" w:color="auto"/>
              <w:right w:val="single" w:sz="8" w:space="0" w:color="auto"/>
            </w:tcBorders>
            <w:shd w:val="clear" w:color="auto" w:fill="auto"/>
            <w:vAlign w:val="center"/>
            <w:hideMark/>
          </w:tcPr>
          <w:p w14:paraId="70E3261D" w14:textId="5F494D2E"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w:t>
            </w:r>
            <w:r w:rsidR="00E44817">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257</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5</w:t>
            </w:r>
          </w:p>
        </w:tc>
        <w:tc>
          <w:tcPr>
            <w:tcW w:w="932" w:type="dxa"/>
            <w:tcBorders>
              <w:top w:val="nil"/>
              <w:left w:val="nil"/>
              <w:bottom w:val="single" w:sz="8" w:space="0" w:color="auto"/>
              <w:right w:val="single" w:sz="8" w:space="0" w:color="auto"/>
            </w:tcBorders>
            <w:shd w:val="clear" w:color="auto" w:fill="auto"/>
            <w:vAlign w:val="center"/>
            <w:hideMark/>
          </w:tcPr>
          <w:p w14:paraId="553A0DEF" w14:textId="17E40DCB"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109</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6</w:t>
            </w:r>
          </w:p>
        </w:tc>
      </w:tr>
      <w:tr w:rsidR="00ED3980" w:rsidRPr="00CE7234" w14:paraId="76B757B0" w14:textId="77777777" w:rsidTr="00FB3794">
        <w:trPr>
          <w:trHeight w:val="29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20E9676" w14:textId="77777777" w:rsidR="00ED3980" w:rsidRPr="00CE7234" w:rsidRDefault="00ED3980" w:rsidP="00FB3794">
            <w:pPr>
              <w:spacing w:after="0" w:line="240" w:lineRule="auto"/>
              <w:rPr>
                <w:rFonts w:asciiTheme="majorHAnsi" w:hAnsiTheme="majorHAnsi" w:cstheme="majorHAnsi"/>
                <w:b/>
                <w:i/>
                <w:iCs/>
                <w:color w:val="000000"/>
                <w:sz w:val="20"/>
                <w:szCs w:val="20"/>
                <w:lang w:val="ro-RO"/>
              </w:rPr>
            </w:pPr>
            <w:r w:rsidRPr="00CE7234">
              <w:rPr>
                <w:rFonts w:asciiTheme="majorHAnsi" w:hAnsiTheme="majorHAnsi" w:cstheme="majorHAnsi"/>
                <w:b/>
                <w:i/>
                <w:iCs/>
                <w:color w:val="000000"/>
                <w:sz w:val="20"/>
                <w:szCs w:val="20"/>
                <w:lang w:val="ro-RO"/>
              </w:rPr>
              <w:t>Alte venituri</w:t>
            </w:r>
          </w:p>
        </w:tc>
        <w:tc>
          <w:tcPr>
            <w:tcW w:w="993" w:type="dxa"/>
            <w:tcBorders>
              <w:top w:val="nil"/>
              <w:left w:val="nil"/>
              <w:bottom w:val="single" w:sz="8" w:space="0" w:color="auto"/>
              <w:right w:val="single" w:sz="8" w:space="0" w:color="auto"/>
            </w:tcBorders>
            <w:shd w:val="clear" w:color="auto" w:fill="auto"/>
            <w:vAlign w:val="center"/>
            <w:hideMark/>
          </w:tcPr>
          <w:p w14:paraId="74AEF22C" w14:textId="7E242218"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82</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1</w:t>
            </w:r>
          </w:p>
        </w:tc>
        <w:tc>
          <w:tcPr>
            <w:tcW w:w="992" w:type="dxa"/>
            <w:tcBorders>
              <w:top w:val="nil"/>
              <w:left w:val="nil"/>
              <w:bottom w:val="single" w:sz="8" w:space="0" w:color="auto"/>
              <w:right w:val="single" w:sz="8" w:space="0" w:color="auto"/>
            </w:tcBorders>
            <w:shd w:val="clear" w:color="auto" w:fill="auto"/>
            <w:vAlign w:val="center"/>
            <w:hideMark/>
          </w:tcPr>
          <w:p w14:paraId="768D82DC" w14:textId="75403402"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155</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6</w:t>
            </w:r>
          </w:p>
        </w:tc>
        <w:tc>
          <w:tcPr>
            <w:tcW w:w="992" w:type="dxa"/>
            <w:tcBorders>
              <w:top w:val="nil"/>
              <w:left w:val="nil"/>
              <w:bottom w:val="single" w:sz="8" w:space="0" w:color="auto"/>
              <w:right w:val="single" w:sz="8" w:space="0" w:color="auto"/>
            </w:tcBorders>
            <w:shd w:val="clear" w:color="auto" w:fill="auto"/>
            <w:vAlign w:val="center"/>
            <w:hideMark/>
          </w:tcPr>
          <w:p w14:paraId="2DE21BF2" w14:textId="3657EA5A"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220</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8</w:t>
            </w:r>
          </w:p>
        </w:tc>
        <w:tc>
          <w:tcPr>
            <w:tcW w:w="929" w:type="dxa"/>
            <w:tcBorders>
              <w:top w:val="nil"/>
              <w:left w:val="nil"/>
              <w:bottom w:val="single" w:sz="8" w:space="0" w:color="auto"/>
              <w:right w:val="single" w:sz="8" w:space="0" w:color="auto"/>
            </w:tcBorders>
            <w:shd w:val="clear" w:color="auto" w:fill="auto"/>
            <w:vAlign w:val="center"/>
            <w:hideMark/>
          </w:tcPr>
          <w:p w14:paraId="5656EDA7" w14:textId="78CA073F"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65</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2</w:t>
            </w:r>
          </w:p>
        </w:tc>
        <w:tc>
          <w:tcPr>
            <w:tcW w:w="921" w:type="dxa"/>
            <w:tcBorders>
              <w:top w:val="nil"/>
              <w:left w:val="nil"/>
              <w:bottom w:val="single" w:sz="8" w:space="0" w:color="auto"/>
              <w:right w:val="single" w:sz="8" w:space="0" w:color="auto"/>
            </w:tcBorders>
            <w:shd w:val="clear" w:color="auto" w:fill="auto"/>
            <w:vAlign w:val="center"/>
            <w:hideMark/>
          </w:tcPr>
          <w:p w14:paraId="5FE7F83B" w14:textId="2C93BDDC"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141</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c>
          <w:tcPr>
            <w:tcW w:w="844" w:type="dxa"/>
            <w:tcBorders>
              <w:top w:val="nil"/>
              <w:left w:val="nil"/>
              <w:bottom w:val="single" w:sz="8" w:space="0" w:color="auto"/>
              <w:right w:val="single" w:sz="8" w:space="0" w:color="auto"/>
            </w:tcBorders>
            <w:shd w:val="clear" w:color="auto" w:fill="auto"/>
            <w:vAlign w:val="center"/>
            <w:hideMark/>
          </w:tcPr>
          <w:p w14:paraId="612AE418" w14:textId="4E55AE10"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138</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7</w:t>
            </w:r>
          </w:p>
        </w:tc>
        <w:tc>
          <w:tcPr>
            <w:tcW w:w="932" w:type="dxa"/>
            <w:tcBorders>
              <w:top w:val="nil"/>
              <w:left w:val="nil"/>
              <w:bottom w:val="single" w:sz="8" w:space="0" w:color="auto"/>
              <w:right w:val="single" w:sz="8" w:space="0" w:color="auto"/>
            </w:tcBorders>
            <w:shd w:val="clear" w:color="auto" w:fill="auto"/>
            <w:vAlign w:val="center"/>
            <w:hideMark/>
          </w:tcPr>
          <w:p w14:paraId="457D65CE" w14:textId="11EEF4A4"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268</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r>
      <w:tr w:rsidR="00ED3980" w:rsidRPr="00CE7234" w14:paraId="50BF0E33" w14:textId="77777777" w:rsidTr="00FB3794">
        <w:trPr>
          <w:trHeight w:val="596"/>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2AC028E" w14:textId="77777777" w:rsidR="00ED3980" w:rsidRPr="00CE7234" w:rsidRDefault="00ED3980" w:rsidP="00FB3794">
            <w:pPr>
              <w:spacing w:after="0" w:line="240" w:lineRule="auto"/>
              <w:jc w:val="both"/>
              <w:rPr>
                <w:rFonts w:asciiTheme="majorHAnsi" w:hAnsiTheme="majorHAnsi" w:cstheme="majorHAnsi"/>
                <w:b/>
                <w:i/>
                <w:iCs/>
                <w:color w:val="000000"/>
                <w:sz w:val="20"/>
                <w:szCs w:val="20"/>
                <w:lang w:val="ro-RO"/>
              </w:rPr>
            </w:pPr>
            <w:r w:rsidRPr="00CE7234">
              <w:rPr>
                <w:rFonts w:asciiTheme="majorHAnsi" w:hAnsiTheme="majorHAnsi" w:cstheme="majorHAnsi"/>
                <w:b/>
                <w:i/>
                <w:iCs/>
                <w:color w:val="000000"/>
                <w:sz w:val="20"/>
                <w:szCs w:val="20"/>
                <w:lang w:val="ro-RO"/>
              </w:rPr>
              <w:t>Transferuri curente primite cu destinație specială între bugetul de stat şi bugetul asigurărilor sociale de stat</w:t>
            </w:r>
          </w:p>
        </w:tc>
        <w:tc>
          <w:tcPr>
            <w:tcW w:w="993" w:type="dxa"/>
            <w:tcBorders>
              <w:top w:val="nil"/>
              <w:left w:val="nil"/>
              <w:bottom w:val="single" w:sz="8" w:space="0" w:color="auto"/>
              <w:right w:val="single" w:sz="8" w:space="0" w:color="auto"/>
            </w:tcBorders>
            <w:shd w:val="clear" w:color="auto" w:fill="auto"/>
            <w:vAlign w:val="center"/>
            <w:hideMark/>
          </w:tcPr>
          <w:p w14:paraId="4BEAF919" w14:textId="426D184C"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5</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556</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4</w:t>
            </w:r>
          </w:p>
        </w:tc>
        <w:tc>
          <w:tcPr>
            <w:tcW w:w="992" w:type="dxa"/>
            <w:tcBorders>
              <w:top w:val="nil"/>
              <w:left w:val="nil"/>
              <w:bottom w:val="single" w:sz="8" w:space="0" w:color="auto"/>
              <w:right w:val="single" w:sz="8" w:space="0" w:color="auto"/>
            </w:tcBorders>
            <w:shd w:val="clear" w:color="auto" w:fill="auto"/>
            <w:vAlign w:val="center"/>
            <w:hideMark/>
          </w:tcPr>
          <w:p w14:paraId="10630322" w14:textId="5B3DA6F7"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5</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969</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3</w:t>
            </w:r>
          </w:p>
        </w:tc>
        <w:tc>
          <w:tcPr>
            <w:tcW w:w="992" w:type="dxa"/>
            <w:tcBorders>
              <w:top w:val="nil"/>
              <w:left w:val="nil"/>
              <w:bottom w:val="single" w:sz="8" w:space="0" w:color="auto"/>
              <w:right w:val="single" w:sz="8" w:space="0" w:color="auto"/>
            </w:tcBorders>
            <w:shd w:val="clear" w:color="auto" w:fill="auto"/>
            <w:vAlign w:val="center"/>
            <w:hideMark/>
          </w:tcPr>
          <w:p w14:paraId="417BFB08" w14:textId="4B67C815"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7</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214</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8</w:t>
            </w:r>
          </w:p>
        </w:tc>
        <w:tc>
          <w:tcPr>
            <w:tcW w:w="929" w:type="dxa"/>
            <w:tcBorders>
              <w:top w:val="nil"/>
              <w:left w:val="nil"/>
              <w:bottom w:val="single" w:sz="8" w:space="0" w:color="auto"/>
              <w:right w:val="single" w:sz="8" w:space="0" w:color="auto"/>
            </w:tcBorders>
            <w:shd w:val="clear" w:color="auto" w:fill="auto"/>
            <w:vAlign w:val="center"/>
            <w:hideMark/>
          </w:tcPr>
          <w:p w14:paraId="4C5A26EA" w14:textId="20AE23DB"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w:t>
            </w:r>
            <w:r w:rsidR="00E44817">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245</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5</w:t>
            </w:r>
          </w:p>
        </w:tc>
        <w:tc>
          <w:tcPr>
            <w:tcW w:w="921" w:type="dxa"/>
            <w:tcBorders>
              <w:top w:val="nil"/>
              <w:left w:val="nil"/>
              <w:bottom w:val="single" w:sz="8" w:space="0" w:color="auto"/>
              <w:right w:val="single" w:sz="8" w:space="0" w:color="auto"/>
            </w:tcBorders>
            <w:shd w:val="clear" w:color="auto" w:fill="auto"/>
            <w:vAlign w:val="center"/>
            <w:hideMark/>
          </w:tcPr>
          <w:p w14:paraId="3993C403" w14:textId="7434B6EC"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120</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c>
          <w:tcPr>
            <w:tcW w:w="844" w:type="dxa"/>
            <w:tcBorders>
              <w:top w:val="nil"/>
              <w:left w:val="nil"/>
              <w:bottom w:val="single" w:sz="8" w:space="0" w:color="auto"/>
              <w:right w:val="single" w:sz="8" w:space="0" w:color="auto"/>
            </w:tcBorders>
            <w:shd w:val="clear" w:color="auto" w:fill="auto"/>
            <w:vAlign w:val="center"/>
            <w:hideMark/>
          </w:tcPr>
          <w:p w14:paraId="74D37B3B" w14:textId="6F8A9ACA"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w:t>
            </w:r>
            <w:r w:rsidR="00E44817">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658</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4</w:t>
            </w:r>
          </w:p>
        </w:tc>
        <w:tc>
          <w:tcPr>
            <w:tcW w:w="932" w:type="dxa"/>
            <w:tcBorders>
              <w:top w:val="nil"/>
              <w:left w:val="nil"/>
              <w:bottom w:val="single" w:sz="8" w:space="0" w:color="auto"/>
              <w:right w:val="single" w:sz="8" w:space="0" w:color="auto"/>
            </w:tcBorders>
            <w:shd w:val="clear" w:color="auto" w:fill="auto"/>
            <w:vAlign w:val="center"/>
            <w:hideMark/>
          </w:tcPr>
          <w:p w14:paraId="702B85F5" w14:textId="48846415"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129</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8</w:t>
            </w:r>
          </w:p>
        </w:tc>
      </w:tr>
      <w:tr w:rsidR="00ED3980" w:rsidRPr="00CE7234" w14:paraId="24589A63" w14:textId="77777777" w:rsidTr="00FB3794">
        <w:trPr>
          <w:trHeight w:val="31"/>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C90A0A7" w14:textId="77777777" w:rsidR="00ED3980" w:rsidRPr="00CE7234" w:rsidRDefault="00ED3980" w:rsidP="00FB3794">
            <w:pPr>
              <w:spacing w:after="0" w:line="240" w:lineRule="auto"/>
              <w:jc w:val="both"/>
              <w:rPr>
                <w:rFonts w:asciiTheme="majorHAnsi" w:hAnsiTheme="majorHAnsi" w:cstheme="majorHAnsi"/>
                <w:b/>
                <w:i/>
                <w:iCs/>
                <w:color w:val="000000"/>
                <w:sz w:val="20"/>
                <w:szCs w:val="20"/>
                <w:lang w:val="ro-RO"/>
              </w:rPr>
            </w:pPr>
            <w:r w:rsidRPr="00CE7234">
              <w:rPr>
                <w:rFonts w:asciiTheme="majorHAnsi" w:hAnsiTheme="majorHAnsi" w:cstheme="majorHAnsi"/>
                <w:b/>
                <w:i/>
                <w:iCs/>
                <w:color w:val="000000"/>
                <w:sz w:val="20"/>
                <w:szCs w:val="20"/>
                <w:lang w:val="ro-RO"/>
              </w:rPr>
              <w:t>Transferuri curente primite cu destinație generală între bugetul de stat şi bugetul asigurărilor sociale de stat</w:t>
            </w:r>
          </w:p>
        </w:tc>
        <w:tc>
          <w:tcPr>
            <w:tcW w:w="993" w:type="dxa"/>
            <w:tcBorders>
              <w:top w:val="nil"/>
              <w:left w:val="nil"/>
              <w:bottom w:val="single" w:sz="8" w:space="0" w:color="auto"/>
              <w:right w:val="single" w:sz="8" w:space="0" w:color="auto"/>
            </w:tcBorders>
            <w:shd w:val="clear" w:color="auto" w:fill="auto"/>
            <w:vAlign w:val="center"/>
            <w:hideMark/>
          </w:tcPr>
          <w:p w14:paraId="6370169C" w14:textId="18E3D923"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113</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9</w:t>
            </w:r>
          </w:p>
        </w:tc>
        <w:tc>
          <w:tcPr>
            <w:tcW w:w="992" w:type="dxa"/>
            <w:tcBorders>
              <w:top w:val="nil"/>
              <w:left w:val="nil"/>
              <w:bottom w:val="single" w:sz="8" w:space="0" w:color="auto"/>
              <w:right w:val="single" w:sz="8" w:space="0" w:color="auto"/>
            </w:tcBorders>
            <w:shd w:val="clear" w:color="auto" w:fill="auto"/>
            <w:vAlign w:val="center"/>
            <w:hideMark/>
          </w:tcPr>
          <w:p w14:paraId="5E2046BF" w14:textId="1B6AD2AD"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987</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7</w:t>
            </w:r>
          </w:p>
        </w:tc>
        <w:tc>
          <w:tcPr>
            <w:tcW w:w="992" w:type="dxa"/>
            <w:tcBorders>
              <w:top w:val="nil"/>
              <w:left w:val="nil"/>
              <w:bottom w:val="single" w:sz="8" w:space="0" w:color="auto"/>
              <w:right w:val="single" w:sz="8" w:space="0" w:color="auto"/>
            </w:tcBorders>
            <w:shd w:val="clear" w:color="auto" w:fill="auto"/>
            <w:vAlign w:val="center"/>
            <w:hideMark/>
          </w:tcPr>
          <w:p w14:paraId="1746F2B1" w14:textId="5F6FB93D" w:rsidR="00ED3980" w:rsidRPr="00CE7234" w:rsidRDefault="00ED3980" w:rsidP="00E44817">
            <w:pPr>
              <w:spacing w:after="0" w:line="256" w:lineRule="auto"/>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2</w:t>
            </w:r>
            <w:r w:rsidR="00E44817">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554</w:t>
            </w:r>
            <w:r w:rsidR="00E44817">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6</w:t>
            </w:r>
          </w:p>
        </w:tc>
        <w:tc>
          <w:tcPr>
            <w:tcW w:w="929" w:type="dxa"/>
            <w:tcBorders>
              <w:top w:val="nil"/>
              <w:left w:val="nil"/>
              <w:bottom w:val="single" w:sz="8" w:space="0" w:color="auto"/>
              <w:right w:val="single" w:sz="8" w:space="0" w:color="auto"/>
            </w:tcBorders>
            <w:shd w:val="clear" w:color="auto" w:fill="auto"/>
            <w:vAlign w:val="center"/>
            <w:hideMark/>
          </w:tcPr>
          <w:p w14:paraId="17D939F5" w14:textId="320D0964"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566</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c>
          <w:tcPr>
            <w:tcW w:w="921" w:type="dxa"/>
            <w:tcBorders>
              <w:top w:val="nil"/>
              <w:left w:val="nil"/>
              <w:bottom w:val="single" w:sz="8" w:space="0" w:color="auto"/>
              <w:right w:val="single" w:sz="8" w:space="0" w:color="auto"/>
            </w:tcBorders>
            <w:shd w:val="clear" w:color="auto" w:fill="auto"/>
            <w:vAlign w:val="center"/>
            <w:hideMark/>
          </w:tcPr>
          <w:p w14:paraId="039134B0" w14:textId="03DA5A7F"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128</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5</w:t>
            </w:r>
          </w:p>
        </w:tc>
        <w:tc>
          <w:tcPr>
            <w:tcW w:w="844" w:type="dxa"/>
            <w:tcBorders>
              <w:top w:val="nil"/>
              <w:left w:val="nil"/>
              <w:bottom w:val="single" w:sz="8" w:space="0" w:color="auto"/>
              <w:right w:val="single" w:sz="8" w:space="0" w:color="auto"/>
            </w:tcBorders>
            <w:shd w:val="clear" w:color="auto" w:fill="auto"/>
            <w:vAlign w:val="center"/>
            <w:hideMark/>
          </w:tcPr>
          <w:p w14:paraId="749EFEC1" w14:textId="4A8F44F3"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w:t>
            </w:r>
            <w:r w:rsidR="00E44817">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440</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7</w:t>
            </w:r>
          </w:p>
        </w:tc>
        <w:tc>
          <w:tcPr>
            <w:tcW w:w="932" w:type="dxa"/>
            <w:tcBorders>
              <w:top w:val="nil"/>
              <w:left w:val="nil"/>
              <w:bottom w:val="single" w:sz="8" w:space="0" w:color="auto"/>
              <w:right w:val="single" w:sz="8" w:space="0" w:color="auto"/>
            </w:tcBorders>
            <w:shd w:val="clear" w:color="auto" w:fill="auto"/>
            <w:vAlign w:val="center"/>
            <w:hideMark/>
          </w:tcPr>
          <w:p w14:paraId="12A02282" w14:textId="7A283294" w:rsidR="00ED3980" w:rsidRPr="00CE7234" w:rsidRDefault="00ED3980" w:rsidP="00E44817">
            <w:pPr>
              <w:spacing w:after="0" w:line="256" w:lineRule="auto"/>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229</w:t>
            </w:r>
            <w:r w:rsidR="00E44817">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3</w:t>
            </w:r>
          </w:p>
        </w:tc>
      </w:tr>
    </w:tbl>
    <w:p w14:paraId="7627948A" w14:textId="77777777" w:rsidR="00ED3980" w:rsidRPr="00CE7234" w:rsidRDefault="00ED3980" w:rsidP="00ED3980">
      <w:pPr>
        <w:spacing w:after="0" w:line="240" w:lineRule="auto"/>
        <w:jc w:val="both"/>
        <w:rPr>
          <w:rFonts w:asciiTheme="majorHAnsi" w:eastAsia="Times New Roman" w:hAnsiTheme="majorHAnsi" w:cstheme="majorHAnsi"/>
          <w:bCs/>
          <w:i/>
          <w:sz w:val="20"/>
          <w:szCs w:val="20"/>
          <w:lang w:val="ro-MD"/>
        </w:rPr>
      </w:pPr>
      <w:r w:rsidRPr="00CE7234">
        <w:rPr>
          <w:rFonts w:asciiTheme="majorHAnsi" w:eastAsia="Times New Roman" w:hAnsiTheme="majorHAnsi" w:cstheme="majorHAnsi"/>
          <w:b/>
          <w:bCs/>
          <w:i/>
          <w:sz w:val="20"/>
          <w:szCs w:val="20"/>
          <w:lang w:val="ro-MD"/>
        </w:rPr>
        <w:t>Sursă:</w:t>
      </w:r>
      <w:r w:rsidRPr="00CE7234">
        <w:rPr>
          <w:rFonts w:asciiTheme="majorHAnsi" w:eastAsia="Times New Roman" w:hAnsiTheme="majorHAnsi" w:cstheme="majorHAnsi"/>
          <w:bCs/>
          <w:i/>
          <w:sz w:val="20"/>
          <w:szCs w:val="20"/>
          <w:lang w:val="ro-MD"/>
        </w:rPr>
        <w:t xml:space="preserve"> Informații generalizate de echipa de audit din Rapoartele privind executarea bugetului asigurărilor sociale de stat pe anii 2018 - 2020.</w:t>
      </w:r>
    </w:p>
    <w:p w14:paraId="677A6465" w14:textId="77777777" w:rsidR="00ED3980" w:rsidRPr="00CE7234" w:rsidRDefault="00ED3980" w:rsidP="00ED3980">
      <w:pPr>
        <w:spacing w:after="0" w:line="276" w:lineRule="auto"/>
        <w:rPr>
          <w:rFonts w:asciiTheme="majorHAnsi" w:hAnsiTheme="majorHAnsi" w:cstheme="majorHAnsi"/>
          <w:sz w:val="24"/>
          <w:szCs w:val="24"/>
          <w:lang w:val="ro-MD"/>
        </w:rPr>
      </w:pPr>
    </w:p>
    <w:p w14:paraId="5D6A770B" w14:textId="17BAB339" w:rsidR="00ED3980" w:rsidRPr="00CE7234" w:rsidRDefault="00ED3980" w:rsidP="00ED3980">
      <w:pPr>
        <w:spacing w:after="0" w:line="276" w:lineRule="auto"/>
        <w:jc w:val="both"/>
        <w:rPr>
          <w:rFonts w:asciiTheme="majorHAnsi" w:eastAsia="Times New Roman" w:hAnsiTheme="majorHAnsi" w:cstheme="majorHAnsi"/>
          <w:sz w:val="24"/>
          <w:szCs w:val="24"/>
          <w:lang w:val="ro-RO"/>
        </w:rPr>
      </w:pPr>
      <w:r w:rsidRPr="00CE7234">
        <w:rPr>
          <w:rFonts w:asciiTheme="majorHAnsi" w:eastAsia="Times New Roman" w:hAnsiTheme="majorHAnsi" w:cstheme="majorHAnsi"/>
          <w:sz w:val="24"/>
          <w:szCs w:val="24"/>
          <w:lang w:val="ro-RO"/>
        </w:rPr>
        <w:t xml:space="preserve">Se atestă că ponderea majoră în structura veniturilor bugetului asigurărilor sociale de stat o dețin </w:t>
      </w:r>
      <w:r w:rsidRPr="00CE7234">
        <w:rPr>
          <w:rFonts w:asciiTheme="majorHAnsi" w:eastAsia="Times New Roman" w:hAnsiTheme="majorHAnsi" w:cstheme="majorHAnsi"/>
          <w:b/>
          <w:sz w:val="24"/>
          <w:szCs w:val="24"/>
          <w:lang w:val="ro-RO"/>
        </w:rPr>
        <w:t>contribuțiile și primele de asigurări sociale de stat obligatorii</w:t>
      </w:r>
      <w:r w:rsidRPr="00CE7234">
        <w:rPr>
          <w:rFonts w:asciiTheme="majorHAnsi" w:eastAsia="Times New Roman" w:hAnsiTheme="majorHAnsi" w:cstheme="majorHAnsi"/>
          <w:sz w:val="24"/>
          <w:szCs w:val="24"/>
          <w:lang w:val="ro-RO"/>
        </w:rPr>
        <w:t xml:space="preserve"> – 65,9%, fiind încasate în sumă de </w:t>
      </w:r>
      <w:r w:rsidR="00EC60AC">
        <w:rPr>
          <w:rFonts w:asciiTheme="majorHAnsi" w:eastAsia="Times New Roman" w:hAnsiTheme="majorHAnsi" w:cstheme="majorHAnsi"/>
          <w:b/>
          <w:sz w:val="24"/>
          <w:szCs w:val="24"/>
          <w:lang w:val="ro-RO"/>
        </w:rPr>
        <w:t>14</w:t>
      </w:r>
      <w:r w:rsidRPr="00CE7234">
        <w:rPr>
          <w:rFonts w:asciiTheme="majorHAnsi" w:eastAsia="Times New Roman" w:hAnsiTheme="majorHAnsi" w:cstheme="majorHAnsi"/>
          <w:b/>
          <w:sz w:val="24"/>
          <w:szCs w:val="24"/>
          <w:lang w:val="ro-RO"/>
        </w:rPr>
        <w:t>295,4 mil. lei</w:t>
      </w:r>
      <w:r w:rsidRPr="00CE7234">
        <w:rPr>
          <w:rFonts w:asciiTheme="majorHAnsi" w:eastAsia="Times New Roman" w:hAnsiTheme="majorHAnsi" w:cstheme="majorHAnsi"/>
          <w:sz w:val="24"/>
          <w:szCs w:val="24"/>
          <w:lang w:val="ro-RO"/>
        </w:rPr>
        <w:t>, cu 271,6 mil. lei mai mult decât nivelul precizat și cu 659,8 mil lei mai mult comparativ anului precedent. Creșterea a fost determinată de majorarea fondului de remunerare pentru unele categorii de salariați, în contextul modificărilor</w:t>
      </w:r>
      <w:r w:rsidRPr="00CE7234">
        <w:rPr>
          <w:rStyle w:val="FootnoteReference"/>
          <w:rFonts w:asciiTheme="majorHAnsi" w:eastAsia="Times New Roman" w:hAnsiTheme="majorHAnsi" w:cstheme="majorHAnsi"/>
          <w:sz w:val="24"/>
          <w:szCs w:val="24"/>
          <w:lang w:val="ro-RO"/>
        </w:rPr>
        <w:footnoteReference w:id="11"/>
      </w:r>
      <w:r w:rsidR="00143DE8">
        <w:rPr>
          <w:rFonts w:asciiTheme="majorHAnsi" w:eastAsia="Times New Roman" w:hAnsiTheme="majorHAnsi" w:cstheme="majorHAnsi"/>
          <w:sz w:val="24"/>
          <w:szCs w:val="24"/>
          <w:lang w:val="ro-RO"/>
        </w:rPr>
        <w:t xml:space="preserve"> L</w:t>
      </w:r>
      <w:r w:rsidRPr="00CE7234">
        <w:rPr>
          <w:rFonts w:asciiTheme="majorHAnsi" w:eastAsia="Times New Roman" w:hAnsiTheme="majorHAnsi" w:cstheme="majorHAnsi"/>
          <w:sz w:val="24"/>
          <w:szCs w:val="24"/>
          <w:lang w:val="ro-RO"/>
        </w:rPr>
        <w:t>egii salarizării în sectorul bugetar</w:t>
      </w:r>
      <w:r w:rsidRPr="00CE7234">
        <w:rPr>
          <w:rStyle w:val="FootnoteReference"/>
          <w:rFonts w:asciiTheme="majorHAnsi" w:eastAsia="Times New Roman" w:hAnsiTheme="majorHAnsi" w:cstheme="majorHAnsi"/>
          <w:sz w:val="24"/>
          <w:szCs w:val="24"/>
          <w:lang w:val="ro-RO"/>
        </w:rPr>
        <w:footnoteReference w:id="12"/>
      </w:r>
      <w:r w:rsidRPr="00CE7234">
        <w:rPr>
          <w:rFonts w:asciiTheme="majorHAnsi" w:eastAsia="Times New Roman" w:hAnsiTheme="majorHAnsi" w:cstheme="majorHAnsi"/>
          <w:sz w:val="24"/>
          <w:szCs w:val="24"/>
          <w:lang w:val="ro-RO"/>
        </w:rPr>
        <w:t>. În contribuțiile individuale de asigurări sociale de stat obligatorii, se include și taxa fixă anuală calculată în bază de contract individual încheiat cu CNAS</w:t>
      </w:r>
      <w:r w:rsidRPr="00CE7234">
        <w:rPr>
          <w:rStyle w:val="FootnoteReference"/>
          <w:rFonts w:asciiTheme="majorHAnsi" w:eastAsia="Times New Roman" w:hAnsiTheme="majorHAnsi" w:cstheme="majorHAnsi"/>
          <w:sz w:val="24"/>
          <w:szCs w:val="24"/>
          <w:lang w:val="ro-RO"/>
        </w:rPr>
        <w:footnoteReference w:id="13"/>
      </w:r>
      <w:r w:rsidRPr="00CE7234">
        <w:rPr>
          <w:rFonts w:asciiTheme="majorHAnsi" w:eastAsia="Times New Roman" w:hAnsiTheme="majorHAnsi" w:cstheme="majorHAnsi"/>
          <w:sz w:val="24"/>
          <w:szCs w:val="24"/>
          <w:lang w:val="ro-RO"/>
        </w:rPr>
        <w:t>. Potriv</w:t>
      </w:r>
      <w:r w:rsidR="00143DE8">
        <w:rPr>
          <w:rFonts w:asciiTheme="majorHAnsi" w:eastAsia="Times New Roman" w:hAnsiTheme="majorHAnsi" w:cstheme="majorHAnsi"/>
          <w:sz w:val="24"/>
          <w:szCs w:val="24"/>
          <w:lang w:val="ro-RO"/>
        </w:rPr>
        <w:t>it acestei prevederi, persoanelor</w:t>
      </w:r>
      <w:r w:rsidRPr="00CE7234">
        <w:rPr>
          <w:rFonts w:asciiTheme="majorHAnsi" w:eastAsia="Times New Roman" w:hAnsiTheme="majorHAnsi" w:cstheme="majorHAnsi"/>
          <w:sz w:val="24"/>
          <w:szCs w:val="24"/>
          <w:lang w:val="ro-RO"/>
        </w:rPr>
        <w:t xml:space="preserve"> fizice care au încheiat contract individual de asigurare socială </w:t>
      </w:r>
      <w:r w:rsidR="00143DE8">
        <w:rPr>
          <w:rFonts w:asciiTheme="majorHAnsi" w:eastAsia="Times New Roman" w:hAnsiTheme="majorHAnsi" w:cstheme="majorHAnsi"/>
          <w:sz w:val="24"/>
          <w:szCs w:val="24"/>
          <w:lang w:val="ro-RO"/>
        </w:rPr>
        <w:t>le-</w:t>
      </w:r>
      <w:r w:rsidRPr="00CE7234">
        <w:rPr>
          <w:rFonts w:asciiTheme="majorHAnsi" w:eastAsia="Times New Roman" w:hAnsiTheme="majorHAnsi" w:cstheme="majorHAnsi"/>
          <w:sz w:val="24"/>
          <w:szCs w:val="24"/>
          <w:lang w:val="ro-RO"/>
        </w:rPr>
        <w:t>a fost aplicată taxa fixă anuală de 10</w:t>
      </w:r>
      <w:r w:rsidR="00C933B3">
        <w:rPr>
          <w:rFonts w:asciiTheme="majorHAnsi" w:eastAsia="Times New Roman" w:hAnsiTheme="majorHAnsi" w:cstheme="majorHAnsi"/>
          <w:sz w:val="24"/>
          <w:szCs w:val="24"/>
          <w:lang w:val="ro-RO"/>
        </w:rPr>
        <w:t xml:space="preserve"> </w:t>
      </w:r>
      <w:r w:rsidRPr="00CE7234">
        <w:rPr>
          <w:rFonts w:asciiTheme="majorHAnsi" w:eastAsia="Times New Roman" w:hAnsiTheme="majorHAnsi" w:cstheme="majorHAnsi"/>
          <w:sz w:val="24"/>
          <w:szCs w:val="24"/>
          <w:lang w:val="ro-RO"/>
        </w:rPr>
        <w:t>740 lei, iar persoanele fizice, care exercită activități în calitate de zilieri</w:t>
      </w:r>
      <w:r w:rsidRPr="00CE7234">
        <w:rPr>
          <w:rStyle w:val="FootnoteReference"/>
          <w:rFonts w:asciiTheme="majorHAnsi" w:eastAsia="Times New Roman" w:hAnsiTheme="majorHAnsi" w:cstheme="majorHAnsi"/>
          <w:sz w:val="24"/>
          <w:szCs w:val="24"/>
          <w:lang w:val="ro-RO"/>
        </w:rPr>
        <w:footnoteReference w:id="14"/>
      </w:r>
      <w:r w:rsidRPr="00CE7234">
        <w:rPr>
          <w:rFonts w:asciiTheme="majorHAnsi" w:eastAsia="Times New Roman" w:hAnsiTheme="majorHAnsi" w:cstheme="majorHAnsi"/>
          <w:sz w:val="24"/>
          <w:szCs w:val="24"/>
          <w:lang w:val="ro-RO"/>
        </w:rPr>
        <w:t xml:space="preserve"> și proprietarii sau arendașii de terenuri agricole, ce prelucrează ter</w:t>
      </w:r>
      <w:r w:rsidR="00143DE8">
        <w:rPr>
          <w:rFonts w:asciiTheme="majorHAnsi" w:eastAsia="Times New Roman" w:hAnsiTheme="majorHAnsi" w:cstheme="majorHAnsi"/>
          <w:sz w:val="24"/>
          <w:szCs w:val="24"/>
          <w:lang w:val="ro-RO"/>
        </w:rPr>
        <w:t>enurile în mod individual</w:t>
      </w:r>
      <w:r w:rsidR="0067179F">
        <w:rPr>
          <w:rFonts w:asciiTheme="majorHAnsi" w:eastAsia="Times New Roman" w:hAnsiTheme="majorHAnsi" w:cstheme="majorHAnsi"/>
          <w:sz w:val="24"/>
          <w:szCs w:val="24"/>
          <w:lang w:val="ro-RO"/>
        </w:rPr>
        <w:t>,</w:t>
      </w:r>
      <w:r w:rsidR="00143DE8">
        <w:rPr>
          <w:rFonts w:asciiTheme="majorHAnsi" w:eastAsia="Times New Roman" w:hAnsiTheme="majorHAnsi" w:cstheme="majorHAnsi"/>
          <w:sz w:val="24"/>
          <w:szCs w:val="24"/>
          <w:lang w:val="ro-RO"/>
        </w:rPr>
        <w:t xml:space="preserve"> au achitat</w:t>
      </w:r>
      <w:r w:rsidRPr="00CE7234">
        <w:rPr>
          <w:rFonts w:asciiTheme="majorHAnsi" w:eastAsia="Times New Roman" w:hAnsiTheme="majorHAnsi" w:cstheme="majorHAnsi"/>
          <w:sz w:val="24"/>
          <w:szCs w:val="24"/>
          <w:lang w:val="ro-RO"/>
        </w:rPr>
        <w:t xml:space="preserve"> tax</w:t>
      </w:r>
      <w:r w:rsidR="0067179F">
        <w:rPr>
          <w:rFonts w:asciiTheme="majorHAnsi" w:eastAsia="Times New Roman" w:hAnsiTheme="majorHAnsi" w:cstheme="majorHAnsi"/>
          <w:sz w:val="24"/>
          <w:szCs w:val="24"/>
          <w:lang w:val="ro-RO"/>
        </w:rPr>
        <w:t>a</w:t>
      </w:r>
      <w:r w:rsidRPr="00CE7234">
        <w:rPr>
          <w:rFonts w:asciiTheme="majorHAnsi" w:eastAsia="Times New Roman" w:hAnsiTheme="majorHAnsi" w:cstheme="majorHAnsi"/>
          <w:sz w:val="24"/>
          <w:szCs w:val="24"/>
          <w:lang w:val="ro-RO"/>
        </w:rPr>
        <w:t xml:space="preserve"> fixă în mărime de 2</w:t>
      </w:r>
      <w:r w:rsidR="00C933B3">
        <w:rPr>
          <w:rFonts w:asciiTheme="majorHAnsi" w:eastAsia="Times New Roman" w:hAnsiTheme="majorHAnsi" w:cstheme="majorHAnsi"/>
          <w:sz w:val="24"/>
          <w:szCs w:val="24"/>
          <w:lang w:val="ro-RO"/>
        </w:rPr>
        <w:t xml:space="preserve"> </w:t>
      </w:r>
      <w:r w:rsidRPr="00CE7234">
        <w:rPr>
          <w:rFonts w:asciiTheme="majorHAnsi" w:eastAsia="Times New Roman" w:hAnsiTheme="majorHAnsi" w:cstheme="majorHAnsi"/>
          <w:sz w:val="24"/>
          <w:szCs w:val="24"/>
          <w:lang w:val="ro-RO"/>
        </w:rPr>
        <w:t xml:space="preserve">736 lei. </w:t>
      </w:r>
    </w:p>
    <w:p w14:paraId="5865C09A" w14:textId="34E9C6F7" w:rsidR="00ED3980" w:rsidRPr="00CE7234" w:rsidRDefault="00ED3980" w:rsidP="00ED3980">
      <w:pPr>
        <w:spacing w:after="0" w:line="276" w:lineRule="auto"/>
        <w:jc w:val="both"/>
        <w:rPr>
          <w:rFonts w:asciiTheme="majorHAnsi" w:eastAsia="Times New Roman" w:hAnsiTheme="majorHAnsi" w:cstheme="majorHAnsi"/>
          <w:sz w:val="24"/>
          <w:szCs w:val="24"/>
          <w:lang w:val="ro-RO"/>
        </w:rPr>
      </w:pPr>
      <w:r w:rsidRPr="00CE7234">
        <w:rPr>
          <w:rFonts w:asciiTheme="majorHAnsi" w:eastAsia="Times New Roman" w:hAnsiTheme="majorHAnsi" w:cstheme="majorHAnsi"/>
          <w:b/>
          <w:sz w:val="24"/>
          <w:szCs w:val="24"/>
          <w:lang w:val="ro-RO"/>
        </w:rPr>
        <w:t>„Alte venituri”</w:t>
      </w:r>
      <w:r w:rsidRPr="00CE7234">
        <w:rPr>
          <w:rFonts w:asciiTheme="majorHAnsi" w:eastAsia="Times New Roman" w:hAnsiTheme="majorHAnsi" w:cstheme="majorHAnsi"/>
          <w:sz w:val="24"/>
          <w:szCs w:val="24"/>
          <w:lang w:val="ro-RO"/>
        </w:rPr>
        <w:t xml:space="preserve"> au fost acumulate în sumă de 220,8 mil. lei</w:t>
      </w:r>
      <w:r w:rsidR="002B24DC">
        <w:rPr>
          <w:rFonts w:asciiTheme="majorHAnsi" w:eastAsia="Times New Roman" w:hAnsiTheme="majorHAnsi" w:cstheme="majorHAnsi"/>
          <w:sz w:val="24"/>
          <w:szCs w:val="24"/>
          <w:lang w:val="ro-RO"/>
        </w:rPr>
        <w:t>,</w:t>
      </w:r>
      <w:r w:rsidRPr="00CE7234">
        <w:rPr>
          <w:rFonts w:asciiTheme="majorHAnsi" w:eastAsia="Times New Roman" w:hAnsiTheme="majorHAnsi" w:cstheme="majorHAnsi"/>
          <w:sz w:val="24"/>
          <w:szCs w:val="24"/>
          <w:lang w:val="ro-RO"/>
        </w:rPr>
        <w:t xml:space="preserve"> cu executarea planului stabilit la nivel de 98,4%, sau cu 3,6 mil. lei mai puțin. Față de anul 2019, încasările din alte venituri au fost în creștere cu 65,2 mil. lei</w:t>
      </w:r>
      <w:r w:rsidR="002B24DC">
        <w:rPr>
          <w:rFonts w:asciiTheme="majorHAnsi" w:eastAsia="Times New Roman" w:hAnsiTheme="majorHAnsi" w:cstheme="majorHAnsi"/>
          <w:sz w:val="24"/>
          <w:szCs w:val="24"/>
          <w:lang w:val="ro-RO"/>
        </w:rPr>
        <w:t>,</w:t>
      </w:r>
      <w:r w:rsidRPr="00CE7234">
        <w:rPr>
          <w:rFonts w:asciiTheme="majorHAnsi" w:eastAsia="Times New Roman" w:hAnsiTheme="majorHAnsi" w:cstheme="majorHAnsi"/>
          <w:sz w:val="24"/>
          <w:szCs w:val="24"/>
          <w:lang w:val="ro-RO"/>
        </w:rPr>
        <w:t xml:space="preserve"> sau cu 41,9%. Creșterea se datorează sumei încasate din impozitul unic </w:t>
      </w:r>
      <w:r w:rsidRPr="00CE7234">
        <w:rPr>
          <w:rFonts w:asciiTheme="majorHAnsi" w:eastAsia="Times New Roman" w:hAnsiTheme="majorHAnsi" w:cstheme="majorHAnsi"/>
          <w:sz w:val="24"/>
          <w:szCs w:val="24"/>
          <w:lang w:val="ro-RO"/>
        </w:rPr>
        <w:lastRenderedPageBreak/>
        <w:t>perceput de la rezidenții parcurilor pentru tehnologia informațională, care a fost cu 44,2% mai mare față de anul precedent.</w:t>
      </w:r>
    </w:p>
    <w:p w14:paraId="529ACB75" w14:textId="08470244" w:rsidR="00ED3980" w:rsidRPr="00CE7234" w:rsidRDefault="00ED3980" w:rsidP="00ED3980">
      <w:pPr>
        <w:spacing w:after="0" w:line="276" w:lineRule="auto"/>
        <w:jc w:val="both"/>
        <w:rPr>
          <w:rFonts w:asciiTheme="majorHAnsi" w:hAnsiTheme="majorHAnsi" w:cstheme="majorHAnsi"/>
          <w:sz w:val="24"/>
          <w:szCs w:val="24"/>
          <w:lang w:val="ro-RO"/>
        </w:rPr>
      </w:pPr>
      <w:r w:rsidRPr="00CE7234">
        <w:rPr>
          <w:rFonts w:asciiTheme="majorHAnsi" w:eastAsia="Times New Roman" w:hAnsiTheme="majorHAnsi" w:cstheme="majorHAnsi"/>
          <w:iCs/>
          <w:sz w:val="24"/>
          <w:szCs w:val="24"/>
          <w:lang w:val="ro-RO"/>
        </w:rPr>
        <w:t xml:space="preserve">De asemenea, o pondere semnificativă </w:t>
      </w:r>
      <w:r w:rsidRPr="00CE7234">
        <w:rPr>
          <w:rFonts w:asciiTheme="majorHAnsi" w:eastAsia="Times New Roman" w:hAnsiTheme="majorHAnsi" w:cstheme="majorHAnsi"/>
          <w:sz w:val="24"/>
          <w:szCs w:val="24"/>
          <w:lang w:val="ro-RO"/>
        </w:rPr>
        <w:t xml:space="preserve">în structura veniturilor bugetului asigurărilor sociale de stat o dețin transferurile primite în cadrul bugetului public național, care sunt divizate în </w:t>
      </w:r>
      <w:r w:rsidRPr="00CE7234">
        <w:rPr>
          <w:rFonts w:asciiTheme="majorHAnsi" w:eastAsia="Times New Roman" w:hAnsiTheme="majorHAnsi" w:cstheme="majorHAnsi"/>
          <w:iCs/>
          <w:sz w:val="24"/>
          <w:szCs w:val="24"/>
          <w:lang w:val="ro-RO"/>
        </w:rPr>
        <w:t xml:space="preserve">transferuri curente primite cu destinație specială între bugetul de stat şi bugetul asigurărilor sociale de stat și transferuri curente primite cu destinație generală între bugetul de stat şi bugetul asigurărilor sociale de stat. Astfel, </w:t>
      </w:r>
      <w:r w:rsidRPr="00CE7234">
        <w:rPr>
          <w:rFonts w:asciiTheme="majorHAnsi" w:eastAsia="Times New Roman" w:hAnsiTheme="majorHAnsi" w:cstheme="majorHAnsi"/>
          <w:b/>
          <w:iCs/>
          <w:sz w:val="24"/>
          <w:szCs w:val="24"/>
          <w:lang w:val="ro-RO"/>
        </w:rPr>
        <w:t>transferuri</w:t>
      </w:r>
      <w:r w:rsidR="00143DE8">
        <w:rPr>
          <w:rFonts w:asciiTheme="majorHAnsi" w:eastAsia="Times New Roman" w:hAnsiTheme="majorHAnsi" w:cstheme="majorHAnsi"/>
          <w:b/>
          <w:iCs/>
          <w:sz w:val="24"/>
          <w:szCs w:val="24"/>
          <w:lang w:val="ro-RO"/>
        </w:rPr>
        <w:t>le</w:t>
      </w:r>
      <w:r w:rsidRPr="00CE7234">
        <w:rPr>
          <w:rFonts w:asciiTheme="majorHAnsi" w:eastAsia="Times New Roman" w:hAnsiTheme="majorHAnsi" w:cstheme="majorHAnsi"/>
          <w:b/>
          <w:iCs/>
          <w:sz w:val="24"/>
          <w:szCs w:val="24"/>
          <w:lang w:val="ro-RO"/>
        </w:rPr>
        <w:t xml:space="preserve"> curente primite cu destinație specială </w:t>
      </w:r>
      <w:r w:rsidRPr="00CE7234">
        <w:rPr>
          <w:rFonts w:asciiTheme="majorHAnsi" w:eastAsia="Times New Roman" w:hAnsiTheme="majorHAnsi" w:cstheme="majorHAnsi"/>
          <w:iCs/>
          <w:sz w:val="24"/>
          <w:szCs w:val="24"/>
          <w:lang w:val="ro-RO"/>
        </w:rPr>
        <w:t>a</w:t>
      </w:r>
      <w:r w:rsidR="00143DE8">
        <w:rPr>
          <w:rFonts w:asciiTheme="majorHAnsi" w:eastAsia="Times New Roman" w:hAnsiTheme="majorHAnsi" w:cstheme="majorHAnsi"/>
          <w:iCs/>
          <w:sz w:val="24"/>
          <w:szCs w:val="24"/>
          <w:lang w:val="ro-RO"/>
        </w:rPr>
        <w:t>u</w:t>
      </w:r>
      <w:r w:rsidRPr="00CE7234">
        <w:rPr>
          <w:rFonts w:asciiTheme="majorHAnsi" w:eastAsia="Times New Roman" w:hAnsiTheme="majorHAnsi" w:cstheme="majorHAnsi"/>
          <w:iCs/>
          <w:sz w:val="24"/>
          <w:szCs w:val="24"/>
          <w:lang w:val="ro-RO"/>
        </w:rPr>
        <w:t xml:space="preserve"> înregistrat o creștere în anul 2020</w:t>
      </w:r>
      <w:r w:rsidR="009C0F1E">
        <w:rPr>
          <w:rFonts w:asciiTheme="majorHAnsi" w:eastAsia="Times New Roman" w:hAnsiTheme="majorHAnsi" w:cstheme="majorHAnsi"/>
          <w:iCs/>
          <w:sz w:val="24"/>
          <w:szCs w:val="24"/>
          <w:lang w:val="ro-RO"/>
        </w:rPr>
        <w:t>,</w:t>
      </w:r>
      <w:r w:rsidRPr="00CE7234">
        <w:rPr>
          <w:rFonts w:asciiTheme="majorHAnsi" w:eastAsia="Times New Roman" w:hAnsiTheme="majorHAnsi" w:cstheme="majorHAnsi"/>
          <w:iCs/>
          <w:sz w:val="24"/>
          <w:szCs w:val="24"/>
          <w:lang w:val="ro-RO"/>
        </w:rPr>
        <w:t xml:space="preserve"> comparativ </w:t>
      </w:r>
      <w:r w:rsidR="009C0F1E">
        <w:rPr>
          <w:rFonts w:asciiTheme="majorHAnsi" w:eastAsia="Times New Roman" w:hAnsiTheme="majorHAnsi" w:cstheme="majorHAnsi"/>
          <w:iCs/>
          <w:sz w:val="24"/>
          <w:szCs w:val="24"/>
          <w:lang w:val="ro-RO"/>
        </w:rPr>
        <w:t xml:space="preserve">cu </w:t>
      </w:r>
      <w:r w:rsidRPr="00CE7234">
        <w:rPr>
          <w:rFonts w:asciiTheme="majorHAnsi" w:eastAsia="Times New Roman" w:hAnsiTheme="majorHAnsi" w:cstheme="majorHAnsi"/>
          <w:iCs/>
          <w:sz w:val="24"/>
          <w:szCs w:val="24"/>
          <w:lang w:val="ro-RO"/>
        </w:rPr>
        <w:t>anul 2019</w:t>
      </w:r>
      <w:r w:rsidR="009C0F1E">
        <w:rPr>
          <w:rFonts w:asciiTheme="majorHAnsi" w:eastAsia="Times New Roman" w:hAnsiTheme="majorHAnsi" w:cstheme="majorHAnsi"/>
          <w:iCs/>
          <w:sz w:val="24"/>
          <w:szCs w:val="24"/>
          <w:lang w:val="ro-RO"/>
        </w:rPr>
        <w:t>,</w:t>
      </w:r>
      <w:r w:rsidRPr="00CE7234">
        <w:rPr>
          <w:rFonts w:asciiTheme="majorHAnsi" w:eastAsia="Times New Roman" w:hAnsiTheme="majorHAnsi" w:cstheme="majorHAnsi"/>
          <w:iCs/>
          <w:sz w:val="24"/>
          <w:szCs w:val="24"/>
          <w:lang w:val="ro-RO"/>
        </w:rPr>
        <w:t xml:space="preserve"> cu 1 245,5 mil. lei, fiind încasate în sumă de </w:t>
      </w:r>
      <w:r w:rsidRPr="00CE7234">
        <w:rPr>
          <w:rFonts w:asciiTheme="majorHAnsi" w:eastAsia="Times New Roman" w:hAnsiTheme="majorHAnsi" w:cstheme="majorHAnsi"/>
          <w:b/>
          <w:iCs/>
          <w:sz w:val="24"/>
          <w:szCs w:val="24"/>
          <w:lang w:val="ro-RO"/>
        </w:rPr>
        <w:t>7 214,8 mil. lei</w:t>
      </w:r>
      <w:r w:rsidRPr="00CE7234">
        <w:rPr>
          <w:rFonts w:asciiTheme="majorHAnsi" w:eastAsia="Times New Roman" w:hAnsiTheme="majorHAnsi" w:cstheme="majorHAnsi"/>
          <w:iCs/>
          <w:sz w:val="24"/>
          <w:szCs w:val="24"/>
          <w:lang w:val="ro-RO"/>
        </w:rPr>
        <w:t xml:space="preserve">. </w:t>
      </w:r>
      <w:r w:rsidRPr="00CE7234">
        <w:rPr>
          <w:rFonts w:asciiTheme="majorHAnsi" w:hAnsiTheme="majorHAnsi" w:cstheme="majorHAnsi"/>
          <w:sz w:val="24"/>
          <w:szCs w:val="24"/>
          <w:lang w:val="ro-RO"/>
        </w:rPr>
        <w:t>Creștere</w:t>
      </w:r>
      <w:r w:rsidR="009C0F1E">
        <w:rPr>
          <w:rFonts w:asciiTheme="majorHAnsi" w:hAnsiTheme="majorHAnsi" w:cstheme="majorHAnsi"/>
          <w:sz w:val="24"/>
          <w:szCs w:val="24"/>
          <w:lang w:val="ro-RO"/>
        </w:rPr>
        <w:t>a</w:t>
      </w:r>
      <w:r w:rsidRPr="00CE7234">
        <w:rPr>
          <w:rFonts w:asciiTheme="majorHAnsi" w:hAnsiTheme="majorHAnsi" w:cstheme="majorHAnsi"/>
          <w:sz w:val="24"/>
          <w:szCs w:val="24"/>
          <w:lang w:val="ro-RO"/>
        </w:rPr>
        <w:t xml:space="preserve"> acestor venituri a fost determinată de mai mulți factori, inclusiv</w:t>
      </w:r>
      <w:r w:rsidR="009C0F1E">
        <w:rPr>
          <w:rFonts w:asciiTheme="majorHAnsi" w:hAnsiTheme="majorHAnsi" w:cstheme="majorHAnsi"/>
          <w:sz w:val="24"/>
          <w:szCs w:val="24"/>
          <w:lang w:val="ro-RO"/>
        </w:rPr>
        <w:t xml:space="preserve"> de</w:t>
      </w:r>
      <w:r w:rsidRPr="00CE7234">
        <w:rPr>
          <w:rFonts w:asciiTheme="majorHAnsi" w:hAnsiTheme="majorHAnsi" w:cstheme="majorHAnsi"/>
          <w:sz w:val="24"/>
          <w:szCs w:val="24"/>
          <w:lang w:val="ro-RO"/>
        </w:rPr>
        <w:t>:</w:t>
      </w:r>
    </w:p>
    <w:p w14:paraId="177C167B" w14:textId="5390CBE4" w:rsidR="00ED3980" w:rsidRPr="00CE7234" w:rsidRDefault="00ED3980" w:rsidP="009B59B6">
      <w:pPr>
        <w:pStyle w:val="20"/>
        <w:numPr>
          <w:ilvl w:val="0"/>
          <w:numId w:val="3"/>
        </w:numPr>
        <w:shd w:val="clear" w:color="auto" w:fill="auto"/>
        <w:tabs>
          <w:tab w:val="left" w:pos="701"/>
        </w:tabs>
        <w:spacing w:before="0" w:after="0" w:line="276" w:lineRule="auto"/>
        <w:ind w:left="720" w:hanging="360"/>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transferuri</w:t>
      </w:r>
      <w:r w:rsidR="009C0F1E">
        <w:rPr>
          <w:rFonts w:asciiTheme="majorHAnsi" w:hAnsiTheme="majorHAnsi" w:cstheme="majorHAnsi"/>
          <w:sz w:val="24"/>
          <w:szCs w:val="24"/>
          <w:lang w:val="ro-RO"/>
        </w:rPr>
        <w:t>le</w:t>
      </w:r>
      <w:r w:rsidRPr="00CE7234">
        <w:rPr>
          <w:rFonts w:asciiTheme="majorHAnsi" w:hAnsiTheme="majorHAnsi" w:cstheme="majorHAnsi"/>
          <w:sz w:val="24"/>
          <w:szCs w:val="24"/>
          <w:lang w:val="ro-RO"/>
        </w:rPr>
        <w:t xml:space="preserve"> pentru plata prestațiilor de asisten</w:t>
      </w:r>
      <w:r w:rsidR="009C0F1E">
        <w:rPr>
          <w:rFonts w:asciiTheme="majorHAnsi" w:hAnsiTheme="majorHAnsi" w:cstheme="majorHAnsi"/>
          <w:sz w:val="24"/>
          <w:szCs w:val="24"/>
          <w:lang w:val="ro-RO"/>
        </w:rPr>
        <w:t>ță</w:t>
      </w:r>
      <w:r w:rsidRPr="00CE7234">
        <w:rPr>
          <w:rFonts w:asciiTheme="majorHAnsi" w:hAnsiTheme="majorHAnsi" w:cstheme="majorHAnsi"/>
          <w:sz w:val="24"/>
          <w:szCs w:val="24"/>
          <w:lang w:val="ro-RO"/>
        </w:rPr>
        <w:t xml:space="preserve"> socială, care conform legislației sunt finanțate din bugetul de stat şi acordate unor categorii de populație prin intermediul Casei Naționale de Asigurări Sociale (CNAS) – 7</w:t>
      </w:r>
      <w:r w:rsidR="00C933B3">
        <w:rPr>
          <w:rFonts w:asciiTheme="majorHAnsi" w:hAnsiTheme="majorHAnsi" w:cstheme="majorHAnsi"/>
          <w:sz w:val="24"/>
          <w:szCs w:val="24"/>
          <w:lang w:val="ro-RO"/>
        </w:rPr>
        <w:t xml:space="preserve"> </w:t>
      </w:r>
      <w:r w:rsidRPr="00CE7234">
        <w:rPr>
          <w:rFonts w:asciiTheme="majorHAnsi" w:hAnsiTheme="majorHAnsi" w:cstheme="majorHAnsi"/>
          <w:sz w:val="24"/>
          <w:szCs w:val="24"/>
          <w:lang w:val="ro-RO"/>
        </w:rPr>
        <w:t>154</w:t>
      </w:r>
      <w:r w:rsidR="00CD2F8E">
        <w:rPr>
          <w:rFonts w:asciiTheme="majorHAnsi" w:hAnsiTheme="majorHAnsi" w:cstheme="majorHAnsi"/>
          <w:sz w:val="24"/>
          <w:szCs w:val="24"/>
          <w:lang w:val="ro-RO"/>
        </w:rPr>
        <w:t>,1</w:t>
      </w:r>
      <w:r w:rsidR="00C933B3">
        <w:rPr>
          <w:rFonts w:asciiTheme="majorHAnsi" w:hAnsiTheme="majorHAnsi" w:cstheme="majorHAnsi"/>
          <w:sz w:val="24"/>
          <w:szCs w:val="24"/>
          <w:lang w:val="ro-RO"/>
        </w:rPr>
        <w:t xml:space="preserve"> </w:t>
      </w:r>
      <w:r w:rsidR="00CD2F8E">
        <w:rPr>
          <w:rFonts w:asciiTheme="majorHAnsi" w:hAnsiTheme="majorHAnsi" w:cstheme="majorHAnsi"/>
          <w:sz w:val="24"/>
          <w:szCs w:val="24"/>
          <w:lang w:val="ro-RO"/>
        </w:rPr>
        <w:t>mil</w:t>
      </w:r>
      <w:r w:rsidR="004E57BD">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lei, precum:</w:t>
      </w:r>
    </w:p>
    <w:p w14:paraId="0E773165" w14:textId="01D22554" w:rsidR="00ED3980" w:rsidRPr="00CE7234" w:rsidRDefault="00ED3980" w:rsidP="009B59B6">
      <w:pPr>
        <w:pStyle w:val="ListParagraph"/>
        <w:numPr>
          <w:ilvl w:val="0"/>
          <w:numId w:val="18"/>
        </w:num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acordarea a 2 suporturi unice</w:t>
      </w:r>
      <w:r w:rsidRPr="00CE7234">
        <w:rPr>
          <w:rStyle w:val="FootnoteReference"/>
          <w:rFonts w:asciiTheme="majorHAnsi" w:hAnsiTheme="majorHAnsi" w:cstheme="majorHAnsi"/>
          <w:sz w:val="24"/>
          <w:szCs w:val="24"/>
          <w:lang w:val="ro-RO"/>
        </w:rPr>
        <w:footnoteReference w:id="15"/>
      </w:r>
      <w:r w:rsidR="009C0F1E">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în sumă de 700 lei și respectiv 900 lei</w:t>
      </w:r>
      <w:r w:rsidR="009C0F1E">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beneficiarilor de toate tipurile de pensii și alocații sociale de stat, stabilite până la 1 octombrie 2020, al căror cuantum lunar nu depășește 3</w:t>
      </w:r>
      <w:r w:rsidR="00C933B3">
        <w:rPr>
          <w:rFonts w:asciiTheme="majorHAnsi" w:hAnsiTheme="majorHAnsi" w:cstheme="majorHAnsi"/>
          <w:sz w:val="24"/>
          <w:szCs w:val="24"/>
          <w:lang w:val="ro-RO"/>
        </w:rPr>
        <w:t xml:space="preserve"> 000 </w:t>
      </w:r>
      <w:r w:rsidRPr="00CE7234">
        <w:rPr>
          <w:rFonts w:asciiTheme="majorHAnsi" w:hAnsiTheme="majorHAnsi" w:cstheme="majorHAnsi"/>
          <w:sz w:val="24"/>
          <w:szCs w:val="24"/>
          <w:lang w:val="ro-RO"/>
        </w:rPr>
        <w:t>lei;</w:t>
      </w:r>
    </w:p>
    <w:p w14:paraId="0DAEB8D3" w14:textId="78099C7A" w:rsidR="00ED3980" w:rsidRPr="00CE7234" w:rsidRDefault="00ED3980" w:rsidP="009B59B6">
      <w:pPr>
        <w:pStyle w:val="ListParagraph"/>
        <w:numPr>
          <w:ilvl w:val="0"/>
          <w:numId w:val="18"/>
        </w:num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majorarea cuantumului alocației pentru persoanele cu dizabilități și persoane</w:t>
      </w:r>
      <w:r w:rsidR="00E60A0F">
        <w:rPr>
          <w:rFonts w:asciiTheme="majorHAnsi" w:hAnsiTheme="majorHAnsi" w:cstheme="majorHAnsi"/>
          <w:sz w:val="24"/>
          <w:szCs w:val="24"/>
          <w:lang w:val="ro-RO"/>
        </w:rPr>
        <w:t>le</w:t>
      </w:r>
      <w:r w:rsidRPr="00CE7234">
        <w:rPr>
          <w:rFonts w:asciiTheme="majorHAnsi" w:hAnsiTheme="majorHAnsi" w:cstheme="majorHAnsi"/>
          <w:sz w:val="24"/>
          <w:szCs w:val="24"/>
          <w:lang w:val="ro-RO"/>
        </w:rPr>
        <w:t xml:space="preserve"> vârstnice</w:t>
      </w:r>
      <w:r w:rsidRPr="00CE7234">
        <w:rPr>
          <w:rStyle w:val="FootnoteReference"/>
          <w:rFonts w:asciiTheme="majorHAnsi" w:hAnsiTheme="majorHAnsi" w:cstheme="majorHAnsi"/>
          <w:sz w:val="24"/>
          <w:szCs w:val="24"/>
          <w:lang w:val="ro-RO"/>
        </w:rPr>
        <w:footnoteReference w:id="16"/>
      </w:r>
      <w:r w:rsidRPr="00CE7234">
        <w:rPr>
          <w:rFonts w:asciiTheme="majorHAnsi" w:hAnsiTheme="majorHAnsi" w:cstheme="majorHAnsi"/>
          <w:sz w:val="24"/>
          <w:szCs w:val="24"/>
          <w:lang w:val="ro-RO"/>
        </w:rPr>
        <w:t>;</w:t>
      </w:r>
    </w:p>
    <w:p w14:paraId="02F534EC" w14:textId="77777777" w:rsidR="00ED3980" w:rsidRPr="00CE7234" w:rsidRDefault="00ED3980" w:rsidP="009B59B6">
      <w:pPr>
        <w:pStyle w:val="ListParagraph"/>
        <w:numPr>
          <w:ilvl w:val="0"/>
          <w:numId w:val="18"/>
        </w:num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majorarea procentului alocației pentru persoanele vârstnice de la 20% la 50% din cuantumul pensiei minime pentru limita de vârstă;</w:t>
      </w:r>
    </w:p>
    <w:p w14:paraId="13FBF30A" w14:textId="2C99C5C6" w:rsidR="00ED3980" w:rsidRPr="00CE7234" w:rsidRDefault="00ED3980" w:rsidP="009B59B6">
      <w:pPr>
        <w:pStyle w:val="ListParagraph"/>
        <w:numPr>
          <w:ilvl w:val="0"/>
          <w:numId w:val="18"/>
        </w:num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acordarea indemnizațiilor urmașilor personalului medical decedat ca urmare a desfășurării activităților medicale în lupta cu COVID-19</w:t>
      </w:r>
      <w:r w:rsidRPr="00CE7234">
        <w:rPr>
          <w:rStyle w:val="FootnoteReference"/>
          <w:rFonts w:asciiTheme="majorHAnsi" w:hAnsiTheme="majorHAnsi" w:cstheme="majorHAnsi"/>
          <w:sz w:val="24"/>
          <w:szCs w:val="24"/>
          <w:lang w:val="ro-RO"/>
        </w:rPr>
        <w:footnoteReference w:id="17"/>
      </w:r>
      <w:r w:rsidRPr="00CE7234">
        <w:rPr>
          <w:rFonts w:asciiTheme="majorHAnsi" w:hAnsiTheme="majorHAnsi" w:cstheme="majorHAnsi"/>
          <w:sz w:val="24"/>
          <w:szCs w:val="24"/>
          <w:lang w:val="ro-RO"/>
        </w:rPr>
        <w:t>;</w:t>
      </w:r>
    </w:p>
    <w:p w14:paraId="43A78E0B" w14:textId="374147B7" w:rsidR="00ED3980" w:rsidRPr="00CE7234" w:rsidRDefault="00ED3980" w:rsidP="009B59B6">
      <w:pPr>
        <w:pStyle w:val="ListParagraph"/>
        <w:numPr>
          <w:ilvl w:val="0"/>
          <w:numId w:val="18"/>
        </w:num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acordarea ajutorului de șomaj în perioada stării de urgență pentru anumite categorii de persoane</w:t>
      </w:r>
      <w:r w:rsidR="00E60A0F">
        <w:rPr>
          <w:rFonts w:asciiTheme="majorHAnsi" w:hAnsiTheme="majorHAnsi" w:cstheme="majorHAnsi"/>
          <w:sz w:val="24"/>
          <w:szCs w:val="24"/>
          <w:lang w:val="ro-RO"/>
        </w:rPr>
        <w:t>;</w:t>
      </w:r>
    </w:p>
    <w:p w14:paraId="0E010A73" w14:textId="07195335" w:rsidR="00ED3980" w:rsidRPr="00CE7234" w:rsidRDefault="00ED3980" w:rsidP="009B59B6">
      <w:pPr>
        <w:pStyle w:val="20"/>
        <w:numPr>
          <w:ilvl w:val="0"/>
          <w:numId w:val="3"/>
        </w:numPr>
        <w:shd w:val="clear" w:color="auto" w:fill="auto"/>
        <w:tabs>
          <w:tab w:val="left" w:pos="701"/>
        </w:tabs>
        <w:spacing w:before="0" w:after="0" w:line="276" w:lineRule="auto"/>
        <w:ind w:left="720" w:hanging="360"/>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transferuri</w:t>
      </w:r>
      <w:r w:rsidR="00E60A0F">
        <w:rPr>
          <w:rFonts w:asciiTheme="majorHAnsi" w:hAnsiTheme="majorHAnsi" w:cstheme="majorHAnsi"/>
          <w:sz w:val="24"/>
          <w:szCs w:val="24"/>
          <w:lang w:val="ro-RO"/>
        </w:rPr>
        <w:t>le</w:t>
      </w:r>
      <w:r w:rsidRPr="00CE7234">
        <w:rPr>
          <w:rFonts w:asciiTheme="majorHAnsi" w:hAnsiTheme="majorHAnsi" w:cstheme="majorHAnsi"/>
          <w:sz w:val="24"/>
          <w:szCs w:val="24"/>
          <w:lang w:val="ro-RO"/>
        </w:rPr>
        <w:t xml:space="preserve"> pentru compensarea diferenței de tarife de asigurări sociale de stat obligatorii în sectorul agrar (6%) – 60</w:t>
      </w:r>
      <w:r w:rsidR="004E57BD">
        <w:rPr>
          <w:rFonts w:asciiTheme="majorHAnsi" w:hAnsiTheme="majorHAnsi" w:cstheme="majorHAnsi"/>
          <w:sz w:val="24"/>
          <w:szCs w:val="24"/>
          <w:lang w:val="ro-RO"/>
        </w:rPr>
        <w:t>,3</w:t>
      </w:r>
      <w:r w:rsidRPr="00CE7234">
        <w:rPr>
          <w:rFonts w:asciiTheme="majorHAnsi" w:hAnsiTheme="majorHAnsi" w:cstheme="majorHAnsi"/>
          <w:sz w:val="24"/>
          <w:szCs w:val="24"/>
          <w:lang w:val="ro-RO"/>
        </w:rPr>
        <w:t xml:space="preserve"> mi</w:t>
      </w:r>
      <w:r w:rsidR="004E57BD">
        <w:rPr>
          <w:rFonts w:asciiTheme="majorHAnsi" w:hAnsiTheme="majorHAnsi" w:cstheme="majorHAnsi"/>
          <w:sz w:val="24"/>
          <w:szCs w:val="24"/>
          <w:lang w:val="ro-RO"/>
        </w:rPr>
        <w:t>l.</w:t>
      </w:r>
      <w:r w:rsidRPr="00CE7234">
        <w:rPr>
          <w:rFonts w:asciiTheme="majorHAnsi" w:hAnsiTheme="majorHAnsi" w:cstheme="majorHAnsi"/>
          <w:sz w:val="24"/>
          <w:szCs w:val="24"/>
          <w:lang w:val="ro-RO"/>
        </w:rPr>
        <w:t xml:space="preserve"> lei;</w:t>
      </w:r>
    </w:p>
    <w:p w14:paraId="58FA9812" w14:textId="041CE743" w:rsidR="00ED3980" w:rsidRPr="00CE7234" w:rsidRDefault="00ED3980" w:rsidP="009B59B6">
      <w:pPr>
        <w:pStyle w:val="20"/>
        <w:numPr>
          <w:ilvl w:val="0"/>
          <w:numId w:val="3"/>
        </w:numPr>
        <w:shd w:val="clear" w:color="auto" w:fill="auto"/>
        <w:tabs>
          <w:tab w:val="left" w:pos="706"/>
        </w:tabs>
        <w:spacing w:before="0" w:after="0" w:line="276" w:lineRule="auto"/>
        <w:ind w:left="720" w:hanging="360"/>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transferuri</w:t>
      </w:r>
      <w:r w:rsidR="00E60A0F">
        <w:rPr>
          <w:rFonts w:asciiTheme="majorHAnsi" w:hAnsiTheme="majorHAnsi" w:cstheme="majorHAnsi"/>
          <w:sz w:val="24"/>
          <w:szCs w:val="24"/>
          <w:lang w:val="ro-RO"/>
        </w:rPr>
        <w:t>le</w:t>
      </w:r>
      <w:r w:rsidRPr="00CE7234">
        <w:rPr>
          <w:rFonts w:asciiTheme="majorHAnsi" w:hAnsiTheme="majorHAnsi" w:cstheme="majorHAnsi"/>
          <w:sz w:val="24"/>
          <w:szCs w:val="24"/>
          <w:lang w:val="ro-RO"/>
        </w:rPr>
        <w:t xml:space="preserve"> pentru compensarea veniturilor ratate ale bugetului asigurărilor sociale de stat, în legătură cu scutirea deținătorilor de terenuri agricole situate după traseul R</w:t>
      </w:r>
      <w:r w:rsidR="00E60A0F">
        <w:rPr>
          <w:rFonts w:asciiTheme="majorHAnsi" w:hAnsiTheme="majorHAnsi" w:cstheme="majorHAnsi"/>
          <w:sz w:val="24"/>
          <w:szCs w:val="24"/>
          <w:lang w:val="ro-RO"/>
        </w:rPr>
        <w:t>â</w:t>
      </w:r>
      <w:r w:rsidRPr="00CE7234">
        <w:rPr>
          <w:rFonts w:asciiTheme="majorHAnsi" w:hAnsiTheme="majorHAnsi" w:cstheme="majorHAnsi"/>
          <w:sz w:val="24"/>
          <w:szCs w:val="24"/>
          <w:lang w:val="ro-RO"/>
        </w:rPr>
        <w:t>bniţa - Tiraspol de plata contribuțiilor de asigurări sociale de stat obligatorii</w:t>
      </w:r>
      <w:r w:rsidR="00E60A0F">
        <w:rPr>
          <w:rFonts w:asciiTheme="majorHAnsi" w:hAnsiTheme="majorHAnsi" w:cstheme="majorHAnsi"/>
          <w:sz w:val="24"/>
          <w:szCs w:val="24"/>
          <w:lang w:val="ro-RO"/>
        </w:rPr>
        <w:t xml:space="preserve"> </w:t>
      </w:r>
      <w:r w:rsidR="004E57BD">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w:t>
      </w:r>
      <w:r w:rsidR="004E57BD">
        <w:rPr>
          <w:rFonts w:asciiTheme="majorHAnsi" w:hAnsiTheme="majorHAnsi" w:cstheme="majorHAnsi"/>
          <w:sz w:val="24"/>
          <w:szCs w:val="24"/>
          <w:lang w:val="ro-RO"/>
        </w:rPr>
        <w:t>0,3 mil.</w:t>
      </w:r>
      <w:r w:rsidRPr="00CE7234">
        <w:rPr>
          <w:rFonts w:asciiTheme="majorHAnsi" w:hAnsiTheme="majorHAnsi" w:cstheme="majorHAnsi"/>
          <w:sz w:val="24"/>
          <w:szCs w:val="24"/>
          <w:lang w:val="ro-RO"/>
        </w:rPr>
        <w:t xml:space="preserve"> lei.</w:t>
      </w:r>
    </w:p>
    <w:p w14:paraId="20A8D085" w14:textId="77777777" w:rsidR="00ED3980" w:rsidRPr="00CE7234" w:rsidRDefault="00ED3980" w:rsidP="00ED3980">
      <w:pPr>
        <w:spacing w:after="0" w:line="276" w:lineRule="auto"/>
        <w:jc w:val="both"/>
        <w:rPr>
          <w:rFonts w:asciiTheme="majorHAnsi" w:hAnsiTheme="majorHAnsi" w:cstheme="majorHAnsi"/>
          <w:sz w:val="24"/>
          <w:szCs w:val="24"/>
          <w:lang w:val="ro-RO"/>
        </w:rPr>
      </w:pPr>
    </w:p>
    <w:p w14:paraId="075439F7" w14:textId="6FA3F346" w:rsidR="00ED3980" w:rsidRPr="00CE7234" w:rsidRDefault="00ED3980" w:rsidP="00ED3980">
      <w:p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 xml:space="preserve">În cazul </w:t>
      </w:r>
      <w:r w:rsidRPr="00CE7234">
        <w:rPr>
          <w:rFonts w:asciiTheme="majorHAnsi" w:eastAsia="Times New Roman" w:hAnsiTheme="majorHAnsi" w:cstheme="majorHAnsi"/>
          <w:b/>
          <w:iCs/>
          <w:sz w:val="24"/>
          <w:szCs w:val="24"/>
          <w:lang w:val="ro-RO"/>
        </w:rPr>
        <w:t>transferurilor curente primite cu destinație generală între bugetul de stat şi bugetul asigurărilor sociale de stat</w:t>
      </w:r>
      <w:r w:rsidRPr="00CE7234">
        <w:rPr>
          <w:rFonts w:asciiTheme="majorHAnsi" w:eastAsia="Times New Roman" w:hAnsiTheme="majorHAnsi" w:cstheme="majorHAnsi"/>
          <w:iCs/>
          <w:sz w:val="24"/>
          <w:szCs w:val="24"/>
          <w:lang w:val="ro-RO"/>
        </w:rPr>
        <w:t xml:space="preserve">, acestea s-au majorat cu 566,9 mil. lei față de anul 2019 și înregistrează suma de 2 554,6 mil. lei. </w:t>
      </w:r>
      <w:r w:rsidR="00143DE8">
        <w:rPr>
          <w:rFonts w:asciiTheme="majorHAnsi" w:hAnsiTheme="majorHAnsi" w:cstheme="majorHAnsi"/>
          <w:sz w:val="24"/>
          <w:szCs w:val="24"/>
          <w:lang w:val="ro-RO"/>
        </w:rPr>
        <w:t>Transferurile de la bugetul de stat</w:t>
      </w:r>
      <w:r w:rsidRPr="00CE7234">
        <w:rPr>
          <w:rFonts w:asciiTheme="majorHAnsi" w:hAnsiTheme="majorHAnsi" w:cstheme="majorHAnsi"/>
          <w:sz w:val="24"/>
          <w:szCs w:val="24"/>
          <w:lang w:val="ro-RO"/>
        </w:rPr>
        <w:t xml:space="preserve"> pentru acoperirea deficitului BASS sunt direct dependente de veniturile proprii ale BASS și </w:t>
      </w:r>
      <w:r w:rsidR="00E60A0F">
        <w:rPr>
          <w:rFonts w:asciiTheme="majorHAnsi" w:hAnsiTheme="majorHAnsi" w:cstheme="majorHAnsi"/>
          <w:sz w:val="24"/>
          <w:szCs w:val="24"/>
          <w:lang w:val="ro-RO"/>
        </w:rPr>
        <w:t xml:space="preserve">de </w:t>
      </w:r>
      <w:r w:rsidRPr="00CE7234">
        <w:rPr>
          <w:rFonts w:asciiTheme="majorHAnsi" w:hAnsiTheme="majorHAnsi" w:cstheme="majorHAnsi"/>
          <w:sz w:val="24"/>
          <w:szCs w:val="24"/>
          <w:lang w:val="ro-RO"/>
        </w:rPr>
        <w:t xml:space="preserve">cheltuielile pentru acordarea prestațiilor de asigurări sociale. </w:t>
      </w:r>
    </w:p>
    <w:p w14:paraId="0976E576" w14:textId="77777777" w:rsidR="00200982" w:rsidRPr="00CE7234" w:rsidRDefault="00200982" w:rsidP="00200982">
      <w:pPr>
        <w:pStyle w:val="20"/>
        <w:shd w:val="clear" w:color="auto" w:fill="auto"/>
        <w:spacing w:before="0" w:after="0" w:line="276" w:lineRule="auto"/>
        <w:jc w:val="both"/>
        <w:rPr>
          <w:rFonts w:asciiTheme="majorHAnsi" w:hAnsiTheme="majorHAnsi" w:cstheme="majorHAnsi"/>
          <w:sz w:val="24"/>
          <w:szCs w:val="24"/>
          <w:lang w:val="ro-RO"/>
        </w:rPr>
      </w:pPr>
    </w:p>
    <w:p w14:paraId="7AC1BAD4" w14:textId="2960DBB4" w:rsidR="00200982" w:rsidRPr="00CE7234" w:rsidRDefault="00200982" w:rsidP="00CE7234">
      <w:pPr>
        <w:pStyle w:val="20"/>
        <w:shd w:val="clear" w:color="auto" w:fill="auto"/>
        <w:spacing w:before="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 xml:space="preserve">Ponderea veniturilor totale executate ale bugetului asigurărilor sociale de stat în Bugetul Public Național (BPN) a constituit 38,8% şi ca pondere în Produsul Intern Brut (PIB) </w:t>
      </w:r>
      <w:r w:rsidR="00E60A0F">
        <w:rPr>
          <w:rFonts w:asciiTheme="majorHAnsi" w:hAnsiTheme="majorHAnsi" w:cstheme="majorHAnsi"/>
          <w:sz w:val="24"/>
          <w:szCs w:val="24"/>
          <w:lang w:val="ro-RO"/>
        </w:rPr>
        <w:t xml:space="preserve">– </w:t>
      </w:r>
      <w:r w:rsidRPr="00CE7234">
        <w:rPr>
          <w:rFonts w:asciiTheme="majorHAnsi" w:hAnsiTheme="majorHAnsi" w:cstheme="majorHAnsi"/>
          <w:sz w:val="24"/>
          <w:szCs w:val="24"/>
          <w:lang w:val="ro-RO"/>
        </w:rPr>
        <w:t xml:space="preserve">11,8%. Față de anul </w:t>
      </w:r>
      <w:r w:rsidRPr="00CE7234">
        <w:rPr>
          <w:rFonts w:asciiTheme="majorHAnsi" w:hAnsiTheme="majorHAnsi" w:cstheme="majorHAnsi"/>
          <w:sz w:val="24"/>
          <w:szCs w:val="24"/>
          <w:lang w:val="ro-RO"/>
        </w:rPr>
        <w:lastRenderedPageBreak/>
        <w:t xml:space="preserve">2019, ponderea veniturilor bugetului asigurărilor sociale de stat în BPN s-a majorat cu 4,3%, iar ponderea în PIB </w:t>
      </w:r>
      <w:r w:rsidR="00E60A0F">
        <w:rPr>
          <w:rFonts w:asciiTheme="majorHAnsi" w:hAnsiTheme="majorHAnsi" w:cstheme="majorHAnsi"/>
          <w:sz w:val="24"/>
          <w:szCs w:val="24"/>
          <w:lang w:val="ro-RO"/>
        </w:rPr>
        <w:t xml:space="preserve">– </w:t>
      </w:r>
      <w:r w:rsidRPr="00CE7234">
        <w:rPr>
          <w:rFonts w:asciiTheme="majorHAnsi" w:hAnsiTheme="majorHAnsi" w:cstheme="majorHAnsi"/>
          <w:sz w:val="24"/>
          <w:szCs w:val="24"/>
          <w:lang w:val="ro-RO"/>
        </w:rPr>
        <w:t>cu 1,4%.</w:t>
      </w:r>
    </w:p>
    <w:p w14:paraId="752956B1" w14:textId="5BD0D94C" w:rsidR="00200982" w:rsidRPr="00CE7234" w:rsidRDefault="00200982" w:rsidP="00200982">
      <w:pPr>
        <w:pStyle w:val="20"/>
        <w:shd w:val="clear" w:color="auto" w:fill="auto"/>
        <w:spacing w:before="0" w:after="0" w:line="276" w:lineRule="auto"/>
        <w:jc w:val="both"/>
        <w:rPr>
          <w:rFonts w:asciiTheme="majorHAnsi" w:hAnsiTheme="majorHAnsi" w:cstheme="majorHAnsi"/>
          <w:sz w:val="24"/>
          <w:szCs w:val="24"/>
          <w:lang w:val="ro-RO"/>
        </w:rPr>
      </w:pPr>
      <w:r w:rsidRPr="00CE7234">
        <w:rPr>
          <w:rFonts w:asciiTheme="majorHAnsi" w:hAnsiTheme="majorHAnsi" w:cstheme="majorHAnsi"/>
          <w:sz w:val="24"/>
          <w:lang w:val="ro-RO"/>
        </w:rPr>
        <w:t xml:space="preserve">Ponderea cheltuielilor totale executate ale bugetului asigurărilor sociale de stat în BPN a constituit 33,1% şi ca pondere în PIB </w:t>
      </w:r>
      <w:r w:rsidR="00E60A0F">
        <w:rPr>
          <w:rFonts w:asciiTheme="majorHAnsi" w:hAnsiTheme="majorHAnsi" w:cstheme="majorHAnsi"/>
          <w:sz w:val="24"/>
          <w:lang w:val="ro-RO"/>
        </w:rPr>
        <w:t xml:space="preserve">– </w:t>
      </w:r>
      <w:r w:rsidRPr="00CE7234">
        <w:rPr>
          <w:rFonts w:asciiTheme="majorHAnsi" w:hAnsiTheme="majorHAnsi" w:cstheme="majorHAnsi"/>
          <w:sz w:val="24"/>
          <w:lang w:val="ro-RO"/>
        </w:rPr>
        <w:t xml:space="preserve">11,7%. Față de anul 2019, ponderea cheltuielilor bugetului asigurărilor sociale de stat în BPN s-a majorat cu 0,4%, iar ponderea în PIB </w:t>
      </w:r>
      <w:r w:rsidR="000061F7">
        <w:rPr>
          <w:rFonts w:asciiTheme="majorHAnsi" w:hAnsiTheme="majorHAnsi" w:cstheme="majorHAnsi"/>
          <w:sz w:val="24"/>
          <w:lang w:val="ro-RO"/>
        </w:rPr>
        <w:t xml:space="preserve">– </w:t>
      </w:r>
      <w:r w:rsidRPr="00CE7234">
        <w:rPr>
          <w:rFonts w:asciiTheme="majorHAnsi" w:hAnsiTheme="majorHAnsi" w:cstheme="majorHAnsi"/>
          <w:sz w:val="24"/>
          <w:lang w:val="ro-RO"/>
        </w:rPr>
        <w:t>cu 1,4%. Evoluția executării bugetului asigurărilor sociale de stat se prezintă în următorul tabel</w:t>
      </w:r>
      <w:r w:rsidRPr="00CE7234">
        <w:rPr>
          <w:rFonts w:asciiTheme="majorHAnsi" w:hAnsiTheme="majorHAnsi" w:cstheme="majorHAnsi"/>
          <w:lang w:val="ro-RO"/>
        </w:rPr>
        <w:t>.</w:t>
      </w:r>
    </w:p>
    <w:p w14:paraId="4DEFB1EC" w14:textId="23A16BD7" w:rsidR="00200982" w:rsidRPr="00CE7234" w:rsidRDefault="00200982" w:rsidP="00200982">
      <w:pPr>
        <w:pStyle w:val="NormalWeb"/>
        <w:tabs>
          <w:tab w:val="left" w:pos="162"/>
        </w:tabs>
        <w:spacing w:line="276" w:lineRule="auto"/>
        <w:jc w:val="right"/>
        <w:rPr>
          <w:rFonts w:asciiTheme="majorHAnsi" w:hAnsiTheme="majorHAnsi" w:cstheme="majorHAnsi"/>
          <w:b/>
          <w:lang w:val="ro-RO"/>
        </w:rPr>
      </w:pPr>
      <w:r w:rsidRPr="00CE7234">
        <w:rPr>
          <w:rFonts w:asciiTheme="majorHAnsi" w:hAnsiTheme="majorHAnsi" w:cstheme="majorHAnsi"/>
          <w:b/>
          <w:lang w:val="ro-RO"/>
        </w:rPr>
        <w:t>Tabel</w:t>
      </w:r>
      <w:r w:rsidR="000061F7">
        <w:rPr>
          <w:rFonts w:asciiTheme="majorHAnsi" w:hAnsiTheme="majorHAnsi" w:cstheme="majorHAnsi"/>
          <w:b/>
          <w:lang w:val="ro-RO"/>
        </w:rPr>
        <w:t>ul</w:t>
      </w:r>
      <w:r w:rsidRPr="00CE7234">
        <w:rPr>
          <w:rFonts w:asciiTheme="majorHAnsi" w:hAnsiTheme="majorHAnsi" w:cstheme="majorHAnsi"/>
          <w:b/>
          <w:lang w:val="ro-RO"/>
        </w:rPr>
        <w:t xml:space="preserve"> nr. </w:t>
      </w:r>
      <w:r w:rsidR="00786886">
        <w:rPr>
          <w:rFonts w:asciiTheme="majorHAnsi" w:hAnsiTheme="majorHAnsi" w:cstheme="majorHAnsi"/>
          <w:b/>
          <w:lang w:val="ro-RO"/>
        </w:rPr>
        <w:t>2</w:t>
      </w:r>
    </w:p>
    <w:p w14:paraId="7F897AAE" w14:textId="0110F8B8" w:rsidR="00200982" w:rsidRPr="00CE7234" w:rsidRDefault="00200982" w:rsidP="00200982">
      <w:pPr>
        <w:pStyle w:val="NormalWeb"/>
        <w:tabs>
          <w:tab w:val="left" w:pos="162"/>
        </w:tabs>
        <w:spacing w:line="276" w:lineRule="auto"/>
        <w:ind w:firstLine="0"/>
        <w:jc w:val="center"/>
        <w:rPr>
          <w:rFonts w:asciiTheme="majorHAnsi" w:hAnsiTheme="majorHAnsi" w:cstheme="majorHAnsi"/>
          <w:b/>
          <w:lang w:val="ro-RO"/>
        </w:rPr>
      </w:pPr>
      <w:r w:rsidRPr="00CE7234">
        <w:rPr>
          <w:rFonts w:asciiTheme="majorHAnsi" w:hAnsiTheme="majorHAnsi" w:cstheme="majorHAnsi"/>
          <w:b/>
          <w:lang w:val="ro-RO"/>
        </w:rPr>
        <w:t>Evoluția executării bugetului asigurărilor sociale de stat în perioada 2018-2020 (mii lei)</w:t>
      </w:r>
    </w:p>
    <w:tbl>
      <w:tblPr>
        <w:tblStyle w:val="TableGrid"/>
        <w:tblW w:w="0" w:type="auto"/>
        <w:tblLook w:val="04A0" w:firstRow="1" w:lastRow="0" w:firstColumn="1" w:lastColumn="0" w:noHBand="0" w:noVBand="1"/>
      </w:tblPr>
      <w:tblGrid>
        <w:gridCol w:w="2682"/>
        <w:gridCol w:w="1076"/>
        <w:gridCol w:w="1860"/>
        <w:gridCol w:w="1860"/>
        <w:gridCol w:w="1869"/>
      </w:tblGrid>
      <w:tr w:rsidR="00200982" w:rsidRPr="00CE7234" w14:paraId="296E76EF" w14:textId="77777777" w:rsidTr="00CE7234">
        <w:tc>
          <w:tcPr>
            <w:tcW w:w="2785" w:type="dxa"/>
            <w:vMerge w:val="restart"/>
            <w:tcBorders>
              <w:top w:val="single" w:sz="4" w:space="0" w:color="auto"/>
              <w:left w:val="single" w:sz="4" w:space="0" w:color="auto"/>
              <w:bottom w:val="single" w:sz="4" w:space="0" w:color="auto"/>
              <w:right w:val="single" w:sz="4" w:space="0" w:color="auto"/>
            </w:tcBorders>
            <w:shd w:val="clear" w:color="auto" w:fill="92D050"/>
          </w:tcPr>
          <w:p w14:paraId="58345E25"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6C0C91DF" w14:textId="2D75D1FA" w:rsidR="00200982" w:rsidRPr="00CE7234" w:rsidRDefault="00200982" w:rsidP="00FB3794">
            <w:pPr>
              <w:pStyle w:val="NormalWeb"/>
              <w:tabs>
                <w:tab w:val="left" w:pos="162"/>
              </w:tabs>
              <w:spacing w:line="276" w:lineRule="auto"/>
              <w:ind w:firstLine="0"/>
              <w:jc w:val="center"/>
              <w:rPr>
                <w:rFonts w:asciiTheme="majorHAnsi" w:hAnsiTheme="majorHAnsi" w:cstheme="majorHAnsi"/>
                <w:b/>
                <w:sz w:val="20"/>
                <w:szCs w:val="20"/>
                <w:lang w:val="ro-RO"/>
              </w:rPr>
            </w:pPr>
            <w:r w:rsidRPr="00CE7234">
              <w:rPr>
                <w:rFonts w:asciiTheme="majorHAnsi" w:hAnsiTheme="majorHAnsi" w:cstheme="majorHAnsi"/>
                <w:b/>
                <w:sz w:val="20"/>
                <w:szCs w:val="20"/>
                <w:lang w:val="ro-RO"/>
              </w:rPr>
              <w:t>Unitate</w:t>
            </w:r>
            <w:r w:rsidR="000061F7">
              <w:rPr>
                <w:rFonts w:asciiTheme="majorHAnsi" w:hAnsiTheme="majorHAnsi" w:cstheme="majorHAnsi"/>
                <w:b/>
                <w:sz w:val="20"/>
                <w:szCs w:val="20"/>
                <w:lang w:val="ro-RO"/>
              </w:rPr>
              <w:t>a</w:t>
            </w:r>
            <w:r w:rsidRPr="00CE7234">
              <w:rPr>
                <w:rFonts w:asciiTheme="majorHAnsi" w:hAnsiTheme="majorHAnsi" w:cstheme="majorHAnsi"/>
                <w:b/>
                <w:sz w:val="20"/>
                <w:szCs w:val="20"/>
                <w:lang w:val="ro-RO"/>
              </w:rPr>
              <w:t xml:space="preserve"> de măsură</w:t>
            </w:r>
          </w:p>
        </w:tc>
        <w:tc>
          <w:tcPr>
            <w:tcW w:w="5808"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9450F73"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sz w:val="20"/>
                <w:szCs w:val="20"/>
                <w:lang w:val="ro-RO"/>
              </w:rPr>
            </w:pPr>
            <w:r w:rsidRPr="00CE7234">
              <w:rPr>
                <w:rFonts w:asciiTheme="majorHAnsi" w:hAnsiTheme="majorHAnsi" w:cstheme="majorHAnsi"/>
                <w:b/>
                <w:sz w:val="20"/>
                <w:szCs w:val="20"/>
                <w:lang w:val="ro-RO"/>
              </w:rPr>
              <w:t>Executat</w:t>
            </w:r>
          </w:p>
        </w:tc>
      </w:tr>
      <w:tr w:rsidR="00200982" w:rsidRPr="00CE7234" w14:paraId="71967B18" w14:textId="77777777" w:rsidTr="00CE7234">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DD58598" w14:textId="77777777" w:rsidR="00200982" w:rsidRPr="00CE7234" w:rsidRDefault="00200982" w:rsidP="00FB3794">
            <w:pPr>
              <w:rPr>
                <w:rFonts w:asciiTheme="majorHAnsi" w:eastAsia="Times New Roman" w:hAnsiTheme="majorHAnsi" w:cstheme="majorHAnsi"/>
                <w:sz w:val="20"/>
                <w:szCs w:val="20"/>
                <w:lang w:val="ro-RO"/>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72D8BB" w14:textId="77777777" w:rsidR="00200982" w:rsidRPr="00CE7234" w:rsidRDefault="00200982" w:rsidP="00FB3794">
            <w:pPr>
              <w:rPr>
                <w:rFonts w:asciiTheme="majorHAnsi" w:eastAsia="Times New Roman" w:hAnsiTheme="majorHAnsi" w:cstheme="majorHAnsi"/>
                <w:b/>
                <w:sz w:val="20"/>
                <w:szCs w:val="20"/>
                <w:lang w:val="ro-RO"/>
              </w:rPr>
            </w:pPr>
          </w:p>
        </w:tc>
        <w:tc>
          <w:tcPr>
            <w:tcW w:w="1936" w:type="dxa"/>
            <w:tcBorders>
              <w:top w:val="single" w:sz="4" w:space="0" w:color="auto"/>
              <w:left w:val="single" w:sz="4" w:space="0" w:color="auto"/>
              <w:bottom w:val="single" w:sz="4" w:space="0" w:color="auto"/>
              <w:right w:val="single" w:sz="4" w:space="0" w:color="auto"/>
            </w:tcBorders>
            <w:shd w:val="clear" w:color="auto" w:fill="92D050"/>
            <w:hideMark/>
          </w:tcPr>
          <w:p w14:paraId="77F166D5"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sz w:val="20"/>
                <w:szCs w:val="20"/>
                <w:lang w:val="ro-RO"/>
              </w:rPr>
            </w:pPr>
            <w:r w:rsidRPr="00CE7234">
              <w:rPr>
                <w:rFonts w:asciiTheme="majorHAnsi" w:hAnsiTheme="majorHAnsi" w:cstheme="majorHAnsi"/>
                <w:b/>
                <w:sz w:val="20"/>
                <w:szCs w:val="20"/>
                <w:lang w:val="ro-RO"/>
              </w:rPr>
              <w:t>2018</w:t>
            </w:r>
          </w:p>
        </w:tc>
        <w:tc>
          <w:tcPr>
            <w:tcW w:w="1936" w:type="dxa"/>
            <w:tcBorders>
              <w:top w:val="single" w:sz="4" w:space="0" w:color="auto"/>
              <w:left w:val="single" w:sz="4" w:space="0" w:color="auto"/>
              <w:bottom w:val="single" w:sz="4" w:space="0" w:color="auto"/>
              <w:right w:val="single" w:sz="4" w:space="0" w:color="auto"/>
            </w:tcBorders>
            <w:shd w:val="clear" w:color="auto" w:fill="92D050"/>
            <w:hideMark/>
          </w:tcPr>
          <w:p w14:paraId="0302DE9C"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sz w:val="20"/>
                <w:szCs w:val="20"/>
                <w:lang w:val="ro-RO"/>
              </w:rPr>
            </w:pPr>
            <w:r w:rsidRPr="00CE7234">
              <w:rPr>
                <w:rFonts w:asciiTheme="majorHAnsi" w:hAnsiTheme="majorHAnsi" w:cstheme="majorHAnsi"/>
                <w:b/>
                <w:sz w:val="20"/>
                <w:szCs w:val="20"/>
                <w:lang w:val="ro-RO"/>
              </w:rPr>
              <w:t>2019</w:t>
            </w:r>
          </w:p>
        </w:tc>
        <w:tc>
          <w:tcPr>
            <w:tcW w:w="1936" w:type="dxa"/>
            <w:tcBorders>
              <w:top w:val="single" w:sz="4" w:space="0" w:color="auto"/>
              <w:left w:val="single" w:sz="4" w:space="0" w:color="auto"/>
              <w:bottom w:val="single" w:sz="4" w:space="0" w:color="auto"/>
              <w:right w:val="single" w:sz="4" w:space="0" w:color="auto"/>
            </w:tcBorders>
            <w:shd w:val="clear" w:color="auto" w:fill="92D050"/>
            <w:hideMark/>
          </w:tcPr>
          <w:p w14:paraId="2022C96F"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sz w:val="20"/>
                <w:szCs w:val="20"/>
                <w:lang w:val="ro-RO"/>
              </w:rPr>
            </w:pPr>
            <w:r w:rsidRPr="00CE7234">
              <w:rPr>
                <w:rFonts w:asciiTheme="majorHAnsi" w:hAnsiTheme="majorHAnsi" w:cstheme="majorHAnsi"/>
                <w:b/>
                <w:sz w:val="20"/>
                <w:szCs w:val="20"/>
                <w:lang w:val="ro-RO"/>
              </w:rPr>
              <w:t>2020</w:t>
            </w:r>
          </w:p>
        </w:tc>
      </w:tr>
      <w:tr w:rsidR="00200982" w:rsidRPr="00CE7234" w14:paraId="5CE8090B"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34FD3B69" w14:textId="77777777" w:rsidR="00200982" w:rsidRPr="00CE7234" w:rsidRDefault="00200982" w:rsidP="00FB3794">
            <w:pPr>
              <w:pStyle w:val="NormalWeb"/>
              <w:tabs>
                <w:tab w:val="left" w:pos="162"/>
              </w:tabs>
              <w:spacing w:line="276" w:lineRule="auto"/>
              <w:ind w:firstLine="0"/>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Venituri, total</w:t>
            </w:r>
          </w:p>
        </w:tc>
        <w:tc>
          <w:tcPr>
            <w:tcW w:w="1086" w:type="dxa"/>
            <w:tcBorders>
              <w:top w:val="single" w:sz="4" w:space="0" w:color="auto"/>
              <w:left w:val="single" w:sz="4" w:space="0" w:color="auto"/>
              <w:bottom w:val="single" w:sz="4" w:space="0" w:color="auto"/>
              <w:right w:val="single" w:sz="4" w:space="0" w:color="auto"/>
            </w:tcBorders>
            <w:hideMark/>
          </w:tcPr>
          <w:p w14:paraId="71DCF000"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mil. lei</w:t>
            </w:r>
          </w:p>
        </w:tc>
        <w:tc>
          <w:tcPr>
            <w:tcW w:w="1936" w:type="dxa"/>
            <w:tcBorders>
              <w:top w:val="single" w:sz="4" w:space="0" w:color="auto"/>
              <w:left w:val="single" w:sz="4" w:space="0" w:color="auto"/>
              <w:bottom w:val="single" w:sz="4" w:space="0" w:color="auto"/>
              <w:right w:val="single" w:sz="4" w:space="0" w:color="auto"/>
            </w:tcBorders>
            <w:hideMark/>
          </w:tcPr>
          <w:p w14:paraId="43F02D6E" w14:textId="4F33FAF3" w:rsidR="00200982" w:rsidRPr="00CE7234" w:rsidRDefault="00200982" w:rsidP="00033BD8">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19</w:t>
            </w:r>
            <w:r w:rsidR="00033BD8">
              <w:rPr>
                <w:rFonts w:asciiTheme="majorHAnsi" w:hAnsiTheme="majorHAnsi" w:cstheme="majorHAnsi"/>
                <w:b/>
                <w:i/>
                <w:sz w:val="20"/>
                <w:szCs w:val="20"/>
                <w:lang w:val="ro-RO"/>
              </w:rPr>
              <w:t xml:space="preserve"> </w:t>
            </w:r>
            <w:r w:rsidRPr="00CE7234">
              <w:rPr>
                <w:rFonts w:asciiTheme="majorHAnsi" w:hAnsiTheme="majorHAnsi" w:cstheme="majorHAnsi"/>
                <w:b/>
                <w:i/>
                <w:sz w:val="20"/>
                <w:szCs w:val="20"/>
                <w:lang w:val="ro-RO"/>
              </w:rPr>
              <w:t>790,3</w:t>
            </w:r>
          </w:p>
        </w:tc>
        <w:tc>
          <w:tcPr>
            <w:tcW w:w="1936" w:type="dxa"/>
            <w:tcBorders>
              <w:top w:val="single" w:sz="4" w:space="0" w:color="auto"/>
              <w:left w:val="single" w:sz="4" w:space="0" w:color="auto"/>
              <w:bottom w:val="single" w:sz="4" w:space="0" w:color="auto"/>
              <w:right w:val="single" w:sz="4" w:space="0" w:color="auto"/>
            </w:tcBorders>
            <w:hideMark/>
          </w:tcPr>
          <w:p w14:paraId="700BB17F" w14:textId="5F54C364" w:rsidR="00200982" w:rsidRPr="00CE7234" w:rsidRDefault="00200982" w:rsidP="00033BD8">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21</w:t>
            </w:r>
            <w:r w:rsidR="00033BD8">
              <w:rPr>
                <w:rFonts w:asciiTheme="majorHAnsi" w:hAnsiTheme="majorHAnsi" w:cstheme="majorHAnsi"/>
                <w:b/>
                <w:i/>
                <w:sz w:val="20"/>
                <w:szCs w:val="20"/>
                <w:lang w:val="ro-RO"/>
              </w:rPr>
              <w:t xml:space="preserve"> </w:t>
            </w:r>
            <w:r w:rsidRPr="00CE7234">
              <w:rPr>
                <w:rFonts w:asciiTheme="majorHAnsi" w:hAnsiTheme="majorHAnsi" w:cstheme="majorHAnsi"/>
                <w:b/>
                <w:i/>
                <w:sz w:val="20"/>
                <w:szCs w:val="20"/>
                <w:lang w:val="ro-RO"/>
              </w:rPr>
              <w:t>748,3</w:t>
            </w:r>
          </w:p>
        </w:tc>
        <w:tc>
          <w:tcPr>
            <w:tcW w:w="1936" w:type="dxa"/>
            <w:tcBorders>
              <w:top w:val="single" w:sz="4" w:space="0" w:color="auto"/>
              <w:left w:val="single" w:sz="4" w:space="0" w:color="auto"/>
              <w:bottom w:val="single" w:sz="4" w:space="0" w:color="auto"/>
              <w:right w:val="single" w:sz="4" w:space="0" w:color="auto"/>
            </w:tcBorders>
          </w:tcPr>
          <w:p w14:paraId="0BA53B7E" w14:textId="4834E8BB" w:rsidR="00200982" w:rsidRPr="00CE7234" w:rsidRDefault="00200982" w:rsidP="00033BD8">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24</w:t>
            </w:r>
            <w:r w:rsidR="00033BD8">
              <w:rPr>
                <w:rFonts w:asciiTheme="majorHAnsi" w:hAnsiTheme="majorHAnsi" w:cstheme="majorHAnsi"/>
                <w:b/>
                <w:i/>
                <w:sz w:val="20"/>
                <w:szCs w:val="20"/>
                <w:lang w:val="ro-RO"/>
              </w:rPr>
              <w:t xml:space="preserve"> </w:t>
            </w:r>
            <w:r w:rsidRPr="00CE7234">
              <w:rPr>
                <w:rFonts w:asciiTheme="majorHAnsi" w:hAnsiTheme="majorHAnsi" w:cstheme="majorHAnsi"/>
                <w:b/>
                <w:i/>
                <w:sz w:val="20"/>
                <w:szCs w:val="20"/>
                <w:lang w:val="ro-RO"/>
              </w:rPr>
              <w:t>285,5</w:t>
            </w:r>
          </w:p>
        </w:tc>
      </w:tr>
      <w:tr w:rsidR="00200982" w:rsidRPr="00CE7234" w14:paraId="3C5F7C62"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4CAFD4A5"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Devieri +/- față de anul precedent</w:t>
            </w:r>
          </w:p>
        </w:tc>
        <w:tc>
          <w:tcPr>
            <w:tcW w:w="1086" w:type="dxa"/>
            <w:tcBorders>
              <w:top w:val="single" w:sz="4" w:space="0" w:color="auto"/>
              <w:left w:val="single" w:sz="4" w:space="0" w:color="auto"/>
              <w:bottom w:val="single" w:sz="4" w:space="0" w:color="auto"/>
              <w:right w:val="single" w:sz="4" w:space="0" w:color="auto"/>
            </w:tcBorders>
            <w:hideMark/>
          </w:tcPr>
          <w:p w14:paraId="107D9C21"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mil. lei</w:t>
            </w:r>
          </w:p>
        </w:tc>
        <w:tc>
          <w:tcPr>
            <w:tcW w:w="1936" w:type="dxa"/>
            <w:tcBorders>
              <w:top w:val="single" w:sz="4" w:space="0" w:color="auto"/>
              <w:left w:val="single" w:sz="4" w:space="0" w:color="auto"/>
              <w:bottom w:val="single" w:sz="4" w:space="0" w:color="auto"/>
              <w:right w:val="single" w:sz="4" w:space="0" w:color="auto"/>
            </w:tcBorders>
            <w:hideMark/>
          </w:tcPr>
          <w:p w14:paraId="3DDB5DD4" w14:textId="4DA34517" w:rsidR="00200982" w:rsidRPr="00CE7234" w:rsidRDefault="00200982" w:rsidP="00033BD8">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w:t>
            </w:r>
            <w:r w:rsidR="00033BD8">
              <w:rPr>
                <w:rFonts w:asciiTheme="majorHAnsi" w:hAnsiTheme="majorHAnsi" w:cstheme="majorHAnsi"/>
                <w:sz w:val="20"/>
                <w:szCs w:val="20"/>
                <w:lang w:val="ro-RO"/>
              </w:rPr>
              <w:t xml:space="preserve"> </w:t>
            </w:r>
            <w:r w:rsidRPr="00CE7234">
              <w:rPr>
                <w:rFonts w:asciiTheme="majorHAnsi" w:hAnsiTheme="majorHAnsi" w:cstheme="majorHAnsi"/>
                <w:sz w:val="20"/>
                <w:szCs w:val="20"/>
                <w:lang w:val="ro-RO"/>
              </w:rPr>
              <w:t>971,6</w:t>
            </w:r>
          </w:p>
        </w:tc>
        <w:tc>
          <w:tcPr>
            <w:tcW w:w="1936" w:type="dxa"/>
            <w:tcBorders>
              <w:top w:val="single" w:sz="4" w:space="0" w:color="auto"/>
              <w:left w:val="single" w:sz="4" w:space="0" w:color="auto"/>
              <w:bottom w:val="single" w:sz="4" w:space="0" w:color="auto"/>
              <w:right w:val="single" w:sz="4" w:space="0" w:color="auto"/>
            </w:tcBorders>
            <w:hideMark/>
          </w:tcPr>
          <w:p w14:paraId="23AB5E91" w14:textId="15E9A264" w:rsidR="00200982" w:rsidRPr="00CE7234" w:rsidRDefault="00200982" w:rsidP="00033BD8">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w:t>
            </w:r>
            <w:r w:rsidR="00033BD8">
              <w:rPr>
                <w:rFonts w:asciiTheme="majorHAnsi" w:hAnsiTheme="majorHAnsi" w:cstheme="majorHAnsi"/>
                <w:sz w:val="20"/>
                <w:szCs w:val="20"/>
                <w:lang w:val="ro-RO"/>
              </w:rPr>
              <w:t xml:space="preserve"> </w:t>
            </w:r>
            <w:r w:rsidRPr="00CE7234">
              <w:rPr>
                <w:rFonts w:asciiTheme="majorHAnsi" w:hAnsiTheme="majorHAnsi" w:cstheme="majorHAnsi"/>
                <w:sz w:val="20"/>
                <w:szCs w:val="20"/>
                <w:lang w:val="ro-RO"/>
              </w:rPr>
              <w:t>958,0</w:t>
            </w:r>
          </w:p>
        </w:tc>
        <w:tc>
          <w:tcPr>
            <w:tcW w:w="1936" w:type="dxa"/>
            <w:tcBorders>
              <w:top w:val="single" w:sz="4" w:space="0" w:color="auto"/>
              <w:left w:val="single" w:sz="4" w:space="0" w:color="auto"/>
              <w:bottom w:val="single" w:sz="4" w:space="0" w:color="auto"/>
              <w:right w:val="single" w:sz="4" w:space="0" w:color="auto"/>
            </w:tcBorders>
          </w:tcPr>
          <w:p w14:paraId="00579E45" w14:textId="3DC6E9D0" w:rsidR="00200982" w:rsidRPr="00CE7234" w:rsidRDefault="00200982" w:rsidP="00033BD8">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2</w:t>
            </w:r>
            <w:r w:rsidR="00033BD8">
              <w:rPr>
                <w:rFonts w:asciiTheme="majorHAnsi" w:hAnsiTheme="majorHAnsi" w:cstheme="majorHAnsi"/>
                <w:sz w:val="20"/>
                <w:szCs w:val="20"/>
                <w:lang w:val="ro-RO"/>
              </w:rPr>
              <w:t xml:space="preserve"> </w:t>
            </w:r>
            <w:r w:rsidRPr="00CE7234">
              <w:rPr>
                <w:rFonts w:asciiTheme="majorHAnsi" w:hAnsiTheme="majorHAnsi" w:cstheme="majorHAnsi"/>
                <w:sz w:val="20"/>
                <w:szCs w:val="20"/>
                <w:lang w:val="ro-RO"/>
              </w:rPr>
              <w:t>537,2</w:t>
            </w:r>
          </w:p>
        </w:tc>
      </w:tr>
      <w:tr w:rsidR="00200982" w:rsidRPr="00CE7234" w14:paraId="24C9E901"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363381BD"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Ponderea în BPN</w:t>
            </w:r>
          </w:p>
        </w:tc>
        <w:tc>
          <w:tcPr>
            <w:tcW w:w="1086" w:type="dxa"/>
            <w:tcBorders>
              <w:top w:val="single" w:sz="4" w:space="0" w:color="auto"/>
              <w:left w:val="single" w:sz="4" w:space="0" w:color="auto"/>
              <w:bottom w:val="single" w:sz="4" w:space="0" w:color="auto"/>
              <w:right w:val="single" w:sz="4" w:space="0" w:color="auto"/>
            </w:tcBorders>
            <w:hideMark/>
          </w:tcPr>
          <w:p w14:paraId="7104F21E"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w:t>
            </w:r>
          </w:p>
        </w:tc>
        <w:tc>
          <w:tcPr>
            <w:tcW w:w="1936" w:type="dxa"/>
            <w:tcBorders>
              <w:top w:val="single" w:sz="4" w:space="0" w:color="auto"/>
              <w:left w:val="single" w:sz="4" w:space="0" w:color="auto"/>
              <w:bottom w:val="single" w:sz="4" w:space="0" w:color="auto"/>
              <w:right w:val="single" w:sz="4" w:space="0" w:color="auto"/>
            </w:tcBorders>
            <w:hideMark/>
          </w:tcPr>
          <w:p w14:paraId="65C96D85"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34,1</w:t>
            </w:r>
          </w:p>
        </w:tc>
        <w:tc>
          <w:tcPr>
            <w:tcW w:w="1936" w:type="dxa"/>
            <w:tcBorders>
              <w:top w:val="single" w:sz="4" w:space="0" w:color="auto"/>
              <w:left w:val="single" w:sz="4" w:space="0" w:color="auto"/>
              <w:bottom w:val="single" w:sz="4" w:space="0" w:color="auto"/>
              <w:right w:val="single" w:sz="4" w:space="0" w:color="auto"/>
            </w:tcBorders>
            <w:hideMark/>
          </w:tcPr>
          <w:p w14:paraId="7B7B74A2"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34,5</w:t>
            </w:r>
          </w:p>
        </w:tc>
        <w:tc>
          <w:tcPr>
            <w:tcW w:w="1936" w:type="dxa"/>
            <w:tcBorders>
              <w:top w:val="single" w:sz="4" w:space="0" w:color="auto"/>
              <w:left w:val="single" w:sz="4" w:space="0" w:color="auto"/>
              <w:bottom w:val="single" w:sz="4" w:space="0" w:color="auto"/>
              <w:right w:val="single" w:sz="4" w:space="0" w:color="auto"/>
            </w:tcBorders>
          </w:tcPr>
          <w:p w14:paraId="4A366B94"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38,8</w:t>
            </w:r>
          </w:p>
        </w:tc>
      </w:tr>
      <w:tr w:rsidR="00200982" w:rsidRPr="00CE7234" w14:paraId="0753D288"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70FC95D7"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Ponderea în PIB</w:t>
            </w:r>
          </w:p>
        </w:tc>
        <w:tc>
          <w:tcPr>
            <w:tcW w:w="1086" w:type="dxa"/>
            <w:tcBorders>
              <w:top w:val="single" w:sz="4" w:space="0" w:color="auto"/>
              <w:left w:val="single" w:sz="4" w:space="0" w:color="auto"/>
              <w:bottom w:val="single" w:sz="4" w:space="0" w:color="auto"/>
              <w:right w:val="single" w:sz="4" w:space="0" w:color="auto"/>
            </w:tcBorders>
            <w:hideMark/>
          </w:tcPr>
          <w:p w14:paraId="250D4814"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w:t>
            </w:r>
          </w:p>
        </w:tc>
        <w:tc>
          <w:tcPr>
            <w:tcW w:w="1936" w:type="dxa"/>
            <w:tcBorders>
              <w:top w:val="single" w:sz="4" w:space="0" w:color="auto"/>
              <w:left w:val="single" w:sz="4" w:space="0" w:color="auto"/>
              <w:bottom w:val="single" w:sz="4" w:space="0" w:color="auto"/>
              <w:right w:val="single" w:sz="4" w:space="0" w:color="auto"/>
            </w:tcBorders>
            <w:hideMark/>
          </w:tcPr>
          <w:p w14:paraId="0992DB32"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10,3</w:t>
            </w:r>
          </w:p>
        </w:tc>
        <w:tc>
          <w:tcPr>
            <w:tcW w:w="1936" w:type="dxa"/>
            <w:tcBorders>
              <w:top w:val="single" w:sz="4" w:space="0" w:color="auto"/>
              <w:left w:val="single" w:sz="4" w:space="0" w:color="auto"/>
              <w:bottom w:val="single" w:sz="4" w:space="0" w:color="auto"/>
              <w:right w:val="single" w:sz="4" w:space="0" w:color="auto"/>
            </w:tcBorders>
            <w:hideMark/>
          </w:tcPr>
          <w:p w14:paraId="61EFBBEB"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10,4</w:t>
            </w:r>
          </w:p>
        </w:tc>
        <w:tc>
          <w:tcPr>
            <w:tcW w:w="1936" w:type="dxa"/>
            <w:tcBorders>
              <w:top w:val="single" w:sz="4" w:space="0" w:color="auto"/>
              <w:left w:val="single" w:sz="4" w:space="0" w:color="auto"/>
              <w:bottom w:val="single" w:sz="4" w:space="0" w:color="auto"/>
              <w:right w:val="single" w:sz="4" w:space="0" w:color="auto"/>
            </w:tcBorders>
          </w:tcPr>
          <w:p w14:paraId="45090D66"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11,8</w:t>
            </w:r>
          </w:p>
        </w:tc>
      </w:tr>
      <w:tr w:rsidR="00200982" w:rsidRPr="00CE7234" w14:paraId="2684BE4E"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35C06208" w14:textId="77777777" w:rsidR="00200982" w:rsidRPr="00CE7234" w:rsidRDefault="00200982" w:rsidP="00FB3794">
            <w:pPr>
              <w:pStyle w:val="NormalWeb"/>
              <w:tabs>
                <w:tab w:val="left" w:pos="162"/>
              </w:tabs>
              <w:spacing w:line="276" w:lineRule="auto"/>
              <w:ind w:firstLine="0"/>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Cheltuieli, total</w:t>
            </w:r>
          </w:p>
        </w:tc>
        <w:tc>
          <w:tcPr>
            <w:tcW w:w="1086" w:type="dxa"/>
            <w:tcBorders>
              <w:top w:val="single" w:sz="4" w:space="0" w:color="auto"/>
              <w:left w:val="single" w:sz="4" w:space="0" w:color="auto"/>
              <w:bottom w:val="single" w:sz="4" w:space="0" w:color="auto"/>
              <w:right w:val="single" w:sz="4" w:space="0" w:color="auto"/>
            </w:tcBorders>
            <w:hideMark/>
          </w:tcPr>
          <w:p w14:paraId="307D9058"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mil. lei</w:t>
            </w:r>
          </w:p>
        </w:tc>
        <w:tc>
          <w:tcPr>
            <w:tcW w:w="1936" w:type="dxa"/>
            <w:tcBorders>
              <w:top w:val="single" w:sz="4" w:space="0" w:color="auto"/>
              <w:left w:val="single" w:sz="4" w:space="0" w:color="auto"/>
              <w:bottom w:val="single" w:sz="4" w:space="0" w:color="auto"/>
              <w:right w:val="single" w:sz="4" w:space="0" w:color="auto"/>
            </w:tcBorders>
            <w:hideMark/>
          </w:tcPr>
          <w:p w14:paraId="5C1745BA" w14:textId="209AF54F" w:rsidR="00200982" w:rsidRPr="00CE7234" w:rsidRDefault="00200982" w:rsidP="00033BD8">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19</w:t>
            </w:r>
            <w:r w:rsidR="00033BD8">
              <w:rPr>
                <w:rFonts w:asciiTheme="majorHAnsi" w:hAnsiTheme="majorHAnsi" w:cstheme="majorHAnsi"/>
                <w:b/>
                <w:i/>
                <w:sz w:val="20"/>
                <w:szCs w:val="20"/>
                <w:lang w:val="ro-RO"/>
              </w:rPr>
              <w:t xml:space="preserve"> </w:t>
            </w:r>
            <w:r w:rsidRPr="00CE7234">
              <w:rPr>
                <w:rFonts w:asciiTheme="majorHAnsi" w:hAnsiTheme="majorHAnsi" w:cstheme="majorHAnsi"/>
                <w:b/>
                <w:i/>
                <w:sz w:val="20"/>
                <w:szCs w:val="20"/>
                <w:lang w:val="ro-RO"/>
              </w:rPr>
              <w:t>426,5</w:t>
            </w:r>
          </w:p>
        </w:tc>
        <w:tc>
          <w:tcPr>
            <w:tcW w:w="1936" w:type="dxa"/>
            <w:tcBorders>
              <w:top w:val="single" w:sz="4" w:space="0" w:color="auto"/>
              <w:left w:val="single" w:sz="4" w:space="0" w:color="auto"/>
              <w:bottom w:val="single" w:sz="4" w:space="0" w:color="auto"/>
              <w:right w:val="single" w:sz="4" w:space="0" w:color="auto"/>
            </w:tcBorders>
            <w:hideMark/>
          </w:tcPr>
          <w:p w14:paraId="03DACE89" w14:textId="289E4CFE" w:rsidR="00200982" w:rsidRPr="00CE7234" w:rsidRDefault="00200982" w:rsidP="00033BD8">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21</w:t>
            </w:r>
            <w:r w:rsidR="00033BD8">
              <w:rPr>
                <w:rFonts w:asciiTheme="majorHAnsi" w:hAnsiTheme="majorHAnsi" w:cstheme="majorHAnsi"/>
                <w:b/>
                <w:i/>
                <w:sz w:val="20"/>
                <w:szCs w:val="20"/>
                <w:lang w:val="ro-RO"/>
              </w:rPr>
              <w:t xml:space="preserve"> </w:t>
            </w:r>
            <w:r w:rsidRPr="00CE7234">
              <w:rPr>
                <w:rFonts w:asciiTheme="majorHAnsi" w:hAnsiTheme="majorHAnsi" w:cstheme="majorHAnsi"/>
                <w:b/>
                <w:i/>
                <w:sz w:val="20"/>
                <w:szCs w:val="20"/>
                <w:lang w:val="ro-RO"/>
              </w:rPr>
              <w:t>602,3</w:t>
            </w:r>
          </w:p>
        </w:tc>
        <w:tc>
          <w:tcPr>
            <w:tcW w:w="1936" w:type="dxa"/>
            <w:tcBorders>
              <w:top w:val="single" w:sz="4" w:space="0" w:color="auto"/>
              <w:left w:val="single" w:sz="4" w:space="0" w:color="auto"/>
              <w:bottom w:val="single" w:sz="4" w:space="0" w:color="auto"/>
              <w:right w:val="single" w:sz="4" w:space="0" w:color="auto"/>
            </w:tcBorders>
          </w:tcPr>
          <w:p w14:paraId="7C3208B3" w14:textId="1B86CF19" w:rsidR="00200982" w:rsidRPr="00CE7234" w:rsidRDefault="00200982" w:rsidP="00FB3794">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2</w:t>
            </w:r>
            <w:r w:rsidR="00033BD8">
              <w:rPr>
                <w:rFonts w:asciiTheme="majorHAnsi" w:hAnsiTheme="majorHAnsi" w:cstheme="majorHAnsi"/>
                <w:b/>
                <w:i/>
                <w:sz w:val="20"/>
                <w:szCs w:val="20"/>
                <w:lang w:val="ro-RO"/>
              </w:rPr>
              <w:t xml:space="preserve">4 </w:t>
            </w:r>
            <w:r w:rsidRPr="00CE7234">
              <w:rPr>
                <w:rFonts w:asciiTheme="majorHAnsi" w:hAnsiTheme="majorHAnsi" w:cstheme="majorHAnsi"/>
                <w:b/>
                <w:i/>
                <w:sz w:val="20"/>
                <w:szCs w:val="20"/>
                <w:lang w:val="ro-RO"/>
              </w:rPr>
              <w:t>244,4</w:t>
            </w:r>
          </w:p>
        </w:tc>
      </w:tr>
      <w:tr w:rsidR="00200982" w:rsidRPr="00CE7234" w14:paraId="46E30757"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4D8572CD"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Devieri +/- față de anul precedent</w:t>
            </w:r>
          </w:p>
        </w:tc>
        <w:tc>
          <w:tcPr>
            <w:tcW w:w="1086" w:type="dxa"/>
            <w:tcBorders>
              <w:top w:val="single" w:sz="4" w:space="0" w:color="auto"/>
              <w:left w:val="single" w:sz="4" w:space="0" w:color="auto"/>
              <w:bottom w:val="single" w:sz="4" w:space="0" w:color="auto"/>
              <w:right w:val="single" w:sz="4" w:space="0" w:color="auto"/>
            </w:tcBorders>
            <w:hideMark/>
          </w:tcPr>
          <w:p w14:paraId="139212B8"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mil. lei</w:t>
            </w:r>
          </w:p>
        </w:tc>
        <w:tc>
          <w:tcPr>
            <w:tcW w:w="1936" w:type="dxa"/>
            <w:tcBorders>
              <w:top w:val="single" w:sz="4" w:space="0" w:color="auto"/>
              <w:left w:val="single" w:sz="4" w:space="0" w:color="auto"/>
              <w:bottom w:val="single" w:sz="4" w:space="0" w:color="auto"/>
              <w:right w:val="single" w:sz="4" w:space="0" w:color="auto"/>
            </w:tcBorders>
            <w:hideMark/>
          </w:tcPr>
          <w:p w14:paraId="65E4D410" w14:textId="714C09A5" w:rsidR="00200982" w:rsidRPr="00CE7234" w:rsidRDefault="00200982" w:rsidP="00033BD8">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w:t>
            </w:r>
            <w:r w:rsidR="00033BD8">
              <w:rPr>
                <w:rFonts w:asciiTheme="majorHAnsi" w:hAnsiTheme="majorHAnsi" w:cstheme="majorHAnsi"/>
                <w:sz w:val="20"/>
                <w:szCs w:val="20"/>
                <w:lang w:val="ro-RO"/>
              </w:rPr>
              <w:t xml:space="preserve"> </w:t>
            </w:r>
            <w:r w:rsidRPr="00CE7234">
              <w:rPr>
                <w:rFonts w:asciiTheme="majorHAnsi" w:hAnsiTheme="majorHAnsi" w:cstheme="majorHAnsi"/>
                <w:sz w:val="20"/>
                <w:szCs w:val="20"/>
                <w:lang w:val="ro-RO"/>
              </w:rPr>
              <w:t>811,9</w:t>
            </w:r>
          </w:p>
        </w:tc>
        <w:tc>
          <w:tcPr>
            <w:tcW w:w="1936" w:type="dxa"/>
            <w:tcBorders>
              <w:top w:val="single" w:sz="4" w:space="0" w:color="auto"/>
              <w:left w:val="single" w:sz="4" w:space="0" w:color="auto"/>
              <w:bottom w:val="single" w:sz="4" w:space="0" w:color="auto"/>
              <w:right w:val="single" w:sz="4" w:space="0" w:color="auto"/>
            </w:tcBorders>
            <w:hideMark/>
          </w:tcPr>
          <w:p w14:paraId="16A864FF" w14:textId="1170E747" w:rsidR="00200982" w:rsidRPr="00CE7234" w:rsidRDefault="00200982" w:rsidP="00033BD8">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2</w:t>
            </w:r>
            <w:r w:rsidR="00033BD8">
              <w:rPr>
                <w:rFonts w:asciiTheme="majorHAnsi" w:hAnsiTheme="majorHAnsi" w:cstheme="majorHAnsi"/>
                <w:sz w:val="20"/>
                <w:szCs w:val="20"/>
                <w:lang w:val="ro-RO"/>
              </w:rPr>
              <w:t xml:space="preserve"> </w:t>
            </w:r>
            <w:r w:rsidRPr="00CE7234">
              <w:rPr>
                <w:rFonts w:asciiTheme="majorHAnsi" w:hAnsiTheme="majorHAnsi" w:cstheme="majorHAnsi"/>
                <w:sz w:val="20"/>
                <w:szCs w:val="20"/>
                <w:lang w:val="ro-RO"/>
              </w:rPr>
              <w:t>175,8</w:t>
            </w:r>
          </w:p>
        </w:tc>
        <w:tc>
          <w:tcPr>
            <w:tcW w:w="1936" w:type="dxa"/>
            <w:tcBorders>
              <w:top w:val="single" w:sz="4" w:space="0" w:color="auto"/>
              <w:left w:val="single" w:sz="4" w:space="0" w:color="auto"/>
              <w:bottom w:val="single" w:sz="4" w:space="0" w:color="auto"/>
              <w:right w:val="single" w:sz="4" w:space="0" w:color="auto"/>
            </w:tcBorders>
          </w:tcPr>
          <w:p w14:paraId="553755CA"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2.642,0</w:t>
            </w:r>
          </w:p>
        </w:tc>
      </w:tr>
      <w:tr w:rsidR="00200982" w:rsidRPr="00CE7234" w14:paraId="3E7CAC7C"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0E9D7019"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Ponderea în BPN</w:t>
            </w:r>
          </w:p>
        </w:tc>
        <w:tc>
          <w:tcPr>
            <w:tcW w:w="1086" w:type="dxa"/>
            <w:tcBorders>
              <w:top w:val="single" w:sz="4" w:space="0" w:color="auto"/>
              <w:left w:val="single" w:sz="4" w:space="0" w:color="auto"/>
              <w:bottom w:val="single" w:sz="4" w:space="0" w:color="auto"/>
              <w:right w:val="single" w:sz="4" w:space="0" w:color="auto"/>
            </w:tcBorders>
            <w:hideMark/>
          </w:tcPr>
          <w:p w14:paraId="48E21A3E"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w:t>
            </w:r>
          </w:p>
        </w:tc>
        <w:tc>
          <w:tcPr>
            <w:tcW w:w="1936" w:type="dxa"/>
            <w:tcBorders>
              <w:top w:val="single" w:sz="4" w:space="0" w:color="auto"/>
              <w:left w:val="single" w:sz="4" w:space="0" w:color="auto"/>
              <w:bottom w:val="single" w:sz="4" w:space="0" w:color="auto"/>
              <w:right w:val="single" w:sz="4" w:space="0" w:color="auto"/>
            </w:tcBorders>
            <w:hideMark/>
          </w:tcPr>
          <w:p w14:paraId="251587FA"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32,6</w:t>
            </w:r>
          </w:p>
        </w:tc>
        <w:tc>
          <w:tcPr>
            <w:tcW w:w="1936" w:type="dxa"/>
            <w:tcBorders>
              <w:top w:val="single" w:sz="4" w:space="0" w:color="auto"/>
              <w:left w:val="single" w:sz="4" w:space="0" w:color="auto"/>
              <w:bottom w:val="single" w:sz="4" w:space="0" w:color="auto"/>
              <w:right w:val="single" w:sz="4" w:space="0" w:color="auto"/>
            </w:tcBorders>
            <w:hideMark/>
          </w:tcPr>
          <w:p w14:paraId="460E584A"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32,7</w:t>
            </w:r>
          </w:p>
        </w:tc>
        <w:tc>
          <w:tcPr>
            <w:tcW w:w="1936" w:type="dxa"/>
            <w:tcBorders>
              <w:top w:val="single" w:sz="4" w:space="0" w:color="auto"/>
              <w:left w:val="single" w:sz="4" w:space="0" w:color="auto"/>
              <w:bottom w:val="single" w:sz="4" w:space="0" w:color="auto"/>
              <w:right w:val="single" w:sz="4" w:space="0" w:color="auto"/>
            </w:tcBorders>
          </w:tcPr>
          <w:p w14:paraId="2F5DD9E3"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33,1</w:t>
            </w:r>
          </w:p>
        </w:tc>
      </w:tr>
      <w:tr w:rsidR="00200982" w:rsidRPr="00CE7234" w14:paraId="26D59CCF"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4FF1F4C7"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Ponderea în PIB</w:t>
            </w:r>
          </w:p>
        </w:tc>
        <w:tc>
          <w:tcPr>
            <w:tcW w:w="1086" w:type="dxa"/>
            <w:tcBorders>
              <w:top w:val="single" w:sz="4" w:space="0" w:color="auto"/>
              <w:left w:val="single" w:sz="4" w:space="0" w:color="auto"/>
              <w:bottom w:val="single" w:sz="4" w:space="0" w:color="auto"/>
              <w:right w:val="single" w:sz="4" w:space="0" w:color="auto"/>
            </w:tcBorders>
            <w:hideMark/>
          </w:tcPr>
          <w:p w14:paraId="10484712"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w:t>
            </w:r>
          </w:p>
        </w:tc>
        <w:tc>
          <w:tcPr>
            <w:tcW w:w="1936" w:type="dxa"/>
            <w:tcBorders>
              <w:top w:val="single" w:sz="4" w:space="0" w:color="auto"/>
              <w:left w:val="single" w:sz="4" w:space="0" w:color="auto"/>
              <w:bottom w:val="single" w:sz="4" w:space="0" w:color="auto"/>
              <w:right w:val="single" w:sz="4" w:space="0" w:color="auto"/>
            </w:tcBorders>
            <w:hideMark/>
          </w:tcPr>
          <w:p w14:paraId="3FDB29AC"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10,1</w:t>
            </w:r>
          </w:p>
        </w:tc>
        <w:tc>
          <w:tcPr>
            <w:tcW w:w="1936" w:type="dxa"/>
            <w:tcBorders>
              <w:top w:val="single" w:sz="4" w:space="0" w:color="auto"/>
              <w:left w:val="single" w:sz="4" w:space="0" w:color="auto"/>
              <w:bottom w:val="single" w:sz="4" w:space="0" w:color="auto"/>
              <w:right w:val="single" w:sz="4" w:space="0" w:color="auto"/>
            </w:tcBorders>
            <w:hideMark/>
          </w:tcPr>
          <w:p w14:paraId="55DA84CC"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10,3</w:t>
            </w:r>
          </w:p>
        </w:tc>
        <w:tc>
          <w:tcPr>
            <w:tcW w:w="1936" w:type="dxa"/>
            <w:tcBorders>
              <w:top w:val="single" w:sz="4" w:space="0" w:color="auto"/>
              <w:left w:val="single" w:sz="4" w:space="0" w:color="auto"/>
              <w:bottom w:val="single" w:sz="4" w:space="0" w:color="auto"/>
              <w:right w:val="single" w:sz="4" w:space="0" w:color="auto"/>
            </w:tcBorders>
          </w:tcPr>
          <w:p w14:paraId="3B2573BB"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11,7</w:t>
            </w:r>
          </w:p>
        </w:tc>
      </w:tr>
      <w:tr w:rsidR="00200982" w:rsidRPr="00CE7234" w14:paraId="09475D0B"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6BED7CCD" w14:textId="77777777" w:rsidR="00200982" w:rsidRPr="00CE7234" w:rsidRDefault="00200982" w:rsidP="00FB3794">
            <w:pPr>
              <w:pStyle w:val="NormalWeb"/>
              <w:tabs>
                <w:tab w:val="left" w:pos="162"/>
              </w:tabs>
              <w:spacing w:line="276" w:lineRule="auto"/>
              <w:ind w:firstLine="0"/>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Deficit (-)/Excedent (+)</w:t>
            </w:r>
          </w:p>
        </w:tc>
        <w:tc>
          <w:tcPr>
            <w:tcW w:w="1086" w:type="dxa"/>
            <w:tcBorders>
              <w:top w:val="single" w:sz="4" w:space="0" w:color="auto"/>
              <w:left w:val="single" w:sz="4" w:space="0" w:color="auto"/>
              <w:bottom w:val="single" w:sz="4" w:space="0" w:color="auto"/>
              <w:right w:val="single" w:sz="4" w:space="0" w:color="auto"/>
            </w:tcBorders>
            <w:hideMark/>
          </w:tcPr>
          <w:p w14:paraId="10D9A8E1"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mil. lei</w:t>
            </w:r>
          </w:p>
        </w:tc>
        <w:tc>
          <w:tcPr>
            <w:tcW w:w="1936" w:type="dxa"/>
            <w:tcBorders>
              <w:top w:val="single" w:sz="4" w:space="0" w:color="auto"/>
              <w:left w:val="single" w:sz="4" w:space="0" w:color="auto"/>
              <w:bottom w:val="single" w:sz="4" w:space="0" w:color="auto"/>
              <w:right w:val="single" w:sz="4" w:space="0" w:color="auto"/>
            </w:tcBorders>
            <w:hideMark/>
          </w:tcPr>
          <w:p w14:paraId="09308281"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363,8</w:t>
            </w:r>
          </w:p>
        </w:tc>
        <w:tc>
          <w:tcPr>
            <w:tcW w:w="1936" w:type="dxa"/>
            <w:tcBorders>
              <w:top w:val="single" w:sz="4" w:space="0" w:color="auto"/>
              <w:left w:val="single" w:sz="4" w:space="0" w:color="auto"/>
              <w:bottom w:val="single" w:sz="4" w:space="0" w:color="auto"/>
              <w:right w:val="single" w:sz="4" w:space="0" w:color="auto"/>
            </w:tcBorders>
            <w:hideMark/>
          </w:tcPr>
          <w:p w14:paraId="250B3C46"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146,0</w:t>
            </w:r>
          </w:p>
        </w:tc>
        <w:tc>
          <w:tcPr>
            <w:tcW w:w="1936" w:type="dxa"/>
            <w:tcBorders>
              <w:top w:val="single" w:sz="4" w:space="0" w:color="auto"/>
              <w:left w:val="single" w:sz="4" w:space="0" w:color="auto"/>
              <w:bottom w:val="single" w:sz="4" w:space="0" w:color="auto"/>
              <w:right w:val="single" w:sz="4" w:space="0" w:color="auto"/>
            </w:tcBorders>
          </w:tcPr>
          <w:p w14:paraId="3B13FFC1"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b/>
                <w:i/>
                <w:sz w:val="20"/>
                <w:szCs w:val="20"/>
                <w:lang w:val="ro-RO"/>
              </w:rPr>
            </w:pPr>
            <w:r w:rsidRPr="00CE7234">
              <w:rPr>
                <w:rFonts w:asciiTheme="majorHAnsi" w:hAnsiTheme="majorHAnsi" w:cstheme="majorHAnsi"/>
                <w:b/>
                <w:i/>
                <w:sz w:val="20"/>
                <w:szCs w:val="20"/>
                <w:lang w:val="ro-RO"/>
              </w:rPr>
              <w:t>41,2</w:t>
            </w:r>
          </w:p>
        </w:tc>
      </w:tr>
      <w:tr w:rsidR="00200982" w:rsidRPr="00CE7234" w14:paraId="0C399969"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11C91EE1"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Devieri +/- față de anul precedent</w:t>
            </w:r>
          </w:p>
        </w:tc>
        <w:tc>
          <w:tcPr>
            <w:tcW w:w="1086" w:type="dxa"/>
            <w:tcBorders>
              <w:top w:val="single" w:sz="4" w:space="0" w:color="auto"/>
              <w:left w:val="single" w:sz="4" w:space="0" w:color="auto"/>
              <w:bottom w:val="single" w:sz="4" w:space="0" w:color="auto"/>
              <w:right w:val="single" w:sz="4" w:space="0" w:color="auto"/>
            </w:tcBorders>
            <w:hideMark/>
          </w:tcPr>
          <w:p w14:paraId="6BB253D6"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mil. lei</w:t>
            </w:r>
          </w:p>
        </w:tc>
        <w:tc>
          <w:tcPr>
            <w:tcW w:w="1936" w:type="dxa"/>
            <w:tcBorders>
              <w:top w:val="single" w:sz="4" w:space="0" w:color="auto"/>
              <w:left w:val="single" w:sz="4" w:space="0" w:color="auto"/>
              <w:bottom w:val="single" w:sz="4" w:space="0" w:color="auto"/>
              <w:right w:val="single" w:sz="4" w:space="0" w:color="auto"/>
            </w:tcBorders>
            <w:hideMark/>
          </w:tcPr>
          <w:p w14:paraId="33471821"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159,6</w:t>
            </w:r>
          </w:p>
        </w:tc>
        <w:tc>
          <w:tcPr>
            <w:tcW w:w="1936" w:type="dxa"/>
            <w:tcBorders>
              <w:top w:val="single" w:sz="4" w:space="0" w:color="auto"/>
              <w:left w:val="single" w:sz="4" w:space="0" w:color="auto"/>
              <w:bottom w:val="single" w:sz="4" w:space="0" w:color="auto"/>
              <w:right w:val="single" w:sz="4" w:space="0" w:color="auto"/>
            </w:tcBorders>
            <w:hideMark/>
          </w:tcPr>
          <w:p w14:paraId="4975664E"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-217,8</w:t>
            </w:r>
          </w:p>
        </w:tc>
        <w:tc>
          <w:tcPr>
            <w:tcW w:w="1936" w:type="dxa"/>
            <w:tcBorders>
              <w:top w:val="single" w:sz="4" w:space="0" w:color="auto"/>
              <w:left w:val="single" w:sz="4" w:space="0" w:color="auto"/>
              <w:bottom w:val="single" w:sz="4" w:space="0" w:color="auto"/>
              <w:right w:val="single" w:sz="4" w:space="0" w:color="auto"/>
            </w:tcBorders>
          </w:tcPr>
          <w:p w14:paraId="37E2A0A5"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-104,8</w:t>
            </w:r>
          </w:p>
        </w:tc>
      </w:tr>
      <w:tr w:rsidR="00200982" w:rsidRPr="00CE7234" w14:paraId="49E7E068"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18BEFEDB" w14:textId="77777777" w:rsidR="00200982" w:rsidRPr="00CE7234" w:rsidRDefault="00200982" w:rsidP="00FB3794">
            <w:pPr>
              <w:pStyle w:val="NormalWeb"/>
              <w:tabs>
                <w:tab w:val="left" w:pos="162"/>
              </w:tabs>
              <w:spacing w:line="276" w:lineRule="auto"/>
              <w:ind w:firstLine="0"/>
              <w:rPr>
                <w:rFonts w:asciiTheme="majorHAnsi" w:hAnsiTheme="majorHAnsi" w:cstheme="majorHAnsi"/>
                <w:sz w:val="20"/>
                <w:szCs w:val="20"/>
                <w:lang w:val="ro-RO"/>
              </w:rPr>
            </w:pPr>
            <w:r w:rsidRPr="00CE7234">
              <w:rPr>
                <w:rFonts w:asciiTheme="majorHAnsi" w:hAnsiTheme="majorHAnsi" w:cstheme="majorHAnsi"/>
                <w:sz w:val="20"/>
                <w:szCs w:val="20"/>
                <w:lang w:val="ro-RO"/>
              </w:rPr>
              <w:t>Ponderea în PIB</w:t>
            </w:r>
          </w:p>
        </w:tc>
        <w:tc>
          <w:tcPr>
            <w:tcW w:w="1086" w:type="dxa"/>
            <w:tcBorders>
              <w:top w:val="single" w:sz="4" w:space="0" w:color="auto"/>
              <w:left w:val="single" w:sz="4" w:space="0" w:color="auto"/>
              <w:bottom w:val="single" w:sz="4" w:space="0" w:color="auto"/>
              <w:right w:val="single" w:sz="4" w:space="0" w:color="auto"/>
            </w:tcBorders>
            <w:hideMark/>
          </w:tcPr>
          <w:p w14:paraId="7243C364" w14:textId="77777777" w:rsidR="00200982" w:rsidRPr="00CE7234" w:rsidRDefault="00200982" w:rsidP="00FB3794">
            <w:pPr>
              <w:pStyle w:val="NormalWeb"/>
              <w:tabs>
                <w:tab w:val="left" w:pos="162"/>
              </w:tabs>
              <w:spacing w:line="276" w:lineRule="auto"/>
              <w:ind w:firstLine="0"/>
              <w:jc w:val="center"/>
              <w:rPr>
                <w:rFonts w:asciiTheme="majorHAnsi" w:hAnsiTheme="majorHAnsi" w:cstheme="majorHAnsi"/>
                <w:sz w:val="20"/>
                <w:szCs w:val="20"/>
                <w:lang w:val="ro-RO"/>
              </w:rPr>
            </w:pPr>
            <w:r w:rsidRPr="00CE7234">
              <w:rPr>
                <w:rFonts w:asciiTheme="majorHAnsi" w:hAnsiTheme="majorHAnsi" w:cstheme="majorHAnsi"/>
                <w:sz w:val="20"/>
                <w:szCs w:val="20"/>
                <w:lang w:val="ro-RO"/>
              </w:rPr>
              <w:t>%</w:t>
            </w:r>
          </w:p>
        </w:tc>
        <w:tc>
          <w:tcPr>
            <w:tcW w:w="1936" w:type="dxa"/>
            <w:tcBorders>
              <w:top w:val="single" w:sz="4" w:space="0" w:color="auto"/>
              <w:left w:val="single" w:sz="4" w:space="0" w:color="auto"/>
              <w:bottom w:val="single" w:sz="4" w:space="0" w:color="auto"/>
              <w:right w:val="single" w:sz="4" w:space="0" w:color="auto"/>
            </w:tcBorders>
            <w:hideMark/>
          </w:tcPr>
          <w:p w14:paraId="2CABB722"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0,19</w:t>
            </w:r>
          </w:p>
        </w:tc>
        <w:tc>
          <w:tcPr>
            <w:tcW w:w="1936" w:type="dxa"/>
            <w:tcBorders>
              <w:top w:val="single" w:sz="4" w:space="0" w:color="auto"/>
              <w:left w:val="single" w:sz="4" w:space="0" w:color="auto"/>
              <w:bottom w:val="single" w:sz="4" w:space="0" w:color="auto"/>
              <w:right w:val="single" w:sz="4" w:space="0" w:color="auto"/>
            </w:tcBorders>
            <w:hideMark/>
          </w:tcPr>
          <w:p w14:paraId="529D6B17"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0,07</w:t>
            </w:r>
          </w:p>
        </w:tc>
        <w:tc>
          <w:tcPr>
            <w:tcW w:w="1936" w:type="dxa"/>
            <w:tcBorders>
              <w:top w:val="single" w:sz="4" w:space="0" w:color="auto"/>
              <w:left w:val="single" w:sz="4" w:space="0" w:color="auto"/>
              <w:bottom w:val="single" w:sz="4" w:space="0" w:color="auto"/>
              <w:right w:val="single" w:sz="4" w:space="0" w:color="auto"/>
            </w:tcBorders>
          </w:tcPr>
          <w:p w14:paraId="7C224617" w14:textId="77777777" w:rsidR="00200982" w:rsidRPr="00CE7234" w:rsidRDefault="00200982" w:rsidP="00FB3794">
            <w:pPr>
              <w:pStyle w:val="NormalWeb"/>
              <w:tabs>
                <w:tab w:val="left" w:pos="162"/>
              </w:tabs>
              <w:spacing w:line="276" w:lineRule="auto"/>
              <w:ind w:firstLine="0"/>
              <w:jc w:val="right"/>
              <w:rPr>
                <w:rFonts w:asciiTheme="majorHAnsi" w:hAnsiTheme="majorHAnsi" w:cstheme="majorHAnsi"/>
                <w:sz w:val="20"/>
                <w:szCs w:val="20"/>
                <w:lang w:val="ro-RO"/>
              </w:rPr>
            </w:pPr>
            <w:r w:rsidRPr="00CE7234">
              <w:rPr>
                <w:rFonts w:asciiTheme="majorHAnsi" w:hAnsiTheme="majorHAnsi" w:cstheme="majorHAnsi"/>
                <w:sz w:val="20"/>
                <w:szCs w:val="20"/>
                <w:lang w:val="ro-RO"/>
              </w:rPr>
              <w:t>0,02</w:t>
            </w:r>
          </w:p>
        </w:tc>
      </w:tr>
    </w:tbl>
    <w:p w14:paraId="5F98DFF4" w14:textId="4FBB7C68" w:rsidR="00200982" w:rsidRPr="00CE7234" w:rsidRDefault="00200982" w:rsidP="00200982">
      <w:pPr>
        <w:spacing w:line="276" w:lineRule="auto"/>
        <w:jc w:val="both"/>
        <w:rPr>
          <w:rFonts w:asciiTheme="majorHAnsi" w:hAnsiTheme="majorHAnsi" w:cstheme="majorHAnsi"/>
          <w:sz w:val="24"/>
          <w:szCs w:val="24"/>
          <w:lang w:val="ro-RO"/>
        </w:rPr>
      </w:pPr>
      <w:r w:rsidRPr="00CE7234">
        <w:rPr>
          <w:rFonts w:asciiTheme="majorHAnsi" w:hAnsiTheme="majorHAnsi" w:cstheme="majorHAnsi"/>
          <w:b/>
          <w:i/>
          <w:sz w:val="20"/>
          <w:szCs w:val="24"/>
          <w:lang w:val="ro-RO"/>
        </w:rPr>
        <w:t>Sursa:</w:t>
      </w:r>
      <w:r w:rsidRPr="00CE7234">
        <w:rPr>
          <w:rFonts w:asciiTheme="majorHAnsi" w:hAnsiTheme="majorHAnsi" w:cstheme="majorHAnsi"/>
          <w:sz w:val="18"/>
          <w:lang w:val="ro-RO"/>
        </w:rPr>
        <w:t xml:space="preserve"> </w:t>
      </w:r>
      <w:r w:rsidRPr="00CE7234">
        <w:rPr>
          <w:rFonts w:asciiTheme="majorHAnsi" w:hAnsiTheme="majorHAnsi" w:cstheme="majorHAnsi"/>
          <w:i/>
          <w:sz w:val="20"/>
          <w:lang w:val="ro-RO"/>
        </w:rPr>
        <w:t>Raportul privind executarea bugetului asigurărilor sociale de stat în anul 2020 (descriere narativă)</w:t>
      </w:r>
      <w:r w:rsidR="00586BB7">
        <w:rPr>
          <w:rFonts w:asciiTheme="majorHAnsi" w:hAnsiTheme="majorHAnsi" w:cstheme="majorHAnsi"/>
          <w:i/>
          <w:sz w:val="20"/>
          <w:lang w:val="ro-RO"/>
        </w:rPr>
        <w:t>.</w:t>
      </w:r>
    </w:p>
    <w:p w14:paraId="785656C5" w14:textId="77777777" w:rsidR="00200982" w:rsidRPr="00CE7234" w:rsidRDefault="00200982" w:rsidP="00ED3980">
      <w:pPr>
        <w:spacing w:after="0" w:line="276" w:lineRule="auto"/>
        <w:jc w:val="both"/>
        <w:rPr>
          <w:rFonts w:asciiTheme="majorHAnsi" w:hAnsiTheme="majorHAnsi" w:cstheme="majorHAnsi"/>
          <w:sz w:val="24"/>
          <w:szCs w:val="24"/>
          <w:lang w:val="ro-RO"/>
        </w:rPr>
      </w:pPr>
    </w:p>
    <w:p w14:paraId="3787F2AB" w14:textId="3824F09E" w:rsidR="00ED3980" w:rsidRPr="00CE7234" w:rsidRDefault="00ED3980" w:rsidP="009B59B6">
      <w:pPr>
        <w:pStyle w:val="ListParagraph"/>
        <w:numPr>
          <w:ilvl w:val="1"/>
          <w:numId w:val="16"/>
        </w:numPr>
        <w:spacing w:after="0" w:line="276" w:lineRule="auto"/>
        <w:ind w:left="0" w:firstLine="0"/>
        <w:jc w:val="both"/>
        <w:outlineLvl w:val="1"/>
        <w:rPr>
          <w:rFonts w:asciiTheme="majorHAnsi" w:eastAsia="Times New Roman" w:hAnsiTheme="majorHAnsi" w:cstheme="majorHAnsi"/>
          <w:b/>
          <w:sz w:val="24"/>
          <w:szCs w:val="24"/>
          <w:lang w:val="ro-RO"/>
        </w:rPr>
      </w:pPr>
      <w:r w:rsidRPr="00CE7234">
        <w:rPr>
          <w:rFonts w:asciiTheme="majorHAnsi" w:eastAsia="Times New Roman" w:hAnsiTheme="majorHAnsi" w:cstheme="majorHAnsi"/>
          <w:b/>
          <w:sz w:val="24"/>
          <w:szCs w:val="24"/>
          <w:lang w:val="ro-RO"/>
        </w:rPr>
        <w:t xml:space="preserve">Cheltuielile bugetului asigurărilor sociale de stat executate în anul 2020 </w:t>
      </w:r>
      <w:r w:rsidR="000061F7">
        <w:rPr>
          <w:rFonts w:asciiTheme="majorHAnsi" w:eastAsia="Times New Roman" w:hAnsiTheme="majorHAnsi" w:cstheme="majorHAnsi"/>
          <w:b/>
          <w:sz w:val="24"/>
          <w:szCs w:val="24"/>
          <w:lang w:val="ro-RO"/>
        </w:rPr>
        <w:t xml:space="preserve">au fost </w:t>
      </w:r>
      <w:r w:rsidRPr="00CE7234">
        <w:rPr>
          <w:rFonts w:asciiTheme="majorHAnsi" w:eastAsia="Times New Roman" w:hAnsiTheme="majorHAnsi" w:cstheme="majorHAnsi"/>
          <w:b/>
          <w:sz w:val="24"/>
          <w:szCs w:val="24"/>
          <w:lang w:val="ro-RO"/>
        </w:rPr>
        <w:t>la nivelul de 98,7% față de planul anual prevăzut</w:t>
      </w:r>
      <w:r w:rsidR="000061F7">
        <w:rPr>
          <w:rFonts w:asciiTheme="majorHAnsi" w:eastAsia="Times New Roman" w:hAnsiTheme="majorHAnsi" w:cstheme="majorHAnsi"/>
          <w:b/>
          <w:sz w:val="24"/>
          <w:szCs w:val="24"/>
          <w:lang w:val="ro-RO"/>
        </w:rPr>
        <w:t>.</w:t>
      </w:r>
    </w:p>
    <w:p w14:paraId="757555A5" w14:textId="37394B30" w:rsidR="00ED3980" w:rsidRPr="00CE7234" w:rsidRDefault="00ED3980" w:rsidP="00ED3980">
      <w:p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Conform Raportului privind executarea bugetului asigurărilor sociale de stat pe anul 2020, cheltuielile bugetului asigurărilor sociale de stat au fost executate în sumă de 24 230,7 mil. lei, cu 319,2 mil. lei mai puțin decât nivelul planificat. Comparativ cu anul precedent, cheltuielile bugetului asigurărilor sociale de stat executate au crescut cu 2 640,9 mil. lei</w:t>
      </w:r>
      <w:r w:rsidR="000061F7">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sau cu 12,2%. </w:t>
      </w:r>
    </w:p>
    <w:p w14:paraId="31639EBE" w14:textId="2F40F465" w:rsidR="00ED3980" w:rsidRDefault="00ED3980" w:rsidP="00ED3980">
      <w:pPr>
        <w:spacing w:after="0" w:line="276" w:lineRule="auto"/>
        <w:jc w:val="both"/>
        <w:rPr>
          <w:rFonts w:asciiTheme="majorHAnsi" w:eastAsia="Times New Roman" w:hAnsiTheme="majorHAnsi" w:cstheme="majorHAnsi"/>
          <w:i/>
          <w:iCs/>
          <w:sz w:val="24"/>
          <w:szCs w:val="24"/>
          <w:lang w:val="ro-RO"/>
        </w:rPr>
      </w:pPr>
      <w:r w:rsidRPr="00CE7234">
        <w:rPr>
          <w:rFonts w:asciiTheme="majorHAnsi" w:eastAsia="Times New Roman" w:hAnsiTheme="majorHAnsi" w:cstheme="majorHAnsi"/>
          <w:i/>
          <w:iCs/>
          <w:sz w:val="24"/>
          <w:szCs w:val="24"/>
          <w:lang w:val="ro-RO"/>
        </w:rPr>
        <w:t>Realizarea cheltuielilor bugetului asigurărilor sociale de stat în anul 2020, în comparație cu anii 2018 și 2</w:t>
      </w:r>
      <w:r w:rsidR="001918F2">
        <w:rPr>
          <w:rFonts w:asciiTheme="majorHAnsi" w:eastAsia="Times New Roman" w:hAnsiTheme="majorHAnsi" w:cstheme="majorHAnsi"/>
          <w:i/>
          <w:iCs/>
          <w:sz w:val="24"/>
          <w:szCs w:val="24"/>
          <w:lang w:val="ro-RO"/>
        </w:rPr>
        <w:t>019, se prezintă în Tabelul nr.4</w:t>
      </w:r>
      <w:r w:rsidRPr="00CE7234">
        <w:rPr>
          <w:rFonts w:asciiTheme="majorHAnsi" w:eastAsia="Times New Roman" w:hAnsiTheme="majorHAnsi" w:cstheme="majorHAnsi"/>
          <w:i/>
          <w:iCs/>
          <w:sz w:val="24"/>
          <w:szCs w:val="24"/>
          <w:lang w:val="ro-RO"/>
        </w:rPr>
        <w:t>.</w:t>
      </w:r>
    </w:p>
    <w:p w14:paraId="55CDA5FB" w14:textId="585A4D87" w:rsidR="00ED3980" w:rsidRPr="0040646E" w:rsidRDefault="009E0D96" w:rsidP="00ED3980">
      <w:pPr>
        <w:spacing w:after="0" w:line="276" w:lineRule="auto"/>
        <w:jc w:val="right"/>
        <w:rPr>
          <w:rFonts w:asciiTheme="majorHAnsi" w:hAnsiTheme="majorHAnsi" w:cstheme="majorHAnsi"/>
          <w:b/>
          <w:sz w:val="24"/>
          <w:szCs w:val="24"/>
          <w:lang w:val="ro-RO"/>
        </w:rPr>
      </w:pPr>
      <w:r w:rsidRPr="0040646E">
        <w:rPr>
          <w:rFonts w:asciiTheme="majorHAnsi" w:eastAsia="Times New Roman" w:hAnsiTheme="majorHAnsi" w:cstheme="majorHAnsi"/>
          <w:b/>
          <w:sz w:val="24"/>
          <w:szCs w:val="24"/>
          <w:lang w:val="ro-RO"/>
        </w:rPr>
        <w:t>Tabelul nr.</w:t>
      </w:r>
      <w:r w:rsidR="00786886">
        <w:rPr>
          <w:rFonts w:asciiTheme="majorHAnsi" w:eastAsia="Times New Roman" w:hAnsiTheme="majorHAnsi" w:cstheme="majorHAnsi"/>
          <w:b/>
          <w:sz w:val="24"/>
          <w:szCs w:val="24"/>
          <w:lang w:val="ro-RO"/>
        </w:rPr>
        <w:t>3</w:t>
      </w:r>
    </w:p>
    <w:p w14:paraId="4D65688C" w14:textId="1F87869F" w:rsidR="00ED3980" w:rsidRPr="00CE7234" w:rsidRDefault="00ED3980" w:rsidP="00ED3980">
      <w:pPr>
        <w:pStyle w:val="NormalWeb"/>
        <w:tabs>
          <w:tab w:val="left" w:pos="162"/>
        </w:tabs>
        <w:spacing w:line="276" w:lineRule="auto"/>
        <w:ind w:firstLine="0"/>
        <w:jc w:val="center"/>
        <w:rPr>
          <w:rFonts w:asciiTheme="majorHAnsi" w:hAnsiTheme="majorHAnsi" w:cstheme="majorHAnsi"/>
          <w:b/>
          <w:lang w:val="ro-RO"/>
        </w:rPr>
      </w:pPr>
      <w:r w:rsidRPr="00CE7234">
        <w:rPr>
          <w:rFonts w:asciiTheme="majorHAnsi" w:hAnsiTheme="majorHAnsi" w:cstheme="majorHAnsi"/>
          <w:b/>
          <w:lang w:val="ro-RO"/>
        </w:rPr>
        <w:t>Dinamica evoluției cheltuielilor bugetului asigurărilor sociale de stat în anii 2018-2020</w:t>
      </w:r>
      <w:r w:rsidR="00B1254A">
        <w:rPr>
          <w:rFonts w:asciiTheme="majorHAnsi" w:hAnsiTheme="majorHAnsi" w:cstheme="majorHAnsi"/>
          <w:b/>
          <w:lang w:val="ro-RO"/>
        </w:rPr>
        <w:t xml:space="preserve"> </w:t>
      </w:r>
      <w:r w:rsidR="00B1254A" w:rsidRPr="00A305D1">
        <w:rPr>
          <w:rFonts w:asciiTheme="majorHAnsi" w:hAnsiTheme="majorHAnsi" w:cstheme="majorHAnsi"/>
          <w:b/>
          <w:lang w:val="ro-RO"/>
        </w:rPr>
        <w:t>(mii lei)</w:t>
      </w:r>
    </w:p>
    <w:tbl>
      <w:tblPr>
        <w:tblW w:w="9419" w:type="dxa"/>
        <w:tblLook w:val="04A0" w:firstRow="1" w:lastRow="0" w:firstColumn="1" w:lastColumn="0" w:noHBand="0" w:noVBand="1"/>
      </w:tblPr>
      <w:tblGrid>
        <w:gridCol w:w="2780"/>
        <w:gridCol w:w="989"/>
        <w:gridCol w:w="958"/>
        <w:gridCol w:w="1023"/>
        <w:gridCol w:w="823"/>
        <w:gridCol w:w="957"/>
        <w:gridCol w:w="920"/>
        <w:gridCol w:w="969"/>
      </w:tblGrid>
      <w:tr w:rsidR="00ED3980" w:rsidRPr="00CE7234" w14:paraId="31817EE8" w14:textId="77777777" w:rsidTr="00A305D1">
        <w:trPr>
          <w:trHeight w:val="416"/>
        </w:trPr>
        <w:tc>
          <w:tcPr>
            <w:tcW w:w="278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46689EF2" w14:textId="77777777" w:rsidR="00ED3980" w:rsidRPr="00CE7234" w:rsidRDefault="00ED3980" w:rsidP="00FB3794">
            <w:pPr>
              <w:spacing w:after="0" w:line="240" w:lineRule="auto"/>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Indicatori</w:t>
            </w:r>
          </w:p>
        </w:tc>
        <w:tc>
          <w:tcPr>
            <w:tcW w:w="2970" w:type="dxa"/>
            <w:gridSpan w:val="3"/>
            <w:tcBorders>
              <w:top w:val="single" w:sz="8" w:space="0" w:color="auto"/>
              <w:left w:val="nil"/>
              <w:bottom w:val="single" w:sz="8" w:space="0" w:color="auto"/>
              <w:right w:val="single" w:sz="8" w:space="0" w:color="000000"/>
            </w:tcBorders>
            <w:shd w:val="clear" w:color="auto" w:fill="92D050"/>
            <w:vAlign w:val="center"/>
            <w:hideMark/>
          </w:tcPr>
          <w:p w14:paraId="36A68CD2"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Anii</w:t>
            </w:r>
          </w:p>
        </w:tc>
        <w:tc>
          <w:tcPr>
            <w:tcW w:w="1780" w:type="dxa"/>
            <w:gridSpan w:val="2"/>
            <w:tcBorders>
              <w:top w:val="single" w:sz="8" w:space="0" w:color="auto"/>
              <w:left w:val="nil"/>
              <w:bottom w:val="single" w:sz="8" w:space="0" w:color="auto"/>
              <w:right w:val="single" w:sz="8" w:space="0" w:color="000000"/>
            </w:tcBorders>
            <w:shd w:val="clear" w:color="auto" w:fill="92D050"/>
            <w:vAlign w:val="center"/>
            <w:hideMark/>
          </w:tcPr>
          <w:p w14:paraId="2E752523"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Devieri 2020/2019</w:t>
            </w:r>
          </w:p>
        </w:tc>
        <w:tc>
          <w:tcPr>
            <w:tcW w:w="1889" w:type="dxa"/>
            <w:gridSpan w:val="2"/>
            <w:tcBorders>
              <w:top w:val="single" w:sz="8" w:space="0" w:color="auto"/>
              <w:left w:val="nil"/>
              <w:bottom w:val="single" w:sz="8" w:space="0" w:color="auto"/>
              <w:right w:val="single" w:sz="8" w:space="0" w:color="000000"/>
            </w:tcBorders>
            <w:shd w:val="clear" w:color="auto" w:fill="92D050"/>
            <w:vAlign w:val="center"/>
            <w:hideMark/>
          </w:tcPr>
          <w:p w14:paraId="5F1E892D"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Devieri 2020/2018</w:t>
            </w:r>
          </w:p>
        </w:tc>
      </w:tr>
      <w:tr w:rsidR="00ED3980" w:rsidRPr="00CE7234" w14:paraId="35512CF1" w14:textId="77777777" w:rsidTr="00A305D1">
        <w:trPr>
          <w:trHeight w:val="488"/>
        </w:trPr>
        <w:tc>
          <w:tcPr>
            <w:tcW w:w="278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4FEE51E9" w14:textId="77777777" w:rsidR="00ED3980" w:rsidRPr="00CE7234" w:rsidRDefault="00ED3980" w:rsidP="00FB3794">
            <w:pPr>
              <w:spacing w:after="0"/>
              <w:rPr>
                <w:rFonts w:asciiTheme="majorHAnsi" w:hAnsiTheme="majorHAnsi" w:cstheme="majorHAnsi"/>
                <w:b/>
                <w:bCs/>
                <w:color w:val="000000"/>
                <w:sz w:val="20"/>
                <w:szCs w:val="20"/>
                <w:lang w:val="ro-RO"/>
              </w:rPr>
            </w:pPr>
          </w:p>
        </w:tc>
        <w:tc>
          <w:tcPr>
            <w:tcW w:w="989" w:type="dxa"/>
            <w:tcBorders>
              <w:top w:val="nil"/>
              <w:left w:val="nil"/>
              <w:bottom w:val="single" w:sz="8" w:space="0" w:color="auto"/>
              <w:right w:val="single" w:sz="8" w:space="0" w:color="auto"/>
            </w:tcBorders>
            <w:shd w:val="clear" w:color="auto" w:fill="92D050"/>
            <w:vAlign w:val="center"/>
            <w:hideMark/>
          </w:tcPr>
          <w:p w14:paraId="04C94A5D"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2018</w:t>
            </w:r>
          </w:p>
        </w:tc>
        <w:tc>
          <w:tcPr>
            <w:tcW w:w="958" w:type="dxa"/>
            <w:tcBorders>
              <w:top w:val="nil"/>
              <w:left w:val="nil"/>
              <w:bottom w:val="single" w:sz="8" w:space="0" w:color="auto"/>
              <w:right w:val="single" w:sz="8" w:space="0" w:color="auto"/>
            </w:tcBorders>
            <w:shd w:val="clear" w:color="auto" w:fill="92D050"/>
            <w:vAlign w:val="center"/>
            <w:hideMark/>
          </w:tcPr>
          <w:p w14:paraId="393688C9"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2019</w:t>
            </w:r>
          </w:p>
        </w:tc>
        <w:tc>
          <w:tcPr>
            <w:tcW w:w="1023" w:type="dxa"/>
            <w:tcBorders>
              <w:top w:val="nil"/>
              <w:left w:val="nil"/>
              <w:bottom w:val="single" w:sz="8" w:space="0" w:color="auto"/>
              <w:right w:val="single" w:sz="8" w:space="0" w:color="auto"/>
            </w:tcBorders>
            <w:shd w:val="clear" w:color="auto" w:fill="92D050"/>
            <w:vAlign w:val="center"/>
            <w:hideMark/>
          </w:tcPr>
          <w:p w14:paraId="7C2A46EE"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2020</w:t>
            </w:r>
          </w:p>
        </w:tc>
        <w:tc>
          <w:tcPr>
            <w:tcW w:w="823" w:type="dxa"/>
            <w:tcBorders>
              <w:top w:val="nil"/>
              <w:left w:val="nil"/>
              <w:bottom w:val="single" w:sz="8" w:space="0" w:color="auto"/>
              <w:right w:val="single" w:sz="8" w:space="0" w:color="auto"/>
            </w:tcBorders>
            <w:shd w:val="clear" w:color="auto" w:fill="92D050"/>
            <w:vAlign w:val="center"/>
            <w:hideMark/>
          </w:tcPr>
          <w:p w14:paraId="7CF01656"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c>
          <w:tcPr>
            <w:tcW w:w="957" w:type="dxa"/>
            <w:tcBorders>
              <w:top w:val="nil"/>
              <w:left w:val="nil"/>
              <w:bottom w:val="single" w:sz="8" w:space="0" w:color="auto"/>
              <w:right w:val="single" w:sz="8" w:space="0" w:color="auto"/>
            </w:tcBorders>
            <w:shd w:val="clear" w:color="auto" w:fill="92D050"/>
            <w:vAlign w:val="center"/>
            <w:hideMark/>
          </w:tcPr>
          <w:p w14:paraId="2195E771"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c>
          <w:tcPr>
            <w:tcW w:w="920" w:type="dxa"/>
            <w:tcBorders>
              <w:top w:val="nil"/>
              <w:left w:val="nil"/>
              <w:bottom w:val="single" w:sz="8" w:space="0" w:color="auto"/>
              <w:right w:val="single" w:sz="8" w:space="0" w:color="auto"/>
            </w:tcBorders>
            <w:shd w:val="clear" w:color="auto" w:fill="92D050"/>
            <w:vAlign w:val="center"/>
            <w:hideMark/>
          </w:tcPr>
          <w:p w14:paraId="0EDC99D1"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c>
          <w:tcPr>
            <w:tcW w:w="966" w:type="dxa"/>
            <w:tcBorders>
              <w:top w:val="nil"/>
              <w:left w:val="nil"/>
              <w:bottom w:val="single" w:sz="8" w:space="0" w:color="auto"/>
              <w:right w:val="single" w:sz="8" w:space="0" w:color="auto"/>
            </w:tcBorders>
            <w:shd w:val="clear" w:color="auto" w:fill="92D050"/>
            <w:vAlign w:val="center"/>
            <w:hideMark/>
          </w:tcPr>
          <w:p w14:paraId="4005B081" w14:textId="77777777" w:rsidR="00ED3980" w:rsidRPr="00CE7234" w:rsidRDefault="00ED3980" w:rsidP="00FB3794">
            <w:pPr>
              <w:spacing w:after="0"/>
              <w:jc w:val="center"/>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w:t>
            </w:r>
          </w:p>
        </w:tc>
      </w:tr>
      <w:tr w:rsidR="00ED3980" w:rsidRPr="00CE7234" w14:paraId="7173CC43" w14:textId="77777777" w:rsidTr="00A305D1">
        <w:trPr>
          <w:trHeight w:val="281"/>
        </w:trPr>
        <w:tc>
          <w:tcPr>
            <w:tcW w:w="2780" w:type="dxa"/>
            <w:tcBorders>
              <w:top w:val="nil"/>
              <w:left w:val="single" w:sz="8" w:space="0" w:color="auto"/>
              <w:bottom w:val="single" w:sz="8" w:space="0" w:color="auto"/>
              <w:right w:val="single" w:sz="8" w:space="0" w:color="auto"/>
            </w:tcBorders>
            <w:shd w:val="clear" w:color="auto" w:fill="auto"/>
            <w:vAlign w:val="bottom"/>
            <w:hideMark/>
          </w:tcPr>
          <w:p w14:paraId="0635D87F" w14:textId="77777777" w:rsidR="00ED3980" w:rsidRPr="00CE7234" w:rsidRDefault="00ED3980" w:rsidP="00FB3794">
            <w:pPr>
              <w:spacing w:after="0"/>
              <w:jc w:val="center"/>
              <w:rPr>
                <w:rFonts w:asciiTheme="majorHAnsi" w:hAnsiTheme="majorHAnsi" w:cstheme="majorHAnsi"/>
                <w:b/>
                <w:bCs/>
                <w:color w:val="000000"/>
                <w:sz w:val="16"/>
                <w:szCs w:val="16"/>
                <w:lang w:val="ro-RO"/>
              </w:rPr>
            </w:pPr>
            <w:r w:rsidRPr="00CE7234">
              <w:rPr>
                <w:rFonts w:asciiTheme="majorHAnsi" w:hAnsiTheme="majorHAnsi" w:cstheme="majorHAnsi"/>
                <w:b/>
                <w:bCs/>
                <w:color w:val="000000"/>
                <w:sz w:val="16"/>
                <w:szCs w:val="16"/>
                <w:lang w:val="ro-RO"/>
              </w:rPr>
              <w:t>1</w:t>
            </w:r>
          </w:p>
        </w:tc>
        <w:tc>
          <w:tcPr>
            <w:tcW w:w="989" w:type="dxa"/>
            <w:tcBorders>
              <w:top w:val="nil"/>
              <w:left w:val="nil"/>
              <w:bottom w:val="single" w:sz="8" w:space="0" w:color="auto"/>
              <w:right w:val="single" w:sz="8" w:space="0" w:color="auto"/>
            </w:tcBorders>
            <w:shd w:val="clear" w:color="auto" w:fill="auto"/>
            <w:vAlign w:val="bottom"/>
            <w:hideMark/>
          </w:tcPr>
          <w:p w14:paraId="5ABF236D"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2</w:t>
            </w:r>
          </w:p>
        </w:tc>
        <w:tc>
          <w:tcPr>
            <w:tcW w:w="958" w:type="dxa"/>
            <w:tcBorders>
              <w:top w:val="nil"/>
              <w:left w:val="nil"/>
              <w:bottom w:val="single" w:sz="8" w:space="0" w:color="auto"/>
              <w:right w:val="single" w:sz="8" w:space="0" w:color="auto"/>
            </w:tcBorders>
            <w:shd w:val="clear" w:color="auto" w:fill="auto"/>
            <w:vAlign w:val="bottom"/>
            <w:hideMark/>
          </w:tcPr>
          <w:p w14:paraId="71BEFBA4"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3</w:t>
            </w:r>
          </w:p>
        </w:tc>
        <w:tc>
          <w:tcPr>
            <w:tcW w:w="1023" w:type="dxa"/>
            <w:tcBorders>
              <w:top w:val="nil"/>
              <w:left w:val="nil"/>
              <w:bottom w:val="single" w:sz="8" w:space="0" w:color="auto"/>
              <w:right w:val="single" w:sz="8" w:space="0" w:color="auto"/>
            </w:tcBorders>
            <w:shd w:val="clear" w:color="auto" w:fill="auto"/>
            <w:vAlign w:val="bottom"/>
            <w:hideMark/>
          </w:tcPr>
          <w:p w14:paraId="46C8A3C3"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4</w:t>
            </w:r>
          </w:p>
        </w:tc>
        <w:tc>
          <w:tcPr>
            <w:tcW w:w="823" w:type="dxa"/>
            <w:tcBorders>
              <w:top w:val="nil"/>
              <w:left w:val="nil"/>
              <w:bottom w:val="single" w:sz="8" w:space="0" w:color="auto"/>
              <w:right w:val="single" w:sz="8" w:space="0" w:color="auto"/>
            </w:tcBorders>
            <w:shd w:val="clear" w:color="auto" w:fill="auto"/>
            <w:vAlign w:val="bottom"/>
            <w:hideMark/>
          </w:tcPr>
          <w:p w14:paraId="1A3F39F2"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5=4-3</w:t>
            </w:r>
          </w:p>
        </w:tc>
        <w:tc>
          <w:tcPr>
            <w:tcW w:w="957" w:type="dxa"/>
            <w:tcBorders>
              <w:top w:val="nil"/>
              <w:left w:val="nil"/>
              <w:bottom w:val="single" w:sz="8" w:space="0" w:color="auto"/>
              <w:right w:val="single" w:sz="8" w:space="0" w:color="auto"/>
            </w:tcBorders>
            <w:shd w:val="clear" w:color="auto" w:fill="auto"/>
            <w:vAlign w:val="bottom"/>
            <w:hideMark/>
          </w:tcPr>
          <w:p w14:paraId="069EC50C"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 6=4*100/3</w:t>
            </w:r>
          </w:p>
        </w:tc>
        <w:tc>
          <w:tcPr>
            <w:tcW w:w="920" w:type="dxa"/>
            <w:tcBorders>
              <w:top w:val="nil"/>
              <w:left w:val="nil"/>
              <w:bottom w:val="single" w:sz="8" w:space="0" w:color="auto"/>
              <w:right w:val="single" w:sz="8" w:space="0" w:color="auto"/>
            </w:tcBorders>
            <w:shd w:val="clear" w:color="auto" w:fill="auto"/>
            <w:vAlign w:val="bottom"/>
            <w:hideMark/>
          </w:tcPr>
          <w:p w14:paraId="13F9FF74"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7</w:t>
            </w:r>
          </w:p>
        </w:tc>
        <w:tc>
          <w:tcPr>
            <w:tcW w:w="966" w:type="dxa"/>
            <w:tcBorders>
              <w:top w:val="nil"/>
              <w:left w:val="nil"/>
              <w:bottom w:val="single" w:sz="8" w:space="0" w:color="auto"/>
              <w:right w:val="single" w:sz="8" w:space="0" w:color="auto"/>
            </w:tcBorders>
            <w:shd w:val="clear" w:color="auto" w:fill="auto"/>
            <w:vAlign w:val="bottom"/>
            <w:hideMark/>
          </w:tcPr>
          <w:p w14:paraId="78C9D16A" w14:textId="77777777" w:rsidR="00ED3980" w:rsidRPr="00CE7234" w:rsidRDefault="00ED3980" w:rsidP="00FB3794">
            <w:pPr>
              <w:spacing w:after="0"/>
              <w:jc w:val="center"/>
              <w:rPr>
                <w:rFonts w:asciiTheme="majorHAnsi" w:hAnsiTheme="majorHAnsi" w:cstheme="majorHAnsi"/>
                <w:b/>
                <w:bCs/>
                <w:iCs/>
                <w:color w:val="000000"/>
                <w:sz w:val="16"/>
                <w:szCs w:val="16"/>
                <w:lang w:val="ro-RO"/>
              </w:rPr>
            </w:pPr>
            <w:r w:rsidRPr="00CE7234">
              <w:rPr>
                <w:rFonts w:asciiTheme="majorHAnsi" w:hAnsiTheme="majorHAnsi" w:cstheme="majorHAnsi"/>
                <w:b/>
                <w:bCs/>
                <w:iCs/>
                <w:color w:val="000000"/>
                <w:sz w:val="16"/>
                <w:szCs w:val="16"/>
                <w:lang w:val="ro-RO"/>
              </w:rPr>
              <w:t>8=4*100/2</w:t>
            </w:r>
          </w:p>
        </w:tc>
      </w:tr>
      <w:tr w:rsidR="00ED3980" w:rsidRPr="00CE7234" w14:paraId="5A2D31E0" w14:textId="77777777" w:rsidTr="00A305D1">
        <w:trPr>
          <w:trHeight w:val="21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27010D1" w14:textId="77777777" w:rsidR="00ED3980" w:rsidRPr="00CE7234" w:rsidRDefault="00ED3980" w:rsidP="00FB3794">
            <w:pPr>
              <w:spacing w:after="0"/>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Cheltuieli precizate</w:t>
            </w:r>
          </w:p>
        </w:tc>
        <w:tc>
          <w:tcPr>
            <w:tcW w:w="989" w:type="dxa"/>
            <w:tcBorders>
              <w:top w:val="nil"/>
              <w:left w:val="nil"/>
              <w:bottom w:val="single" w:sz="8" w:space="0" w:color="auto"/>
              <w:right w:val="single" w:sz="8" w:space="0" w:color="auto"/>
            </w:tcBorders>
            <w:shd w:val="clear" w:color="auto" w:fill="auto"/>
            <w:vAlign w:val="center"/>
            <w:hideMark/>
          </w:tcPr>
          <w:p w14:paraId="2041D9C0" w14:textId="67D9C66A"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19</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605</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4</w:t>
            </w:r>
          </w:p>
        </w:tc>
        <w:tc>
          <w:tcPr>
            <w:tcW w:w="958" w:type="dxa"/>
            <w:tcBorders>
              <w:top w:val="nil"/>
              <w:left w:val="nil"/>
              <w:bottom w:val="single" w:sz="8" w:space="0" w:color="auto"/>
              <w:right w:val="single" w:sz="8" w:space="0" w:color="auto"/>
            </w:tcBorders>
            <w:shd w:val="clear" w:color="auto" w:fill="auto"/>
            <w:vAlign w:val="center"/>
            <w:hideMark/>
          </w:tcPr>
          <w:p w14:paraId="194B5A98" w14:textId="39E783D5"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21</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866</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5</w:t>
            </w:r>
          </w:p>
        </w:tc>
        <w:tc>
          <w:tcPr>
            <w:tcW w:w="1023" w:type="dxa"/>
            <w:tcBorders>
              <w:top w:val="nil"/>
              <w:left w:val="nil"/>
              <w:bottom w:val="single" w:sz="8" w:space="0" w:color="auto"/>
              <w:right w:val="single" w:sz="8" w:space="0" w:color="auto"/>
            </w:tcBorders>
            <w:shd w:val="clear" w:color="auto" w:fill="auto"/>
            <w:vAlign w:val="center"/>
            <w:hideMark/>
          </w:tcPr>
          <w:p w14:paraId="7ADF3A67" w14:textId="0C88BA91"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24</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549</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9</w:t>
            </w:r>
          </w:p>
        </w:tc>
        <w:tc>
          <w:tcPr>
            <w:tcW w:w="823" w:type="dxa"/>
            <w:tcBorders>
              <w:top w:val="nil"/>
              <w:left w:val="nil"/>
              <w:bottom w:val="single" w:sz="8" w:space="0" w:color="auto"/>
              <w:right w:val="single" w:sz="8" w:space="0" w:color="auto"/>
            </w:tcBorders>
            <w:shd w:val="clear" w:color="auto" w:fill="auto"/>
            <w:vAlign w:val="center"/>
            <w:hideMark/>
          </w:tcPr>
          <w:p w14:paraId="60D082AB" w14:textId="161B5D8C"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683</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4</w:t>
            </w:r>
          </w:p>
        </w:tc>
        <w:tc>
          <w:tcPr>
            <w:tcW w:w="957" w:type="dxa"/>
            <w:tcBorders>
              <w:top w:val="nil"/>
              <w:left w:val="nil"/>
              <w:bottom w:val="single" w:sz="8" w:space="0" w:color="auto"/>
              <w:right w:val="single" w:sz="8" w:space="0" w:color="auto"/>
            </w:tcBorders>
            <w:shd w:val="clear" w:color="auto" w:fill="auto"/>
            <w:vAlign w:val="center"/>
            <w:hideMark/>
          </w:tcPr>
          <w:p w14:paraId="3A31C0B3" w14:textId="22EFA48A"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112</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3</w:t>
            </w:r>
          </w:p>
        </w:tc>
        <w:tc>
          <w:tcPr>
            <w:tcW w:w="920" w:type="dxa"/>
            <w:tcBorders>
              <w:top w:val="nil"/>
              <w:left w:val="nil"/>
              <w:bottom w:val="single" w:sz="8" w:space="0" w:color="auto"/>
              <w:right w:val="single" w:sz="8" w:space="0" w:color="auto"/>
            </w:tcBorders>
            <w:shd w:val="clear" w:color="auto" w:fill="auto"/>
            <w:vAlign w:val="center"/>
            <w:hideMark/>
          </w:tcPr>
          <w:p w14:paraId="21BA600E" w14:textId="07C1A794"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4</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944</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5</w:t>
            </w:r>
          </w:p>
        </w:tc>
        <w:tc>
          <w:tcPr>
            <w:tcW w:w="966" w:type="dxa"/>
            <w:tcBorders>
              <w:top w:val="nil"/>
              <w:left w:val="nil"/>
              <w:bottom w:val="single" w:sz="8" w:space="0" w:color="auto"/>
              <w:right w:val="single" w:sz="8" w:space="0" w:color="auto"/>
            </w:tcBorders>
            <w:shd w:val="clear" w:color="auto" w:fill="auto"/>
            <w:vAlign w:val="center"/>
            <w:hideMark/>
          </w:tcPr>
          <w:p w14:paraId="0603C870" w14:textId="7CDDF017"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125</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2</w:t>
            </w:r>
          </w:p>
        </w:tc>
      </w:tr>
      <w:tr w:rsidR="00ED3980" w:rsidRPr="00CE7234" w14:paraId="16DD9AB5" w14:textId="77777777" w:rsidTr="00A305D1">
        <w:trPr>
          <w:trHeight w:val="376"/>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2DF3944" w14:textId="14E65BE6" w:rsidR="00ED3980" w:rsidRPr="00CE7234" w:rsidRDefault="00ED3980" w:rsidP="000061F7">
            <w:pPr>
              <w:spacing w:after="0"/>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Cheltui</w:t>
            </w:r>
            <w:r w:rsidR="000061F7">
              <w:rPr>
                <w:rFonts w:asciiTheme="majorHAnsi" w:hAnsiTheme="majorHAnsi" w:cstheme="majorHAnsi"/>
                <w:b/>
                <w:bCs/>
                <w:color w:val="000000"/>
                <w:sz w:val="20"/>
                <w:szCs w:val="20"/>
                <w:lang w:val="ro-RO"/>
              </w:rPr>
              <w:t>e</w:t>
            </w:r>
            <w:r w:rsidRPr="00CE7234">
              <w:rPr>
                <w:rFonts w:asciiTheme="majorHAnsi" w:hAnsiTheme="majorHAnsi" w:cstheme="majorHAnsi"/>
                <w:b/>
                <w:bCs/>
                <w:color w:val="000000"/>
                <w:sz w:val="20"/>
                <w:szCs w:val="20"/>
                <w:lang w:val="ro-RO"/>
              </w:rPr>
              <w:t>li executate, inclusiv:</w:t>
            </w:r>
          </w:p>
        </w:tc>
        <w:tc>
          <w:tcPr>
            <w:tcW w:w="989" w:type="dxa"/>
            <w:tcBorders>
              <w:top w:val="nil"/>
              <w:left w:val="nil"/>
              <w:bottom w:val="single" w:sz="8" w:space="0" w:color="auto"/>
              <w:right w:val="single" w:sz="8" w:space="0" w:color="auto"/>
            </w:tcBorders>
            <w:shd w:val="clear" w:color="auto" w:fill="auto"/>
            <w:vAlign w:val="center"/>
            <w:hideMark/>
          </w:tcPr>
          <w:p w14:paraId="18A4A5D8" w14:textId="2AADB8A4"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19</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410</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8</w:t>
            </w:r>
          </w:p>
        </w:tc>
        <w:tc>
          <w:tcPr>
            <w:tcW w:w="958" w:type="dxa"/>
            <w:tcBorders>
              <w:top w:val="nil"/>
              <w:left w:val="nil"/>
              <w:bottom w:val="single" w:sz="8" w:space="0" w:color="auto"/>
              <w:right w:val="single" w:sz="8" w:space="0" w:color="auto"/>
            </w:tcBorders>
            <w:shd w:val="clear" w:color="auto" w:fill="auto"/>
            <w:vAlign w:val="center"/>
            <w:hideMark/>
          </w:tcPr>
          <w:p w14:paraId="7F7B1586" w14:textId="490DDE35" w:rsidR="00ED3980" w:rsidRPr="00CE7234" w:rsidRDefault="00A305D1" w:rsidP="00FB3794">
            <w:pPr>
              <w:spacing w:after="0"/>
              <w:jc w:val="right"/>
              <w:rPr>
                <w:rFonts w:asciiTheme="majorHAnsi" w:hAnsiTheme="majorHAnsi" w:cstheme="majorHAnsi"/>
                <w:b/>
                <w:bCs/>
                <w:iCs/>
                <w:color w:val="000000"/>
                <w:sz w:val="20"/>
                <w:szCs w:val="20"/>
                <w:lang w:val="ro-RO"/>
              </w:rPr>
            </w:pPr>
            <w:r>
              <w:rPr>
                <w:rFonts w:asciiTheme="majorHAnsi" w:hAnsiTheme="majorHAnsi" w:cstheme="majorHAnsi"/>
                <w:b/>
                <w:bCs/>
                <w:iCs/>
                <w:color w:val="000000"/>
                <w:sz w:val="20"/>
                <w:szCs w:val="20"/>
                <w:lang w:val="ro-RO"/>
              </w:rPr>
              <w:t>21 589,</w:t>
            </w:r>
            <w:r w:rsidR="00ED3980" w:rsidRPr="00CE7234">
              <w:rPr>
                <w:rFonts w:asciiTheme="majorHAnsi" w:hAnsiTheme="majorHAnsi" w:cstheme="majorHAnsi"/>
                <w:b/>
                <w:bCs/>
                <w:iCs/>
                <w:color w:val="000000"/>
                <w:sz w:val="20"/>
                <w:szCs w:val="20"/>
                <w:lang w:val="ro-RO"/>
              </w:rPr>
              <w:t>8</w:t>
            </w:r>
          </w:p>
        </w:tc>
        <w:tc>
          <w:tcPr>
            <w:tcW w:w="1023" w:type="dxa"/>
            <w:tcBorders>
              <w:top w:val="nil"/>
              <w:left w:val="nil"/>
              <w:bottom w:val="single" w:sz="8" w:space="0" w:color="auto"/>
              <w:right w:val="single" w:sz="8" w:space="0" w:color="auto"/>
            </w:tcBorders>
            <w:shd w:val="clear" w:color="auto" w:fill="auto"/>
            <w:vAlign w:val="center"/>
            <w:hideMark/>
          </w:tcPr>
          <w:p w14:paraId="2FF5AF84" w14:textId="693D195B"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24</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230</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7</w:t>
            </w:r>
          </w:p>
        </w:tc>
        <w:tc>
          <w:tcPr>
            <w:tcW w:w="823" w:type="dxa"/>
            <w:tcBorders>
              <w:top w:val="nil"/>
              <w:left w:val="nil"/>
              <w:bottom w:val="single" w:sz="8" w:space="0" w:color="auto"/>
              <w:right w:val="single" w:sz="8" w:space="0" w:color="auto"/>
            </w:tcBorders>
            <w:shd w:val="clear" w:color="auto" w:fill="auto"/>
            <w:vAlign w:val="center"/>
            <w:hideMark/>
          </w:tcPr>
          <w:p w14:paraId="7F5B1BEA" w14:textId="2FB8AED1"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2</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640</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9</w:t>
            </w:r>
          </w:p>
        </w:tc>
        <w:tc>
          <w:tcPr>
            <w:tcW w:w="957" w:type="dxa"/>
            <w:tcBorders>
              <w:top w:val="nil"/>
              <w:left w:val="nil"/>
              <w:bottom w:val="single" w:sz="8" w:space="0" w:color="auto"/>
              <w:right w:val="single" w:sz="8" w:space="0" w:color="auto"/>
            </w:tcBorders>
            <w:shd w:val="clear" w:color="auto" w:fill="auto"/>
            <w:vAlign w:val="center"/>
            <w:hideMark/>
          </w:tcPr>
          <w:p w14:paraId="654ACC5A" w14:textId="0BC198DF"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112</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2</w:t>
            </w:r>
          </w:p>
        </w:tc>
        <w:tc>
          <w:tcPr>
            <w:tcW w:w="920" w:type="dxa"/>
            <w:tcBorders>
              <w:top w:val="nil"/>
              <w:left w:val="nil"/>
              <w:bottom w:val="single" w:sz="8" w:space="0" w:color="auto"/>
              <w:right w:val="single" w:sz="8" w:space="0" w:color="auto"/>
            </w:tcBorders>
            <w:shd w:val="clear" w:color="auto" w:fill="auto"/>
            <w:vAlign w:val="center"/>
            <w:hideMark/>
          </w:tcPr>
          <w:p w14:paraId="018E8BB7" w14:textId="1A3A6DE8"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4</w:t>
            </w:r>
            <w:r w:rsidR="00A305D1">
              <w:rPr>
                <w:rFonts w:asciiTheme="majorHAnsi" w:hAnsiTheme="majorHAnsi" w:cstheme="majorHAnsi"/>
                <w:b/>
                <w:bCs/>
                <w:iCs/>
                <w:color w:val="000000"/>
                <w:sz w:val="20"/>
                <w:szCs w:val="20"/>
                <w:lang w:val="ro-RO"/>
              </w:rPr>
              <w:t xml:space="preserve"> </w:t>
            </w:r>
            <w:r w:rsidRPr="00CE7234">
              <w:rPr>
                <w:rFonts w:asciiTheme="majorHAnsi" w:hAnsiTheme="majorHAnsi" w:cstheme="majorHAnsi"/>
                <w:b/>
                <w:bCs/>
                <w:iCs/>
                <w:color w:val="000000"/>
                <w:sz w:val="20"/>
                <w:szCs w:val="20"/>
                <w:lang w:val="ro-RO"/>
              </w:rPr>
              <w:t>819</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9</w:t>
            </w:r>
          </w:p>
        </w:tc>
        <w:tc>
          <w:tcPr>
            <w:tcW w:w="966" w:type="dxa"/>
            <w:tcBorders>
              <w:top w:val="nil"/>
              <w:left w:val="nil"/>
              <w:bottom w:val="single" w:sz="8" w:space="0" w:color="auto"/>
              <w:right w:val="single" w:sz="8" w:space="0" w:color="auto"/>
            </w:tcBorders>
            <w:shd w:val="clear" w:color="auto" w:fill="auto"/>
            <w:vAlign w:val="center"/>
            <w:hideMark/>
          </w:tcPr>
          <w:p w14:paraId="549297FD" w14:textId="1E4F2B4E" w:rsidR="00ED3980" w:rsidRPr="00CE7234" w:rsidRDefault="00ED3980" w:rsidP="00A305D1">
            <w:pPr>
              <w:spacing w:after="0"/>
              <w:jc w:val="right"/>
              <w:rPr>
                <w:rFonts w:asciiTheme="majorHAnsi" w:hAnsiTheme="majorHAnsi" w:cstheme="majorHAnsi"/>
                <w:b/>
                <w:bCs/>
                <w:iCs/>
                <w:color w:val="000000"/>
                <w:sz w:val="20"/>
                <w:szCs w:val="20"/>
                <w:lang w:val="ro-RO"/>
              </w:rPr>
            </w:pPr>
            <w:r w:rsidRPr="00CE7234">
              <w:rPr>
                <w:rFonts w:asciiTheme="majorHAnsi" w:hAnsiTheme="majorHAnsi" w:cstheme="majorHAnsi"/>
                <w:b/>
                <w:bCs/>
                <w:iCs/>
                <w:color w:val="000000"/>
                <w:sz w:val="20"/>
                <w:szCs w:val="20"/>
                <w:lang w:val="ro-RO"/>
              </w:rPr>
              <w:t>124</w:t>
            </w:r>
            <w:r w:rsidR="00A305D1">
              <w:rPr>
                <w:rFonts w:asciiTheme="majorHAnsi" w:hAnsiTheme="majorHAnsi" w:cstheme="majorHAnsi"/>
                <w:b/>
                <w:bCs/>
                <w:iCs/>
                <w:color w:val="000000"/>
                <w:sz w:val="20"/>
                <w:szCs w:val="20"/>
                <w:lang w:val="ro-RO"/>
              </w:rPr>
              <w:t>,</w:t>
            </w:r>
            <w:r w:rsidRPr="00CE7234">
              <w:rPr>
                <w:rFonts w:asciiTheme="majorHAnsi" w:hAnsiTheme="majorHAnsi" w:cstheme="majorHAnsi"/>
                <w:b/>
                <w:bCs/>
                <w:iCs/>
                <w:color w:val="000000"/>
                <w:sz w:val="20"/>
                <w:szCs w:val="20"/>
                <w:lang w:val="ro-RO"/>
              </w:rPr>
              <w:t>8</w:t>
            </w:r>
          </w:p>
        </w:tc>
      </w:tr>
      <w:tr w:rsidR="00ED3980" w:rsidRPr="00CE7234" w14:paraId="1D40BC90" w14:textId="77777777" w:rsidTr="00A305D1">
        <w:trPr>
          <w:trHeight w:val="376"/>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E84CFDE" w14:textId="77777777" w:rsidR="00ED3980" w:rsidRPr="00CE7234" w:rsidRDefault="00ED3980" w:rsidP="00FB3794">
            <w:pPr>
              <w:spacing w:after="0"/>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Cheltuieli de personal</w:t>
            </w:r>
          </w:p>
        </w:tc>
        <w:tc>
          <w:tcPr>
            <w:tcW w:w="989" w:type="dxa"/>
            <w:tcBorders>
              <w:top w:val="nil"/>
              <w:left w:val="nil"/>
              <w:bottom w:val="single" w:sz="8" w:space="0" w:color="auto"/>
              <w:right w:val="single" w:sz="8" w:space="0" w:color="auto"/>
            </w:tcBorders>
            <w:shd w:val="clear" w:color="auto" w:fill="auto"/>
            <w:vAlign w:val="center"/>
            <w:hideMark/>
          </w:tcPr>
          <w:p w14:paraId="582767BD" w14:textId="36037746" w:rsidR="00ED3980" w:rsidRPr="00CE7234" w:rsidRDefault="00ED3980" w:rsidP="00A305D1">
            <w:pPr>
              <w:spacing w:after="0"/>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113</w:t>
            </w:r>
            <w:r w:rsidR="00A305D1">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1</w:t>
            </w:r>
          </w:p>
        </w:tc>
        <w:tc>
          <w:tcPr>
            <w:tcW w:w="958" w:type="dxa"/>
            <w:tcBorders>
              <w:top w:val="nil"/>
              <w:left w:val="nil"/>
              <w:bottom w:val="single" w:sz="8" w:space="0" w:color="auto"/>
              <w:right w:val="single" w:sz="8" w:space="0" w:color="auto"/>
            </w:tcBorders>
            <w:shd w:val="clear" w:color="auto" w:fill="auto"/>
            <w:vAlign w:val="center"/>
            <w:hideMark/>
          </w:tcPr>
          <w:p w14:paraId="7AC3B3AB" w14:textId="60F90F96"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142</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c>
          <w:tcPr>
            <w:tcW w:w="1023" w:type="dxa"/>
            <w:tcBorders>
              <w:top w:val="nil"/>
              <w:left w:val="nil"/>
              <w:bottom w:val="single" w:sz="8" w:space="0" w:color="auto"/>
              <w:right w:val="single" w:sz="8" w:space="0" w:color="auto"/>
            </w:tcBorders>
            <w:shd w:val="clear" w:color="auto" w:fill="auto"/>
            <w:vAlign w:val="center"/>
            <w:hideMark/>
          </w:tcPr>
          <w:p w14:paraId="40D0AA8C" w14:textId="149D7250" w:rsidR="00ED3980" w:rsidRPr="00CE7234" w:rsidRDefault="00ED3980" w:rsidP="00A305D1">
            <w:pPr>
              <w:spacing w:after="0"/>
              <w:jc w:val="right"/>
              <w:rPr>
                <w:rFonts w:asciiTheme="majorHAnsi" w:hAnsiTheme="majorHAnsi" w:cstheme="majorHAnsi"/>
                <w:bCs/>
                <w:iCs/>
                <w:sz w:val="20"/>
                <w:szCs w:val="20"/>
                <w:lang w:val="ro-RO"/>
              </w:rPr>
            </w:pPr>
            <w:r w:rsidRPr="00CE7234">
              <w:rPr>
                <w:rFonts w:asciiTheme="majorHAnsi" w:hAnsiTheme="majorHAnsi" w:cstheme="majorHAnsi"/>
                <w:bCs/>
                <w:iCs/>
                <w:sz w:val="20"/>
                <w:szCs w:val="20"/>
                <w:lang w:val="ro-RO"/>
              </w:rPr>
              <w:t>158</w:t>
            </w:r>
            <w:r w:rsidR="00A305D1">
              <w:rPr>
                <w:rFonts w:asciiTheme="majorHAnsi" w:hAnsiTheme="majorHAnsi" w:cstheme="majorHAnsi"/>
                <w:bCs/>
                <w:iCs/>
                <w:sz w:val="20"/>
                <w:szCs w:val="20"/>
                <w:lang w:val="ro-RO"/>
              </w:rPr>
              <w:t>,</w:t>
            </w:r>
            <w:r w:rsidRPr="00CE7234">
              <w:rPr>
                <w:rFonts w:asciiTheme="majorHAnsi" w:hAnsiTheme="majorHAnsi" w:cstheme="majorHAnsi"/>
                <w:bCs/>
                <w:iCs/>
                <w:sz w:val="20"/>
                <w:szCs w:val="20"/>
                <w:lang w:val="ro-RO"/>
              </w:rPr>
              <w:t>0</w:t>
            </w:r>
          </w:p>
        </w:tc>
        <w:tc>
          <w:tcPr>
            <w:tcW w:w="823" w:type="dxa"/>
            <w:tcBorders>
              <w:top w:val="nil"/>
              <w:left w:val="nil"/>
              <w:bottom w:val="single" w:sz="8" w:space="0" w:color="auto"/>
              <w:right w:val="single" w:sz="8" w:space="0" w:color="auto"/>
            </w:tcBorders>
            <w:shd w:val="clear" w:color="auto" w:fill="auto"/>
            <w:vAlign w:val="center"/>
            <w:hideMark/>
          </w:tcPr>
          <w:p w14:paraId="202B876A" w14:textId="05F8DB6C"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15</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1</w:t>
            </w:r>
          </w:p>
        </w:tc>
        <w:tc>
          <w:tcPr>
            <w:tcW w:w="957" w:type="dxa"/>
            <w:tcBorders>
              <w:top w:val="nil"/>
              <w:left w:val="nil"/>
              <w:bottom w:val="single" w:sz="8" w:space="0" w:color="auto"/>
              <w:right w:val="single" w:sz="8" w:space="0" w:color="auto"/>
            </w:tcBorders>
            <w:shd w:val="clear" w:color="auto" w:fill="auto"/>
            <w:vAlign w:val="center"/>
            <w:hideMark/>
          </w:tcPr>
          <w:p w14:paraId="40F6BD15" w14:textId="7C826F30" w:rsidR="00ED3980" w:rsidRPr="00CE7234" w:rsidRDefault="00ED3980" w:rsidP="00A305D1">
            <w:pPr>
              <w:spacing w:after="0"/>
              <w:jc w:val="right"/>
              <w:rPr>
                <w:rFonts w:asciiTheme="majorHAnsi" w:hAnsiTheme="majorHAnsi" w:cstheme="majorHAnsi"/>
                <w:color w:val="000000"/>
                <w:sz w:val="20"/>
                <w:szCs w:val="20"/>
                <w:lang w:val="ro-RO"/>
              </w:rPr>
            </w:pPr>
            <w:r w:rsidRPr="00CE7234">
              <w:rPr>
                <w:rFonts w:asciiTheme="majorHAnsi" w:hAnsiTheme="majorHAnsi" w:cstheme="majorHAnsi"/>
                <w:color w:val="000000"/>
                <w:sz w:val="20"/>
                <w:szCs w:val="20"/>
                <w:lang w:val="ro-RO"/>
              </w:rPr>
              <w:t>110</w:t>
            </w:r>
            <w:r w:rsidR="00A305D1">
              <w:rPr>
                <w:rFonts w:asciiTheme="majorHAnsi" w:hAnsiTheme="majorHAnsi" w:cstheme="majorHAnsi"/>
                <w:color w:val="000000"/>
                <w:sz w:val="20"/>
                <w:szCs w:val="20"/>
                <w:lang w:val="ro-RO"/>
              </w:rPr>
              <w:t>,</w:t>
            </w:r>
            <w:r w:rsidRPr="00CE7234">
              <w:rPr>
                <w:rFonts w:asciiTheme="majorHAnsi" w:hAnsiTheme="majorHAnsi" w:cstheme="majorHAnsi"/>
                <w:color w:val="000000"/>
                <w:sz w:val="20"/>
                <w:szCs w:val="20"/>
                <w:lang w:val="ro-RO"/>
              </w:rPr>
              <w:t>6</w:t>
            </w:r>
          </w:p>
        </w:tc>
        <w:tc>
          <w:tcPr>
            <w:tcW w:w="920" w:type="dxa"/>
            <w:tcBorders>
              <w:top w:val="nil"/>
              <w:left w:val="nil"/>
              <w:bottom w:val="single" w:sz="8" w:space="0" w:color="auto"/>
              <w:right w:val="single" w:sz="8" w:space="0" w:color="auto"/>
            </w:tcBorders>
            <w:shd w:val="clear" w:color="auto" w:fill="auto"/>
            <w:vAlign w:val="center"/>
            <w:hideMark/>
          </w:tcPr>
          <w:p w14:paraId="54C0A4B8" w14:textId="24792279"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44</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c>
          <w:tcPr>
            <w:tcW w:w="966" w:type="dxa"/>
            <w:tcBorders>
              <w:top w:val="nil"/>
              <w:left w:val="nil"/>
              <w:bottom w:val="single" w:sz="8" w:space="0" w:color="auto"/>
              <w:right w:val="single" w:sz="8" w:space="0" w:color="auto"/>
            </w:tcBorders>
            <w:shd w:val="clear" w:color="auto" w:fill="auto"/>
            <w:vAlign w:val="center"/>
            <w:hideMark/>
          </w:tcPr>
          <w:p w14:paraId="7D7C1BBA" w14:textId="3A48FB72"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139</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7</w:t>
            </w:r>
          </w:p>
        </w:tc>
      </w:tr>
      <w:tr w:rsidR="00ED3980" w:rsidRPr="00CE7234" w14:paraId="69D318A0" w14:textId="77777777" w:rsidTr="00A305D1">
        <w:trPr>
          <w:trHeight w:val="21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78E9BE1" w14:textId="77777777" w:rsidR="00ED3980" w:rsidRPr="00CE7234" w:rsidRDefault="00ED3980" w:rsidP="00FB3794">
            <w:pPr>
              <w:spacing w:after="0"/>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Bunuri şi servicii</w:t>
            </w:r>
          </w:p>
        </w:tc>
        <w:tc>
          <w:tcPr>
            <w:tcW w:w="989" w:type="dxa"/>
            <w:tcBorders>
              <w:top w:val="nil"/>
              <w:left w:val="nil"/>
              <w:bottom w:val="single" w:sz="8" w:space="0" w:color="auto"/>
              <w:right w:val="single" w:sz="8" w:space="0" w:color="auto"/>
            </w:tcBorders>
            <w:shd w:val="clear" w:color="auto" w:fill="auto"/>
            <w:vAlign w:val="center"/>
            <w:hideMark/>
          </w:tcPr>
          <w:p w14:paraId="14FEF017" w14:textId="5DEF63DF" w:rsidR="00ED3980" w:rsidRPr="00CE7234" w:rsidRDefault="00ED3980" w:rsidP="00A305D1">
            <w:pPr>
              <w:spacing w:after="0"/>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183</w:t>
            </w:r>
            <w:r w:rsidR="00A305D1">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6</w:t>
            </w:r>
          </w:p>
        </w:tc>
        <w:tc>
          <w:tcPr>
            <w:tcW w:w="958" w:type="dxa"/>
            <w:tcBorders>
              <w:top w:val="nil"/>
              <w:left w:val="nil"/>
              <w:bottom w:val="single" w:sz="8" w:space="0" w:color="auto"/>
              <w:right w:val="single" w:sz="8" w:space="0" w:color="auto"/>
            </w:tcBorders>
            <w:shd w:val="clear" w:color="auto" w:fill="auto"/>
            <w:vAlign w:val="center"/>
            <w:hideMark/>
          </w:tcPr>
          <w:p w14:paraId="134D64AC" w14:textId="5D977426"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235</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8</w:t>
            </w:r>
          </w:p>
        </w:tc>
        <w:tc>
          <w:tcPr>
            <w:tcW w:w="1023" w:type="dxa"/>
            <w:tcBorders>
              <w:top w:val="nil"/>
              <w:left w:val="nil"/>
              <w:bottom w:val="single" w:sz="8" w:space="0" w:color="auto"/>
              <w:right w:val="single" w:sz="8" w:space="0" w:color="auto"/>
            </w:tcBorders>
            <w:shd w:val="clear" w:color="auto" w:fill="auto"/>
            <w:vAlign w:val="center"/>
            <w:hideMark/>
          </w:tcPr>
          <w:p w14:paraId="1B1BC472" w14:textId="5527740A"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230</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3</w:t>
            </w:r>
          </w:p>
        </w:tc>
        <w:tc>
          <w:tcPr>
            <w:tcW w:w="823" w:type="dxa"/>
            <w:tcBorders>
              <w:top w:val="nil"/>
              <w:left w:val="nil"/>
              <w:bottom w:val="single" w:sz="8" w:space="0" w:color="auto"/>
              <w:right w:val="single" w:sz="8" w:space="0" w:color="auto"/>
            </w:tcBorders>
            <w:shd w:val="clear" w:color="auto" w:fill="auto"/>
            <w:vAlign w:val="center"/>
            <w:hideMark/>
          </w:tcPr>
          <w:p w14:paraId="134C1877" w14:textId="0B739940"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-5</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5</w:t>
            </w:r>
          </w:p>
        </w:tc>
        <w:tc>
          <w:tcPr>
            <w:tcW w:w="957" w:type="dxa"/>
            <w:tcBorders>
              <w:top w:val="nil"/>
              <w:left w:val="nil"/>
              <w:bottom w:val="single" w:sz="8" w:space="0" w:color="auto"/>
              <w:right w:val="single" w:sz="8" w:space="0" w:color="auto"/>
            </w:tcBorders>
            <w:shd w:val="clear" w:color="auto" w:fill="auto"/>
            <w:vAlign w:val="center"/>
            <w:hideMark/>
          </w:tcPr>
          <w:p w14:paraId="695358E8" w14:textId="35C24D72" w:rsidR="00ED3980" w:rsidRPr="00CE7234" w:rsidRDefault="00ED3980" w:rsidP="00A305D1">
            <w:pPr>
              <w:spacing w:after="0"/>
              <w:jc w:val="right"/>
              <w:rPr>
                <w:rFonts w:asciiTheme="majorHAnsi" w:hAnsiTheme="majorHAnsi" w:cstheme="majorHAnsi"/>
                <w:color w:val="000000"/>
                <w:sz w:val="20"/>
                <w:szCs w:val="20"/>
                <w:lang w:val="ro-RO"/>
              </w:rPr>
            </w:pPr>
            <w:r w:rsidRPr="00CE7234">
              <w:rPr>
                <w:rFonts w:asciiTheme="majorHAnsi" w:hAnsiTheme="majorHAnsi" w:cstheme="majorHAnsi"/>
                <w:color w:val="000000"/>
                <w:sz w:val="20"/>
                <w:szCs w:val="20"/>
                <w:lang w:val="ro-RO"/>
              </w:rPr>
              <w:t>97</w:t>
            </w:r>
            <w:r w:rsidR="00A305D1">
              <w:rPr>
                <w:rFonts w:asciiTheme="majorHAnsi" w:hAnsiTheme="majorHAnsi" w:cstheme="majorHAnsi"/>
                <w:color w:val="000000"/>
                <w:sz w:val="20"/>
                <w:szCs w:val="20"/>
                <w:lang w:val="ro-RO"/>
              </w:rPr>
              <w:t>,</w:t>
            </w:r>
            <w:r w:rsidRPr="00CE7234">
              <w:rPr>
                <w:rFonts w:asciiTheme="majorHAnsi" w:hAnsiTheme="majorHAnsi" w:cstheme="majorHAnsi"/>
                <w:color w:val="000000"/>
                <w:sz w:val="20"/>
                <w:szCs w:val="20"/>
                <w:lang w:val="ro-RO"/>
              </w:rPr>
              <w:t>7</w:t>
            </w:r>
          </w:p>
        </w:tc>
        <w:tc>
          <w:tcPr>
            <w:tcW w:w="920" w:type="dxa"/>
            <w:tcBorders>
              <w:top w:val="nil"/>
              <w:left w:val="nil"/>
              <w:bottom w:val="single" w:sz="8" w:space="0" w:color="auto"/>
              <w:right w:val="single" w:sz="8" w:space="0" w:color="auto"/>
            </w:tcBorders>
            <w:shd w:val="clear" w:color="auto" w:fill="auto"/>
            <w:vAlign w:val="center"/>
            <w:hideMark/>
          </w:tcPr>
          <w:p w14:paraId="3D86A7A7" w14:textId="0160806F"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46</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7</w:t>
            </w:r>
          </w:p>
        </w:tc>
        <w:tc>
          <w:tcPr>
            <w:tcW w:w="966" w:type="dxa"/>
            <w:tcBorders>
              <w:top w:val="nil"/>
              <w:left w:val="nil"/>
              <w:bottom w:val="single" w:sz="8" w:space="0" w:color="auto"/>
              <w:right w:val="single" w:sz="8" w:space="0" w:color="auto"/>
            </w:tcBorders>
            <w:shd w:val="clear" w:color="auto" w:fill="auto"/>
            <w:vAlign w:val="center"/>
            <w:hideMark/>
          </w:tcPr>
          <w:p w14:paraId="71DA96AB" w14:textId="36D1A5EA"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125</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4</w:t>
            </w:r>
          </w:p>
        </w:tc>
      </w:tr>
      <w:tr w:rsidR="00ED3980" w:rsidRPr="00CE7234" w14:paraId="2E229CDF" w14:textId="77777777" w:rsidTr="00A305D1">
        <w:trPr>
          <w:trHeight w:val="218"/>
        </w:trPr>
        <w:tc>
          <w:tcPr>
            <w:tcW w:w="2780" w:type="dxa"/>
            <w:tcBorders>
              <w:top w:val="nil"/>
              <w:left w:val="single" w:sz="8" w:space="0" w:color="auto"/>
              <w:bottom w:val="single" w:sz="4" w:space="0" w:color="auto"/>
              <w:right w:val="single" w:sz="8" w:space="0" w:color="auto"/>
            </w:tcBorders>
            <w:shd w:val="clear" w:color="auto" w:fill="auto"/>
            <w:vAlign w:val="center"/>
            <w:hideMark/>
          </w:tcPr>
          <w:p w14:paraId="6264B1BA" w14:textId="77777777" w:rsidR="00ED3980" w:rsidRPr="00CE7234" w:rsidRDefault="00ED3980" w:rsidP="00FB3794">
            <w:pPr>
              <w:spacing w:after="0"/>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lastRenderedPageBreak/>
              <w:t>Prestaţii sociale</w:t>
            </w:r>
          </w:p>
        </w:tc>
        <w:tc>
          <w:tcPr>
            <w:tcW w:w="989" w:type="dxa"/>
            <w:tcBorders>
              <w:top w:val="nil"/>
              <w:left w:val="nil"/>
              <w:bottom w:val="single" w:sz="4" w:space="0" w:color="auto"/>
              <w:right w:val="single" w:sz="8" w:space="0" w:color="auto"/>
            </w:tcBorders>
            <w:shd w:val="clear" w:color="auto" w:fill="auto"/>
            <w:vAlign w:val="center"/>
            <w:hideMark/>
          </w:tcPr>
          <w:p w14:paraId="4C031339" w14:textId="64B2F125" w:rsidR="00ED3980" w:rsidRPr="00CE7234" w:rsidRDefault="00ED3980" w:rsidP="00A305D1">
            <w:pPr>
              <w:spacing w:after="0"/>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19</w:t>
            </w:r>
            <w:r w:rsidR="00A305D1">
              <w:rPr>
                <w:rFonts w:asciiTheme="majorHAnsi" w:hAnsiTheme="majorHAnsi" w:cstheme="majorHAnsi"/>
                <w:bCs/>
                <w:color w:val="000000"/>
                <w:sz w:val="20"/>
                <w:szCs w:val="20"/>
                <w:lang w:val="ro-RO"/>
              </w:rPr>
              <w:t xml:space="preserve"> </w:t>
            </w:r>
            <w:r w:rsidRPr="00CE7234">
              <w:rPr>
                <w:rFonts w:asciiTheme="majorHAnsi" w:hAnsiTheme="majorHAnsi" w:cstheme="majorHAnsi"/>
                <w:bCs/>
                <w:color w:val="000000"/>
                <w:sz w:val="20"/>
                <w:szCs w:val="20"/>
                <w:lang w:val="ro-RO"/>
              </w:rPr>
              <w:t>110</w:t>
            </w:r>
            <w:r w:rsidR="00A305D1">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7</w:t>
            </w:r>
          </w:p>
        </w:tc>
        <w:tc>
          <w:tcPr>
            <w:tcW w:w="958" w:type="dxa"/>
            <w:tcBorders>
              <w:top w:val="nil"/>
              <w:left w:val="nil"/>
              <w:bottom w:val="single" w:sz="4" w:space="0" w:color="auto"/>
              <w:right w:val="single" w:sz="8" w:space="0" w:color="auto"/>
            </w:tcBorders>
            <w:shd w:val="clear" w:color="auto" w:fill="auto"/>
            <w:vAlign w:val="center"/>
            <w:hideMark/>
          </w:tcPr>
          <w:p w14:paraId="2D0545B4" w14:textId="0347D6CC"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21</w:t>
            </w:r>
            <w:r w:rsidR="00A305D1">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206</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2</w:t>
            </w:r>
          </w:p>
        </w:tc>
        <w:tc>
          <w:tcPr>
            <w:tcW w:w="1023" w:type="dxa"/>
            <w:tcBorders>
              <w:top w:val="nil"/>
              <w:left w:val="nil"/>
              <w:bottom w:val="single" w:sz="4" w:space="0" w:color="auto"/>
              <w:right w:val="single" w:sz="8" w:space="0" w:color="auto"/>
            </w:tcBorders>
            <w:shd w:val="clear" w:color="auto" w:fill="auto"/>
            <w:vAlign w:val="center"/>
            <w:hideMark/>
          </w:tcPr>
          <w:p w14:paraId="3E4FD59E" w14:textId="222B3269"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23</w:t>
            </w:r>
            <w:r w:rsidR="00A305D1">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837</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8</w:t>
            </w:r>
          </w:p>
        </w:tc>
        <w:tc>
          <w:tcPr>
            <w:tcW w:w="823" w:type="dxa"/>
            <w:tcBorders>
              <w:top w:val="nil"/>
              <w:left w:val="nil"/>
              <w:bottom w:val="single" w:sz="8" w:space="0" w:color="auto"/>
              <w:right w:val="single" w:sz="8" w:space="0" w:color="auto"/>
            </w:tcBorders>
            <w:shd w:val="clear" w:color="auto" w:fill="auto"/>
            <w:vAlign w:val="center"/>
            <w:hideMark/>
          </w:tcPr>
          <w:p w14:paraId="17C2F654" w14:textId="7FABC779"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2</w:t>
            </w:r>
            <w:r w:rsidR="00A305D1">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631</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6</w:t>
            </w:r>
          </w:p>
        </w:tc>
        <w:tc>
          <w:tcPr>
            <w:tcW w:w="957" w:type="dxa"/>
            <w:tcBorders>
              <w:top w:val="nil"/>
              <w:left w:val="nil"/>
              <w:bottom w:val="single" w:sz="4" w:space="0" w:color="auto"/>
              <w:right w:val="single" w:sz="8" w:space="0" w:color="auto"/>
            </w:tcBorders>
            <w:shd w:val="clear" w:color="auto" w:fill="auto"/>
            <w:vAlign w:val="center"/>
            <w:hideMark/>
          </w:tcPr>
          <w:p w14:paraId="2D70A585" w14:textId="2A407914" w:rsidR="00ED3980" w:rsidRPr="00CE7234" w:rsidRDefault="00ED3980" w:rsidP="00A305D1">
            <w:pPr>
              <w:spacing w:after="0"/>
              <w:jc w:val="right"/>
              <w:rPr>
                <w:rFonts w:asciiTheme="majorHAnsi" w:hAnsiTheme="majorHAnsi" w:cstheme="majorHAnsi"/>
                <w:color w:val="000000"/>
                <w:sz w:val="20"/>
                <w:szCs w:val="20"/>
                <w:lang w:val="ro-RO"/>
              </w:rPr>
            </w:pPr>
            <w:r w:rsidRPr="00CE7234">
              <w:rPr>
                <w:rFonts w:asciiTheme="majorHAnsi" w:hAnsiTheme="majorHAnsi" w:cstheme="majorHAnsi"/>
                <w:color w:val="000000"/>
                <w:sz w:val="20"/>
                <w:szCs w:val="20"/>
                <w:lang w:val="ro-RO"/>
              </w:rPr>
              <w:t>112</w:t>
            </w:r>
            <w:r w:rsidR="00A305D1">
              <w:rPr>
                <w:rFonts w:asciiTheme="majorHAnsi" w:hAnsiTheme="majorHAnsi" w:cstheme="majorHAnsi"/>
                <w:color w:val="000000"/>
                <w:sz w:val="20"/>
                <w:szCs w:val="20"/>
                <w:lang w:val="ro-RO"/>
              </w:rPr>
              <w:t>,</w:t>
            </w:r>
            <w:r w:rsidRPr="00CE7234">
              <w:rPr>
                <w:rFonts w:asciiTheme="majorHAnsi" w:hAnsiTheme="majorHAnsi" w:cstheme="majorHAnsi"/>
                <w:color w:val="000000"/>
                <w:sz w:val="20"/>
                <w:szCs w:val="20"/>
                <w:lang w:val="ro-RO"/>
              </w:rPr>
              <w:t>4</w:t>
            </w:r>
          </w:p>
        </w:tc>
        <w:tc>
          <w:tcPr>
            <w:tcW w:w="920" w:type="dxa"/>
            <w:tcBorders>
              <w:top w:val="nil"/>
              <w:left w:val="nil"/>
              <w:bottom w:val="single" w:sz="8" w:space="0" w:color="auto"/>
              <w:right w:val="single" w:sz="8" w:space="0" w:color="auto"/>
            </w:tcBorders>
            <w:shd w:val="clear" w:color="auto" w:fill="auto"/>
            <w:vAlign w:val="center"/>
            <w:hideMark/>
          </w:tcPr>
          <w:p w14:paraId="558AB136" w14:textId="5F116D02"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4</w:t>
            </w:r>
            <w:r w:rsidR="00A305D1">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727</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1</w:t>
            </w:r>
          </w:p>
        </w:tc>
        <w:tc>
          <w:tcPr>
            <w:tcW w:w="966" w:type="dxa"/>
            <w:tcBorders>
              <w:top w:val="nil"/>
              <w:left w:val="nil"/>
              <w:bottom w:val="single" w:sz="8" w:space="0" w:color="auto"/>
              <w:right w:val="single" w:sz="8" w:space="0" w:color="auto"/>
            </w:tcBorders>
            <w:shd w:val="clear" w:color="auto" w:fill="auto"/>
            <w:vAlign w:val="center"/>
            <w:hideMark/>
          </w:tcPr>
          <w:p w14:paraId="44BD52E9" w14:textId="1E408AEF"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124</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7</w:t>
            </w:r>
          </w:p>
        </w:tc>
      </w:tr>
      <w:tr w:rsidR="00ED3980" w:rsidRPr="00CE7234" w14:paraId="30843D0C" w14:textId="77777777" w:rsidTr="00A305D1">
        <w:trPr>
          <w:trHeight w:val="21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0E8E3E4" w14:textId="77777777" w:rsidR="00ED3980" w:rsidRPr="00CE7234" w:rsidRDefault="00ED3980" w:rsidP="00FB3794">
            <w:pPr>
              <w:spacing w:after="0"/>
              <w:rPr>
                <w:rFonts w:asciiTheme="majorHAnsi" w:hAnsiTheme="majorHAnsi" w:cstheme="majorHAnsi"/>
                <w:b/>
                <w:bCs/>
                <w:color w:val="000000"/>
                <w:sz w:val="20"/>
                <w:szCs w:val="20"/>
                <w:lang w:val="ro-RO"/>
              </w:rPr>
            </w:pPr>
            <w:r w:rsidRPr="00CE7234">
              <w:rPr>
                <w:rFonts w:asciiTheme="majorHAnsi" w:hAnsiTheme="majorHAnsi" w:cstheme="majorHAnsi"/>
                <w:b/>
                <w:bCs/>
                <w:color w:val="000000"/>
                <w:sz w:val="20"/>
                <w:szCs w:val="20"/>
                <w:lang w:val="ro-RO"/>
              </w:rPr>
              <w:t>Alte cheltuieli</w:t>
            </w:r>
          </w:p>
        </w:tc>
        <w:tc>
          <w:tcPr>
            <w:tcW w:w="989" w:type="dxa"/>
            <w:tcBorders>
              <w:top w:val="nil"/>
              <w:left w:val="nil"/>
              <w:bottom w:val="single" w:sz="8" w:space="0" w:color="auto"/>
              <w:right w:val="single" w:sz="8" w:space="0" w:color="auto"/>
            </w:tcBorders>
            <w:shd w:val="clear" w:color="auto" w:fill="auto"/>
            <w:vAlign w:val="center"/>
            <w:hideMark/>
          </w:tcPr>
          <w:p w14:paraId="017B633F" w14:textId="7999B49E" w:rsidR="00ED3980" w:rsidRPr="00CE7234" w:rsidRDefault="00ED3980" w:rsidP="00A305D1">
            <w:pPr>
              <w:spacing w:after="0"/>
              <w:jc w:val="right"/>
              <w:rPr>
                <w:rFonts w:asciiTheme="majorHAnsi" w:hAnsiTheme="majorHAnsi" w:cstheme="majorHAnsi"/>
                <w:bCs/>
                <w:color w:val="000000"/>
                <w:sz w:val="20"/>
                <w:szCs w:val="20"/>
                <w:lang w:val="ro-RO"/>
              </w:rPr>
            </w:pPr>
            <w:r w:rsidRPr="00CE7234">
              <w:rPr>
                <w:rFonts w:asciiTheme="majorHAnsi" w:hAnsiTheme="majorHAnsi" w:cstheme="majorHAnsi"/>
                <w:bCs/>
                <w:color w:val="000000"/>
                <w:sz w:val="20"/>
                <w:szCs w:val="20"/>
                <w:lang w:val="ro-RO"/>
              </w:rPr>
              <w:t>3</w:t>
            </w:r>
            <w:r w:rsidR="00A305D1">
              <w:rPr>
                <w:rFonts w:asciiTheme="majorHAnsi" w:hAnsiTheme="majorHAnsi" w:cstheme="majorHAnsi"/>
                <w:bCs/>
                <w:color w:val="000000"/>
                <w:sz w:val="20"/>
                <w:szCs w:val="20"/>
                <w:lang w:val="ro-RO"/>
              </w:rPr>
              <w:t>,</w:t>
            </w:r>
            <w:r w:rsidRPr="00CE7234">
              <w:rPr>
                <w:rFonts w:asciiTheme="majorHAnsi" w:hAnsiTheme="majorHAnsi" w:cstheme="majorHAnsi"/>
                <w:bCs/>
                <w:color w:val="000000"/>
                <w:sz w:val="20"/>
                <w:szCs w:val="20"/>
                <w:lang w:val="ro-RO"/>
              </w:rPr>
              <w:t>4</w:t>
            </w:r>
          </w:p>
        </w:tc>
        <w:tc>
          <w:tcPr>
            <w:tcW w:w="958" w:type="dxa"/>
            <w:tcBorders>
              <w:top w:val="nil"/>
              <w:left w:val="nil"/>
              <w:bottom w:val="single" w:sz="8" w:space="0" w:color="auto"/>
              <w:right w:val="single" w:sz="8" w:space="0" w:color="auto"/>
            </w:tcBorders>
            <w:shd w:val="clear" w:color="auto" w:fill="auto"/>
            <w:vAlign w:val="center"/>
            <w:hideMark/>
          </w:tcPr>
          <w:p w14:paraId="759B0AF4" w14:textId="7476F3DC"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4</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9</w:t>
            </w:r>
          </w:p>
        </w:tc>
        <w:tc>
          <w:tcPr>
            <w:tcW w:w="1023" w:type="dxa"/>
            <w:tcBorders>
              <w:top w:val="nil"/>
              <w:left w:val="nil"/>
              <w:bottom w:val="single" w:sz="8" w:space="0" w:color="auto"/>
              <w:right w:val="single" w:sz="8" w:space="0" w:color="auto"/>
            </w:tcBorders>
            <w:shd w:val="clear" w:color="auto" w:fill="auto"/>
            <w:vAlign w:val="center"/>
            <w:hideMark/>
          </w:tcPr>
          <w:p w14:paraId="58001847" w14:textId="67729416"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4</w:t>
            </w:r>
            <w:r w:rsidR="00A305D1">
              <w:rPr>
                <w:rFonts w:asciiTheme="majorHAnsi" w:hAnsiTheme="majorHAnsi" w:cstheme="majorHAnsi"/>
                <w:bCs/>
                <w:iCs/>
                <w:color w:val="000000"/>
                <w:sz w:val="20"/>
                <w:szCs w:val="20"/>
                <w:lang w:val="ro-RO"/>
              </w:rPr>
              <w:t xml:space="preserve"> </w:t>
            </w:r>
            <w:r w:rsidRPr="00CE7234">
              <w:rPr>
                <w:rFonts w:asciiTheme="majorHAnsi" w:hAnsiTheme="majorHAnsi" w:cstheme="majorHAnsi"/>
                <w:bCs/>
                <w:iCs/>
                <w:color w:val="000000"/>
                <w:sz w:val="20"/>
                <w:szCs w:val="20"/>
                <w:lang w:val="ro-RO"/>
              </w:rPr>
              <w:t>6</w:t>
            </w:r>
          </w:p>
        </w:tc>
        <w:tc>
          <w:tcPr>
            <w:tcW w:w="823" w:type="dxa"/>
            <w:tcBorders>
              <w:top w:val="nil"/>
              <w:left w:val="nil"/>
              <w:bottom w:val="single" w:sz="8" w:space="0" w:color="auto"/>
              <w:right w:val="single" w:sz="8" w:space="0" w:color="auto"/>
            </w:tcBorders>
            <w:shd w:val="clear" w:color="auto" w:fill="auto"/>
            <w:vAlign w:val="center"/>
            <w:hideMark/>
          </w:tcPr>
          <w:p w14:paraId="16B04106" w14:textId="7BDED2A3"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-0</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3</w:t>
            </w:r>
          </w:p>
        </w:tc>
        <w:tc>
          <w:tcPr>
            <w:tcW w:w="957" w:type="dxa"/>
            <w:tcBorders>
              <w:top w:val="nil"/>
              <w:left w:val="nil"/>
              <w:bottom w:val="single" w:sz="8" w:space="0" w:color="auto"/>
              <w:right w:val="single" w:sz="8" w:space="0" w:color="auto"/>
            </w:tcBorders>
            <w:shd w:val="clear" w:color="auto" w:fill="auto"/>
            <w:vAlign w:val="center"/>
            <w:hideMark/>
          </w:tcPr>
          <w:p w14:paraId="02BB45DF" w14:textId="4FD9BE56" w:rsidR="00ED3980" w:rsidRPr="00CE7234" w:rsidRDefault="00ED3980" w:rsidP="00A305D1">
            <w:pPr>
              <w:spacing w:after="0"/>
              <w:jc w:val="right"/>
              <w:rPr>
                <w:rFonts w:asciiTheme="majorHAnsi" w:hAnsiTheme="majorHAnsi" w:cstheme="majorHAnsi"/>
                <w:color w:val="000000"/>
                <w:sz w:val="20"/>
                <w:szCs w:val="20"/>
                <w:lang w:val="ro-RO"/>
              </w:rPr>
            </w:pPr>
            <w:r w:rsidRPr="00CE7234">
              <w:rPr>
                <w:rFonts w:asciiTheme="majorHAnsi" w:hAnsiTheme="majorHAnsi" w:cstheme="majorHAnsi"/>
                <w:color w:val="000000"/>
                <w:sz w:val="20"/>
                <w:szCs w:val="20"/>
                <w:lang w:val="ro-RO"/>
              </w:rPr>
              <w:t>93</w:t>
            </w:r>
            <w:r w:rsidR="00A305D1">
              <w:rPr>
                <w:rFonts w:asciiTheme="majorHAnsi" w:hAnsiTheme="majorHAnsi" w:cstheme="majorHAnsi"/>
                <w:color w:val="000000"/>
                <w:sz w:val="20"/>
                <w:szCs w:val="20"/>
                <w:lang w:val="ro-RO"/>
              </w:rPr>
              <w:t>,</w:t>
            </w:r>
            <w:r w:rsidRPr="00CE7234">
              <w:rPr>
                <w:rFonts w:asciiTheme="majorHAnsi" w:hAnsiTheme="majorHAnsi" w:cstheme="majorHAnsi"/>
                <w:color w:val="000000"/>
                <w:sz w:val="20"/>
                <w:szCs w:val="20"/>
                <w:lang w:val="ro-RO"/>
              </w:rPr>
              <w:t>4</w:t>
            </w:r>
          </w:p>
        </w:tc>
        <w:tc>
          <w:tcPr>
            <w:tcW w:w="920" w:type="dxa"/>
            <w:tcBorders>
              <w:top w:val="nil"/>
              <w:left w:val="nil"/>
              <w:bottom w:val="single" w:sz="8" w:space="0" w:color="auto"/>
              <w:right w:val="single" w:sz="8" w:space="0" w:color="auto"/>
            </w:tcBorders>
            <w:shd w:val="clear" w:color="auto" w:fill="auto"/>
            <w:vAlign w:val="center"/>
            <w:hideMark/>
          </w:tcPr>
          <w:p w14:paraId="65742273" w14:textId="1A883968"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2</w:t>
            </w:r>
          </w:p>
        </w:tc>
        <w:tc>
          <w:tcPr>
            <w:tcW w:w="966" w:type="dxa"/>
            <w:tcBorders>
              <w:top w:val="nil"/>
              <w:left w:val="nil"/>
              <w:bottom w:val="single" w:sz="8" w:space="0" w:color="auto"/>
              <w:right w:val="single" w:sz="8" w:space="0" w:color="auto"/>
            </w:tcBorders>
            <w:shd w:val="clear" w:color="auto" w:fill="auto"/>
            <w:vAlign w:val="center"/>
            <w:hideMark/>
          </w:tcPr>
          <w:p w14:paraId="335A7697" w14:textId="3220BB42" w:rsidR="00ED3980" w:rsidRPr="00CE7234" w:rsidRDefault="00ED3980" w:rsidP="00A305D1">
            <w:pPr>
              <w:spacing w:after="0"/>
              <w:jc w:val="right"/>
              <w:rPr>
                <w:rFonts w:asciiTheme="majorHAnsi" w:hAnsiTheme="majorHAnsi" w:cstheme="majorHAnsi"/>
                <w:bCs/>
                <w:iCs/>
                <w:color w:val="000000"/>
                <w:sz w:val="20"/>
                <w:szCs w:val="20"/>
                <w:lang w:val="ro-RO"/>
              </w:rPr>
            </w:pPr>
            <w:r w:rsidRPr="00CE7234">
              <w:rPr>
                <w:rFonts w:asciiTheme="majorHAnsi" w:hAnsiTheme="majorHAnsi" w:cstheme="majorHAnsi"/>
                <w:bCs/>
                <w:iCs/>
                <w:color w:val="000000"/>
                <w:sz w:val="20"/>
                <w:szCs w:val="20"/>
                <w:lang w:val="ro-RO"/>
              </w:rPr>
              <w:t>135</w:t>
            </w:r>
            <w:r w:rsidR="00A305D1">
              <w:rPr>
                <w:rFonts w:asciiTheme="majorHAnsi" w:hAnsiTheme="majorHAnsi" w:cstheme="majorHAnsi"/>
                <w:bCs/>
                <w:iCs/>
                <w:color w:val="000000"/>
                <w:sz w:val="20"/>
                <w:szCs w:val="20"/>
                <w:lang w:val="ro-RO"/>
              </w:rPr>
              <w:t>,</w:t>
            </w:r>
            <w:r w:rsidRPr="00CE7234">
              <w:rPr>
                <w:rFonts w:asciiTheme="majorHAnsi" w:hAnsiTheme="majorHAnsi" w:cstheme="majorHAnsi"/>
                <w:bCs/>
                <w:iCs/>
                <w:color w:val="000000"/>
                <w:sz w:val="20"/>
                <w:szCs w:val="20"/>
                <w:lang w:val="ro-RO"/>
              </w:rPr>
              <w:t>3</w:t>
            </w:r>
          </w:p>
        </w:tc>
      </w:tr>
    </w:tbl>
    <w:p w14:paraId="5C26C60E" w14:textId="163A514E" w:rsidR="00ED3980" w:rsidRPr="00CE7234" w:rsidRDefault="00ED3980" w:rsidP="00ED3980">
      <w:pPr>
        <w:spacing w:line="276" w:lineRule="auto"/>
        <w:jc w:val="both"/>
        <w:rPr>
          <w:rFonts w:asciiTheme="majorHAnsi" w:hAnsiTheme="majorHAnsi" w:cstheme="majorHAnsi"/>
          <w:sz w:val="24"/>
          <w:szCs w:val="24"/>
          <w:lang w:val="ro-RO"/>
        </w:rPr>
      </w:pPr>
      <w:r w:rsidRPr="00CE7234">
        <w:rPr>
          <w:rFonts w:asciiTheme="majorHAnsi" w:hAnsiTheme="majorHAnsi" w:cstheme="majorHAnsi"/>
          <w:b/>
          <w:i/>
          <w:sz w:val="20"/>
          <w:szCs w:val="24"/>
          <w:lang w:val="ro-RO"/>
        </w:rPr>
        <w:t>Sursa:</w:t>
      </w:r>
      <w:r w:rsidRPr="00CE7234">
        <w:rPr>
          <w:rFonts w:asciiTheme="majorHAnsi" w:hAnsiTheme="majorHAnsi" w:cstheme="majorHAnsi"/>
          <w:sz w:val="18"/>
          <w:lang w:val="ro-RO"/>
        </w:rPr>
        <w:t xml:space="preserve"> </w:t>
      </w:r>
      <w:r w:rsidRPr="00CE7234">
        <w:rPr>
          <w:rFonts w:asciiTheme="majorHAnsi" w:hAnsiTheme="majorHAnsi" w:cstheme="majorHAnsi"/>
          <w:i/>
          <w:sz w:val="20"/>
          <w:lang w:val="ro-RO"/>
        </w:rPr>
        <w:t>Informații generalizate de echipa de audit din Rapoartele privind executarea bugetului de stat pe anii 2018-2020</w:t>
      </w:r>
      <w:r w:rsidR="00586BB7">
        <w:rPr>
          <w:rFonts w:asciiTheme="majorHAnsi" w:hAnsiTheme="majorHAnsi" w:cstheme="majorHAnsi"/>
          <w:i/>
          <w:sz w:val="20"/>
          <w:lang w:val="ro-RO"/>
        </w:rPr>
        <w:t>.</w:t>
      </w:r>
    </w:p>
    <w:p w14:paraId="5688F8FA" w14:textId="2020DDE0" w:rsidR="00ED3980" w:rsidRPr="00CE7234" w:rsidRDefault="00ED3980" w:rsidP="00CE7234">
      <w:pPr>
        <w:spacing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 xml:space="preserve">Mijloacele aprobate pentru cheltuielile de personal au fost utilizate în baza actelor normative ce reglementează salarizarea în sectorul bugetar. Pentru </w:t>
      </w:r>
      <w:r w:rsidRPr="00CE7234">
        <w:rPr>
          <w:rFonts w:asciiTheme="majorHAnsi" w:hAnsiTheme="majorHAnsi" w:cstheme="majorHAnsi"/>
          <w:b/>
          <w:sz w:val="24"/>
          <w:szCs w:val="24"/>
          <w:lang w:val="ro-RO"/>
        </w:rPr>
        <w:t>cheltuielile de personal</w:t>
      </w:r>
      <w:r w:rsidRPr="00CE7234">
        <w:rPr>
          <w:rFonts w:asciiTheme="majorHAnsi" w:hAnsiTheme="majorHAnsi" w:cstheme="majorHAnsi"/>
          <w:sz w:val="24"/>
          <w:szCs w:val="24"/>
          <w:lang w:val="ro-RO"/>
        </w:rPr>
        <w:t xml:space="preserve"> au fost prevăzute 158,6 mil. lei, care au fost executate în sumă de 158,0 mil. lei, </w:t>
      </w:r>
      <w:r w:rsidR="000061F7">
        <w:rPr>
          <w:rFonts w:asciiTheme="majorHAnsi" w:hAnsiTheme="majorHAnsi" w:cstheme="majorHAnsi"/>
          <w:sz w:val="24"/>
          <w:szCs w:val="24"/>
          <w:lang w:val="ro-RO"/>
        </w:rPr>
        <w:t xml:space="preserve">ceea </w:t>
      </w:r>
      <w:r w:rsidRPr="00CE7234">
        <w:rPr>
          <w:rFonts w:asciiTheme="majorHAnsi" w:hAnsiTheme="majorHAnsi" w:cstheme="majorHAnsi"/>
          <w:sz w:val="24"/>
          <w:szCs w:val="24"/>
          <w:lang w:val="ro-RO"/>
        </w:rPr>
        <w:t>ce constituie 99,6% din suma planificată.</w:t>
      </w:r>
    </w:p>
    <w:p w14:paraId="5FC46C41" w14:textId="409113CE" w:rsidR="00ED3980" w:rsidRPr="00CE7234" w:rsidRDefault="00ED3980" w:rsidP="00CE7234">
      <w:pPr>
        <w:spacing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 xml:space="preserve">Cheltuielile executate pentru </w:t>
      </w:r>
      <w:r w:rsidRPr="00CE7234">
        <w:rPr>
          <w:rFonts w:asciiTheme="majorHAnsi" w:hAnsiTheme="majorHAnsi" w:cstheme="majorHAnsi"/>
          <w:b/>
          <w:sz w:val="24"/>
          <w:szCs w:val="24"/>
          <w:lang w:val="ro-RO"/>
        </w:rPr>
        <w:t>bunuri și servicii</w:t>
      </w:r>
      <w:r w:rsidRPr="00CE7234">
        <w:rPr>
          <w:rFonts w:asciiTheme="majorHAnsi" w:hAnsiTheme="majorHAnsi" w:cstheme="majorHAnsi"/>
          <w:sz w:val="24"/>
          <w:szCs w:val="24"/>
          <w:lang w:val="ro-RO"/>
        </w:rPr>
        <w:t xml:space="preserve"> au constituit 230,3 mil. lei</w:t>
      </w:r>
      <w:r w:rsidR="000061F7">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sau la nivel de 84,9%, cu o diminuare de 2,3% comparativ anului precedent. La categoria dată se atribuie cheltuieli</w:t>
      </w:r>
      <w:r w:rsidR="000061F7">
        <w:rPr>
          <w:rFonts w:asciiTheme="majorHAnsi" w:hAnsiTheme="majorHAnsi" w:cstheme="majorHAnsi"/>
          <w:sz w:val="24"/>
          <w:szCs w:val="24"/>
          <w:lang w:val="ro-RO"/>
        </w:rPr>
        <w:t>le</w:t>
      </w:r>
      <w:r w:rsidRPr="00CE7234">
        <w:rPr>
          <w:rFonts w:asciiTheme="majorHAnsi" w:hAnsiTheme="majorHAnsi" w:cstheme="majorHAnsi"/>
          <w:sz w:val="24"/>
          <w:szCs w:val="24"/>
          <w:lang w:val="ro-RO"/>
        </w:rPr>
        <w:t xml:space="preserve"> destinate întreținerii CNAS și a sistemelor informaționale ale CNAS. Nivelul executării acestor cheltuieli a fost influențat, într-o proporție esențială, de situația epidemiologică imprevizibilă în țară: interdicțiile de deplasări în interiorul țării și peste hotare; instituirea stării de carantină în unele localități; stoparea reparațiilor curente în sediile subdiviziunilor ter</w:t>
      </w:r>
      <w:r w:rsidR="001918F2">
        <w:rPr>
          <w:rFonts w:asciiTheme="majorHAnsi" w:hAnsiTheme="majorHAnsi" w:cstheme="majorHAnsi"/>
          <w:sz w:val="24"/>
          <w:szCs w:val="24"/>
          <w:lang w:val="ro-RO"/>
        </w:rPr>
        <w:t>itoriale; instituirea unui program</w:t>
      </w:r>
      <w:r w:rsidRPr="00CE7234">
        <w:rPr>
          <w:rFonts w:asciiTheme="majorHAnsi" w:hAnsiTheme="majorHAnsi" w:cstheme="majorHAnsi"/>
          <w:sz w:val="24"/>
          <w:szCs w:val="24"/>
          <w:lang w:val="ro-RO"/>
        </w:rPr>
        <w:t xml:space="preserve"> special de activitate a specialiștilor CNAS etc.</w:t>
      </w:r>
    </w:p>
    <w:p w14:paraId="0D79E6DD" w14:textId="38FB378D" w:rsidR="00ED3980" w:rsidRPr="00CE7234" w:rsidRDefault="00ED3980" w:rsidP="00ED3980">
      <w:pPr>
        <w:spacing w:after="0" w:line="276" w:lineRule="auto"/>
        <w:jc w:val="both"/>
        <w:rPr>
          <w:rFonts w:asciiTheme="majorHAnsi" w:eastAsia="Times New Roman" w:hAnsiTheme="majorHAnsi" w:cstheme="majorHAnsi"/>
          <w:sz w:val="24"/>
          <w:szCs w:val="24"/>
          <w:lang w:val="ro-RO"/>
        </w:rPr>
      </w:pPr>
      <w:r w:rsidRPr="00CE7234">
        <w:rPr>
          <w:rFonts w:asciiTheme="majorHAnsi" w:hAnsiTheme="majorHAnsi" w:cstheme="majorHAnsi"/>
          <w:sz w:val="24"/>
          <w:szCs w:val="24"/>
          <w:lang w:val="ro-RO"/>
        </w:rPr>
        <w:t xml:space="preserve">Cea mai mare pondere în structura cheltuielilor </w:t>
      </w:r>
      <w:r w:rsidRPr="00CE7234">
        <w:rPr>
          <w:rFonts w:asciiTheme="majorHAnsi" w:eastAsia="Times New Roman" w:hAnsiTheme="majorHAnsi" w:cstheme="majorHAnsi"/>
          <w:sz w:val="24"/>
          <w:szCs w:val="24"/>
          <w:lang w:val="ro-RO"/>
        </w:rPr>
        <w:t xml:space="preserve">bugetului asigurărilor sociale de stat o dețin </w:t>
      </w:r>
      <w:r w:rsidRPr="00CE7234">
        <w:rPr>
          <w:rFonts w:asciiTheme="majorHAnsi" w:eastAsia="Times New Roman" w:hAnsiTheme="majorHAnsi" w:cstheme="majorHAnsi"/>
          <w:b/>
          <w:sz w:val="24"/>
          <w:szCs w:val="24"/>
          <w:lang w:val="ro-RO"/>
        </w:rPr>
        <w:t>prestațiile sociale</w:t>
      </w:r>
      <w:r w:rsidR="000061F7" w:rsidRPr="00B10243">
        <w:rPr>
          <w:rFonts w:asciiTheme="majorHAnsi" w:eastAsia="Times New Roman" w:hAnsiTheme="majorHAnsi" w:cstheme="majorHAnsi"/>
          <w:sz w:val="24"/>
          <w:szCs w:val="24"/>
          <w:lang w:val="ro-RO"/>
        </w:rPr>
        <w:t>, de</w:t>
      </w:r>
      <w:r w:rsidRPr="00CE7234">
        <w:rPr>
          <w:rFonts w:asciiTheme="majorHAnsi" w:eastAsia="Times New Roman" w:hAnsiTheme="majorHAnsi" w:cstheme="majorHAnsi"/>
          <w:sz w:val="24"/>
          <w:szCs w:val="24"/>
          <w:lang w:val="ro-RO"/>
        </w:rPr>
        <w:t xml:space="preserve"> 98,3%, fiind înregistrate în anul 2020 cheltuieli în sumă de 23 837,8 mil. lei. Comparativ cu anul 2019, cheltuielile executate au crescut cu 2 631,6 mil. lei</w:t>
      </w:r>
      <w:r w:rsidR="000061F7">
        <w:rPr>
          <w:rFonts w:asciiTheme="majorHAnsi" w:eastAsia="Times New Roman" w:hAnsiTheme="majorHAnsi" w:cstheme="majorHAnsi"/>
          <w:sz w:val="24"/>
          <w:szCs w:val="24"/>
          <w:lang w:val="ro-RO"/>
        </w:rPr>
        <w:t>,</w:t>
      </w:r>
      <w:r w:rsidRPr="00CE7234">
        <w:rPr>
          <w:rFonts w:asciiTheme="majorHAnsi" w:eastAsia="Times New Roman" w:hAnsiTheme="majorHAnsi" w:cstheme="majorHAnsi"/>
          <w:sz w:val="24"/>
          <w:szCs w:val="24"/>
          <w:lang w:val="ro-RO"/>
        </w:rPr>
        <w:t xml:space="preserve"> sau cu 12,4%. Asupra creșterii cheltuielilor a influențat creșterea mărimii medii a pensiei, </w:t>
      </w:r>
      <w:r w:rsidR="000061F7">
        <w:rPr>
          <w:rFonts w:asciiTheme="majorHAnsi" w:eastAsia="Times New Roman" w:hAnsiTheme="majorHAnsi" w:cstheme="majorHAnsi"/>
          <w:sz w:val="24"/>
          <w:szCs w:val="24"/>
          <w:lang w:val="ro-RO"/>
        </w:rPr>
        <w:t xml:space="preserve">ca </w:t>
      </w:r>
      <w:r w:rsidRPr="00CE7234">
        <w:rPr>
          <w:rFonts w:asciiTheme="majorHAnsi" w:eastAsia="Times New Roman" w:hAnsiTheme="majorHAnsi" w:cstheme="majorHAnsi"/>
          <w:sz w:val="24"/>
          <w:szCs w:val="24"/>
          <w:lang w:val="ro-RO"/>
        </w:rPr>
        <w:t>urmare a unui șir de măsuri noi prevăzute de legislație în domeniul pensiilor publice și implementate pe parcursul anului 2020:</w:t>
      </w:r>
    </w:p>
    <w:p w14:paraId="189A5952" w14:textId="464BD675" w:rsidR="00ED3980" w:rsidRPr="00CE7234" w:rsidRDefault="00ED3980" w:rsidP="009B59B6">
      <w:pPr>
        <w:pStyle w:val="ListParagraph"/>
        <w:numPr>
          <w:ilvl w:val="0"/>
          <w:numId w:val="19"/>
        </w:numPr>
        <w:spacing w:after="0" w:line="276" w:lineRule="auto"/>
        <w:ind w:left="360"/>
        <w:jc w:val="both"/>
        <w:rPr>
          <w:rFonts w:asciiTheme="majorHAnsi" w:eastAsia="Times New Roman" w:hAnsiTheme="majorHAnsi" w:cstheme="majorHAnsi"/>
          <w:sz w:val="24"/>
          <w:szCs w:val="24"/>
          <w:lang w:val="ro-RO"/>
        </w:rPr>
      </w:pPr>
      <w:r w:rsidRPr="00CE7234">
        <w:rPr>
          <w:rFonts w:asciiTheme="majorHAnsi" w:eastAsia="Times New Roman" w:hAnsiTheme="majorHAnsi" w:cstheme="majorHAnsi"/>
          <w:sz w:val="24"/>
          <w:szCs w:val="24"/>
          <w:lang w:val="ro-RO"/>
        </w:rPr>
        <w:t>indexarea pensiilor de 2 ori pe an: la 01.04.2020</w:t>
      </w:r>
      <w:r w:rsidR="000061F7">
        <w:rPr>
          <w:rFonts w:asciiTheme="majorHAnsi" w:eastAsia="Times New Roman" w:hAnsiTheme="majorHAnsi" w:cstheme="majorHAnsi"/>
          <w:sz w:val="24"/>
          <w:szCs w:val="24"/>
          <w:lang w:val="ro-RO"/>
        </w:rPr>
        <w:t>,</w:t>
      </w:r>
      <w:r w:rsidRPr="00CE7234">
        <w:rPr>
          <w:rFonts w:asciiTheme="majorHAnsi" w:eastAsia="Times New Roman" w:hAnsiTheme="majorHAnsi" w:cstheme="majorHAnsi"/>
          <w:sz w:val="24"/>
          <w:szCs w:val="24"/>
          <w:lang w:val="ro-RO"/>
        </w:rPr>
        <w:t xml:space="preserve"> cu 4,83%</w:t>
      </w:r>
      <w:r w:rsidR="000061F7">
        <w:rPr>
          <w:rFonts w:asciiTheme="majorHAnsi" w:eastAsia="Times New Roman" w:hAnsiTheme="majorHAnsi" w:cstheme="majorHAnsi"/>
          <w:sz w:val="24"/>
          <w:szCs w:val="24"/>
          <w:lang w:val="ro-RO"/>
        </w:rPr>
        <w:t>,</w:t>
      </w:r>
      <w:r w:rsidRPr="00CE7234">
        <w:rPr>
          <w:rFonts w:asciiTheme="majorHAnsi" w:eastAsia="Times New Roman" w:hAnsiTheme="majorHAnsi" w:cstheme="majorHAnsi"/>
          <w:sz w:val="24"/>
          <w:szCs w:val="24"/>
          <w:lang w:val="ro-RO"/>
        </w:rPr>
        <w:t xml:space="preserve"> și la 1.10.2020</w:t>
      </w:r>
      <w:r w:rsidR="000061F7">
        <w:rPr>
          <w:rFonts w:asciiTheme="majorHAnsi" w:eastAsia="Times New Roman" w:hAnsiTheme="majorHAnsi" w:cstheme="majorHAnsi"/>
          <w:sz w:val="24"/>
          <w:szCs w:val="24"/>
          <w:lang w:val="ro-RO"/>
        </w:rPr>
        <w:t>,</w:t>
      </w:r>
      <w:r w:rsidRPr="00CE7234">
        <w:rPr>
          <w:rFonts w:asciiTheme="majorHAnsi" w:eastAsia="Times New Roman" w:hAnsiTheme="majorHAnsi" w:cstheme="majorHAnsi"/>
          <w:sz w:val="24"/>
          <w:szCs w:val="24"/>
          <w:lang w:val="ro-RO"/>
        </w:rPr>
        <w:t xml:space="preserve"> cu 1,07%</w:t>
      </w:r>
      <w:r w:rsidRPr="00CE7234">
        <w:rPr>
          <w:rStyle w:val="FootnoteReference"/>
          <w:rFonts w:asciiTheme="majorHAnsi" w:eastAsia="Times New Roman" w:hAnsiTheme="majorHAnsi" w:cstheme="majorHAnsi"/>
          <w:sz w:val="24"/>
          <w:szCs w:val="24"/>
          <w:lang w:val="ro-RO"/>
        </w:rPr>
        <w:footnoteReference w:id="18"/>
      </w:r>
      <w:r w:rsidRPr="00CE7234">
        <w:rPr>
          <w:rFonts w:asciiTheme="majorHAnsi" w:eastAsia="Times New Roman" w:hAnsiTheme="majorHAnsi" w:cstheme="majorHAnsi"/>
          <w:sz w:val="24"/>
          <w:szCs w:val="24"/>
          <w:lang w:val="ro-RO"/>
        </w:rPr>
        <w:t>;</w:t>
      </w:r>
    </w:p>
    <w:p w14:paraId="746158A1" w14:textId="4FCF0EA2" w:rsidR="00ED3980" w:rsidRPr="00CE7234" w:rsidRDefault="00ED3980" w:rsidP="009B59B6">
      <w:pPr>
        <w:pStyle w:val="ListParagraph"/>
        <w:numPr>
          <w:ilvl w:val="0"/>
          <w:numId w:val="19"/>
        </w:numPr>
        <w:spacing w:after="0" w:line="276" w:lineRule="auto"/>
        <w:ind w:left="360"/>
        <w:jc w:val="both"/>
        <w:rPr>
          <w:rFonts w:asciiTheme="majorHAnsi" w:eastAsia="Times New Roman" w:hAnsiTheme="majorHAnsi" w:cstheme="majorHAnsi"/>
          <w:sz w:val="24"/>
          <w:szCs w:val="24"/>
          <w:lang w:val="ro-RO"/>
        </w:rPr>
      </w:pPr>
      <w:r w:rsidRPr="00CE7234">
        <w:rPr>
          <w:rFonts w:asciiTheme="majorHAnsi" w:eastAsia="Times New Roman" w:hAnsiTheme="majorHAnsi" w:cstheme="majorHAnsi"/>
          <w:sz w:val="24"/>
          <w:szCs w:val="24"/>
          <w:lang w:val="ro-RO"/>
        </w:rPr>
        <w:t>efectuarea a 2 etape de reexaminare a pensiilor pentru limita de vârstă pentru pensionarii care au activat după realizarea dreptului la pensie și au acumulat un stagiu de cotizare: la 1 ianuarie</w:t>
      </w:r>
      <w:r w:rsidR="000061F7">
        <w:rPr>
          <w:rFonts w:asciiTheme="majorHAnsi" w:eastAsia="Times New Roman" w:hAnsiTheme="majorHAnsi" w:cstheme="majorHAnsi"/>
          <w:sz w:val="24"/>
          <w:szCs w:val="24"/>
          <w:lang w:val="ro-RO"/>
        </w:rPr>
        <w:t xml:space="preserve"> </w:t>
      </w:r>
      <w:r w:rsidRPr="00CE7234">
        <w:rPr>
          <w:rFonts w:asciiTheme="majorHAnsi" w:eastAsia="Times New Roman" w:hAnsiTheme="majorHAnsi" w:cstheme="majorHAnsi"/>
          <w:sz w:val="24"/>
          <w:szCs w:val="24"/>
          <w:lang w:val="ro-RO"/>
        </w:rPr>
        <w:t>- de până la 15 ani (în cazul stabilirii dreptului la pensie până la 01.01.1999) și la 1 iulie</w:t>
      </w:r>
      <w:r w:rsidR="000061F7">
        <w:rPr>
          <w:rFonts w:asciiTheme="majorHAnsi" w:eastAsia="Times New Roman" w:hAnsiTheme="majorHAnsi" w:cstheme="majorHAnsi"/>
          <w:sz w:val="24"/>
          <w:szCs w:val="24"/>
          <w:lang w:val="ro-RO"/>
        </w:rPr>
        <w:t xml:space="preserve"> </w:t>
      </w:r>
      <w:r w:rsidRPr="00CE7234">
        <w:rPr>
          <w:rFonts w:asciiTheme="majorHAnsi" w:eastAsia="Times New Roman" w:hAnsiTheme="majorHAnsi" w:cstheme="majorHAnsi"/>
          <w:sz w:val="24"/>
          <w:szCs w:val="24"/>
          <w:lang w:val="ro-RO"/>
        </w:rPr>
        <w:t>- de la 10 ani (în cazul stabilirii dreptului la pensie după 01.01.1999)</w:t>
      </w:r>
      <w:r w:rsidRPr="00CE7234">
        <w:rPr>
          <w:rStyle w:val="FootnoteReference"/>
          <w:rFonts w:asciiTheme="majorHAnsi" w:eastAsia="Times New Roman" w:hAnsiTheme="majorHAnsi" w:cstheme="majorHAnsi"/>
          <w:sz w:val="24"/>
          <w:szCs w:val="24"/>
          <w:lang w:val="ro-RO"/>
        </w:rPr>
        <w:footnoteReference w:id="19"/>
      </w:r>
      <w:r w:rsidRPr="00CE7234">
        <w:rPr>
          <w:rFonts w:asciiTheme="majorHAnsi" w:eastAsia="Times New Roman" w:hAnsiTheme="majorHAnsi" w:cstheme="majorHAnsi"/>
          <w:sz w:val="24"/>
          <w:szCs w:val="24"/>
          <w:lang w:val="ro-RO"/>
        </w:rPr>
        <w:t>;</w:t>
      </w:r>
    </w:p>
    <w:p w14:paraId="55922162" w14:textId="77777777" w:rsidR="00ED3980" w:rsidRPr="00CE7234" w:rsidRDefault="00ED3980" w:rsidP="009B59B6">
      <w:pPr>
        <w:pStyle w:val="ListParagraph"/>
        <w:numPr>
          <w:ilvl w:val="0"/>
          <w:numId w:val="19"/>
        </w:numPr>
        <w:spacing w:after="0" w:line="276" w:lineRule="auto"/>
        <w:ind w:left="360"/>
        <w:jc w:val="both"/>
        <w:rPr>
          <w:rFonts w:asciiTheme="majorHAnsi" w:eastAsia="Times New Roman" w:hAnsiTheme="majorHAnsi" w:cstheme="majorHAnsi"/>
          <w:sz w:val="24"/>
          <w:szCs w:val="24"/>
          <w:lang w:val="ro-RO"/>
        </w:rPr>
      </w:pPr>
      <w:r w:rsidRPr="00CE7234">
        <w:rPr>
          <w:rFonts w:asciiTheme="majorHAnsi" w:eastAsia="Times New Roman" w:hAnsiTheme="majorHAnsi" w:cstheme="majorHAnsi"/>
          <w:sz w:val="24"/>
          <w:szCs w:val="24"/>
          <w:lang w:val="ro-RO"/>
        </w:rPr>
        <w:t>majorarea, începând cu 01.01.2020, a pensiei de urmaș copiilor până la vârsta de 23 de ani, de la 50% până la 75%;</w:t>
      </w:r>
    </w:p>
    <w:p w14:paraId="6217810B" w14:textId="755B742D" w:rsidR="00ED3980" w:rsidRPr="00CE7234" w:rsidRDefault="00ED3980" w:rsidP="009B59B6">
      <w:pPr>
        <w:pStyle w:val="ListParagraph"/>
        <w:numPr>
          <w:ilvl w:val="0"/>
          <w:numId w:val="19"/>
        </w:numPr>
        <w:spacing w:line="276" w:lineRule="auto"/>
        <w:ind w:left="360"/>
        <w:jc w:val="both"/>
        <w:rPr>
          <w:rFonts w:asciiTheme="majorHAnsi" w:eastAsia="Times New Roman" w:hAnsiTheme="majorHAnsi" w:cstheme="majorHAnsi"/>
          <w:sz w:val="24"/>
          <w:szCs w:val="24"/>
          <w:lang w:val="ro-RO"/>
        </w:rPr>
      </w:pPr>
      <w:r w:rsidRPr="00CE7234">
        <w:rPr>
          <w:rFonts w:asciiTheme="majorHAnsi" w:eastAsia="Times New Roman" w:hAnsiTheme="majorHAnsi" w:cstheme="majorHAnsi"/>
          <w:sz w:val="24"/>
          <w:szCs w:val="24"/>
          <w:lang w:val="ro-RO"/>
        </w:rPr>
        <w:t>stabilirea pensiei de dizabilitate severă beneficiarilor care au acumulat un stagiu minim contributiv de 2 ani, indiferent de vârstă.</w:t>
      </w:r>
    </w:p>
    <w:p w14:paraId="3ABE7809" w14:textId="476F95BB" w:rsidR="00ED3980" w:rsidRPr="00CE7234" w:rsidRDefault="00ED3980" w:rsidP="00ED3980">
      <w:p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De asemenea</w:t>
      </w:r>
      <w:r w:rsidR="000061F7">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w:t>
      </w:r>
      <w:r w:rsidR="000061F7">
        <w:rPr>
          <w:rFonts w:asciiTheme="majorHAnsi" w:hAnsiTheme="majorHAnsi" w:cstheme="majorHAnsi"/>
          <w:sz w:val="24"/>
          <w:szCs w:val="24"/>
          <w:lang w:val="ro-RO"/>
        </w:rPr>
        <w:t xml:space="preserve">cu </w:t>
      </w:r>
      <w:r w:rsidRPr="00CE7234">
        <w:rPr>
          <w:rFonts w:asciiTheme="majorHAnsi" w:hAnsiTheme="majorHAnsi" w:cstheme="majorHAnsi"/>
          <w:sz w:val="24"/>
          <w:szCs w:val="24"/>
          <w:lang w:val="ro-RO"/>
        </w:rPr>
        <w:t>privi</w:t>
      </w:r>
      <w:r w:rsidR="000061F7">
        <w:rPr>
          <w:rFonts w:asciiTheme="majorHAnsi" w:hAnsiTheme="majorHAnsi" w:cstheme="majorHAnsi"/>
          <w:sz w:val="24"/>
          <w:szCs w:val="24"/>
          <w:lang w:val="ro-RO"/>
        </w:rPr>
        <w:t>re la</w:t>
      </w:r>
      <w:r w:rsidRPr="00CE7234">
        <w:rPr>
          <w:rFonts w:asciiTheme="majorHAnsi" w:hAnsiTheme="majorHAnsi" w:cstheme="majorHAnsi"/>
          <w:sz w:val="24"/>
          <w:szCs w:val="24"/>
          <w:lang w:val="ro-RO"/>
        </w:rPr>
        <w:t xml:space="preserve"> indemnizațiile de asigurări sociale s-a înregistrat o creștere determinată de majorarea cuantumului indemnizației unice la nașterea copilului</w:t>
      </w:r>
      <w:r w:rsidR="000061F7">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până la 8</w:t>
      </w:r>
      <w:r w:rsidR="000B14FF">
        <w:rPr>
          <w:rFonts w:asciiTheme="majorHAnsi" w:hAnsiTheme="majorHAnsi" w:cstheme="majorHAnsi"/>
          <w:sz w:val="24"/>
          <w:szCs w:val="24"/>
          <w:lang w:val="ro-RO"/>
        </w:rPr>
        <w:t xml:space="preserve"> </w:t>
      </w:r>
      <w:r w:rsidRPr="00CE7234">
        <w:rPr>
          <w:rFonts w:asciiTheme="majorHAnsi" w:hAnsiTheme="majorHAnsi" w:cstheme="majorHAnsi"/>
          <w:sz w:val="24"/>
          <w:szCs w:val="24"/>
          <w:lang w:val="ro-RO"/>
        </w:rPr>
        <w:t>299 lei</w:t>
      </w:r>
      <w:r w:rsidRPr="00CE7234">
        <w:rPr>
          <w:rStyle w:val="FootnoteReference"/>
          <w:rFonts w:asciiTheme="majorHAnsi" w:hAnsiTheme="majorHAnsi" w:cstheme="majorHAnsi"/>
          <w:sz w:val="24"/>
          <w:szCs w:val="24"/>
          <w:lang w:val="ro-RO"/>
        </w:rPr>
        <w:footnoteReference w:id="20"/>
      </w:r>
      <w:r w:rsidRPr="00CE7234">
        <w:rPr>
          <w:rFonts w:asciiTheme="majorHAnsi" w:hAnsiTheme="majorHAnsi" w:cstheme="majorHAnsi"/>
          <w:sz w:val="24"/>
          <w:szCs w:val="24"/>
          <w:lang w:val="ro-RO"/>
        </w:rPr>
        <w:t>. Totodată, începând cu 01.01.2020, au intrat în vigoare unele prevederi cu referire la indemnizațiile pentru incapacitate temporară de muncă şi alte prestații de asigurări sociale</w:t>
      </w:r>
      <w:r w:rsidRPr="00CE7234">
        <w:rPr>
          <w:rStyle w:val="FootnoteReference"/>
          <w:rFonts w:asciiTheme="majorHAnsi" w:hAnsiTheme="majorHAnsi" w:cstheme="majorHAnsi"/>
          <w:sz w:val="24"/>
          <w:szCs w:val="24"/>
          <w:lang w:val="ro-RO"/>
        </w:rPr>
        <w:footnoteReference w:id="21"/>
      </w:r>
      <w:r w:rsidRPr="00CE7234">
        <w:rPr>
          <w:rFonts w:asciiTheme="majorHAnsi" w:hAnsiTheme="majorHAnsi" w:cstheme="majorHAnsi"/>
          <w:sz w:val="24"/>
          <w:szCs w:val="24"/>
          <w:lang w:val="ro-RO"/>
        </w:rPr>
        <w:t xml:space="preserve">. </w:t>
      </w:r>
    </w:p>
    <w:p w14:paraId="380FC078" w14:textId="361893B7" w:rsidR="00ED3980" w:rsidRPr="00CE7234" w:rsidRDefault="00ED3980" w:rsidP="00ED3980">
      <w:pPr>
        <w:spacing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 xml:space="preserve">O nouă opțiune este la solicitarea de către persoana asigurată a stabilirii indemnizației până la data împlinirii vârstei de 2 ani şi 2 luni. În acest caz, până la împlinirea vârstei de 1 an a copilului,  indemnizația lunară se va stabili în cuantum de 60% din baza de calcul stabilită pentru fiecare copil, dar nu mai puțin decât cuantumul dublu al indemnizației minime lunare pentru creșterea copilului </w:t>
      </w:r>
      <w:r w:rsidRPr="00CE7234">
        <w:rPr>
          <w:rFonts w:asciiTheme="majorHAnsi" w:hAnsiTheme="majorHAnsi" w:cstheme="majorHAnsi"/>
          <w:sz w:val="24"/>
          <w:szCs w:val="24"/>
          <w:lang w:val="ro-RO"/>
        </w:rPr>
        <w:lastRenderedPageBreak/>
        <w:t>persoanei asigurate (1</w:t>
      </w:r>
      <w:r w:rsidR="00FC54DF">
        <w:rPr>
          <w:rFonts w:asciiTheme="majorHAnsi" w:hAnsiTheme="majorHAnsi" w:cstheme="majorHAnsi"/>
          <w:sz w:val="24"/>
          <w:szCs w:val="24"/>
          <w:lang w:val="ro-RO"/>
        </w:rPr>
        <w:t xml:space="preserve"> </w:t>
      </w:r>
      <w:r w:rsidRPr="00CE7234">
        <w:rPr>
          <w:rFonts w:asciiTheme="majorHAnsi" w:hAnsiTheme="majorHAnsi" w:cstheme="majorHAnsi"/>
          <w:sz w:val="24"/>
          <w:szCs w:val="24"/>
          <w:lang w:val="ro-RO"/>
        </w:rPr>
        <w:t xml:space="preserve">280 lei). Din ziua următoare celei de împlinire a vârstei de 1 an şi până la împlinirea vârstei de 2 ani şi 2 luni a copilului, indemnizația lunară se va stabili în cuantum de </w:t>
      </w:r>
      <w:r w:rsidR="001918F2">
        <w:rPr>
          <w:rFonts w:asciiTheme="majorHAnsi" w:hAnsiTheme="majorHAnsi" w:cstheme="majorHAnsi"/>
          <w:sz w:val="24"/>
          <w:szCs w:val="24"/>
          <w:lang w:val="ro-RO"/>
        </w:rPr>
        <w:t>30% din baza de calcul prevăzută</w:t>
      </w:r>
      <w:r w:rsidRPr="00CE7234">
        <w:rPr>
          <w:rFonts w:asciiTheme="majorHAnsi" w:hAnsiTheme="majorHAnsi" w:cstheme="majorHAnsi"/>
          <w:sz w:val="24"/>
          <w:szCs w:val="24"/>
          <w:lang w:val="ro-RO"/>
        </w:rPr>
        <w:t xml:space="preserve"> pentru fiecare copil, dar nu mai puțin decât cuantumul indemnizației minime lunare pentru creșterea copilului persoanei asigurate (640 lei).</w:t>
      </w:r>
    </w:p>
    <w:p w14:paraId="4F579535" w14:textId="74A0A2B2" w:rsidR="00ED3980" w:rsidRPr="00CE7234" w:rsidRDefault="001918F2" w:rsidP="00CE7234">
      <w:pPr>
        <w:spacing w:before="240" w:after="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Totodată, a </w:t>
      </w:r>
      <w:r w:rsidR="007B5884">
        <w:rPr>
          <w:rFonts w:asciiTheme="majorHAnsi" w:hAnsiTheme="majorHAnsi" w:cstheme="majorHAnsi"/>
          <w:sz w:val="24"/>
          <w:szCs w:val="24"/>
          <w:lang w:val="ro-RO"/>
        </w:rPr>
        <w:t xml:space="preserve">fost </w:t>
      </w:r>
      <w:r>
        <w:rPr>
          <w:rFonts w:asciiTheme="majorHAnsi" w:hAnsiTheme="majorHAnsi" w:cstheme="majorHAnsi"/>
          <w:sz w:val="24"/>
          <w:szCs w:val="24"/>
          <w:lang w:val="ro-RO"/>
        </w:rPr>
        <w:t>aprobat R</w:t>
      </w:r>
      <w:r w:rsidR="00ED3980" w:rsidRPr="00CE7234">
        <w:rPr>
          <w:rFonts w:asciiTheme="majorHAnsi" w:hAnsiTheme="majorHAnsi" w:cstheme="majorHAnsi"/>
          <w:sz w:val="24"/>
          <w:szCs w:val="24"/>
          <w:lang w:val="ro-RO"/>
        </w:rPr>
        <w:t>egulamentul privind stabilirea și plata indemnizației în cazul decesului unuia dintre soți</w:t>
      </w:r>
      <w:r w:rsidR="00ED3980" w:rsidRPr="00CE7234">
        <w:rPr>
          <w:rStyle w:val="FootnoteReference"/>
          <w:rFonts w:asciiTheme="majorHAnsi" w:hAnsiTheme="majorHAnsi" w:cstheme="majorHAnsi"/>
          <w:sz w:val="24"/>
          <w:szCs w:val="24"/>
          <w:lang w:val="ro-RO"/>
        </w:rPr>
        <w:footnoteReference w:id="22"/>
      </w:r>
      <w:r w:rsidR="00ED3980" w:rsidRPr="00CE7234">
        <w:rPr>
          <w:rFonts w:asciiTheme="majorHAnsi" w:hAnsiTheme="majorHAnsi" w:cstheme="majorHAnsi"/>
          <w:sz w:val="24"/>
          <w:szCs w:val="24"/>
          <w:lang w:val="ro-RO"/>
        </w:rPr>
        <w:t>. Astfel, cuantumul indemnizației se stabilește în mărimea pensiei pentru limită de vârstă, aflată în plată la data decesului beneficiarului de pensie, dar nu poate depăși suma a cinci salarii medii lunare prognozate pe economie pentru anul în care a avut loc decesul.</w:t>
      </w:r>
    </w:p>
    <w:p w14:paraId="6E03F562" w14:textId="7527D101" w:rsidR="00ED3980" w:rsidRPr="00CE7234" w:rsidRDefault="006F2177" w:rsidP="00ED3980">
      <w:pPr>
        <w:spacing w:after="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Ca u</w:t>
      </w:r>
      <w:r w:rsidR="00ED3980" w:rsidRPr="00CE7234">
        <w:rPr>
          <w:rFonts w:asciiTheme="majorHAnsi" w:hAnsiTheme="majorHAnsi" w:cstheme="majorHAnsi"/>
          <w:sz w:val="24"/>
          <w:szCs w:val="24"/>
          <w:lang w:val="ro-RO"/>
        </w:rPr>
        <w:t>rmare a situației pandemice, în anul 2020 s-a</w:t>
      </w:r>
      <w:r>
        <w:rPr>
          <w:rFonts w:asciiTheme="majorHAnsi" w:hAnsiTheme="majorHAnsi" w:cstheme="majorHAnsi"/>
          <w:sz w:val="24"/>
          <w:szCs w:val="24"/>
          <w:lang w:val="ro-RO"/>
        </w:rPr>
        <w:t>u</w:t>
      </w:r>
      <w:r w:rsidR="00ED3980" w:rsidRPr="00CE7234">
        <w:rPr>
          <w:rFonts w:asciiTheme="majorHAnsi" w:hAnsiTheme="majorHAnsi" w:cstheme="majorHAnsi"/>
          <w:sz w:val="24"/>
          <w:szCs w:val="24"/>
          <w:lang w:val="ro-RO"/>
        </w:rPr>
        <w:t xml:space="preserve"> acordat indemnizații urmașilor personalului medical decedat ca urmare a desfășurării activităților medicale în lupta cu COVID-19</w:t>
      </w:r>
      <w:r w:rsidR="00ED3980" w:rsidRPr="00CE7234">
        <w:rPr>
          <w:rStyle w:val="FootnoteReference"/>
          <w:rFonts w:asciiTheme="majorHAnsi" w:hAnsiTheme="majorHAnsi" w:cstheme="majorHAnsi"/>
          <w:sz w:val="24"/>
          <w:szCs w:val="24"/>
          <w:lang w:val="ro-RO"/>
        </w:rPr>
        <w:footnoteReference w:id="23"/>
      </w:r>
      <w:r w:rsidR="00ED3980" w:rsidRPr="00CE7234">
        <w:rPr>
          <w:rFonts w:asciiTheme="majorHAnsi" w:hAnsiTheme="majorHAnsi" w:cstheme="majorHAnsi"/>
          <w:sz w:val="24"/>
          <w:szCs w:val="24"/>
          <w:lang w:val="ro-RO"/>
        </w:rPr>
        <w:t>, precum și ajutoare de șomaj în cuantum de 2</w:t>
      </w:r>
      <w:r w:rsidR="00F227E6">
        <w:rPr>
          <w:rFonts w:asciiTheme="majorHAnsi" w:hAnsiTheme="majorHAnsi" w:cstheme="majorHAnsi"/>
          <w:sz w:val="24"/>
          <w:szCs w:val="24"/>
          <w:lang w:val="ro-RO"/>
        </w:rPr>
        <w:t xml:space="preserve"> </w:t>
      </w:r>
      <w:r w:rsidR="00ED3980" w:rsidRPr="00CE7234">
        <w:rPr>
          <w:rFonts w:asciiTheme="majorHAnsi" w:hAnsiTheme="majorHAnsi" w:cstheme="majorHAnsi"/>
          <w:sz w:val="24"/>
          <w:szCs w:val="24"/>
          <w:lang w:val="ro-RO"/>
        </w:rPr>
        <w:t>775 de lei în perioada stării de urgență  persoanelor înregistrate cu statut de șomer la una dintre subdiviziunile teritoriale de ocupare a forței de muncă, inclusiv cel</w:t>
      </w:r>
      <w:r>
        <w:rPr>
          <w:rFonts w:asciiTheme="majorHAnsi" w:hAnsiTheme="majorHAnsi" w:cstheme="majorHAnsi"/>
          <w:sz w:val="24"/>
          <w:szCs w:val="24"/>
          <w:lang w:val="ro-RO"/>
        </w:rPr>
        <w:t>or</w:t>
      </w:r>
      <w:r w:rsidR="00ED3980" w:rsidRPr="00CE7234">
        <w:rPr>
          <w:rFonts w:asciiTheme="majorHAnsi" w:hAnsiTheme="majorHAnsi" w:cstheme="majorHAnsi"/>
          <w:sz w:val="24"/>
          <w:szCs w:val="24"/>
          <w:lang w:val="ro-RO"/>
        </w:rPr>
        <w:t xml:space="preserve"> revenite de peste hotare, chiar dacă nu au stagiul de cotizare necesar pentru a beneficia de acest ajutor conform legislației în vigoare. </w:t>
      </w:r>
    </w:p>
    <w:p w14:paraId="28E9965B" w14:textId="6B377D76" w:rsidR="00ED3980" w:rsidRPr="00CE7234" w:rsidRDefault="00ED3980" w:rsidP="00CE7234">
      <w:pPr>
        <w:spacing w:before="240" w:after="0" w:line="276" w:lineRule="auto"/>
        <w:jc w:val="both"/>
        <w:rPr>
          <w:rFonts w:asciiTheme="majorHAnsi" w:hAnsiTheme="majorHAnsi" w:cstheme="majorHAnsi"/>
          <w:sz w:val="24"/>
          <w:szCs w:val="24"/>
          <w:lang w:val="ro-RO"/>
        </w:rPr>
      </w:pPr>
      <w:r w:rsidRPr="00CE7234">
        <w:rPr>
          <w:rFonts w:asciiTheme="majorHAnsi" w:hAnsiTheme="majorHAnsi" w:cstheme="majorHAnsi"/>
          <w:sz w:val="24"/>
          <w:szCs w:val="24"/>
          <w:lang w:val="ro-RO"/>
        </w:rPr>
        <w:t>Pentru categoria „</w:t>
      </w:r>
      <w:r w:rsidRPr="00CE7234">
        <w:rPr>
          <w:rFonts w:asciiTheme="majorHAnsi" w:hAnsiTheme="majorHAnsi" w:cstheme="majorHAnsi"/>
          <w:b/>
          <w:sz w:val="24"/>
          <w:szCs w:val="24"/>
          <w:lang w:val="ro-RO"/>
        </w:rPr>
        <w:t>Alte cheltuieli</w:t>
      </w:r>
      <w:r w:rsidRPr="00CE7234">
        <w:rPr>
          <w:rFonts w:asciiTheme="majorHAnsi" w:hAnsiTheme="majorHAnsi" w:cstheme="majorHAnsi"/>
          <w:sz w:val="24"/>
          <w:szCs w:val="24"/>
          <w:lang w:val="ro-RO"/>
        </w:rPr>
        <w:t>”</w:t>
      </w:r>
      <w:r w:rsidR="006F2177">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au fost executate cheltuieli în sumă de 4,6 mil</w:t>
      </w:r>
      <w:r w:rsidR="006F2177">
        <w:rPr>
          <w:rFonts w:asciiTheme="majorHAnsi" w:hAnsiTheme="majorHAnsi" w:cstheme="majorHAnsi"/>
          <w:sz w:val="24"/>
          <w:szCs w:val="24"/>
          <w:lang w:val="ro-RO"/>
        </w:rPr>
        <w:t>.</w:t>
      </w:r>
      <w:r w:rsidRPr="00CE7234">
        <w:rPr>
          <w:rFonts w:asciiTheme="majorHAnsi" w:hAnsiTheme="majorHAnsi" w:cstheme="majorHAnsi"/>
          <w:sz w:val="24"/>
          <w:szCs w:val="24"/>
          <w:lang w:val="ro-RO"/>
        </w:rPr>
        <w:t xml:space="preserve"> lei, cu 0,3 mil. lei</w:t>
      </w:r>
      <w:r w:rsidR="006F2177">
        <w:rPr>
          <w:rFonts w:asciiTheme="majorHAnsi" w:hAnsiTheme="majorHAnsi" w:cstheme="majorHAnsi"/>
          <w:sz w:val="24"/>
          <w:szCs w:val="24"/>
          <w:lang w:val="ro-RO"/>
        </w:rPr>
        <w:t xml:space="preserve">  mai </w:t>
      </w:r>
      <w:r w:rsidR="006F2177" w:rsidRPr="00855DAB">
        <w:rPr>
          <w:rFonts w:asciiTheme="majorHAnsi" w:hAnsiTheme="majorHAnsi" w:cstheme="majorHAnsi"/>
          <w:sz w:val="24"/>
          <w:szCs w:val="24"/>
          <w:lang w:val="ro-RO"/>
        </w:rPr>
        <w:t>mult</w:t>
      </w:r>
      <w:r w:rsidRPr="00855DAB">
        <w:rPr>
          <w:rFonts w:asciiTheme="majorHAnsi" w:hAnsiTheme="majorHAnsi" w:cstheme="majorHAnsi"/>
          <w:sz w:val="24"/>
          <w:szCs w:val="24"/>
          <w:lang w:val="ro-RO"/>
        </w:rPr>
        <w:t xml:space="preserve"> comparativ</w:t>
      </w:r>
      <w:r w:rsidRPr="00CE7234">
        <w:rPr>
          <w:rFonts w:asciiTheme="majorHAnsi" w:hAnsiTheme="majorHAnsi" w:cstheme="majorHAnsi"/>
          <w:sz w:val="24"/>
          <w:szCs w:val="24"/>
          <w:lang w:val="ro-RO"/>
        </w:rPr>
        <w:t xml:space="preserve"> anului precedent. În această categorie se regăsesc cotizațiile în organizațiile internaționale, despăgubirile civile, plățile aferente documentelor executorii de executare benevolă, alte cheltuieli în baz</w:t>
      </w:r>
      <w:r w:rsidR="006F2177">
        <w:rPr>
          <w:rFonts w:asciiTheme="majorHAnsi" w:hAnsiTheme="majorHAnsi" w:cstheme="majorHAnsi"/>
          <w:sz w:val="24"/>
          <w:szCs w:val="24"/>
          <w:lang w:val="ro-RO"/>
        </w:rPr>
        <w:t>ă</w:t>
      </w:r>
      <w:r w:rsidRPr="00CE7234">
        <w:rPr>
          <w:rFonts w:asciiTheme="majorHAnsi" w:hAnsiTheme="majorHAnsi" w:cstheme="majorHAnsi"/>
          <w:sz w:val="24"/>
          <w:szCs w:val="24"/>
          <w:lang w:val="ro-RO"/>
        </w:rPr>
        <w:t xml:space="preserve"> de contracte cu persoane fizice. </w:t>
      </w:r>
    </w:p>
    <w:p w14:paraId="412DAFF5" w14:textId="389B98A8" w:rsidR="00C75E87" w:rsidRPr="007C7210" w:rsidRDefault="00AE03C9" w:rsidP="00A03DC2">
      <w:pPr>
        <w:pStyle w:val="Heading1"/>
        <w:ind w:left="0" w:firstLine="0"/>
        <w:jc w:val="left"/>
        <w:rPr>
          <w:rFonts w:asciiTheme="majorHAnsi" w:hAnsiTheme="majorHAnsi" w:cstheme="majorHAnsi"/>
          <w:sz w:val="28"/>
          <w:szCs w:val="28"/>
        </w:rPr>
      </w:pPr>
      <w:bookmarkStart w:id="4" w:name="_Toc35000685"/>
      <w:r w:rsidRPr="007C7210">
        <w:rPr>
          <w:rFonts w:asciiTheme="majorHAnsi" w:hAnsiTheme="majorHAnsi" w:cstheme="majorHAnsi"/>
          <w:sz w:val="28"/>
          <w:szCs w:val="28"/>
        </w:rPr>
        <w:t>ALTE INFORMAȚII</w:t>
      </w:r>
      <w:bookmarkEnd w:id="4"/>
    </w:p>
    <w:p w14:paraId="61A30852" w14:textId="6EFC4E07" w:rsidR="00767C7A" w:rsidRPr="00341E6C" w:rsidRDefault="00767C7A" w:rsidP="009B59B6">
      <w:pPr>
        <w:pStyle w:val="Heading2"/>
        <w:numPr>
          <w:ilvl w:val="1"/>
          <w:numId w:val="20"/>
        </w:numPr>
        <w:spacing w:line="276" w:lineRule="auto"/>
        <w:ind w:left="0" w:firstLine="0"/>
        <w:rPr>
          <w:rFonts w:asciiTheme="majorHAnsi" w:hAnsiTheme="majorHAnsi" w:cstheme="majorHAnsi"/>
          <w:sz w:val="24"/>
          <w:lang w:val="ro-RO"/>
        </w:rPr>
      </w:pPr>
      <w:r w:rsidRPr="00341E6C">
        <w:rPr>
          <w:rFonts w:asciiTheme="majorHAnsi" w:hAnsiTheme="majorHAnsi" w:cstheme="majorHAnsi"/>
          <w:sz w:val="24"/>
          <w:lang w:val="ro-RO"/>
        </w:rPr>
        <w:t>Pensiile pentru limită de vârstă și de dizabilitate au fost stabilite conform cadrului legal.  Totodată, recepționarea cu întârziere a informațiilor privind decesul beneficiarilor determină cheltuieli nejustificate estimate la 1,76 mil. lei</w:t>
      </w:r>
      <w:r w:rsidR="006F2177">
        <w:rPr>
          <w:rFonts w:asciiTheme="majorHAnsi" w:hAnsiTheme="majorHAnsi" w:cstheme="majorHAnsi"/>
          <w:sz w:val="24"/>
          <w:lang w:val="ro-RO"/>
        </w:rPr>
        <w:t>.</w:t>
      </w:r>
    </w:p>
    <w:p w14:paraId="4683281A" w14:textId="3C5BBEA1" w:rsidR="00767C7A" w:rsidRPr="00341E6C" w:rsidRDefault="00767C7A" w:rsidP="00E7122D">
      <w:pPr>
        <w:spacing w:line="276" w:lineRule="auto"/>
        <w:jc w:val="both"/>
        <w:rPr>
          <w:rFonts w:asciiTheme="majorHAnsi" w:eastAsia="Calibri" w:hAnsiTheme="majorHAnsi" w:cstheme="majorHAnsi"/>
          <w:sz w:val="24"/>
          <w:szCs w:val="24"/>
          <w:lang w:val="ro-RO"/>
        </w:rPr>
      </w:pPr>
      <w:r w:rsidRPr="00341E6C">
        <w:rPr>
          <w:rFonts w:asciiTheme="majorHAnsi" w:eastAsia="Calibri" w:hAnsiTheme="majorHAnsi" w:cstheme="majorHAnsi"/>
          <w:sz w:val="24"/>
          <w:szCs w:val="24"/>
          <w:lang w:val="ro-RO"/>
        </w:rPr>
        <w:t xml:space="preserve">În anul 2020, cheltuielile privind plata pensiilor pentru limită de vârstă au constituit 11 492.5 mil.lei, </w:t>
      </w:r>
      <w:r w:rsidR="00742923">
        <w:rPr>
          <w:rFonts w:asciiTheme="majorHAnsi" w:eastAsia="Calibri" w:hAnsiTheme="majorHAnsi" w:cstheme="majorHAnsi"/>
          <w:sz w:val="24"/>
          <w:szCs w:val="24"/>
          <w:lang w:val="ro-RO"/>
        </w:rPr>
        <w:t xml:space="preserve">ceea </w:t>
      </w:r>
      <w:r w:rsidRPr="00341E6C">
        <w:rPr>
          <w:rFonts w:asciiTheme="majorHAnsi" w:eastAsia="Calibri" w:hAnsiTheme="majorHAnsi" w:cstheme="majorHAnsi"/>
          <w:sz w:val="24"/>
          <w:szCs w:val="24"/>
          <w:lang w:val="ro-RO"/>
        </w:rPr>
        <w:t>ce reprezintă 59% din totalul cheltuielilor privind prestațiile sociale. Comparativ cu anul precedent</w:t>
      </w:r>
      <w:r w:rsidR="00742923">
        <w:rPr>
          <w:rFonts w:asciiTheme="majorHAnsi" w:eastAsia="Calibri" w:hAnsiTheme="majorHAnsi" w:cstheme="majorHAnsi"/>
          <w:sz w:val="24"/>
          <w:szCs w:val="24"/>
          <w:lang w:val="ro-RO"/>
        </w:rPr>
        <w:t>,</w:t>
      </w:r>
      <w:r w:rsidRPr="00341E6C">
        <w:rPr>
          <w:rFonts w:asciiTheme="majorHAnsi" w:eastAsia="Calibri" w:hAnsiTheme="majorHAnsi" w:cstheme="majorHAnsi"/>
          <w:sz w:val="24"/>
          <w:szCs w:val="24"/>
          <w:lang w:val="ro-RO"/>
        </w:rPr>
        <w:t xml:space="preserve"> aceste cheltuieli s-au majorat cu 815,8 mil</w:t>
      </w:r>
      <w:r w:rsidR="00742923">
        <w:rPr>
          <w:rFonts w:asciiTheme="majorHAnsi" w:eastAsia="Calibri" w:hAnsiTheme="majorHAnsi" w:cstheme="majorHAnsi"/>
          <w:sz w:val="24"/>
          <w:szCs w:val="24"/>
          <w:lang w:val="ro-RO"/>
        </w:rPr>
        <w:t>.</w:t>
      </w:r>
      <w:r w:rsidRPr="00341E6C">
        <w:rPr>
          <w:rFonts w:asciiTheme="majorHAnsi" w:eastAsia="Calibri" w:hAnsiTheme="majorHAnsi" w:cstheme="majorHAnsi"/>
          <w:sz w:val="24"/>
          <w:szCs w:val="24"/>
          <w:lang w:val="ro-RO"/>
        </w:rPr>
        <w:t xml:space="preserve"> lei</w:t>
      </w:r>
      <w:r w:rsidR="00742923">
        <w:rPr>
          <w:rFonts w:asciiTheme="majorHAnsi" w:eastAsia="Calibri" w:hAnsiTheme="majorHAnsi" w:cstheme="majorHAnsi"/>
          <w:sz w:val="24"/>
          <w:szCs w:val="24"/>
          <w:lang w:val="ro-RO"/>
        </w:rPr>
        <w:t>,</w:t>
      </w:r>
      <w:r w:rsidRPr="00341E6C">
        <w:rPr>
          <w:rFonts w:asciiTheme="majorHAnsi" w:eastAsia="Calibri" w:hAnsiTheme="majorHAnsi" w:cstheme="majorHAnsi"/>
          <w:sz w:val="24"/>
          <w:szCs w:val="24"/>
          <w:lang w:val="ro-RO"/>
        </w:rPr>
        <w:t xml:space="preserve"> sau cu 7,64%</w:t>
      </w:r>
      <w:r w:rsidR="00742923">
        <w:rPr>
          <w:rFonts w:asciiTheme="majorHAnsi" w:eastAsia="Calibri" w:hAnsiTheme="majorHAnsi" w:cstheme="majorHAnsi"/>
          <w:sz w:val="24"/>
          <w:szCs w:val="24"/>
          <w:lang w:val="ro-RO"/>
        </w:rPr>
        <w:t>,</w:t>
      </w:r>
      <w:r w:rsidRPr="00341E6C">
        <w:rPr>
          <w:rFonts w:asciiTheme="majorHAnsi" w:eastAsia="Calibri" w:hAnsiTheme="majorHAnsi" w:cstheme="majorHAnsi"/>
          <w:sz w:val="24"/>
          <w:szCs w:val="24"/>
          <w:lang w:val="ro-RO"/>
        </w:rPr>
        <w:t xml:space="preserve">  ca rezultat a</w:t>
      </w:r>
      <w:r w:rsidR="00742923">
        <w:rPr>
          <w:rFonts w:asciiTheme="majorHAnsi" w:eastAsia="Calibri" w:hAnsiTheme="majorHAnsi" w:cstheme="majorHAnsi"/>
          <w:sz w:val="24"/>
          <w:szCs w:val="24"/>
          <w:lang w:val="ro-RO"/>
        </w:rPr>
        <w:t>l</w:t>
      </w:r>
      <w:r w:rsidRPr="00341E6C">
        <w:rPr>
          <w:rFonts w:asciiTheme="majorHAnsi" w:eastAsia="Calibri" w:hAnsiTheme="majorHAnsi" w:cstheme="majorHAnsi"/>
          <w:sz w:val="24"/>
          <w:szCs w:val="24"/>
          <w:lang w:val="ro-RO"/>
        </w:rPr>
        <w:t xml:space="preserve"> indexării anuale</w:t>
      </w:r>
      <w:r w:rsidRPr="00341E6C">
        <w:rPr>
          <w:rFonts w:asciiTheme="majorHAnsi" w:eastAsia="Calibri" w:hAnsiTheme="majorHAnsi" w:cstheme="majorHAnsi"/>
          <w:sz w:val="24"/>
          <w:szCs w:val="24"/>
          <w:vertAlign w:val="superscript"/>
          <w:lang w:val="ro-RO"/>
        </w:rPr>
        <w:footnoteReference w:id="24"/>
      </w:r>
      <w:r w:rsidRPr="00341E6C">
        <w:rPr>
          <w:rFonts w:asciiTheme="majorHAnsi" w:eastAsia="Calibri" w:hAnsiTheme="majorHAnsi" w:cstheme="majorHAnsi"/>
          <w:sz w:val="24"/>
          <w:szCs w:val="24"/>
          <w:lang w:val="ro-RO"/>
        </w:rPr>
        <w:t xml:space="preserve">, precum și </w:t>
      </w:r>
      <w:r w:rsidR="00742923">
        <w:rPr>
          <w:rFonts w:asciiTheme="majorHAnsi" w:eastAsia="Calibri" w:hAnsiTheme="majorHAnsi" w:cstheme="majorHAnsi"/>
          <w:sz w:val="24"/>
          <w:szCs w:val="24"/>
          <w:lang w:val="ro-RO"/>
        </w:rPr>
        <w:t xml:space="preserve">al </w:t>
      </w:r>
      <w:r w:rsidRPr="00341E6C">
        <w:rPr>
          <w:rFonts w:asciiTheme="majorHAnsi" w:eastAsia="Calibri" w:hAnsiTheme="majorHAnsi" w:cstheme="majorHAnsi"/>
          <w:sz w:val="24"/>
          <w:szCs w:val="24"/>
          <w:lang w:val="ro-RO"/>
        </w:rPr>
        <w:t>reexaminărilor</w:t>
      </w:r>
      <w:r w:rsidRPr="00341E6C">
        <w:rPr>
          <w:rStyle w:val="FootnoteReference"/>
          <w:rFonts w:asciiTheme="majorHAnsi" w:eastAsia="Calibri" w:hAnsiTheme="majorHAnsi" w:cstheme="majorHAnsi"/>
          <w:sz w:val="24"/>
          <w:szCs w:val="24"/>
          <w:lang w:val="ro-RO"/>
        </w:rPr>
        <w:footnoteReference w:id="25"/>
      </w:r>
      <w:r w:rsidRPr="00341E6C">
        <w:rPr>
          <w:rFonts w:asciiTheme="majorHAnsi" w:eastAsia="Calibri" w:hAnsiTheme="majorHAnsi" w:cstheme="majorHAnsi"/>
          <w:sz w:val="24"/>
          <w:szCs w:val="24"/>
          <w:lang w:val="ro-RO"/>
        </w:rPr>
        <w:t>. În același timp, cheltuielile privind plata pensiilor de dizabilitate au constituit 2</w:t>
      </w:r>
      <w:r w:rsidR="00F227E6">
        <w:rPr>
          <w:rFonts w:asciiTheme="majorHAnsi" w:eastAsia="Calibri" w:hAnsiTheme="majorHAnsi" w:cstheme="majorHAnsi"/>
          <w:sz w:val="24"/>
          <w:szCs w:val="24"/>
          <w:lang w:val="ro-RO"/>
        </w:rPr>
        <w:t xml:space="preserve"> </w:t>
      </w:r>
      <w:r w:rsidRPr="00341E6C">
        <w:rPr>
          <w:rFonts w:asciiTheme="majorHAnsi" w:eastAsia="Calibri" w:hAnsiTheme="majorHAnsi" w:cstheme="majorHAnsi"/>
          <w:sz w:val="24"/>
          <w:szCs w:val="24"/>
          <w:lang w:val="ro-RO"/>
        </w:rPr>
        <w:t>001,5 mil</w:t>
      </w:r>
      <w:r w:rsidR="00742923">
        <w:rPr>
          <w:rFonts w:asciiTheme="majorHAnsi" w:eastAsia="Calibri" w:hAnsiTheme="majorHAnsi" w:cstheme="majorHAnsi"/>
          <w:sz w:val="24"/>
          <w:szCs w:val="24"/>
          <w:lang w:val="ro-RO"/>
        </w:rPr>
        <w:t>.</w:t>
      </w:r>
      <w:r w:rsidRPr="00341E6C">
        <w:rPr>
          <w:rFonts w:asciiTheme="majorHAnsi" w:eastAsia="Calibri" w:hAnsiTheme="majorHAnsi" w:cstheme="majorHAnsi"/>
          <w:sz w:val="24"/>
          <w:szCs w:val="24"/>
          <w:lang w:val="ro-RO"/>
        </w:rPr>
        <w:t xml:space="preserve"> lei, sau </w:t>
      </w:r>
      <w:r w:rsidR="00742923">
        <w:rPr>
          <w:rFonts w:asciiTheme="majorHAnsi" w:eastAsia="Calibri" w:hAnsiTheme="majorHAnsi" w:cstheme="majorHAnsi"/>
          <w:sz w:val="24"/>
          <w:szCs w:val="24"/>
          <w:lang w:val="ro-RO"/>
        </w:rPr>
        <w:t xml:space="preserve">cu </w:t>
      </w:r>
      <w:r w:rsidRPr="00341E6C">
        <w:rPr>
          <w:rFonts w:asciiTheme="majorHAnsi" w:eastAsia="Calibri" w:hAnsiTheme="majorHAnsi" w:cstheme="majorHAnsi"/>
          <w:sz w:val="24"/>
          <w:szCs w:val="24"/>
          <w:lang w:val="ro-RO"/>
        </w:rPr>
        <w:t xml:space="preserve">2,18% mai mult față de anul precedent. </w:t>
      </w:r>
    </w:p>
    <w:p w14:paraId="30A64004" w14:textId="7A112BFD" w:rsidR="00767C7A" w:rsidRPr="00341E6C" w:rsidRDefault="00767C7A" w:rsidP="00E7122D">
      <w:pPr>
        <w:spacing w:line="276" w:lineRule="auto"/>
        <w:jc w:val="both"/>
        <w:rPr>
          <w:rFonts w:asciiTheme="majorHAnsi" w:hAnsiTheme="majorHAnsi" w:cstheme="majorHAnsi"/>
          <w:sz w:val="24"/>
          <w:szCs w:val="24"/>
          <w:lang w:val="ro-RO"/>
        </w:rPr>
      </w:pPr>
      <w:r w:rsidRPr="00341E6C">
        <w:rPr>
          <w:rFonts w:asciiTheme="majorHAnsi" w:eastAsia="Calibri" w:hAnsiTheme="majorHAnsi" w:cstheme="majorHAnsi"/>
          <w:sz w:val="24"/>
          <w:szCs w:val="24"/>
          <w:lang w:val="ro-RO"/>
        </w:rPr>
        <w:t xml:space="preserve">Sistemul </w:t>
      </w:r>
      <w:r w:rsidR="004D760E">
        <w:rPr>
          <w:rFonts w:asciiTheme="majorHAnsi" w:eastAsia="Calibri" w:hAnsiTheme="majorHAnsi" w:cstheme="majorHAnsi"/>
          <w:sz w:val="24"/>
          <w:szCs w:val="24"/>
          <w:lang w:val="ro-RO"/>
        </w:rPr>
        <w:t>I</w:t>
      </w:r>
      <w:r w:rsidRPr="00341E6C">
        <w:rPr>
          <w:rFonts w:asciiTheme="majorHAnsi" w:eastAsia="Calibri" w:hAnsiTheme="majorHAnsi" w:cstheme="majorHAnsi"/>
          <w:sz w:val="24"/>
          <w:szCs w:val="24"/>
          <w:lang w:val="ro-RO"/>
        </w:rPr>
        <w:t xml:space="preserve">nformațional </w:t>
      </w:r>
      <w:r w:rsidRPr="00341E6C">
        <w:rPr>
          <w:rFonts w:asciiTheme="majorHAnsi" w:hAnsiTheme="majorHAnsi" w:cstheme="majorHAnsi"/>
          <w:sz w:val="24"/>
          <w:szCs w:val="24"/>
          <w:lang w:val="ro-RO"/>
        </w:rPr>
        <w:t>„Protecția Socială”</w:t>
      </w:r>
      <w:r w:rsidRPr="00341E6C">
        <w:rPr>
          <w:rFonts w:asciiTheme="majorHAnsi" w:eastAsia="Calibri" w:hAnsiTheme="majorHAnsi" w:cstheme="majorHAnsi"/>
          <w:sz w:val="24"/>
          <w:szCs w:val="24"/>
          <w:lang w:val="ro-RO"/>
        </w:rPr>
        <w:t xml:space="preserve"> generează și efectuează calculele reieșind din datele introduse de specialiști la stabilirea/recalcularea pensiilor.</w:t>
      </w:r>
      <w:r w:rsidRPr="00341E6C">
        <w:rPr>
          <w:rFonts w:asciiTheme="majorHAnsi" w:hAnsiTheme="majorHAnsi" w:cstheme="majorHAnsi"/>
          <w:sz w:val="24"/>
          <w:szCs w:val="24"/>
          <w:lang w:val="ro-RO"/>
        </w:rPr>
        <w:t xml:space="preserve"> Astfel, s-a confirmat corectitudinea înregistrării datelor în SI, </w:t>
      </w:r>
      <w:r w:rsidR="00264C76">
        <w:rPr>
          <w:rFonts w:asciiTheme="majorHAnsi" w:hAnsiTheme="majorHAnsi" w:cstheme="majorHAnsi"/>
          <w:sz w:val="24"/>
          <w:szCs w:val="24"/>
          <w:lang w:val="ro-RO"/>
        </w:rPr>
        <w:t xml:space="preserve">ca </w:t>
      </w:r>
      <w:r w:rsidRPr="00341E6C">
        <w:rPr>
          <w:rFonts w:asciiTheme="majorHAnsi" w:hAnsiTheme="majorHAnsi" w:cstheme="majorHAnsi"/>
          <w:sz w:val="24"/>
          <w:szCs w:val="24"/>
          <w:lang w:val="ro-RO"/>
        </w:rPr>
        <w:t>urmare a contrapunerii datelor cu documentele anexate la dosarul beneficiarului, nefiind constatate divergențe în exactitatea calculelor. De asemenea, l</w:t>
      </w:r>
      <w:r w:rsidRPr="00341E6C">
        <w:rPr>
          <w:rFonts w:asciiTheme="majorHAnsi" w:eastAsia="Calibri" w:hAnsiTheme="majorHAnsi" w:cstheme="majorHAnsi"/>
          <w:sz w:val="24"/>
          <w:szCs w:val="24"/>
          <w:lang w:val="ro-RO"/>
        </w:rPr>
        <w:t xml:space="preserve">a verificarea regularității stabilirii/recalculării pensiilor pentru limită de vârstă și </w:t>
      </w:r>
      <w:r w:rsidRPr="00341E6C">
        <w:rPr>
          <w:rFonts w:asciiTheme="majorHAnsi" w:hAnsiTheme="majorHAnsi" w:cstheme="majorHAnsi"/>
          <w:sz w:val="24"/>
          <w:szCs w:val="24"/>
          <w:lang w:val="ro-RO"/>
        </w:rPr>
        <w:t xml:space="preserve">de dizabilitate, precum și </w:t>
      </w:r>
      <w:r w:rsidR="00264C76">
        <w:rPr>
          <w:rFonts w:asciiTheme="majorHAnsi" w:hAnsiTheme="majorHAnsi" w:cstheme="majorHAnsi"/>
          <w:sz w:val="24"/>
          <w:szCs w:val="24"/>
          <w:lang w:val="ro-RO"/>
        </w:rPr>
        <w:t xml:space="preserve">a </w:t>
      </w:r>
      <w:r w:rsidRPr="00341E6C">
        <w:rPr>
          <w:rFonts w:asciiTheme="majorHAnsi" w:hAnsiTheme="majorHAnsi" w:cstheme="majorHAnsi"/>
          <w:sz w:val="24"/>
          <w:szCs w:val="24"/>
          <w:lang w:val="ro-RO"/>
        </w:rPr>
        <w:t>înregistrării/raportării cheltuielilor aferente nu s-au stabilit e</w:t>
      </w:r>
      <w:r w:rsidRPr="00341E6C">
        <w:rPr>
          <w:rFonts w:asciiTheme="majorHAnsi" w:eastAsia="Calibri" w:hAnsiTheme="majorHAnsi" w:cstheme="majorHAnsi"/>
          <w:sz w:val="24"/>
          <w:szCs w:val="24"/>
          <w:lang w:val="ro-RO"/>
        </w:rPr>
        <w:t>rori. C</w:t>
      </w:r>
      <w:r w:rsidRPr="00341E6C">
        <w:rPr>
          <w:rFonts w:asciiTheme="majorHAnsi" w:hAnsiTheme="majorHAnsi" w:cstheme="majorHAnsi"/>
          <w:sz w:val="24"/>
          <w:szCs w:val="24"/>
          <w:lang w:val="ro-RO"/>
        </w:rPr>
        <w:t>u privire la corectitudinea și plenitudinea datelor înregistrate în evidența contabilă, auditul nu a const</w:t>
      </w:r>
      <w:r w:rsidR="00F227E6">
        <w:rPr>
          <w:rFonts w:asciiTheme="majorHAnsi" w:hAnsiTheme="majorHAnsi" w:cstheme="majorHAnsi"/>
          <w:sz w:val="24"/>
          <w:szCs w:val="24"/>
          <w:lang w:val="ro-RO"/>
        </w:rPr>
        <w:t>at</w:t>
      </w:r>
      <w:r w:rsidRPr="00341E6C">
        <w:rPr>
          <w:rFonts w:asciiTheme="majorHAnsi" w:hAnsiTheme="majorHAnsi" w:cstheme="majorHAnsi"/>
          <w:sz w:val="24"/>
          <w:szCs w:val="24"/>
          <w:lang w:val="ro-RO"/>
        </w:rPr>
        <w:t xml:space="preserve">at divergențe, sumele fiind reflectate în perioada corespunzătoare </w:t>
      </w:r>
      <w:r w:rsidRPr="00341E6C">
        <w:rPr>
          <w:rFonts w:asciiTheme="majorHAnsi" w:eastAsia="Calibri" w:hAnsiTheme="majorHAnsi" w:cstheme="majorHAnsi"/>
          <w:sz w:val="24"/>
          <w:szCs w:val="24"/>
          <w:lang w:val="ro-RO"/>
        </w:rPr>
        <w:t>pe elementele componente</w:t>
      </w:r>
      <w:r w:rsidRPr="00341E6C">
        <w:rPr>
          <w:rFonts w:asciiTheme="majorHAnsi" w:eastAsia="Calibri" w:hAnsiTheme="majorHAnsi" w:cstheme="majorHAnsi"/>
          <w:sz w:val="24"/>
          <w:szCs w:val="24"/>
          <w:lang w:val="ro-RO" w:eastAsia="ro-RO"/>
        </w:rPr>
        <w:t xml:space="preserve"> (</w:t>
      </w:r>
      <w:r w:rsidRPr="00341E6C">
        <w:rPr>
          <w:rFonts w:asciiTheme="majorHAnsi" w:eastAsia="Times New Roman" w:hAnsiTheme="majorHAnsi" w:cstheme="majorHAnsi"/>
          <w:sz w:val="24"/>
          <w:szCs w:val="24"/>
          <w:lang w:val="ro-RO"/>
        </w:rPr>
        <w:t xml:space="preserve">pentru acoperirea diferenței până la pensia minimă, aferente perioadelor necontributive incluse în stagiul de </w:t>
      </w:r>
      <w:r w:rsidRPr="00341E6C">
        <w:rPr>
          <w:rFonts w:asciiTheme="majorHAnsi" w:eastAsia="Times New Roman" w:hAnsiTheme="majorHAnsi" w:cstheme="majorHAnsi"/>
          <w:sz w:val="24"/>
          <w:szCs w:val="24"/>
          <w:lang w:val="ro-RO"/>
        </w:rPr>
        <w:lastRenderedPageBreak/>
        <w:t>cotizare),</w:t>
      </w:r>
      <w:r w:rsidRPr="00341E6C">
        <w:rPr>
          <w:rFonts w:asciiTheme="majorHAnsi" w:eastAsia="Calibri" w:hAnsiTheme="majorHAnsi" w:cstheme="majorHAnsi"/>
          <w:sz w:val="24"/>
          <w:szCs w:val="24"/>
          <w:lang w:val="ro-RO" w:eastAsia="ro-RO"/>
        </w:rPr>
        <w:t xml:space="preserve"> înregistrate separat în conturile prevăzute în acest sens</w:t>
      </w:r>
      <w:r w:rsidRPr="00341E6C">
        <w:rPr>
          <w:rFonts w:asciiTheme="majorHAnsi" w:hAnsiTheme="majorHAnsi" w:cstheme="majorHAnsi"/>
          <w:sz w:val="24"/>
          <w:szCs w:val="24"/>
          <w:lang w:val="ro-RO"/>
        </w:rPr>
        <w:t xml:space="preserve"> și în </w:t>
      </w:r>
      <w:r w:rsidR="00264C76">
        <w:rPr>
          <w:rFonts w:asciiTheme="majorHAnsi" w:hAnsiTheme="majorHAnsi" w:cstheme="majorHAnsi"/>
          <w:sz w:val="24"/>
          <w:szCs w:val="24"/>
          <w:lang w:val="ro-RO"/>
        </w:rPr>
        <w:t>funcție</w:t>
      </w:r>
      <w:r w:rsidR="00264C76" w:rsidRPr="00341E6C">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de sursa de finanțare (BASS/BS).</w:t>
      </w:r>
    </w:p>
    <w:p w14:paraId="0CC9CCF5" w14:textId="3D4BA564" w:rsidR="004049E8" w:rsidRDefault="00767C7A" w:rsidP="001E646D">
      <w:pPr>
        <w:pStyle w:val="NormalWeb"/>
        <w:shd w:val="clear" w:color="auto" w:fill="FFFFFF"/>
        <w:spacing w:after="240" w:line="276" w:lineRule="auto"/>
        <w:ind w:firstLine="0"/>
        <w:rPr>
          <w:rFonts w:asciiTheme="majorHAnsi" w:hAnsiTheme="majorHAnsi" w:cstheme="majorHAnsi"/>
          <w:lang w:val="ro-RO"/>
        </w:rPr>
      </w:pPr>
      <w:r w:rsidRPr="00341E6C">
        <w:rPr>
          <w:rFonts w:asciiTheme="majorHAnsi" w:hAnsiTheme="majorHAnsi" w:cstheme="majorHAnsi"/>
          <w:lang w:val="ro-RO"/>
        </w:rPr>
        <w:t>Atenția auditului a fost atrasă de sistarea plății în cazul decesului beneficiarilor acestor tipuri de prestații. Astfel, deși cadrul legal prevede că pensia se plătește inclusiv pentru luna în care a avut loc decesul beneficiarului</w:t>
      </w:r>
      <w:r w:rsidRPr="00341E6C">
        <w:rPr>
          <w:rStyle w:val="FootnoteReference"/>
          <w:rFonts w:asciiTheme="majorHAnsi" w:eastAsiaTheme="majorEastAsia" w:hAnsiTheme="majorHAnsi" w:cstheme="majorHAnsi"/>
          <w:lang w:val="ro-RO"/>
        </w:rPr>
        <w:footnoteReference w:id="26"/>
      </w:r>
      <w:r w:rsidRPr="00341E6C">
        <w:rPr>
          <w:rFonts w:asciiTheme="majorHAnsi" w:hAnsiTheme="majorHAnsi" w:cstheme="majorHAnsi"/>
          <w:lang w:val="ro-RO"/>
        </w:rPr>
        <w:t>,</w:t>
      </w:r>
      <w:r w:rsidRPr="00341E6C">
        <w:rPr>
          <w:rFonts w:asciiTheme="majorHAnsi" w:hAnsiTheme="majorHAnsi" w:cstheme="majorHAnsi"/>
          <w:sz w:val="22"/>
          <w:szCs w:val="22"/>
          <w:lang w:val="ro-RO"/>
        </w:rPr>
        <w:t xml:space="preserve"> </w:t>
      </w:r>
      <w:r w:rsidRPr="00341E6C">
        <w:rPr>
          <w:rFonts w:asciiTheme="majorHAnsi" w:hAnsiTheme="majorHAnsi" w:cstheme="majorHAnsi"/>
          <w:lang w:val="ro-RO"/>
        </w:rPr>
        <w:t xml:space="preserve">s-a constatat că în cazul a 22 </w:t>
      </w:r>
      <w:r w:rsidR="00264C76">
        <w:rPr>
          <w:rFonts w:asciiTheme="majorHAnsi" w:hAnsiTheme="majorHAnsi" w:cstheme="majorHAnsi"/>
          <w:lang w:val="ro-RO"/>
        </w:rPr>
        <w:t xml:space="preserve">de </w:t>
      </w:r>
      <w:r w:rsidRPr="00341E6C">
        <w:rPr>
          <w:rFonts w:asciiTheme="majorHAnsi" w:hAnsiTheme="majorHAnsi" w:cstheme="majorHAnsi"/>
          <w:lang w:val="ro-RO"/>
        </w:rPr>
        <w:t>beneficiari decedați (6,92 %)</w:t>
      </w:r>
      <w:r w:rsidR="00264C76">
        <w:rPr>
          <w:rFonts w:asciiTheme="majorHAnsi" w:hAnsiTheme="majorHAnsi" w:cstheme="majorHAnsi"/>
          <w:lang w:val="ro-RO"/>
        </w:rPr>
        <w:t>,</w:t>
      </w:r>
      <w:r w:rsidRPr="00341E6C">
        <w:rPr>
          <w:rFonts w:asciiTheme="majorHAnsi" w:hAnsiTheme="majorHAnsi" w:cstheme="majorHAnsi"/>
          <w:lang w:val="ro-RO"/>
        </w:rPr>
        <w:t xml:space="preserve"> din 318 verificați, pensia a fost achitată după data decesului</w:t>
      </w:r>
      <w:r w:rsidR="00264C76">
        <w:rPr>
          <w:rFonts w:asciiTheme="majorHAnsi" w:hAnsiTheme="majorHAnsi" w:cstheme="majorHAnsi"/>
          <w:lang w:val="ro-RO"/>
        </w:rPr>
        <w:t>,</w:t>
      </w:r>
      <w:r w:rsidRPr="00341E6C">
        <w:rPr>
          <w:rFonts w:asciiTheme="majorHAnsi" w:hAnsiTheme="majorHAnsi" w:cstheme="majorHAnsi"/>
          <w:lang w:val="ro-RO"/>
        </w:rPr>
        <w:t xml:space="preserve"> de la o lună până la 5 luni. Din totalul sumelor achitate nejustificat, </w:t>
      </w:r>
      <w:r w:rsidRPr="00326F6C">
        <w:rPr>
          <w:rFonts w:asciiTheme="majorHAnsi" w:hAnsiTheme="majorHAnsi" w:cstheme="majorHAnsi"/>
          <w:lang w:val="ro-RO"/>
        </w:rPr>
        <w:t>45,47% (45,2 mii lei) au fost restituite benevol de către rudele persoanelor decedate, iar 54</w:t>
      </w:r>
      <w:r w:rsidR="00264C76">
        <w:rPr>
          <w:rFonts w:asciiTheme="majorHAnsi" w:hAnsiTheme="majorHAnsi" w:cstheme="majorHAnsi"/>
          <w:lang w:val="ro-RO"/>
        </w:rPr>
        <w:t>,</w:t>
      </w:r>
      <w:r w:rsidRPr="00326F6C">
        <w:rPr>
          <w:rFonts w:asciiTheme="majorHAnsi" w:hAnsiTheme="majorHAnsi" w:cstheme="majorHAnsi"/>
          <w:lang w:val="ro-RO"/>
        </w:rPr>
        <w:t>53% (54</w:t>
      </w:r>
      <w:r w:rsidR="005C0A17">
        <w:rPr>
          <w:rFonts w:asciiTheme="majorHAnsi" w:hAnsiTheme="majorHAnsi" w:cstheme="majorHAnsi"/>
          <w:lang w:val="ro-RO"/>
        </w:rPr>
        <w:t>,</w:t>
      </w:r>
      <w:r w:rsidRPr="00326F6C">
        <w:rPr>
          <w:rFonts w:asciiTheme="majorHAnsi" w:hAnsiTheme="majorHAnsi" w:cstheme="majorHAnsi"/>
          <w:lang w:val="ro-RO"/>
        </w:rPr>
        <w:t xml:space="preserve">22 mii </w:t>
      </w:r>
      <w:r w:rsidRPr="000C7A20">
        <w:rPr>
          <w:rFonts w:asciiTheme="majorHAnsi" w:hAnsiTheme="majorHAnsi" w:cstheme="majorHAnsi"/>
          <w:lang w:val="ro-RO"/>
        </w:rPr>
        <w:t>lei</w:t>
      </w:r>
      <w:r w:rsidRPr="000C7A20">
        <w:rPr>
          <w:rFonts w:asciiTheme="majorHAnsi" w:hAnsiTheme="majorHAnsi" w:cstheme="majorHAnsi"/>
          <w:i/>
          <w:lang w:val="ro-RO"/>
        </w:rPr>
        <w:t>)</w:t>
      </w:r>
      <w:r w:rsidRPr="000C7A20">
        <w:rPr>
          <w:rFonts w:asciiTheme="majorHAnsi" w:hAnsiTheme="majorHAnsi" w:cstheme="majorHAnsi"/>
          <w:lang w:val="ro-RO"/>
        </w:rPr>
        <w:t xml:space="preserve"> nu</w:t>
      </w:r>
      <w:r w:rsidRPr="00341E6C">
        <w:rPr>
          <w:rFonts w:asciiTheme="majorHAnsi" w:hAnsiTheme="majorHAnsi" w:cstheme="majorHAnsi"/>
          <w:lang w:val="ro-RO"/>
        </w:rPr>
        <w:t xml:space="preserve"> au fost restituite, deoarece entitatea nu deține pârghii de recuperare a acestor sume. Achitarea nejustificată a pensiei se constată preponderent în cazul decesului beneficiarului după data de 20, deoarece listele de plată se formează în ultimele zile ale lunii</w:t>
      </w:r>
      <w:r w:rsidR="00BD7682">
        <w:rPr>
          <w:rFonts w:asciiTheme="majorHAnsi" w:hAnsiTheme="majorHAnsi" w:cstheme="majorHAnsi"/>
          <w:lang w:val="ro-RO"/>
        </w:rPr>
        <w:t xml:space="preserve"> pentru următoarea lună</w:t>
      </w:r>
      <w:r w:rsidRPr="00341E6C">
        <w:rPr>
          <w:rFonts w:asciiTheme="majorHAnsi" w:hAnsiTheme="majorHAnsi" w:cstheme="majorHAnsi"/>
          <w:lang w:val="ro-RO"/>
        </w:rPr>
        <w:t xml:space="preserve">. </w:t>
      </w:r>
    </w:p>
    <w:p w14:paraId="78D49315" w14:textId="72E7B26E" w:rsidR="00041281" w:rsidRPr="00670949" w:rsidRDefault="00767C7A" w:rsidP="001E646D">
      <w:pPr>
        <w:pStyle w:val="NormalWeb"/>
        <w:shd w:val="clear" w:color="auto" w:fill="FFFFFF"/>
        <w:spacing w:after="240" w:line="276" w:lineRule="auto"/>
        <w:ind w:firstLine="0"/>
        <w:rPr>
          <w:rFonts w:asciiTheme="majorHAnsi" w:hAnsiTheme="majorHAnsi" w:cstheme="majorHAnsi"/>
          <w:lang w:val="ro-RO"/>
        </w:rPr>
      </w:pPr>
      <w:r w:rsidRPr="00670949">
        <w:rPr>
          <w:rFonts w:asciiTheme="majorHAnsi" w:hAnsiTheme="majorHAnsi" w:cstheme="majorHAnsi"/>
          <w:lang w:val="ro-RO"/>
        </w:rPr>
        <w:t xml:space="preserve">Potrivit Acordului încheiat </w:t>
      </w:r>
      <w:r w:rsidR="00670949" w:rsidRPr="00670949">
        <w:rPr>
          <w:rFonts w:asciiTheme="majorHAnsi" w:hAnsiTheme="majorHAnsi" w:cstheme="majorHAnsi"/>
          <w:lang w:val="ro-RO"/>
        </w:rPr>
        <w:t xml:space="preserve">între CNAS și </w:t>
      </w:r>
      <w:r w:rsidRPr="00670949">
        <w:rPr>
          <w:rFonts w:asciiTheme="majorHAnsi" w:eastAsia="Calibri" w:hAnsiTheme="majorHAnsi" w:cstheme="majorHAnsi"/>
          <w:noProof/>
          <w:lang w:val="ro-RO"/>
        </w:rPr>
        <w:t>AGE</w:t>
      </w:r>
      <w:r w:rsidRPr="00670949">
        <w:rPr>
          <w:rStyle w:val="FootnoteReference"/>
          <w:rFonts w:asciiTheme="majorHAnsi" w:eastAsia="Calibri" w:hAnsiTheme="majorHAnsi" w:cstheme="majorHAnsi"/>
          <w:noProof/>
          <w:lang w:val="ro-RO"/>
        </w:rPr>
        <w:footnoteReference w:id="27"/>
      </w:r>
      <w:r w:rsidRPr="00670949">
        <w:rPr>
          <w:rFonts w:asciiTheme="majorHAnsi" w:eastAsia="Calibri" w:hAnsiTheme="majorHAnsi" w:cstheme="majorHAnsi"/>
          <w:noProof/>
          <w:lang w:val="ro-RO"/>
        </w:rPr>
        <w:t xml:space="preserve">, </w:t>
      </w:r>
      <w:r w:rsidR="00670949" w:rsidRPr="00670949">
        <w:rPr>
          <w:rFonts w:asciiTheme="majorHAnsi" w:eastAsia="Calibri" w:hAnsiTheme="majorHAnsi" w:cstheme="majorHAnsi"/>
          <w:noProof/>
          <w:lang w:val="ro-RO"/>
        </w:rPr>
        <w:t xml:space="preserve">aceasta din urmă </w:t>
      </w:r>
      <w:r w:rsidR="000C7A20">
        <w:rPr>
          <w:rFonts w:asciiTheme="majorHAnsi" w:hAnsiTheme="majorHAnsi" w:cstheme="majorHAnsi"/>
          <w:lang w:val="ro-RO"/>
        </w:rPr>
        <w:t>asigură</w:t>
      </w:r>
      <w:r w:rsidR="007E3518">
        <w:rPr>
          <w:rFonts w:asciiTheme="majorHAnsi" w:hAnsiTheme="majorHAnsi" w:cstheme="majorHAnsi"/>
          <w:lang w:val="ro-RO"/>
        </w:rPr>
        <w:t>,</w:t>
      </w:r>
      <w:r w:rsidR="00670949" w:rsidRPr="00670949">
        <w:rPr>
          <w:rFonts w:asciiTheme="majorHAnsi" w:eastAsia="Calibri" w:hAnsiTheme="majorHAnsi" w:cstheme="majorHAnsi"/>
          <w:noProof/>
        </w:rPr>
        <w:t xml:space="preserve"> prin intermediul platformei M-Conect, </w:t>
      </w:r>
      <w:r w:rsidR="000C7A20">
        <w:rPr>
          <w:rFonts w:asciiTheme="majorHAnsi" w:eastAsia="Calibri" w:hAnsiTheme="majorHAnsi" w:cstheme="majorHAnsi"/>
          <w:noProof/>
        </w:rPr>
        <w:t xml:space="preserve">conexiunea între CNAS și </w:t>
      </w:r>
      <w:r w:rsidR="000C7A20" w:rsidRPr="00670949">
        <w:rPr>
          <w:rFonts w:asciiTheme="majorHAnsi" w:hAnsiTheme="majorHAnsi" w:cstheme="majorHAnsi"/>
          <w:lang w:val="ro-RO"/>
        </w:rPr>
        <w:t>ASP</w:t>
      </w:r>
      <w:r w:rsidR="000C7A20">
        <w:rPr>
          <w:rFonts w:asciiTheme="majorHAnsi" w:hAnsiTheme="majorHAnsi" w:cstheme="majorHAnsi"/>
          <w:lang w:val="ro-RO"/>
        </w:rPr>
        <w:t>. Astfel,</w:t>
      </w:r>
      <w:r w:rsidR="000C7A20">
        <w:rPr>
          <w:rFonts w:asciiTheme="majorHAnsi" w:eastAsia="Calibri" w:hAnsiTheme="majorHAnsi" w:cstheme="majorHAnsi"/>
          <w:noProof/>
        </w:rPr>
        <w:t xml:space="preserve"> </w:t>
      </w:r>
      <w:r w:rsidR="00670949" w:rsidRPr="00670949">
        <w:rPr>
          <w:rFonts w:asciiTheme="majorHAnsi" w:eastAsia="Calibri" w:hAnsiTheme="majorHAnsi" w:cstheme="majorHAnsi"/>
          <w:noProof/>
        </w:rPr>
        <w:t xml:space="preserve">în regim automatizat </w:t>
      </w:r>
      <w:r w:rsidR="00A77DBC">
        <w:rPr>
          <w:rFonts w:asciiTheme="majorHAnsi" w:eastAsia="Calibri" w:hAnsiTheme="majorHAnsi" w:cstheme="majorHAnsi"/>
          <w:noProof/>
        </w:rPr>
        <w:t>s</w:t>
      </w:r>
      <w:r w:rsidR="00670949" w:rsidRPr="00670949">
        <w:rPr>
          <w:rFonts w:asciiTheme="majorHAnsi" w:hAnsiTheme="majorHAnsi" w:cstheme="majorHAnsi"/>
          <w:color w:val="000000"/>
          <w:lang w:val="ro-RO"/>
        </w:rPr>
        <w:t>unt recepționate toate datele despre persoanele fizice deceda</w:t>
      </w:r>
      <w:r w:rsidR="009B229D">
        <w:rPr>
          <w:rFonts w:asciiTheme="majorHAnsi" w:hAnsiTheme="majorHAnsi" w:cstheme="majorHAnsi"/>
          <w:color w:val="000000"/>
          <w:lang w:val="ro-RO"/>
        </w:rPr>
        <w:t>te, care au parvenit în acea zi</w:t>
      </w:r>
      <w:r w:rsidR="000C7A20">
        <w:rPr>
          <w:rFonts w:asciiTheme="majorHAnsi" w:hAnsiTheme="majorHAnsi" w:cstheme="majorHAnsi"/>
          <w:color w:val="000000"/>
          <w:lang w:val="ro-RO"/>
        </w:rPr>
        <w:t>,</w:t>
      </w:r>
      <w:r w:rsidR="000C7A20" w:rsidRPr="000C7A20">
        <w:rPr>
          <w:rFonts w:asciiTheme="majorHAnsi" w:hAnsiTheme="majorHAnsi" w:cstheme="majorHAnsi"/>
          <w:lang w:val="ro-RO"/>
        </w:rPr>
        <w:t xml:space="preserve"> </w:t>
      </w:r>
      <w:r w:rsidR="000C7A20" w:rsidRPr="00670949">
        <w:rPr>
          <w:rFonts w:asciiTheme="majorHAnsi" w:hAnsiTheme="majorHAnsi" w:cstheme="majorHAnsi"/>
          <w:lang w:val="ro-RO"/>
        </w:rPr>
        <w:t xml:space="preserve">preluate din Registrul de Stat al Populației </w:t>
      </w:r>
      <w:r w:rsidR="000C7A20">
        <w:rPr>
          <w:rFonts w:asciiTheme="majorHAnsi" w:hAnsiTheme="majorHAnsi" w:cstheme="majorHAnsi"/>
          <w:lang w:val="ro-RO"/>
        </w:rPr>
        <w:t>(</w:t>
      </w:r>
      <w:r w:rsidR="000C7A20" w:rsidRPr="00670949">
        <w:rPr>
          <w:rFonts w:asciiTheme="majorHAnsi" w:hAnsiTheme="majorHAnsi" w:cstheme="majorHAnsi"/>
          <w:lang w:val="ro-RO"/>
        </w:rPr>
        <w:t>deți</w:t>
      </w:r>
      <w:r w:rsidR="000C7A20">
        <w:rPr>
          <w:rFonts w:asciiTheme="majorHAnsi" w:hAnsiTheme="majorHAnsi" w:cstheme="majorHAnsi"/>
          <w:lang w:val="ro-RO"/>
        </w:rPr>
        <w:t>nut de Agenția Servicii Publice)</w:t>
      </w:r>
      <w:r w:rsidR="009B229D">
        <w:rPr>
          <w:rFonts w:asciiTheme="majorHAnsi" w:hAnsiTheme="majorHAnsi" w:cstheme="majorHAnsi"/>
          <w:color w:val="000000"/>
          <w:lang w:val="ro-RO"/>
        </w:rPr>
        <w:t xml:space="preserve">. </w:t>
      </w:r>
      <w:r w:rsidR="00670949" w:rsidRPr="00670949">
        <w:rPr>
          <w:rFonts w:asciiTheme="majorHAnsi" w:hAnsiTheme="majorHAnsi" w:cstheme="majorHAnsi"/>
          <w:color w:val="000000"/>
          <w:lang w:val="ro-RO"/>
        </w:rPr>
        <w:t xml:space="preserve">Datele se încarcă în SI </w:t>
      </w:r>
      <w:r w:rsidR="007E3518">
        <w:rPr>
          <w:rFonts w:asciiTheme="majorHAnsi" w:hAnsiTheme="majorHAnsi" w:cstheme="majorHAnsi"/>
          <w:color w:val="000000"/>
          <w:lang w:val="ro-RO"/>
        </w:rPr>
        <w:t>„</w:t>
      </w:r>
      <w:r w:rsidR="00670949" w:rsidRPr="00670949">
        <w:rPr>
          <w:rFonts w:asciiTheme="majorHAnsi" w:hAnsiTheme="majorHAnsi" w:cstheme="majorHAnsi"/>
          <w:color w:val="000000"/>
          <w:lang w:val="ro-RO"/>
        </w:rPr>
        <w:t>Protecția Socială”, după care</w:t>
      </w:r>
      <w:r w:rsidR="007E3518">
        <w:rPr>
          <w:rFonts w:asciiTheme="majorHAnsi" w:hAnsiTheme="majorHAnsi" w:cstheme="majorHAnsi"/>
          <w:color w:val="000000"/>
          <w:lang w:val="ro-RO"/>
        </w:rPr>
        <w:t>,</w:t>
      </w:r>
      <w:r w:rsidR="00670949" w:rsidRPr="00670949">
        <w:rPr>
          <w:rFonts w:asciiTheme="majorHAnsi" w:hAnsiTheme="majorHAnsi" w:cstheme="majorHAnsi"/>
          <w:color w:val="000000"/>
          <w:lang w:val="ro-RO"/>
        </w:rPr>
        <w:t xml:space="preserve"> în regim automatizat</w:t>
      </w:r>
      <w:r w:rsidR="007E3518">
        <w:rPr>
          <w:rFonts w:asciiTheme="majorHAnsi" w:hAnsiTheme="majorHAnsi" w:cstheme="majorHAnsi"/>
          <w:color w:val="000000"/>
          <w:lang w:val="ro-RO"/>
        </w:rPr>
        <w:t>,</w:t>
      </w:r>
      <w:r w:rsidR="00670949" w:rsidRPr="00670949">
        <w:rPr>
          <w:rFonts w:asciiTheme="majorHAnsi" w:hAnsiTheme="majorHAnsi" w:cstheme="majorHAnsi"/>
          <w:color w:val="000000"/>
          <w:lang w:val="ro-RO"/>
        </w:rPr>
        <w:t xml:space="preserve"> programul analizează toate tipurile de prestații sociale și</w:t>
      </w:r>
      <w:r w:rsidR="007E3518">
        <w:rPr>
          <w:rFonts w:asciiTheme="majorHAnsi" w:hAnsiTheme="majorHAnsi" w:cstheme="majorHAnsi"/>
          <w:color w:val="000000"/>
          <w:lang w:val="ro-RO"/>
        </w:rPr>
        <w:t>,</w:t>
      </w:r>
      <w:r w:rsidR="00670949" w:rsidRPr="00670949">
        <w:rPr>
          <w:rFonts w:asciiTheme="majorHAnsi" w:hAnsiTheme="majorHAnsi" w:cstheme="majorHAnsi"/>
          <w:color w:val="000000"/>
          <w:lang w:val="ro-RO"/>
        </w:rPr>
        <w:t xml:space="preserve"> în cazul în care depistează decizii de plată active, inițiază blocarea plății.</w:t>
      </w:r>
      <w:r w:rsidR="00670949" w:rsidRPr="00670949">
        <w:rPr>
          <w:rFonts w:asciiTheme="majorHAnsi" w:hAnsiTheme="majorHAnsi" w:cstheme="majorHAnsi"/>
          <w:lang w:val="ro-RO"/>
        </w:rPr>
        <w:t xml:space="preserve"> S</w:t>
      </w:r>
      <w:r w:rsidRPr="00670949">
        <w:rPr>
          <w:rFonts w:asciiTheme="majorHAnsi" w:eastAsia="Calibri" w:hAnsiTheme="majorHAnsi" w:cstheme="majorHAnsi"/>
          <w:noProof/>
          <w:lang w:val="ro-RO"/>
        </w:rPr>
        <w:t>chimbul de date urmează a avea loc zilnic (24 ore din 24 ore, 7 zile în săptăm</w:t>
      </w:r>
      <w:r w:rsidR="007E3518">
        <w:rPr>
          <w:rFonts w:asciiTheme="majorHAnsi" w:eastAsia="Calibri" w:hAnsiTheme="majorHAnsi" w:cstheme="majorHAnsi"/>
          <w:noProof/>
          <w:lang w:val="ro-RO"/>
        </w:rPr>
        <w:t>â</w:t>
      </w:r>
      <w:r w:rsidRPr="00670949">
        <w:rPr>
          <w:rFonts w:asciiTheme="majorHAnsi" w:eastAsia="Calibri" w:hAnsiTheme="majorHAnsi" w:cstheme="majorHAnsi"/>
          <w:noProof/>
          <w:lang w:val="ro-RO"/>
        </w:rPr>
        <w:t>nă) pentru a se evita achitări</w:t>
      </w:r>
      <w:r w:rsidR="00B9047C">
        <w:rPr>
          <w:rFonts w:asciiTheme="majorHAnsi" w:eastAsia="Calibri" w:hAnsiTheme="majorHAnsi" w:cstheme="majorHAnsi"/>
          <w:noProof/>
          <w:lang w:val="ro-RO"/>
        </w:rPr>
        <w:t>le</w:t>
      </w:r>
      <w:r w:rsidRPr="00670949">
        <w:rPr>
          <w:rFonts w:asciiTheme="majorHAnsi" w:eastAsia="Calibri" w:hAnsiTheme="majorHAnsi" w:cstheme="majorHAnsi"/>
          <w:noProof/>
          <w:lang w:val="ro-RO"/>
        </w:rPr>
        <w:t xml:space="preserve"> în plus a prestațiilor sociale.</w:t>
      </w:r>
      <w:r w:rsidRPr="00341E6C">
        <w:rPr>
          <w:rFonts w:asciiTheme="majorHAnsi" w:eastAsia="Calibri" w:hAnsiTheme="majorHAnsi" w:cstheme="majorHAnsi"/>
          <w:noProof/>
          <w:lang w:val="ro-RO"/>
        </w:rPr>
        <w:t xml:space="preserve"> </w:t>
      </w:r>
    </w:p>
    <w:p w14:paraId="6B73F396" w14:textId="0550B2C9" w:rsidR="00BE3AB7" w:rsidRDefault="00BE3AB7" w:rsidP="00670949">
      <w:r>
        <w:rPr>
          <w:noProof/>
        </w:rPr>
        <w:drawing>
          <wp:inline distT="0" distB="0" distL="0" distR="0" wp14:anchorId="0B21D875" wp14:editId="38CB63B2">
            <wp:extent cx="5935980" cy="1341120"/>
            <wp:effectExtent l="57150" t="0" r="266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E77DB3" w14:textId="659DA5BD" w:rsidR="00E7792D" w:rsidRPr="00B10243" w:rsidRDefault="00E7792D" w:rsidP="001E646D">
      <w:pPr>
        <w:jc w:val="center"/>
        <w:rPr>
          <w:rFonts w:asciiTheme="majorHAnsi" w:hAnsiTheme="majorHAnsi"/>
          <w:i/>
          <w:sz w:val="20"/>
          <w:szCs w:val="20"/>
          <w:lang w:val="ro-MD"/>
        </w:rPr>
      </w:pPr>
      <w:r w:rsidRPr="00B10243">
        <w:rPr>
          <w:rFonts w:asciiTheme="majorHAnsi" w:hAnsiTheme="majorHAnsi"/>
          <w:i/>
          <w:sz w:val="20"/>
          <w:szCs w:val="20"/>
          <w:lang w:val="ro-MD"/>
        </w:rPr>
        <w:t>Figura nr.1</w:t>
      </w:r>
      <w:r w:rsidR="00B9047C">
        <w:rPr>
          <w:rFonts w:asciiTheme="majorHAnsi" w:hAnsiTheme="majorHAnsi"/>
          <w:i/>
          <w:sz w:val="20"/>
          <w:szCs w:val="20"/>
          <w:lang w:val="ro-MD"/>
        </w:rPr>
        <w:t>.</w:t>
      </w:r>
      <w:r w:rsidRPr="00B10243">
        <w:rPr>
          <w:rFonts w:asciiTheme="majorHAnsi" w:hAnsiTheme="majorHAnsi"/>
          <w:i/>
          <w:sz w:val="20"/>
          <w:szCs w:val="20"/>
          <w:lang w:val="ro-MD"/>
        </w:rPr>
        <w:t xml:space="preserve"> </w:t>
      </w:r>
      <w:r w:rsidR="001E646D" w:rsidRPr="00B10243">
        <w:rPr>
          <w:rFonts w:asciiTheme="majorHAnsi" w:hAnsiTheme="majorHAnsi"/>
          <w:i/>
          <w:sz w:val="20"/>
          <w:szCs w:val="20"/>
          <w:lang w:val="ro-MD"/>
        </w:rPr>
        <w:t>Procesul de recepționare a informației privind datele despre decesul beneficiarilor</w:t>
      </w:r>
    </w:p>
    <w:p w14:paraId="74F2B9BC" w14:textId="6416F220" w:rsidR="00767C7A" w:rsidRPr="00341E6C" w:rsidRDefault="001E646D" w:rsidP="00E7122D">
      <w:pPr>
        <w:pStyle w:val="NormalWeb"/>
        <w:shd w:val="clear" w:color="auto" w:fill="FFFFFF"/>
        <w:spacing w:after="240" w:line="276" w:lineRule="auto"/>
        <w:ind w:firstLine="0"/>
        <w:rPr>
          <w:rFonts w:asciiTheme="majorHAnsi" w:hAnsiTheme="majorHAnsi" w:cstheme="majorHAnsi"/>
          <w:lang w:val="ro-RO"/>
        </w:rPr>
      </w:pPr>
      <w:r>
        <w:rPr>
          <w:rFonts w:asciiTheme="majorHAnsi" w:eastAsia="Calibri" w:hAnsiTheme="majorHAnsi" w:cstheme="majorHAnsi"/>
          <w:noProof/>
          <w:lang w:val="ro-RO"/>
        </w:rPr>
        <w:t>Cu referire la acest aspect</w:t>
      </w:r>
      <w:r w:rsidR="00767C7A" w:rsidRPr="00341E6C">
        <w:rPr>
          <w:rFonts w:asciiTheme="majorHAnsi" w:eastAsia="Calibri" w:hAnsiTheme="majorHAnsi" w:cstheme="majorHAnsi"/>
          <w:noProof/>
          <w:lang w:val="ro-RO"/>
        </w:rPr>
        <w:t>, CNAS a informat că schimbul de date are loc zilnic, pentru 10 zile anterioare, iar în cele mai dese cazuri sistarea plății prestației are loc atunci c</w:t>
      </w:r>
      <w:r w:rsidR="00B9047C">
        <w:rPr>
          <w:rFonts w:asciiTheme="majorHAnsi" w:eastAsia="Calibri" w:hAnsiTheme="majorHAnsi" w:cstheme="majorHAnsi"/>
          <w:noProof/>
          <w:lang w:val="ro-RO"/>
        </w:rPr>
        <w:t>â</w:t>
      </w:r>
      <w:r w:rsidR="00767C7A" w:rsidRPr="00341E6C">
        <w:rPr>
          <w:rFonts w:asciiTheme="majorHAnsi" w:eastAsia="Calibri" w:hAnsiTheme="majorHAnsi" w:cstheme="majorHAnsi"/>
          <w:noProof/>
          <w:lang w:val="ro-RO"/>
        </w:rPr>
        <w:t>nd rudele se adresează d</w:t>
      </w:r>
      <w:r w:rsidR="00B9047C">
        <w:rPr>
          <w:rFonts w:asciiTheme="majorHAnsi" w:eastAsia="Calibri" w:hAnsiTheme="majorHAnsi" w:cstheme="majorHAnsi"/>
          <w:noProof/>
          <w:lang w:val="ro-RO"/>
        </w:rPr>
        <w:t>u</w:t>
      </w:r>
      <w:r w:rsidR="00767C7A" w:rsidRPr="00341E6C">
        <w:rPr>
          <w:rFonts w:asciiTheme="majorHAnsi" w:eastAsia="Calibri" w:hAnsiTheme="majorHAnsi" w:cstheme="majorHAnsi"/>
          <w:noProof/>
          <w:lang w:val="ro-RO"/>
        </w:rPr>
        <w:t>pă ajutorul de deces.</w:t>
      </w:r>
    </w:p>
    <w:p w14:paraId="1ECC4ACC" w14:textId="4D93EB1C" w:rsidR="00767C7A" w:rsidRPr="00341E6C" w:rsidRDefault="00767C7A" w:rsidP="00E7122D">
      <w:pPr>
        <w:pStyle w:val="NormalWeb"/>
        <w:shd w:val="clear" w:color="auto" w:fill="FFFFFF"/>
        <w:spacing w:after="240" w:line="276" w:lineRule="auto"/>
        <w:ind w:firstLine="0"/>
        <w:rPr>
          <w:rFonts w:asciiTheme="majorHAnsi" w:hAnsiTheme="majorHAnsi" w:cstheme="majorHAnsi"/>
          <w:sz w:val="22"/>
          <w:szCs w:val="22"/>
          <w:lang w:val="ro-RO"/>
        </w:rPr>
      </w:pPr>
      <w:r w:rsidRPr="00341E6C">
        <w:rPr>
          <w:rFonts w:asciiTheme="majorHAnsi" w:hAnsiTheme="majorHAnsi" w:cstheme="majorHAnsi"/>
          <w:lang w:val="ro-RO"/>
        </w:rPr>
        <w:t>Reieșind din deficiențele constatate asupra recepționării informației în cazul decesului</w:t>
      </w:r>
      <w:r w:rsidR="00D975A8" w:rsidRPr="00341E6C">
        <w:rPr>
          <w:rFonts w:asciiTheme="majorHAnsi" w:hAnsiTheme="majorHAnsi" w:cstheme="majorHAnsi"/>
          <w:lang w:val="ro-RO"/>
        </w:rPr>
        <w:t xml:space="preserve"> beneficiarului</w:t>
      </w:r>
      <w:r w:rsidRPr="00341E6C">
        <w:rPr>
          <w:rFonts w:asciiTheme="majorHAnsi" w:hAnsiTheme="majorHAnsi" w:cstheme="majorHAnsi"/>
          <w:lang w:val="ro-RO"/>
        </w:rPr>
        <w:t xml:space="preserve">, erorile </w:t>
      </w:r>
      <w:r w:rsidR="006A7A1A">
        <w:rPr>
          <w:rFonts w:asciiTheme="majorHAnsi" w:hAnsiTheme="majorHAnsi" w:cstheme="majorHAnsi"/>
          <w:lang w:val="ro-RO"/>
        </w:rPr>
        <w:t xml:space="preserve">potențiale </w:t>
      </w:r>
      <w:r w:rsidRPr="00341E6C">
        <w:rPr>
          <w:rFonts w:asciiTheme="majorHAnsi" w:hAnsiTheme="majorHAnsi" w:cstheme="majorHAnsi"/>
          <w:lang w:val="ro-RO"/>
        </w:rPr>
        <w:t>e</w:t>
      </w:r>
      <w:r w:rsidR="00326F6C">
        <w:rPr>
          <w:rFonts w:asciiTheme="majorHAnsi" w:hAnsiTheme="majorHAnsi" w:cstheme="majorHAnsi"/>
          <w:lang w:val="ro-RO"/>
        </w:rPr>
        <w:t>stimate</w:t>
      </w:r>
      <w:r w:rsidRPr="00341E6C">
        <w:rPr>
          <w:rFonts w:asciiTheme="majorHAnsi" w:hAnsiTheme="majorHAnsi" w:cstheme="majorHAnsi"/>
          <w:lang w:val="ro-RO"/>
        </w:rPr>
        <w:t xml:space="preserve"> de audit sub formă de prejudiciu asupra BASS/BS aferente cheltuielilor pentru pensiile de limit</w:t>
      </w:r>
      <w:r w:rsidR="00B9047C">
        <w:rPr>
          <w:rFonts w:asciiTheme="majorHAnsi" w:hAnsiTheme="majorHAnsi" w:cstheme="majorHAnsi"/>
          <w:lang w:val="ro-RO"/>
        </w:rPr>
        <w:t>ă</w:t>
      </w:r>
      <w:r w:rsidRPr="00341E6C">
        <w:rPr>
          <w:rFonts w:asciiTheme="majorHAnsi" w:hAnsiTheme="majorHAnsi" w:cstheme="majorHAnsi"/>
          <w:lang w:val="ro-RO"/>
        </w:rPr>
        <w:t xml:space="preserve"> de vârstă și pensiile de dizabilitate constituie 1 754,7 mii lei. La acestea se mai adaugă și prejudiciu</w:t>
      </w:r>
      <w:r w:rsidR="00B9047C">
        <w:rPr>
          <w:rFonts w:asciiTheme="majorHAnsi" w:hAnsiTheme="majorHAnsi" w:cstheme="majorHAnsi"/>
          <w:lang w:val="ro-RO"/>
        </w:rPr>
        <w:t>l</w:t>
      </w:r>
      <w:r w:rsidRPr="00341E6C">
        <w:rPr>
          <w:rFonts w:asciiTheme="majorHAnsi" w:hAnsiTheme="majorHAnsi" w:cstheme="majorHAnsi"/>
          <w:lang w:val="ro-RO"/>
        </w:rPr>
        <w:t xml:space="preserve"> aferent comisionului de distribuire conform tarifului minim</w:t>
      </w:r>
      <w:r w:rsidRPr="00341E6C">
        <w:rPr>
          <w:rStyle w:val="FootnoteReference"/>
          <w:rFonts w:asciiTheme="majorHAnsi" w:eastAsiaTheme="majorEastAsia" w:hAnsiTheme="majorHAnsi" w:cstheme="majorHAnsi"/>
          <w:lang w:val="ro-RO"/>
        </w:rPr>
        <w:footnoteReference w:id="28"/>
      </w:r>
      <w:r w:rsidRPr="00341E6C">
        <w:rPr>
          <w:rFonts w:asciiTheme="majorHAnsi" w:hAnsiTheme="majorHAnsi" w:cstheme="majorHAnsi"/>
          <w:lang w:val="ro-RO"/>
        </w:rPr>
        <w:t xml:space="preserve">, ce se estimează la 12,3 mii lei. </w:t>
      </w:r>
    </w:p>
    <w:p w14:paraId="3B8B1D28" w14:textId="04801CE2" w:rsidR="00A67FAE" w:rsidRDefault="00A67FAE" w:rsidP="00E7122D">
      <w:pPr>
        <w:spacing w:line="276" w:lineRule="auto"/>
        <w:jc w:val="both"/>
        <w:rPr>
          <w:rFonts w:asciiTheme="majorHAnsi" w:hAnsiTheme="majorHAnsi" w:cstheme="majorHAnsi"/>
          <w:color w:val="000000"/>
          <w:sz w:val="24"/>
          <w:szCs w:val="24"/>
          <w:shd w:val="clear" w:color="auto" w:fill="FFFFFF"/>
          <w:lang w:val="ro-RO"/>
        </w:rPr>
      </w:pPr>
      <w:r w:rsidRPr="00341E6C">
        <w:rPr>
          <w:rFonts w:asciiTheme="majorHAnsi" w:hAnsiTheme="majorHAnsi" w:cstheme="majorHAnsi"/>
          <w:sz w:val="24"/>
          <w:szCs w:val="24"/>
          <w:lang w:val="ro-RO"/>
        </w:rPr>
        <w:lastRenderedPageBreak/>
        <w:t xml:space="preserve">În cadrul </w:t>
      </w:r>
      <w:r w:rsidR="00BD7682">
        <w:rPr>
          <w:rFonts w:asciiTheme="majorHAnsi" w:hAnsiTheme="majorHAnsi" w:cstheme="majorHAnsi"/>
          <w:sz w:val="24"/>
          <w:szCs w:val="24"/>
          <w:lang w:val="ro-RO"/>
        </w:rPr>
        <w:t>prezentei misiun</w:t>
      </w:r>
      <w:r w:rsidRPr="00341E6C">
        <w:rPr>
          <w:rFonts w:asciiTheme="majorHAnsi" w:hAnsiTheme="majorHAnsi" w:cstheme="majorHAnsi"/>
          <w:sz w:val="24"/>
          <w:szCs w:val="24"/>
          <w:lang w:val="ro-RO"/>
        </w:rPr>
        <w:t>i de audit</w:t>
      </w:r>
      <w:r w:rsidR="005E4CEA"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au fost examinate trei petiții privind corectitudinea stabilirii mărimii pensiei pentru limită de vârstă, r</w:t>
      </w:r>
      <w:r w:rsidRPr="00341E6C">
        <w:rPr>
          <w:rFonts w:asciiTheme="majorHAnsi" w:hAnsiTheme="majorHAnsi" w:cstheme="majorHAnsi"/>
          <w:color w:val="000000"/>
          <w:sz w:val="24"/>
          <w:szCs w:val="24"/>
          <w:lang w:val="ro-RO" w:eastAsia="ru-RU"/>
        </w:rPr>
        <w:t>eieșind din documentele anexate la dosarele de pensionare ale petiționarilor</w:t>
      </w:r>
      <w:r w:rsidRPr="00341E6C">
        <w:rPr>
          <w:rFonts w:asciiTheme="majorHAnsi" w:hAnsiTheme="majorHAnsi" w:cstheme="majorHAnsi"/>
          <w:sz w:val="24"/>
          <w:szCs w:val="24"/>
          <w:lang w:val="ro-RO"/>
        </w:rPr>
        <w:t xml:space="preserve">. </w:t>
      </w:r>
      <w:r w:rsidRPr="00341E6C">
        <w:rPr>
          <w:rFonts w:asciiTheme="majorHAnsi" w:hAnsiTheme="majorHAnsi" w:cstheme="majorHAnsi"/>
          <w:color w:val="000000"/>
          <w:sz w:val="24"/>
          <w:szCs w:val="24"/>
          <w:shd w:val="clear" w:color="auto" w:fill="FFFFFF"/>
          <w:lang w:val="ro-RO"/>
        </w:rPr>
        <w:t>S-a const</w:t>
      </w:r>
      <w:r w:rsidR="00BD7682">
        <w:rPr>
          <w:rFonts w:asciiTheme="majorHAnsi" w:hAnsiTheme="majorHAnsi" w:cstheme="majorHAnsi"/>
          <w:color w:val="000000"/>
          <w:sz w:val="24"/>
          <w:szCs w:val="24"/>
          <w:shd w:val="clear" w:color="auto" w:fill="FFFFFF"/>
          <w:lang w:val="ro-RO"/>
        </w:rPr>
        <w:t>atat că mărimile prestațiilor ac</w:t>
      </w:r>
      <w:r w:rsidRPr="00341E6C">
        <w:rPr>
          <w:rFonts w:asciiTheme="majorHAnsi" w:hAnsiTheme="majorHAnsi" w:cstheme="majorHAnsi"/>
          <w:color w:val="000000"/>
          <w:sz w:val="24"/>
          <w:szCs w:val="24"/>
          <w:shd w:val="clear" w:color="auto" w:fill="FFFFFF"/>
          <w:lang w:val="ro-RO"/>
        </w:rPr>
        <w:t>ordate au fost calculat</w:t>
      </w:r>
      <w:r w:rsidR="00BD7682">
        <w:rPr>
          <w:rFonts w:asciiTheme="majorHAnsi" w:hAnsiTheme="majorHAnsi" w:cstheme="majorHAnsi"/>
          <w:color w:val="000000"/>
          <w:sz w:val="24"/>
          <w:szCs w:val="24"/>
          <w:shd w:val="clear" w:color="auto" w:fill="FFFFFF"/>
          <w:lang w:val="ro-RO"/>
        </w:rPr>
        <w:t>e</w:t>
      </w:r>
      <w:r w:rsidRPr="00341E6C">
        <w:rPr>
          <w:rFonts w:asciiTheme="majorHAnsi" w:hAnsiTheme="majorHAnsi" w:cstheme="majorHAnsi"/>
          <w:color w:val="000000"/>
          <w:sz w:val="24"/>
          <w:szCs w:val="24"/>
          <w:shd w:val="clear" w:color="auto" w:fill="FFFFFF"/>
          <w:lang w:val="ro-RO"/>
        </w:rPr>
        <w:t xml:space="preserve"> de Casa Națională conform cadrului legislativ în vigoare la perioada respectivă, apoi majorate reieșind din coeficientul indexărilor anuale și valorizărilor prevăzute. Rezultatele determinării și evaluării tuturor circumstanțelor care au stat la baza stabilirii pensiei, și anume: stagiul de cotizare realizat și venitul asigurat confirmate corespunzător, nu </w:t>
      </w:r>
      <w:r w:rsidR="00B9047C">
        <w:rPr>
          <w:rFonts w:asciiTheme="majorHAnsi" w:hAnsiTheme="majorHAnsi" w:cstheme="majorHAnsi"/>
          <w:color w:val="000000"/>
          <w:sz w:val="24"/>
          <w:szCs w:val="24"/>
          <w:shd w:val="clear" w:color="auto" w:fill="FFFFFF"/>
          <w:lang w:val="ro-RO"/>
        </w:rPr>
        <w:t>relevă</w:t>
      </w:r>
      <w:r w:rsidRPr="00341E6C">
        <w:rPr>
          <w:rFonts w:asciiTheme="majorHAnsi" w:hAnsiTheme="majorHAnsi" w:cstheme="majorHAnsi"/>
          <w:color w:val="000000"/>
          <w:sz w:val="24"/>
          <w:szCs w:val="24"/>
          <w:shd w:val="clear" w:color="auto" w:fill="FFFFFF"/>
          <w:lang w:val="ro-RO"/>
        </w:rPr>
        <w:t xml:space="preserve"> erori.</w:t>
      </w:r>
    </w:p>
    <w:p w14:paraId="55C1152C" w14:textId="6588699F" w:rsidR="00434262" w:rsidRPr="00FC2AF7" w:rsidRDefault="00434262" w:rsidP="00FC2AF7">
      <w:pPr>
        <w:pStyle w:val="ListParagraph"/>
        <w:numPr>
          <w:ilvl w:val="1"/>
          <w:numId w:val="20"/>
        </w:numPr>
        <w:spacing w:after="0" w:line="276" w:lineRule="auto"/>
        <w:ind w:left="0" w:firstLine="0"/>
        <w:jc w:val="both"/>
        <w:outlineLvl w:val="1"/>
        <w:rPr>
          <w:rFonts w:asciiTheme="majorHAnsi" w:hAnsiTheme="majorHAnsi" w:cstheme="majorHAnsi"/>
          <w:b/>
          <w:sz w:val="24"/>
          <w:szCs w:val="24"/>
          <w:lang w:val="ro-MD"/>
        </w:rPr>
      </w:pPr>
      <w:r w:rsidRPr="00FC2AF7">
        <w:rPr>
          <w:rFonts w:asciiTheme="majorHAnsi" w:hAnsiTheme="majorHAnsi" w:cstheme="majorHAnsi"/>
          <w:b/>
          <w:sz w:val="24"/>
          <w:szCs w:val="24"/>
          <w:lang w:val="ro-MD"/>
        </w:rPr>
        <w:t xml:space="preserve">Lipsa reglementărilor </w:t>
      </w:r>
      <w:r w:rsidR="00FC2AF7" w:rsidRPr="00FC2AF7">
        <w:rPr>
          <w:rFonts w:asciiTheme="majorHAnsi" w:hAnsiTheme="majorHAnsi" w:cstheme="majorHAnsi"/>
          <w:b/>
          <w:sz w:val="24"/>
          <w:szCs w:val="24"/>
          <w:lang w:val="ro-MD"/>
        </w:rPr>
        <w:t xml:space="preserve">în cadrul </w:t>
      </w:r>
      <w:r w:rsidR="00FC2AF7" w:rsidRPr="00FC2AF7">
        <w:rPr>
          <w:rFonts w:asciiTheme="majorHAnsi" w:hAnsiTheme="majorHAnsi" w:cstheme="majorHAnsi"/>
          <w:b/>
          <w:sz w:val="24"/>
          <w:szCs w:val="24"/>
          <w:lang w:val="ro-RO"/>
        </w:rPr>
        <w:t>Direcțiilor teritoriale de asistență socială și protecția familiei</w:t>
      </w:r>
      <w:r w:rsidR="00FC2AF7" w:rsidRPr="00FC2AF7">
        <w:rPr>
          <w:rFonts w:asciiTheme="majorHAnsi" w:hAnsiTheme="majorHAnsi" w:cstheme="majorHAnsi"/>
          <w:b/>
          <w:sz w:val="24"/>
          <w:szCs w:val="24"/>
          <w:lang w:val="ro-MD"/>
        </w:rPr>
        <w:t xml:space="preserve"> </w:t>
      </w:r>
      <w:r w:rsidRPr="00FC2AF7">
        <w:rPr>
          <w:rFonts w:asciiTheme="majorHAnsi" w:hAnsiTheme="majorHAnsi" w:cstheme="majorHAnsi"/>
          <w:b/>
          <w:sz w:val="24"/>
          <w:szCs w:val="24"/>
          <w:lang w:val="ro-MD"/>
        </w:rPr>
        <w:t>cu privire la modalitatea și periodicitatea de transmitere a informației către CNAS despre supraplățile achitate neîntemeiat beneficiarilor de ajutor social și ajutor pentru perioada rece a anului</w:t>
      </w:r>
      <w:r w:rsidR="00B9047C">
        <w:rPr>
          <w:rFonts w:asciiTheme="majorHAnsi" w:hAnsiTheme="majorHAnsi" w:cstheme="majorHAnsi"/>
          <w:b/>
          <w:sz w:val="24"/>
          <w:szCs w:val="24"/>
          <w:lang w:val="ro-MD"/>
        </w:rPr>
        <w:t>,</w:t>
      </w:r>
      <w:r w:rsidRPr="00FC2AF7">
        <w:rPr>
          <w:rFonts w:asciiTheme="majorHAnsi" w:hAnsiTheme="majorHAnsi" w:cstheme="majorHAnsi"/>
          <w:b/>
          <w:sz w:val="24"/>
          <w:szCs w:val="24"/>
          <w:lang w:val="ro-MD"/>
        </w:rPr>
        <w:t xml:space="preserve"> depistate de către Inspecția Socială, nu asigură evidența și raportarea creanțelor acestor prestații.</w:t>
      </w:r>
      <w:r w:rsidR="00FC2AF7" w:rsidRPr="00FC2AF7">
        <w:rPr>
          <w:rFonts w:asciiTheme="majorHAnsi" w:hAnsiTheme="majorHAnsi" w:cstheme="majorHAnsi"/>
          <w:b/>
          <w:sz w:val="24"/>
          <w:szCs w:val="24"/>
          <w:lang w:val="ro-MD"/>
        </w:rPr>
        <w:t xml:space="preserve"> </w:t>
      </w:r>
    </w:p>
    <w:p w14:paraId="33C7345C" w14:textId="376DAC62" w:rsidR="00434262" w:rsidRPr="00434262" w:rsidRDefault="00434262" w:rsidP="00434262">
      <w:pPr>
        <w:spacing w:line="276" w:lineRule="auto"/>
        <w:jc w:val="both"/>
        <w:rPr>
          <w:rFonts w:ascii="Times New Roman" w:eastAsia="Times New Roman" w:hAnsi="Times New Roman" w:cs="Times New Roman"/>
          <w:sz w:val="28"/>
          <w:szCs w:val="28"/>
          <w:lang w:val="ro-RO"/>
        </w:rPr>
      </w:pPr>
      <w:r w:rsidRPr="00434262">
        <w:rPr>
          <w:rFonts w:asciiTheme="majorHAnsi" w:hAnsiTheme="majorHAnsi" w:cstheme="majorHAnsi"/>
          <w:sz w:val="24"/>
          <w:szCs w:val="24"/>
          <w:lang w:val="ro-MD"/>
        </w:rPr>
        <w:t>Conform evidenței contabile, în anul de referință, prin instituțiile financiare au fost rambursate supraplăți la ajutoarele sociale și pentru perioada rece a anului în sume de 1 141,6 mii lei și</w:t>
      </w:r>
      <w:r w:rsidR="00B9047C">
        <w:rPr>
          <w:rFonts w:asciiTheme="majorHAnsi" w:hAnsiTheme="majorHAnsi" w:cstheme="majorHAnsi"/>
          <w:sz w:val="24"/>
          <w:szCs w:val="24"/>
          <w:lang w:val="ro-MD"/>
        </w:rPr>
        <w:t>,</w:t>
      </w:r>
      <w:r w:rsidRPr="00434262">
        <w:rPr>
          <w:rFonts w:asciiTheme="majorHAnsi" w:hAnsiTheme="majorHAnsi" w:cstheme="majorHAnsi"/>
          <w:sz w:val="24"/>
          <w:szCs w:val="24"/>
          <w:lang w:val="ro-MD"/>
        </w:rPr>
        <w:t xml:space="preserve"> respectiv</w:t>
      </w:r>
      <w:r w:rsidR="00B9047C">
        <w:rPr>
          <w:rFonts w:asciiTheme="majorHAnsi" w:hAnsiTheme="majorHAnsi" w:cstheme="majorHAnsi"/>
          <w:sz w:val="24"/>
          <w:szCs w:val="24"/>
          <w:lang w:val="ro-MD"/>
        </w:rPr>
        <w:t>,</w:t>
      </w:r>
      <w:r w:rsidRPr="00434262">
        <w:rPr>
          <w:rFonts w:asciiTheme="majorHAnsi" w:hAnsiTheme="majorHAnsi" w:cstheme="majorHAnsi"/>
          <w:sz w:val="24"/>
          <w:szCs w:val="24"/>
          <w:lang w:val="ro-MD"/>
        </w:rPr>
        <w:t xml:space="preserve"> 121,0 mii lei. În cadrul verificărilor de către audit</w:t>
      </w:r>
      <w:r w:rsidR="00B9047C">
        <w:rPr>
          <w:rFonts w:asciiTheme="majorHAnsi" w:hAnsiTheme="majorHAnsi" w:cstheme="majorHAnsi"/>
          <w:sz w:val="24"/>
          <w:szCs w:val="24"/>
          <w:lang w:val="ro-MD"/>
        </w:rPr>
        <w:t>,</w:t>
      </w:r>
      <w:r w:rsidRPr="00434262">
        <w:rPr>
          <w:rFonts w:asciiTheme="majorHAnsi" w:hAnsiTheme="majorHAnsi" w:cstheme="majorHAnsi"/>
          <w:sz w:val="24"/>
          <w:szCs w:val="24"/>
          <w:lang w:val="ro-MD"/>
        </w:rPr>
        <w:t xml:space="preserve"> pe parcursul anilor 2018-2020, s-a constatat că în evidență se reflectă doar sumele restituite de facto, </w:t>
      </w:r>
      <w:r w:rsidRPr="00434262">
        <w:rPr>
          <w:rFonts w:asciiTheme="majorHAnsi" w:eastAsia="Times New Roman" w:hAnsiTheme="majorHAnsi" w:cstheme="majorHAnsi"/>
          <w:iCs/>
          <w:sz w:val="24"/>
          <w:szCs w:val="24"/>
          <w:lang w:val="ro-RO"/>
        </w:rPr>
        <w:t>nefiind stabilit un mecanism de înregistrare și reflectare</w:t>
      </w:r>
      <w:r w:rsidR="00B9047C">
        <w:rPr>
          <w:rFonts w:asciiTheme="majorHAnsi" w:eastAsia="Times New Roman" w:hAnsiTheme="majorHAnsi" w:cstheme="majorHAnsi"/>
          <w:iCs/>
          <w:sz w:val="24"/>
          <w:szCs w:val="24"/>
          <w:lang w:val="ro-RO"/>
        </w:rPr>
        <w:t>,</w:t>
      </w:r>
      <w:r w:rsidRPr="00434262">
        <w:rPr>
          <w:rFonts w:asciiTheme="majorHAnsi" w:eastAsia="Times New Roman" w:hAnsiTheme="majorHAnsi" w:cstheme="majorHAnsi"/>
          <w:iCs/>
          <w:sz w:val="24"/>
          <w:szCs w:val="24"/>
          <w:lang w:val="ro-RO"/>
        </w:rPr>
        <w:t xml:space="preserve"> în Rapoartele privind executarea BASS, a tuturor supraplăților identificate,</w:t>
      </w:r>
      <w:r w:rsidRPr="00434262">
        <w:rPr>
          <w:rFonts w:asciiTheme="majorHAnsi" w:hAnsiTheme="majorHAnsi" w:cstheme="majorHAnsi"/>
          <w:sz w:val="24"/>
          <w:szCs w:val="24"/>
          <w:lang w:val="ro-MD"/>
        </w:rPr>
        <w:t xml:space="preserve"> ceea ce nu asigură evidența creanțelor ce urmează a fi restituite.</w:t>
      </w:r>
    </w:p>
    <w:p w14:paraId="7C3075CD" w14:textId="78639CFF" w:rsidR="00434262" w:rsidRPr="00434262" w:rsidRDefault="00434262" w:rsidP="00434262">
      <w:pPr>
        <w:spacing w:line="276" w:lineRule="auto"/>
        <w:jc w:val="both"/>
        <w:rPr>
          <w:rFonts w:asciiTheme="majorHAnsi" w:hAnsiTheme="majorHAnsi" w:cstheme="majorHAnsi"/>
          <w:sz w:val="24"/>
          <w:szCs w:val="24"/>
          <w:lang w:val="ro-RO"/>
        </w:rPr>
      </w:pPr>
      <w:r w:rsidRPr="00434262">
        <w:rPr>
          <w:rFonts w:asciiTheme="majorHAnsi" w:hAnsiTheme="majorHAnsi" w:cstheme="majorHAnsi"/>
          <w:sz w:val="24"/>
          <w:szCs w:val="24"/>
          <w:lang w:val="ro-MD"/>
        </w:rPr>
        <w:t>Situația creată rezultă din lipsa schimbului de informații dintre autoritățile implicate în procesul de acordare a ajutoarelor sociale. Astfel, d</w:t>
      </w:r>
      <w:r w:rsidRPr="00434262">
        <w:rPr>
          <w:rFonts w:asciiTheme="majorHAnsi" w:hAnsiTheme="majorHAnsi" w:cstheme="majorHAnsi"/>
          <w:sz w:val="24"/>
          <w:szCs w:val="24"/>
          <w:lang w:val="ro-RO"/>
        </w:rPr>
        <w:t xml:space="preserve">reptul la ajutor social și/sau ajutor pentru perioada rece a anului se acordă de către structurile teritoriale de asistență socială, </w:t>
      </w:r>
      <w:r w:rsidR="00B9047C">
        <w:rPr>
          <w:rFonts w:asciiTheme="majorHAnsi" w:hAnsiTheme="majorHAnsi" w:cstheme="majorHAnsi"/>
          <w:sz w:val="24"/>
          <w:szCs w:val="24"/>
          <w:lang w:val="ro-RO"/>
        </w:rPr>
        <w:t xml:space="preserve">iar </w:t>
      </w:r>
      <w:r w:rsidRPr="00434262">
        <w:rPr>
          <w:rFonts w:asciiTheme="majorHAnsi" w:hAnsiTheme="majorHAnsi" w:cstheme="majorHAnsi"/>
          <w:sz w:val="24"/>
          <w:szCs w:val="24"/>
          <w:lang w:val="ro-RO"/>
        </w:rPr>
        <w:t xml:space="preserve">plata se asigură de către Casa Națională prin intermediul prestatorilor serviciilor de plată, verificarea modului de aplicare corectă şi unitară a cadrului regulamentar </w:t>
      </w:r>
      <w:r w:rsidR="00B1254A">
        <w:rPr>
          <w:rFonts w:asciiTheme="majorHAnsi" w:hAnsiTheme="majorHAnsi" w:cstheme="majorHAnsi"/>
          <w:sz w:val="24"/>
          <w:szCs w:val="24"/>
          <w:lang w:val="ro-RO"/>
        </w:rPr>
        <w:t>fiind</w:t>
      </w:r>
      <w:r w:rsidRPr="00434262">
        <w:rPr>
          <w:rFonts w:asciiTheme="majorHAnsi" w:hAnsiTheme="majorHAnsi" w:cstheme="majorHAnsi"/>
          <w:sz w:val="24"/>
          <w:szCs w:val="24"/>
          <w:lang w:val="ro-RO"/>
        </w:rPr>
        <w:t xml:space="preserve"> efectuată de Inspecția Socială</w:t>
      </w:r>
      <w:r w:rsidRPr="00F823FF">
        <w:rPr>
          <w:rStyle w:val="FootnoteReference"/>
          <w:rFonts w:asciiTheme="majorHAnsi" w:hAnsiTheme="majorHAnsi" w:cstheme="majorHAnsi"/>
          <w:sz w:val="24"/>
          <w:szCs w:val="24"/>
          <w:lang w:val="ro-RO"/>
        </w:rPr>
        <w:footnoteReference w:id="29"/>
      </w:r>
      <w:r w:rsidRPr="00434262">
        <w:rPr>
          <w:rFonts w:asciiTheme="majorHAnsi" w:hAnsiTheme="majorHAnsi" w:cstheme="majorHAnsi"/>
          <w:sz w:val="24"/>
          <w:szCs w:val="24"/>
          <w:lang w:val="ro-RO"/>
        </w:rPr>
        <w:t>.</w:t>
      </w:r>
    </w:p>
    <w:p w14:paraId="116A2731" w14:textId="77777777" w:rsidR="00434262" w:rsidRDefault="00434262" w:rsidP="00434262">
      <w:pPr>
        <w:spacing w:line="276" w:lineRule="auto"/>
        <w:jc w:val="both"/>
        <w:rPr>
          <w:rFonts w:asciiTheme="majorHAnsi" w:hAnsiTheme="majorHAnsi" w:cstheme="majorHAnsi"/>
          <w:sz w:val="24"/>
          <w:szCs w:val="24"/>
          <w:lang w:val="ro-RO"/>
        </w:rPr>
      </w:pPr>
      <w:r>
        <w:rPr>
          <w:noProof/>
        </w:rPr>
        <w:drawing>
          <wp:inline distT="0" distB="0" distL="0" distR="0" wp14:anchorId="10C020F9" wp14:editId="5B15180F">
            <wp:extent cx="5701030" cy="2453640"/>
            <wp:effectExtent l="0" t="0" r="13970" b="38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06E40FE" w14:textId="2E299049" w:rsidR="00434262" w:rsidRPr="00B10243" w:rsidRDefault="00434262" w:rsidP="00434262">
      <w:pPr>
        <w:spacing w:line="276" w:lineRule="auto"/>
        <w:jc w:val="both"/>
        <w:rPr>
          <w:rFonts w:asciiTheme="majorHAnsi" w:hAnsiTheme="majorHAnsi" w:cstheme="majorHAnsi"/>
          <w:i/>
          <w:sz w:val="20"/>
          <w:szCs w:val="20"/>
          <w:lang w:val="ro-RO"/>
        </w:rPr>
      </w:pPr>
      <w:r w:rsidRPr="00B10243">
        <w:rPr>
          <w:rFonts w:asciiTheme="majorHAnsi" w:hAnsiTheme="majorHAnsi" w:cstheme="majorHAnsi"/>
          <w:i/>
          <w:sz w:val="20"/>
          <w:szCs w:val="20"/>
          <w:lang w:val="ro-RO"/>
        </w:rPr>
        <w:t>Figura nr. 2</w:t>
      </w:r>
      <w:r w:rsidR="00B1254A" w:rsidRPr="00B10243">
        <w:rPr>
          <w:rFonts w:asciiTheme="majorHAnsi" w:hAnsiTheme="majorHAnsi" w:cstheme="majorHAnsi"/>
          <w:i/>
          <w:sz w:val="20"/>
          <w:szCs w:val="20"/>
          <w:lang w:val="ro-RO"/>
        </w:rPr>
        <w:t>.</w:t>
      </w:r>
      <w:r w:rsidRPr="00B10243">
        <w:rPr>
          <w:rFonts w:asciiTheme="majorHAnsi" w:hAnsiTheme="majorHAnsi" w:cstheme="majorHAnsi"/>
          <w:i/>
          <w:sz w:val="20"/>
          <w:szCs w:val="20"/>
          <w:lang w:val="ro-RO"/>
        </w:rPr>
        <w:t xml:space="preserve"> Procesul de acordare, verificare și plată a ajutorului social și ajutorului pentru perioada rece a anului</w:t>
      </w:r>
    </w:p>
    <w:p w14:paraId="0360CB92" w14:textId="62264431" w:rsidR="00C670F9" w:rsidRDefault="00C670F9" w:rsidP="00C670F9">
      <w:pPr>
        <w:spacing w:before="240" w:after="0" w:line="276" w:lineRule="auto"/>
        <w:jc w:val="both"/>
        <w:rPr>
          <w:rFonts w:asciiTheme="majorHAnsi" w:hAnsiTheme="majorHAnsi" w:cstheme="majorHAnsi"/>
          <w:sz w:val="24"/>
          <w:szCs w:val="24"/>
          <w:lang w:val="ro-RO"/>
        </w:rPr>
      </w:pPr>
      <w:r w:rsidRPr="005B10CE">
        <w:rPr>
          <w:rFonts w:asciiTheme="majorHAnsi" w:hAnsiTheme="majorHAnsi" w:cstheme="majorHAnsi"/>
          <w:sz w:val="24"/>
          <w:szCs w:val="24"/>
          <w:lang w:val="ro-RO"/>
        </w:rPr>
        <w:t xml:space="preserve">În </w:t>
      </w:r>
      <w:r w:rsidRPr="005B10CE">
        <w:rPr>
          <w:rFonts w:asciiTheme="majorHAnsi" w:hAnsiTheme="majorHAnsi" w:cstheme="majorHAnsi"/>
          <w:sz w:val="24"/>
          <w:szCs w:val="24"/>
          <w:lang w:val="ro-MD"/>
        </w:rPr>
        <w:t>ultimii</w:t>
      </w:r>
      <w:r w:rsidRPr="005B10CE">
        <w:rPr>
          <w:rFonts w:asciiTheme="majorHAnsi" w:hAnsiTheme="majorHAnsi" w:cstheme="majorHAnsi"/>
          <w:sz w:val="24"/>
          <w:szCs w:val="24"/>
          <w:lang w:val="ro-RO"/>
        </w:rPr>
        <w:t xml:space="preserve"> trei ani (2018-2020), se menține o tendință</w:t>
      </w:r>
      <w:r w:rsidRPr="00690A86">
        <w:rPr>
          <w:rFonts w:asciiTheme="majorHAnsi" w:hAnsiTheme="majorHAnsi" w:cstheme="majorHAnsi"/>
          <w:sz w:val="24"/>
          <w:szCs w:val="24"/>
          <w:lang w:val="ro-RO"/>
        </w:rPr>
        <w:t xml:space="preserve"> majorată a ponderii </w:t>
      </w:r>
      <w:r w:rsidR="00434262">
        <w:rPr>
          <w:rFonts w:asciiTheme="majorHAnsi" w:hAnsiTheme="majorHAnsi" w:cstheme="majorHAnsi"/>
          <w:sz w:val="24"/>
          <w:szCs w:val="24"/>
          <w:lang w:val="ro-RO"/>
        </w:rPr>
        <w:t>mijloacelor calculate și achitate neregulamentar</w:t>
      </w:r>
      <w:r w:rsidRPr="00690A86">
        <w:rPr>
          <w:rFonts w:asciiTheme="majorHAnsi" w:hAnsiTheme="majorHAnsi" w:cstheme="majorHAnsi"/>
          <w:sz w:val="24"/>
          <w:szCs w:val="24"/>
          <w:lang w:val="ro-RO"/>
        </w:rPr>
        <w:t xml:space="preserve">, situație reflectată în tabelul următor: </w:t>
      </w:r>
    </w:p>
    <w:p w14:paraId="7112ED48" w14:textId="77777777" w:rsidR="00855DAB" w:rsidRPr="00690A86" w:rsidRDefault="00855DAB" w:rsidP="00C670F9">
      <w:pPr>
        <w:spacing w:before="240" w:after="0" w:line="276" w:lineRule="auto"/>
        <w:jc w:val="both"/>
        <w:rPr>
          <w:rFonts w:asciiTheme="majorHAnsi" w:hAnsiTheme="majorHAnsi" w:cstheme="majorHAnsi"/>
          <w:sz w:val="24"/>
          <w:szCs w:val="24"/>
          <w:lang w:val="ro-RO"/>
        </w:rPr>
      </w:pPr>
    </w:p>
    <w:p w14:paraId="336E5EC1" w14:textId="015A1170" w:rsidR="00C670F9" w:rsidRPr="00F823FF" w:rsidRDefault="00C670F9" w:rsidP="00C670F9">
      <w:pPr>
        <w:spacing w:after="0" w:line="276" w:lineRule="auto"/>
        <w:ind w:firstLine="720"/>
        <w:jc w:val="right"/>
        <w:rPr>
          <w:rFonts w:asciiTheme="majorHAnsi" w:hAnsiTheme="majorHAnsi" w:cstheme="majorHAnsi"/>
          <w:b/>
          <w:sz w:val="24"/>
          <w:szCs w:val="24"/>
          <w:lang w:val="ro-RO"/>
        </w:rPr>
      </w:pPr>
      <w:r w:rsidRPr="00F823FF">
        <w:rPr>
          <w:rFonts w:asciiTheme="majorHAnsi" w:hAnsiTheme="majorHAnsi" w:cstheme="majorHAnsi"/>
          <w:b/>
          <w:sz w:val="24"/>
          <w:szCs w:val="24"/>
          <w:lang w:val="ro-RO"/>
        </w:rPr>
        <w:t>Tabel</w:t>
      </w:r>
      <w:r w:rsidR="00B1254A">
        <w:rPr>
          <w:rFonts w:asciiTheme="majorHAnsi" w:hAnsiTheme="majorHAnsi" w:cstheme="majorHAnsi"/>
          <w:b/>
          <w:sz w:val="24"/>
          <w:szCs w:val="24"/>
          <w:lang w:val="ro-RO"/>
        </w:rPr>
        <w:t>ul</w:t>
      </w:r>
      <w:r w:rsidRPr="00F823FF">
        <w:rPr>
          <w:rFonts w:asciiTheme="majorHAnsi" w:hAnsiTheme="majorHAnsi" w:cstheme="majorHAnsi"/>
          <w:b/>
          <w:sz w:val="24"/>
          <w:szCs w:val="24"/>
          <w:lang w:val="ro-RO"/>
        </w:rPr>
        <w:t xml:space="preserve"> nr.</w:t>
      </w:r>
      <w:r w:rsidR="00786886">
        <w:rPr>
          <w:rFonts w:asciiTheme="majorHAnsi" w:hAnsiTheme="majorHAnsi" w:cstheme="majorHAnsi"/>
          <w:b/>
          <w:sz w:val="24"/>
          <w:szCs w:val="24"/>
          <w:lang w:val="ro-RO"/>
        </w:rPr>
        <w:t>4</w:t>
      </w:r>
    </w:p>
    <w:p w14:paraId="2C35ED3A" w14:textId="2B9568CC" w:rsidR="00C670F9" w:rsidRPr="00F823FF" w:rsidRDefault="00C670F9" w:rsidP="00C670F9">
      <w:pPr>
        <w:spacing w:after="0" w:line="276" w:lineRule="auto"/>
        <w:ind w:firstLine="720"/>
        <w:jc w:val="both"/>
        <w:rPr>
          <w:rFonts w:asciiTheme="majorHAnsi" w:hAnsiTheme="majorHAnsi" w:cstheme="majorHAnsi"/>
          <w:b/>
          <w:sz w:val="24"/>
          <w:szCs w:val="24"/>
          <w:lang w:val="ro-RO"/>
        </w:rPr>
      </w:pPr>
      <w:r w:rsidRPr="00F823FF">
        <w:rPr>
          <w:rFonts w:asciiTheme="majorHAnsi" w:hAnsiTheme="majorHAnsi" w:cstheme="majorHAnsi"/>
          <w:b/>
          <w:sz w:val="24"/>
          <w:szCs w:val="24"/>
          <w:lang w:val="ro-RO"/>
        </w:rPr>
        <w:t xml:space="preserve">Analiza iregularităților identificate de Inspecția Socială la </w:t>
      </w:r>
      <w:r w:rsidRPr="00855DAB">
        <w:rPr>
          <w:rFonts w:asciiTheme="majorHAnsi" w:hAnsiTheme="majorHAnsi" w:cstheme="majorHAnsi"/>
          <w:b/>
          <w:sz w:val="24"/>
          <w:szCs w:val="24"/>
          <w:lang w:val="ro-RO"/>
        </w:rPr>
        <w:t xml:space="preserve">acordarea </w:t>
      </w:r>
      <w:r w:rsidR="00855DAB">
        <w:rPr>
          <w:rFonts w:asciiTheme="majorHAnsi" w:hAnsiTheme="majorHAnsi" w:cstheme="majorHAnsi"/>
          <w:b/>
          <w:sz w:val="24"/>
          <w:szCs w:val="24"/>
          <w:lang w:val="ro-RO"/>
        </w:rPr>
        <w:t>AS și A</w:t>
      </w:r>
      <w:r w:rsidRPr="00855DAB">
        <w:rPr>
          <w:rFonts w:asciiTheme="majorHAnsi" w:hAnsiTheme="majorHAnsi" w:cstheme="majorHAnsi"/>
          <w:b/>
          <w:sz w:val="24"/>
          <w:szCs w:val="24"/>
          <w:lang w:val="ro-RO"/>
        </w:rPr>
        <w:t>PRA</w:t>
      </w:r>
      <w:r w:rsidR="00B1254A" w:rsidRPr="00855DAB">
        <w:rPr>
          <w:rFonts w:asciiTheme="majorHAnsi" w:hAnsiTheme="majorHAnsi" w:cstheme="majorHAnsi"/>
          <w:b/>
          <w:sz w:val="24"/>
          <w:szCs w:val="24"/>
          <w:lang w:val="ro-RO"/>
        </w:rPr>
        <w:t xml:space="preserve"> </w:t>
      </w:r>
      <w:r w:rsidR="00B1254A" w:rsidRPr="00855DAB">
        <w:rPr>
          <w:rFonts w:asciiTheme="majorHAnsi" w:hAnsiTheme="majorHAnsi" w:cstheme="majorHAnsi"/>
          <w:b/>
          <w:lang w:val="ro-RO"/>
        </w:rPr>
        <w:t>(mii lei)</w:t>
      </w:r>
    </w:p>
    <w:tbl>
      <w:tblPr>
        <w:tblStyle w:val="TableGrid"/>
        <w:tblW w:w="0" w:type="auto"/>
        <w:jc w:val="center"/>
        <w:tblLook w:val="04A0" w:firstRow="1" w:lastRow="0" w:firstColumn="1" w:lastColumn="0" w:noHBand="0" w:noVBand="1"/>
      </w:tblPr>
      <w:tblGrid>
        <w:gridCol w:w="1623"/>
        <w:gridCol w:w="2329"/>
        <w:gridCol w:w="2796"/>
        <w:gridCol w:w="2331"/>
      </w:tblGrid>
      <w:tr w:rsidR="00C670F9" w:rsidRPr="00FB3794" w14:paraId="0733E741" w14:textId="77777777" w:rsidTr="00BF00CA">
        <w:trPr>
          <w:trHeight w:val="547"/>
          <w:jc w:val="center"/>
        </w:trPr>
        <w:tc>
          <w:tcPr>
            <w:tcW w:w="1623" w:type="dxa"/>
            <w:shd w:val="clear" w:color="auto" w:fill="92D050"/>
            <w:vAlign w:val="center"/>
          </w:tcPr>
          <w:p w14:paraId="2BDA9F1E"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Anul</w:t>
            </w:r>
          </w:p>
        </w:tc>
        <w:tc>
          <w:tcPr>
            <w:tcW w:w="2329" w:type="dxa"/>
            <w:shd w:val="clear" w:color="auto" w:fill="92D050"/>
            <w:vAlign w:val="center"/>
          </w:tcPr>
          <w:p w14:paraId="7D16FB97"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Suma verificată</w:t>
            </w:r>
          </w:p>
        </w:tc>
        <w:tc>
          <w:tcPr>
            <w:tcW w:w="2796" w:type="dxa"/>
            <w:shd w:val="clear" w:color="auto" w:fill="92D050"/>
            <w:vAlign w:val="center"/>
          </w:tcPr>
          <w:p w14:paraId="75BECACF"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Suma depistată cu iregularități</w:t>
            </w:r>
          </w:p>
        </w:tc>
        <w:tc>
          <w:tcPr>
            <w:tcW w:w="2331" w:type="dxa"/>
            <w:shd w:val="clear" w:color="auto" w:fill="92D050"/>
            <w:vAlign w:val="center"/>
          </w:tcPr>
          <w:p w14:paraId="33776A40"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Ponderea (%)</w:t>
            </w:r>
          </w:p>
        </w:tc>
      </w:tr>
      <w:tr w:rsidR="00C670F9" w:rsidRPr="00FB3794" w14:paraId="7EC4041E" w14:textId="77777777" w:rsidTr="00BF00CA">
        <w:trPr>
          <w:trHeight w:val="179"/>
          <w:jc w:val="center"/>
        </w:trPr>
        <w:tc>
          <w:tcPr>
            <w:tcW w:w="1623" w:type="dxa"/>
          </w:tcPr>
          <w:p w14:paraId="6D3B5F75"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2018</w:t>
            </w:r>
          </w:p>
        </w:tc>
        <w:tc>
          <w:tcPr>
            <w:tcW w:w="2329" w:type="dxa"/>
          </w:tcPr>
          <w:p w14:paraId="19CA0A36"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8803,09</w:t>
            </w:r>
          </w:p>
        </w:tc>
        <w:tc>
          <w:tcPr>
            <w:tcW w:w="2796" w:type="dxa"/>
          </w:tcPr>
          <w:p w14:paraId="76F67316"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1426,1</w:t>
            </w:r>
          </w:p>
        </w:tc>
        <w:tc>
          <w:tcPr>
            <w:tcW w:w="2331" w:type="dxa"/>
          </w:tcPr>
          <w:p w14:paraId="67A9F90B"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16,2</w:t>
            </w:r>
          </w:p>
        </w:tc>
      </w:tr>
      <w:tr w:rsidR="00C670F9" w:rsidRPr="00FB3794" w14:paraId="181CB872" w14:textId="77777777" w:rsidTr="00BF00CA">
        <w:trPr>
          <w:trHeight w:val="187"/>
          <w:jc w:val="center"/>
        </w:trPr>
        <w:tc>
          <w:tcPr>
            <w:tcW w:w="1623" w:type="dxa"/>
          </w:tcPr>
          <w:p w14:paraId="40DEED08"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2019</w:t>
            </w:r>
          </w:p>
        </w:tc>
        <w:tc>
          <w:tcPr>
            <w:tcW w:w="2329" w:type="dxa"/>
          </w:tcPr>
          <w:p w14:paraId="433828BE"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6934,1</w:t>
            </w:r>
          </w:p>
        </w:tc>
        <w:tc>
          <w:tcPr>
            <w:tcW w:w="2796" w:type="dxa"/>
          </w:tcPr>
          <w:p w14:paraId="5C7FDCE2"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2198,9</w:t>
            </w:r>
          </w:p>
        </w:tc>
        <w:tc>
          <w:tcPr>
            <w:tcW w:w="2331" w:type="dxa"/>
          </w:tcPr>
          <w:p w14:paraId="3049BE77"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37,1</w:t>
            </w:r>
          </w:p>
        </w:tc>
      </w:tr>
      <w:tr w:rsidR="00C670F9" w:rsidRPr="00FB3794" w14:paraId="231E9176" w14:textId="77777777" w:rsidTr="00BF00CA">
        <w:trPr>
          <w:trHeight w:val="179"/>
          <w:jc w:val="center"/>
        </w:trPr>
        <w:tc>
          <w:tcPr>
            <w:tcW w:w="1623" w:type="dxa"/>
          </w:tcPr>
          <w:p w14:paraId="20DC9F65" w14:textId="77777777" w:rsidR="00C670F9" w:rsidRPr="00FB3794" w:rsidRDefault="00C670F9" w:rsidP="00CB1847">
            <w:pPr>
              <w:jc w:val="center"/>
              <w:rPr>
                <w:rFonts w:asciiTheme="majorHAnsi" w:hAnsiTheme="majorHAnsi" w:cstheme="majorHAnsi"/>
                <w:b/>
                <w:sz w:val="24"/>
                <w:szCs w:val="24"/>
                <w:lang w:val="ro-RO"/>
              </w:rPr>
            </w:pPr>
            <w:r w:rsidRPr="00FB3794">
              <w:rPr>
                <w:rFonts w:asciiTheme="majorHAnsi" w:hAnsiTheme="majorHAnsi" w:cstheme="majorHAnsi"/>
                <w:b/>
                <w:sz w:val="24"/>
                <w:szCs w:val="24"/>
                <w:lang w:val="ro-RO"/>
              </w:rPr>
              <w:t>2020</w:t>
            </w:r>
          </w:p>
        </w:tc>
        <w:tc>
          <w:tcPr>
            <w:tcW w:w="2329" w:type="dxa"/>
          </w:tcPr>
          <w:p w14:paraId="4ADB9F16"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8304,7</w:t>
            </w:r>
          </w:p>
        </w:tc>
        <w:tc>
          <w:tcPr>
            <w:tcW w:w="2796" w:type="dxa"/>
          </w:tcPr>
          <w:p w14:paraId="6672EE13"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2437,4</w:t>
            </w:r>
          </w:p>
        </w:tc>
        <w:tc>
          <w:tcPr>
            <w:tcW w:w="2331" w:type="dxa"/>
          </w:tcPr>
          <w:p w14:paraId="62243BFF" w14:textId="77777777" w:rsidR="00C670F9" w:rsidRPr="00FB3794" w:rsidRDefault="00C670F9" w:rsidP="00CB1847">
            <w:pPr>
              <w:jc w:val="center"/>
              <w:rPr>
                <w:rFonts w:asciiTheme="majorHAnsi" w:hAnsiTheme="majorHAnsi" w:cstheme="majorHAnsi"/>
                <w:sz w:val="24"/>
                <w:szCs w:val="24"/>
                <w:lang w:val="ro-RO"/>
              </w:rPr>
            </w:pPr>
            <w:r w:rsidRPr="00FB3794">
              <w:rPr>
                <w:rFonts w:asciiTheme="majorHAnsi" w:hAnsiTheme="majorHAnsi" w:cstheme="majorHAnsi"/>
                <w:sz w:val="24"/>
                <w:szCs w:val="24"/>
                <w:lang w:val="ro-RO"/>
              </w:rPr>
              <w:t>29,4</w:t>
            </w:r>
          </w:p>
        </w:tc>
      </w:tr>
    </w:tbl>
    <w:p w14:paraId="66BF1DF4" w14:textId="5FBC37EE" w:rsidR="00C670F9" w:rsidRPr="00B10243" w:rsidRDefault="00C670F9" w:rsidP="00C670F9">
      <w:pPr>
        <w:jc w:val="both"/>
        <w:rPr>
          <w:rFonts w:asciiTheme="majorHAnsi" w:hAnsiTheme="majorHAnsi" w:cstheme="majorHAnsi"/>
          <w:i/>
          <w:sz w:val="20"/>
          <w:szCs w:val="20"/>
          <w:lang w:val="ro-RO"/>
        </w:rPr>
      </w:pPr>
      <w:r w:rsidRPr="00B10243">
        <w:rPr>
          <w:rFonts w:asciiTheme="majorHAnsi" w:hAnsiTheme="majorHAnsi" w:cstheme="majorHAnsi"/>
          <w:i/>
          <w:sz w:val="20"/>
          <w:szCs w:val="20"/>
          <w:lang w:val="ro-RO"/>
        </w:rPr>
        <w:t>Sursă: Scrisorile Inspecției Sociale cu informați</w:t>
      </w:r>
      <w:r w:rsidR="00B1254A">
        <w:rPr>
          <w:rFonts w:asciiTheme="majorHAnsi" w:hAnsiTheme="majorHAnsi" w:cstheme="majorHAnsi"/>
          <w:i/>
          <w:sz w:val="20"/>
          <w:szCs w:val="20"/>
          <w:lang w:val="ro-RO"/>
        </w:rPr>
        <w:t>il</w:t>
      </w:r>
      <w:r w:rsidRPr="00B10243">
        <w:rPr>
          <w:rFonts w:asciiTheme="majorHAnsi" w:hAnsiTheme="majorHAnsi" w:cstheme="majorHAnsi"/>
          <w:i/>
          <w:sz w:val="20"/>
          <w:szCs w:val="20"/>
          <w:lang w:val="ro-RO"/>
        </w:rPr>
        <w:t>e privind misiunile de inspectări pentru anii 2018, 2019</w:t>
      </w:r>
      <w:r w:rsidR="00B1254A">
        <w:rPr>
          <w:rFonts w:asciiTheme="majorHAnsi" w:hAnsiTheme="majorHAnsi" w:cstheme="majorHAnsi"/>
          <w:i/>
          <w:sz w:val="20"/>
          <w:szCs w:val="20"/>
          <w:lang w:val="ro-RO"/>
        </w:rPr>
        <w:t xml:space="preserve"> și</w:t>
      </w:r>
      <w:r w:rsidRPr="00B10243">
        <w:rPr>
          <w:rFonts w:asciiTheme="majorHAnsi" w:hAnsiTheme="majorHAnsi" w:cstheme="majorHAnsi"/>
          <w:i/>
          <w:sz w:val="20"/>
          <w:szCs w:val="20"/>
          <w:lang w:val="ro-RO"/>
        </w:rPr>
        <w:t xml:space="preserve"> 2020.</w:t>
      </w:r>
    </w:p>
    <w:p w14:paraId="4CECFB6C" w14:textId="6848D8F4" w:rsidR="00C670F9" w:rsidRDefault="00C670F9" w:rsidP="00C670F9">
      <w:p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Totodată, cu privire la restituirea sumelor încasate necuvenit pentru aceste prestații, se înregistrează </w:t>
      </w:r>
      <w:r w:rsidRPr="00824F9D">
        <w:rPr>
          <w:rFonts w:asciiTheme="majorHAnsi" w:hAnsiTheme="majorHAnsi" w:cstheme="majorHAnsi"/>
          <w:sz w:val="24"/>
          <w:szCs w:val="24"/>
          <w:lang w:val="ro-RO"/>
        </w:rPr>
        <w:t>un nivel redus de r</w:t>
      </w:r>
      <w:r>
        <w:rPr>
          <w:rFonts w:asciiTheme="majorHAnsi" w:hAnsiTheme="majorHAnsi" w:cstheme="majorHAnsi"/>
          <w:sz w:val="24"/>
          <w:szCs w:val="24"/>
          <w:lang w:val="ro-RO"/>
        </w:rPr>
        <w:t xml:space="preserve">ambursare. Astfel, în </w:t>
      </w:r>
      <w:r w:rsidRPr="009F785A">
        <w:rPr>
          <w:rFonts w:asciiTheme="majorHAnsi" w:hAnsiTheme="majorHAnsi" w:cstheme="majorHAnsi"/>
          <w:sz w:val="24"/>
          <w:szCs w:val="24"/>
          <w:lang w:val="ro-MD"/>
        </w:rPr>
        <w:t xml:space="preserve"> anul 2020 </w:t>
      </w:r>
      <w:r w:rsidRPr="00824F9D">
        <w:rPr>
          <w:rFonts w:asciiTheme="majorHAnsi" w:hAnsiTheme="majorHAnsi" w:cstheme="majorHAnsi"/>
          <w:sz w:val="24"/>
          <w:szCs w:val="24"/>
          <w:lang w:val="ro-MD"/>
        </w:rPr>
        <w:t xml:space="preserve">structurilor teritoriale de asistență socială </w:t>
      </w:r>
      <w:r>
        <w:rPr>
          <w:rFonts w:asciiTheme="majorHAnsi" w:hAnsiTheme="majorHAnsi" w:cstheme="majorHAnsi"/>
          <w:sz w:val="24"/>
          <w:szCs w:val="24"/>
          <w:lang w:val="ro-MD"/>
        </w:rPr>
        <w:t>li s-au  înaintat</w:t>
      </w:r>
      <w:r w:rsidRPr="009F785A">
        <w:rPr>
          <w:rFonts w:asciiTheme="majorHAnsi" w:hAnsiTheme="majorHAnsi" w:cstheme="majorHAnsi"/>
          <w:sz w:val="24"/>
          <w:szCs w:val="24"/>
          <w:lang w:val="ro-MD"/>
        </w:rPr>
        <w:t xml:space="preserve"> recomandări de restituire a  sumei de </w:t>
      </w:r>
      <w:r w:rsidRPr="002C5F3B">
        <w:rPr>
          <w:rFonts w:asciiTheme="majorHAnsi" w:hAnsiTheme="majorHAnsi" w:cstheme="majorHAnsi"/>
          <w:sz w:val="24"/>
          <w:szCs w:val="24"/>
          <w:lang w:val="ro-MD"/>
        </w:rPr>
        <w:t>2 199,6 mii lei</w:t>
      </w:r>
      <w:r>
        <w:rPr>
          <w:rFonts w:asciiTheme="majorHAnsi" w:hAnsiTheme="majorHAnsi" w:cstheme="majorHAnsi"/>
          <w:sz w:val="24"/>
          <w:szCs w:val="24"/>
          <w:lang w:val="ro-MD"/>
        </w:rPr>
        <w:t xml:space="preserve"> (cauzate din vina beneficiarului)</w:t>
      </w:r>
      <w:r w:rsidRPr="009F785A">
        <w:rPr>
          <w:rFonts w:asciiTheme="majorHAnsi" w:hAnsiTheme="majorHAnsi" w:cstheme="majorHAnsi"/>
          <w:sz w:val="24"/>
          <w:szCs w:val="24"/>
          <w:lang w:val="ro-MD"/>
        </w:rPr>
        <w:t>, însă s-a constatat că a fost asigurată rambursarea sumei de 144,5 mii lei, ce constituie doa</w:t>
      </w:r>
      <w:r>
        <w:rPr>
          <w:rFonts w:asciiTheme="majorHAnsi" w:hAnsiTheme="majorHAnsi" w:cstheme="majorHAnsi"/>
          <w:sz w:val="24"/>
          <w:szCs w:val="24"/>
          <w:lang w:val="ro-MD"/>
        </w:rPr>
        <w:t xml:space="preserve">r </w:t>
      </w:r>
      <w:r w:rsidRPr="009F785A">
        <w:rPr>
          <w:rFonts w:asciiTheme="majorHAnsi" w:hAnsiTheme="majorHAnsi" w:cstheme="majorHAnsi"/>
          <w:sz w:val="24"/>
          <w:szCs w:val="24"/>
          <w:lang w:val="ro-MD"/>
        </w:rPr>
        <w:t xml:space="preserve">6,6% </w:t>
      </w:r>
      <w:r>
        <w:rPr>
          <w:rFonts w:asciiTheme="majorHAnsi" w:hAnsiTheme="majorHAnsi" w:cstheme="majorHAnsi"/>
          <w:sz w:val="24"/>
          <w:szCs w:val="24"/>
          <w:lang w:val="ro-MD"/>
        </w:rPr>
        <w:t>din totalul spre restituire.</w:t>
      </w:r>
    </w:p>
    <w:p w14:paraId="3A7639A6" w14:textId="1066E599" w:rsidR="00C670F9" w:rsidRPr="00690A86" w:rsidRDefault="007F5A99" w:rsidP="00C670F9">
      <w:p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În cazul în care </w:t>
      </w:r>
      <w:r w:rsidR="00C670F9" w:rsidRPr="00B02373">
        <w:rPr>
          <w:rFonts w:asciiTheme="majorHAnsi" w:hAnsiTheme="majorHAnsi" w:cstheme="majorHAnsi"/>
          <w:sz w:val="24"/>
          <w:szCs w:val="24"/>
          <w:lang w:val="ro-RO"/>
        </w:rPr>
        <w:t>Inspecția Socială constată iregularități și înaintează recomandări în conformitate cu prevederile legale</w:t>
      </w:r>
      <w:r w:rsidR="00C670F9">
        <w:rPr>
          <w:rStyle w:val="FootnoteReference"/>
          <w:rFonts w:asciiTheme="majorHAnsi" w:hAnsiTheme="majorHAnsi" w:cstheme="majorHAnsi"/>
          <w:sz w:val="24"/>
          <w:szCs w:val="24"/>
          <w:lang w:val="ro-RO"/>
        </w:rPr>
        <w:footnoteReference w:id="30"/>
      </w:r>
      <w:r w:rsidR="00C670F9" w:rsidRPr="00B02373">
        <w:rPr>
          <w:rFonts w:asciiTheme="majorHAnsi" w:hAnsiTheme="majorHAnsi" w:cstheme="majorHAnsi"/>
          <w:sz w:val="24"/>
          <w:szCs w:val="24"/>
          <w:lang w:val="ro-RO"/>
        </w:rPr>
        <w:t xml:space="preserve">, entitatea nu are funcții de monitorizare a restituirii sumelor plătite nejustificat la acordarea ajutorului social și nu dispune de acces la conturile la care se restituie sumele vizate. Legislația cu privire la aceste ajutoare nu prevede reglementări privind modalitatea și periodicitatea de </w:t>
      </w:r>
      <w:r w:rsidR="00C670F9" w:rsidRPr="00B02373">
        <w:rPr>
          <w:rFonts w:asciiTheme="majorHAnsi" w:hAnsiTheme="majorHAnsi" w:cstheme="majorHAnsi"/>
          <w:sz w:val="24"/>
          <w:szCs w:val="24"/>
          <w:lang w:val="ro-MD"/>
        </w:rPr>
        <w:t>transmitere a informației către CNAS despre supraplățile achitate neîntemeiat beneficiarilor de ajutor social și ajuto</w:t>
      </w:r>
      <w:r w:rsidR="00C670F9">
        <w:rPr>
          <w:rFonts w:asciiTheme="majorHAnsi" w:hAnsiTheme="majorHAnsi" w:cstheme="majorHAnsi"/>
          <w:sz w:val="24"/>
          <w:szCs w:val="24"/>
          <w:lang w:val="ro-MD"/>
        </w:rPr>
        <w:t>r pentru perioada rece a anului</w:t>
      </w:r>
      <w:r w:rsidR="00BD7682">
        <w:rPr>
          <w:rFonts w:asciiTheme="majorHAnsi" w:hAnsiTheme="majorHAnsi" w:cstheme="majorHAnsi"/>
          <w:sz w:val="24"/>
          <w:szCs w:val="24"/>
          <w:lang w:val="ro-RO"/>
        </w:rPr>
        <w:t xml:space="preserve">, menținându-se </w:t>
      </w:r>
      <w:r w:rsidR="00C670F9" w:rsidRPr="00B02373">
        <w:rPr>
          <w:rFonts w:asciiTheme="majorHAnsi" w:hAnsiTheme="majorHAnsi" w:cstheme="majorHAnsi"/>
          <w:sz w:val="24"/>
          <w:szCs w:val="24"/>
          <w:lang w:val="ro-RO"/>
        </w:rPr>
        <w:t>riscul de neasigurare a legalității constatării și recuperării de la beneficiari a plăților achitate necuvenit pentru ajutoarele sociale și pentru perioada rece a anului</w:t>
      </w:r>
      <w:r w:rsidR="00C670F9" w:rsidRPr="00480520">
        <w:rPr>
          <w:rFonts w:asciiTheme="majorHAnsi" w:hAnsiTheme="majorHAnsi" w:cstheme="majorHAnsi"/>
          <w:sz w:val="24"/>
          <w:szCs w:val="24"/>
          <w:lang w:val="ro-RO"/>
        </w:rPr>
        <w:t xml:space="preserve">. </w:t>
      </w:r>
      <w:r w:rsidR="00C670F9" w:rsidRPr="00480520">
        <w:rPr>
          <w:rFonts w:asciiTheme="majorHAnsi" w:hAnsiTheme="majorHAnsi" w:cstheme="majorHAnsi"/>
          <w:sz w:val="24"/>
          <w:szCs w:val="24"/>
          <w:lang w:val="ro-MD"/>
        </w:rPr>
        <w:t>Totodată, Inspecția Socială are dreptul să înainteze propuneri de îmbunătăţire a cadrului normativ din domeniile supuse Inspecţiei</w:t>
      </w:r>
      <w:r w:rsidR="00C670F9" w:rsidRPr="00480520">
        <w:rPr>
          <w:rStyle w:val="FootnoteReference"/>
          <w:rFonts w:asciiTheme="majorHAnsi" w:hAnsiTheme="majorHAnsi" w:cstheme="majorHAnsi"/>
          <w:sz w:val="24"/>
          <w:szCs w:val="24"/>
        </w:rPr>
        <w:footnoteReference w:id="31"/>
      </w:r>
      <w:r w:rsidR="00C670F9" w:rsidRPr="00480520">
        <w:rPr>
          <w:rFonts w:asciiTheme="majorHAnsi" w:hAnsiTheme="majorHAnsi" w:cstheme="majorHAnsi"/>
          <w:sz w:val="24"/>
          <w:szCs w:val="24"/>
          <w:lang w:val="ro-MD"/>
        </w:rPr>
        <w:t>.</w:t>
      </w:r>
    </w:p>
    <w:p w14:paraId="48A935C1" w14:textId="1969ADCE" w:rsidR="00A77DBC" w:rsidRDefault="007B5882" w:rsidP="00A77DBC">
      <w:pPr>
        <w:pStyle w:val="ListParagraph"/>
        <w:numPr>
          <w:ilvl w:val="1"/>
          <w:numId w:val="20"/>
        </w:numPr>
        <w:spacing w:before="240" w:after="0" w:line="276" w:lineRule="auto"/>
        <w:ind w:left="0" w:firstLine="0"/>
        <w:jc w:val="both"/>
        <w:outlineLvl w:val="1"/>
        <w:rPr>
          <w:rFonts w:asciiTheme="majorHAnsi" w:hAnsiTheme="majorHAnsi" w:cstheme="majorHAnsi"/>
          <w:b/>
          <w:sz w:val="24"/>
          <w:szCs w:val="24"/>
          <w:lang w:val="ro-RO"/>
        </w:rPr>
      </w:pPr>
      <w:r w:rsidRPr="00A03DC2">
        <w:rPr>
          <w:rFonts w:asciiTheme="majorHAnsi" w:hAnsiTheme="majorHAnsi" w:cstheme="majorHAnsi"/>
          <w:b/>
          <w:sz w:val="24"/>
          <w:szCs w:val="24"/>
          <w:lang w:val="ro-RO"/>
        </w:rPr>
        <w:t>Lipsa unor rapoarte de evidență a plăților achitate necuvenit pentru suportul unic și suportul financiar nu asigură identificarea și raportarea unor date veridice aferente creanțelor pe</w:t>
      </w:r>
      <w:r w:rsidR="00A77DBC">
        <w:rPr>
          <w:rFonts w:asciiTheme="majorHAnsi" w:hAnsiTheme="majorHAnsi" w:cstheme="majorHAnsi"/>
          <w:b/>
          <w:sz w:val="24"/>
          <w:szCs w:val="24"/>
          <w:lang w:val="ro-RO"/>
        </w:rPr>
        <w:t>ntru aceste tipuri de prestații</w:t>
      </w:r>
      <w:r w:rsidR="008A0FA0">
        <w:rPr>
          <w:rFonts w:asciiTheme="majorHAnsi" w:hAnsiTheme="majorHAnsi" w:cstheme="majorHAnsi"/>
          <w:b/>
          <w:sz w:val="24"/>
          <w:szCs w:val="24"/>
          <w:lang w:val="ro-RO"/>
        </w:rPr>
        <w:t>.</w:t>
      </w:r>
    </w:p>
    <w:p w14:paraId="097A6B10" w14:textId="407D287B" w:rsidR="007B5882" w:rsidRPr="00A77DBC" w:rsidRDefault="007B5882" w:rsidP="00856726">
      <w:pPr>
        <w:pStyle w:val="ListParagraph"/>
        <w:spacing w:before="240" w:after="0" w:line="276" w:lineRule="auto"/>
        <w:ind w:left="0"/>
        <w:jc w:val="both"/>
        <w:rPr>
          <w:rFonts w:asciiTheme="majorHAnsi" w:hAnsiTheme="majorHAnsi" w:cstheme="majorHAnsi"/>
          <w:b/>
          <w:sz w:val="24"/>
          <w:szCs w:val="24"/>
          <w:lang w:val="ro-RO"/>
        </w:rPr>
      </w:pPr>
      <w:r w:rsidRPr="00A77DBC">
        <w:rPr>
          <w:rFonts w:asciiTheme="majorHAnsi" w:hAnsiTheme="majorHAnsi" w:cstheme="majorHAnsi"/>
          <w:sz w:val="24"/>
          <w:szCs w:val="24"/>
          <w:lang w:val="ro-RO"/>
        </w:rPr>
        <w:t xml:space="preserve">Deși în anul 2020 au fost recuperate sume în valoare 540 mii lei, auditul a fost în imposibilitate de </w:t>
      </w:r>
      <w:r w:rsidR="00F554C1" w:rsidRPr="00A77DBC">
        <w:rPr>
          <w:rFonts w:asciiTheme="majorHAnsi" w:hAnsiTheme="majorHAnsi" w:cstheme="majorHAnsi"/>
          <w:sz w:val="24"/>
          <w:szCs w:val="24"/>
          <w:lang w:val="ro-RO"/>
        </w:rPr>
        <w:t>a cuantifica</w:t>
      </w:r>
      <w:r w:rsidR="00A77DBC">
        <w:rPr>
          <w:rFonts w:asciiTheme="majorHAnsi" w:hAnsiTheme="majorHAnsi" w:cstheme="majorHAnsi"/>
          <w:sz w:val="24"/>
          <w:szCs w:val="24"/>
          <w:lang w:val="ro-RO"/>
        </w:rPr>
        <w:t xml:space="preserve"> </w:t>
      </w:r>
      <w:r w:rsidRPr="00A77DBC">
        <w:rPr>
          <w:rFonts w:asciiTheme="majorHAnsi" w:hAnsiTheme="majorHAnsi" w:cstheme="majorHAnsi"/>
          <w:sz w:val="24"/>
          <w:szCs w:val="24"/>
          <w:lang w:val="ro-RO"/>
        </w:rPr>
        <w:t>creanț</w:t>
      </w:r>
      <w:r w:rsidR="00A77DBC">
        <w:rPr>
          <w:rFonts w:asciiTheme="majorHAnsi" w:hAnsiTheme="majorHAnsi" w:cstheme="majorHAnsi"/>
          <w:sz w:val="24"/>
          <w:szCs w:val="24"/>
          <w:lang w:val="ro-RO"/>
        </w:rPr>
        <w:t>ele</w:t>
      </w:r>
      <w:r w:rsidRPr="00A77DBC">
        <w:rPr>
          <w:rFonts w:asciiTheme="majorHAnsi" w:hAnsiTheme="majorHAnsi" w:cstheme="majorHAnsi"/>
          <w:sz w:val="24"/>
          <w:szCs w:val="24"/>
          <w:lang w:val="ro-RO"/>
        </w:rPr>
        <w:t xml:space="preserve"> acestor tipuri de prestații, tranzacțiile fiind reflectate în evidența contabilă concomitent cu încasarea de facto a acestora de la beneficiari în cazurile </w:t>
      </w:r>
      <w:r w:rsidR="008A0FA0">
        <w:rPr>
          <w:rFonts w:asciiTheme="majorHAnsi" w:hAnsiTheme="majorHAnsi" w:cstheme="majorHAnsi"/>
          <w:sz w:val="24"/>
          <w:szCs w:val="24"/>
          <w:lang w:val="ro-RO"/>
        </w:rPr>
        <w:t>în care</w:t>
      </w:r>
      <w:r w:rsidR="008A0FA0" w:rsidRPr="00A77DBC">
        <w:rPr>
          <w:rFonts w:asciiTheme="majorHAnsi" w:hAnsiTheme="majorHAnsi" w:cstheme="majorHAnsi"/>
          <w:sz w:val="24"/>
          <w:szCs w:val="24"/>
          <w:lang w:val="ro-RO"/>
        </w:rPr>
        <w:t xml:space="preserve"> </w:t>
      </w:r>
      <w:r w:rsidRPr="00A77DBC">
        <w:rPr>
          <w:rFonts w:asciiTheme="majorHAnsi" w:hAnsiTheme="majorHAnsi" w:cstheme="majorHAnsi"/>
          <w:sz w:val="24"/>
          <w:szCs w:val="24"/>
          <w:lang w:val="ro-RO"/>
        </w:rPr>
        <w:t>beneficiarul a decedat sau a pierdut dreptul la prestație. Totodată, Rapoartele privind executarea BASS reflectă acest indicator egal cu zero.</w:t>
      </w:r>
    </w:p>
    <w:p w14:paraId="006BF85E" w14:textId="407761F6" w:rsidR="009C1E24" w:rsidRDefault="007B5882" w:rsidP="00856726">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În condițiile în care CNAS nu evaluează și reflectă sumele achitate necuvenit pentru suport</w:t>
      </w:r>
      <w:r w:rsidR="00F554C1">
        <w:rPr>
          <w:rFonts w:asciiTheme="majorHAnsi" w:hAnsiTheme="majorHAnsi" w:cstheme="majorHAnsi"/>
          <w:sz w:val="24"/>
          <w:szCs w:val="24"/>
          <w:lang w:val="ro-RO"/>
        </w:rPr>
        <w:t>ul</w:t>
      </w:r>
      <w:r w:rsidRPr="00341E6C">
        <w:rPr>
          <w:rFonts w:asciiTheme="majorHAnsi" w:hAnsiTheme="majorHAnsi" w:cstheme="majorHAnsi"/>
          <w:sz w:val="24"/>
          <w:szCs w:val="24"/>
          <w:lang w:val="ro-RO"/>
        </w:rPr>
        <w:t xml:space="preserve"> unic și suport</w:t>
      </w:r>
      <w:r w:rsidR="00F554C1">
        <w:rPr>
          <w:rFonts w:asciiTheme="majorHAnsi" w:hAnsiTheme="majorHAnsi" w:cstheme="majorHAnsi"/>
          <w:sz w:val="24"/>
          <w:szCs w:val="24"/>
          <w:lang w:val="ro-RO"/>
        </w:rPr>
        <w:t>ul</w:t>
      </w:r>
      <w:r w:rsidRPr="00341E6C">
        <w:rPr>
          <w:rFonts w:asciiTheme="majorHAnsi" w:hAnsiTheme="majorHAnsi" w:cstheme="majorHAnsi"/>
          <w:sz w:val="24"/>
          <w:szCs w:val="24"/>
          <w:lang w:val="ro-RO"/>
        </w:rPr>
        <w:t xml:space="preserve"> financiar, </w:t>
      </w:r>
      <w:r w:rsidR="006F5E0B">
        <w:rPr>
          <w:rFonts w:asciiTheme="majorHAnsi" w:hAnsiTheme="majorHAnsi" w:cstheme="majorHAnsi"/>
          <w:sz w:val="24"/>
          <w:szCs w:val="24"/>
          <w:lang w:val="ro-RO"/>
        </w:rPr>
        <w:t>nu este asigurată prezentarea fidelă</w:t>
      </w:r>
      <w:r w:rsidRPr="00341E6C">
        <w:rPr>
          <w:rFonts w:asciiTheme="majorHAnsi" w:hAnsiTheme="majorHAnsi" w:cstheme="majorHAnsi"/>
          <w:sz w:val="24"/>
          <w:szCs w:val="24"/>
          <w:lang w:val="ro-RO"/>
        </w:rPr>
        <w:t xml:space="preserve"> a utilizării mijloacelor financiare ale</w:t>
      </w:r>
      <w:r>
        <w:rPr>
          <w:rFonts w:asciiTheme="majorHAnsi" w:hAnsiTheme="majorHAnsi" w:cstheme="majorHAnsi"/>
          <w:sz w:val="24"/>
          <w:szCs w:val="24"/>
          <w:lang w:val="ro-RO"/>
        </w:rPr>
        <w:t xml:space="preserve"> bugetului de stat, plățile pentru aceste prestații fiind achitate din acest buget.</w:t>
      </w:r>
    </w:p>
    <w:p w14:paraId="3EF5F39B" w14:textId="77777777" w:rsidR="00A3740B" w:rsidRDefault="00A3740B" w:rsidP="00856726">
      <w:pPr>
        <w:spacing w:line="276" w:lineRule="auto"/>
        <w:jc w:val="both"/>
        <w:rPr>
          <w:rFonts w:asciiTheme="majorHAnsi" w:hAnsiTheme="majorHAnsi" w:cstheme="majorHAnsi"/>
          <w:sz w:val="24"/>
          <w:szCs w:val="24"/>
          <w:lang w:val="ro-RO"/>
        </w:rPr>
      </w:pPr>
    </w:p>
    <w:p w14:paraId="1D79EF78" w14:textId="3DE43201" w:rsidR="009C1E24" w:rsidRPr="009C1E24" w:rsidRDefault="009C1E24" w:rsidP="009B59B6">
      <w:pPr>
        <w:pStyle w:val="ListParagraph"/>
        <w:numPr>
          <w:ilvl w:val="1"/>
          <w:numId w:val="20"/>
        </w:numPr>
        <w:spacing w:line="276" w:lineRule="auto"/>
        <w:ind w:left="0" w:firstLine="0"/>
        <w:jc w:val="both"/>
        <w:outlineLvl w:val="1"/>
        <w:rPr>
          <w:rFonts w:asciiTheme="majorHAnsi" w:hAnsiTheme="majorHAnsi" w:cstheme="majorHAnsi"/>
          <w:sz w:val="28"/>
          <w:szCs w:val="24"/>
          <w:lang w:val="ro-RO"/>
        </w:rPr>
      </w:pPr>
      <w:r w:rsidRPr="009C1E24">
        <w:rPr>
          <w:rFonts w:asciiTheme="majorHAnsi" w:hAnsiTheme="majorHAnsi" w:cstheme="majorHAnsi"/>
          <w:b/>
          <w:sz w:val="24"/>
          <w:lang w:val="ro-RO"/>
        </w:rPr>
        <w:t>Funcțion</w:t>
      </w:r>
      <w:r w:rsidR="00F554C1">
        <w:rPr>
          <w:rFonts w:asciiTheme="majorHAnsi" w:hAnsiTheme="majorHAnsi" w:cstheme="majorHAnsi"/>
          <w:b/>
          <w:sz w:val="24"/>
          <w:lang w:val="ro-RO"/>
        </w:rPr>
        <w:t>area după principii diferite a</w:t>
      </w:r>
      <w:r w:rsidRPr="009C1E24">
        <w:rPr>
          <w:rFonts w:asciiTheme="majorHAnsi" w:hAnsiTheme="majorHAnsi" w:cstheme="majorHAnsi"/>
          <w:b/>
          <w:sz w:val="24"/>
          <w:lang w:val="ro-RO"/>
        </w:rPr>
        <w:t xml:space="preserve"> Sistemului Informațional „Protecți</w:t>
      </w:r>
      <w:r w:rsidR="004D760E">
        <w:rPr>
          <w:rFonts w:asciiTheme="majorHAnsi" w:hAnsiTheme="majorHAnsi" w:cstheme="majorHAnsi"/>
          <w:b/>
          <w:sz w:val="24"/>
          <w:lang w:val="ro-RO"/>
        </w:rPr>
        <w:t>a</w:t>
      </w:r>
      <w:r w:rsidRPr="009C1E24">
        <w:rPr>
          <w:rFonts w:asciiTheme="majorHAnsi" w:hAnsiTheme="majorHAnsi" w:cstheme="majorHAnsi"/>
          <w:b/>
          <w:sz w:val="24"/>
          <w:lang w:val="ro-RO"/>
        </w:rPr>
        <w:t xml:space="preserve"> Socială” față de normele de evidență contabilă a determinat denaturarea datelor înregistrate </w:t>
      </w:r>
      <w:r w:rsidR="00635906">
        <w:rPr>
          <w:rFonts w:asciiTheme="majorHAnsi" w:hAnsiTheme="majorHAnsi" w:cstheme="majorHAnsi"/>
          <w:b/>
          <w:sz w:val="24"/>
          <w:lang w:val="ro-RO"/>
        </w:rPr>
        <w:t>în evidența contabilă</w:t>
      </w:r>
      <w:r w:rsidRPr="009C1E24">
        <w:rPr>
          <w:rFonts w:asciiTheme="majorHAnsi" w:hAnsiTheme="majorHAnsi" w:cstheme="majorHAnsi"/>
          <w:b/>
          <w:sz w:val="24"/>
          <w:lang w:val="ro-RO"/>
        </w:rPr>
        <w:t xml:space="preserve"> </w:t>
      </w:r>
      <w:r w:rsidRPr="009C1E24">
        <w:rPr>
          <w:rFonts w:asciiTheme="majorHAnsi" w:hAnsiTheme="majorHAnsi" w:cstheme="majorHAnsi"/>
          <w:b/>
          <w:sz w:val="24"/>
          <w:lang w:val="ro-RO"/>
        </w:rPr>
        <w:lastRenderedPageBreak/>
        <w:t>și în rapoarte a creanțelor aferente prestațiilor sociale (</w:t>
      </w:r>
      <w:r w:rsidRPr="009C1E24">
        <w:rPr>
          <w:rFonts w:asciiTheme="majorHAnsi" w:hAnsiTheme="majorHAnsi" w:cstheme="majorHAnsi"/>
          <w:b/>
          <w:iCs/>
          <w:sz w:val="24"/>
          <w:lang w:val="ro-RO"/>
        </w:rPr>
        <w:t xml:space="preserve">pensii, indemnizații și alocații sociale de stat) plătite necuvenit beneficiarului, </w:t>
      </w:r>
      <w:r w:rsidR="00A77DBC">
        <w:rPr>
          <w:rFonts w:asciiTheme="majorHAnsi" w:hAnsiTheme="majorHAnsi" w:cstheme="majorHAnsi"/>
          <w:b/>
          <w:sz w:val="24"/>
          <w:lang w:val="ro-RO"/>
        </w:rPr>
        <w:t>cu 50,24 mii lei</w:t>
      </w:r>
      <w:r w:rsidR="004D760E">
        <w:rPr>
          <w:rFonts w:asciiTheme="majorHAnsi" w:hAnsiTheme="majorHAnsi" w:cstheme="majorHAnsi"/>
          <w:b/>
          <w:sz w:val="24"/>
          <w:lang w:val="ro-RO"/>
        </w:rPr>
        <w:t>.</w:t>
      </w:r>
      <w:r w:rsidRPr="009C1E24">
        <w:rPr>
          <w:rFonts w:asciiTheme="majorHAnsi" w:hAnsiTheme="majorHAnsi" w:cstheme="majorHAnsi"/>
          <w:b/>
          <w:sz w:val="24"/>
          <w:lang w:val="ro-RO"/>
        </w:rPr>
        <w:t xml:space="preserve"> </w:t>
      </w:r>
    </w:p>
    <w:p w14:paraId="69E49480" w14:textId="6E91A405" w:rsidR="009C1E24" w:rsidRDefault="009C1E24" w:rsidP="005B4004">
      <w:pPr>
        <w:pStyle w:val="NormalWeb"/>
        <w:spacing w:after="240" w:line="276" w:lineRule="auto"/>
        <w:ind w:firstLine="0"/>
        <w:rPr>
          <w:rFonts w:asciiTheme="majorHAnsi" w:hAnsiTheme="majorHAnsi" w:cstheme="majorHAnsi"/>
          <w:iCs/>
          <w:lang w:val="ro-RO"/>
        </w:rPr>
      </w:pPr>
      <w:r w:rsidRPr="00341E6C">
        <w:rPr>
          <w:rFonts w:asciiTheme="majorHAnsi" w:hAnsiTheme="majorHAnsi" w:cstheme="majorHAnsi"/>
          <w:lang w:val="ro-RO"/>
        </w:rPr>
        <w:t>În cadrul CNAS funcționează 2 sisteme</w:t>
      </w:r>
      <w:r w:rsidR="004D760E">
        <w:rPr>
          <w:rFonts w:asciiTheme="majorHAnsi" w:hAnsiTheme="majorHAnsi" w:cstheme="majorHAnsi"/>
          <w:lang w:val="ro-RO"/>
        </w:rPr>
        <w:t>:</w:t>
      </w:r>
      <w:r w:rsidRPr="00341E6C">
        <w:rPr>
          <w:rFonts w:asciiTheme="majorHAnsi" w:hAnsiTheme="majorHAnsi" w:cstheme="majorHAnsi"/>
          <w:lang w:val="ro-RO"/>
        </w:rPr>
        <w:t xml:space="preserve"> SI „Protecția Socială”</w:t>
      </w:r>
      <w:r w:rsidR="004D760E">
        <w:rPr>
          <w:rFonts w:asciiTheme="majorHAnsi" w:hAnsiTheme="majorHAnsi" w:cstheme="majorHAnsi"/>
          <w:lang w:val="ro-RO"/>
        </w:rPr>
        <w:t>,</w:t>
      </w:r>
      <w:r w:rsidRPr="00341E6C">
        <w:rPr>
          <w:rFonts w:asciiTheme="majorHAnsi" w:hAnsiTheme="majorHAnsi" w:cstheme="majorHAnsi"/>
          <w:lang w:val="ro-RO"/>
        </w:rPr>
        <w:t xml:space="preserve"> care asigură  stabilirea, calcularea, plata prestațiilor sociale</w:t>
      </w:r>
      <w:r w:rsidR="004D760E">
        <w:rPr>
          <w:rFonts w:asciiTheme="majorHAnsi" w:hAnsiTheme="majorHAnsi" w:cstheme="majorHAnsi"/>
          <w:lang w:val="ro-RO"/>
        </w:rPr>
        <w:t>,</w:t>
      </w:r>
      <w:r w:rsidRPr="00341E6C">
        <w:rPr>
          <w:rFonts w:asciiTheme="majorHAnsi" w:hAnsiTheme="majorHAnsi" w:cstheme="majorHAnsi"/>
          <w:lang w:val="ro-RO"/>
        </w:rPr>
        <w:t xml:space="preserve"> precum și evidența beneficiarilor</w:t>
      </w:r>
      <w:r w:rsidR="004D760E">
        <w:rPr>
          <w:rFonts w:asciiTheme="majorHAnsi" w:hAnsiTheme="majorHAnsi" w:cstheme="majorHAnsi"/>
          <w:lang w:val="ro-RO"/>
        </w:rPr>
        <w:t>,</w:t>
      </w:r>
      <w:r w:rsidRPr="00341E6C">
        <w:rPr>
          <w:rFonts w:asciiTheme="majorHAnsi" w:hAnsiTheme="majorHAnsi" w:cstheme="majorHAnsi"/>
          <w:lang w:val="ro-RO"/>
        </w:rPr>
        <w:t xml:space="preserve"> și SI 1C</w:t>
      </w:r>
      <w:r w:rsidR="004D760E">
        <w:rPr>
          <w:rFonts w:asciiTheme="majorHAnsi" w:hAnsiTheme="majorHAnsi" w:cstheme="majorHAnsi"/>
          <w:lang w:val="ro-RO"/>
        </w:rPr>
        <w:t>,</w:t>
      </w:r>
      <w:r w:rsidRPr="00341E6C">
        <w:rPr>
          <w:rFonts w:asciiTheme="majorHAnsi" w:hAnsiTheme="majorHAnsi" w:cstheme="majorHAnsi"/>
          <w:lang w:val="ro-RO"/>
        </w:rPr>
        <w:t xml:space="preserve"> care este un siste</w:t>
      </w:r>
      <w:r w:rsidR="00F554C1">
        <w:rPr>
          <w:rFonts w:asciiTheme="majorHAnsi" w:hAnsiTheme="majorHAnsi" w:cstheme="majorHAnsi"/>
          <w:lang w:val="ro-RO"/>
        </w:rPr>
        <w:t>m de contabilizare și raportare</w:t>
      </w:r>
      <w:r w:rsidRPr="00341E6C">
        <w:rPr>
          <w:rFonts w:asciiTheme="majorHAnsi" w:hAnsiTheme="majorHAnsi" w:cstheme="majorHAnsi"/>
          <w:lang w:val="ro-RO"/>
        </w:rPr>
        <w:t xml:space="preserve"> financiară. Pentru primul, procesul de generare a rapoartelor se începe din data de 15 a lunii curente şi se finalizează la data de 14 a lunii următoare. Comparativ cu cel de-al doilea</w:t>
      </w:r>
      <w:r w:rsidR="00F554C1">
        <w:rPr>
          <w:rFonts w:asciiTheme="majorHAnsi" w:hAnsiTheme="majorHAnsi" w:cstheme="majorHAnsi"/>
          <w:lang w:val="ro-RO"/>
        </w:rPr>
        <w:t xml:space="preserve"> sistem informațional</w:t>
      </w:r>
      <w:r w:rsidRPr="00341E6C">
        <w:rPr>
          <w:rFonts w:asciiTheme="majorHAnsi" w:hAnsiTheme="majorHAnsi" w:cstheme="majorHAnsi"/>
          <w:lang w:val="ro-RO"/>
        </w:rPr>
        <w:t xml:space="preserve"> care are la bază principiile Legii contabilității</w:t>
      </w:r>
      <w:r w:rsidRPr="00341E6C">
        <w:rPr>
          <w:rStyle w:val="FootnoteReference"/>
          <w:rFonts w:asciiTheme="majorHAnsi" w:hAnsiTheme="majorHAnsi" w:cstheme="majorHAnsi"/>
          <w:lang w:val="ro-RO"/>
        </w:rPr>
        <w:footnoteReference w:id="32"/>
      </w:r>
      <w:r w:rsidRPr="00341E6C">
        <w:rPr>
          <w:rFonts w:asciiTheme="majorHAnsi" w:hAnsiTheme="majorHAnsi" w:cstheme="majorHAnsi"/>
          <w:lang w:val="ro-RO"/>
        </w:rPr>
        <w:t xml:space="preserve">, perioada de gestiune este stabilită de la 1 ianuarie până la 31 decembrie. Astfel, neconcordanța între aceste două sisteme </w:t>
      </w:r>
      <w:r w:rsidRPr="00341E6C">
        <w:rPr>
          <w:rFonts w:asciiTheme="majorHAnsi" w:hAnsiTheme="majorHAnsi" w:cstheme="majorHAnsi"/>
          <w:iCs/>
          <w:lang w:val="ro-RO"/>
        </w:rPr>
        <w:t xml:space="preserve">afectează </w:t>
      </w:r>
      <w:r w:rsidRPr="00341E6C">
        <w:rPr>
          <w:rFonts w:asciiTheme="majorHAnsi" w:hAnsiTheme="majorHAnsi" w:cstheme="majorHAnsi"/>
          <w:lang w:val="ro-RO"/>
        </w:rPr>
        <w:t xml:space="preserve">acuratețea datelor înregistrate în evidența contabilă și în rapoarte. Această eroare este caracteristică creanțelor aferente </w:t>
      </w:r>
      <w:r w:rsidRPr="00341E6C">
        <w:rPr>
          <w:rFonts w:asciiTheme="majorHAnsi" w:hAnsiTheme="majorHAnsi" w:cstheme="majorHAnsi"/>
          <w:iCs/>
          <w:lang w:val="ro-RO"/>
        </w:rPr>
        <w:t>pensiilor, indemnizațiilor și alocațiilor sociale de stat plătite necuvenit beneficiarului.</w:t>
      </w:r>
    </w:p>
    <w:p w14:paraId="02E69260" w14:textId="16C791A2" w:rsidR="000929E5" w:rsidRPr="000929E5" w:rsidRDefault="000929E5" w:rsidP="000929E5">
      <w:pPr>
        <w:pStyle w:val="ListParagraph"/>
        <w:numPr>
          <w:ilvl w:val="1"/>
          <w:numId w:val="20"/>
        </w:numPr>
        <w:spacing w:after="0" w:line="276" w:lineRule="auto"/>
        <w:ind w:left="0" w:firstLine="0"/>
        <w:jc w:val="both"/>
        <w:outlineLvl w:val="1"/>
        <w:rPr>
          <w:rFonts w:asciiTheme="majorHAnsi" w:hAnsiTheme="majorHAnsi" w:cstheme="majorHAnsi"/>
          <w:b/>
          <w:sz w:val="24"/>
          <w:szCs w:val="24"/>
          <w:lang w:val="ro-RO"/>
        </w:rPr>
      </w:pPr>
      <w:r w:rsidRPr="000929E5">
        <w:rPr>
          <w:rFonts w:asciiTheme="majorHAnsi" w:hAnsiTheme="majorHAnsi" w:cstheme="majorHAnsi"/>
          <w:b/>
          <w:sz w:val="24"/>
          <w:szCs w:val="24"/>
          <w:lang w:val="ro-RO"/>
        </w:rPr>
        <w:t xml:space="preserve">Lipsa unor rapoarte de evidență a indemnizațiilor pentru incapacitate de muncă cauzată de accidente de muncă sau boală profesională, nu asigură o imagine de ansamblu cu privire la executarea acestui tip de prestație în anul 2020, pentru care s-au utilizat 930,7 mii lei din BASS. De asemenea, depășirea termenului de acordare a indemnizației până la 9 luni a privat beneficiarul de a obține această prestație în timp util, precum și a dus la reflectarea sumelor necorespunzătoare perioadei de gestiune </w:t>
      </w:r>
      <w:r w:rsidR="00757F72">
        <w:rPr>
          <w:rFonts w:asciiTheme="majorHAnsi" w:hAnsiTheme="majorHAnsi" w:cstheme="majorHAnsi"/>
          <w:b/>
          <w:sz w:val="24"/>
          <w:szCs w:val="24"/>
          <w:lang w:val="ro-RO"/>
        </w:rPr>
        <w:t>cu 36,9 mii lei</w:t>
      </w:r>
      <w:r w:rsidR="004D760E">
        <w:rPr>
          <w:rFonts w:asciiTheme="majorHAnsi" w:hAnsiTheme="majorHAnsi" w:cstheme="majorHAnsi"/>
          <w:b/>
          <w:sz w:val="24"/>
          <w:szCs w:val="24"/>
          <w:lang w:val="ro-RO"/>
        </w:rPr>
        <w:t>.</w:t>
      </w:r>
    </w:p>
    <w:p w14:paraId="628A2778" w14:textId="154DCA1D" w:rsidR="000929E5" w:rsidRPr="00341E6C" w:rsidRDefault="000929E5" w:rsidP="000929E5">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Potrivit prevederilor legale</w:t>
      </w:r>
      <w:r w:rsidRPr="00341E6C">
        <w:rPr>
          <w:rStyle w:val="FootnoteReference"/>
          <w:rFonts w:asciiTheme="majorHAnsi" w:hAnsiTheme="majorHAnsi" w:cstheme="majorHAnsi"/>
          <w:sz w:val="24"/>
          <w:szCs w:val="24"/>
          <w:lang w:val="ro-RO"/>
        </w:rPr>
        <w:footnoteReference w:id="33"/>
      </w:r>
      <w:r w:rsidRPr="00341E6C">
        <w:rPr>
          <w:rFonts w:asciiTheme="majorHAnsi" w:hAnsiTheme="majorHAnsi" w:cstheme="majorHAnsi"/>
          <w:sz w:val="24"/>
          <w:szCs w:val="24"/>
          <w:lang w:val="ro-RO"/>
        </w:rPr>
        <w:t>, pe durata incapacității temporare de muncă cauzate de un accident de muncă sau de o boală profesională, asigurații beneficiază de indemnizație. Indemnizația pentru incapacitate temporară de muncă se plătește pentru 20 de zile calendaristice, calculate de la data pierderii temporare a capacității de muncă, de către angajatorul la care s-a produs accidentul de muncă sau s-a constatat îmbolnăvirea profesională, din mijloacele proprii, iar din a 21-a zi calendaris</w:t>
      </w:r>
      <w:r w:rsidR="00757F72">
        <w:rPr>
          <w:rFonts w:asciiTheme="majorHAnsi" w:hAnsiTheme="majorHAnsi" w:cstheme="majorHAnsi"/>
          <w:sz w:val="24"/>
          <w:szCs w:val="24"/>
          <w:lang w:val="ro-RO"/>
        </w:rPr>
        <w:t xml:space="preserve">tică </w:t>
      </w:r>
      <w:r w:rsidR="004D760E">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de către Casa Națională de Asigurări Sociale, din mijloacele bugetului asigurărilor sociale de stat. </w:t>
      </w:r>
    </w:p>
    <w:p w14:paraId="69190215" w14:textId="5EE1B419" w:rsidR="000929E5" w:rsidRPr="00341E6C" w:rsidRDefault="000929E5" w:rsidP="000929E5">
      <w:pPr>
        <w:tabs>
          <w:tab w:val="left" w:pos="851"/>
        </w:tabs>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S-a constatat că</w:t>
      </w:r>
      <w:r w:rsidR="004D760E">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pentru 70,6% din indemnizații</w:t>
      </w:r>
      <w:r w:rsidR="004D760E">
        <w:rPr>
          <w:rFonts w:asciiTheme="majorHAnsi" w:hAnsiTheme="majorHAnsi" w:cstheme="majorHAnsi"/>
          <w:sz w:val="24"/>
          <w:szCs w:val="24"/>
          <w:lang w:val="ro-RO"/>
        </w:rPr>
        <w:t>le</w:t>
      </w:r>
      <w:r w:rsidRPr="00341E6C">
        <w:rPr>
          <w:rFonts w:asciiTheme="majorHAnsi" w:hAnsiTheme="majorHAnsi" w:cstheme="majorHAnsi"/>
          <w:sz w:val="24"/>
          <w:szCs w:val="24"/>
          <w:lang w:val="ro-RO"/>
        </w:rPr>
        <w:t xml:space="preserve"> pentru incapacitatea temporară de muncă verificate (34 decizii)</w:t>
      </w:r>
      <w:r w:rsidR="004D760E">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termenul de 30 zile de examinare a acordării indemnizației a fost depășit de la 31 până la 268 </w:t>
      </w:r>
      <w:r w:rsidR="004D760E">
        <w:rPr>
          <w:rFonts w:asciiTheme="majorHAnsi" w:hAnsiTheme="majorHAnsi" w:cstheme="majorHAnsi"/>
          <w:sz w:val="24"/>
          <w:szCs w:val="24"/>
          <w:lang w:val="ro-RO"/>
        </w:rPr>
        <w:t xml:space="preserve">de </w:t>
      </w:r>
      <w:r w:rsidRPr="00341E6C">
        <w:rPr>
          <w:rFonts w:asciiTheme="majorHAnsi" w:hAnsiTheme="majorHAnsi" w:cstheme="majorHAnsi"/>
          <w:sz w:val="24"/>
          <w:szCs w:val="24"/>
          <w:lang w:val="ro-RO"/>
        </w:rPr>
        <w:t>zile. Situați</w:t>
      </w:r>
      <w:r>
        <w:rPr>
          <w:rFonts w:asciiTheme="majorHAnsi" w:hAnsiTheme="majorHAnsi" w:cstheme="majorHAnsi"/>
          <w:sz w:val="24"/>
          <w:szCs w:val="24"/>
          <w:lang w:val="ro-RO"/>
        </w:rPr>
        <w:t>a</w:t>
      </w:r>
      <w:r w:rsidRPr="00341E6C">
        <w:rPr>
          <w:rFonts w:asciiTheme="majorHAnsi" w:hAnsiTheme="majorHAnsi" w:cstheme="majorHAnsi"/>
          <w:sz w:val="24"/>
          <w:szCs w:val="24"/>
          <w:lang w:val="ro-RO"/>
        </w:rPr>
        <w:t xml:space="preserve"> a fost cauzată de introducerea și transmiterea eronată a datelor în Portalul certificatelor de concediu medical de către instituțiile medicale. Aceste circumstanțe a</w:t>
      </w:r>
      <w:r w:rsidR="005F50E7">
        <w:rPr>
          <w:rFonts w:asciiTheme="majorHAnsi" w:hAnsiTheme="majorHAnsi" w:cstheme="majorHAnsi"/>
          <w:sz w:val="24"/>
          <w:szCs w:val="24"/>
          <w:lang w:val="ro-RO"/>
        </w:rPr>
        <w:t>u</w:t>
      </w:r>
      <w:r w:rsidRPr="00341E6C">
        <w:rPr>
          <w:rFonts w:asciiTheme="majorHAnsi" w:hAnsiTheme="majorHAnsi" w:cstheme="majorHAnsi"/>
          <w:sz w:val="24"/>
          <w:szCs w:val="24"/>
          <w:lang w:val="ro-RO"/>
        </w:rPr>
        <w:t xml:space="preserve"> condus la reflectarea a 36,9 mii lei necorespunzător perioadei de gestiune și privarea beneficiarilor la dreptul la indemnizație în termen</w:t>
      </w:r>
      <w:r w:rsidR="004D760E">
        <w:rPr>
          <w:rFonts w:asciiTheme="majorHAnsi" w:hAnsiTheme="majorHAnsi" w:cstheme="majorHAnsi"/>
          <w:sz w:val="24"/>
          <w:szCs w:val="24"/>
          <w:lang w:val="ro-RO"/>
        </w:rPr>
        <w:t>ele</w:t>
      </w:r>
      <w:r w:rsidRPr="00341E6C">
        <w:rPr>
          <w:rFonts w:asciiTheme="majorHAnsi" w:hAnsiTheme="majorHAnsi" w:cstheme="majorHAnsi"/>
          <w:sz w:val="24"/>
          <w:szCs w:val="24"/>
          <w:lang w:val="ro-RO"/>
        </w:rPr>
        <w:t xml:space="preserve"> prevăzu</w:t>
      </w:r>
      <w:r w:rsidR="004D760E">
        <w:rPr>
          <w:rFonts w:asciiTheme="majorHAnsi" w:hAnsiTheme="majorHAnsi" w:cstheme="majorHAnsi"/>
          <w:sz w:val="24"/>
          <w:szCs w:val="24"/>
          <w:lang w:val="ro-RO"/>
        </w:rPr>
        <w:t>te</w:t>
      </w:r>
      <w:r w:rsidRPr="00341E6C">
        <w:rPr>
          <w:rFonts w:asciiTheme="majorHAnsi" w:hAnsiTheme="majorHAnsi" w:cstheme="majorHAnsi"/>
          <w:sz w:val="24"/>
          <w:szCs w:val="24"/>
          <w:lang w:val="ro-RO"/>
        </w:rPr>
        <w:t>.</w:t>
      </w:r>
    </w:p>
    <w:p w14:paraId="7F71C826" w14:textId="06113510" w:rsidR="000929E5" w:rsidRPr="003D3301" w:rsidRDefault="000929E5" w:rsidP="000929E5">
      <w:pPr>
        <w:tabs>
          <w:tab w:val="left" w:pos="851"/>
        </w:tabs>
        <w:spacing w:line="276" w:lineRule="auto"/>
        <w:jc w:val="both"/>
        <w:rPr>
          <w:rFonts w:asciiTheme="majorHAnsi" w:hAnsiTheme="majorHAnsi" w:cstheme="majorHAnsi"/>
          <w:sz w:val="24"/>
          <w:szCs w:val="24"/>
          <w:highlight w:val="yellow"/>
          <w:lang w:val="ro-RO"/>
        </w:rPr>
      </w:pPr>
      <w:r w:rsidRPr="00341E6C">
        <w:rPr>
          <w:rFonts w:asciiTheme="majorHAnsi" w:hAnsiTheme="majorHAnsi" w:cstheme="majorHAnsi"/>
          <w:sz w:val="24"/>
          <w:szCs w:val="24"/>
          <w:lang w:val="ro-RO"/>
        </w:rPr>
        <w:t xml:space="preserve">De asemenea, s-a identificat că sumele calculate de CNAS conform Deciziilor de stabilire a indemnizației nu sunt însoțite de o evidență separată, fapt ce nu asigură o imagine completă asupra executării acestei prestații. Raportul privind executarea BASS (Formularul nr.7) reflectă doar sumele calculate și achitate de angajator, fiind excluse cele achitate de CNAS. Această situație a fost determinată de lipsa unor rapoarte și </w:t>
      </w:r>
      <w:r w:rsidR="006B1C18">
        <w:rPr>
          <w:rFonts w:asciiTheme="majorHAnsi" w:hAnsiTheme="majorHAnsi" w:cstheme="majorHAnsi"/>
          <w:sz w:val="24"/>
          <w:szCs w:val="24"/>
          <w:lang w:val="ro-RO"/>
        </w:rPr>
        <w:t xml:space="preserve">a </w:t>
      </w:r>
      <w:r w:rsidRPr="00341E6C">
        <w:rPr>
          <w:rFonts w:asciiTheme="majorHAnsi" w:hAnsiTheme="majorHAnsi" w:cstheme="majorHAnsi"/>
          <w:sz w:val="24"/>
          <w:szCs w:val="24"/>
          <w:lang w:val="ro-RO"/>
        </w:rPr>
        <w:t>evidenț</w:t>
      </w:r>
      <w:r w:rsidR="006B1C18">
        <w:rPr>
          <w:rFonts w:asciiTheme="majorHAnsi" w:hAnsiTheme="majorHAnsi" w:cstheme="majorHAnsi"/>
          <w:sz w:val="24"/>
          <w:szCs w:val="24"/>
          <w:lang w:val="ro-RO"/>
        </w:rPr>
        <w:t>ei</w:t>
      </w:r>
      <w:r w:rsidRPr="00341E6C">
        <w:rPr>
          <w:rFonts w:asciiTheme="majorHAnsi" w:hAnsiTheme="majorHAnsi" w:cstheme="majorHAnsi"/>
          <w:sz w:val="24"/>
          <w:szCs w:val="24"/>
          <w:lang w:val="ro-RO"/>
        </w:rPr>
        <w:t xml:space="preserve"> contabil</w:t>
      </w:r>
      <w:r w:rsidR="006B1C18">
        <w:rPr>
          <w:rFonts w:asciiTheme="majorHAnsi" w:hAnsiTheme="majorHAnsi" w:cstheme="majorHAnsi"/>
          <w:sz w:val="24"/>
          <w:szCs w:val="24"/>
          <w:lang w:val="ro-RO"/>
        </w:rPr>
        <w:t>e</w:t>
      </w:r>
      <w:r w:rsidRPr="00341E6C">
        <w:rPr>
          <w:rFonts w:asciiTheme="majorHAnsi" w:hAnsiTheme="majorHAnsi" w:cstheme="majorHAnsi"/>
          <w:sz w:val="24"/>
          <w:szCs w:val="24"/>
          <w:lang w:val="ro-RO"/>
        </w:rPr>
        <w:t xml:space="preserve"> separat</w:t>
      </w:r>
      <w:r w:rsidR="006B1C18">
        <w:rPr>
          <w:rFonts w:asciiTheme="majorHAnsi" w:hAnsiTheme="majorHAnsi" w:cstheme="majorHAnsi"/>
          <w:sz w:val="24"/>
          <w:szCs w:val="24"/>
          <w:lang w:val="ro-RO"/>
        </w:rPr>
        <w:t>e</w:t>
      </w:r>
      <w:r w:rsidRPr="00341E6C">
        <w:rPr>
          <w:rFonts w:asciiTheme="majorHAnsi" w:hAnsiTheme="majorHAnsi" w:cstheme="majorHAnsi"/>
          <w:sz w:val="24"/>
          <w:szCs w:val="24"/>
          <w:lang w:val="ro-RO"/>
        </w:rPr>
        <w:t xml:space="preserve"> pentru acest tip de prestație, care afectează veridicitatea sumei raportate aferente indemnizației pentru incapacitatea temporară de muncă cauzată de un accident de muncă sau de o boală profesională, fiind subevaluată cu</w:t>
      </w:r>
      <w:r>
        <w:rPr>
          <w:rFonts w:asciiTheme="majorHAnsi" w:hAnsiTheme="majorHAnsi" w:cstheme="majorHAnsi"/>
          <w:sz w:val="24"/>
          <w:szCs w:val="24"/>
          <w:lang w:val="ro-RO"/>
        </w:rPr>
        <w:t xml:space="preserve"> 930,7 mii</w:t>
      </w:r>
      <w:r w:rsidRPr="00341E6C">
        <w:rPr>
          <w:rFonts w:asciiTheme="majorHAnsi" w:hAnsiTheme="majorHAnsi" w:cstheme="majorHAnsi"/>
          <w:sz w:val="24"/>
          <w:szCs w:val="24"/>
          <w:lang w:val="ro-RO"/>
        </w:rPr>
        <w:t xml:space="preserve"> lei. Se menționează că indemnizațiile respective a</w:t>
      </w:r>
      <w:r w:rsidR="005F50E7">
        <w:rPr>
          <w:rFonts w:asciiTheme="majorHAnsi" w:hAnsiTheme="majorHAnsi" w:cstheme="majorHAnsi"/>
          <w:sz w:val="24"/>
          <w:szCs w:val="24"/>
          <w:lang w:val="ro-RO"/>
        </w:rPr>
        <w:t>u</w:t>
      </w:r>
      <w:r w:rsidRPr="00341E6C">
        <w:rPr>
          <w:rFonts w:asciiTheme="majorHAnsi" w:hAnsiTheme="majorHAnsi" w:cstheme="majorHAnsi"/>
          <w:sz w:val="24"/>
          <w:szCs w:val="24"/>
          <w:lang w:val="ro-RO"/>
        </w:rPr>
        <w:t xml:space="preserve"> fost raportate </w:t>
      </w:r>
      <w:r w:rsidRPr="00341E6C">
        <w:rPr>
          <w:rFonts w:asciiTheme="majorHAnsi" w:hAnsiTheme="majorHAnsi" w:cstheme="majorHAnsi"/>
          <w:sz w:val="24"/>
          <w:szCs w:val="24"/>
          <w:lang w:val="ro-RO"/>
        </w:rPr>
        <w:lastRenderedPageBreak/>
        <w:t>în componența indemnizațiilor privind incapaci</w:t>
      </w:r>
      <w:r w:rsidR="005F50E7">
        <w:rPr>
          <w:rFonts w:asciiTheme="majorHAnsi" w:hAnsiTheme="majorHAnsi" w:cstheme="majorHAnsi"/>
          <w:sz w:val="24"/>
          <w:szCs w:val="24"/>
          <w:lang w:val="ro-RO"/>
        </w:rPr>
        <w:t>tatea temporară de muncă cauzată</w:t>
      </w:r>
      <w:r w:rsidRPr="00341E6C">
        <w:rPr>
          <w:rFonts w:asciiTheme="majorHAnsi" w:hAnsiTheme="majorHAnsi" w:cstheme="majorHAnsi"/>
          <w:sz w:val="24"/>
          <w:szCs w:val="24"/>
          <w:lang w:val="ro-RO"/>
        </w:rPr>
        <w:t xml:space="preserve"> de boli obișnuite, acestea din urmă fiind supraevaluate în ace</w:t>
      </w:r>
      <w:r w:rsidR="006B1C18">
        <w:rPr>
          <w:rFonts w:asciiTheme="majorHAnsi" w:hAnsiTheme="majorHAnsi" w:cstheme="majorHAnsi"/>
          <w:sz w:val="24"/>
          <w:szCs w:val="24"/>
          <w:lang w:val="ro-RO"/>
        </w:rPr>
        <w:t>e</w:t>
      </w:r>
      <w:r w:rsidRPr="00341E6C">
        <w:rPr>
          <w:rFonts w:asciiTheme="majorHAnsi" w:hAnsiTheme="majorHAnsi" w:cstheme="majorHAnsi"/>
          <w:sz w:val="24"/>
          <w:szCs w:val="24"/>
          <w:lang w:val="ro-RO"/>
        </w:rPr>
        <w:t>ași mărime.</w:t>
      </w:r>
    </w:p>
    <w:p w14:paraId="0AA137CE" w14:textId="62B244F4" w:rsidR="005B4004" w:rsidRPr="000929E5" w:rsidRDefault="005B4004" w:rsidP="000929E5">
      <w:pPr>
        <w:pStyle w:val="ListParagraph"/>
        <w:numPr>
          <w:ilvl w:val="1"/>
          <w:numId w:val="20"/>
        </w:numPr>
        <w:spacing w:after="0" w:line="276" w:lineRule="auto"/>
        <w:ind w:left="0" w:firstLine="0"/>
        <w:jc w:val="both"/>
        <w:outlineLvl w:val="1"/>
        <w:rPr>
          <w:rFonts w:asciiTheme="majorHAnsi" w:hAnsiTheme="majorHAnsi" w:cstheme="majorHAnsi"/>
          <w:b/>
          <w:sz w:val="24"/>
          <w:szCs w:val="24"/>
          <w:lang w:val="ro-RO"/>
        </w:rPr>
      </w:pPr>
      <w:r w:rsidRPr="000929E5">
        <w:rPr>
          <w:rFonts w:asciiTheme="majorHAnsi" w:hAnsiTheme="majorHAnsi" w:cstheme="majorHAnsi"/>
          <w:b/>
          <w:sz w:val="24"/>
          <w:szCs w:val="24"/>
          <w:lang w:val="ro-RO"/>
        </w:rPr>
        <w:t>Insuficiența reglementărilor cu privire la raportarea creanțelor și datoriilor cu termen de prescripție expirat aferente prestațiilor sociale, nu asigură o imagine fidelă, precum și duce la supraevaluarea datoriilor și creanțelor existente</w:t>
      </w:r>
    </w:p>
    <w:p w14:paraId="65E681B2" w14:textId="0A45EBB7" w:rsidR="005B4004" w:rsidRPr="00341E6C" w:rsidRDefault="005B4004" w:rsidP="005B4004">
      <w:pPr>
        <w:spacing w:line="276" w:lineRule="auto"/>
        <w:jc w:val="both"/>
        <w:rPr>
          <w:rFonts w:asciiTheme="majorHAnsi" w:hAnsiTheme="majorHAnsi" w:cstheme="majorHAnsi"/>
          <w:b/>
          <w:sz w:val="24"/>
          <w:szCs w:val="24"/>
          <w:lang w:val="ro-RO"/>
        </w:rPr>
      </w:pPr>
      <w:r w:rsidRPr="00341E6C">
        <w:rPr>
          <w:rFonts w:asciiTheme="majorHAnsi" w:hAnsiTheme="majorHAnsi" w:cstheme="majorHAnsi"/>
          <w:sz w:val="24"/>
          <w:szCs w:val="24"/>
          <w:lang w:val="ro-RO"/>
        </w:rPr>
        <w:t>În componența creanțelor cu termen expirat se reflectă sumele achitate în prealabil de către Casa Naţională de Asigurări Sociale, pentru care nu au fost respectate termenele de executare a obligaţiilor din partea persoanelor fizice/juridice, prevăzute în actele legislative, normative şi juridice în vigoare, iar în componența datoriilor cu termen expirat se reflectă sumele neachitate persoanelor fizice/juridice de către CNAS, pentru care nu au fost respectate termenele. Totodată, normele de raportare</w:t>
      </w:r>
      <w:r w:rsidRPr="00341E6C">
        <w:rPr>
          <w:rStyle w:val="FootnoteReference"/>
          <w:rFonts w:asciiTheme="majorHAnsi" w:hAnsiTheme="majorHAnsi" w:cstheme="majorHAnsi"/>
          <w:sz w:val="24"/>
          <w:szCs w:val="24"/>
          <w:lang w:val="ro-RO"/>
        </w:rPr>
        <w:footnoteReference w:id="34"/>
      </w:r>
      <w:r w:rsidRPr="00341E6C">
        <w:rPr>
          <w:rFonts w:asciiTheme="majorHAnsi" w:hAnsiTheme="majorHAnsi" w:cstheme="majorHAnsi"/>
          <w:sz w:val="24"/>
          <w:szCs w:val="24"/>
          <w:lang w:val="ro-RO"/>
        </w:rPr>
        <w:t xml:space="preserve"> menționează că în Raportul privind executarea BASS la partea de cheltuieli și active nefinanciare (formularul nr.4.1. CNAS), pozițiile prestațiilor sociale cu privire la creanțele și datoriile cu termen expirat nu se completează.</w:t>
      </w:r>
    </w:p>
    <w:p w14:paraId="570A7BC7" w14:textId="7FF432B0" w:rsidR="005B4004" w:rsidRPr="00341E6C" w:rsidRDefault="005B4004" w:rsidP="009D6FE1">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Codul </w:t>
      </w:r>
      <w:r w:rsidR="006B1C18">
        <w:rPr>
          <w:rFonts w:asciiTheme="majorHAnsi" w:hAnsiTheme="majorHAnsi" w:cstheme="majorHAnsi"/>
          <w:sz w:val="24"/>
          <w:szCs w:val="24"/>
          <w:lang w:val="ro-RO"/>
        </w:rPr>
        <w:t>c</w:t>
      </w:r>
      <w:r w:rsidRPr="00341E6C">
        <w:rPr>
          <w:rFonts w:asciiTheme="majorHAnsi" w:hAnsiTheme="majorHAnsi" w:cstheme="majorHAnsi"/>
          <w:sz w:val="24"/>
          <w:szCs w:val="24"/>
          <w:lang w:val="ro-RO"/>
        </w:rPr>
        <w:t>ivil</w:t>
      </w:r>
      <w:r w:rsidR="00C25300">
        <w:rPr>
          <w:rFonts w:asciiTheme="majorHAnsi" w:hAnsiTheme="majorHAnsi" w:cstheme="majorHAnsi"/>
          <w:sz w:val="24"/>
          <w:szCs w:val="24"/>
          <w:lang w:val="ro-RO"/>
        </w:rPr>
        <w:t xml:space="preserve"> al Republicii Moldova</w:t>
      </w:r>
      <w:r w:rsidRPr="00341E6C">
        <w:rPr>
          <w:rStyle w:val="FootnoteReference"/>
          <w:rFonts w:asciiTheme="majorHAnsi" w:hAnsiTheme="majorHAnsi" w:cstheme="majorHAnsi"/>
          <w:sz w:val="24"/>
          <w:szCs w:val="24"/>
          <w:lang w:val="ro-RO"/>
        </w:rPr>
        <w:footnoteReference w:id="35"/>
      </w:r>
      <w:r w:rsidRPr="00341E6C">
        <w:rPr>
          <w:rFonts w:asciiTheme="majorHAnsi" w:hAnsiTheme="majorHAnsi" w:cstheme="majorHAnsi"/>
          <w:sz w:val="24"/>
          <w:szCs w:val="24"/>
          <w:lang w:val="ro-RO"/>
        </w:rPr>
        <w:t xml:space="preserve"> prevede că termenul general în interiorul căruia persoana poate să-şi apere, pe calea intentării unei acţiuni în instanţă de judecată, dreptul încălcat este de 3 ani. De asemenea</w:t>
      </w:r>
      <w:r w:rsidR="006B1C1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pentru alocații, indemnizații, H</w:t>
      </w:r>
      <w:r w:rsidR="00757F72">
        <w:rPr>
          <w:rFonts w:asciiTheme="majorHAnsi" w:hAnsiTheme="majorHAnsi" w:cstheme="majorHAnsi"/>
          <w:sz w:val="24"/>
          <w:szCs w:val="24"/>
          <w:lang w:val="ro-RO"/>
        </w:rPr>
        <w:t xml:space="preserve">otărârea </w:t>
      </w:r>
      <w:r w:rsidRPr="00341E6C">
        <w:rPr>
          <w:rFonts w:asciiTheme="majorHAnsi" w:hAnsiTheme="majorHAnsi" w:cstheme="majorHAnsi"/>
          <w:sz w:val="24"/>
          <w:szCs w:val="24"/>
          <w:lang w:val="ro-RO"/>
        </w:rPr>
        <w:t>G</w:t>
      </w:r>
      <w:r w:rsidR="00757F72">
        <w:rPr>
          <w:rFonts w:asciiTheme="majorHAnsi" w:hAnsiTheme="majorHAnsi" w:cstheme="majorHAnsi"/>
          <w:sz w:val="24"/>
          <w:szCs w:val="24"/>
          <w:lang w:val="ro-RO"/>
        </w:rPr>
        <w:t xml:space="preserve">uvernului </w:t>
      </w:r>
      <w:r w:rsidR="00C25300">
        <w:rPr>
          <w:rFonts w:asciiTheme="majorHAnsi" w:hAnsiTheme="majorHAnsi" w:cstheme="majorHAnsi"/>
          <w:sz w:val="24"/>
          <w:szCs w:val="24"/>
          <w:lang w:val="ro-RO"/>
        </w:rPr>
        <w:t xml:space="preserve">nr. </w:t>
      </w:r>
      <w:r w:rsidR="009D6FE1">
        <w:rPr>
          <w:rFonts w:asciiTheme="majorHAnsi" w:hAnsiTheme="majorHAnsi" w:cstheme="majorHAnsi"/>
          <w:sz w:val="24"/>
          <w:szCs w:val="24"/>
          <w:lang w:val="ro-RO"/>
        </w:rPr>
        <w:t>929 din 15.08.</w:t>
      </w:r>
      <w:r w:rsidRPr="00341E6C">
        <w:rPr>
          <w:rFonts w:asciiTheme="majorHAnsi" w:hAnsiTheme="majorHAnsi" w:cstheme="majorHAnsi"/>
          <w:sz w:val="24"/>
          <w:szCs w:val="24"/>
          <w:lang w:val="ro-RO"/>
        </w:rPr>
        <w:t xml:space="preserve">2006 </w:t>
      </w:r>
      <w:r w:rsidR="006B1C18">
        <w:rPr>
          <w:rFonts w:asciiTheme="majorHAnsi" w:hAnsiTheme="majorHAnsi" w:cstheme="majorHAnsi"/>
          <w:sz w:val="24"/>
          <w:szCs w:val="24"/>
          <w:lang w:val="ro-RO"/>
        </w:rPr>
        <w:t>„P</w:t>
      </w:r>
      <w:r w:rsidR="009D6FE1" w:rsidRPr="009D6FE1">
        <w:rPr>
          <w:rFonts w:asciiTheme="majorHAnsi" w:hAnsiTheme="majorHAnsi" w:cstheme="majorHAnsi"/>
          <w:sz w:val="24"/>
          <w:szCs w:val="24"/>
          <w:lang w:val="ro-RO"/>
        </w:rPr>
        <w:t>entru aprobarea Regulamentului privind modul de plată a pensiilor st</w:t>
      </w:r>
      <w:r w:rsidR="009D6FE1">
        <w:rPr>
          <w:rFonts w:asciiTheme="majorHAnsi" w:hAnsiTheme="majorHAnsi" w:cstheme="majorHAnsi"/>
          <w:sz w:val="24"/>
          <w:szCs w:val="24"/>
          <w:lang w:val="ro-RO"/>
        </w:rPr>
        <w:t xml:space="preserve">abilite </w:t>
      </w:r>
      <w:r w:rsidR="009D6FE1" w:rsidRPr="009D6FE1">
        <w:rPr>
          <w:rFonts w:asciiTheme="majorHAnsi" w:hAnsiTheme="majorHAnsi" w:cstheme="majorHAnsi"/>
          <w:sz w:val="24"/>
          <w:szCs w:val="24"/>
          <w:lang w:val="ro-RO"/>
        </w:rPr>
        <w:t>în sistemul public de asigurări sociale de stat şi alocaţiilor sociale de stat</w:t>
      </w:r>
      <w:r w:rsidR="006B1C18">
        <w:rPr>
          <w:rFonts w:asciiTheme="majorHAnsi" w:hAnsiTheme="majorHAnsi" w:cstheme="majorHAnsi"/>
          <w:sz w:val="24"/>
          <w:szCs w:val="24"/>
          <w:lang w:val="ro-RO"/>
        </w:rPr>
        <w:t>”</w:t>
      </w:r>
      <w:r w:rsidR="009D6FE1">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prevede un termen de reluare a prestației neridicate de maxim</w:t>
      </w:r>
      <w:r w:rsidR="00C25300">
        <w:rPr>
          <w:rFonts w:asciiTheme="majorHAnsi" w:hAnsiTheme="majorHAnsi" w:cstheme="majorHAnsi"/>
          <w:sz w:val="24"/>
          <w:szCs w:val="24"/>
          <w:lang w:val="ro-RO"/>
        </w:rPr>
        <w:t>um</w:t>
      </w:r>
      <w:r w:rsidRPr="00341E6C">
        <w:rPr>
          <w:rFonts w:asciiTheme="majorHAnsi" w:hAnsiTheme="majorHAnsi" w:cstheme="majorHAnsi"/>
          <w:sz w:val="24"/>
          <w:szCs w:val="24"/>
          <w:lang w:val="ro-RO"/>
        </w:rPr>
        <w:t xml:space="preserve"> 3 ani. </w:t>
      </w:r>
    </w:p>
    <w:p w14:paraId="483B73A2" w14:textId="63613B5A" w:rsidR="005B4004" w:rsidRPr="00341E6C" w:rsidRDefault="005B4004" w:rsidP="005B4004">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La moment, evidența plăților efectuată de CNAS nu permite raportare</w:t>
      </w:r>
      <w:r>
        <w:rPr>
          <w:rFonts w:asciiTheme="majorHAnsi" w:hAnsiTheme="majorHAnsi" w:cstheme="majorHAnsi"/>
          <w:sz w:val="24"/>
          <w:szCs w:val="24"/>
          <w:lang w:val="ro-RO"/>
        </w:rPr>
        <w:t>a în Formularul nr.4.1 CNAS a câ</w:t>
      </w:r>
      <w:r w:rsidRPr="00341E6C">
        <w:rPr>
          <w:rFonts w:asciiTheme="majorHAnsi" w:hAnsiTheme="majorHAnsi" w:cstheme="majorHAnsi"/>
          <w:sz w:val="24"/>
          <w:szCs w:val="24"/>
          <w:lang w:val="ro-RO"/>
        </w:rPr>
        <w:t xml:space="preserve">mpurilor „creanţele/datoriile cu termen de prescripţie expirat”, din </w:t>
      </w:r>
      <w:r w:rsidR="006B1C18">
        <w:rPr>
          <w:rFonts w:asciiTheme="majorHAnsi" w:hAnsiTheme="majorHAnsi" w:cstheme="majorHAnsi"/>
          <w:sz w:val="24"/>
          <w:szCs w:val="24"/>
          <w:lang w:val="ro-RO"/>
        </w:rPr>
        <w:t>cauza</w:t>
      </w:r>
      <w:r w:rsidR="006B1C18" w:rsidRPr="00341E6C">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că Sistemul Informațional nu totalizează astfel de informați</w:t>
      </w:r>
      <w:r w:rsidR="006B1C18">
        <w:rPr>
          <w:rFonts w:asciiTheme="majorHAnsi" w:hAnsiTheme="majorHAnsi" w:cstheme="majorHAnsi"/>
          <w:sz w:val="24"/>
          <w:szCs w:val="24"/>
          <w:lang w:val="ro-RO"/>
        </w:rPr>
        <w:t>i</w:t>
      </w:r>
      <w:r w:rsidRPr="00341E6C">
        <w:rPr>
          <w:rFonts w:asciiTheme="majorHAnsi" w:hAnsiTheme="majorHAnsi" w:cstheme="majorHAnsi"/>
          <w:sz w:val="24"/>
          <w:szCs w:val="24"/>
          <w:lang w:val="ro-RO"/>
        </w:rPr>
        <w:t xml:space="preserve"> și</w:t>
      </w:r>
      <w:r w:rsidR="006B1C1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respectiv</w:t>
      </w:r>
      <w:r w:rsidR="006B1C1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auditul a fost în imposibilitate de a le estima. Concomitent, se menționează că</w:t>
      </w:r>
      <w:r w:rsidR="006B1C1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începând cu 1 ianuarie 2021, a avut loc modificarea SI </w:t>
      </w:r>
      <w:r w:rsidR="002179D1">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Protecția Socială” referitor la organizarea evidenței datoriilor pe termen lung și reflectarea acestora la conturi extra-bilanțiere. În </w:t>
      </w:r>
      <w:r w:rsidR="002179D1">
        <w:rPr>
          <w:rFonts w:asciiTheme="majorHAnsi" w:hAnsiTheme="majorHAnsi" w:cstheme="majorHAnsi"/>
          <w:sz w:val="24"/>
          <w:szCs w:val="24"/>
          <w:lang w:val="ro-RO"/>
        </w:rPr>
        <w:t xml:space="preserve">acest </w:t>
      </w:r>
      <w:r w:rsidRPr="00341E6C">
        <w:rPr>
          <w:rFonts w:asciiTheme="majorHAnsi" w:hAnsiTheme="majorHAnsi" w:cstheme="majorHAnsi"/>
          <w:sz w:val="24"/>
          <w:szCs w:val="24"/>
          <w:lang w:val="ro-RO"/>
        </w:rPr>
        <w:t xml:space="preserve">context, riscul </w:t>
      </w:r>
      <w:r w:rsidR="00635906">
        <w:rPr>
          <w:rFonts w:asciiTheme="majorHAnsi" w:hAnsiTheme="majorHAnsi" w:cstheme="majorHAnsi"/>
          <w:sz w:val="24"/>
          <w:szCs w:val="24"/>
          <w:lang w:val="ro-RO"/>
        </w:rPr>
        <w:t>aferent apariției</w:t>
      </w:r>
      <w:r w:rsidRPr="00341E6C">
        <w:rPr>
          <w:rFonts w:asciiTheme="majorHAnsi" w:hAnsiTheme="majorHAnsi" w:cstheme="majorHAnsi"/>
          <w:sz w:val="24"/>
          <w:szCs w:val="24"/>
          <w:lang w:val="ro-RO"/>
        </w:rPr>
        <w:t xml:space="preserve"> creanțelor și datoriilor cu termen de prescripție expirat se menține pentru următorii 3 ani, astfel</w:t>
      </w:r>
      <w:r w:rsidR="002179D1">
        <w:rPr>
          <w:rFonts w:asciiTheme="majorHAnsi" w:hAnsiTheme="majorHAnsi" w:cstheme="majorHAnsi"/>
          <w:sz w:val="24"/>
          <w:szCs w:val="24"/>
          <w:lang w:val="ro-RO"/>
        </w:rPr>
        <w:t xml:space="preserve"> că</w:t>
      </w:r>
      <w:r w:rsidRPr="00341E6C">
        <w:rPr>
          <w:rFonts w:asciiTheme="majorHAnsi" w:hAnsiTheme="majorHAnsi" w:cstheme="majorHAnsi"/>
          <w:sz w:val="24"/>
          <w:szCs w:val="24"/>
          <w:lang w:val="ro-RO"/>
        </w:rPr>
        <w:t xml:space="preserve"> normele de raportare urmează a fi actualizate și aduse în concordanță cu </w:t>
      </w:r>
      <w:r w:rsidR="002179D1">
        <w:rPr>
          <w:rFonts w:asciiTheme="majorHAnsi" w:hAnsiTheme="majorHAnsi" w:cstheme="majorHAnsi"/>
          <w:sz w:val="24"/>
          <w:szCs w:val="24"/>
          <w:lang w:val="ro-RO"/>
        </w:rPr>
        <w:t>cele</w:t>
      </w:r>
      <w:r w:rsidRPr="00341E6C">
        <w:rPr>
          <w:rFonts w:asciiTheme="majorHAnsi" w:hAnsiTheme="majorHAnsi" w:cstheme="majorHAnsi"/>
          <w:sz w:val="24"/>
          <w:szCs w:val="24"/>
          <w:lang w:val="ro-RO"/>
        </w:rPr>
        <w:t xml:space="preserve"> legale</w:t>
      </w:r>
      <w:r w:rsidR="002179D1">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pentru a evita supraevaluarea datoriilor și creanțelor reale.</w:t>
      </w:r>
    </w:p>
    <w:p w14:paraId="2BCFEEBC" w14:textId="66E66431" w:rsidR="005B4004" w:rsidRPr="00341E6C" w:rsidRDefault="005B4004" w:rsidP="005B4004">
      <w:pPr>
        <w:spacing w:line="276" w:lineRule="auto"/>
        <w:jc w:val="both"/>
        <w:rPr>
          <w:rFonts w:ascii="Georgia" w:hAnsi="Georgia"/>
          <w:color w:val="333333"/>
          <w:lang w:val="ro-RO"/>
        </w:rPr>
      </w:pPr>
      <w:r>
        <w:rPr>
          <w:rFonts w:asciiTheme="majorHAnsi" w:hAnsiTheme="majorHAnsi" w:cstheme="majorHAnsi"/>
          <w:sz w:val="24"/>
          <w:szCs w:val="24"/>
          <w:lang w:val="ro-RO"/>
        </w:rPr>
        <w:t xml:space="preserve">O </w:t>
      </w:r>
      <w:r w:rsidRPr="00341E6C">
        <w:rPr>
          <w:rFonts w:asciiTheme="majorHAnsi" w:hAnsiTheme="majorHAnsi" w:cstheme="majorHAnsi"/>
          <w:sz w:val="24"/>
          <w:szCs w:val="24"/>
          <w:lang w:val="ro-RO"/>
        </w:rPr>
        <w:t>situație specifică se atestă în cazul unui suport</w:t>
      </w:r>
      <w:r w:rsidR="00C25300">
        <w:rPr>
          <w:rFonts w:asciiTheme="majorHAnsi" w:hAnsiTheme="majorHAnsi" w:cstheme="majorHAnsi"/>
          <w:sz w:val="24"/>
          <w:szCs w:val="24"/>
          <w:lang w:val="ro-RO"/>
        </w:rPr>
        <w:t xml:space="preserve"> financiar</w:t>
      </w:r>
      <w:r w:rsidRPr="00341E6C">
        <w:rPr>
          <w:rFonts w:asciiTheme="majorHAnsi" w:hAnsiTheme="majorHAnsi" w:cstheme="majorHAnsi"/>
          <w:sz w:val="24"/>
          <w:szCs w:val="24"/>
          <w:lang w:val="ro-RO"/>
        </w:rPr>
        <w:t xml:space="preserve"> unic acordat</w:t>
      </w:r>
      <w:r w:rsidR="00C25300">
        <w:rPr>
          <w:rFonts w:asciiTheme="majorHAnsi" w:hAnsiTheme="majorHAnsi" w:cstheme="majorHAnsi"/>
          <w:sz w:val="24"/>
          <w:szCs w:val="24"/>
          <w:lang w:val="ro-RO"/>
        </w:rPr>
        <w:t xml:space="preserve"> beneficiarilor de pensii</w:t>
      </w:r>
      <w:r w:rsidRPr="00341E6C">
        <w:rPr>
          <w:rFonts w:asciiTheme="majorHAnsi" w:hAnsiTheme="majorHAnsi" w:cstheme="majorHAnsi"/>
          <w:sz w:val="24"/>
          <w:szCs w:val="24"/>
          <w:lang w:val="ro-RO"/>
        </w:rPr>
        <w:t>, pentru care normele</w:t>
      </w:r>
      <w:r w:rsidR="00C25300">
        <w:rPr>
          <w:rFonts w:asciiTheme="majorHAnsi" w:hAnsiTheme="majorHAnsi" w:cstheme="majorHAnsi"/>
          <w:sz w:val="24"/>
          <w:szCs w:val="24"/>
          <w:lang w:val="ro-RO"/>
        </w:rPr>
        <w:t xml:space="preserve"> de reglementare</w:t>
      </w:r>
      <w:r w:rsidRPr="00341E6C">
        <w:rPr>
          <w:rFonts w:asciiTheme="majorHAnsi" w:hAnsiTheme="majorHAnsi" w:cstheme="majorHAnsi"/>
          <w:sz w:val="24"/>
          <w:szCs w:val="24"/>
          <w:lang w:val="ro-RO"/>
        </w:rPr>
        <w:t xml:space="preserve"> indică exhaustiv că acesta s-a</w:t>
      </w:r>
      <w:r>
        <w:rPr>
          <w:rFonts w:asciiTheme="majorHAnsi" w:hAnsiTheme="majorHAnsi" w:cstheme="majorHAnsi"/>
          <w:sz w:val="24"/>
          <w:szCs w:val="24"/>
          <w:lang w:val="ro-RO"/>
        </w:rPr>
        <w:t xml:space="preserve"> acordat pâ</w:t>
      </w:r>
      <w:r w:rsidRPr="00341E6C">
        <w:rPr>
          <w:rFonts w:asciiTheme="majorHAnsi" w:hAnsiTheme="majorHAnsi" w:cstheme="majorHAnsi"/>
          <w:sz w:val="24"/>
          <w:szCs w:val="24"/>
          <w:lang w:val="ro-RO"/>
        </w:rPr>
        <w:t>nă la finele anului 2020</w:t>
      </w:r>
      <w:r w:rsidRPr="00341E6C">
        <w:rPr>
          <w:rStyle w:val="FootnoteReference"/>
          <w:rFonts w:asciiTheme="majorHAnsi" w:hAnsiTheme="majorHAnsi" w:cstheme="majorHAnsi"/>
          <w:sz w:val="24"/>
          <w:szCs w:val="24"/>
          <w:lang w:val="ro-RO"/>
        </w:rPr>
        <w:footnoteReference w:id="36"/>
      </w:r>
      <w:r w:rsidRPr="00341E6C">
        <w:rPr>
          <w:rFonts w:asciiTheme="majorHAnsi" w:hAnsiTheme="majorHAnsi" w:cstheme="majorHAnsi"/>
          <w:sz w:val="24"/>
          <w:szCs w:val="24"/>
          <w:lang w:val="ro-RO"/>
        </w:rPr>
        <w:t>. Astfel, datoriile cu termen expirat estimate de audit pentru suport unic reprezintă 32,9 mii lei.</w:t>
      </w:r>
      <w:r>
        <w:rPr>
          <w:rFonts w:asciiTheme="majorHAnsi" w:hAnsiTheme="majorHAnsi" w:cstheme="majorHAnsi"/>
          <w:sz w:val="24"/>
          <w:szCs w:val="24"/>
          <w:lang w:val="ro-RO"/>
        </w:rPr>
        <w:t xml:space="preserve"> </w:t>
      </w:r>
    </w:p>
    <w:p w14:paraId="7D1B6AAE" w14:textId="31FEEBC4" w:rsidR="00C75E87" w:rsidRPr="00616BA6" w:rsidRDefault="00AE03C9" w:rsidP="00616BA6">
      <w:pPr>
        <w:pStyle w:val="Heading1"/>
        <w:ind w:left="0" w:firstLine="0"/>
        <w:jc w:val="left"/>
        <w:rPr>
          <w:rFonts w:asciiTheme="majorHAnsi" w:hAnsiTheme="majorHAnsi" w:cstheme="majorHAnsi"/>
          <w:sz w:val="28"/>
        </w:rPr>
      </w:pPr>
      <w:bookmarkStart w:id="5" w:name="_Toc35000686"/>
      <w:r w:rsidRPr="00616BA6">
        <w:rPr>
          <w:rFonts w:asciiTheme="majorHAnsi" w:hAnsiTheme="majorHAnsi" w:cstheme="majorHAnsi"/>
          <w:sz w:val="28"/>
        </w:rPr>
        <w:t>BUNA GUVERNANȚĂ</w:t>
      </w:r>
      <w:bookmarkEnd w:id="5"/>
    </w:p>
    <w:p w14:paraId="1BCD2CF1" w14:textId="16CE2302" w:rsidR="00AC083A" w:rsidRDefault="00AC083A" w:rsidP="005C0729">
      <w:pPr>
        <w:pStyle w:val="Heading2"/>
        <w:numPr>
          <w:ilvl w:val="1"/>
          <w:numId w:val="23"/>
        </w:numPr>
        <w:spacing w:before="0" w:line="276" w:lineRule="auto"/>
        <w:ind w:left="0" w:firstLine="0"/>
        <w:rPr>
          <w:rFonts w:asciiTheme="majorHAnsi" w:hAnsiTheme="majorHAnsi" w:cstheme="majorHAnsi"/>
          <w:sz w:val="24"/>
          <w:szCs w:val="24"/>
          <w:lang w:val="ro-RO"/>
        </w:rPr>
      </w:pPr>
      <w:r w:rsidRPr="00AC083A">
        <w:rPr>
          <w:rFonts w:asciiTheme="majorHAnsi" w:hAnsiTheme="majorHAnsi" w:cstheme="majorHAnsi"/>
          <w:sz w:val="24"/>
          <w:szCs w:val="24"/>
          <w:lang w:val="ro-RO"/>
        </w:rPr>
        <w:t>Casa Națională are instituit sistemul de control intern managerial, cu activități și reglementări interne, care trebuie îmbunătățite și perfe</w:t>
      </w:r>
      <w:r w:rsidR="009D6FE1">
        <w:rPr>
          <w:rFonts w:asciiTheme="majorHAnsi" w:hAnsiTheme="majorHAnsi" w:cstheme="majorHAnsi"/>
          <w:sz w:val="24"/>
          <w:szCs w:val="24"/>
          <w:lang w:val="ro-RO"/>
        </w:rPr>
        <w:t>cționate pentru anumite procese</w:t>
      </w:r>
      <w:r w:rsidR="002179D1">
        <w:rPr>
          <w:rFonts w:asciiTheme="majorHAnsi" w:hAnsiTheme="majorHAnsi" w:cstheme="majorHAnsi"/>
          <w:sz w:val="24"/>
          <w:szCs w:val="24"/>
          <w:lang w:val="ro-RO"/>
        </w:rPr>
        <w:t>.</w:t>
      </w:r>
    </w:p>
    <w:p w14:paraId="7DDA807A" w14:textId="57987862" w:rsidR="003D22DC" w:rsidRDefault="003D22DC" w:rsidP="003D22DC">
      <w:pPr>
        <w:spacing w:line="276" w:lineRule="auto"/>
        <w:jc w:val="both"/>
        <w:rPr>
          <w:rFonts w:asciiTheme="majorHAnsi" w:hAnsiTheme="majorHAnsi" w:cstheme="majorHAnsi"/>
          <w:sz w:val="24"/>
          <w:szCs w:val="24"/>
          <w:lang w:val="ro-RO"/>
        </w:rPr>
      </w:pPr>
      <w:r>
        <w:rPr>
          <w:rFonts w:asciiTheme="majorHAnsi" w:eastAsia="Times New Roman" w:hAnsiTheme="majorHAnsi" w:cstheme="majorHAnsi"/>
          <w:sz w:val="24"/>
          <w:szCs w:val="24"/>
          <w:lang w:val="ro-RO"/>
        </w:rPr>
        <w:t>D</w:t>
      </w:r>
      <w:r w:rsidRPr="003D22DC">
        <w:rPr>
          <w:rFonts w:asciiTheme="majorHAnsi" w:eastAsia="Times New Roman" w:hAnsiTheme="majorHAnsi" w:cstheme="majorHAnsi"/>
          <w:sz w:val="24"/>
          <w:szCs w:val="24"/>
          <w:lang w:val="ro-RO"/>
        </w:rPr>
        <w:t>irectorul general al CNAS este responsabil de organizarea sistemului de control intern managerial conform Standardelor naționale de control intern în sectorul public</w:t>
      </w:r>
      <w:r w:rsidRPr="003D22DC">
        <w:rPr>
          <w:rFonts w:asciiTheme="majorHAnsi" w:hAnsiTheme="majorHAnsi" w:cstheme="majorHAnsi"/>
          <w:sz w:val="24"/>
          <w:szCs w:val="24"/>
          <w:lang w:val="ro-RO"/>
        </w:rPr>
        <w:t xml:space="preserve"> </w:t>
      </w:r>
      <w:r>
        <w:rPr>
          <w:rFonts w:asciiTheme="majorHAnsi" w:hAnsiTheme="majorHAnsi" w:cstheme="majorHAnsi"/>
          <w:sz w:val="24"/>
          <w:szCs w:val="24"/>
          <w:lang w:val="ro-RO"/>
        </w:rPr>
        <w:t>și î</w:t>
      </w:r>
      <w:r w:rsidRPr="003D22DC">
        <w:rPr>
          <w:rFonts w:asciiTheme="majorHAnsi" w:eastAsia="Times New Roman" w:hAnsiTheme="majorHAnsi" w:cstheme="majorHAnsi"/>
          <w:sz w:val="24"/>
          <w:szCs w:val="24"/>
          <w:lang w:val="ro-RO"/>
        </w:rPr>
        <w:t xml:space="preserve">n conformitate cu Legea </w:t>
      </w:r>
      <w:r w:rsidRPr="003D22DC">
        <w:rPr>
          <w:rFonts w:asciiTheme="majorHAnsi" w:eastAsia="Times New Roman" w:hAnsiTheme="majorHAnsi" w:cstheme="majorHAnsi"/>
          <w:sz w:val="24"/>
          <w:szCs w:val="24"/>
          <w:lang w:val="ro-RO"/>
        </w:rPr>
        <w:lastRenderedPageBreak/>
        <w:t>nr.229 din 23.09.2010</w:t>
      </w:r>
      <w:r w:rsidRPr="00341E6C">
        <w:rPr>
          <w:vertAlign w:val="superscript"/>
          <w:lang w:val="ro-RO"/>
        </w:rPr>
        <w:footnoteReference w:id="37"/>
      </w:r>
      <w:r w:rsidRPr="003D22DC">
        <w:rPr>
          <w:rFonts w:asciiTheme="majorHAnsi" w:eastAsia="Times New Roman" w:hAnsiTheme="majorHAnsi" w:cstheme="majorHAnsi"/>
          <w:sz w:val="24"/>
          <w:szCs w:val="24"/>
          <w:lang w:val="ro-RO"/>
        </w:rPr>
        <w:t>. Evaluarea de audit a sistemului CIM denotă că CNAS, conform cerințelor legale</w:t>
      </w:r>
      <w:r w:rsidRPr="00341E6C">
        <w:rPr>
          <w:rStyle w:val="FootnoteReference"/>
          <w:rFonts w:asciiTheme="majorHAnsi" w:eastAsia="Times New Roman" w:hAnsiTheme="majorHAnsi" w:cstheme="majorHAnsi"/>
          <w:sz w:val="24"/>
          <w:szCs w:val="24"/>
          <w:lang w:val="ro-RO"/>
        </w:rPr>
        <w:footnoteReference w:id="38"/>
      </w:r>
      <w:r w:rsidRPr="003D22DC">
        <w:rPr>
          <w:rFonts w:asciiTheme="majorHAnsi" w:eastAsia="Times New Roman" w:hAnsiTheme="majorHAnsi" w:cstheme="majorHAnsi"/>
          <w:sz w:val="24"/>
          <w:szCs w:val="24"/>
          <w:lang w:val="ro-RO"/>
        </w:rPr>
        <w:t xml:space="preserve">, deține o structură bine organizată și dezvoltată, cu descrierea proceselor operaționale și identificarea riscurilor. Descrierea proceselor de bază se actualizează anual, efectuându-se și autoevaluarea </w:t>
      </w:r>
      <w:r w:rsidR="00494273">
        <w:rPr>
          <w:rFonts w:asciiTheme="majorHAnsi" w:eastAsia="Times New Roman" w:hAnsiTheme="majorHAnsi" w:cstheme="majorHAnsi"/>
          <w:sz w:val="24"/>
          <w:szCs w:val="24"/>
          <w:lang w:val="ro-RO"/>
        </w:rPr>
        <w:t>CIM</w:t>
      </w:r>
      <w:r w:rsidRPr="003D22DC">
        <w:rPr>
          <w:rFonts w:asciiTheme="majorHAnsi" w:eastAsia="Times New Roman" w:hAnsiTheme="majorHAnsi" w:cstheme="majorHAnsi"/>
          <w:sz w:val="24"/>
          <w:szCs w:val="24"/>
          <w:lang w:val="ro-RO"/>
        </w:rPr>
        <w:t xml:space="preserve"> la nivel de direcții și per entitate. </w:t>
      </w:r>
      <w:r w:rsidRPr="003D22DC">
        <w:rPr>
          <w:rFonts w:asciiTheme="majorHAnsi" w:hAnsiTheme="majorHAnsi" w:cstheme="majorHAnsi"/>
          <w:sz w:val="24"/>
          <w:szCs w:val="24"/>
          <w:lang w:val="ro-RO"/>
        </w:rPr>
        <w:t>Astfel, Casa Națională are stabilite obiectivele strategice și cele operaționale cu indicatori de performanță. De asemenea, instituția are descrise și cartografiate 76 de procese operaționale de bază cu stabilirea acțiunilor de control, care au fost modificate și ajustate odată cu schimbarea cadrului legal ce vizează acțiunile respective.</w:t>
      </w:r>
    </w:p>
    <w:p w14:paraId="15654444" w14:textId="5D9A5EF2" w:rsidR="003D22DC" w:rsidRPr="003D22DC" w:rsidRDefault="003D22DC" w:rsidP="003D22DC">
      <w:pPr>
        <w:spacing w:line="276" w:lineRule="auto"/>
        <w:jc w:val="both"/>
        <w:rPr>
          <w:rFonts w:asciiTheme="majorHAnsi" w:hAnsiTheme="majorHAnsi" w:cstheme="majorHAnsi"/>
          <w:sz w:val="24"/>
          <w:szCs w:val="24"/>
          <w:lang w:val="ro-RO"/>
        </w:rPr>
      </w:pPr>
      <w:r w:rsidRPr="003D22DC">
        <w:rPr>
          <w:rFonts w:asciiTheme="majorHAnsi" w:hAnsiTheme="majorHAnsi" w:cstheme="majorHAnsi"/>
          <w:sz w:val="24"/>
          <w:szCs w:val="24"/>
          <w:lang w:val="ro-RO"/>
        </w:rPr>
        <w:t>Totodată, aspectele descrise în raport, inclusiv care au determinat exprimarea opiniei cu rezerve, caracterul permanent al unor aspecte identificate în cadrul prezentului audit, precum şi lipsa remedierii unor deficiențe constatate anterior relevă necesitatea îmbunătățirii sistemului de control intern</w:t>
      </w:r>
      <w:r w:rsidR="005848D3">
        <w:rPr>
          <w:rFonts w:asciiTheme="majorHAnsi" w:hAnsiTheme="majorHAnsi" w:cstheme="majorHAnsi"/>
          <w:sz w:val="24"/>
          <w:szCs w:val="24"/>
          <w:lang w:val="ro-RO"/>
        </w:rPr>
        <w:t>,</w:t>
      </w:r>
      <w:r w:rsidRPr="003D22DC">
        <w:rPr>
          <w:rFonts w:asciiTheme="majorHAnsi" w:hAnsiTheme="majorHAnsi" w:cstheme="majorHAnsi"/>
          <w:sz w:val="24"/>
          <w:szCs w:val="24"/>
          <w:lang w:val="ro-RO"/>
        </w:rPr>
        <w:t xml:space="preserve"> precum și a procesului de evidenţă şi raportare per ansamblu a indicatorilor BASS.</w:t>
      </w:r>
    </w:p>
    <w:p w14:paraId="41D5226E" w14:textId="1C4B69E1" w:rsidR="00AC083A" w:rsidRPr="00616BA6" w:rsidRDefault="00AC083A" w:rsidP="005C0729">
      <w:pPr>
        <w:pStyle w:val="ListParagraph"/>
        <w:numPr>
          <w:ilvl w:val="1"/>
          <w:numId w:val="23"/>
        </w:numPr>
        <w:spacing w:after="0" w:line="276" w:lineRule="auto"/>
        <w:ind w:left="0" w:firstLine="0"/>
        <w:jc w:val="both"/>
        <w:outlineLvl w:val="1"/>
        <w:rPr>
          <w:rFonts w:asciiTheme="majorHAnsi" w:eastAsia="Calibri" w:hAnsiTheme="majorHAnsi" w:cstheme="majorHAnsi"/>
          <w:b/>
          <w:sz w:val="24"/>
          <w:szCs w:val="24"/>
          <w:lang w:val="ro-RO"/>
        </w:rPr>
      </w:pPr>
      <w:r w:rsidRPr="00616BA6">
        <w:rPr>
          <w:rFonts w:asciiTheme="majorHAnsi" w:eastAsia="Calibri" w:hAnsiTheme="majorHAnsi" w:cstheme="majorHAnsi"/>
          <w:b/>
          <w:sz w:val="24"/>
          <w:szCs w:val="24"/>
          <w:lang w:val="ro-RO"/>
        </w:rPr>
        <w:t xml:space="preserve">Auditul intern al CNAS realizează misiuni de </w:t>
      </w:r>
      <w:r w:rsidRPr="00616BA6">
        <w:rPr>
          <w:rFonts w:asciiTheme="majorHAnsi" w:hAnsiTheme="majorHAnsi" w:cstheme="majorHAnsi"/>
          <w:b/>
          <w:sz w:val="24"/>
          <w:szCs w:val="24"/>
          <w:lang w:val="ro-RO"/>
        </w:rPr>
        <w:t>evaluare independentă</w:t>
      </w:r>
      <w:r w:rsidRPr="00616BA6">
        <w:rPr>
          <w:rFonts w:asciiTheme="majorHAnsi" w:eastAsia="Calibri" w:hAnsiTheme="majorHAnsi" w:cstheme="majorHAnsi"/>
          <w:b/>
          <w:sz w:val="24"/>
          <w:szCs w:val="24"/>
          <w:lang w:val="ro-RO"/>
        </w:rPr>
        <w:t xml:space="preserve">, menite să adauge valoare şi să îmbunătățească </w:t>
      </w:r>
      <w:r w:rsidR="005848D3">
        <w:rPr>
          <w:rFonts w:asciiTheme="majorHAnsi" w:hAnsiTheme="majorHAnsi" w:cstheme="majorHAnsi"/>
          <w:b/>
          <w:sz w:val="24"/>
          <w:szCs w:val="24"/>
          <w:lang w:val="ro-RO"/>
        </w:rPr>
        <w:t>procesele desfășurate</w:t>
      </w:r>
      <w:r w:rsidR="000136F8">
        <w:rPr>
          <w:rFonts w:asciiTheme="majorHAnsi" w:hAnsiTheme="majorHAnsi" w:cstheme="majorHAnsi"/>
          <w:b/>
          <w:sz w:val="24"/>
          <w:szCs w:val="24"/>
          <w:lang w:val="ro-RO"/>
        </w:rPr>
        <w:t>.</w:t>
      </w:r>
      <w:r w:rsidRPr="00616BA6">
        <w:rPr>
          <w:rFonts w:asciiTheme="majorHAnsi" w:eastAsia="Calibri" w:hAnsiTheme="majorHAnsi" w:cstheme="majorHAnsi"/>
          <w:b/>
          <w:sz w:val="24"/>
          <w:szCs w:val="24"/>
          <w:lang w:val="ro-RO"/>
        </w:rPr>
        <w:t xml:space="preserve"> </w:t>
      </w:r>
    </w:p>
    <w:p w14:paraId="086AA74A" w14:textId="4B282EEC" w:rsidR="00AC083A" w:rsidRPr="00B10243" w:rsidRDefault="00AC083A" w:rsidP="00AC083A">
      <w:pPr>
        <w:spacing w:line="276" w:lineRule="auto"/>
        <w:jc w:val="both"/>
        <w:rPr>
          <w:rFonts w:asciiTheme="majorHAnsi" w:hAnsiTheme="majorHAnsi" w:cstheme="majorHAnsi"/>
          <w:sz w:val="24"/>
          <w:szCs w:val="24"/>
          <w:lang w:val="ro-MD"/>
        </w:rPr>
      </w:pPr>
      <w:r w:rsidRPr="00341E6C">
        <w:rPr>
          <w:rFonts w:asciiTheme="majorHAnsi" w:eastAsia="Calibri" w:hAnsiTheme="majorHAnsi" w:cstheme="majorHAnsi"/>
          <w:sz w:val="24"/>
          <w:szCs w:val="24"/>
          <w:lang w:val="ro-RO"/>
        </w:rPr>
        <w:t xml:space="preserve">Pe parcursul anului 2020 au fost </w:t>
      </w:r>
      <w:r w:rsidRPr="00341E6C">
        <w:rPr>
          <w:rFonts w:asciiTheme="majorHAnsi" w:eastAsia="Times New Roman" w:hAnsiTheme="majorHAnsi" w:cstheme="majorHAnsi"/>
          <w:color w:val="000000"/>
          <w:sz w:val="24"/>
          <w:szCs w:val="24"/>
          <w:lang w:val="ro-RO"/>
        </w:rPr>
        <w:t xml:space="preserve">efectuate 14 misiuni de audit </w:t>
      </w:r>
      <w:r w:rsidRPr="00341E6C">
        <w:rPr>
          <w:rFonts w:asciiTheme="majorHAnsi" w:hAnsiTheme="majorHAnsi" w:cstheme="majorHAnsi"/>
          <w:sz w:val="24"/>
          <w:szCs w:val="24"/>
          <w:lang w:val="ro-RO"/>
        </w:rPr>
        <w:t xml:space="preserve">de performanță și de consiliere </w:t>
      </w:r>
      <w:r w:rsidRPr="00341E6C">
        <w:rPr>
          <w:rFonts w:asciiTheme="majorHAnsi" w:eastAsia="Times New Roman" w:hAnsiTheme="majorHAnsi" w:cstheme="majorHAnsi"/>
          <w:color w:val="000000"/>
          <w:sz w:val="24"/>
          <w:szCs w:val="24"/>
          <w:lang w:val="ro-RO"/>
        </w:rPr>
        <w:t>pe domenii-cheie</w:t>
      </w:r>
      <w:r w:rsidR="000136F8">
        <w:rPr>
          <w:rFonts w:asciiTheme="majorHAnsi" w:eastAsia="Times New Roman" w:hAnsiTheme="majorHAnsi" w:cstheme="majorHAnsi"/>
          <w:color w:val="000000"/>
          <w:sz w:val="24"/>
          <w:szCs w:val="24"/>
          <w:lang w:val="ro-RO"/>
        </w:rPr>
        <w:t>,</w:t>
      </w:r>
      <w:r w:rsidRPr="00341E6C">
        <w:rPr>
          <w:rFonts w:asciiTheme="majorHAnsi" w:eastAsia="Calibri" w:hAnsiTheme="majorHAnsi" w:cstheme="majorHAnsi"/>
          <w:sz w:val="24"/>
          <w:szCs w:val="24"/>
          <w:lang w:val="ro-RO"/>
        </w:rPr>
        <w:t xml:space="preserve"> care și-au realizat scopul de acordare a </w:t>
      </w:r>
      <w:r w:rsidRPr="00341E6C">
        <w:rPr>
          <w:rFonts w:asciiTheme="majorHAnsi" w:hAnsiTheme="majorHAnsi" w:cstheme="majorHAnsi"/>
          <w:sz w:val="24"/>
          <w:szCs w:val="24"/>
          <w:lang w:val="ro-RO"/>
        </w:rPr>
        <w:t>consultanţei şi de furnizare a asigurării obiective privind eficacitatea sistemului de control intern managerial.</w:t>
      </w:r>
      <w:r w:rsidRPr="00341E6C">
        <w:rPr>
          <w:rFonts w:asciiTheme="majorHAnsi" w:eastAsia="Calibri" w:hAnsiTheme="majorHAnsi" w:cstheme="majorHAnsi"/>
          <w:sz w:val="24"/>
          <w:szCs w:val="24"/>
          <w:lang w:val="ro-RO"/>
        </w:rPr>
        <w:t xml:space="preserve"> </w:t>
      </w:r>
      <w:r w:rsidRPr="00341E6C">
        <w:rPr>
          <w:rFonts w:asciiTheme="majorHAnsi" w:hAnsiTheme="majorHAnsi" w:cstheme="majorHAnsi"/>
          <w:sz w:val="24"/>
          <w:szCs w:val="24"/>
          <w:lang w:val="ro-RO"/>
        </w:rPr>
        <w:t>Astfel, a</w:t>
      </w:r>
      <w:r w:rsidRPr="00341E6C">
        <w:rPr>
          <w:rFonts w:asciiTheme="majorHAnsi" w:eastAsia="Times New Roman" w:hAnsiTheme="majorHAnsi" w:cstheme="majorHAnsi"/>
          <w:color w:val="000000"/>
          <w:sz w:val="24"/>
          <w:szCs w:val="24"/>
          <w:lang w:val="ro-RO"/>
        </w:rPr>
        <w:t xml:space="preserve">ctivitățile de audit s-au axat pe evaluarea mai multor procese operaționale desfășurate la Casa Națională și în subdiviziunile acesteia, </w:t>
      </w:r>
      <w:r w:rsidRPr="00341E6C">
        <w:rPr>
          <w:rFonts w:asciiTheme="majorHAnsi" w:hAnsiTheme="majorHAnsi" w:cstheme="majorHAnsi"/>
          <w:sz w:val="24"/>
          <w:szCs w:val="24"/>
          <w:lang w:val="ro-RO"/>
        </w:rPr>
        <w:t xml:space="preserve">oferind </w:t>
      </w:r>
      <w:r w:rsidRPr="00B10243">
        <w:rPr>
          <w:rFonts w:asciiTheme="majorHAnsi" w:hAnsiTheme="majorHAnsi" w:cstheme="majorHAnsi"/>
          <w:sz w:val="24"/>
          <w:szCs w:val="24"/>
          <w:lang w:val="ro-MD"/>
        </w:rPr>
        <w:t>recomandări pentru perfecţionare şi contribuind la îmbunătăţirea activităţii entităţii publice. Totuşi, reieşind din constatările menţionate în prezentul Raport de audit, se deduce că activităţile de control urmează a fi revizuite în procesele operaţionale evaluate de audit.</w:t>
      </w:r>
    </w:p>
    <w:p w14:paraId="77C38943" w14:textId="3E090D7D" w:rsidR="00AC083A" w:rsidRPr="00341E6C" w:rsidRDefault="005C0729" w:rsidP="005C0729">
      <w:pPr>
        <w:pStyle w:val="ListParagraph"/>
        <w:numPr>
          <w:ilvl w:val="1"/>
          <w:numId w:val="23"/>
        </w:numPr>
        <w:tabs>
          <w:tab w:val="left" w:pos="709"/>
          <w:tab w:val="left" w:pos="993"/>
          <w:tab w:val="left" w:pos="1276"/>
        </w:tabs>
        <w:spacing w:after="0" w:line="276" w:lineRule="auto"/>
        <w:ind w:left="0" w:firstLine="0"/>
        <w:jc w:val="both"/>
        <w:outlineLvl w:val="1"/>
        <w:rPr>
          <w:rFonts w:asciiTheme="majorHAnsi" w:hAnsiTheme="majorHAnsi" w:cstheme="majorHAnsi"/>
          <w:b/>
          <w:sz w:val="24"/>
          <w:szCs w:val="24"/>
          <w:lang w:val="ro-RO"/>
        </w:rPr>
      </w:pPr>
      <w:r>
        <w:rPr>
          <w:rFonts w:asciiTheme="majorHAnsi" w:hAnsiTheme="majorHAnsi" w:cs="Calibri Light"/>
          <w:b/>
          <w:iCs/>
          <w:sz w:val="24"/>
          <w:szCs w:val="24"/>
          <w:lang w:val="ro-RO"/>
        </w:rPr>
        <w:t>I</w:t>
      </w:r>
      <w:r w:rsidR="00AC083A" w:rsidRPr="00341E6C">
        <w:rPr>
          <w:rFonts w:asciiTheme="majorHAnsi" w:hAnsiTheme="majorHAnsi" w:cs="Calibri Light"/>
          <w:b/>
          <w:iCs/>
          <w:sz w:val="24"/>
          <w:szCs w:val="24"/>
          <w:lang w:val="ro-RO"/>
        </w:rPr>
        <w:t xml:space="preserve">mplementarea recomandărilor </w:t>
      </w:r>
      <w:r w:rsidR="00073718">
        <w:rPr>
          <w:rFonts w:asciiTheme="majorHAnsi" w:hAnsiTheme="majorHAnsi" w:cs="Calibri Light"/>
          <w:b/>
          <w:iCs/>
          <w:sz w:val="24"/>
          <w:szCs w:val="24"/>
          <w:lang w:val="ro-RO"/>
        </w:rPr>
        <w:t xml:space="preserve">înaintate </w:t>
      </w:r>
      <w:r w:rsidR="00AC083A" w:rsidRPr="00341E6C">
        <w:rPr>
          <w:rFonts w:asciiTheme="majorHAnsi" w:hAnsiTheme="majorHAnsi" w:cs="Calibri Light"/>
          <w:b/>
          <w:iCs/>
          <w:sz w:val="24"/>
          <w:szCs w:val="24"/>
          <w:lang w:val="ro-RO"/>
        </w:rPr>
        <w:t xml:space="preserve">la un nivel </w:t>
      </w:r>
      <w:r w:rsidR="00AC083A" w:rsidRPr="00591229">
        <w:rPr>
          <w:rFonts w:asciiTheme="majorHAnsi" w:hAnsiTheme="majorHAnsi" w:cs="Calibri Light"/>
          <w:b/>
          <w:iCs/>
          <w:sz w:val="24"/>
          <w:szCs w:val="24"/>
          <w:lang w:val="ro-RO"/>
        </w:rPr>
        <w:t xml:space="preserve">de </w:t>
      </w:r>
      <w:r w:rsidR="001F16EA">
        <w:rPr>
          <w:rFonts w:asciiTheme="majorHAnsi" w:hAnsiTheme="majorHAnsi" w:cs="Calibri Light"/>
          <w:b/>
          <w:iCs/>
          <w:sz w:val="24"/>
          <w:szCs w:val="24"/>
          <w:lang w:val="ro-RO"/>
        </w:rPr>
        <w:t>72</w:t>
      </w:r>
      <w:r w:rsidR="00AC083A" w:rsidRPr="00591229">
        <w:rPr>
          <w:rFonts w:asciiTheme="majorHAnsi" w:hAnsiTheme="majorHAnsi" w:cs="Calibri Light"/>
          <w:b/>
          <w:iCs/>
          <w:sz w:val="24"/>
          <w:szCs w:val="24"/>
          <w:lang w:val="ro-RO"/>
        </w:rPr>
        <w:t>%</w:t>
      </w:r>
      <w:r w:rsidR="00AC083A" w:rsidRPr="00341E6C">
        <w:rPr>
          <w:rFonts w:asciiTheme="majorHAnsi" w:hAnsiTheme="majorHAnsi" w:cs="Calibri Light"/>
          <w:b/>
          <w:iCs/>
          <w:sz w:val="24"/>
          <w:szCs w:val="24"/>
          <w:lang w:val="ro-RO"/>
        </w:rPr>
        <w:t xml:space="preserve"> </w:t>
      </w:r>
      <w:r w:rsidR="00073718">
        <w:rPr>
          <w:rFonts w:asciiTheme="majorHAnsi" w:hAnsiTheme="majorHAnsi" w:cstheme="majorHAnsi"/>
          <w:b/>
          <w:sz w:val="24"/>
          <w:szCs w:val="24"/>
          <w:lang w:val="ro-RO"/>
        </w:rPr>
        <w:t xml:space="preserve">, </w:t>
      </w:r>
      <w:r w:rsidR="00AC083A" w:rsidRPr="00341E6C">
        <w:rPr>
          <w:rFonts w:asciiTheme="majorHAnsi" w:hAnsiTheme="majorHAnsi" w:cstheme="majorHAnsi"/>
          <w:b/>
          <w:sz w:val="24"/>
          <w:szCs w:val="24"/>
          <w:lang w:val="ro-RO"/>
        </w:rPr>
        <w:t>ca urmare a realizării misiunii precedente de audit</w:t>
      </w:r>
      <w:r w:rsidR="007C26F0">
        <w:rPr>
          <w:rFonts w:asciiTheme="majorHAnsi" w:hAnsiTheme="majorHAnsi" w:cstheme="majorHAnsi"/>
          <w:b/>
          <w:sz w:val="24"/>
          <w:szCs w:val="24"/>
          <w:lang w:val="ro-RO"/>
        </w:rPr>
        <w:t xml:space="preserve"> public extern</w:t>
      </w:r>
      <w:r w:rsidR="00AC083A" w:rsidRPr="00341E6C">
        <w:rPr>
          <w:rFonts w:asciiTheme="majorHAnsi" w:hAnsiTheme="majorHAnsi" w:cs="Calibri Light"/>
          <w:b/>
          <w:iCs/>
          <w:sz w:val="24"/>
          <w:szCs w:val="24"/>
          <w:lang w:val="ro-RO"/>
        </w:rPr>
        <w:t>, v</w:t>
      </w:r>
      <w:r w:rsidR="00073718">
        <w:rPr>
          <w:rFonts w:asciiTheme="majorHAnsi" w:hAnsiTheme="majorHAnsi" w:cs="Calibri Light"/>
          <w:b/>
          <w:iCs/>
          <w:sz w:val="24"/>
          <w:szCs w:val="24"/>
          <w:lang w:val="ro-RO"/>
        </w:rPr>
        <w:t>a</w:t>
      </w:r>
      <w:r w:rsidR="00AC083A" w:rsidRPr="00341E6C">
        <w:rPr>
          <w:rFonts w:asciiTheme="majorHAnsi" w:hAnsiTheme="majorHAnsi" w:cs="Calibri Light"/>
          <w:b/>
          <w:iCs/>
          <w:sz w:val="24"/>
          <w:szCs w:val="24"/>
          <w:lang w:val="ro-RO"/>
        </w:rPr>
        <w:t xml:space="preserve"> contribui la îmbunătățirea proceselor și furnizarea informațiilor veridice</w:t>
      </w:r>
    </w:p>
    <w:p w14:paraId="2375C188" w14:textId="03B9157F" w:rsidR="00AC083A" w:rsidRPr="00341E6C" w:rsidRDefault="00AC083A" w:rsidP="00AC083A">
      <w:pPr>
        <w:tabs>
          <w:tab w:val="left" w:pos="709"/>
          <w:tab w:val="left" w:pos="993"/>
          <w:tab w:val="left" w:pos="1276"/>
        </w:tabs>
        <w:spacing w:line="276" w:lineRule="auto"/>
        <w:jc w:val="both"/>
        <w:rPr>
          <w:rFonts w:asciiTheme="majorHAnsi" w:hAnsiTheme="majorHAnsi" w:cstheme="majorHAnsi"/>
          <w:b/>
          <w:sz w:val="24"/>
          <w:szCs w:val="24"/>
          <w:lang w:val="ro-RO"/>
        </w:rPr>
      </w:pPr>
      <w:r w:rsidRPr="00341E6C">
        <w:rPr>
          <w:rFonts w:asciiTheme="majorHAnsi" w:hAnsiTheme="majorHAnsi" w:cs="Calibri Light"/>
          <w:iCs/>
          <w:sz w:val="24"/>
          <w:szCs w:val="24"/>
          <w:lang w:val="ro-RO"/>
        </w:rPr>
        <w:t>Analiza implementării recomandărilor</w:t>
      </w:r>
      <w:r w:rsidR="005B3F13" w:rsidRPr="00341E6C">
        <w:rPr>
          <w:rFonts w:asciiTheme="majorHAnsi" w:hAnsiTheme="majorHAnsi" w:cs="Calibri Light"/>
          <w:iCs/>
          <w:sz w:val="24"/>
          <w:szCs w:val="24"/>
          <w:vertAlign w:val="superscript"/>
          <w:lang w:val="ro-RO"/>
        </w:rPr>
        <w:footnoteReference w:id="39"/>
      </w:r>
      <w:r w:rsidRPr="00341E6C">
        <w:rPr>
          <w:rFonts w:asciiTheme="majorHAnsi" w:hAnsiTheme="majorHAnsi" w:cs="Calibri Light"/>
          <w:iCs/>
          <w:sz w:val="24"/>
          <w:szCs w:val="24"/>
          <w:lang w:val="ro-RO"/>
        </w:rPr>
        <w:t xml:space="preserve"> atestă unele progrese în îmbunătățirea cadrului regulator, inclusiv a celui intern, în special cu privire la modul de înregistrare și raportare a indicatorilor BASS. De asemenea, au fost semnate acorduri de colaborare între CNAS și alte instituții</w:t>
      </w:r>
      <w:r w:rsidR="00073718">
        <w:rPr>
          <w:rFonts w:asciiTheme="majorHAnsi" w:hAnsiTheme="majorHAnsi" w:cs="Calibri Light"/>
          <w:iCs/>
          <w:sz w:val="24"/>
          <w:szCs w:val="24"/>
          <w:lang w:val="ro-RO"/>
        </w:rPr>
        <w:t>,</w:t>
      </w:r>
      <w:r w:rsidRPr="00341E6C">
        <w:rPr>
          <w:rFonts w:asciiTheme="majorHAnsi" w:hAnsiTheme="majorHAnsi" w:cs="Calibri Light"/>
          <w:iCs/>
          <w:sz w:val="24"/>
          <w:szCs w:val="24"/>
          <w:lang w:val="ro-RO"/>
        </w:rPr>
        <w:t xml:space="preserve"> pentru a asigura corectitudinea acordării drepturilor sociale persoanelor eligibile. Aceste acțiuni constituie încă un pas în sporirea capacității CNAS de a oferi informații veridice utilizatorilor rapoartelor și de a presta servicii calitative cetățenilor.</w:t>
      </w:r>
    </w:p>
    <w:p w14:paraId="042811FA" w14:textId="6EA690FA" w:rsidR="004A3CC2" w:rsidRPr="00F55866" w:rsidRDefault="00AC083A" w:rsidP="001A6CBE">
      <w:pPr>
        <w:spacing w:after="0" w:line="276" w:lineRule="auto"/>
        <w:jc w:val="both"/>
        <w:rPr>
          <w:rFonts w:asciiTheme="majorHAnsi" w:hAnsiTheme="majorHAnsi" w:cs="Calibri Light"/>
          <w:iCs/>
          <w:sz w:val="24"/>
          <w:szCs w:val="24"/>
          <w:lang w:val="ro-RO"/>
        </w:rPr>
      </w:pPr>
      <w:r w:rsidRPr="00F55866">
        <w:rPr>
          <w:rFonts w:asciiTheme="majorHAnsi" w:hAnsiTheme="majorHAnsi" w:cs="Calibri Light"/>
          <w:iCs/>
          <w:sz w:val="24"/>
          <w:szCs w:val="24"/>
          <w:lang w:val="ro-RO"/>
        </w:rPr>
        <w:t xml:space="preserve">Se menționează că o parte din recomandările </w:t>
      </w:r>
      <w:r w:rsidR="00F55866" w:rsidRPr="00F55866">
        <w:rPr>
          <w:rFonts w:ascii="Calibri Light" w:eastAsia="Times New Roman" w:hAnsi="Calibri Light" w:cs="Calibri Light"/>
          <w:color w:val="212121"/>
          <w:sz w:val="24"/>
          <w:szCs w:val="24"/>
          <w:lang w:val="ro-RO"/>
        </w:rPr>
        <w:t>implementate de către CNAS</w:t>
      </w:r>
      <w:r w:rsidRPr="00F55866">
        <w:rPr>
          <w:rFonts w:asciiTheme="majorHAnsi" w:hAnsiTheme="majorHAnsi" w:cs="Calibri Light"/>
          <w:iCs/>
          <w:sz w:val="24"/>
          <w:szCs w:val="24"/>
          <w:lang w:val="ro-RO"/>
        </w:rPr>
        <w:t xml:space="preserve"> v</w:t>
      </w:r>
      <w:r w:rsidR="00073718">
        <w:rPr>
          <w:rFonts w:asciiTheme="majorHAnsi" w:hAnsiTheme="majorHAnsi" w:cs="Calibri Light"/>
          <w:iCs/>
          <w:sz w:val="24"/>
          <w:szCs w:val="24"/>
          <w:lang w:val="ro-RO"/>
        </w:rPr>
        <w:t>a</w:t>
      </w:r>
      <w:r w:rsidRPr="00F55866">
        <w:rPr>
          <w:rFonts w:asciiTheme="majorHAnsi" w:hAnsiTheme="majorHAnsi" w:cs="Calibri Light"/>
          <w:iCs/>
          <w:sz w:val="24"/>
          <w:szCs w:val="24"/>
          <w:lang w:val="ro-RO"/>
        </w:rPr>
        <w:t xml:space="preserve"> avea impact asupra Raportului privind executarea BASS pentru anul 2021</w:t>
      </w:r>
      <w:r w:rsidR="005C0729">
        <w:rPr>
          <w:rFonts w:asciiTheme="majorHAnsi" w:hAnsiTheme="majorHAnsi" w:cs="Calibri Light"/>
          <w:iCs/>
          <w:sz w:val="24"/>
          <w:szCs w:val="24"/>
          <w:lang w:val="ro-RO"/>
        </w:rPr>
        <w:t xml:space="preserve">. Se </w:t>
      </w:r>
      <w:r w:rsidR="00073718">
        <w:rPr>
          <w:rFonts w:asciiTheme="majorHAnsi" w:hAnsiTheme="majorHAnsi" w:cs="Calibri Light"/>
          <w:iCs/>
          <w:sz w:val="24"/>
          <w:szCs w:val="24"/>
          <w:lang w:val="ro-RO"/>
        </w:rPr>
        <w:t>relevă și faptul</w:t>
      </w:r>
      <w:r w:rsidR="005C0729">
        <w:rPr>
          <w:rFonts w:asciiTheme="majorHAnsi" w:hAnsiTheme="majorHAnsi" w:cs="Calibri Light"/>
          <w:iCs/>
          <w:sz w:val="24"/>
          <w:szCs w:val="24"/>
          <w:lang w:val="ro-RO"/>
        </w:rPr>
        <w:t xml:space="preserve"> că </w:t>
      </w:r>
      <w:r w:rsidR="005C0729" w:rsidRPr="005C0729">
        <w:rPr>
          <w:rFonts w:asciiTheme="majorHAnsi" w:hAnsiTheme="majorHAnsi" w:cstheme="majorHAnsi"/>
          <w:color w:val="000000" w:themeColor="text1"/>
          <w:sz w:val="24"/>
          <w:szCs w:val="24"/>
          <w:lang w:val="ro-RO"/>
        </w:rPr>
        <w:t xml:space="preserve"> </w:t>
      </w:r>
      <w:r w:rsidR="005C0729">
        <w:rPr>
          <w:rFonts w:asciiTheme="majorHAnsi" w:hAnsiTheme="majorHAnsi" w:cstheme="majorHAnsi"/>
          <w:color w:val="000000" w:themeColor="text1"/>
          <w:sz w:val="24"/>
          <w:szCs w:val="24"/>
          <w:lang w:val="ro-RO"/>
        </w:rPr>
        <w:t>au fost</w:t>
      </w:r>
      <w:r w:rsidR="005C0729" w:rsidRPr="007C1ED7">
        <w:rPr>
          <w:rFonts w:asciiTheme="majorHAnsi" w:hAnsiTheme="majorHAnsi" w:cstheme="majorHAnsi"/>
          <w:color w:val="000000" w:themeColor="text1"/>
          <w:sz w:val="24"/>
          <w:szCs w:val="24"/>
          <w:lang w:val="ro-RO"/>
        </w:rPr>
        <w:t xml:space="preserve"> elaborat</w:t>
      </w:r>
      <w:r w:rsidR="005C0729">
        <w:rPr>
          <w:rFonts w:asciiTheme="majorHAnsi" w:hAnsiTheme="majorHAnsi" w:cstheme="majorHAnsi"/>
          <w:color w:val="000000" w:themeColor="text1"/>
          <w:sz w:val="24"/>
          <w:szCs w:val="24"/>
          <w:lang w:val="ro-RO"/>
        </w:rPr>
        <w:t>e</w:t>
      </w:r>
      <w:r w:rsidR="005C0729" w:rsidRPr="007C1ED7">
        <w:rPr>
          <w:rFonts w:asciiTheme="majorHAnsi" w:hAnsiTheme="majorHAnsi" w:cstheme="majorHAnsi"/>
          <w:color w:val="000000" w:themeColor="text1"/>
          <w:sz w:val="24"/>
          <w:szCs w:val="24"/>
          <w:lang w:val="ro-RO"/>
        </w:rPr>
        <w:t xml:space="preserve"> modificări ale normelor de evidență a datoriilor,</w:t>
      </w:r>
      <w:r w:rsidR="005C0729">
        <w:rPr>
          <w:rFonts w:asciiTheme="majorHAnsi" w:hAnsiTheme="majorHAnsi" w:cstheme="majorHAnsi"/>
          <w:color w:val="000000" w:themeColor="text1"/>
          <w:sz w:val="24"/>
          <w:szCs w:val="24"/>
          <w:lang w:val="ro-RO"/>
        </w:rPr>
        <w:t xml:space="preserve"> aspect care a stat la baza opinie</w:t>
      </w:r>
      <w:r w:rsidR="009D6FE1">
        <w:rPr>
          <w:rFonts w:asciiTheme="majorHAnsi" w:hAnsiTheme="majorHAnsi" w:cstheme="majorHAnsi"/>
          <w:color w:val="000000" w:themeColor="text1"/>
          <w:sz w:val="24"/>
          <w:szCs w:val="24"/>
          <w:lang w:val="ro-RO"/>
        </w:rPr>
        <w:t>i</w:t>
      </w:r>
      <w:r w:rsidR="005C0729">
        <w:rPr>
          <w:rFonts w:asciiTheme="majorHAnsi" w:hAnsiTheme="majorHAnsi" w:cstheme="majorHAnsi"/>
          <w:color w:val="000000" w:themeColor="text1"/>
          <w:sz w:val="24"/>
          <w:szCs w:val="24"/>
          <w:lang w:val="ro-RO"/>
        </w:rPr>
        <w:t>,</w:t>
      </w:r>
      <w:r w:rsidR="005C0729" w:rsidRPr="007C1ED7">
        <w:rPr>
          <w:rFonts w:asciiTheme="majorHAnsi" w:hAnsiTheme="majorHAnsi" w:cstheme="majorHAnsi"/>
          <w:color w:val="000000" w:themeColor="text1"/>
          <w:sz w:val="24"/>
          <w:szCs w:val="24"/>
          <w:lang w:val="ro-RO"/>
        </w:rPr>
        <w:t xml:space="preserve"> astfel acestea urm</w:t>
      </w:r>
      <w:r w:rsidR="008B0F81">
        <w:rPr>
          <w:rFonts w:asciiTheme="majorHAnsi" w:hAnsiTheme="majorHAnsi" w:cstheme="majorHAnsi"/>
          <w:color w:val="000000" w:themeColor="text1"/>
          <w:sz w:val="24"/>
          <w:szCs w:val="24"/>
          <w:lang w:val="ro-RO"/>
        </w:rPr>
        <w:t>ând</w:t>
      </w:r>
      <w:r w:rsidR="005C0729" w:rsidRPr="007C1ED7">
        <w:rPr>
          <w:rFonts w:asciiTheme="majorHAnsi" w:hAnsiTheme="majorHAnsi" w:cstheme="majorHAnsi"/>
          <w:color w:val="000000" w:themeColor="text1"/>
          <w:sz w:val="24"/>
          <w:szCs w:val="24"/>
          <w:lang w:val="ro-RO"/>
        </w:rPr>
        <w:t xml:space="preserve"> a fi reflectate ca datorii pe termen lung, la conturile extra-bilanțiere</w:t>
      </w:r>
      <w:r w:rsidR="005C0729">
        <w:rPr>
          <w:rFonts w:asciiTheme="majorHAnsi" w:hAnsiTheme="majorHAnsi" w:cstheme="majorHAnsi"/>
          <w:color w:val="000000" w:themeColor="text1"/>
          <w:sz w:val="24"/>
          <w:szCs w:val="24"/>
          <w:lang w:val="ro-RO"/>
        </w:rPr>
        <w:t>.</w:t>
      </w:r>
      <w:r w:rsidRPr="00F55866">
        <w:rPr>
          <w:rFonts w:asciiTheme="majorHAnsi" w:hAnsiTheme="majorHAnsi" w:cs="Calibri Light"/>
          <w:iCs/>
          <w:sz w:val="24"/>
          <w:szCs w:val="24"/>
          <w:lang w:val="ro-RO"/>
        </w:rPr>
        <w:t xml:space="preserve"> O prezentare detaliată a nivelului de implementare a recomandărilor și termenul de punere în aplicare se </w:t>
      </w:r>
      <w:r w:rsidR="008B0F81">
        <w:rPr>
          <w:rFonts w:asciiTheme="majorHAnsi" w:hAnsiTheme="majorHAnsi" w:cs="Calibri Light"/>
          <w:iCs/>
          <w:sz w:val="24"/>
          <w:szCs w:val="24"/>
          <w:lang w:val="ro-RO"/>
        </w:rPr>
        <w:t>conține</w:t>
      </w:r>
      <w:r w:rsidRPr="00F55866">
        <w:rPr>
          <w:rFonts w:asciiTheme="majorHAnsi" w:hAnsiTheme="majorHAnsi" w:cs="Calibri Light"/>
          <w:iCs/>
          <w:sz w:val="24"/>
          <w:szCs w:val="24"/>
          <w:lang w:val="ro-RO"/>
        </w:rPr>
        <w:t xml:space="preserve"> în Anexa nr. </w:t>
      </w:r>
      <w:r w:rsidRPr="001A6CBE">
        <w:rPr>
          <w:rFonts w:asciiTheme="majorHAnsi" w:hAnsiTheme="majorHAnsi" w:cs="Calibri Light"/>
          <w:iCs/>
          <w:sz w:val="24"/>
          <w:szCs w:val="24"/>
          <w:lang w:val="ro-RO"/>
        </w:rPr>
        <w:t>1</w:t>
      </w:r>
      <w:r w:rsidR="00C026BE">
        <w:rPr>
          <w:rFonts w:asciiTheme="majorHAnsi" w:hAnsiTheme="majorHAnsi" w:cs="Calibri Light"/>
          <w:iCs/>
          <w:sz w:val="24"/>
          <w:szCs w:val="24"/>
          <w:lang w:val="ro-RO"/>
        </w:rPr>
        <w:t>2</w:t>
      </w:r>
      <w:r w:rsidR="001A6CBE" w:rsidRPr="001A6CBE">
        <w:rPr>
          <w:rFonts w:asciiTheme="majorHAnsi" w:hAnsiTheme="majorHAnsi" w:cs="Calibri Light"/>
          <w:iCs/>
          <w:sz w:val="24"/>
          <w:szCs w:val="24"/>
          <w:lang w:val="ro-RO"/>
        </w:rPr>
        <w:t xml:space="preserve"> la prezentul Raport de audit.</w:t>
      </w:r>
    </w:p>
    <w:p w14:paraId="27882293" w14:textId="6A9ACB24" w:rsidR="00F55866" w:rsidRPr="00F55866" w:rsidRDefault="00AC083A" w:rsidP="00F55866">
      <w:pPr>
        <w:spacing w:after="0" w:line="276" w:lineRule="auto"/>
        <w:jc w:val="both"/>
        <w:rPr>
          <w:rFonts w:asciiTheme="majorHAnsi" w:hAnsiTheme="majorHAnsi" w:cstheme="majorHAnsi"/>
          <w:sz w:val="24"/>
          <w:szCs w:val="24"/>
          <w:lang w:val="ro-RO"/>
        </w:rPr>
      </w:pPr>
      <w:r w:rsidRPr="00F55866">
        <w:rPr>
          <w:rFonts w:asciiTheme="majorHAnsi" w:hAnsiTheme="majorHAnsi" w:cs="Calibri Light"/>
          <w:iCs/>
          <w:sz w:val="24"/>
          <w:szCs w:val="24"/>
          <w:lang w:val="ro-RO"/>
        </w:rPr>
        <w:lastRenderedPageBreak/>
        <w:t xml:space="preserve">Totodată, unele recomandări nu au fost implementate din lipsa conlucrării eficiente și a schimbului de informații între instituțiile implicate în procesul de documentare, stabilire, plată și verificare a drepturilor sociale, precum și de faptul că unele propuneri de modificare şi completare a cadrului legal nu au fost aprobate. </w:t>
      </w:r>
      <w:r w:rsidR="00F55866" w:rsidRPr="00F55866">
        <w:rPr>
          <w:rFonts w:asciiTheme="majorHAnsi" w:hAnsiTheme="majorHAnsi" w:cs="Calibri Light"/>
          <w:iCs/>
          <w:sz w:val="24"/>
          <w:szCs w:val="24"/>
          <w:lang w:val="ro-RO"/>
        </w:rPr>
        <w:t>Astfel, l</w:t>
      </w:r>
      <w:r w:rsidR="00F55866" w:rsidRPr="00F55866">
        <w:rPr>
          <w:rFonts w:asciiTheme="majorHAnsi" w:hAnsiTheme="majorHAnsi" w:cstheme="majorHAnsi"/>
          <w:sz w:val="24"/>
          <w:szCs w:val="24"/>
          <w:lang w:val="ro-RO"/>
        </w:rPr>
        <w:t>a intenția MSMPS și CNAS de a implementa un cadru normativ actualizat, în scopul stabilirii/calculării pensiilor foștilor militari, inclusiv în baza evidenței individuale, se atestă lipsa de conlucrare, avizele fiind negative din partea instituțiilor de forță, respectiv</w:t>
      </w:r>
      <w:r w:rsidR="008B0F81">
        <w:rPr>
          <w:rFonts w:asciiTheme="majorHAnsi" w:hAnsiTheme="majorHAnsi" w:cstheme="majorHAnsi"/>
          <w:sz w:val="24"/>
          <w:szCs w:val="24"/>
          <w:lang w:val="ro-RO"/>
        </w:rPr>
        <w:t>,</w:t>
      </w:r>
      <w:r w:rsidR="00F55866" w:rsidRPr="00F55866">
        <w:rPr>
          <w:rFonts w:asciiTheme="majorHAnsi" w:hAnsiTheme="majorHAnsi" w:cstheme="majorHAnsi"/>
          <w:sz w:val="24"/>
          <w:szCs w:val="24"/>
          <w:lang w:val="ro-RO"/>
        </w:rPr>
        <w:t xml:space="preserve"> propunerile au fost excluse din proiectul de lege.</w:t>
      </w:r>
    </w:p>
    <w:p w14:paraId="426C1CBA" w14:textId="279E4147" w:rsidR="00AC083A" w:rsidRDefault="00AC083A" w:rsidP="00F55866">
      <w:pPr>
        <w:spacing w:before="240" w:line="276" w:lineRule="auto"/>
        <w:jc w:val="both"/>
        <w:rPr>
          <w:rFonts w:asciiTheme="majorHAnsi" w:hAnsiTheme="majorHAnsi" w:cs="Calibri Light"/>
          <w:iCs/>
          <w:sz w:val="24"/>
          <w:szCs w:val="24"/>
          <w:lang w:val="ro-RO"/>
        </w:rPr>
      </w:pPr>
      <w:r w:rsidRPr="00F55866">
        <w:rPr>
          <w:rFonts w:asciiTheme="majorHAnsi" w:hAnsiTheme="majorHAnsi" w:cs="Calibri Light"/>
          <w:iCs/>
          <w:sz w:val="24"/>
          <w:szCs w:val="24"/>
          <w:lang w:val="ro-RO"/>
        </w:rPr>
        <w:t>Neimplementarea recomandărilor</w:t>
      </w:r>
      <w:r w:rsidR="00327101" w:rsidRPr="00F55866">
        <w:rPr>
          <w:rFonts w:asciiTheme="majorHAnsi" w:hAnsiTheme="majorHAnsi" w:cs="Calibri Light"/>
          <w:iCs/>
          <w:sz w:val="24"/>
          <w:szCs w:val="24"/>
          <w:lang w:val="ro-RO"/>
        </w:rPr>
        <w:t xml:space="preserve"> </w:t>
      </w:r>
      <w:r w:rsidR="00327101" w:rsidRPr="00F55866">
        <w:rPr>
          <w:rFonts w:ascii="Calibri Light" w:eastAsia="Times New Roman" w:hAnsi="Calibri Light" w:cs="Calibri Light"/>
          <w:color w:val="212121"/>
          <w:sz w:val="24"/>
          <w:szCs w:val="24"/>
          <w:lang w:val="ro-RO"/>
        </w:rPr>
        <w:t>de către MSMPS</w:t>
      </w:r>
      <w:r w:rsidRPr="00F55866">
        <w:rPr>
          <w:rFonts w:asciiTheme="majorHAnsi" w:hAnsiTheme="majorHAnsi" w:cs="Calibri Light"/>
          <w:iCs/>
          <w:sz w:val="24"/>
          <w:szCs w:val="24"/>
          <w:lang w:val="ro-RO"/>
        </w:rPr>
        <w:t xml:space="preserve"> </w:t>
      </w:r>
      <w:r w:rsidR="008B0F81">
        <w:rPr>
          <w:rFonts w:asciiTheme="majorHAnsi" w:hAnsiTheme="majorHAnsi" w:cs="Calibri Light"/>
          <w:iCs/>
          <w:sz w:val="24"/>
          <w:szCs w:val="24"/>
          <w:lang w:val="ro-RO"/>
        </w:rPr>
        <w:t>cauzează</w:t>
      </w:r>
      <w:r w:rsidRPr="00F55866">
        <w:rPr>
          <w:rFonts w:asciiTheme="majorHAnsi" w:hAnsiTheme="majorHAnsi" w:cs="Calibri Light"/>
          <w:iCs/>
          <w:sz w:val="24"/>
          <w:szCs w:val="24"/>
          <w:lang w:val="ro-RO"/>
        </w:rPr>
        <w:t xml:space="preserve"> menținerea situațiilor incerte în aspectul: plăților achitate necuvenit pentru ajutor social și pentru perioada rece a anului; limitarea accesului direcțiilor teritoriale de asistență socială la bazele de date ale instituțiilor care dețin informații privind sursele și mărimea veniturilor soli</w:t>
      </w:r>
      <w:r w:rsidR="00327101" w:rsidRPr="00F55866">
        <w:rPr>
          <w:rFonts w:asciiTheme="majorHAnsi" w:hAnsiTheme="majorHAnsi" w:cs="Calibri Light"/>
          <w:iCs/>
          <w:sz w:val="24"/>
          <w:szCs w:val="24"/>
          <w:lang w:val="ro-RO"/>
        </w:rPr>
        <w:t>citanților de ajutoare sociale</w:t>
      </w:r>
      <w:r w:rsidR="00327101" w:rsidRPr="00F55866">
        <w:rPr>
          <w:rFonts w:ascii="Calibri Light" w:eastAsia="Times New Roman" w:hAnsi="Calibri Light" w:cs="Calibri Light"/>
          <w:color w:val="212121"/>
          <w:sz w:val="24"/>
          <w:szCs w:val="24"/>
          <w:lang w:val="ro-RO"/>
        </w:rPr>
        <w:t>, iar cele neimplementate de către instituțiile de forță, determină</w:t>
      </w:r>
      <w:r w:rsidR="00327101" w:rsidRPr="00F55866">
        <w:rPr>
          <w:rFonts w:asciiTheme="majorHAnsi" w:hAnsiTheme="majorHAnsi" w:cs="Calibri Light"/>
          <w:iCs/>
          <w:sz w:val="24"/>
          <w:szCs w:val="24"/>
          <w:lang w:val="ro-RO"/>
        </w:rPr>
        <w:t xml:space="preserve"> </w:t>
      </w:r>
      <w:r w:rsidRPr="00F55866">
        <w:rPr>
          <w:rFonts w:asciiTheme="majorHAnsi" w:hAnsiTheme="majorHAnsi" w:cs="Calibri Light"/>
          <w:iCs/>
          <w:sz w:val="24"/>
          <w:szCs w:val="24"/>
          <w:lang w:val="ro-RO"/>
        </w:rPr>
        <w:t>neconcordanțe în cadrul normativ ce reglementează acordarea înlesnirilor la calcularea vechimii în muncă angajaților cu activități în cadrul izolatoarelor de detenție provizorie din inspectoratele de poliție etc. În continuare, auditorii consideră necesară întreprinderea măsurilor suficiente pentru identifica</w:t>
      </w:r>
      <w:r w:rsidR="008B0F81">
        <w:rPr>
          <w:rFonts w:asciiTheme="majorHAnsi" w:hAnsiTheme="majorHAnsi" w:cs="Calibri Light"/>
          <w:iCs/>
          <w:sz w:val="24"/>
          <w:szCs w:val="24"/>
          <w:lang w:val="ro-RO"/>
        </w:rPr>
        <w:t>rea</w:t>
      </w:r>
      <w:r w:rsidRPr="00F55866">
        <w:rPr>
          <w:rFonts w:asciiTheme="majorHAnsi" w:hAnsiTheme="majorHAnsi" w:cs="Calibri Light"/>
          <w:iCs/>
          <w:sz w:val="24"/>
          <w:szCs w:val="24"/>
          <w:lang w:val="ro-RO"/>
        </w:rPr>
        <w:t xml:space="preserve"> </w:t>
      </w:r>
      <w:r w:rsidR="008B0F81">
        <w:rPr>
          <w:rFonts w:asciiTheme="majorHAnsi" w:hAnsiTheme="majorHAnsi" w:cs="Calibri Light"/>
          <w:iCs/>
          <w:sz w:val="24"/>
          <w:szCs w:val="24"/>
          <w:lang w:val="ro-RO"/>
        </w:rPr>
        <w:t>unei</w:t>
      </w:r>
      <w:r w:rsidRPr="00F55866">
        <w:rPr>
          <w:rFonts w:asciiTheme="majorHAnsi" w:hAnsiTheme="majorHAnsi" w:cs="Calibri Light"/>
          <w:iCs/>
          <w:sz w:val="24"/>
          <w:szCs w:val="24"/>
          <w:lang w:val="ro-RO"/>
        </w:rPr>
        <w:t xml:space="preserve"> soluți</w:t>
      </w:r>
      <w:r w:rsidR="008B0F81">
        <w:rPr>
          <w:rFonts w:asciiTheme="majorHAnsi" w:hAnsiTheme="majorHAnsi" w:cs="Calibri Light"/>
          <w:iCs/>
          <w:sz w:val="24"/>
          <w:szCs w:val="24"/>
          <w:lang w:val="ro-RO"/>
        </w:rPr>
        <w:t>i</w:t>
      </w:r>
      <w:r w:rsidRPr="00F55866">
        <w:rPr>
          <w:rFonts w:asciiTheme="majorHAnsi" w:hAnsiTheme="majorHAnsi" w:cs="Calibri Light"/>
          <w:iCs/>
          <w:sz w:val="24"/>
          <w:szCs w:val="24"/>
          <w:lang w:val="ro-RO"/>
        </w:rPr>
        <w:t xml:space="preserve"> viabil</w:t>
      </w:r>
      <w:r w:rsidR="008B0F81">
        <w:rPr>
          <w:rFonts w:asciiTheme="majorHAnsi" w:hAnsiTheme="majorHAnsi" w:cs="Calibri Light"/>
          <w:iCs/>
          <w:sz w:val="24"/>
          <w:szCs w:val="24"/>
          <w:lang w:val="ro-RO"/>
        </w:rPr>
        <w:t>e</w:t>
      </w:r>
      <w:r w:rsidRPr="00F55866">
        <w:rPr>
          <w:rFonts w:asciiTheme="majorHAnsi" w:hAnsiTheme="majorHAnsi" w:cs="Calibri Light"/>
          <w:iCs/>
          <w:sz w:val="24"/>
          <w:szCs w:val="24"/>
          <w:lang w:val="ro-RO"/>
        </w:rPr>
        <w:t xml:space="preserve"> de implementare a acestor recomandări, cu reiterarea acestora în cadrul prezentei misiuni de audit.</w:t>
      </w:r>
    </w:p>
    <w:p w14:paraId="5B5D0DFB" w14:textId="3876F42D" w:rsidR="00966F21" w:rsidRPr="00966F21" w:rsidRDefault="00966F21" w:rsidP="003E7E98">
      <w:pPr>
        <w:pStyle w:val="ListParagraph"/>
        <w:numPr>
          <w:ilvl w:val="1"/>
          <w:numId w:val="23"/>
        </w:numPr>
        <w:spacing w:after="0" w:line="276" w:lineRule="auto"/>
        <w:ind w:left="0" w:firstLine="0"/>
        <w:jc w:val="both"/>
        <w:outlineLvl w:val="1"/>
        <w:rPr>
          <w:rFonts w:asciiTheme="majorHAnsi" w:hAnsiTheme="majorHAnsi" w:cstheme="majorHAnsi"/>
          <w:color w:val="000000"/>
          <w:sz w:val="24"/>
          <w:szCs w:val="24"/>
          <w:shd w:val="clear" w:color="auto" w:fill="FFFFFF"/>
          <w:lang w:val="ro-RO"/>
        </w:rPr>
      </w:pPr>
      <w:r w:rsidRPr="00966F21">
        <w:rPr>
          <w:rFonts w:asciiTheme="majorHAnsi" w:hAnsiTheme="majorHAnsi" w:cstheme="majorHAnsi"/>
          <w:b/>
          <w:sz w:val="24"/>
          <w:szCs w:val="24"/>
          <w:lang w:val="ro-RO"/>
        </w:rPr>
        <w:t xml:space="preserve">Lipsa graficului </w:t>
      </w:r>
      <w:r w:rsidRPr="00966F21">
        <w:rPr>
          <w:rFonts w:asciiTheme="majorHAnsi" w:eastAsia="Times New Roman" w:hAnsiTheme="majorHAnsi" w:cstheme="majorHAnsi"/>
          <w:b/>
          <w:color w:val="000000"/>
          <w:sz w:val="24"/>
          <w:szCs w:val="24"/>
          <w:lang w:val="ro-RO"/>
        </w:rPr>
        <w:t>de transfer al mijloacelor bănești menține în continuare neridicarea integrală a prestațiilor achitate prin intermediul Î.S.</w:t>
      </w:r>
      <w:r w:rsidR="002C5CAE">
        <w:rPr>
          <w:rFonts w:asciiTheme="majorHAnsi" w:eastAsia="Times New Roman" w:hAnsiTheme="majorHAnsi" w:cstheme="majorHAnsi"/>
          <w:b/>
          <w:color w:val="000000"/>
          <w:sz w:val="24"/>
          <w:szCs w:val="24"/>
          <w:lang w:val="ro-RO"/>
        </w:rPr>
        <w:t xml:space="preserve"> </w:t>
      </w:r>
      <w:r w:rsidR="009D6FE1">
        <w:rPr>
          <w:rFonts w:asciiTheme="majorHAnsi" w:eastAsia="Times New Roman" w:hAnsiTheme="majorHAnsi" w:cstheme="majorHAnsi"/>
          <w:b/>
          <w:color w:val="000000"/>
          <w:sz w:val="24"/>
          <w:szCs w:val="24"/>
          <w:lang w:val="ro-RO"/>
        </w:rPr>
        <w:t>„</w:t>
      </w:r>
      <w:r w:rsidRPr="00966F21">
        <w:rPr>
          <w:rFonts w:asciiTheme="majorHAnsi" w:eastAsia="Times New Roman" w:hAnsiTheme="majorHAnsi" w:cstheme="majorHAnsi"/>
          <w:b/>
          <w:color w:val="000000"/>
          <w:sz w:val="24"/>
          <w:szCs w:val="24"/>
          <w:lang w:val="ro-RO"/>
        </w:rPr>
        <w:t>Poșta Moldovei</w:t>
      </w:r>
      <w:r w:rsidR="009D6FE1">
        <w:rPr>
          <w:rFonts w:asciiTheme="majorHAnsi" w:eastAsia="Times New Roman" w:hAnsiTheme="majorHAnsi" w:cstheme="majorHAnsi"/>
          <w:b/>
          <w:color w:val="000000"/>
          <w:sz w:val="24"/>
          <w:szCs w:val="24"/>
          <w:lang w:val="ro-RO"/>
        </w:rPr>
        <w:t>”</w:t>
      </w:r>
      <w:r w:rsidRPr="00966F21">
        <w:rPr>
          <w:rFonts w:asciiTheme="majorHAnsi" w:eastAsia="Times New Roman" w:hAnsiTheme="majorHAnsi" w:cstheme="majorHAnsi"/>
          <w:b/>
          <w:color w:val="000000"/>
          <w:sz w:val="24"/>
          <w:szCs w:val="24"/>
          <w:lang w:val="ro-RO"/>
        </w:rPr>
        <w:t>, pentru luna curentă și form</w:t>
      </w:r>
      <w:r w:rsidR="007F3915">
        <w:rPr>
          <w:rFonts w:asciiTheme="majorHAnsi" w:eastAsia="Times New Roman" w:hAnsiTheme="majorHAnsi" w:cstheme="majorHAnsi"/>
          <w:b/>
          <w:color w:val="000000"/>
          <w:sz w:val="24"/>
          <w:szCs w:val="24"/>
          <w:lang w:val="ro-RO"/>
        </w:rPr>
        <w:t>area</w:t>
      </w:r>
      <w:r w:rsidRPr="00966F21">
        <w:rPr>
          <w:rFonts w:asciiTheme="majorHAnsi" w:eastAsia="Times New Roman" w:hAnsiTheme="majorHAnsi" w:cstheme="majorHAnsi"/>
          <w:b/>
          <w:color w:val="000000"/>
          <w:sz w:val="24"/>
          <w:szCs w:val="24"/>
          <w:lang w:val="ro-RO"/>
        </w:rPr>
        <w:t xml:space="preserve"> datoriilor</w:t>
      </w:r>
      <w:r w:rsidR="007F3915">
        <w:rPr>
          <w:rFonts w:asciiTheme="majorHAnsi" w:eastAsia="Times New Roman" w:hAnsiTheme="majorHAnsi" w:cstheme="majorHAnsi"/>
          <w:b/>
          <w:color w:val="000000"/>
          <w:sz w:val="24"/>
          <w:szCs w:val="24"/>
          <w:lang w:val="ro-RO"/>
        </w:rPr>
        <w:t>.</w:t>
      </w:r>
    </w:p>
    <w:p w14:paraId="1BEE4E4C" w14:textId="2815D76B"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r w:rsidRPr="007B5882">
        <w:rPr>
          <w:rFonts w:asciiTheme="majorHAnsi" w:hAnsiTheme="majorHAnsi" w:cstheme="majorHAnsi"/>
          <w:color w:val="000000"/>
          <w:sz w:val="24"/>
          <w:szCs w:val="24"/>
          <w:shd w:val="clear" w:color="auto" w:fill="FFFFFF"/>
          <w:lang w:val="ro-RO"/>
        </w:rPr>
        <w:t xml:space="preserve">Transferarea mijloacelor bănești pentru achitarea prestațiilor are loc pe tipuri și în zile diferite ale lunii, astfel beneficiarul fiind nevoit să se deplaseze repetat la oficiul poștal pentru a ridica fiecare tip de prestație. </w:t>
      </w:r>
    </w:p>
    <w:p w14:paraId="203E739B"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r>
        <w:rPr>
          <w:rFonts w:asciiTheme="majorHAnsi" w:hAnsiTheme="majorHAnsi" w:cstheme="majorHAnsi"/>
          <w:noProof/>
          <w:color w:val="000000"/>
          <w:sz w:val="24"/>
          <w:szCs w:val="24"/>
        </w:rPr>
        <mc:AlternateContent>
          <mc:Choice Requires="wps">
            <w:drawing>
              <wp:anchor distT="0" distB="0" distL="114300" distR="114300" simplePos="0" relativeHeight="251668480" behindDoc="0" locked="0" layoutInCell="1" allowOverlap="1" wp14:anchorId="294D2A65" wp14:editId="5C567454">
                <wp:simplePos x="0" y="0"/>
                <wp:positionH relativeFrom="column">
                  <wp:posOffset>-60325</wp:posOffset>
                </wp:positionH>
                <wp:positionV relativeFrom="paragraph">
                  <wp:posOffset>59690</wp:posOffset>
                </wp:positionV>
                <wp:extent cx="5966460" cy="1539240"/>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5966460" cy="15392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E2B405" w14:textId="67B563C6" w:rsidR="004059A3" w:rsidRPr="002C5CAE" w:rsidRDefault="004059A3" w:rsidP="00966F21">
                            <w:pPr>
                              <w:jc w:val="both"/>
                              <w:rPr>
                                <w:i/>
                              </w:rPr>
                            </w:pPr>
                            <w:r w:rsidRPr="002C5CAE">
                              <w:rPr>
                                <w:rFonts w:asciiTheme="majorHAnsi" w:eastAsia="Times New Roman" w:hAnsiTheme="majorHAnsi" w:cstheme="majorHAnsi"/>
                                <w:i/>
                                <w:color w:val="000000" w:themeColor="text1"/>
                                <w:sz w:val="24"/>
                                <w:szCs w:val="24"/>
                                <w:lang w:val="ro-RO"/>
                              </w:rPr>
                              <w:t>Notă: Începând cu anul 2021, Serviciul Guvernamental de Plăți Electronice</w:t>
                            </w:r>
                            <w:r w:rsidRPr="002C5CAE">
                              <w:rPr>
                                <w:rFonts w:asciiTheme="majorHAnsi" w:eastAsia="Times New Roman" w:hAnsiTheme="majorHAnsi" w:cstheme="majorHAnsi"/>
                                <w:b/>
                                <w:i/>
                                <w:color w:val="000000" w:themeColor="text1"/>
                                <w:sz w:val="24"/>
                                <w:szCs w:val="24"/>
                                <w:lang w:val="ro-RO"/>
                              </w:rPr>
                              <w:t xml:space="preserve"> </w:t>
                            </w:r>
                            <w:r w:rsidRPr="002C5CAE">
                              <w:rPr>
                                <w:rFonts w:asciiTheme="majorHAnsi" w:hAnsiTheme="majorHAnsi" w:cstheme="majorHAnsi"/>
                                <w:i/>
                                <w:color w:val="000000" w:themeColor="text1"/>
                                <w:sz w:val="24"/>
                                <w:szCs w:val="24"/>
                                <w:lang w:val="ro-RO"/>
                              </w:rPr>
                              <w:t>a dezvoltat o platformă (MPay) care va facilita realizarea dreptului de ridicare a tuturor prestațiilor aferente lunilor precedente și promite beneficiarilor libertatea şi convenienţa de a alege orice metodă de plată disponibilă. În cadrul acestui proiect, toate prestaţiile sociale sunt comasate într-o singură platformă, unde beneficiarul va furniza IDNP-ul său, necesar pentru verificarea disponibilităţii tuturor prestaţiilor sociale cuvenite. În cazul în care se confirmă disponibilitatea, beneficiarului îi sunt eliberate toate prestaţiile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2A65" id="Rectangle 10" o:spid="_x0000_s1026" style="position:absolute;left:0;text-align:left;margin-left:-4.75pt;margin-top:4.7pt;width:469.8pt;height:12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" fillcolor="white [3201]" strokecolor="#70ad47 [3209]" strokeweight="1pt">
                <v:textbox>
                  <w:txbxContent>
                    <w:p w14:paraId="1EE2B405" w14:textId="67B563C6" w:rsidR="004059A3" w:rsidRPr="002C5CAE" w:rsidRDefault="004059A3" w:rsidP="00966F21">
                      <w:pPr>
                        <w:jc w:val="both"/>
                        <w:rPr>
                          <w:i/>
                        </w:rPr>
                      </w:pPr>
                      <w:r w:rsidRPr="002C5CAE">
                        <w:rPr>
                          <w:rFonts w:asciiTheme="majorHAnsi" w:eastAsia="Times New Roman" w:hAnsiTheme="majorHAnsi" w:cstheme="majorHAnsi"/>
                          <w:i/>
                          <w:color w:val="000000" w:themeColor="text1"/>
                          <w:sz w:val="24"/>
                          <w:szCs w:val="24"/>
                          <w:lang w:val="ro-RO"/>
                        </w:rPr>
                        <w:t>Notă: Începând cu anul 2021, Serviciul Guvernamental de Plăți Electronice</w:t>
                      </w:r>
                      <w:r w:rsidRPr="002C5CAE">
                        <w:rPr>
                          <w:rFonts w:asciiTheme="majorHAnsi" w:eastAsia="Times New Roman" w:hAnsiTheme="majorHAnsi" w:cstheme="majorHAnsi"/>
                          <w:b/>
                          <w:i/>
                          <w:color w:val="000000" w:themeColor="text1"/>
                          <w:sz w:val="24"/>
                          <w:szCs w:val="24"/>
                          <w:lang w:val="ro-RO"/>
                        </w:rPr>
                        <w:t xml:space="preserve"> </w:t>
                      </w:r>
                      <w:r w:rsidRPr="002C5CAE">
                        <w:rPr>
                          <w:rFonts w:asciiTheme="majorHAnsi" w:hAnsiTheme="majorHAnsi" w:cstheme="majorHAnsi"/>
                          <w:i/>
                          <w:color w:val="000000" w:themeColor="text1"/>
                          <w:sz w:val="24"/>
                          <w:szCs w:val="24"/>
                          <w:lang w:val="ro-RO"/>
                        </w:rPr>
                        <w:t>a dezvoltat o platformă (MPay) care va facilita realizarea dreptului de ridicare a tuturor prestațiilor aferente lunilor precedente și promite beneficiarilor libertatea şi convenienţa de a alege orice metodă de plată disponibilă. În cadrul acestui proiect, toate prestaţiile sociale sunt comasate într-o singură platformă, unde beneficiarul va furniza IDNP-ul său, necesar pentru verificarea disponibilităţii tuturor prestaţiilor sociale cuvenite. În cazul în care se confirmă disponibilitatea, beneficiarului îi sunt eliberate toate prestaţiile sociale.</w:t>
                      </w:r>
                    </w:p>
                  </w:txbxContent>
                </v:textbox>
              </v:rect>
            </w:pict>
          </mc:Fallback>
        </mc:AlternateContent>
      </w:r>
    </w:p>
    <w:p w14:paraId="16E5CB6A"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p>
    <w:p w14:paraId="08B96DA3"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p>
    <w:p w14:paraId="4CAFCEAC"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p>
    <w:p w14:paraId="0F9868C4"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p>
    <w:p w14:paraId="64F7D73B"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p>
    <w:p w14:paraId="1308DCD6" w14:textId="77777777" w:rsidR="00966F21"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o-RO"/>
        </w:rPr>
      </w:pPr>
    </w:p>
    <w:p w14:paraId="560CAE85" w14:textId="77777777" w:rsidR="00966F21" w:rsidRPr="00341E6C" w:rsidRDefault="00966F21" w:rsidP="00966F21">
      <w:pPr>
        <w:spacing w:after="0" w:line="276" w:lineRule="auto"/>
        <w:jc w:val="both"/>
        <w:rPr>
          <w:rFonts w:asciiTheme="majorHAnsi" w:hAnsiTheme="majorHAnsi" w:cstheme="majorHAnsi"/>
          <w:sz w:val="24"/>
          <w:szCs w:val="24"/>
          <w:shd w:val="clear" w:color="auto" w:fill="FFFFFF"/>
          <w:lang w:val="ro-RO"/>
        </w:rPr>
      </w:pPr>
    </w:p>
    <w:p w14:paraId="3F9007AC" w14:textId="49942C69" w:rsidR="00966F21" w:rsidRPr="00341E6C" w:rsidRDefault="00966F21" w:rsidP="00966F21">
      <w:pPr>
        <w:tabs>
          <w:tab w:val="left" w:pos="426"/>
          <w:tab w:val="left" w:pos="709"/>
          <w:tab w:val="left" w:pos="851"/>
          <w:tab w:val="left" w:pos="993"/>
        </w:tabs>
        <w:spacing w:line="276" w:lineRule="auto"/>
        <w:jc w:val="both"/>
        <w:rPr>
          <w:rFonts w:asciiTheme="majorHAnsi" w:eastAsia="Times New Roman" w:hAnsiTheme="majorHAnsi" w:cstheme="majorHAnsi"/>
          <w:color w:val="000000"/>
          <w:sz w:val="24"/>
          <w:szCs w:val="24"/>
          <w:highlight w:val="yellow"/>
          <w:lang w:val="ro-RO"/>
        </w:rPr>
      </w:pPr>
      <w:r w:rsidRPr="00341E6C">
        <w:rPr>
          <w:rFonts w:asciiTheme="majorHAnsi" w:hAnsiTheme="majorHAnsi" w:cstheme="majorHAnsi"/>
          <w:color w:val="000000"/>
          <w:sz w:val="24"/>
          <w:szCs w:val="24"/>
          <w:shd w:val="clear" w:color="auto" w:fill="FFFFFF"/>
          <w:lang w:val="ro-RO"/>
        </w:rPr>
        <w:t>Se menționează că, deși a fost implementat un mecanism nou de distribuire a prestațiilor, în Contractul de prestare a serviciilor de distribuire a prestațiilor sociale</w:t>
      </w:r>
      <w:r w:rsidRPr="00341E6C">
        <w:rPr>
          <w:rStyle w:val="FootnoteReference"/>
          <w:rFonts w:asciiTheme="majorHAnsi" w:hAnsiTheme="majorHAnsi" w:cstheme="majorHAnsi"/>
          <w:color w:val="000000"/>
          <w:sz w:val="24"/>
          <w:szCs w:val="24"/>
          <w:shd w:val="clear" w:color="auto" w:fill="FFFFFF"/>
          <w:lang w:val="ro-RO"/>
        </w:rPr>
        <w:footnoteReference w:id="40"/>
      </w:r>
      <w:r w:rsidRPr="00341E6C">
        <w:rPr>
          <w:rFonts w:asciiTheme="majorHAnsi" w:hAnsiTheme="majorHAnsi" w:cstheme="majorHAnsi"/>
          <w:color w:val="000000"/>
          <w:sz w:val="24"/>
          <w:szCs w:val="24"/>
          <w:shd w:val="clear" w:color="auto" w:fill="FFFFFF"/>
          <w:lang w:val="ro-RO"/>
        </w:rPr>
        <w:t>, încheiat între CNAS, Agenția de Guvernare Electronică și Ministerul Finanțelor (participant mandatat), nu</w:t>
      </w:r>
      <w:r w:rsidRPr="00341E6C">
        <w:rPr>
          <w:rFonts w:asciiTheme="majorHAnsi" w:eastAsia="Times New Roman" w:hAnsiTheme="majorHAnsi" w:cstheme="majorHAnsi"/>
          <w:color w:val="000000"/>
          <w:sz w:val="24"/>
          <w:szCs w:val="24"/>
          <w:lang w:val="ro-RO"/>
        </w:rPr>
        <w:t xml:space="preserve"> este indicată exhaustiv data când va avea loc transferul mijloacelor bănești către prestator, Casa Națională obligându-se </w:t>
      </w:r>
      <w:r w:rsidRPr="00341E6C">
        <w:rPr>
          <w:rFonts w:asciiTheme="majorHAnsi" w:eastAsia="Times New Roman" w:hAnsiTheme="majorHAnsi" w:cstheme="majorHAnsi"/>
          <w:i/>
          <w:color w:val="000000"/>
          <w:sz w:val="24"/>
          <w:szCs w:val="24"/>
          <w:lang w:val="ro-RO"/>
        </w:rPr>
        <w:t>„să asigure suficiența și disponibilitatea mijloacelor financiare pe conturile sale asociate prestațiilor sociale, pentru executarea ordinelor de debitare directă inițiate de către participantul mandatat în scopul distribuirii plăților în conturi de plăți sau în numerar, conform informațiilor înregistrate (publicate) în Registrul de conturi personale. În caz contrar, prestatorul va fi în imposibilitate de a asigura distribuirea plăților conform contractului</w:t>
      </w:r>
      <w:r w:rsidR="003009D3">
        <w:rPr>
          <w:rFonts w:asciiTheme="majorHAnsi" w:eastAsia="Times New Roman" w:hAnsiTheme="majorHAnsi" w:cstheme="majorHAnsi"/>
          <w:i/>
          <w:color w:val="000000"/>
          <w:sz w:val="24"/>
          <w:szCs w:val="24"/>
          <w:lang w:val="ro-RO"/>
        </w:rPr>
        <w:t>.</w:t>
      </w:r>
      <w:r w:rsidRPr="00341E6C">
        <w:rPr>
          <w:rFonts w:asciiTheme="majorHAnsi" w:eastAsia="Times New Roman" w:hAnsiTheme="majorHAnsi" w:cstheme="majorHAnsi"/>
          <w:i/>
          <w:color w:val="000000"/>
          <w:sz w:val="24"/>
          <w:szCs w:val="24"/>
          <w:lang w:val="ro-RO"/>
        </w:rPr>
        <w:t>”.</w:t>
      </w:r>
    </w:p>
    <w:p w14:paraId="138325C8" w14:textId="2DBF3A6E" w:rsidR="00966F21" w:rsidRPr="008D1CB6" w:rsidRDefault="00966F21" w:rsidP="000929E5">
      <w:pPr>
        <w:tabs>
          <w:tab w:val="left" w:pos="567"/>
        </w:tabs>
        <w:spacing w:line="276" w:lineRule="auto"/>
        <w:jc w:val="both"/>
        <w:rPr>
          <w:rFonts w:asciiTheme="majorHAnsi" w:eastAsia="Times New Roman" w:hAnsiTheme="majorHAnsi" w:cstheme="majorHAnsi"/>
          <w:color w:val="000000"/>
          <w:sz w:val="24"/>
          <w:szCs w:val="24"/>
          <w:lang w:val="ro-RO"/>
        </w:rPr>
      </w:pPr>
      <w:r w:rsidRPr="00341E6C">
        <w:rPr>
          <w:rFonts w:asciiTheme="majorHAnsi" w:hAnsiTheme="majorHAnsi" w:cstheme="majorHAnsi"/>
          <w:color w:val="000000"/>
          <w:sz w:val="24"/>
          <w:szCs w:val="24"/>
          <w:shd w:val="clear" w:color="auto" w:fill="FFFFFF"/>
          <w:lang w:val="ro-RO"/>
        </w:rPr>
        <w:lastRenderedPageBreak/>
        <w:t>Astfel, lipsa reglementărilor, inclusiv interne, cât și în contractul semnat cu prestatorul serviciilor de plată, referitor la ziua de</w:t>
      </w:r>
      <w:r w:rsidRPr="00341E6C">
        <w:rPr>
          <w:rFonts w:asciiTheme="majorHAnsi" w:hAnsiTheme="majorHAnsi" w:cstheme="majorHAnsi"/>
          <w:bCs/>
          <w:color w:val="000000"/>
          <w:sz w:val="24"/>
          <w:szCs w:val="24"/>
          <w:shd w:val="clear" w:color="auto" w:fill="FFFFFF"/>
          <w:lang w:val="ro-RO"/>
        </w:rPr>
        <w:t xml:space="preserve"> transfer a mijloacelor bănești, </w:t>
      </w:r>
      <w:r w:rsidRPr="00341E6C">
        <w:rPr>
          <w:rFonts w:asciiTheme="majorHAnsi" w:eastAsia="Times New Roman" w:hAnsiTheme="majorHAnsi" w:cstheme="majorHAnsi"/>
          <w:color w:val="000000"/>
          <w:sz w:val="24"/>
          <w:szCs w:val="24"/>
          <w:lang w:val="ro-RO"/>
        </w:rPr>
        <w:t>menține în continuare riscu</w:t>
      </w:r>
      <w:r w:rsidR="003009D3">
        <w:rPr>
          <w:rFonts w:asciiTheme="majorHAnsi" w:eastAsia="Times New Roman" w:hAnsiTheme="majorHAnsi" w:cstheme="majorHAnsi"/>
          <w:color w:val="000000"/>
          <w:sz w:val="24"/>
          <w:szCs w:val="24"/>
          <w:lang w:val="ro-RO"/>
        </w:rPr>
        <w:t>ri</w:t>
      </w:r>
      <w:r w:rsidRPr="00341E6C">
        <w:rPr>
          <w:rFonts w:asciiTheme="majorHAnsi" w:eastAsia="Times New Roman" w:hAnsiTheme="majorHAnsi" w:cstheme="majorHAnsi"/>
          <w:color w:val="000000"/>
          <w:sz w:val="24"/>
          <w:szCs w:val="24"/>
          <w:lang w:val="ro-RO"/>
        </w:rPr>
        <w:t>l</w:t>
      </w:r>
      <w:r w:rsidR="003009D3">
        <w:rPr>
          <w:rFonts w:asciiTheme="majorHAnsi" w:eastAsia="Times New Roman" w:hAnsiTheme="majorHAnsi" w:cstheme="majorHAnsi"/>
          <w:color w:val="000000"/>
          <w:sz w:val="24"/>
          <w:szCs w:val="24"/>
          <w:lang w:val="ro-RO"/>
        </w:rPr>
        <w:t>e</w:t>
      </w:r>
      <w:r w:rsidRPr="00341E6C">
        <w:rPr>
          <w:rFonts w:asciiTheme="majorHAnsi" w:eastAsia="Times New Roman" w:hAnsiTheme="majorHAnsi" w:cstheme="majorHAnsi"/>
          <w:color w:val="000000"/>
          <w:sz w:val="24"/>
          <w:szCs w:val="24"/>
          <w:lang w:val="ro-RO"/>
        </w:rPr>
        <w:t xml:space="preserve"> de neridicare integrală a prestațiilor pentru luna curentă și </w:t>
      </w:r>
      <w:r w:rsidR="003009D3">
        <w:rPr>
          <w:rFonts w:asciiTheme="majorHAnsi" w:eastAsia="Times New Roman" w:hAnsiTheme="majorHAnsi" w:cstheme="majorHAnsi"/>
          <w:color w:val="000000"/>
          <w:sz w:val="24"/>
          <w:szCs w:val="24"/>
          <w:lang w:val="ro-RO"/>
        </w:rPr>
        <w:t xml:space="preserve">de </w:t>
      </w:r>
      <w:r w:rsidRPr="00341E6C">
        <w:rPr>
          <w:rFonts w:asciiTheme="majorHAnsi" w:eastAsia="Times New Roman" w:hAnsiTheme="majorHAnsi" w:cstheme="majorHAnsi"/>
          <w:color w:val="000000"/>
          <w:sz w:val="24"/>
          <w:szCs w:val="24"/>
          <w:lang w:val="ro-RO"/>
        </w:rPr>
        <w:t>form</w:t>
      </w:r>
      <w:r w:rsidR="003009D3">
        <w:rPr>
          <w:rFonts w:asciiTheme="majorHAnsi" w:eastAsia="Times New Roman" w:hAnsiTheme="majorHAnsi" w:cstheme="majorHAnsi"/>
          <w:color w:val="000000"/>
          <w:sz w:val="24"/>
          <w:szCs w:val="24"/>
          <w:lang w:val="ro-RO"/>
        </w:rPr>
        <w:t>are a</w:t>
      </w:r>
      <w:r w:rsidRPr="00341E6C">
        <w:rPr>
          <w:rFonts w:asciiTheme="majorHAnsi" w:eastAsia="Times New Roman" w:hAnsiTheme="majorHAnsi" w:cstheme="majorHAnsi"/>
          <w:color w:val="000000"/>
          <w:sz w:val="24"/>
          <w:szCs w:val="24"/>
          <w:lang w:val="ro-RO"/>
        </w:rPr>
        <w:t xml:space="preserve"> datoriilor. </w:t>
      </w:r>
      <w:r w:rsidRPr="005077BF">
        <w:rPr>
          <w:rFonts w:asciiTheme="majorHAnsi" w:eastAsia="Times New Roman" w:hAnsiTheme="majorHAnsi" w:cstheme="majorHAnsi"/>
          <w:color w:val="000000"/>
          <w:sz w:val="24"/>
          <w:szCs w:val="24"/>
          <w:lang w:val="ro-RO"/>
        </w:rPr>
        <w:t>În cazul în care beneficiarul deține 2 sau mai multe prestații cu achitare în numerar prin intermediul Î.S.</w:t>
      </w:r>
      <w:r w:rsidR="00236F93">
        <w:rPr>
          <w:rFonts w:asciiTheme="majorHAnsi" w:eastAsia="Times New Roman" w:hAnsiTheme="majorHAnsi" w:cstheme="majorHAnsi"/>
          <w:color w:val="000000"/>
          <w:sz w:val="24"/>
          <w:szCs w:val="24"/>
          <w:lang w:val="ro-RO"/>
        </w:rPr>
        <w:t xml:space="preserve"> „</w:t>
      </w:r>
      <w:r w:rsidRPr="005077BF">
        <w:rPr>
          <w:rFonts w:asciiTheme="majorHAnsi" w:eastAsia="Times New Roman" w:hAnsiTheme="majorHAnsi" w:cstheme="majorHAnsi"/>
          <w:color w:val="000000"/>
          <w:sz w:val="24"/>
          <w:szCs w:val="24"/>
          <w:lang w:val="ro-RO"/>
        </w:rPr>
        <w:t>Poșta Moldovei</w:t>
      </w:r>
      <w:r w:rsidR="00236F93">
        <w:rPr>
          <w:rFonts w:asciiTheme="majorHAnsi" w:eastAsia="Times New Roman" w:hAnsiTheme="majorHAnsi" w:cstheme="majorHAnsi"/>
          <w:color w:val="000000"/>
          <w:sz w:val="24"/>
          <w:szCs w:val="24"/>
          <w:lang w:val="ro-RO"/>
        </w:rPr>
        <w:t>”</w:t>
      </w:r>
      <w:r w:rsidRPr="005077BF">
        <w:rPr>
          <w:rFonts w:asciiTheme="majorHAnsi" w:eastAsia="Times New Roman" w:hAnsiTheme="majorHAnsi" w:cstheme="majorHAnsi"/>
          <w:color w:val="000000"/>
          <w:sz w:val="24"/>
          <w:szCs w:val="24"/>
          <w:lang w:val="ro-RO"/>
        </w:rPr>
        <w:t>, este nevoit s</w:t>
      </w:r>
      <w:r w:rsidR="003009D3">
        <w:rPr>
          <w:rFonts w:asciiTheme="majorHAnsi" w:eastAsia="Times New Roman" w:hAnsiTheme="majorHAnsi" w:cstheme="majorHAnsi"/>
          <w:color w:val="000000"/>
          <w:sz w:val="24"/>
          <w:szCs w:val="24"/>
          <w:lang w:val="ro-RO"/>
        </w:rPr>
        <w:t>ă</w:t>
      </w:r>
      <w:r w:rsidRPr="005077BF">
        <w:rPr>
          <w:rFonts w:asciiTheme="majorHAnsi" w:eastAsia="Times New Roman" w:hAnsiTheme="majorHAnsi" w:cstheme="majorHAnsi"/>
          <w:color w:val="000000"/>
          <w:sz w:val="24"/>
          <w:szCs w:val="24"/>
          <w:lang w:val="ro-RO"/>
        </w:rPr>
        <w:t xml:space="preserve"> se adreseze repetat la oficiul poștal. Deciziile luate asupra graficului de transfer a</w:t>
      </w:r>
      <w:r w:rsidR="003009D3">
        <w:rPr>
          <w:rFonts w:asciiTheme="majorHAnsi" w:eastAsia="Times New Roman" w:hAnsiTheme="majorHAnsi" w:cstheme="majorHAnsi"/>
          <w:color w:val="000000"/>
          <w:sz w:val="24"/>
          <w:szCs w:val="24"/>
          <w:lang w:val="ro-RO"/>
        </w:rPr>
        <w:t>l</w:t>
      </w:r>
      <w:r w:rsidRPr="005077BF">
        <w:rPr>
          <w:rFonts w:asciiTheme="majorHAnsi" w:eastAsia="Times New Roman" w:hAnsiTheme="majorHAnsi" w:cstheme="majorHAnsi"/>
          <w:color w:val="000000"/>
          <w:sz w:val="24"/>
          <w:szCs w:val="24"/>
          <w:lang w:val="ro-RO"/>
        </w:rPr>
        <w:t xml:space="preserve"> mijloacelor bănești sunt</w:t>
      </w:r>
      <w:r w:rsidRPr="00341E6C">
        <w:rPr>
          <w:rFonts w:asciiTheme="majorHAnsi" w:eastAsia="Times New Roman" w:hAnsiTheme="majorHAnsi" w:cstheme="majorHAnsi"/>
          <w:color w:val="000000"/>
          <w:sz w:val="24"/>
          <w:szCs w:val="24"/>
          <w:lang w:val="ro-RO"/>
        </w:rPr>
        <w:t xml:space="preserve"> influențate de disponibilitatea veniturilor proprii pentru acoperirea contravalorii prestațiilor de asigurări sociale și disponibilitatea mijloacelor financiare de la bugetul de stat pentru acoperirea prin transferuri a decalajului temporar de casă sau contractarea împrumuturilor de la bugetul de </w:t>
      </w:r>
      <w:r w:rsidRPr="00341E6C">
        <w:rPr>
          <w:rFonts w:asciiTheme="majorHAnsi" w:eastAsia="Times New Roman" w:hAnsiTheme="majorHAnsi" w:cstheme="majorHAnsi"/>
          <w:sz w:val="24"/>
          <w:szCs w:val="24"/>
          <w:lang w:val="ro-RO"/>
        </w:rPr>
        <w:t xml:space="preserve">stat. </w:t>
      </w:r>
    </w:p>
    <w:p w14:paraId="1A4E6F93" w14:textId="21B14009" w:rsidR="00281D17" w:rsidRPr="00341E6C" w:rsidRDefault="008B5982" w:rsidP="005C0729">
      <w:pPr>
        <w:pStyle w:val="Heading2"/>
        <w:numPr>
          <w:ilvl w:val="1"/>
          <w:numId w:val="23"/>
        </w:numPr>
        <w:spacing w:line="276" w:lineRule="auto"/>
        <w:ind w:left="0" w:firstLine="0"/>
        <w:rPr>
          <w:rFonts w:asciiTheme="majorHAnsi" w:hAnsiTheme="majorHAnsi"/>
          <w:sz w:val="24"/>
          <w:szCs w:val="24"/>
          <w:lang w:val="ro-RO"/>
        </w:rPr>
      </w:pPr>
      <w:r>
        <w:rPr>
          <w:rFonts w:asciiTheme="majorHAnsi" w:hAnsiTheme="majorHAnsi"/>
          <w:sz w:val="24"/>
          <w:szCs w:val="24"/>
          <w:lang w:val="ro-RO"/>
        </w:rPr>
        <w:t>C</w:t>
      </w:r>
      <w:r w:rsidRPr="008B5982">
        <w:rPr>
          <w:rFonts w:asciiTheme="majorHAnsi" w:hAnsiTheme="majorHAnsi"/>
          <w:sz w:val="24"/>
          <w:szCs w:val="24"/>
          <w:lang w:val="ro-RO"/>
        </w:rPr>
        <w:t>adrul</w:t>
      </w:r>
      <w:r>
        <w:rPr>
          <w:rFonts w:asciiTheme="majorHAnsi" w:hAnsiTheme="majorHAnsi"/>
          <w:sz w:val="24"/>
          <w:szCs w:val="24"/>
          <w:lang w:val="ro-RO"/>
        </w:rPr>
        <w:t xml:space="preserve"> legislativ-normativ ambiguu </w:t>
      </w:r>
      <w:r w:rsidRPr="008B5982">
        <w:rPr>
          <w:rFonts w:asciiTheme="majorHAnsi" w:hAnsiTheme="majorHAnsi"/>
          <w:sz w:val="24"/>
          <w:szCs w:val="24"/>
          <w:lang w:val="ro-RO"/>
        </w:rPr>
        <w:t>în vederea descrierii clare și exhaustive a instrumentelor, mecanismelor, tehnicilor și procedurilor de calculare a vechimii în muncă și a soldei</w:t>
      </w:r>
      <w:r>
        <w:rPr>
          <w:rFonts w:asciiTheme="majorHAnsi" w:hAnsiTheme="majorHAnsi"/>
          <w:sz w:val="24"/>
          <w:szCs w:val="24"/>
          <w:lang w:val="ro-RO"/>
        </w:rPr>
        <w:t>,</w:t>
      </w:r>
      <w:r w:rsidRPr="008B5982">
        <w:rPr>
          <w:rFonts w:asciiTheme="majorHAnsi" w:hAnsiTheme="majorHAnsi"/>
          <w:sz w:val="24"/>
          <w:szCs w:val="24"/>
          <w:lang w:val="ro-RO"/>
        </w:rPr>
        <w:t xml:space="preserve"> </w:t>
      </w:r>
      <w:r w:rsidRPr="00341E6C">
        <w:rPr>
          <w:rFonts w:asciiTheme="majorHAnsi" w:hAnsiTheme="majorHAnsi"/>
          <w:sz w:val="24"/>
          <w:szCs w:val="24"/>
          <w:lang w:val="ro-RO"/>
        </w:rPr>
        <w:t>precum și lipsa documentelor justificative</w:t>
      </w:r>
      <w:r>
        <w:rPr>
          <w:rFonts w:asciiTheme="majorHAnsi" w:hAnsiTheme="majorHAnsi"/>
          <w:sz w:val="24"/>
          <w:szCs w:val="24"/>
          <w:lang w:val="ro-RO"/>
        </w:rPr>
        <w:t xml:space="preserve"> a</w:t>
      </w:r>
      <w:r w:rsidR="00281D17" w:rsidRPr="00341E6C">
        <w:rPr>
          <w:rFonts w:asciiTheme="majorHAnsi" w:hAnsiTheme="majorHAnsi"/>
          <w:sz w:val="24"/>
          <w:szCs w:val="24"/>
          <w:lang w:val="ro-RO"/>
        </w:rPr>
        <w:t xml:space="preserve">fectează gestionarea eficientă a mijloacelor financiare utilizate pentru achitarea pensiilor pentru vechime în muncă persoanelor din rândul structurilor de forță, </w:t>
      </w:r>
      <w:r w:rsidR="003009D3">
        <w:rPr>
          <w:rFonts w:asciiTheme="majorHAnsi" w:hAnsiTheme="majorHAnsi"/>
          <w:sz w:val="24"/>
          <w:szCs w:val="24"/>
          <w:lang w:val="ro-RO"/>
        </w:rPr>
        <w:t xml:space="preserve">fapt </w:t>
      </w:r>
      <w:r w:rsidR="00281D17" w:rsidRPr="00341E6C">
        <w:rPr>
          <w:rFonts w:asciiTheme="majorHAnsi" w:hAnsiTheme="majorHAnsi"/>
          <w:sz w:val="24"/>
          <w:szCs w:val="24"/>
          <w:lang w:val="ro-RO"/>
        </w:rPr>
        <w:t>ce a determinat chel</w:t>
      </w:r>
      <w:r w:rsidR="0042053E">
        <w:rPr>
          <w:rFonts w:asciiTheme="majorHAnsi" w:hAnsiTheme="majorHAnsi"/>
          <w:sz w:val="24"/>
          <w:szCs w:val="24"/>
          <w:lang w:val="ro-RO"/>
        </w:rPr>
        <w:t>tuieli nejustificate în sumă de 435,1</w:t>
      </w:r>
      <w:r w:rsidR="00236F93">
        <w:rPr>
          <w:rFonts w:asciiTheme="majorHAnsi" w:hAnsiTheme="majorHAnsi"/>
          <w:sz w:val="24"/>
          <w:szCs w:val="24"/>
          <w:lang w:val="ro-RO"/>
        </w:rPr>
        <w:t xml:space="preserve"> mii lei</w:t>
      </w:r>
      <w:r w:rsidR="003009D3">
        <w:rPr>
          <w:rFonts w:asciiTheme="majorHAnsi" w:hAnsiTheme="majorHAnsi"/>
          <w:sz w:val="24"/>
          <w:szCs w:val="24"/>
          <w:lang w:val="ro-RO"/>
        </w:rPr>
        <w:t>.</w:t>
      </w:r>
    </w:p>
    <w:p w14:paraId="4E1B2ACD" w14:textId="607F6A2A" w:rsidR="00281D17" w:rsidRPr="00341E6C" w:rsidRDefault="00281D17" w:rsidP="00E7122D">
      <w:pPr>
        <w:spacing w:after="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În anul</w:t>
      </w:r>
      <w:r w:rsidR="00236F93">
        <w:rPr>
          <w:rFonts w:asciiTheme="majorHAnsi" w:hAnsiTheme="majorHAnsi" w:cstheme="majorHAnsi"/>
          <w:sz w:val="24"/>
          <w:szCs w:val="24"/>
          <w:lang w:val="ro-RO"/>
        </w:rPr>
        <w:t xml:space="preserve"> 2020 au fost utilizate 1 194 m</w:t>
      </w:r>
      <w:r w:rsidRPr="00341E6C">
        <w:rPr>
          <w:rFonts w:asciiTheme="majorHAnsi" w:hAnsiTheme="majorHAnsi" w:cstheme="majorHAnsi"/>
          <w:sz w:val="24"/>
          <w:szCs w:val="24"/>
          <w:lang w:val="ro-RO"/>
        </w:rPr>
        <w:t>ii lei pentru plata pensiilor pentru vechime în muncă pensionarilor din rândul  militarilor</w:t>
      </w:r>
      <w:r w:rsidR="003009D3">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a persoanelor din corpul de comandă și din trupele organelor afacerilor interne, </w:t>
      </w:r>
      <w:r w:rsidR="003009D3">
        <w:rPr>
          <w:rFonts w:asciiTheme="majorHAnsi" w:hAnsiTheme="majorHAnsi" w:cstheme="majorHAnsi"/>
          <w:sz w:val="24"/>
          <w:szCs w:val="24"/>
          <w:lang w:val="ro-RO"/>
        </w:rPr>
        <w:t xml:space="preserve">ceea </w:t>
      </w:r>
      <w:r w:rsidRPr="00341E6C">
        <w:rPr>
          <w:rFonts w:asciiTheme="majorHAnsi" w:hAnsiTheme="majorHAnsi" w:cstheme="majorHAnsi"/>
          <w:sz w:val="24"/>
          <w:szCs w:val="24"/>
          <w:lang w:val="ro-RO"/>
        </w:rPr>
        <w:t>ce reprezintă 16,9% din cheltuielile pentru prestațiile de asistență socială (mijloace utilizate de la BS).</w:t>
      </w:r>
    </w:p>
    <w:p w14:paraId="0345D07F" w14:textId="385428B2" w:rsidR="00281D17" w:rsidRPr="00341E6C" w:rsidRDefault="00281D17" w:rsidP="00E7122D">
      <w:pPr>
        <w:spacing w:after="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Astfel, </w:t>
      </w:r>
      <w:r w:rsidRPr="00A54028">
        <w:rPr>
          <w:rFonts w:asciiTheme="majorHAnsi" w:hAnsiTheme="majorHAnsi" w:cstheme="majorHAnsi"/>
          <w:sz w:val="24"/>
          <w:szCs w:val="24"/>
          <w:lang w:val="ro-RO"/>
        </w:rPr>
        <w:t xml:space="preserve">pentru </w:t>
      </w:r>
      <w:r w:rsidR="008F1853">
        <w:rPr>
          <w:rFonts w:asciiTheme="majorHAnsi" w:hAnsiTheme="majorHAnsi" w:cstheme="majorHAnsi"/>
          <w:sz w:val="24"/>
          <w:szCs w:val="24"/>
          <w:lang w:val="ro-RO"/>
        </w:rPr>
        <w:t>9</w:t>
      </w:r>
      <w:r w:rsidRPr="00A54028">
        <w:rPr>
          <w:rFonts w:asciiTheme="majorHAnsi" w:hAnsiTheme="majorHAnsi" w:cstheme="majorHAnsi"/>
          <w:sz w:val="24"/>
          <w:szCs w:val="24"/>
          <w:lang w:val="ro-RO"/>
        </w:rPr>
        <w:t xml:space="preserve"> beneficiari</w:t>
      </w:r>
      <w:r w:rsidRPr="00341E6C">
        <w:rPr>
          <w:rFonts w:asciiTheme="majorHAnsi" w:hAnsiTheme="majorHAnsi" w:cstheme="majorHAnsi"/>
          <w:sz w:val="24"/>
          <w:szCs w:val="24"/>
          <w:lang w:val="ro-RO"/>
        </w:rPr>
        <w:t xml:space="preserve"> din </w:t>
      </w:r>
      <w:r w:rsidR="006A1180">
        <w:rPr>
          <w:rFonts w:asciiTheme="majorHAnsi" w:hAnsiTheme="majorHAnsi" w:cstheme="majorHAnsi"/>
          <w:sz w:val="24"/>
          <w:szCs w:val="24"/>
          <w:lang w:val="ro-RO"/>
        </w:rPr>
        <w:t>50</w:t>
      </w:r>
      <w:r w:rsidRPr="00341E6C">
        <w:rPr>
          <w:rFonts w:asciiTheme="majorHAnsi" w:hAnsiTheme="majorHAnsi" w:cstheme="majorHAnsi"/>
          <w:sz w:val="24"/>
          <w:szCs w:val="24"/>
          <w:lang w:val="ro-RO"/>
        </w:rPr>
        <w:t xml:space="preserve">, </w:t>
      </w:r>
      <w:r w:rsidR="003009D3">
        <w:rPr>
          <w:rFonts w:asciiTheme="majorHAnsi" w:hAnsiTheme="majorHAnsi" w:cstheme="majorHAnsi"/>
          <w:sz w:val="24"/>
          <w:szCs w:val="24"/>
          <w:lang w:val="ro-RO"/>
        </w:rPr>
        <w:t xml:space="preserve">ale căror </w:t>
      </w:r>
      <w:r w:rsidRPr="00341E6C">
        <w:rPr>
          <w:rFonts w:asciiTheme="majorHAnsi" w:hAnsiTheme="majorHAnsi" w:cstheme="majorHAnsi"/>
          <w:sz w:val="24"/>
          <w:szCs w:val="24"/>
          <w:lang w:val="ro-RO"/>
        </w:rPr>
        <w:t>dosare au fost examinate de către auditori, s-a constatat că</w:t>
      </w:r>
      <w:r w:rsidR="003009D3">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 anul 2020</w:t>
      </w:r>
      <w:r w:rsidR="003009D3">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s-au achitat </w:t>
      </w:r>
      <w:r w:rsidR="0042053E">
        <w:rPr>
          <w:rFonts w:asciiTheme="majorHAnsi" w:hAnsiTheme="majorHAnsi" w:cstheme="majorHAnsi"/>
          <w:sz w:val="24"/>
          <w:szCs w:val="24"/>
          <w:lang w:val="ro-RO"/>
        </w:rPr>
        <w:t>cu 435,1</w:t>
      </w:r>
      <w:r w:rsidR="00B82A97">
        <w:rPr>
          <w:rFonts w:asciiTheme="majorHAnsi" w:hAnsiTheme="majorHAnsi" w:cstheme="majorHAnsi"/>
          <w:sz w:val="24"/>
          <w:szCs w:val="24"/>
          <w:lang w:val="ro-RO"/>
        </w:rPr>
        <w:t xml:space="preserve"> mii lei</w:t>
      </w:r>
      <w:r w:rsidR="008D5A00">
        <w:rPr>
          <w:rFonts w:asciiTheme="majorHAnsi" w:hAnsiTheme="majorHAnsi" w:cstheme="majorHAnsi"/>
          <w:sz w:val="24"/>
          <w:szCs w:val="24"/>
          <w:lang w:val="ro-RO"/>
        </w:rPr>
        <w:t xml:space="preserve"> (1</w:t>
      </w:r>
      <w:r w:rsidR="008F1853">
        <w:rPr>
          <w:rFonts w:asciiTheme="majorHAnsi" w:hAnsiTheme="majorHAnsi" w:cstheme="majorHAnsi"/>
          <w:sz w:val="24"/>
          <w:szCs w:val="24"/>
          <w:lang w:val="ro-RO"/>
        </w:rPr>
        <w:t>8</w:t>
      </w:r>
      <w:r w:rsidR="008D5A00">
        <w:rPr>
          <w:rFonts w:asciiTheme="majorHAnsi" w:hAnsiTheme="majorHAnsi" w:cstheme="majorHAnsi"/>
          <w:sz w:val="24"/>
          <w:szCs w:val="24"/>
          <w:lang w:val="ro-RO"/>
        </w:rPr>
        <w:t>,</w:t>
      </w:r>
      <w:r w:rsidR="008F1853">
        <w:rPr>
          <w:rFonts w:asciiTheme="majorHAnsi" w:hAnsiTheme="majorHAnsi" w:cstheme="majorHAnsi"/>
          <w:sz w:val="24"/>
          <w:szCs w:val="24"/>
          <w:lang w:val="ro-RO"/>
        </w:rPr>
        <w:t>1</w:t>
      </w:r>
      <w:r w:rsidRPr="00341E6C">
        <w:rPr>
          <w:rFonts w:asciiTheme="majorHAnsi" w:hAnsiTheme="majorHAnsi" w:cstheme="majorHAnsi"/>
          <w:sz w:val="24"/>
          <w:szCs w:val="24"/>
          <w:lang w:val="ro-RO"/>
        </w:rPr>
        <w:t xml:space="preserve">%)  mai mult decât se cuvine (achitat </w:t>
      </w:r>
      <w:r w:rsidR="003009D3">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2 867,0 mii lei, cuvenit – 2 40</w:t>
      </w:r>
      <w:r w:rsidR="008F1853">
        <w:rPr>
          <w:rFonts w:asciiTheme="majorHAnsi" w:hAnsiTheme="majorHAnsi" w:cstheme="majorHAnsi"/>
          <w:sz w:val="24"/>
          <w:szCs w:val="24"/>
          <w:lang w:val="ro-RO"/>
        </w:rPr>
        <w:t>8</w:t>
      </w:r>
      <w:r w:rsidRPr="00341E6C">
        <w:rPr>
          <w:rFonts w:asciiTheme="majorHAnsi" w:hAnsiTheme="majorHAnsi" w:cstheme="majorHAnsi"/>
          <w:sz w:val="24"/>
          <w:szCs w:val="24"/>
          <w:lang w:val="ro-RO"/>
        </w:rPr>
        <w:t>,</w:t>
      </w:r>
      <w:r w:rsidR="00A54028">
        <w:rPr>
          <w:rFonts w:asciiTheme="majorHAnsi" w:hAnsiTheme="majorHAnsi" w:cstheme="majorHAnsi"/>
          <w:sz w:val="24"/>
          <w:szCs w:val="24"/>
          <w:lang w:val="ro-RO"/>
        </w:rPr>
        <w:t>2</w:t>
      </w:r>
      <w:r w:rsidRPr="00341E6C">
        <w:rPr>
          <w:rFonts w:asciiTheme="majorHAnsi" w:hAnsiTheme="majorHAnsi" w:cstheme="majorHAnsi"/>
          <w:sz w:val="24"/>
          <w:szCs w:val="24"/>
          <w:lang w:val="ro-RO"/>
        </w:rPr>
        <w:t xml:space="preserve"> mii lei)</w:t>
      </w:r>
      <w:r w:rsidR="003009D3">
        <w:rPr>
          <w:rFonts w:asciiTheme="majorHAnsi" w:hAnsiTheme="majorHAnsi" w:cstheme="majorHAnsi"/>
          <w:sz w:val="24"/>
          <w:szCs w:val="24"/>
          <w:lang w:val="ro-RO"/>
        </w:rPr>
        <w:t>, fapt</w:t>
      </w:r>
      <w:r w:rsidRPr="00341E6C">
        <w:rPr>
          <w:rFonts w:asciiTheme="majorHAnsi" w:hAnsiTheme="majorHAnsi" w:cstheme="majorHAnsi"/>
          <w:sz w:val="24"/>
          <w:szCs w:val="24"/>
          <w:lang w:val="ro-RO"/>
        </w:rPr>
        <w:t xml:space="preserve"> determinat de:</w:t>
      </w:r>
    </w:p>
    <w:p w14:paraId="5C6F77F7" w14:textId="73DFE23C" w:rsidR="004A019F" w:rsidRPr="00B82A97" w:rsidRDefault="00281D17" w:rsidP="009B59B6">
      <w:pPr>
        <w:pStyle w:val="NormalWeb"/>
        <w:numPr>
          <w:ilvl w:val="0"/>
          <w:numId w:val="21"/>
        </w:numPr>
        <w:spacing w:line="276" w:lineRule="auto"/>
        <w:ind w:left="720" w:firstLine="0"/>
        <w:rPr>
          <w:rFonts w:asciiTheme="majorHAnsi" w:hAnsiTheme="majorHAnsi" w:cstheme="majorHAnsi"/>
          <w:i/>
          <w:lang w:val="ro-MD"/>
        </w:rPr>
      </w:pPr>
      <w:r w:rsidRPr="00341E6C">
        <w:rPr>
          <w:rFonts w:asciiTheme="majorHAnsi" w:hAnsiTheme="majorHAnsi" w:cstheme="majorHAnsi"/>
          <w:lang w:val="ro-RO"/>
        </w:rPr>
        <w:t>includerea perioadelor cu înles</w:t>
      </w:r>
      <w:r w:rsidR="00E5034F">
        <w:rPr>
          <w:rFonts w:asciiTheme="majorHAnsi" w:hAnsiTheme="majorHAnsi" w:cstheme="majorHAnsi"/>
          <w:lang w:val="ro-RO"/>
        </w:rPr>
        <w:t>niri</w:t>
      </w:r>
      <w:r w:rsidR="003009D3">
        <w:rPr>
          <w:rFonts w:asciiTheme="majorHAnsi" w:hAnsiTheme="majorHAnsi" w:cstheme="majorHAnsi"/>
          <w:lang w:val="ro-RO"/>
        </w:rPr>
        <w:t xml:space="preserve"> de </w:t>
      </w:r>
      <w:r w:rsidRPr="00341E6C">
        <w:rPr>
          <w:rFonts w:asciiTheme="majorHAnsi" w:hAnsiTheme="majorHAnsi" w:cstheme="majorHAnsi"/>
          <w:lang w:val="ro-RO"/>
        </w:rPr>
        <w:t>două luni vechime în muncă pentru o lună de serviciu, activate în cadrul subdiviziunilor de pază, escortare și deținere a persoanelor reținute și arestate în izolatoarele de detenție provizorie</w:t>
      </w:r>
      <w:r w:rsidR="003009D3">
        <w:rPr>
          <w:rFonts w:asciiTheme="majorHAnsi" w:hAnsiTheme="majorHAnsi" w:cstheme="majorHAnsi"/>
          <w:lang w:val="ro-RO"/>
        </w:rPr>
        <w:t>,</w:t>
      </w:r>
      <w:r w:rsidRPr="00341E6C">
        <w:rPr>
          <w:rFonts w:asciiTheme="majorHAnsi" w:hAnsiTheme="majorHAnsi" w:cstheme="majorHAnsi"/>
          <w:lang w:val="ro-RO"/>
        </w:rPr>
        <w:t xml:space="preserve"> în 9</w:t>
      </w:r>
      <w:r w:rsidR="009413B9">
        <w:rPr>
          <w:rFonts w:asciiTheme="majorHAnsi" w:hAnsiTheme="majorHAnsi" w:cstheme="majorHAnsi"/>
          <w:lang w:val="ro-RO"/>
        </w:rPr>
        <w:t>9</w:t>
      </w:r>
      <w:r w:rsidRPr="00341E6C">
        <w:rPr>
          <w:rFonts w:asciiTheme="majorHAnsi" w:hAnsiTheme="majorHAnsi" w:cstheme="majorHAnsi"/>
          <w:lang w:val="ro-RO"/>
        </w:rPr>
        <w:t>,</w:t>
      </w:r>
      <w:r w:rsidR="009413B9">
        <w:rPr>
          <w:rFonts w:asciiTheme="majorHAnsi" w:hAnsiTheme="majorHAnsi" w:cstheme="majorHAnsi"/>
          <w:lang w:val="ro-RO"/>
        </w:rPr>
        <w:t>4</w:t>
      </w:r>
      <w:r w:rsidRPr="00341E6C">
        <w:rPr>
          <w:rFonts w:asciiTheme="majorHAnsi" w:hAnsiTheme="majorHAnsi" w:cstheme="majorHAnsi"/>
          <w:lang w:val="ro-RO"/>
        </w:rPr>
        <w:t xml:space="preserve"> % de cazuri (432,5 mii lei). Acestea se referă la stabilirea pensiei foștilor angajați ai MAI. Pentru acești beneficiari</w:t>
      </w:r>
      <w:r w:rsidR="003009D3">
        <w:rPr>
          <w:rFonts w:asciiTheme="majorHAnsi" w:hAnsiTheme="majorHAnsi" w:cstheme="majorHAnsi"/>
          <w:lang w:val="ro-RO"/>
        </w:rPr>
        <w:t>,</w:t>
      </w:r>
      <w:r w:rsidRPr="00341E6C">
        <w:rPr>
          <w:rFonts w:asciiTheme="majorHAnsi" w:hAnsiTheme="majorHAnsi" w:cstheme="majorHAnsi"/>
          <w:lang w:val="ro-RO"/>
        </w:rPr>
        <w:t xml:space="preserve"> temei </w:t>
      </w:r>
      <w:r w:rsidR="003009D3">
        <w:rPr>
          <w:rFonts w:asciiTheme="majorHAnsi" w:hAnsiTheme="majorHAnsi" w:cstheme="majorHAnsi"/>
          <w:lang w:val="ro-RO"/>
        </w:rPr>
        <w:t>pentru acordarea</w:t>
      </w:r>
      <w:r w:rsidRPr="00341E6C">
        <w:rPr>
          <w:rFonts w:asciiTheme="majorHAnsi" w:hAnsiTheme="majorHAnsi" w:cstheme="majorHAnsi"/>
          <w:lang w:val="ro-RO"/>
        </w:rPr>
        <w:t xml:space="preserve"> înlesnir</w:t>
      </w:r>
      <w:r w:rsidR="004A019F">
        <w:rPr>
          <w:rFonts w:asciiTheme="majorHAnsi" w:hAnsiTheme="majorHAnsi" w:cstheme="majorHAnsi"/>
          <w:lang w:val="ro-RO"/>
        </w:rPr>
        <w:t>i</w:t>
      </w:r>
      <w:r w:rsidR="003009D3">
        <w:rPr>
          <w:rFonts w:asciiTheme="majorHAnsi" w:hAnsiTheme="majorHAnsi" w:cstheme="majorHAnsi"/>
          <w:lang w:val="ro-RO"/>
        </w:rPr>
        <w:t>lor</w:t>
      </w:r>
      <w:r w:rsidR="004A019F">
        <w:rPr>
          <w:rFonts w:asciiTheme="majorHAnsi" w:hAnsiTheme="majorHAnsi" w:cstheme="majorHAnsi"/>
          <w:lang w:val="ro-RO"/>
        </w:rPr>
        <w:t xml:space="preserve"> au fost invocate prevederile </w:t>
      </w:r>
      <w:r w:rsidRPr="00341E6C">
        <w:rPr>
          <w:rFonts w:asciiTheme="majorHAnsi" w:hAnsiTheme="majorHAnsi" w:cstheme="majorHAnsi"/>
          <w:i/>
          <w:lang w:val="ro-RO"/>
        </w:rPr>
        <w:t>Ordinul</w:t>
      </w:r>
      <w:r w:rsidR="004A019F">
        <w:rPr>
          <w:rFonts w:asciiTheme="majorHAnsi" w:hAnsiTheme="majorHAnsi" w:cstheme="majorHAnsi"/>
          <w:i/>
          <w:lang w:val="ro-RO"/>
        </w:rPr>
        <w:t>ui</w:t>
      </w:r>
      <w:r w:rsidRPr="00341E6C">
        <w:rPr>
          <w:rFonts w:asciiTheme="majorHAnsi" w:hAnsiTheme="majorHAnsi" w:cstheme="majorHAnsi"/>
          <w:i/>
          <w:lang w:val="ro-RO"/>
        </w:rPr>
        <w:t xml:space="preserve"> MAI nr.96 din 26.03.2018 „Cu privire la recunoașterea unor înlesniri pentru stabilirea pensiei anumitor categorii de funcționari publici cu statut special și militari din cadrul MAI”</w:t>
      </w:r>
      <w:r w:rsidR="003009D3">
        <w:rPr>
          <w:rFonts w:asciiTheme="majorHAnsi" w:hAnsiTheme="majorHAnsi" w:cstheme="majorHAnsi"/>
          <w:i/>
          <w:lang w:val="ro-RO"/>
        </w:rPr>
        <w:t>,</w:t>
      </w:r>
      <w:r w:rsidR="004A019F">
        <w:rPr>
          <w:rFonts w:asciiTheme="majorHAnsi" w:hAnsiTheme="majorHAnsi" w:cstheme="majorHAnsi"/>
          <w:lang w:val="ro-RO"/>
        </w:rPr>
        <w:t xml:space="preserve"> deși potrivit</w:t>
      </w:r>
      <w:r w:rsidRPr="00341E6C">
        <w:rPr>
          <w:rFonts w:asciiTheme="majorHAnsi" w:hAnsiTheme="majorHAnsi" w:cstheme="majorHAnsi"/>
          <w:lang w:val="ro-RO"/>
        </w:rPr>
        <w:t xml:space="preserve"> </w:t>
      </w:r>
      <w:r w:rsidR="004A019F" w:rsidRPr="00341E6C">
        <w:rPr>
          <w:rFonts w:asciiTheme="majorHAnsi" w:hAnsiTheme="majorHAnsi" w:cstheme="majorHAnsi"/>
          <w:lang w:val="ro-RO"/>
        </w:rPr>
        <w:t>Hotărârii Guvernului nr. 78 din 24.02.1994</w:t>
      </w:r>
      <w:r w:rsidR="003F4DA4">
        <w:rPr>
          <w:rFonts w:asciiTheme="majorHAnsi" w:hAnsiTheme="majorHAnsi" w:cstheme="majorHAnsi"/>
          <w:lang w:val="ro-RO"/>
        </w:rPr>
        <w:t>,</w:t>
      </w:r>
      <w:r w:rsidR="004A019F">
        <w:rPr>
          <w:rFonts w:asciiTheme="majorHAnsi" w:hAnsiTheme="majorHAnsi" w:cstheme="majorHAnsi"/>
          <w:lang w:val="ro-RO"/>
        </w:rPr>
        <w:t xml:space="preserve"> aceste înlesniri se acordă doar pentru </w:t>
      </w:r>
      <w:r w:rsidR="004A019F">
        <w:rPr>
          <w:rFonts w:asciiTheme="majorHAnsi" w:hAnsiTheme="majorHAnsi" w:cstheme="majorHAnsi"/>
          <w:i/>
        </w:rPr>
        <w:t>„</w:t>
      </w:r>
      <w:r w:rsidR="004A019F" w:rsidRPr="00B82A97">
        <w:rPr>
          <w:rFonts w:asciiTheme="majorHAnsi" w:hAnsiTheme="majorHAnsi" w:cstheme="majorHAnsi"/>
          <w:i/>
          <w:lang w:val="ro-MD"/>
        </w:rPr>
        <w:t>instituţii penitenciare de tip închis, izolatoarele de urmărire penală, casele de arest şi instituţiile destinate pentru deţinerea şi tratarea bolnavilor contagioşi şi bolnavilor psihici, precum şi la lucrări de subteran”.</w:t>
      </w:r>
    </w:p>
    <w:p w14:paraId="285C3955" w14:textId="6B2A96A6" w:rsidR="00281D17" w:rsidRDefault="00281D17" w:rsidP="00631BEB">
      <w:pPr>
        <w:pStyle w:val="NormalWeb"/>
        <w:spacing w:after="240" w:line="276" w:lineRule="auto"/>
        <w:ind w:left="720" w:firstLine="0"/>
        <w:rPr>
          <w:rFonts w:asciiTheme="majorHAnsi" w:hAnsiTheme="majorHAnsi" w:cstheme="majorHAnsi"/>
          <w:lang w:val="ro-RO"/>
        </w:rPr>
      </w:pPr>
      <w:r w:rsidRPr="00B82A97">
        <w:rPr>
          <w:rFonts w:asciiTheme="majorHAnsi" w:hAnsiTheme="majorHAnsi" w:cstheme="majorHAnsi"/>
          <w:lang w:val="ro-MD"/>
        </w:rPr>
        <w:t>La acest aspect se menționează că</w:t>
      </w:r>
      <w:r w:rsidRPr="00B82A97">
        <w:rPr>
          <w:rFonts w:asciiTheme="majorHAnsi" w:hAnsiTheme="majorHAnsi" w:cstheme="majorHAnsi"/>
          <w:color w:val="000000" w:themeColor="text1"/>
          <w:lang w:val="ro-MD"/>
        </w:rPr>
        <w:t xml:space="preserve">, în corespundere cu art.16 alin.(2) al Legii cu privire la actele normative nr.100 din 22.12.2017, actele normative ale autorităţilor administraţiei publice centrale de specialitate şi ale autorităţilor publice autonome sunt emise sau aprobate numai în temeiul şi pentru executarea legilor și a hotărârilor Parlamentului, a decretelor Preşedintelui Republicii Moldova, a hotărârilor şi ordonanţelor Guvernului. Actele normative respective se limitează strict la cadrul stabilit de actele normative de nivel superior, pentru executarea cărora se emit sau se aprobă şi nu pot contraveni prevederilor actelor respective. </w:t>
      </w:r>
      <w:r w:rsidRPr="00B82A97">
        <w:rPr>
          <w:rFonts w:asciiTheme="majorHAnsi" w:hAnsiTheme="majorHAnsi" w:cstheme="majorHAnsi"/>
          <w:lang w:val="ro-MD"/>
        </w:rPr>
        <w:t xml:space="preserve">De asemenea, potrivit cerințelor art.37 alin.(4) din aceeași lege, actele normative ale autorităţilor administrației publice centrale de specialitate şi ale autorităţilor publice autonome care vizează drepturile şi interesele legitime ale omului sunt supuse expertizei juridice obligatorii şi se înregistrează de către Ministerul Justiţiei, în modul </w:t>
      </w:r>
      <w:r w:rsidRPr="00B82A97">
        <w:rPr>
          <w:rFonts w:asciiTheme="majorHAnsi" w:hAnsiTheme="majorHAnsi" w:cstheme="majorHAnsi"/>
          <w:lang w:val="ro-MD"/>
        </w:rPr>
        <w:lastRenderedPageBreak/>
        <w:t xml:space="preserve">stabilit de către Guvern. În acest sens, ordinul sus-menționat </w:t>
      </w:r>
      <w:r w:rsidR="006343BF" w:rsidRPr="00B82A97">
        <w:rPr>
          <w:rFonts w:asciiTheme="majorHAnsi" w:hAnsiTheme="majorHAnsi" w:cstheme="majorHAnsi"/>
          <w:lang w:val="ro-MD"/>
        </w:rPr>
        <w:t xml:space="preserve">până la etapa actuală </w:t>
      </w:r>
      <w:r w:rsidRPr="00B82A97">
        <w:rPr>
          <w:rFonts w:asciiTheme="majorHAnsi" w:hAnsiTheme="majorHAnsi" w:cstheme="majorHAnsi"/>
          <w:lang w:val="ro-MD"/>
        </w:rPr>
        <w:t>nu este adus în concordanță cu cerințele legale, respectiv nu</w:t>
      </w:r>
      <w:r w:rsidRPr="004A019F">
        <w:rPr>
          <w:rFonts w:asciiTheme="majorHAnsi" w:hAnsiTheme="majorHAnsi" w:cstheme="majorHAnsi"/>
          <w:lang w:val="ro-RO"/>
        </w:rPr>
        <w:t xml:space="preserve"> este legal aplicabil.</w:t>
      </w:r>
    </w:p>
    <w:p w14:paraId="7A91AD74" w14:textId="45B337A2" w:rsidR="00631BEB" w:rsidRDefault="00631BEB" w:rsidP="00A54028">
      <w:pPr>
        <w:pStyle w:val="NormalWeb"/>
        <w:spacing w:after="240" w:line="276" w:lineRule="auto"/>
        <w:ind w:left="720" w:firstLine="0"/>
        <w:rPr>
          <w:rFonts w:asciiTheme="majorHAnsi" w:hAnsiTheme="majorHAnsi" w:cstheme="majorHAnsi"/>
          <w:lang w:val="ro-RO"/>
        </w:rPr>
      </w:pPr>
      <w:r w:rsidRPr="00341E6C">
        <w:rPr>
          <w:rFonts w:asciiTheme="majorHAnsi" w:hAnsiTheme="majorHAnsi" w:cstheme="majorHAnsi"/>
          <w:lang w:val="ro-RO"/>
        </w:rPr>
        <w:t>La această categorie de beneficiari se menționează că și în anul 2020 Curtea de Conturi a identificat neconformități asupra stabilirii/calculării pensiilor</w:t>
      </w:r>
      <w:r w:rsidRPr="00341E6C">
        <w:rPr>
          <w:rStyle w:val="FootnoteReference"/>
          <w:rFonts w:asciiTheme="majorHAnsi" w:hAnsiTheme="majorHAnsi" w:cstheme="majorHAnsi"/>
          <w:lang w:val="ro-RO"/>
        </w:rPr>
        <w:footnoteReference w:id="41"/>
      </w:r>
      <w:r w:rsidRPr="00341E6C">
        <w:rPr>
          <w:rFonts w:asciiTheme="majorHAnsi" w:hAnsiTheme="majorHAnsi" w:cstheme="majorHAnsi"/>
          <w:lang w:val="ro-RO"/>
        </w:rPr>
        <w:t>. Totodată, pentru neconformitățile identificate, se atestă un nivel scăzut de implementare</w:t>
      </w:r>
      <w:r w:rsidR="00A22B94">
        <w:rPr>
          <w:rFonts w:asciiTheme="majorHAnsi" w:hAnsiTheme="majorHAnsi" w:cstheme="majorHAnsi"/>
          <w:lang w:val="ro-RO"/>
        </w:rPr>
        <w:t xml:space="preserve"> </w:t>
      </w:r>
      <w:r w:rsidRPr="00341E6C">
        <w:rPr>
          <w:rFonts w:asciiTheme="majorHAnsi" w:hAnsiTheme="majorHAnsi" w:cstheme="majorHAnsi"/>
          <w:lang w:val="ro-RO"/>
        </w:rPr>
        <w:t>a recomandărilor</w:t>
      </w:r>
      <w:r w:rsidR="00A22B94" w:rsidRPr="00A22B94">
        <w:rPr>
          <w:rFonts w:asciiTheme="majorHAnsi" w:hAnsiTheme="majorHAnsi" w:cstheme="majorHAnsi"/>
          <w:lang w:val="ro-RO"/>
        </w:rPr>
        <w:t xml:space="preserve"> </w:t>
      </w:r>
      <w:r w:rsidR="00A22B94">
        <w:rPr>
          <w:rFonts w:asciiTheme="majorHAnsi" w:hAnsiTheme="majorHAnsi" w:cstheme="majorHAnsi"/>
          <w:lang w:val="ro-RO"/>
        </w:rPr>
        <w:t>din partea MAI</w:t>
      </w:r>
      <w:r w:rsidRPr="00341E6C">
        <w:rPr>
          <w:rFonts w:asciiTheme="majorHAnsi" w:hAnsiTheme="majorHAnsi" w:cstheme="majorHAnsi"/>
          <w:lang w:val="ro-RO"/>
        </w:rPr>
        <w:t>, în special cu privire la elaborarea propunerilor privind modificarea/completarea cadrului legislativ-normativ, în vederea descrierii clare și exhaustive a instrumentelor, mecanismelor, tehnicilor și procedurilor de calculare a vechimii în muncă și a soldei (câștigului) din care se calculează pensia, dar și elaborarea și înaintarea propunerilor de ajustare a cadrului normativ ce reglementează acordarea înlesnirilor la calcularea vechimii în muncă angajaților cu activități în cadrul izolatoarelor de detenție provizorie din inspectoratele de poliție, în vederea excluderii litigiilor în instanțele de judecată</w:t>
      </w:r>
      <w:r w:rsidRPr="00341E6C">
        <w:rPr>
          <w:rStyle w:val="FootnoteReference"/>
          <w:rFonts w:asciiTheme="majorHAnsi" w:hAnsiTheme="majorHAnsi" w:cstheme="majorHAnsi"/>
          <w:lang w:val="ro-RO"/>
        </w:rPr>
        <w:footnoteReference w:id="42"/>
      </w:r>
      <w:r w:rsidRPr="00341E6C">
        <w:rPr>
          <w:rFonts w:asciiTheme="majorHAnsi" w:hAnsiTheme="majorHAnsi" w:cstheme="majorHAnsi"/>
          <w:lang w:val="ro-RO"/>
        </w:rPr>
        <w:t>. Deși pensiile au fo</w:t>
      </w:r>
      <w:r>
        <w:rPr>
          <w:rFonts w:asciiTheme="majorHAnsi" w:hAnsiTheme="majorHAnsi" w:cstheme="majorHAnsi"/>
          <w:lang w:val="ro-RO"/>
        </w:rPr>
        <w:t>st stabilite pe parcursul anilor precedenți</w:t>
      </w:r>
      <w:r w:rsidRPr="00341E6C">
        <w:rPr>
          <w:rFonts w:asciiTheme="majorHAnsi" w:hAnsiTheme="majorHAnsi" w:cstheme="majorHAnsi"/>
          <w:lang w:val="ro-RO"/>
        </w:rPr>
        <w:t>, reieșind din periodicitatea plății, cheltuielile nejustificate vor persista anual cu impact asupra bugetului de stat, respectiv bugetului asigurărilor sociale de stat.</w:t>
      </w:r>
      <w:r w:rsidRPr="00631BEB">
        <w:rPr>
          <w:rFonts w:asciiTheme="majorHAnsi" w:hAnsiTheme="majorHAnsi" w:cstheme="majorHAnsi"/>
          <w:lang w:val="ro-RO"/>
        </w:rPr>
        <w:t xml:space="preserve"> </w:t>
      </w:r>
      <w:r w:rsidRPr="004A019F">
        <w:rPr>
          <w:rFonts w:asciiTheme="majorHAnsi" w:hAnsiTheme="majorHAnsi" w:cstheme="majorHAnsi"/>
          <w:lang w:val="ro-RO"/>
        </w:rPr>
        <w:t>În acest sens,</w:t>
      </w:r>
      <w:r>
        <w:rPr>
          <w:rFonts w:asciiTheme="majorHAnsi" w:hAnsiTheme="majorHAnsi" w:cstheme="majorHAnsi"/>
          <w:lang w:val="ro-RO"/>
        </w:rPr>
        <w:t xml:space="preserve"> se denotă că</w:t>
      </w:r>
      <w:r w:rsidRPr="004A019F">
        <w:rPr>
          <w:rFonts w:asciiTheme="majorHAnsi" w:hAnsiTheme="majorHAnsi" w:cstheme="majorHAnsi"/>
          <w:lang w:val="ro-RO"/>
        </w:rPr>
        <w:t xml:space="preserve"> ordinul sus-menționat până la etapa actuală nu este adus în concordanță cu cerințele </w:t>
      </w:r>
      <w:r w:rsidR="001A6CBE">
        <w:rPr>
          <w:rFonts w:asciiTheme="majorHAnsi" w:hAnsiTheme="majorHAnsi" w:cstheme="majorHAnsi"/>
          <w:lang w:val="ro-RO"/>
        </w:rPr>
        <w:t>normative</w:t>
      </w:r>
      <w:r w:rsidRPr="004A019F">
        <w:rPr>
          <w:rFonts w:asciiTheme="majorHAnsi" w:hAnsiTheme="majorHAnsi" w:cstheme="majorHAnsi"/>
          <w:lang w:val="ro-RO"/>
        </w:rPr>
        <w:t>, respectiv nu este legal aplicabil</w:t>
      </w:r>
      <w:r w:rsidR="003F4DA4">
        <w:rPr>
          <w:rFonts w:asciiTheme="majorHAnsi" w:hAnsiTheme="majorHAnsi" w:cstheme="majorHAnsi"/>
          <w:lang w:val="ro-RO"/>
        </w:rPr>
        <w:t>;</w:t>
      </w:r>
    </w:p>
    <w:p w14:paraId="175E6B4D" w14:textId="68FF4057" w:rsidR="00AD2ACE" w:rsidRPr="008F1853" w:rsidRDefault="001346F2" w:rsidP="008F1853">
      <w:pPr>
        <w:pStyle w:val="ListParagraph"/>
        <w:numPr>
          <w:ilvl w:val="0"/>
          <w:numId w:val="11"/>
        </w:numPr>
        <w:jc w:val="both"/>
        <w:rPr>
          <w:rFonts w:asciiTheme="majorHAnsi" w:hAnsiTheme="majorHAnsi" w:cstheme="majorHAnsi"/>
          <w:sz w:val="24"/>
          <w:szCs w:val="24"/>
          <w:lang w:val="ro-RO"/>
        </w:rPr>
      </w:pPr>
      <w:r w:rsidRPr="00BE798D">
        <w:rPr>
          <w:rFonts w:asciiTheme="majorHAnsi" w:hAnsiTheme="majorHAnsi" w:cstheme="majorHAnsi"/>
          <w:sz w:val="24"/>
          <w:szCs w:val="24"/>
          <w:lang w:val="ro-RO"/>
        </w:rPr>
        <w:t>includerea în solda bănească a plăților ce nu se regăsesc în extrasul din cont al beneficiarilor, a plăților compensatorii și</w:t>
      </w:r>
      <w:r w:rsidR="00834A22">
        <w:rPr>
          <w:rFonts w:asciiTheme="majorHAnsi" w:hAnsiTheme="majorHAnsi" w:cstheme="majorHAnsi"/>
          <w:sz w:val="24"/>
          <w:szCs w:val="24"/>
          <w:lang w:val="ro-RO"/>
        </w:rPr>
        <w:t xml:space="preserve"> stabilirea pensiei cu avantaje. </w:t>
      </w:r>
      <w:r w:rsidR="00D93235" w:rsidRPr="008F1853">
        <w:rPr>
          <w:rFonts w:asciiTheme="majorHAnsi" w:hAnsiTheme="majorHAnsi" w:cstheme="majorHAnsi"/>
          <w:sz w:val="24"/>
          <w:szCs w:val="24"/>
          <w:lang w:val="ro-RO"/>
        </w:rPr>
        <w:t>De</w:t>
      </w:r>
      <w:r w:rsidR="005227E0" w:rsidRPr="008F1853">
        <w:rPr>
          <w:rFonts w:asciiTheme="majorHAnsi" w:hAnsiTheme="majorHAnsi" w:cstheme="majorHAnsi"/>
          <w:sz w:val="24"/>
          <w:szCs w:val="24"/>
          <w:lang w:val="ro-RO"/>
        </w:rPr>
        <w:t xml:space="preserve"> menționat că</w:t>
      </w:r>
      <w:r w:rsidR="003F4DA4">
        <w:rPr>
          <w:rFonts w:asciiTheme="majorHAnsi" w:hAnsiTheme="majorHAnsi" w:cstheme="majorHAnsi"/>
          <w:sz w:val="24"/>
          <w:szCs w:val="24"/>
          <w:lang w:val="ro-RO"/>
        </w:rPr>
        <w:t>,</w:t>
      </w:r>
      <w:r w:rsidR="005227E0" w:rsidRPr="008F1853">
        <w:rPr>
          <w:rFonts w:asciiTheme="majorHAnsi" w:hAnsiTheme="majorHAnsi" w:cstheme="majorHAnsi"/>
          <w:sz w:val="24"/>
          <w:szCs w:val="24"/>
          <w:lang w:val="ro-RO"/>
        </w:rPr>
        <w:t xml:space="preserve"> începând cu 2017, </w:t>
      </w:r>
      <w:r w:rsidR="00D93235" w:rsidRPr="008F1853">
        <w:rPr>
          <w:rFonts w:asciiTheme="majorHAnsi" w:hAnsiTheme="majorHAnsi" w:cstheme="majorHAnsi"/>
          <w:sz w:val="24"/>
          <w:szCs w:val="24"/>
          <w:lang w:val="ro-RO"/>
        </w:rPr>
        <w:t>militarii care îndeplinesc serviciul prin contract, persoanele din corpul de comandă și din trupele organelor afacerilor interne și sistemului penitenciar, ofițerii de protecție și colaboratorii organelor securității statului și C</w:t>
      </w:r>
      <w:r w:rsidR="0069690E" w:rsidRPr="008F1853">
        <w:rPr>
          <w:rFonts w:asciiTheme="majorHAnsi" w:hAnsiTheme="majorHAnsi" w:cstheme="majorHAnsi"/>
          <w:sz w:val="24"/>
          <w:szCs w:val="24"/>
          <w:lang w:val="ro-RO"/>
        </w:rPr>
        <w:t>entrului Național Anticorupție</w:t>
      </w:r>
      <w:r w:rsidR="005227E0" w:rsidRPr="008F1853">
        <w:rPr>
          <w:rFonts w:asciiTheme="majorHAnsi" w:hAnsiTheme="majorHAnsi" w:cstheme="majorHAnsi"/>
          <w:sz w:val="24"/>
          <w:szCs w:val="24"/>
          <w:lang w:val="ro-RO"/>
        </w:rPr>
        <w:t xml:space="preserve"> sunt asigurați obligatoriu</w:t>
      </w:r>
      <w:r w:rsidR="005227E0">
        <w:rPr>
          <w:rStyle w:val="FootnoteReference"/>
          <w:rFonts w:asciiTheme="majorHAnsi" w:hAnsiTheme="majorHAnsi" w:cstheme="majorHAnsi"/>
          <w:sz w:val="24"/>
          <w:szCs w:val="24"/>
          <w:lang w:val="ro-RO"/>
        </w:rPr>
        <w:footnoteReference w:id="43"/>
      </w:r>
      <w:r w:rsidR="005227E0" w:rsidRPr="008F1853">
        <w:rPr>
          <w:rFonts w:asciiTheme="majorHAnsi" w:hAnsiTheme="majorHAnsi" w:cstheme="majorHAnsi"/>
          <w:sz w:val="24"/>
          <w:szCs w:val="24"/>
          <w:lang w:val="ro-RO"/>
        </w:rPr>
        <w:t> , respectiv, se regăsesc în Registru</w:t>
      </w:r>
      <w:r w:rsidR="003F4DA4">
        <w:rPr>
          <w:rFonts w:asciiTheme="majorHAnsi" w:hAnsiTheme="majorHAnsi" w:cstheme="majorHAnsi"/>
          <w:sz w:val="24"/>
          <w:szCs w:val="24"/>
          <w:lang w:val="ro-RO"/>
        </w:rPr>
        <w:t>l</w:t>
      </w:r>
      <w:r w:rsidR="005227E0" w:rsidRPr="008F1853">
        <w:rPr>
          <w:rFonts w:asciiTheme="majorHAnsi" w:hAnsiTheme="majorHAnsi" w:cstheme="majorHAnsi"/>
          <w:sz w:val="24"/>
          <w:szCs w:val="24"/>
          <w:lang w:val="ro-RO"/>
        </w:rPr>
        <w:t xml:space="preserve"> privind evidența individuală, gestionat de CNAS </w:t>
      </w:r>
      <w:r w:rsidR="0069690E" w:rsidRPr="008F1853">
        <w:rPr>
          <w:rFonts w:asciiTheme="majorHAnsi" w:hAnsiTheme="majorHAnsi" w:cstheme="majorHAnsi"/>
          <w:sz w:val="24"/>
          <w:szCs w:val="24"/>
          <w:lang w:val="ro-RO"/>
        </w:rPr>
        <w:t>.</w:t>
      </w:r>
      <w:r w:rsidR="00D93235" w:rsidRPr="008F1853">
        <w:rPr>
          <w:rFonts w:asciiTheme="majorHAnsi" w:hAnsiTheme="majorHAnsi" w:cstheme="majorHAnsi"/>
          <w:sz w:val="24"/>
          <w:szCs w:val="24"/>
          <w:lang w:val="ro-RO"/>
        </w:rPr>
        <w:t> Tot</w:t>
      </w:r>
      <w:r w:rsidR="005227E0" w:rsidRPr="008F1853">
        <w:rPr>
          <w:rFonts w:asciiTheme="majorHAnsi" w:hAnsiTheme="majorHAnsi" w:cstheme="majorHAnsi"/>
          <w:sz w:val="24"/>
          <w:szCs w:val="24"/>
          <w:lang w:val="ro-RO"/>
        </w:rPr>
        <w:t>odată</w:t>
      </w:r>
      <w:r w:rsidR="00D93235" w:rsidRPr="008F1853">
        <w:rPr>
          <w:rFonts w:asciiTheme="majorHAnsi" w:hAnsiTheme="majorHAnsi" w:cstheme="majorHAnsi"/>
          <w:sz w:val="24"/>
          <w:szCs w:val="24"/>
          <w:lang w:val="ro-RO"/>
        </w:rPr>
        <w:t>,</w:t>
      </w:r>
      <w:r w:rsidR="005227E0" w:rsidRPr="008F1853">
        <w:rPr>
          <w:rFonts w:asciiTheme="majorHAnsi" w:hAnsiTheme="majorHAnsi" w:cstheme="majorHAnsi"/>
          <w:sz w:val="24"/>
          <w:szCs w:val="24"/>
          <w:lang w:val="ro-RO"/>
        </w:rPr>
        <w:t xml:space="preserve"> se remarcă că în continuare, pensia acestui contingent de beneficiari</w:t>
      </w:r>
      <w:r w:rsidR="00C5508A" w:rsidRPr="008F1853">
        <w:rPr>
          <w:rFonts w:asciiTheme="majorHAnsi" w:hAnsiTheme="majorHAnsi" w:cstheme="majorHAnsi"/>
          <w:sz w:val="24"/>
          <w:szCs w:val="24"/>
          <w:lang w:val="ro-RO"/>
        </w:rPr>
        <w:t xml:space="preserve"> se stabilește î</w:t>
      </w:r>
      <w:r w:rsidR="00D93235" w:rsidRPr="008F1853">
        <w:rPr>
          <w:rFonts w:asciiTheme="majorHAnsi" w:hAnsiTheme="majorHAnsi" w:cstheme="majorHAnsi"/>
          <w:sz w:val="24"/>
          <w:szCs w:val="24"/>
          <w:lang w:val="ro-RO"/>
        </w:rPr>
        <w:t>n baza certificatului cu privire la solda bănească</w:t>
      </w:r>
      <w:r w:rsidR="00C5508A" w:rsidRPr="008F1853">
        <w:rPr>
          <w:rFonts w:asciiTheme="majorHAnsi" w:hAnsiTheme="majorHAnsi" w:cstheme="majorHAnsi"/>
          <w:sz w:val="24"/>
          <w:szCs w:val="24"/>
          <w:lang w:val="ro-RO"/>
        </w:rPr>
        <w:t xml:space="preserve">, care include plățile pentru ultimele 12 luni. Astfel, </w:t>
      </w:r>
      <w:r w:rsidR="00681781" w:rsidRPr="008F1853">
        <w:rPr>
          <w:rFonts w:asciiTheme="majorHAnsi" w:hAnsiTheme="majorHAnsi" w:cstheme="majorHAnsi"/>
          <w:sz w:val="24"/>
          <w:szCs w:val="24"/>
          <w:lang w:val="ro-RO"/>
        </w:rPr>
        <w:t xml:space="preserve">cadrul legal </w:t>
      </w:r>
      <w:r w:rsidRPr="008F1853">
        <w:rPr>
          <w:rFonts w:asciiTheme="majorHAnsi" w:hAnsiTheme="majorHAnsi" w:cstheme="majorHAnsi"/>
          <w:sz w:val="24"/>
          <w:szCs w:val="24"/>
          <w:lang w:val="ro-RO"/>
        </w:rPr>
        <w:t>ambiguu</w:t>
      </w:r>
      <w:r w:rsidR="00AD2ACE" w:rsidRPr="008F1853">
        <w:rPr>
          <w:rFonts w:asciiTheme="majorHAnsi" w:hAnsiTheme="majorHAnsi" w:cstheme="majorHAnsi"/>
          <w:sz w:val="24"/>
          <w:szCs w:val="24"/>
          <w:lang w:val="ro-RO"/>
        </w:rPr>
        <w:t xml:space="preserve"> și divergențele depistate </w:t>
      </w:r>
      <w:r w:rsidR="00B41571">
        <w:rPr>
          <w:rFonts w:asciiTheme="majorHAnsi" w:hAnsiTheme="majorHAnsi" w:cstheme="majorHAnsi"/>
          <w:sz w:val="24"/>
          <w:szCs w:val="24"/>
          <w:lang w:val="ro-RO"/>
        </w:rPr>
        <w:t>î</w:t>
      </w:r>
      <w:r w:rsidR="00AD2ACE" w:rsidRPr="008F1853">
        <w:rPr>
          <w:rFonts w:asciiTheme="majorHAnsi" w:hAnsiTheme="majorHAnsi" w:cstheme="majorHAnsi"/>
          <w:sz w:val="24"/>
          <w:szCs w:val="24"/>
          <w:lang w:val="ro-RO"/>
        </w:rPr>
        <w:t>ntre datele certificatului privind plata soldei lunare și date</w:t>
      </w:r>
      <w:r w:rsidR="00BE798D" w:rsidRPr="008F1853">
        <w:rPr>
          <w:rFonts w:asciiTheme="majorHAnsi" w:hAnsiTheme="majorHAnsi" w:cstheme="majorHAnsi"/>
          <w:sz w:val="24"/>
          <w:szCs w:val="24"/>
          <w:lang w:val="ro-RO"/>
        </w:rPr>
        <w:t>le din extrasul din cont, denotă</w:t>
      </w:r>
      <w:r w:rsidR="00AD2ACE" w:rsidRPr="008F1853">
        <w:rPr>
          <w:rFonts w:asciiTheme="majorHAnsi" w:hAnsiTheme="majorHAnsi" w:cstheme="majorHAnsi"/>
          <w:sz w:val="24"/>
          <w:szCs w:val="24"/>
          <w:lang w:val="ro-RO"/>
        </w:rPr>
        <w:t xml:space="preserve"> riscul de modificare a datelor de către structurile de forță, </w:t>
      </w:r>
      <w:r w:rsidR="00B41571">
        <w:rPr>
          <w:rFonts w:asciiTheme="majorHAnsi" w:hAnsiTheme="majorHAnsi" w:cstheme="majorHAnsi"/>
          <w:sz w:val="24"/>
          <w:szCs w:val="24"/>
          <w:lang w:val="ro-RO"/>
        </w:rPr>
        <w:t>pen</w:t>
      </w:r>
      <w:r w:rsidR="00AD2ACE" w:rsidRPr="008F1853">
        <w:rPr>
          <w:rFonts w:asciiTheme="majorHAnsi" w:hAnsiTheme="majorHAnsi" w:cstheme="majorHAnsi"/>
          <w:sz w:val="24"/>
          <w:szCs w:val="24"/>
          <w:lang w:val="ro-RO"/>
        </w:rPr>
        <w:t>tru favorizarea cuantumului pensiilor stabilite</w:t>
      </w:r>
      <w:r w:rsidR="00B41571">
        <w:rPr>
          <w:rFonts w:asciiTheme="majorHAnsi" w:hAnsiTheme="majorHAnsi" w:cstheme="majorHAnsi"/>
          <w:sz w:val="24"/>
          <w:szCs w:val="24"/>
          <w:lang w:val="ro-RO"/>
        </w:rPr>
        <w:t>;</w:t>
      </w:r>
      <w:r w:rsidR="00EF73B3" w:rsidRPr="008F1853">
        <w:rPr>
          <w:rFonts w:asciiTheme="majorHAnsi" w:hAnsiTheme="majorHAnsi" w:cstheme="majorHAnsi"/>
          <w:sz w:val="24"/>
          <w:szCs w:val="24"/>
          <w:lang w:val="ro-RO"/>
        </w:rPr>
        <w:t xml:space="preserve"> </w:t>
      </w:r>
    </w:p>
    <w:p w14:paraId="477F80BF" w14:textId="3210633A" w:rsidR="002421E0" w:rsidRPr="00341E6C" w:rsidRDefault="002421E0" w:rsidP="00A54028">
      <w:pPr>
        <w:pStyle w:val="ListParagraph"/>
        <w:spacing w:before="240"/>
        <w:contextualSpacing w:val="0"/>
        <w:jc w:val="both"/>
        <w:rPr>
          <w:rFonts w:asciiTheme="majorHAnsi" w:hAnsiTheme="majorHAnsi" w:cstheme="majorHAnsi"/>
          <w:sz w:val="24"/>
          <w:szCs w:val="24"/>
          <w:lang w:val="ro-RO"/>
        </w:rPr>
      </w:pPr>
      <w:r w:rsidRPr="00341E6C">
        <w:rPr>
          <w:rFonts w:asciiTheme="majorHAnsi" w:hAnsiTheme="majorHAnsi" w:cstheme="majorHAnsi"/>
          <w:i/>
          <w:sz w:val="24"/>
          <w:szCs w:val="24"/>
          <w:lang w:val="ro-RO"/>
        </w:rPr>
        <w:t>Notă: Pe parcursul misiunii de audit a fost recalcu</w:t>
      </w:r>
      <w:r w:rsidR="000F014E">
        <w:rPr>
          <w:rFonts w:asciiTheme="majorHAnsi" w:hAnsiTheme="majorHAnsi" w:cstheme="majorHAnsi"/>
          <w:i/>
          <w:sz w:val="24"/>
          <w:szCs w:val="24"/>
          <w:lang w:val="ro-RO"/>
        </w:rPr>
        <w:t>lată pensia pentru o persoană</w:t>
      </w:r>
      <w:r w:rsidRPr="00341E6C">
        <w:rPr>
          <w:rFonts w:asciiTheme="majorHAnsi" w:hAnsiTheme="majorHAnsi" w:cstheme="majorHAnsi"/>
          <w:i/>
          <w:sz w:val="24"/>
          <w:szCs w:val="24"/>
          <w:lang w:val="ro-RO"/>
        </w:rPr>
        <w:t>.</w:t>
      </w:r>
    </w:p>
    <w:p w14:paraId="1D5DEB46" w14:textId="49F1F1FF" w:rsidR="00281D17" w:rsidRPr="00341E6C" w:rsidRDefault="00281D17" w:rsidP="008F18E6">
      <w:pPr>
        <w:pStyle w:val="ListParagraph"/>
        <w:numPr>
          <w:ilvl w:val="0"/>
          <w:numId w:val="11"/>
        </w:numPr>
        <w:spacing w:line="276" w:lineRule="auto"/>
        <w:contextualSpacing w:val="0"/>
        <w:jc w:val="both"/>
        <w:rPr>
          <w:rFonts w:asciiTheme="majorHAnsi" w:hAnsiTheme="majorHAnsi" w:cstheme="majorHAnsi"/>
          <w:sz w:val="24"/>
          <w:szCs w:val="24"/>
          <w:lang w:val="ro-RO"/>
        </w:rPr>
      </w:pPr>
      <w:r w:rsidRPr="006973B6">
        <w:rPr>
          <w:rFonts w:asciiTheme="majorHAnsi" w:hAnsiTheme="majorHAnsi" w:cstheme="majorHAnsi"/>
          <w:sz w:val="24"/>
          <w:szCs w:val="24"/>
          <w:lang w:val="ro-RO"/>
        </w:rPr>
        <w:t>lipsa în dosarele de pensionare a actelor justificative privind vechimea în muncă</w:t>
      </w:r>
      <w:r w:rsidR="00B41571">
        <w:rPr>
          <w:rFonts w:asciiTheme="majorHAnsi" w:hAnsiTheme="majorHAnsi" w:cstheme="majorHAnsi"/>
          <w:sz w:val="24"/>
          <w:szCs w:val="24"/>
          <w:lang w:val="ro-RO"/>
        </w:rPr>
        <w:t>,</w:t>
      </w:r>
      <w:r w:rsidRPr="006973B6">
        <w:rPr>
          <w:rFonts w:asciiTheme="majorHAnsi" w:hAnsiTheme="majorHAnsi" w:cstheme="majorHAnsi"/>
          <w:sz w:val="24"/>
          <w:szCs w:val="24"/>
          <w:lang w:val="ro-RO"/>
        </w:rPr>
        <w:t xml:space="preserve"> precum și confirmarea perioadelor cu înlesniri/avantaje pentru foștii angajați ai Autorității Naționale a Penitenciarelor a</w:t>
      </w:r>
      <w:r w:rsidR="001345EC">
        <w:rPr>
          <w:rFonts w:asciiTheme="majorHAnsi" w:hAnsiTheme="majorHAnsi" w:cstheme="majorHAnsi"/>
          <w:sz w:val="24"/>
          <w:szCs w:val="24"/>
          <w:lang w:val="ro-RO"/>
        </w:rPr>
        <w:t>u</w:t>
      </w:r>
      <w:r w:rsidRPr="006973B6">
        <w:rPr>
          <w:rFonts w:asciiTheme="majorHAnsi" w:hAnsiTheme="majorHAnsi" w:cstheme="majorHAnsi"/>
          <w:sz w:val="24"/>
          <w:szCs w:val="24"/>
          <w:lang w:val="ro-RO"/>
        </w:rPr>
        <w:t xml:space="preserve"> creat incertitudini privind legalitatea stabilirii pensiei pentru 11 beneficiari. Ulterior, la solicitarea auditului, au fost prezentate informațiile suplimentare necesare. În acest sens, se denotă că specialiștii CNAS nu </w:t>
      </w:r>
      <w:r w:rsidR="00FB673C" w:rsidRPr="006973B6">
        <w:rPr>
          <w:rFonts w:asciiTheme="majorHAnsi" w:hAnsiTheme="majorHAnsi" w:cstheme="majorHAnsi"/>
          <w:sz w:val="24"/>
          <w:szCs w:val="24"/>
          <w:lang w:val="ro-RO"/>
        </w:rPr>
        <w:t>au avut posibilitatea</w:t>
      </w:r>
      <w:r w:rsidRPr="006973B6">
        <w:rPr>
          <w:rFonts w:asciiTheme="majorHAnsi" w:hAnsiTheme="majorHAnsi" w:cstheme="majorHAnsi"/>
          <w:sz w:val="24"/>
          <w:szCs w:val="24"/>
          <w:lang w:val="ro-RO"/>
        </w:rPr>
        <w:t xml:space="preserve"> de </w:t>
      </w:r>
      <w:r w:rsidR="00FB673C" w:rsidRPr="006973B6">
        <w:rPr>
          <w:rFonts w:asciiTheme="majorHAnsi" w:hAnsiTheme="majorHAnsi" w:cstheme="majorHAnsi"/>
          <w:sz w:val="24"/>
          <w:szCs w:val="24"/>
          <w:lang w:val="ro-RO"/>
        </w:rPr>
        <w:t xml:space="preserve">a se asigura de </w:t>
      </w:r>
      <w:r w:rsidRPr="006973B6">
        <w:rPr>
          <w:rFonts w:asciiTheme="majorHAnsi" w:hAnsiTheme="majorHAnsi" w:cstheme="majorHAnsi"/>
          <w:sz w:val="24"/>
          <w:szCs w:val="24"/>
          <w:lang w:val="ro-RO"/>
        </w:rPr>
        <w:t xml:space="preserve">corectitudinea și plenitudinea actelor prezentate de beneficiari, </w:t>
      </w:r>
      <w:r w:rsidR="00DD6615" w:rsidRPr="006973B6">
        <w:rPr>
          <w:rFonts w:asciiTheme="majorHAnsi" w:hAnsiTheme="majorHAnsi" w:cstheme="majorHAnsi"/>
          <w:sz w:val="24"/>
          <w:szCs w:val="24"/>
          <w:lang w:val="ro-RO"/>
        </w:rPr>
        <w:t xml:space="preserve">în condițiile în care pentru pensionarii de la Autoritatea Națională a Penitenciarelor, </w:t>
      </w:r>
      <w:r w:rsidR="00DD6615" w:rsidRPr="006973B6">
        <w:rPr>
          <w:rFonts w:asciiTheme="majorHAnsi" w:hAnsiTheme="majorHAnsi" w:cstheme="majorHAnsi"/>
          <w:sz w:val="24"/>
          <w:szCs w:val="24"/>
          <w:lang w:val="ro-RO"/>
        </w:rPr>
        <w:lastRenderedPageBreak/>
        <w:t xml:space="preserve">vechimea în muncă se calculează cu înlesniri, în </w:t>
      </w:r>
      <w:r w:rsidR="001345EC">
        <w:rPr>
          <w:rFonts w:asciiTheme="majorHAnsi" w:hAnsiTheme="majorHAnsi" w:cstheme="majorHAnsi"/>
          <w:sz w:val="24"/>
          <w:szCs w:val="24"/>
          <w:lang w:val="ro-RO"/>
        </w:rPr>
        <w:t>funcție</w:t>
      </w:r>
      <w:r w:rsidR="001345EC" w:rsidRPr="006973B6">
        <w:rPr>
          <w:rFonts w:asciiTheme="majorHAnsi" w:hAnsiTheme="majorHAnsi" w:cstheme="majorHAnsi"/>
          <w:sz w:val="24"/>
          <w:szCs w:val="24"/>
          <w:lang w:val="ro-RO"/>
        </w:rPr>
        <w:t xml:space="preserve"> </w:t>
      </w:r>
      <w:r w:rsidR="00DD6615" w:rsidRPr="006973B6">
        <w:rPr>
          <w:rFonts w:asciiTheme="majorHAnsi" w:hAnsiTheme="majorHAnsi" w:cstheme="majorHAnsi"/>
          <w:sz w:val="24"/>
          <w:szCs w:val="24"/>
          <w:lang w:val="ro-RO"/>
        </w:rPr>
        <w:t>de penitenciarul și perioada în care a activat</w:t>
      </w:r>
      <w:r w:rsidR="00DD6615">
        <w:rPr>
          <w:rFonts w:asciiTheme="majorHAnsi" w:hAnsiTheme="majorHAnsi" w:cstheme="majorHAnsi"/>
          <w:sz w:val="24"/>
          <w:szCs w:val="24"/>
          <w:lang w:val="ro-RO"/>
        </w:rPr>
        <w:t>.</w:t>
      </w:r>
    </w:p>
    <w:p w14:paraId="39ACFCFD" w14:textId="3DFA04F4" w:rsidR="00017A4C" w:rsidRPr="005E4C72" w:rsidRDefault="00394407" w:rsidP="00680691">
      <w:pPr>
        <w:pStyle w:val="ListParagraph"/>
        <w:numPr>
          <w:ilvl w:val="1"/>
          <w:numId w:val="23"/>
        </w:numPr>
        <w:spacing w:after="0"/>
        <w:ind w:left="0" w:firstLine="0"/>
        <w:jc w:val="both"/>
        <w:outlineLvl w:val="1"/>
        <w:rPr>
          <w:rFonts w:asciiTheme="majorHAnsi" w:hAnsiTheme="majorHAnsi" w:cstheme="majorHAnsi"/>
          <w:b/>
          <w:sz w:val="24"/>
          <w:szCs w:val="24"/>
          <w:lang w:val="ro-RO"/>
        </w:rPr>
      </w:pPr>
      <w:r w:rsidRPr="005E4C72">
        <w:rPr>
          <w:rFonts w:asciiTheme="majorHAnsi" w:hAnsiTheme="majorHAnsi" w:cstheme="majorHAnsi"/>
          <w:b/>
          <w:sz w:val="24"/>
          <w:szCs w:val="24"/>
          <w:lang w:val="ro-RO"/>
        </w:rPr>
        <w:t xml:space="preserve">Transmiterea tardivă de către instituțiile medicale a datelor din certificatele </w:t>
      </w:r>
      <w:r w:rsidR="001345EC">
        <w:rPr>
          <w:rFonts w:asciiTheme="majorHAnsi" w:hAnsiTheme="majorHAnsi" w:cstheme="majorHAnsi"/>
          <w:b/>
          <w:sz w:val="24"/>
          <w:szCs w:val="24"/>
          <w:lang w:val="ro-RO"/>
        </w:rPr>
        <w:t xml:space="preserve">de </w:t>
      </w:r>
      <w:r w:rsidRPr="005E4C72">
        <w:rPr>
          <w:rFonts w:asciiTheme="majorHAnsi" w:hAnsiTheme="majorHAnsi" w:cstheme="majorHAnsi"/>
          <w:b/>
          <w:sz w:val="24"/>
          <w:szCs w:val="24"/>
          <w:lang w:val="ro-RO"/>
        </w:rPr>
        <w:t>concediu medical</w:t>
      </w:r>
      <w:r w:rsidR="005A1C18">
        <w:rPr>
          <w:rFonts w:asciiTheme="majorHAnsi" w:hAnsiTheme="majorHAnsi" w:cstheme="majorHAnsi"/>
          <w:b/>
          <w:sz w:val="24"/>
          <w:szCs w:val="24"/>
          <w:lang w:val="ro-RO"/>
        </w:rPr>
        <w:t>, de</w:t>
      </w:r>
      <w:r w:rsidRPr="005E4C72">
        <w:rPr>
          <w:rFonts w:asciiTheme="majorHAnsi" w:hAnsiTheme="majorHAnsi" w:cstheme="majorHAnsi"/>
          <w:b/>
          <w:sz w:val="24"/>
          <w:szCs w:val="24"/>
          <w:lang w:val="ro-RO"/>
        </w:rPr>
        <w:t xml:space="preserve"> </w:t>
      </w:r>
      <w:r w:rsidR="00680691" w:rsidRPr="005E4C72">
        <w:rPr>
          <w:rFonts w:asciiTheme="majorHAnsi" w:hAnsiTheme="majorHAnsi" w:cstheme="majorHAnsi"/>
          <w:b/>
          <w:sz w:val="24"/>
          <w:szCs w:val="24"/>
          <w:lang w:val="ro-RO"/>
        </w:rPr>
        <w:t>până la 180 zile</w:t>
      </w:r>
      <w:r w:rsidR="0029287B">
        <w:rPr>
          <w:rFonts w:asciiTheme="majorHAnsi" w:hAnsiTheme="majorHAnsi" w:cstheme="majorHAnsi"/>
          <w:b/>
          <w:sz w:val="24"/>
          <w:szCs w:val="24"/>
          <w:lang w:val="ro-RO"/>
        </w:rPr>
        <w:t>,</w:t>
      </w:r>
      <w:r w:rsidR="00680691" w:rsidRPr="005E4C72">
        <w:rPr>
          <w:rFonts w:asciiTheme="majorHAnsi" w:hAnsiTheme="majorHAnsi" w:cstheme="majorHAnsi"/>
          <w:b/>
          <w:sz w:val="24"/>
          <w:szCs w:val="24"/>
          <w:lang w:val="ro-RO"/>
        </w:rPr>
        <w:t xml:space="preserve"> </w:t>
      </w:r>
      <w:r w:rsidRPr="005E4C72">
        <w:rPr>
          <w:rFonts w:asciiTheme="majorHAnsi" w:hAnsiTheme="majorHAnsi" w:cstheme="majorHAnsi"/>
          <w:b/>
          <w:sz w:val="24"/>
          <w:szCs w:val="24"/>
          <w:lang w:val="ro-RO"/>
        </w:rPr>
        <w:t>și depășirea termenului de stabilire a indemnizațiilor pentru incapacitatea temporară de muncă cauzată de boli obișnuite</w:t>
      </w:r>
      <w:r w:rsidR="00680691" w:rsidRPr="005E4C72">
        <w:rPr>
          <w:rFonts w:asciiTheme="majorHAnsi" w:hAnsiTheme="majorHAnsi" w:cstheme="majorHAnsi"/>
          <w:b/>
          <w:sz w:val="24"/>
          <w:szCs w:val="24"/>
          <w:lang w:val="ro-RO"/>
        </w:rPr>
        <w:t xml:space="preserve"> de către CNAS</w:t>
      </w:r>
      <w:r w:rsidR="005A1C18">
        <w:rPr>
          <w:rFonts w:asciiTheme="majorHAnsi" w:hAnsiTheme="majorHAnsi" w:cstheme="majorHAnsi"/>
          <w:b/>
          <w:sz w:val="24"/>
          <w:szCs w:val="24"/>
          <w:lang w:val="ro-RO"/>
        </w:rPr>
        <w:t>,</w:t>
      </w:r>
      <w:r w:rsidR="00680691" w:rsidRPr="005E4C72">
        <w:rPr>
          <w:rFonts w:asciiTheme="majorHAnsi" w:hAnsiTheme="majorHAnsi" w:cstheme="majorHAnsi"/>
          <w:b/>
          <w:sz w:val="24"/>
          <w:szCs w:val="24"/>
          <w:lang w:val="ro-RO"/>
        </w:rPr>
        <w:t xml:space="preserve"> </w:t>
      </w:r>
      <w:r w:rsidR="005E4C72" w:rsidRPr="005E4C72">
        <w:rPr>
          <w:rFonts w:asciiTheme="majorHAnsi" w:hAnsiTheme="majorHAnsi" w:cstheme="majorHAnsi"/>
          <w:b/>
          <w:sz w:val="24"/>
          <w:szCs w:val="24"/>
          <w:lang w:val="ro-RO"/>
        </w:rPr>
        <w:t>până la 85 zile,</w:t>
      </w:r>
      <w:r w:rsidRPr="005E4C72">
        <w:rPr>
          <w:rFonts w:asciiTheme="majorHAnsi" w:hAnsiTheme="majorHAnsi" w:cstheme="majorHAnsi"/>
          <w:b/>
          <w:sz w:val="24"/>
          <w:szCs w:val="24"/>
          <w:lang w:val="ro-RO"/>
        </w:rPr>
        <w:t xml:space="preserve"> </w:t>
      </w:r>
      <w:r w:rsidR="005E4C72" w:rsidRPr="005E4C72">
        <w:rPr>
          <w:rFonts w:asciiTheme="majorHAnsi" w:hAnsiTheme="majorHAnsi" w:cstheme="majorHAnsi"/>
          <w:b/>
          <w:sz w:val="24"/>
          <w:szCs w:val="24"/>
          <w:lang w:val="ro-RO"/>
        </w:rPr>
        <w:t>afectează calitatea serviciilor acordate beneficiarilor</w:t>
      </w:r>
      <w:r w:rsidR="00935E90">
        <w:rPr>
          <w:rFonts w:asciiTheme="majorHAnsi" w:hAnsiTheme="majorHAnsi" w:cstheme="majorHAnsi"/>
          <w:b/>
          <w:sz w:val="24"/>
          <w:szCs w:val="24"/>
          <w:lang w:val="ro-RO"/>
        </w:rPr>
        <w:t>.</w:t>
      </w:r>
    </w:p>
    <w:p w14:paraId="1D253B6E" w14:textId="0A4FC6BB" w:rsidR="00394407" w:rsidRDefault="00394407" w:rsidP="00394407">
      <w:pPr>
        <w:pStyle w:val="NormalWeb"/>
        <w:spacing w:line="276" w:lineRule="auto"/>
        <w:ind w:firstLine="0"/>
        <w:rPr>
          <w:rFonts w:asciiTheme="majorHAnsi" w:eastAsiaTheme="minorHAnsi" w:hAnsiTheme="majorHAnsi" w:cstheme="majorHAnsi"/>
          <w:lang w:val="ro-RO"/>
        </w:rPr>
      </w:pPr>
      <w:r w:rsidRPr="00341E6C">
        <w:rPr>
          <w:rFonts w:asciiTheme="majorHAnsi" w:eastAsiaTheme="minorHAnsi" w:hAnsiTheme="majorHAnsi" w:cstheme="majorHAnsi"/>
          <w:lang w:val="ro-RO"/>
        </w:rPr>
        <w:t>Începând cu 01.07.2019, indemnizațiile se stabilesc de către casele teritoriale în teme</w:t>
      </w:r>
      <w:r w:rsidR="00BE798D">
        <w:rPr>
          <w:rFonts w:asciiTheme="majorHAnsi" w:eastAsiaTheme="minorHAnsi" w:hAnsiTheme="majorHAnsi" w:cstheme="majorHAnsi"/>
          <w:lang w:val="ro-RO"/>
        </w:rPr>
        <w:t>iul informației din certificatele</w:t>
      </w:r>
      <w:r w:rsidRPr="00341E6C">
        <w:rPr>
          <w:rFonts w:asciiTheme="majorHAnsi" w:eastAsiaTheme="minorHAnsi" w:hAnsiTheme="majorHAnsi" w:cstheme="majorHAnsi"/>
          <w:lang w:val="ro-RO"/>
        </w:rPr>
        <w:t xml:space="preserve"> medical</w:t>
      </w:r>
      <w:r w:rsidR="00BE798D">
        <w:rPr>
          <w:rFonts w:asciiTheme="majorHAnsi" w:eastAsiaTheme="minorHAnsi" w:hAnsiTheme="majorHAnsi" w:cstheme="majorHAnsi"/>
          <w:lang w:val="ro-RO"/>
        </w:rPr>
        <w:t>e</w:t>
      </w:r>
      <w:r w:rsidRPr="00341E6C">
        <w:rPr>
          <w:rFonts w:asciiTheme="majorHAnsi" w:eastAsiaTheme="minorHAnsi" w:hAnsiTheme="majorHAnsi" w:cstheme="majorHAnsi"/>
          <w:lang w:val="ro-RO"/>
        </w:rPr>
        <w:t>, transmise prin intermediul conexiunilor inter-sistemice securizate și autentificate prin semnătura electron</w:t>
      </w:r>
      <w:r w:rsidR="00BE798D">
        <w:rPr>
          <w:rFonts w:asciiTheme="majorHAnsi" w:eastAsiaTheme="minorHAnsi" w:hAnsiTheme="majorHAnsi" w:cstheme="majorHAnsi"/>
          <w:lang w:val="ro-RO"/>
        </w:rPr>
        <w:t xml:space="preserve">ică a persoanei responsabile </w:t>
      </w:r>
      <w:r w:rsidR="0029287B">
        <w:rPr>
          <w:rFonts w:asciiTheme="majorHAnsi" w:eastAsiaTheme="minorHAnsi" w:hAnsiTheme="majorHAnsi" w:cstheme="majorHAnsi"/>
          <w:lang w:val="ro-RO"/>
        </w:rPr>
        <w:t>din cadrul</w:t>
      </w:r>
      <w:r w:rsidRPr="00341E6C">
        <w:rPr>
          <w:rFonts w:asciiTheme="majorHAnsi" w:eastAsiaTheme="minorHAnsi" w:hAnsiTheme="majorHAnsi" w:cstheme="majorHAnsi"/>
          <w:lang w:val="ro-RO"/>
        </w:rPr>
        <w:t xml:space="preserve"> prestatorilor de asistență medicală. Ulterior, indemnizația se achită de către CNAS prin intermediul prestatorilor de servicii de plată.</w:t>
      </w:r>
    </w:p>
    <w:p w14:paraId="7351B562" w14:textId="77777777" w:rsidR="00C7000C" w:rsidRDefault="00C7000C" w:rsidP="00C7000C">
      <w:pPr>
        <w:pStyle w:val="NormalWeb"/>
        <w:spacing w:line="276" w:lineRule="auto"/>
        <w:ind w:firstLine="0"/>
        <w:rPr>
          <w:rFonts w:asciiTheme="majorHAnsi" w:eastAsiaTheme="minorHAnsi" w:hAnsiTheme="majorHAnsi" w:cstheme="majorHAnsi"/>
          <w:lang w:val="ro-RO"/>
        </w:rPr>
      </w:pPr>
      <w:r>
        <w:rPr>
          <w:noProof/>
        </w:rPr>
        <w:drawing>
          <wp:inline distT="0" distB="0" distL="0" distR="0" wp14:anchorId="75B7E623" wp14:editId="7EE46D88">
            <wp:extent cx="5935980" cy="3025140"/>
            <wp:effectExtent l="0" t="0" r="64770" b="38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0A85B01" w14:textId="4CE9FC53" w:rsidR="00C7000C" w:rsidRPr="00B82A97" w:rsidRDefault="00C7000C" w:rsidP="00C7000C">
      <w:pPr>
        <w:pStyle w:val="NormalWeb"/>
        <w:spacing w:line="276" w:lineRule="auto"/>
        <w:ind w:firstLine="0"/>
        <w:jc w:val="center"/>
        <w:rPr>
          <w:rFonts w:asciiTheme="majorHAnsi" w:eastAsiaTheme="minorHAnsi" w:hAnsiTheme="majorHAnsi" w:cstheme="majorHAnsi"/>
          <w:i/>
          <w:sz w:val="20"/>
          <w:szCs w:val="20"/>
          <w:lang w:val="ro-RO"/>
        </w:rPr>
      </w:pPr>
      <w:r w:rsidRPr="00B82A97">
        <w:rPr>
          <w:rFonts w:asciiTheme="majorHAnsi" w:eastAsiaTheme="minorHAnsi" w:hAnsiTheme="majorHAnsi" w:cstheme="majorHAnsi"/>
          <w:i/>
          <w:sz w:val="20"/>
          <w:szCs w:val="20"/>
          <w:lang w:val="ro-RO"/>
        </w:rPr>
        <w:t>Figura nr.</w:t>
      </w:r>
      <w:r w:rsidR="00786886" w:rsidRPr="00B82A97">
        <w:rPr>
          <w:rFonts w:asciiTheme="majorHAnsi" w:eastAsiaTheme="minorHAnsi" w:hAnsiTheme="majorHAnsi" w:cstheme="majorHAnsi"/>
          <w:i/>
          <w:sz w:val="20"/>
          <w:szCs w:val="20"/>
          <w:lang w:val="ro-RO"/>
        </w:rPr>
        <w:t>3</w:t>
      </w:r>
      <w:r w:rsidRPr="00B82A97">
        <w:rPr>
          <w:rFonts w:asciiTheme="majorHAnsi" w:eastAsiaTheme="minorHAnsi" w:hAnsiTheme="majorHAnsi" w:cstheme="majorHAnsi"/>
          <w:i/>
          <w:sz w:val="20"/>
          <w:szCs w:val="20"/>
          <w:lang w:val="ro-RO"/>
        </w:rPr>
        <w:t xml:space="preserve"> Procesul de recepționare a informației aferente concediilor medicale</w:t>
      </w:r>
    </w:p>
    <w:p w14:paraId="4110C228" w14:textId="77777777" w:rsidR="00C7000C" w:rsidRPr="00B82A97" w:rsidRDefault="00C7000C" w:rsidP="00394407">
      <w:pPr>
        <w:pStyle w:val="NormalWeb"/>
        <w:spacing w:line="276" w:lineRule="auto"/>
        <w:ind w:firstLine="0"/>
        <w:rPr>
          <w:rFonts w:asciiTheme="majorHAnsi" w:eastAsiaTheme="minorHAnsi" w:hAnsiTheme="majorHAnsi" w:cstheme="majorHAnsi"/>
          <w:sz w:val="20"/>
          <w:szCs w:val="20"/>
          <w:lang w:val="ro-RO"/>
        </w:rPr>
      </w:pPr>
    </w:p>
    <w:p w14:paraId="3865AEFF" w14:textId="3944B6B7" w:rsidR="00394407" w:rsidRPr="00341E6C" w:rsidRDefault="00394407" w:rsidP="008F18E6">
      <w:pPr>
        <w:pStyle w:val="NormalWeb"/>
        <w:spacing w:after="240" w:line="276" w:lineRule="auto"/>
        <w:ind w:firstLine="0"/>
        <w:rPr>
          <w:rFonts w:asciiTheme="majorHAnsi" w:hAnsiTheme="majorHAnsi" w:cstheme="majorHAnsi"/>
          <w:lang w:val="ro-RO"/>
        </w:rPr>
      </w:pPr>
      <w:r w:rsidRPr="00341E6C">
        <w:rPr>
          <w:rFonts w:asciiTheme="majorHAnsi" w:hAnsiTheme="majorHAnsi" w:cstheme="majorHAnsi"/>
          <w:lang w:val="ro-RO"/>
        </w:rPr>
        <w:t>În anul 2020 au fost executate 764,3 mil</w:t>
      </w:r>
      <w:r w:rsidR="003E3ACC">
        <w:rPr>
          <w:rFonts w:asciiTheme="majorHAnsi" w:hAnsiTheme="majorHAnsi" w:cstheme="majorHAnsi"/>
          <w:lang w:val="ro-RO"/>
        </w:rPr>
        <w:t>.</w:t>
      </w:r>
      <w:r w:rsidRPr="00341E6C">
        <w:rPr>
          <w:rFonts w:asciiTheme="majorHAnsi" w:hAnsiTheme="majorHAnsi" w:cstheme="majorHAnsi"/>
          <w:lang w:val="ro-RO"/>
        </w:rPr>
        <w:t xml:space="preserve"> lei pentru asigurarea dreptului la indemnizație pentru incapacitatea temporară de muncă cauzată de boli obișnuite sau de accidente nelegate de muncă, cu 87,1% mai mult decât în anul 2019. Totodată, acest indicator a fost precizat</w:t>
      </w:r>
      <w:r w:rsidRPr="00341E6C">
        <w:rPr>
          <w:rStyle w:val="FootnoteReference"/>
          <w:rFonts w:eastAsiaTheme="majorEastAsia" w:cstheme="majorHAnsi"/>
          <w:lang w:val="ro-RO"/>
        </w:rPr>
        <w:footnoteReference w:id="44"/>
      </w:r>
      <w:r w:rsidRPr="00341E6C">
        <w:rPr>
          <w:rFonts w:asciiTheme="majorHAnsi" w:hAnsiTheme="majorHAnsi" w:cstheme="majorHAnsi"/>
          <w:lang w:val="ro-RO"/>
        </w:rPr>
        <w:t xml:space="preserve"> cu 172,8 mil</w:t>
      </w:r>
      <w:r w:rsidR="00803943">
        <w:rPr>
          <w:rFonts w:asciiTheme="majorHAnsi" w:hAnsiTheme="majorHAnsi" w:cstheme="majorHAnsi"/>
          <w:lang w:val="ro-RO"/>
        </w:rPr>
        <w:t>.</w:t>
      </w:r>
      <w:r w:rsidRPr="00341E6C">
        <w:rPr>
          <w:rFonts w:asciiTheme="majorHAnsi" w:hAnsiTheme="majorHAnsi" w:cstheme="majorHAnsi"/>
          <w:lang w:val="ro-RO"/>
        </w:rPr>
        <w:t xml:space="preserve"> lei mai mult decât </w:t>
      </w:r>
      <w:r w:rsidR="00D44AE1">
        <w:rPr>
          <w:rFonts w:asciiTheme="majorHAnsi" w:hAnsiTheme="majorHAnsi" w:cstheme="majorHAnsi"/>
          <w:lang w:val="ro-RO"/>
        </w:rPr>
        <w:t xml:space="preserve">cel </w:t>
      </w:r>
      <w:r w:rsidRPr="00341E6C">
        <w:rPr>
          <w:rFonts w:asciiTheme="majorHAnsi" w:hAnsiTheme="majorHAnsi" w:cstheme="majorHAnsi"/>
          <w:lang w:val="ro-RO"/>
        </w:rPr>
        <w:t>aprobat la începutul anului. Creșterea semnificativă de 360,9 mil</w:t>
      </w:r>
      <w:r w:rsidR="00D44AE1">
        <w:rPr>
          <w:rFonts w:asciiTheme="majorHAnsi" w:hAnsiTheme="majorHAnsi" w:cstheme="majorHAnsi"/>
          <w:lang w:val="ro-RO"/>
        </w:rPr>
        <w:t>.</w:t>
      </w:r>
      <w:r w:rsidRPr="00341E6C">
        <w:rPr>
          <w:rFonts w:asciiTheme="majorHAnsi" w:hAnsiTheme="majorHAnsi" w:cstheme="majorHAnsi"/>
          <w:lang w:val="ro-RO"/>
        </w:rPr>
        <w:t xml:space="preserve"> lei față de anul precedent</w:t>
      </w:r>
      <w:r w:rsidR="002A008A">
        <w:rPr>
          <w:rFonts w:asciiTheme="majorHAnsi" w:hAnsiTheme="majorHAnsi" w:cstheme="majorHAnsi"/>
          <w:lang w:val="ro-RO"/>
        </w:rPr>
        <w:t>,</w:t>
      </w:r>
      <w:r w:rsidRPr="00341E6C">
        <w:rPr>
          <w:rFonts w:asciiTheme="majorHAnsi" w:hAnsiTheme="majorHAnsi" w:cstheme="majorHAnsi"/>
          <w:lang w:val="ro-RO"/>
        </w:rPr>
        <w:t xml:space="preserve"> precum și precizările efectuate se explică prin numărul mare de infectări cu virusul Covid-19, precum și </w:t>
      </w:r>
      <w:r w:rsidR="002A008A">
        <w:rPr>
          <w:rFonts w:asciiTheme="majorHAnsi" w:hAnsiTheme="majorHAnsi" w:cstheme="majorHAnsi"/>
          <w:lang w:val="ro-RO"/>
        </w:rPr>
        <w:t xml:space="preserve">de </w:t>
      </w:r>
      <w:r w:rsidRPr="00341E6C">
        <w:rPr>
          <w:rFonts w:asciiTheme="majorHAnsi" w:hAnsiTheme="majorHAnsi" w:cstheme="majorHAnsi"/>
          <w:lang w:val="ro-RO"/>
        </w:rPr>
        <w:t>beneficiari de indemnizațiile pentru carantină</w:t>
      </w:r>
      <w:r w:rsidRPr="00341E6C">
        <w:rPr>
          <w:rStyle w:val="FootnoteReference"/>
          <w:rFonts w:eastAsiaTheme="majorEastAsia" w:cstheme="majorHAnsi"/>
          <w:lang w:val="ro-RO"/>
        </w:rPr>
        <w:footnoteReference w:id="45"/>
      </w:r>
      <w:r w:rsidRPr="00341E6C">
        <w:rPr>
          <w:rFonts w:asciiTheme="majorHAnsi" w:hAnsiTheme="majorHAnsi" w:cstheme="majorHAnsi"/>
          <w:lang w:val="ro-RO"/>
        </w:rPr>
        <w:t>.</w:t>
      </w:r>
    </w:p>
    <w:p w14:paraId="2FF743C8" w14:textId="19B1F60C" w:rsidR="00394407" w:rsidRDefault="00394407" w:rsidP="00394407">
      <w:pPr>
        <w:pStyle w:val="NormalWeb"/>
        <w:spacing w:line="276" w:lineRule="auto"/>
        <w:ind w:firstLine="0"/>
        <w:rPr>
          <w:rFonts w:asciiTheme="majorHAnsi" w:eastAsiaTheme="minorHAnsi" w:hAnsiTheme="majorHAnsi" w:cstheme="majorHAnsi"/>
          <w:lang w:val="ro-RO"/>
        </w:rPr>
      </w:pPr>
      <w:r w:rsidRPr="00341E6C">
        <w:rPr>
          <w:rFonts w:asciiTheme="majorHAnsi" w:eastAsiaTheme="minorHAnsi" w:hAnsiTheme="majorHAnsi" w:cstheme="majorHAnsi"/>
          <w:lang w:val="ro-RO"/>
        </w:rPr>
        <w:t xml:space="preserve">S-au identificat </w:t>
      </w:r>
      <w:r>
        <w:rPr>
          <w:rFonts w:asciiTheme="majorHAnsi" w:eastAsiaTheme="minorHAnsi" w:hAnsiTheme="majorHAnsi" w:cstheme="majorHAnsi"/>
          <w:lang w:val="ro-RO"/>
        </w:rPr>
        <w:t>3</w:t>
      </w:r>
      <w:r w:rsidRPr="00341E6C">
        <w:rPr>
          <w:rFonts w:asciiTheme="majorHAnsi" w:eastAsiaTheme="minorHAnsi" w:hAnsiTheme="majorHAnsi" w:cstheme="majorHAnsi"/>
          <w:lang w:val="ro-RO"/>
        </w:rPr>
        <w:t xml:space="preserve"> cazuri (</w:t>
      </w:r>
      <w:r>
        <w:rPr>
          <w:rFonts w:asciiTheme="majorHAnsi" w:eastAsiaTheme="minorHAnsi" w:hAnsiTheme="majorHAnsi" w:cstheme="majorHAnsi"/>
          <w:lang w:val="ro-RO"/>
        </w:rPr>
        <w:t>1,6</w:t>
      </w:r>
      <w:r w:rsidRPr="00341E6C">
        <w:rPr>
          <w:rFonts w:asciiTheme="majorHAnsi" w:eastAsiaTheme="minorHAnsi" w:hAnsiTheme="majorHAnsi" w:cstheme="majorHAnsi"/>
          <w:lang w:val="ro-RO"/>
        </w:rPr>
        <w:t xml:space="preserve"> %) din 183 decizii de stabilire a indemnizației pentru incapacitatea temporară de muncă verificate, în care cuantumul indemnizației a fost calculat cu erori aferente (stagiul de cotizare, stabilir</w:t>
      </w:r>
      <w:r w:rsidR="002A008A">
        <w:rPr>
          <w:rFonts w:asciiTheme="majorHAnsi" w:eastAsiaTheme="minorHAnsi" w:hAnsiTheme="majorHAnsi" w:cstheme="majorHAnsi"/>
          <w:lang w:val="ro-RO"/>
        </w:rPr>
        <w:t>ea</w:t>
      </w:r>
      <w:r w:rsidRPr="00341E6C">
        <w:rPr>
          <w:rFonts w:asciiTheme="majorHAnsi" w:eastAsiaTheme="minorHAnsi" w:hAnsiTheme="majorHAnsi" w:cstheme="majorHAnsi"/>
          <w:lang w:val="ro-RO"/>
        </w:rPr>
        <w:t xml:space="preserve"> procentului/cuantumului indemnizației), astfel nefiind calculat și achitat beneficiarilor </w:t>
      </w:r>
      <w:r>
        <w:rPr>
          <w:rFonts w:asciiTheme="majorHAnsi" w:eastAsiaTheme="minorHAnsi" w:hAnsiTheme="majorHAnsi" w:cstheme="majorHAnsi"/>
          <w:lang w:val="ro-RO"/>
        </w:rPr>
        <w:t>1,5</w:t>
      </w:r>
      <w:r w:rsidRPr="00341E6C">
        <w:rPr>
          <w:rFonts w:asciiTheme="majorHAnsi" w:eastAsiaTheme="minorHAnsi" w:hAnsiTheme="majorHAnsi" w:cstheme="majorHAnsi"/>
          <w:lang w:val="ro-RO"/>
        </w:rPr>
        <w:t xml:space="preserve"> mii lei. </w:t>
      </w:r>
    </w:p>
    <w:p w14:paraId="3BF00CA6" w14:textId="1D692915" w:rsidR="00394407" w:rsidRPr="0055460B" w:rsidRDefault="00394407" w:rsidP="008F18E6">
      <w:pPr>
        <w:pStyle w:val="NormalWeb"/>
        <w:spacing w:after="240" w:line="276" w:lineRule="auto"/>
        <w:ind w:firstLine="0"/>
        <w:rPr>
          <w:rFonts w:asciiTheme="majorHAnsi" w:eastAsiaTheme="minorHAnsi" w:hAnsiTheme="majorHAnsi" w:cstheme="majorHAnsi"/>
          <w:i/>
          <w:lang w:val="ro-RO"/>
        </w:rPr>
      </w:pPr>
      <w:r w:rsidRPr="00E073C9">
        <w:rPr>
          <w:rFonts w:asciiTheme="majorHAnsi" w:eastAsiaTheme="minorHAnsi" w:hAnsiTheme="majorHAnsi" w:cstheme="majorHAnsi"/>
          <w:i/>
          <w:lang w:val="ro-RO"/>
        </w:rPr>
        <w:lastRenderedPageBreak/>
        <w:t>Notă: pe parcursul misiunii de audit, s-au înlătura</w:t>
      </w:r>
      <w:r w:rsidR="00C15C9D">
        <w:rPr>
          <w:rFonts w:asciiTheme="majorHAnsi" w:eastAsiaTheme="minorHAnsi" w:hAnsiTheme="majorHAnsi" w:cstheme="majorHAnsi"/>
          <w:i/>
          <w:lang w:val="ro-RO"/>
        </w:rPr>
        <w:t>t neconformitățile identificate</w:t>
      </w:r>
      <w:r w:rsidRPr="00E073C9">
        <w:rPr>
          <w:rFonts w:asciiTheme="majorHAnsi" w:eastAsiaTheme="minorHAnsi" w:hAnsiTheme="majorHAnsi" w:cstheme="majorHAnsi"/>
          <w:i/>
          <w:lang w:val="ro-RO"/>
        </w:rPr>
        <w:t>, fiind achitate diferențele la indemnizațiile calculate și achitate incomplet (Deciziile privind plățile adiționale unice nr.31984, nr.31982, nr</w:t>
      </w:r>
      <w:r w:rsidR="002A008A">
        <w:rPr>
          <w:rFonts w:asciiTheme="majorHAnsi" w:eastAsiaTheme="minorHAnsi" w:hAnsiTheme="majorHAnsi" w:cstheme="majorHAnsi"/>
          <w:i/>
          <w:lang w:val="ro-RO"/>
        </w:rPr>
        <w:t>.</w:t>
      </w:r>
      <w:r w:rsidRPr="00E073C9">
        <w:rPr>
          <w:rFonts w:asciiTheme="majorHAnsi" w:eastAsiaTheme="minorHAnsi" w:hAnsiTheme="majorHAnsi" w:cstheme="majorHAnsi"/>
          <w:i/>
          <w:lang w:val="ro-RO"/>
        </w:rPr>
        <w:t xml:space="preserve"> 38710 din 19.05.2021).</w:t>
      </w:r>
    </w:p>
    <w:p w14:paraId="3A95A216" w14:textId="3CF7FA6B" w:rsidR="00EF7A76" w:rsidRDefault="00394407" w:rsidP="00303B7A">
      <w:pPr>
        <w:pStyle w:val="NormalWeb"/>
        <w:spacing w:after="240" w:line="276" w:lineRule="auto"/>
        <w:ind w:firstLine="0"/>
        <w:rPr>
          <w:rFonts w:asciiTheme="majorHAnsi" w:eastAsiaTheme="minorHAnsi" w:hAnsiTheme="majorHAnsi" w:cstheme="majorHAnsi"/>
          <w:lang w:val="ro-RO"/>
        </w:rPr>
      </w:pPr>
      <w:r w:rsidRPr="00341E6C">
        <w:rPr>
          <w:rFonts w:asciiTheme="majorHAnsi" w:eastAsiaTheme="minorHAnsi" w:hAnsiTheme="majorHAnsi" w:cstheme="majorHAnsi"/>
          <w:lang w:val="ro-RO"/>
        </w:rPr>
        <w:t>Deși prin H</w:t>
      </w:r>
      <w:r w:rsidR="00BE798D">
        <w:rPr>
          <w:rFonts w:asciiTheme="majorHAnsi" w:eastAsiaTheme="minorHAnsi" w:hAnsiTheme="majorHAnsi" w:cstheme="majorHAnsi"/>
          <w:lang w:val="ro-RO"/>
        </w:rPr>
        <w:t xml:space="preserve">otărârea </w:t>
      </w:r>
      <w:r w:rsidRPr="00341E6C">
        <w:rPr>
          <w:rFonts w:asciiTheme="majorHAnsi" w:eastAsiaTheme="minorHAnsi" w:hAnsiTheme="majorHAnsi" w:cstheme="majorHAnsi"/>
          <w:lang w:val="ro-RO"/>
        </w:rPr>
        <w:t>C</w:t>
      </w:r>
      <w:r w:rsidR="00BE798D">
        <w:rPr>
          <w:rFonts w:asciiTheme="majorHAnsi" w:eastAsiaTheme="minorHAnsi" w:hAnsiTheme="majorHAnsi" w:cstheme="majorHAnsi"/>
          <w:lang w:val="ro-RO"/>
        </w:rPr>
        <w:t xml:space="preserve">urții de </w:t>
      </w:r>
      <w:r w:rsidRPr="00341E6C">
        <w:rPr>
          <w:rFonts w:asciiTheme="majorHAnsi" w:eastAsiaTheme="minorHAnsi" w:hAnsiTheme="majorHAnsi" w:cstheme="majorHAnsi"/>
          <w:lang w:val="ro-RO"/>
        </w:rPr>
        <w:t>C</w:t>
      </w:r>
      <w:r w:rsidR="00BE798D">
        <w:rPr>
          <w:rFonts w:asciiTheme="majorHAnsi" w:eastAsiaTheme="minorHAnsi" w:hAnsiTheme="majorHAnsi" w:cstheme="majorHAnsi"/>
          <w:lang w:val="ro-RO"/>
        </w:rPr>
        <w:t>onturi</w:t>
      </w:r>
      <w:r w:rsidRPr="00341E6C">
        <w:rPr>
          <w:rFonts w:asciiTheme="majorHAnsi" w:eastAsiaTheme="minorHAnsi" w:hAnsiTheme="majorHAnsi" w:cstheme="majorHAnsi"/>
          <w:lang w:val="ro-RO"/>
        </w:rPr>
        <w:t xml:space="preserve"> nr. 29 din 15 iulie 2020 a fost înaintată o recomandare privind monitorizarea procesului de stabilire în termen a indemnizației de incapacitate temporară de muncă, iar CNAS a expediat scrisori în adresa CTAS referitor la respectarea şi monitorizarea termenului de examinare a datelor din certificatele de concediu medical, se atestă că situațiile de nestabilire în termen</w:t>
      </w:r>
      <w:r w:rsidR="00BE798D">
        <w:rPr>
          <w:rFonts w:asciiTheme="majorHAnsi" w:eastAsiaTheme="minorHAnsi" w:hAnsiTheme="majorHAnsi" w:cstheme="majorHAnsi"/>
          <w:lang w:val="ro-RO"/>
        </w:rPr>
        <w:t xml:space="preserve"> a indemnizației de boală</w:t>
      </w:r>
      <w:r w:rsidRPr="00341E6C">
        <w:rPr>
          <w:rFonts w:asciiTheme="majorHAnsi" w:eastAsiaTheme="minorHAnsi" w:hAnsiTheme="majorHAnsi" w:cstheme="majorHAnsi"/>
          <w:lang w:val="ro-RO"/>
        </w:rPr>
        <w:t xml:space="preserve"> se mențin și în anul 2020. </w:t>
      </w:r>
      <w:r w:rsidR="00303B7A" w:rsidRPr="00341E6C">
        <w:rPr>
          <w:rFonts w:asciiTheme="majorHAnsi" w:eastAsiaTheme="minorHAnsi" w:hAnsiTheme="majorHAnsi" w:cstheme="majorHAnsi"/>
          <w:lang w:val="ro-RO"/>
        </w:rPr>
        <w:t xml:space="preserve">Astfel, s-a constatat că pentru </w:t>
      </w:r>
      <w:r w:rsidR="00303B7A">
        <w:rPr>
          <w:rFonts w:asciiTheme="majorHAnsi" w:eastAsiaTheme="minorHAnsi" w:hAnsiTheme="majorHAnsi" w:cstheme="majorHAnsi"/>
          <w:lang w:val="ro-RO"/>
        </w:rPr>
        <w:t>15,3</w:t>
      </w:r>
      <w:r w:rsidR="00303B7A" w:rsidRPr="00341E6C">
        <w:rPr>
          <w:rFonts w:asciiTheme="majorHAnsi" w:eastAsiaTheme="minorHAnsi" w:hAnsiTheme="majorHAnsi" w:cstheme="majorHAnsi"/>
          <w:lang w:val="ro-RO"/>
        </w:rPr>
        <w:t>% din 183 de indemnizații pentru incapacitatea temporară de muncă verificate</w:t>
      </w:r>
      <w:r w:rsidR="00EF7A76">
        <w:rPr>
          <w:rFonts w:asciiTheme="majorHAnsi" w:eastAsiaTheme="minorHAnsi" w:hAnsiTheme="majorHAnsi" w:cstheme="majorHAnsi"/>
          <w:lang w:val="ro-RO"/>
        </w:rPr>
        <w:t xml:space="preserve">, </w:t>
      </w:r>
      <w:r w:rsidR="00303B7A" w:rsidRPr="00341E6C">
        <w:rPr>
          <w:rFonts w:asciiTheme="majorHAnsi" w:eastAsiaTheme="minorHAnsi" w:hAnsiTheme="majorHAnsi" w:cstheme="majorHAnsi"/>
          <w:lang w:val="ro-RO"/>
        </w:rPr>
        <w:t xml:space="preserve"> termenul </w:t>
      </w:r>
      <w:r w:rsidR="00303B7A" w:rsidRPr="00EF7A76">
        <w:rPr>
          <w:rFonts w:asciiTheme="majorHAnsi" w:eastAsiaTheme="minorHAnsi" w:hAnsiTheme="majorHAnsi" w:cstheme="majorHAnsi"/>
          <w:lang w:val="ro-RO"/>
        </w:rPr>
        <w:t>de stabilire</w:t>
      </w:r>
      <w:r w:rsidR="00EF7A76" w:rsidRPr="00EF7A76">
        <w:rPr>
          <w:rFonts w:asciiTheme="majorHAnsi" w:eastAsiaTheme="minorHAnsi" w:hAnsiTheme="majorHAnsi" w:cstheme="majorHAnsi"/>
          <w:lang w:val="ro-RO"/>
        </w:rPr>
        <w:t xml:space="preserve"> de către CNAS</w:t>
      </w:r>
      <w:r w:rsidR="00EF7A76">
        <w:rPr>
          <w:rFonts w:asciiTheme="majorHAnsi" w:eastAsiaTheme="minorHAnsi" w:hAnsiTheme="majorHAnsi" w:cstheme="majorHAnsi"/>
          <w:lang w:val="ro-RO"/>
        </w:rPr>
        <w:t xml:space="preserve"> a</w:t>
      </w:r>
      <w:r w:rsidR="00303B7A" w:rsidRPr="00EF7A76">
        <w:rPr>
          <w:rFonts w:asciiTheme="majorHAnsi" w:eastAsiaTheme="minorHAnsi" w:hAnsiTheme="majorHAnsi" w:cstheme="majorHAnsi"/>
          <w:lang w:val="ro-RO"/>
        </w:rPr>
        <w:t xml:space="preserve"> </w:t>
      </w:r>
      <w:r w:rsidR="00EF7A76" w:rsidRPr="00EF7A76">
        <w:rPr>
          <w:rFonts w:asciiTheme="majorHAnsi" w:eastAsiaTheme="minorHAnsi" w:hAnsiTheme="majorHAnsi" w:cstheme="majorHAnsi"/>
          <w:lang w:val="ro-RO"/>
        </w:rPr>
        <w:t xml:space="preserve">indemnizației </w:t>
      </w:r>
      <w:r w:rsidR="00EF7A76" w:rsidRPr="00341E6C">
        <w:rPr>
          <w:rFonts w:asciiTheme="majorHAnsi" w:eastAsiaTheme="minorHAnsi" w:hAnsiTheme="majorHAnsi" w:cstheme="majorHAnsi"/>
          <w:lang w:val="ro-RO"/>
        </w:rPr>
        <w:t xml:space="preserve">a fost depășit de la 31 până la </w:t>
      </w:r>
      <w:r w:rsidR="00EF7A76">
        <w:rPr>
          <w:rFonts w:asciiTheme="majorHAnsi" w:eastAsiaTheme="minorHAnsi" w:hAnsiTheme="majorHAnsi" w:cstheme="majorHAnsi"/>
          <w:lang w:val="ro-RO"/>
        </w:rPr>
        <w:t>85</w:t>
      </w:r>
      <w:r w:rsidR="00EF7A76" w:rsidRPr="00341E6C">
        <w:rPr>
          <w:rFonts w:asciiTheme="majorHAnsi" w:eastAsiaTheme="minorHAnsi" w:hAnsiTheme="majorHAnsi" w:cstheme="majorHAnsi"/>
          <w:lang w:val="ro-RO"/>
        </w:rPr>
        <w:t xml:space="preserve"> </w:t>
      </w:r>
      <w:r w:rsidR="002A008A">
        <w:rPr>
          <w:rFonts w:asciiTheme="majorHAnsi" w:eastAsiaTheme="minorHAnsi" w:hAnsiTheme="majorHAnsi" w:cstheme="majorHAnsi"/>
          <w:lang w:val="ro-RO"/>
        </w:rPr>
        <w:t xml:space="preserve">de </w:t>
      </w:r>
      <w:r w:rsidR="00EF7A76" w:rsidRPr="00341E6C">
        <w:rPr>
          <w:rFonts w:asciiTheme="majorHAnsi" w:eastAsiaTheme="minorHAnsi" w:hAnsiTheme="majorHAnsi" w:cstheme="majorHAnsi"/>
          <w:lang w:val="ro-RO"/>
        </w:rPr>
        <w:t>zile</w:t>
      </w:r>
      <w:r w:rsidR="0017383F">
        <w:rPr>
          <w:rStyle w:val="FootnoteReference"/>
          <w:rFonts w:asciiTheme="majorHAnsi" w:eastAsiaTheme="minorHAnsi" w:hAnsiTheme="majorHAnsi" w:cstheme="majorHAnsi"/>
          <w:lang w:val="ro-RO"/>
        </w:rPr>
        <w:footnoteReference w:id="46"/>
      </w:r>
      <w:r w:rsidR="00EF7A76" w:rsidRPr="00B82A97">
        <w:rPr>
          <w:rFonts w:asciiTheme="majorHAnsi" w:eastAsiaTheme="minorHAnsi" w:hAnsiTheme="majorHAnsi" w:cstheme="majorHAnsi"/>
          <w:lang w:val="ro-RO"/>
        </w:rPr>
        <w:t>.</w:t>
      </w:r>
    </w:p>
    <w:p w14:paraId="35334347" w14:textId="1D99AE23" w:rsidR="00303B7A" w:rsidRPr="00BB3C6C" w:rsidRDefault="00303B7A" w:rsidP="00195F3C">
      <w:pPr>
        <w:pStyle w:val="NormalWeb"/>
        <w:spacing w:after="240" w:line="276" w:lineRule="auto"/>
        <w:ind w:firstLine="0"/>
        <w:rPr>
          <w:rFonts w:asciiTheme="majorHAnsi" w:eastAsiaTheme="minorHAnsi" w:hAnsiTheme="majorHAnsi" w:cstheme="majorHAnsi"/>
          <w:lang w:val="ro-RO"/>
        </w:rPr>
      </w:pPr>
      <w:r w:rsidRPr="00BB3C6C">
        <w:rPr>
          <w:rFonts w:asciiTheme="majorHAnsi" w:eastAsiaTheme="minorHAnsi" w:hAnsiTheme="majorHAnsi" w:cstheme="majorHAnsi"/>
          <w:lang w:val="ro-RO"/>
        </w:rPr>
        <w:t xml:space="preserve">Totodată, </w:t>
      </w:r>
      <w:r w:rsidR="00EF7A76" w:rsidRPr="00BB3C6C">
        <w:rPr>
          <w:rFonts w:asciiTheme="majorHAnsi" w:eastAsiaTheme="minorHAnsi" w:hAnsiTheme="majorHAnsi" w:cstheme="majorHAnsi"/>
          <w:lang w:val="ro-RO"/>
        </w:rPr>
        <w:t>deși</w:t>
      </w:r>
      <w:r w:rsidR="0017383F" w:rsidRPr="00BB3C6C">
        <w:rPr>
          <w:rFonts w:asciiTheme="majorHAnsi" w:eastAsiaTheme="minorHAnsi" w:hAnsiTheme="majorHAnsi" w:cstheme="majorHAnsi"/>
          <w:lang w:val="ro-RO"/>
        </w:rPr>
        <w:t xml:space="preserve"> actele normative </w:t>
      </w:r>
      <w:r w:rsidR="00195F3C" w:rsidRPr="00BB3C6C">
        <w:rPr>
          <w:rFonts w:asciiTheme="majorHAnsi" w:eastAsiaTheme="minorHAnsi" w:hAnsiTheme="majorHAnsi" w:cstheme="majorHAnsi"/>
          <w:lang w:val="ro-RO"/>
        </w:rPr>
        <w:t xml:space="preserve">prevăd înregistrarea datelor </w:t>
      </w:r>
      <w:r w:rsidR="00EF7A76" w:rsidRPr="00BB3C6C">
        <w:rPr>
          <w:rFonts w:asciiTheme="majorHAnsi" w:eastAsiaTheme="minorHAnsi" w:hAnsiTheme="majorHAnsi" w:cstheme="majorHAnsi"/>
          <w:lang w:val="ro-RO"/>
        </w:rPr>
        <w:t>în termen de cel mult 5 zile de la data închiderii certificatului de concediu medical</w:t>
      </w:r>
      <w:r w:rsidR="00EF7A76" w:rsidRPr="00BB3C6C">
        <w:rPr>
          <w:rStyle w:val="FootnoteReference"/>
          <w:rFonts w:asciiTheme="majorHAnsi" w:eastAsiaTheme="minorHAnsi" w:hAnsiTheme="majorHAnsi" w:cstheme="majorHAnsi"/>
          <w:lang w:val="ro-RO"/>
        </w:rPr>
        <w:footnoteReference w:id="47"/>
      </w:r>
      <w:r w:rsidR="00195F3C" w:rsidRPr="00BB3C6C">
        <w:rPr>
          <w:rFonts w:asciiTheme="majorHAnsi" w:eastAsiaTheme="minorHAnsi" w:hAnsiTheme="majorHAnsi" w:cstheme="majorHAnsi"/>
          <w:lang w:val="ro-RO"/>
        </w:rPr>
        <w:t>,</w:t>
      </w:r>
      <w:r w:rsidR="00EF7A76" w:rsidRPr="00BB3C6C">
        <w:rPr>
          <w:rFonts w:asciiTheme="majorHAnsi" w:eastAsiaTheme="minorHAnsi" w:hAnsiTheme="majorHAnsi" w:cstheme="majorHAnsi"/>
          <w:lang w:val="ro-RO"/>
        </w:rPr>
        <w:t xml:space="preserve"> </w:t>
      </w:r>
      <w:r w:rsidR="00195F3C" w:rsidRPr="00BB3C6C">
        <w:rPr>
          <w:rFonts w:asciiTheme="majorHAnsi" w:eastAsiaTheme="minorHAnsi" w:hAnsiTheme="majorHAnsi" w:cstheme="majorHAnsi"/>
          <w:lang w:val="ro-RO"/>
        </w:rPr>
        <w:t xml:space="preserve">s-a identificat că </w:t>
      </w:r>
      <w:r w:rsidR="00BB3C6C">
        <w:rPr>
          <w:rFonts w:asciiTheme="majorHAnsi" w:eastAsiaTheme="minorHAnsi" w:hAnsiTheme="majorHAnsi" w:cstheme="majorHAnsi"/>
          <w:lang w:val="ro-RO"/>
        </w:rPr>
        <w:t>informația</w:t>
      </w:r>
      <w:r w:rsidRPr="00BB3C6C">
        <w:rPr>
          <w:rFonts w:asciiTheme="majorHAnsi" w:eastAsiaTheme="minorHAnsi" w:hAnsiTheme="majorHAnsi" w:cstheme="majorHAnsi"/>
          <w:lang w:val="ro-RO"/>
        </w:rPr>
        <w:t xml:space="preserve"> a fost transmis</w:t>
      </w:r>
      <w:r w:rsidR="00BB3C6C">
        <w:rPr>
          <w:rFonts w:asciiTheme="majorHAnsi" w:eastAsiaTheme="minorHAnsi" w:hAnsiTheme="majorHAnsi" w:cstheme="majorHAnsi"/>
          <w:lang w:val="ro-RO"/>
        </w:rPr>
        <w:t xml:space="preserve">ă </w:t>
      </w:r>
      <w:r w:rsidRPr="00BB3C6C">
        <w:rPr>
          <w:rFonts w:asciiTheme="majorHAnsi" w:eastAsiaTheme="minorHAnsi" w:hAnsiTheme="majorHAnsi" w:cstheme="majorHAnsi"/>
          <w:lang w:val="ro-RO"/>
        </w:rPr>
        <w:t>de către instituțiile medicale într-un termen</w:t>
      </w:r>
      <w:r w:rsidR="00195F3C" w:rsidRPr="00BB3C6C">
        <w:rPr>
          <w:rFonts w:asciiTheme="majorHAnsi" w:eastAsiaTheme="minorHAnsi" w:hAnsiTheme="majorHAnsi" w:cstheme="majorHAnsi"/>
          <w:lang w:val="ro-RO"/>
        </w:rPr>
        <w:t xml:space="preserve"> depășit</w:t>
      </w:r>
      <w:r w:rsidRPr="00BB3C6C">
        <w:rPr>
          <w:rFonts w:asciiTheme="majorHAnsi" w:eastAsiaTheme="minorHAnsi" w:hAnsiTheme="majorHAnsi" w:cstheme="majorHAnsi"/>
          <w:lang w:val="ro-RO"/>
        </w:rPr>
        <w:t xml:space="preserve"> de până la 180 </w:t>
      </w:r>
      <w:r w:rsidR="00A4751A">
        <w:rPr>
          <w:rFonts w:asciiTheme="majorHAnsi" w:eastAsiaTheme="minorHAnsi" w:hAnsiTheme="majorHAnsi" w:cstheme="majorHAnsi"/>
          <w:lang w:val="ro-RO"/>
        </w:rPr>
        <w:t xml:space="preserve">de </w:t>
      </w:r>
      <w:r w:rsidRPr="00BB3C6C">
        <w:rPr>
          <w:rFonts w:asciiTheme="majorHAnsi" w:eastAsiaTheme="minorHAnsi" w:hAnsiTheme="majorHAnsi" w:cstheme="majorHAnsi"/>
          <w:lang w:val="ro-RO"/>
        </w:rPr>
        <w:t>zile.</w:t>
      </w:r>
      <w:r w:rsidR="00195F3C" w:rsidRPr="00BB3C6C">
        <w:rPr>
          <w:rFonts w:asciiTheme="majorHAnsi" w:eastAsiaTheme="minorHAnsi" w:hAnsiTheme="majorHAnsi" w:cstheme="majorHAnsi"/>
          <w:lang w:val="ro-RO"/>
        </w:rPr>
        <w:t xml:space="preserve"> La acest aspect se menționează că </w:t>
      </w:r>
      <w:r w:rsidRPr="00BB3C6C">
        <w:rPr>
          <w:rFonts w:asciiTheme="majorHAnsi" w:hAnsiTheme="majorHAnsi" w:cstheme="majorHAnsi"/>
          <w:lang w:val="ro-RO"/>
        </w:rPr>
        <w:t xml:space="preserve">MSMPS </w:t>
      </w:r>
      <w:r w:rsidR="00195F3C" w:rsidRPr="00BB3C6C">
        <w:rPr>
          <w:rFonts w:asciiTheme="majorHAnsi" w:hAnsiTheme="majorHAnsi" w:cstheme="majorHAnsi"/>
          <w:lang w:val="ro-RO"/>
        </w:rPr>
        <w:t>a solicitat</w:t>
      </w:r>
      <w:r w:rsidR="00BB3C6C" w:rsidRPr="00BB3C6C">
        <w:rPr>
          <w:rStyle w:val="FootnoteReference"/>
          <w:rFonts w:asciiTheme="majorHAnsi" w:hAnsiTheme="majorHAnsi" w:cstheme="majorHAnsi"/>
          <w:lang w:val="ro-RO"/>
        </w:rPr>
        <w:footnoteReference w:id="48"/>
      </w:r>
      <w:r w:rsidR="00195F3C" w:rsidRPr="00BB3C6C">
        <w:rPr>
          <w:rFonts w:asciiTheme="majorHAnsi" w:hAnsiTheme="majorHAnsi" w:cstheme="majorHAnsi"/>
          <w:lang w:val="ro-RO"/>
        </w:rPr>
        <w:t xml:space="preserve"> persoanelor responsabile de </w:t>
      </w:r>
      <w:r w:rsidR="00BB3C6C" w:rsidRPr="00BB3C6C">
        <w:rPr>
          <w:rFonts w:asciiTheme="majorHAnsi" w:hAnsiTheme="majorHAnsi" w:cstheme="majorHAnsi"/>
          <w:lang w:val="ro-RO"/>
        </w:rPr>
        <w:t>a introduce datele</w:t>
      </w:r>
      <w:r w:rsidR="00195F3C" w:rsidRPr="00BB3C6C">
        <w:rPr>
          <w:rFonts w:asciiTheme="majorHAnsi" w:hAnsiTheme="majorHAnsi" w:cstheme="majorHAnsi"/>
          <w:lang w:val="ro-RO"/>
        </w:rPr>
        <w:t xml:space="preserve"> </w:t>
      </w:r>
      <w:r w:rsidR="00BB3C6C">
        <w:rPr>
          <w:rFonts w:asciiTheme="majorHAnsi" w:hAnsiTheme="majorHAnsi" w:cstheme="majorHAnsi"/>
          <w:lang w:val="ro-RO"/>
        </w:rPr>
        <w:t>în termen</w:t>
      </w:r>
      <w:r w:rsidR="00BB3C6C" w:rsidRPr="00BB3C6C">
        <w:rPr>
          <w:rFonts w:asciiTheme="majorHAnsi" w:hAnsiTheme="majorHAnsi" w:cstheme="majorHAnsi"/>
          <w:lang w:val="ro-RO"/>
        </w:rPr>
        <w:t xml:space="preserve">, </w:t>
      </w:r>
      <w:r w:rsidR="00BB3C6C">
        <w:rPr>
          <w:rFonts w:asciiTheme="majorHAnsi" w:hAnsiTheme="majorHAnsi" w:cstheme="majorHAnsi"/>
          <w:lang w:val="ro-RO"/>
        </w:rPr>
        <w:t xml:space="preserve">iar </w:t>
      </w:r>
      <w:r w:rsidR="00BB3C6C" w:rsidRPr="00BB3C6C">
        <w:rPr>
          <w:rFonts w:asciiTheme="majorHAnsi" w:hAnsiTheme="majorHAnsi" w:cstheme="majorHAnsi"/>
          <w:lang w:val="ro-RO"/>
        </w:rPr>
        <w:t>cele constatate de au</w:t>
      </w:r>
      <w:r w:rsidR="00BB3C6C" w:rsidRPr="00BB3C6C">
        <w:rPr>
          <w:rFonts w:asciiTheme="majorHAnsi" w:eastAsiaTheme="minorHAnsi" w:hAnsiTheme="majorHAnsi" w:cstheme="majorHAnsi"/>
          <w:lang w:val="ro-RO"/>
        </w:rPr>
        <w:t xml:space="preserve">dit </w:t>
      </w:r>
      <w:r w:rsidR="00BB3C6C">
        <w:rPr>
          <w:rFonts w:asciiTheme="majorHAnsi" w:eastAsiaTheme="minorHAnsi" w:hAnsiTheme="majorHAnsi" w:cstheme="majorHAnsi"/>
          <w:lang w:val="ro-RO"/>
        </w:rPr>
        <w:t>denotă lipsa de responsabilitate din partea IMSP de a-și realiza atribuțiile în termen</w:t>
      </w:r>
      <w:r w:rsidR="00A4751A">
        <w:rPr>
          <w:rFonts w:asciiTheme="majorHAnsi" w:eastAsiaTheme="minorHAnsi" w:hAnsiTheme="majorHAnsi" w:cstheme="majorHAnsi"/>
          <w:lang w:val="ro-RO"/>
        </w:rPr>
        <w:t>ele</w:t>
      </w:r>
      <w:r w:rsidR="00BB3C6C">
        <w:rPr>
          <w:rFonts w:asciiTheme="majorHAnsi" w:eastAsiaTheme="minorHAnsi" w:hAnsiTheme="majorHAnsi" w:cstheme="majorHAnsi"/>
          <w:lang w:val="ro-RO"/>
        </w:rPr>
        <w:t xml:space="preserve"> prevăzu</w:t>
      </w:r>
      <w:r w:rsidR="00A4751A">
        <w:rPr>
          <w:rFonts w:asciiTheme="majorHAnsi" w:eastAsiaTheme="minorHAnsi" w:hAnsiTheme="majorHAnsi" w:cstheme="majorHAnsi"/>
          <w:lang w:val="ro-RO"/>
        </w:rPr>
        <w:t>te</w:t>
      </w:r>
      <w:r w:rsidR="00BB3C6C" w:rsidRPr="00BB3C6C">
        <w:rPr>
          <w:rStyle w:val="FootnoteReference"/>
          <w:rFonts w:asciiTheme="majorHAnsi" w:hAnsiTheme="majorHAnsi" w:cstheme="majorHAnsi"/>
          <w:lang w:val="ro-RO"/>
        </w:rPr>
        <w:footnoteReference w:id="49"/>
      </w:r>
      <w:r w:rsidR="00BB3C6C">
        <w:rPr>
          <w:rFonts w:asciiTheme="majorHAnsi" w:eastAsiaTheme="minorHAnsi" w:hAnsiTheme="majorHAnsi" w:cstheme="majorHAnsi"/>
          <w:lang w:val="ro-RO"/>
        </w:rPr>
        <w:t>.</w:t>
      </w:r>
    </w:p>
    <w:p w14:paraId="0322109A" w14:textId="400651F4" w:rsidR="00394407" w:rsidRDefault="00394407" w:rsidP="008F18E6">
      <w:pPr>
        <w:pStyle w:val="NormalWeb"/>
        <w:spacing w:after="240" w:line="276" w:lineRule="auto"/>
        <w:ind w:firstLine="0"/>
        <w:rPr>
          <w:rFonts w:asciiTheme="majorHAnsi" w:eastAsiaTheme="minorHAnsi" w:hAnsiTheme="majorHAnsi" w:cstheme="majorHAnsi"/>
          <w:lang w:val="ro-RO"/>
        </w:rPr>
      </w:pPr>
      <w:r>
        <w:rPr>
          <w:rFonts w:asciiTheme="majorHAnsi" w:eastAsiaTheme="minorHAnsi" w:hAnsiTheme="majorHAnsi" w:cstheme="majorHAnsi"/>
          <w:lang w:val="ro-RO"/>
        </w:rPr>
        <w:t xml:space="preserve">Aceste circumstanțe au condus la stabilirea tardivă a indemnizațiilor care, fiind transmise spre plată prin intermediul ÎS „Poșta Moldovei”, în anul 2020, nu a fost ridicată suma de 37,8 mii lei de către 13 beneficiari. </w:t>
      </w:r>
      <w:r w:rsidR="00BB3C6C">
        <w:rPr>
          <w:rFonts w:asciiTheme="majorHAnsi" w:eastAsiaTheme="minorHAnsi" w:hAnsiTheme="majorHAnsi" w:cstheme="majorHAnsi"/>
          <w:lang w:val="ro-RO"/>
        </w:rPr>
        <w:t>Odată cu implementarea</w:t>
      </w:r>
      <w:r>
        <w:rPr>
          <w:rFonts w:asciiTheme="majorHAnsi" w:eastAsiaTheme="minorHAnsi" w:hAnsiTheme="majorHAnsi" w:cstheme="majorHAnsi"/>
          <w:lang w:val="ro-RO"/>
        </w:rPr>
        <w:t xml:space="preserve"> noii platforme MPay</w:t>
      </w:r>
      <w:r w:rsidR="00BB3C6C">
        <w:rPr>
          <w:rFonts w:asciiTheme="majorHAnsi" w:eastAsiaTheme="minorHAnsi" w:hAnsiTheme="majorHAnsi" w:cstheme="majorHAnsi"/>
          <w:lang w:val="ro-RO"/>
        </w:rPr>
        <w:t>,</w:t>
      </w:r>
      <w:r>
        <w:rPr>
          <w:rFonts w:asciiTheme="majorHAnsi" w:eastAsiaTheme="minorHAnsi" w:hAnsiTheme="majorHAnsi" w:cstheme="majorHAnsi"/>
          <w:lang w:val="ro-RO"/>
        </w:rPr>
        <w:t xml:space="preserve"> lansate în anul 2021, suma de 20,2 mii lei a ajuns </w:t>
      </w:r>
      <w:r w:rsidR="00EA1E02">
        <w:rPr>
          <w:rFonts w:asciiTheme="majorHAnsi" w:eastAsiaTheme="minorHAnsi" w:hAnsiTheme="majorHAnsi" w:cstheme="majorHAnsi"/>
          <w:lang w:val="ro-RO"/>
        </w:rPr>
        <w:t>în</w:t>
      </w:r>
      <w:r>
        <w:rPr>
          <w:rFonts w:asciiTheme="majorHAnsi" w:eastAsiaTheme="minorHAnsi" w:hAnsiTheme="majorHAnsi" w:cstheme="majorHAnsi"/>
          <w:lang w:val="ro-RO"/>
        </w:rPr>
        <w:t xml:space="preserve"> conturile a 7 benefi</w:t>
      </w:r>
      <w:r w:rsidR="00216726">
        <w:rPr>
          <w:rFonts w:asciiTheme="majorHAnsi" w:eastAsiaTheme="minorHAnsi" w:hAnsiTheme="majorHAnsi" w:cstheme="majorHAnsi"/>
          <w:lang w:val="ro-RO"/>
        </w:rPr>
        <w:t>ci</w:t>
      </w:r>
      <w:r>
        <w:rPr>
          <w:rFonts w:asciiTheme="majorHAnsi" w:eastAsiaTheme="minorHAnsi" w:hAnsiTheme="majorHAnsi" w:cstheme="majorHAnsi"/>
          <w:lang w:val="ro-RO"/>
        </w:rPr>
        <w:t>ari.</w:t>
      </w:r>
    </w:p>
    <w:p w14:paraId="4CE3A4AF" w14:textId="67812135" w:rsidR="00394407" w:rsidRPr="00341E6C" w:rsidRDefault="00394407" w:rsidP="00394407">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Se menționează că</w:t>
      </w:r>
      <w:r w:rsidR="00EA1E02">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potrivit prevederilor deciziei Comisiei pentru Situații Excepționale</w:t>
      </w:r>
      <w:r w:rsidRPr="00341E6C">
        <w:rPr>
          <w:rStyle w:val="FootnoteReference"/>
          <w:rFonts w:cstheme="majorHAnsi"/>
          <w:sz w:val="24"/>
          <w:szCs w:val="24"/>
          <w:lang w:val="ro-RO"/>
        </w:rPr>
        <w:footnoteReference w:id="50"/>
      </w:r>
      <w:r w:rsidRPr="00341E6C">
        <w:rPr>
          <w:rFonts w:asciiTheme="majorHAnsi" w:hAnsiTheme="majorHAnsi" w:cstheme="majorHAnsi"/>
          <w:sz w:val="24"/>
          <w:szCs w:val="24"/>
          <w:lang w:val="ro-RO"/>
        </w:rPr>
        <w:t xml:space="preserve"> din 01 aprilie 2020, CNAS</w:t>
      </w:r>
      <w:r w:rsidR="00EA1E02">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 baza informației prezentate de instituțiile bancare, urma să asigure transferul prestațiilor sociale la conturile bancare de salariu ale beneficiarilor. Astfel, situațiile constatate de audit atestă că </w:t>
      </w:r>
      <w:r>
        <w:rPr>
          <w:rFonts w:asciiTheme="majorHAnsi" w:hAnsiTheme="majorHAnsi" w:cstheme="majorHAnsi"/>
          <w:sz w:val="24"/>
          <w:szCs w:val="24"/>
          <w:lang w:val="ro-RO"/>
        </w:rPr>
        <w:t>instituțiile bancare nu au furnizat informația privind beneficiarii de conturi de salariu, fapt ce a împiedicat CNAS să transfere indemnizațiile tuturor beneficiarilor de conturi de salariul</w:t>
      </w:r>
      <w:r w:rsidRPr="00341E6C">
        <w:rPr>
          <w:rFonts w:asciiTheme="majorHAnsi" w:hAnsiTheme="majorHAnsi" w:cstheme="majorHAnsi"/>
          <w:sz w:val="24"/>
          <w:szCs w:val="24"/>
          <w:lang w:val="ro-RO"/>
        </w:rPr>
        <w:t>.</w:t>
      </w:r>
    </w:p>
    <w:p w14:paraId="5431A504" w14:textId="55236157" w:rsidR="00394407" w:rsidRPr="00341E6C" w:rsidRDefault="00394407" w:rsidP="00394407">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Reieșind din i</w:t>
      </w:r>
      <w:r w:rsidR="001C099E">
        <w:rPr>
          <w:rFonts w:asciiTheme="majorHAnsi" w:hAnsiTheme="majorHAnsi" w:cstheme="majorHAnsi"/>
          <w:sz w:val="24"/>
          <w:szCs w:val="24"/>
          <w:lang w:val="ro-RO"/>
        </w:rPr>
        <w:t>nteresul sporit al beneficiarilor de aceste</w:t>
      </w:r>
      <w:r w:rsidRPr="00341E6C">
        <w:rPr>
          <w:rFonts w:asciiTheme="majorHAnsi" w:hAnsiTheme="majorHAnsi" w:cstheme="majorHAnsi"/>
          <w:sz w:val="24"/>
          <w:szCs w:val="24"/>
          <w:lang w:val="ro-RO"/>
        </w:rPr>
        <w:t xml:space="preserve"> prestații (în condițiile în care aceasta este unica sursă de venit pentru beneficiari atunci când se află în incapacitate temporar</w:t>
      </w:r>
      <w:r w:rsidR="00BE798D">
        <w:rPr>
          <w:rFonts w:asciiTheme="majorHAnsi" w:hAnsiTheme="majorHAnsi" w:cstheme="majorHAnsi"/>
          <w:sz w:val="24"/>
          <w:szCs w:val="24"/>
          <w:lang w:val="ro-RO"/>
        </w:rPr>
        <w:t>ă</w:t>
      </w:r>
      <w:r w:rsidRPr="00341E6C">
        <w:rPr>
          <w:rFonts w:asciiTheme="majorHAnsi" w:hAnsiTheme="majorHAnsi" w:cstheme="majorHAnsi"/>
          <w:sz w:val="24"/>
          <w:szCs w:val="24"/>
          <w:lang w:val="ro-RO"/>
        </w:rPr>
        <w:t xml:space="preserve"> de muncă)</w:t>
      </w:r>
      <w:r w:rsidR="00EA1E02">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transmiterea datelor din certificatele concediului de boală, precum și </w:t>
      </w:r>
      <w:r w:rsidRPr="00341E6C">
        <w:rPr>
          <w:rFonts w:asciiTheme="majorHAnsi" w:hAnsiTheme="majorHAnsi" w:cstheme="majorHAnsi"/>
          <w:sz w:val="24"/>
          <w:szCs w:val="24"/>
          <w:lang w:val="ro-RO"/>
        </w:rPr>
        <w:t xml:space="preserve">stabilirea în termen </w:t>
      </w:r>
      <w:r>
        <w:rPr>
          <w:rFonts w:asciiTheme="majorHAnsi" w:hAnsiTheme="majorHAnsi" w:cstheme="majorHAnsi"/>
          <w:sz w:val="24"/>
          <w:szCs w:val="24"/>
          <w:lang w:val="ro-RO"/>
        </w:rPr>
        <w:t xml:space="preserve">a indemnizației </w:t>
      </w:r>
      <w:r w:rsidRPr="00341E6C">
        <w:rPr>
          <w:rFonts w:asciiTheme="majorHAnsi" w:hAnsiTheme="majorHAnsi" w:cstheme="majorHAnsi"/>
          <w:sz w:val="24"/>
          <w:szCs w:val="24"/>
          <w:lang w:val="ro-RO"/>
        </w:rPr>
        <w:t>este o necesitate stringentă.</w:t>
      </w:r>
    </w:p>
    <w:p w14:paraId="397FDE0C" w14:textId="1741CFD1" w:rsidR="00394407" w:rsidRDefault="00394407" w:rsidP="00A129B6">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Totodată, la finele anului, pentru această prestație datoriile au însumat mai mult de 36 mil</w:t>
      </w:r>
      <w:r>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lei</w:t>
      </w:r>
      <w:r w:rsidR="00C15C9D">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w:t>
      </w:r>
      <w:r w:rsidR="00EA1E02">
        <w:rPr>
          <w:rFonts w:asciiTheme="majorHAnsi" w:hAnsiTheme="majorHAnsi" w:cstheme="majorHAnsi"/>
          <w:sz w:val="24"/>
          <w:szCs w:val="24"/>
          <w:lang w:val="ro-RO"/>
        </w:rPr>
        <w:t xml:space="preserve">ceea </w:t>
      </w:r>
      <w:r w:rsidRPr="00341E6C">
        <w:rPr>
          <w:rFonts w:asciiTheme="majorHAnsi" w:hAnsiTheme="majorHAnsi" w:cstheme="majorHAnsi"/>
          <w:sz w:val="24"/>
          <w:szCs w:val="24"/>
          <w:lang w:val="ro-RO"/>
        </w:rPr>
        <w:t xml:space="preserve">ce constituie 32,4% din totalul datoriilor pentru prestațiile sociale, acest fapt fiind generat inclusiv de </w:t>
      </w:r>
      <w:r>
        <w:rPr>
          <w:rFonts w:asciiTheme="majorHAnsi" w:hAnsiTheme="majorHAnsi" w:cstheme="majorHAnsi"/>
          <w:sz w:val="24"/>
          <w:szCs w:val="24"/>
          <w:lang w:val="ro-RO"/>
        </w:rPr>
        <w:t xml:space="preserve">transmiterea tardivă de către instituțiile medicale a datelor din certificatele concediului </w:t>
      </w:r>
      <w:r>
        <w:rPr>
          <w:rFonts w:asciiTheme="majorHAnsi" w:hAnsiTheme="majorHAnsi" w:cstheme="majorHAnsi"/>
          <w:sz w:val="24"/>
          <w:szCs w:val="24"/>
          <w:lang w:val="ro-RO"/>
        </w:rPr>
        <w:lastRenderedPageBreak/>
        <w:t xml:space="preserve">medical, </w:t>
      </w:r>
      <w:r w:rsidRPr="00341E6C">
        <w:rPr>
          <w:rFonts w:asciiTheme="majorHAnsi" w:hAnsiTheme="majorHAnsi" w:cstheme="majorHAnsi"/>
          <w:sz w:val="24"/>
          <w:szCs w:val="24"/>
          <w:lang w:val="ro-RO"/>
        </w:rPr>
        <w:t>depășirea termenului de stabilire a indemnizațiilor, transferarea acestora prin intermediul poștei și ulterior neridicarea sumelor de către beneficiari.</w:t>
      </w:r>
    </w:p>
    <w:p w14:paraId="31BEE3C2" w14:textId="199DB3F9" w:rsidR="00EE2251" w:rsidRPr="00EE2251" w:rsidRDefault="003F0815" w:rsidP="00E301D6">
      <w:pPr>
        <w:pStyle w:val="ListParagraph"/>
        <w:numPr>
          <w:ilvl w:val="1"/>
          <w:numId w:val="23"/>
        </w:numPr>
        <w:tabs>
          <w:tab w:val="left" w:pos="851"/>
        </w:tabs>
        <w:spacing w:after="0" w:line="276" w:lineRule="auto"/>
        <w:ind w:left="0" w:firstLine="0"/>
        <w:jc w:val="both"/>
        <w:outlineLvl w:val="1"/>
        <w:rPr>
          <w:rFonts w:asciiTheme="majorHAnsi" w:hAnsiTheme="majorHAnsi" w:cstheme="majorHAnsi"/>
          <w:sz w:val="24"/>
          <w:szCs w:val="24"/>
          <w:lang w:val="ro-RO"/>
        </w:rPr>
      </w:pPr>
      <w:r w:rsidRPr="00EE2251">
        <w:rPr>
          <w:rFonts w:asciiTheme="majorHAnsi" w:hAnsiTheme="majorHAnsi" w:cstheme="majorHAnsi"/>
          <w:b/>
          <w:sz w:val="24"/>
          <w:szCs w:val="24"/>
          <w:lang w:val="ro-RO"/>
        </w:rPr>
        <w:t xml:space="preserve">Depășirea </w:t>
      </w:r>
      <w:r w:rsidR="001408E1">
        <w:rPr>
          <w:rFonts w:asciiTheme="majorHAnsi" w:hAnsiTheme="majorHAnsi" w:cstheme="majorHAnsi"/>
          <w:b/>
          <w:sz w:val="24"/>
          <w:szCs w:val="24"/>
          <w:lang w:val="ro-RO"/>
        </w:rPr>
        <w:t xml:space="preserve">de </w:t>
      </w:r>
      <w:r w:rsidR="00EA1E02" w:rsidRPr="00C15C9D">
        <w:rPr>
          <w:rFonts w:asciiTheme="majorHAnsi" w:hAnsiTheme="majorHAnsi" w:cstheme="majorHAnsi"/>
          <w:b/>
          <w:sz w:val="24"/>
          <w:szCs w:val="24"/>
          <w:lang w:val="ro-RO"/>
        </w:rPr>
        <w:t>până la 4 luni</w:t>
      </w:r>
      <w:r w:rsidR="00EA1E02" w:rsidRPr="00EE2251">
        <w:rPr>
          <w:rFonts w:asciiTheme="majorHAnsi" w:hAnsiTheme="majorHAnsi" w:cstheme="majorHAnsi"/>
          <w:b/>
          <w:sz w:val="24"/>
          <w:szCs w:val="24"/>
          <w:lang w:val="ro-RO"/>
        </w:rPr>
        <w:t xml:space="preserve"> </w:t>
      </w:r>
      <w:r w:rsidR="001408E1" w:rsidRPr="00EE2251">
        <w:rPr>
          <w:rFonts w:asciiTheme="majorHAnsi" w:hAnsiTheme="majorHAnsi" w:cstheme="majorHAnsi"/>
          <w:b/>
          <w:sz w:val="24"/>
          <w:szCs w:val="24"/>
          <w:lang w:val="ro-RO"/>
        </w:rPr>
        <w:t xml:space="preserve">de către ANOFM </w:t>
      </w:r>
      <w:r w:rsidR="00EA1E02">
        <w:rPr>
          <w:rFonts w:asciiTheme="majorHAnsi" w:hAnsiTheme="majorHAnsi" w:cstheme="majorHAnsi"/>
          <w:b/>
          <w:sz w:val="24"/>
          <w:szCs w:val="24"/>
          <w:lang w:val="ro-RO"/>
        </w:rPr>
        <w:t xml:space="preserve">a </w:t>
      </w:r>
      <w:r w:rsidRPr="00EE2251">
        <w:rPr>
          <w:rFonts w:asciiTheme="majorHAnsi" w:hAnsiTheme="majorHAnsi" w:cstheme="majorHAnsi"/>
          <w:b/>
          <w:sz w:val="24"/>
          <w:szCs w:val="24"/>
          <w:lang w:val="ro-RO"/>
        </w:rPr>
        <w:t>termenului de acordare</w:t>
      </w:r>
      <w:r w:rsidR="001C099E" w:rsidRPr="00EE2251">
        <w:rPr>
          <w:rFonts w:asciiTheme="majorHAnsi" w:hAnsiTheme="majorHAnsi" w:cstheme="majorHAnsi"/>
          <w:b/>
          <w:sz w:val="24"/>
          <w:szCs w:val="24"/>
          <w:lang w:val="ro-RO"/>
        </w:rPr>
        <w:t xml:space="preserve"> </w:t>
      </w:r>
      <w:r w:rsidR="001F3F23" w:rsidRPr="00EE2251">
        <w:rPr>
          <w:rFonts w:asciiTheme="majorHAnsi" w:hAnsiTheme="majorHAnsi" w:cstheme="majorHAnsi"/>
          <w:b/>
          <w:sz w:val="24"/>
          <w:szCs w:val="24"/>
          <w:lang w:val="ro-RO"/>
        </w:rPr>
        <w:t xml:space="preserve">a dreptului la </w:t>
      </w:r>
      <w:r w:rsidRPr="00EE2251">
        <w:rPr>
          <w:rFonts w:asciiTheme="majorHAnsi" w:hAnsiTheme="majorHAnsi" w:cstheme="majorHAnsi"/>
          <w:b/>
          <w:sz w:val="24"/>
          <w:szCs w:val="24"/>
          <w:lang w:val="ro-RO"/>
        </w:rPr>
        <w:t>ajuto</w:t>
      </w:r>
      <w:r w:rsidR="0025537D" w:rsidRPr="00EE2251">
        <w:rPr>
          <w:rFonts w:asciiTheme="majorHAnsi" w:hAnsiTheme="majorHAnsi" w:cstheme="majorHAnsi"/>
          <w:b/>
          <w:sz w:val="24"/>
          <w:szCs w:val="24"/>
          <w:lang w:val="ro-RO"/>
        </w:rPr>
        <w:t>rul de șomaj pentru persoanele asigurate</w:t>
      </w:r>
      <w:r w:rsidRPr="00EE2251">
        <w:rPr>
          <w:rFonts w:asciiTheme="majorHAnsi" w:hAnsiTheme="majorHAnsi" w:cstheme="majorHAnsi"/>
          <w:b/>
          <w:sz w:val="24"/>
          <w:szCs w:val="24"/>
          <w:lang w:val="ro-RO"/>
        </w:rPr>
        <w:t xml:space="preserve"> </w:t>
      </w:r>
      <w:r w:rsidR="001F3F23" w:rsidRPr="00EE2251">
        <w:rPr>
          <w:rFonts w:asciiTheme="majorHAnsi" w:hAnsiTheme="majorHAnsi" w:cstheme="majorHAnsi"/>
          <w:b/>
          <w:sz w:val="24"/>
          <w:szCs w:val="24"/>
          <w:lang w:val="ro-RO"/>
        </w:rPr>
        <w:t xml:space="preserve">și achitarea tardivă de către CNAS, </w:t>
      </w:r>
      <w:r w:rsidRPr="00EE2251">
        <w:rPr>
          <w:rFonts w:asciiTheme="majorHAnsi" w:hAnsiTheme="majorHAnsi" w:cstheme="majorHAnsi"/>
          <w:b/>
          <w:sz w:val="24"/>
          <w:szCs w:val="24"/>
          <w:lang w:val="ro-RO"/>
        </w:rPr>
        <w:t>a</w:t>
      </w:r>
      <w:r w:rsidR="00EA1E02">
        <w:rPr>
          <w:rFonts w:asciiTheme="majorHAnsi" w:hAnsiTheme="majorHAnsi" w:cstheme="majorHAnsi"/>
          <w:b/>
          <w:sz w:val="24"/>
          <w:szCs w:val="24"/>
          <w:lang w:val="ro-RO"/>
        </w:rPr>
        <w:t>u</w:t>
      </w:r>
      <w:r w:rsidRPr="00EE2251">
        <w:rPr>
          <w:rFonts w:asciiTheme="majorHAnsi" w:hAnsiTheme="majorHAnsi" w:cstheme="majorHAnsi"/>
          <w:b/>
          <w:sz w:val="24"/>
          <w:szCs w:val="24"/>
          <w:lang w:val="ro-RO"/>
        </w:rPr>
        <w:t xml:space="preserve"> condus la privarea beneficiarilor de a primi prestațiile în termen, </w:t>
      </w:r>
      <w:r w:rsidR="00EA1E02">
        <w:rPr>
          <w:rFonts w:asciiTheme="majorHAnsi" w:hAnsiTheme="majorHAnsi" w:cstheme="majorHAnsi"/>
          <w:b/>
          <w:sz w:val="24"/>
          <w:szCs w:val="24"/>
          <w:lang w:val="ro-RO"/>
        </w:rPr>
        <w:t xml:space="preserve">fapt ce </w:t>
      </w:r>
      <w:r w:rsidR="00EE2251" w:rsidRPr="00EE2251">
        <w:rPr>
          <w:rFonts w:asciiTheme="majorHAnsi" w:hAnsiTheme="majorHAnsi" w:cstheme="majorHAnsi"/>
          <w:b/>
          <w:sz w:val="24"/>
          <w:szCs w:val="24"/>
          <w:lang w:val="ro-RO"/>
        </w:rPr>
        <w:t>reprezintă un interes sporit pentru aceștia</w:t>
      </w:r>
      <w:r w:rsidR="00EA1E02">
        <w:rPr>
          <w:rFonts w:asciiTheme="majorHAnsi" w:hAnsiTheme="majorHAnsi" w:cstheme="majorHAnsi"/>
          <w:b/>
          <w:sz w:val="24"/>
          <w:szCs w:val="24"/>
          <w:lang w:val="ro-RO"/>
        </w:rPr>
        <w:t>.</w:t>
      </w:r>
    </w:p>
    <w:p w14:paraId="0338E2F5" w14:textId="7C874073" w:rsidR="00FD3410" w:rsidRPr="00EE2251" w:rsidRDefault="00FD3410" w:rsidP="00EE3574">
      <w:pPr>
        <w:pStyle w:val="ListParagraph"/>
        <w:tabs>
          <w:tab w:val="left" w:pos="851"/>
        </w:tabs>
        <w:spacing w:after="0" w:line="276" w:lineRule="auto"/>
        <w:ind w:left="0"/>
        <w:jc w:val="both"/>
        <w:rPr>
          <w:rFonts w:asciiTheme="majorHAnsi" w:hAnsiTheme="majorHAnsi" w:cstheme="majorHAnsi"/>
          <w:sz w:val="24"/>
          <w:szCs w:val="24"/>
          <w:lang w:val="ro-RO"/>
        </w:rPr>
      </w:pPr>
      <w:r w:rsidRPr="00EE2251">
        <w:rPr>
          <w:rFonts w:asciiTheme="majorHAnsi" w:hAnsiTheme="majorHAnsi" w:cstheme="majorHAnsi"/>
          <w:sz w:val="24"/>
          <w:szCs w:val="24"/>
          <w:lang w:val="ro-RO"/>
        </w:rPr>
        <w:t>Dreptul la ajutorul de șomaj se stabilește de către subdiviziunile teritoriale ale Agenției Naționale pentru Ocuparea Forței de Muncă</w:t>
      </w:r>
      <w:r w:rsidRPr="00341E6C">
        <w:rPr>
          <w:rStyle w:val="FootnoteReference"/>
          <w:rFonts w:cstheme="majorHAnsi"/>
          <w:sz w:val="24"/>
          <w:szCs w:val="24"/>
          <w:lang w:val="ro-RO"/>
        </w:rPr>
        <w:footnoteReference w:id="51"/>
      </w:r>
      <w:r w:rsidRPr="00EE2251">
        <w:rPr>
          <w:rFonts w:asciiTheme="majorHAnsi" w:hAnsiTheme="majorHAnsi" w:cstheme="majorHAnsi"/>
          <w:sz w:val="24"/>
          <w:szCs w:val="24"/>
          <w:lang w:val="ro-RO"/>
        </w:rPr>
        <w:t>. Începând cu 1 ianuarie 2019</w:t>
      </w:r>
      <w:r w:rsidRPr="00341E6C">
        <w:rPr>
          <w:rStyle w:val="FootnoteReference"/>
          <w:rFonts w:cstheme="majorHAnsi"/>
          <w:sz w:val="24"/>
          <w:szCs w:val="24"/>
          <w:lang w:val="ro-RO"/>
        </w:rPr>
        <w:footnoteReference w:id="52"/>
      </w:r>
      <w:r w:rsidRPr="00EE2251">
        <w:rPr>
          <w:rFonts w:asciiTheme="majorHAnsi" w:hAnsiTheme="majorHAnsi" w:cstheme="majorHAnsi"/>
          <w:sz w:val="24"/>
          <w:szCs w:val="24"/>
          <w:lang w:val="ro-RO"/>
        </w:rPr>
        <w:t xml:space="preserve">, stabilirea cuantumului și plata lunară a ajutorului de șomaj se realizează de către Casa Națională de Asigurări Sociale. Pe parcursul anului 2019, </w:t>
      </w:r>
      <w:r w:rsidRPr="00EE2251">
        <w:rPr>
          <w:rFonts w:asciiTheme="majorHAnsi" w:eastAsia="Calibri" w:hAnsiTheme="majorHAnsi" w:cstheme="majorHAnsi"/>
          <w:noProof/>
          <w:sz w:val="24"/>
          <w:szCs w:val="24"/>
          <w:lang w:val="ro-RO"/>
        </w:rPr>
        <w:t>Agenția</w:t>
      </w:r>
      <w:r w:rsidR="005F50E7" w:rsidRPr="00EE2251">
        <w:rPr>
          <w:rFonts w:asciiTheme="majorHAnsi" w:eastAsia="Calibri" w:hAnsiTheme="majorHAnsi" w:cstheme="majorHAnsi"/>
          <w:noProof/>
          <w:sz w:val="24"/>
          <w:szCs w:val="24"/>
          <w:lang w:val="ro-RO"/>
        </w:rPr>
        <w:t xml:space="preserve"> Națională </w:t>
      </w:r>
      <w:r w:rsidR="001408E1">
        <w:rPr>
          <w:rFonts w:asciiTheme="majorHAnsi" w:eastAsia="Calibri" w:hAnsiTheme="majorHAnsi" w:cstheme="majorHAnsi"/>
          <w:noProof/>
          <w:sz w:val="24"/>
          <w:szCs w:val="24"/>
          <w:lang w:val="ro-RO"/>
        </w:rPr>
        <w:t>pentru</w:t>
      </w:r>
      <w:r w:rsidR="005F50E7" w:rsidRPr="00EE2251">
        <w:rPr>
          <w:rFonts w:asciiTheme="majorHAnsi" w:eastAsia="Calibri" w:hAnsiTheme="majorHAnsi" w:cstheme="majorHAnsi"/>
          <w:noProof/>
          <w:sz w:val="24"/>
          <w:szCs w:val="24"/>
          <w:lang w:val="ro-RO"/>
        </w:rPr>
        <w:t xml:space="preserve"> Ocuparea Forței</w:t>
      </w:r>
      <w:r w:rsidRPr="00EE2251">
        <w:rPr>
          <w:rFonts w:asciiTheme="majorHAnsi" w:eastAsia="Calibri" w:hAnsiTheme="majorHAnsi" w:cstheme="majorHAnsi"/>
          <w:noProof/>
          <w:sz w:val="24"/>
          <w:szCs w:val="24"/>
          <w:lang w:val="ro-RO"/>
        </w:rPr>
        <w:t xml:space="preserve"> de Muncă</w:t>
      </w:r>
      <w:r w:rsidRPr="00EE2251">
        <w:rPr>
          <w:rFonts w:asciiTheme="majorHAnsi" w:hAnsiTheme="majorHAnsi" w:cstheme="majorHAnsi"/>
          <w:sz w:val="24"/>
          <w:szCs w:val="24"/>
          <w:lang w:val="ro-RO"/>
        </w:rPr>
        <w:t xml:space="preserve"> a emis și </w:t>
      </w:r>
      <w:r w:rsidR="001408E1">
        <w:rPr>
          <w:rFonts w:asciiTheme="majorHAnsi" w:hAnsiTheme="majorHAnsi" w:cstheme="majorHAnsi"/>
          <w:sz w:val="24"/>
          <w:szCs w:val="24"/>
          <w:lang w:val="ro-RO"/>
        </w:rPr>
        <w:t xml:space="preserve">a </w:t>
      </w:r>
      <w:r w:rsidRPr="00EE2251">
        <w:rPr>
          <w:rFonts w:asciiTheme="majorHAnsi" w:hAnsiTheme="majorHAnsi" w:cstheme="majorHAnsi"/>
          <w:sz w:val="24"/>
          <w:szCs w:val="24"/>
          <w:lang w:val="ro-RO"/>
        </w:rPr>
        <w:t>transmis în regim on-line către Casa Națională 2</w:t>
      </w:r>
      <w:r w:rsidR="00C15C9D">
        <w:rPr>
          <w:rFonts w:asciiTheme="majorHAnsi" w:hAnsiTheme="majorHAnsi" w:cstheme="majorHAnsi"/>
          <w:sz w:val="24"/>
          <w:szCs w:val="24"/>
          <w:lang w:val="ro-RO"/>
        </w:rPr>
        <w:t xml:space="preserve"> </w:t>
      </w:r>
      <w:r w:rsidRPr="00EE2251">
        <w:rPr>
          <w:rFonts w:asciiTheme="majorHAnsi" w:hAnsiTheme="majorHAnsi" w:cstheme="majorHAnsi"/>
          <w:sz w:val="24"/>
          <w:szCs w:val="24"/>
          <w:lang w:val="ro-RO"/>
        </w:rPr>
        <w:t>278 decizii de stabile a dreptului la ajutor de șomaj, iar în anul 2020, 7</w:t>
      </w:r>
      <w:r w:rsidR="00C15C9D">
        <w:rPr>
          <w:rFonts w:asciiTheme="majorHAnsi" w:hAnsiTheme="majorHAnsi" w:cstheme="majorHAnsi"/>
          <w:sz w:val="24"/>
          <w:szCs w:val="24"/>
          <w:lang w:val="ro-RO"/>
        </w:rPr>
        <w:t xml:space="preserve"> </w:t>
      </w:r>
      <w:r w:rsidRPr="00EE2251">
        <w:rPr>
          <w:rFonts w:asciiTheme="majorHAnsi" w:hAnsiTheme="majorHAnsi" w:cstheme="majorHAnsi"/>
          <w:sz w:val="24"/>
          <w:szCs w:val="24"/>
          <w:lang w:val="ro-RO"/>
        </w:rPr>
        <w:t>213 decizii</w:t>
      </w:r>
      <w:r w:rsidR="001408E1">
        <w:rPr>
          <w:rFonts w:asciiTheme="majorHAnsi" w:hAnsiTheme="majorHAnsi" w:cstheme="majorHAnsi"/>
          <w:sz w:val="24"/>
          <w:szCs w:val="24"/>
          <w:lang w:val="ro-RO"/>
        </w:rPr>
        <w:t>,</w:t>
      </w:r>
      <w:r w:rsidRPr="00EE2251">
        <w:rPr>
          <w:rFonts w:asciiTheme="majorHAnsi" w:hAnsiTheme="majorHAnsi" w:cstheme="majorHAnsi"/>
          <w:sz w:val="24"/>
          <w:szCs w:val="24"/>
          <w:lang w:val="ro-RO"/>
        </w:rPr>
        <w:t xml:space="preserve"> aproximativ de 3 ori mai mult comparativ anului precedent. Astfel, în anul 2020, CNAS a utilizat</w:t>
      </w:r>
      <w:r w:rsidRPr="00EE2251">
        <w:rPr>
          <w:rFonts w:asciiTheme="majorHAnsi" w:eastAsia="Calibri" w:hAnsiTheme="majorHAnsi" w:cstheme="majorHAnsi"/>
          <w:noProof/>
          <w:sz w:val="24"/>
          <w:szCs w:val="24"/>
          <w:lang w:val="ro-RO"/>
        </w:rPr>
        <w:t xml:space="preserve"> </w:t>
      </w:r>
      <w:r w:rsidRPr="00EE2251">
        <w:rPr>
          <w:rFonts w:asciiTheme="majorHAnsi" w:hAnsiTheme="majorHAnsi" w:cstheme="majorHAnsi"/>
          <w:sz w:val="24"/>
          <w:szCs w:val="24"/>
          <w:lang w:val="ro-RO"/>
        </w:rPr>
        <w:t>58</w:t>
      </w:r>
      <w:r w:rsidR="00C15C9D">
        <w:rPr>
          <w:rFonts w:asciiTheme="majorHAnsi" w:hAnsiTheme="majorHAnsi" w:cstheme="majorHAnsi"/>
          <w:sz w:val="24"/>
          <w:szCs w:val="24"/>
          <w:lang w:val="ro-RO"/>
        </w:rPr>
        <w:t xml:space="preserve"> </w:t>
      </w:r>
      <w:r w:rsidRPr="00EE2251">
        <w:rPr>
          <w:rFonts w:asciiTheme="majorHAnsi" w:hAnsiTheme="majorHAnsi" w:cstheme="majorHAnsi"/>
          <w:sz w:val="24"/>
          <w:szCs w:val="24"/>
          <w:lang w:val="ro-RO"/>
        </w:rPr>
        <w:t>666,3 mii lei pentru ajutorul de șomaj.</w:t>
      </w:r>
    </w:p>
    <w:p w14:paraId="73445788" w14:textId="6D5EC583" w:rsidR="00FD3410" w:rsidRPr="00341E6C" w:rsidRDefault="00FD3410" w:rsidP="00E7122D">
      <w:pPr>
        <w:tabs>
          <w:tab w:val="left" w:pos="851"/>
        </w:tabs>
        <w:spacing w:line="276" w:lineRule="auto"/>
        <w:jc w:val="both"/>
        <w:rPr>
          <w:rFonts w:asciiTheme="majorHAnsi" w:hAnsiTheme="majorHAnsi" w:cstheme="majorHAnsi"/>
          <w:sz w:val="24"/>
          <w:szCs w:val="24"/>
          <w:highlight w:val="yellow"/>
          <w:lang w:val="ro-RO"/>
        </w:rPr>
      </w:pPr>
      <w:r w:rsidRPr="00341E6C">
        <w:rPr>
          <w:rFonts w:asciiTheme="majorHAnsi" w:hAnsiTheme="majorHAnsi" w:cstheme="majorHAnsi"/>
          <w:sz w:val="24"/>
          <w:szCs w:val="24"/>
          <w:lang w:val="ro-RO"/>
        </w:rPr>
        <w:t>Cu privire la exactitatea stabilirii ajutorului de șomaj, auditorul denotă că</w:t>
      </w:r>
      <w:r w:rsidR="00B17E9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 cazul a 60 de dosare verificate, cuantumul a fost calculat exact, fiind respectate condițiile prevăzute de legislație. Totodată, nerespectarea termenului de acordare a </w:t>
      </w:r>
      <w:r w:rsidR="00970FA9">
        <w:rPr>
          <w:rFonts w:asciiTheme="majorHAnsi" w:hAnsiTheme="majorHAnsi" w:cstheme="majorHAnsi"/>
          <w:sz w:val="24"/>
          <w:szCs w:val="24"/>
          <w:lang w:val="ro-RO"/>
        </w:rPr>
        <w:t>dreptului la ajutor</w:t>
      </w:r>
      <w:r w:rsidRPr="00341E6C">
        <w:rPr>
          <w:rFonts w:asciiTheme="majorHAnsi" w:hAnsiTheme="majorHAnsi" w:cstheme="majorHAnsi"/>
          <w:sz w:val="24"/>
          <w:szCs w:val="24"/>
          <w:lang w:val="ro-RO"/>
        </w:rPr>
        <w:t xml:space="preserve"> de șomaj</w:t>
      </w:r>
      <w:r w:rsidR="00EA6731">
        <w:rPr>
          <w:rFonts w:asciiTheme="majorHAnsi" w:hAnsiTheme="majorHAnsi" w:cstheme="majorHAnsi"/>
          <w:sz w:val="24"/>
          <w:szCs w:val="24"/>
          <w:lang w:val="ro-RO"/>
        </w:rPr>
        <w:t xml:space="preserve"> de către ANOFM</w:t>
      </w:r>
      <w:r w:rsidRPr="00341E6C">
        <w:rPr>
          <w:rFonts w:asciiTheme="majorHAnsi" w:hAnsiTheme="majorHAnsi" w:cstheme="majorHAnsi"/>
          <w:sz w:val="24"/>
          <w:szCs w:val="24"/>
          <w:lang w:val="ro-RO"/>
        </w:rPr>
        <w:t xml:space="preserve"> a privat 13% din beneficiari de a obține dreptul la prestație în sumă de 5,5 mii lei din ziua în care aceștia întruneau toate condițiile. Unele deficiențe au constat</w:t>
      </w:r>
      <w:r w:rsidR="006B104F">
        <w:rPr>
          <w:rFonts w:asciiTheme="majorHAnsi" w:hAnsiTheme="majorHAnsi" w:cstheme="majorHAnsi"/>
          <w:sz w:val="24"/>
          <w:szCs w:val="24"/>
          <w:lang w:val="ro-RO"/>
        </w:rPr>
        <w:t xml:space="preserve"> </w:t>
      </w:r>
      <w:r w:rsidR="00B17E98">
        <w:rPr>
          <w:rFonts w:asciiTheme="majorHAnsi" w:hAnsiTheme="majorHAnsi" w:cstheme="majorHAnsi"/>
          <w:sz w:val="24"/>
          <w:szCs w:val="24"/>
          <w:lang w:val="ro-RO"/>
        </w:rPr>
        <w:t xml:space="preserve">în </w:t>
      </w:r>
      <w:r w:rsidR="006B104F" w:rsidRPr="00341E6C">
        <w:rPr>
          <w:rFonts w:asciiTheme="majorHAnsi" w:hAnsiTheme="majorHAnsi" w:cstheme="majorHAnsi"/>
          <w:sz w:val="24"/>
          <w:szCs w:val="24"/>
          <w:lang w:val="ro-RO"/>
        </w:rPr>
        <w:t>suspend</w:t>
      </w:r>
      <w:r w:rsidR="006B104F">
        <w:rPr>
          <w:rFonts w:asciiTheme="majorHAnsi" w:hAnsiTheme="majorHAnsi" w:cstheme="majorHAnsi"/>
          <w:sz w:val="24"/>
          <w:szCs w:val="24"/>
          <w:lang w:val="ro-RO"/>
        </w:rPr>
        <w:t>a</w:t>
      </w:r>
      <w:r w:rsidR="00B17E98">
        <w:rPr>
          <w:rFonts w:asciiTheme="majorHAnsi" w:hAnsiTheme="majorHAnsi" w:cstheme="majorHAnsi"/>
          <w:sz w:val="24"/>
          <w:szCs w:val="24"/>
          <w:lang w:val="ro-RO"/>
        </w:rPr>
        <w:t>rea</w:t>
      </w:r>
      <w:r w:rsidR="006B104F" w:rsidRPr="00341E6C">
        <w:rPr>
          <w:rFonts w:asciiTheme="majorHAnsi" w:hAnsiTheme="majorHAnsi" w:cstheme="majorHAnsi"/>
          <w:sz w:val="24"/>
          <w:szCs w:val="24"/>
          <w:lang w:val="ro-RO"/>
        </w:rPr>
        <w:t xml:space="preserve"> sum</w:t>
      </w:r>
      <w:r w:rsidR="00B17E98">
        <w:rPr>
          <w:rFonts w:asciiTheme="majorHAnsi" w:hAnsiTheme="majorHAnsi" w:cstheme="majorHAnsi"/>
          <w:sz w:val="24"/>
          <w:szCs w:val="24"/>
          <w:lang w:val="ro-RO"/>
        </w:rPr>
        <w:t>ei</w:t>
      </w:r>
      <w:r w:rsidR="006B104F">
        <w:rPr>
          <w:rFonts w:asciiTheme="majorHAnsi" w:hAnsiTheme="majorHAnsi" w:cstheme="majorHAnsi"/>
          <w:sz w:val="24"/>
          <w:szCs w:val="24"/>
          <w:lang w:val="ro-RO"/>
        </w:rPr>
        <w:t xml:space="preserve"> de 3,1 mii lei</w:t>
      </w:r>
      <w:r w:rsidR="00B17E98">
        <w:rPr>
          <w:rFonts w:asciiTheme="majorHAnsi" w:hAnsiTheme="majorHAnsi" w:cstheme="majorHAnsi"/>
          <w:sz w:val="24"/>
          <w:szCs w:val="24"/>
          <w:lang w:val="ro-RO"/>
        </w:rPr>
        <w:t>,</w:t>
      </w:r>
      <w:r w:rsidR="006B104F">
        <w:rPr>
          <w:rFonts w:asciiTheme="majorHAnsi" w:hAnsiTheme="majorHAnsi" w:cstheme="majorHAnsi"/>
          <w:sz w:val="24"/>
          <w:szCs w:val="24"/>
          <w:lang w:val="ro-RO"/>
        </w:rPr>
        <w:t xml:space="preserve"> </w:t>
      </w:r>
      <w:r w:rsidR="007D79FE">
        <w:rPr>
          <w:rFonts w:asciiTheme="majorHAnsi" w:hAnsiTheme="majorHAnsi" w:cstheme="majorHAnsi"/>
          <w:sz w:val="24"/>
          <w:szCs w:val="24"/>
          <w:lang w:val="ro-RO"/>
        </w:rPr>
        <w:t xml:space="preserve">în </w:t>
      </w:r>
      <w:r w:rsidR="007D79FE" w:rsidRPr="00341E6C">
        <w:rPr>
          <w:rFonts w:asciiTheme="majorHAnsi" w:hAnsiTheme="majorHAnsi" w:cstheme="majorHAnsi"/>
          <w:sz w:val="24"/>
          <w:szCs w:val="24"/>
          <w:lang w:val="ro-RO"/>
        </w:rPr>
        <w:t>lipsa actelor confirmative anexate la dosar</w:t>
      </w:r>
      <w:r w:rsidR="006B104F">
        <w:rPr>
          <w:rFonts w:asciiTheme="majorHAnsi" w:hAnsiTheme="majorHAnsi" w:cstheme="majorHAnsi"/>
          <w:sz w:val="24"/>
          <w:szCs w:val="24"/>
          <w:lang w:val="ro-RO"/>
        </w:rPr>
        <w:t>.</w:t>
      </w:r>
    </w:p>
    <w:p w14:paraId="46876A47" w14:textId="507ACF56" w:rsidR="003F0815" w:rsidRPr="00341E6C" w:rsidRDefault="003F0815" w:rsidP="003D3301">
      <w:pPr>
        <w:tabs>
          <w:tab w:val="left" w:pos="851"/>
        </w:tabs>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Cu referire la evidența plăților ajutorului de șomaj, se remarcă că achitările sunt efectuate conform listelor de plată în mărimea exactă stabilită în decizie. De menționat că</w:t>
      </w:r>
      <w:r w:rsidR="00B17E9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 4% din tranzacțiile verificate în sumă de 12</w:t>
      </w:r>
      <w:r w:rsidR="00EE2251">
        <w:rPr>
          <w:rFonts w:asciiTheme="majorHAnsi" w:hAnsiTheme="majorHAnsi" w:cstheme="majorHAnsi"/>
          <w:sz w:val="24"/>
          <w:szCs w:val="24"/>
          <w:lang w:val="ro-RO"/>
        </w:rPr>
        <w:t>,0</w:t>
      </w:r>
      <w:r w:rsidRPr="00341E6C">
        <w:rPr>
          <w:rFonts w:asciiTheme="majorHAnsi" w:hAnsiTheme="majorHAnsi" w:cstheme="majorHAnsi"/>
          <w:sz w:val="24"/>
          <w:szCs w:val="24"/>
          <w:lang w:val="ro-RO"/>
        </w:rPr>
        <w:t xml:space="preserve"> mii lei, mijloacele financiare au fost transferate beneficiarilor cu o întârziere de la o lună până la 4 luni. </w:t>
      </w:r>
      <w:r w:rsidRPr="00F249D0">
        <w:rPr>
          <w:rFonts w:asciiTheme="majorHAnsi" w:hAnsiTheme="majorHAnsi" w:cstheme="majorHAnsi"/>
          <w:sz w:val="24"/>
          <w:szCs w:val="24"/>
          <w:lang w:val="ro-RO"/>
        </w:rPr>
        <w:t>Această situație din punct de vedere financia</w:t>
      </w:r>
      <w:r w:rsidR="005F50E7">
        <w:rPr>
          <w:rFonts w:asciiTheme="majorHAnsi" w:hAnsiTheme="majorHAnsi" w:cstheme="majorHAnsi"/>
          <w:sz w:val="24"/>
          <w:szCs w:val="24"/>
          <w:lang w:val="ro-RO"/>
        </w:rPr>
        <w:t>r denaturează reflectarea sumelor</w:t>
      </w:r>
      <w:r w:rsidRPr="00F249D0">
        <w:rPr>
          <w:rFonts w:asciiTheme="majorHAnsi" w:hAnsiTheme="majorHAnsi" w:cstheme="majorHAnsi"/>
          <w:sz w:val="24"/>
          <w:szCs w:val="24"/>
          <w:lang w:val="ro-RO"/>
        </w:rPr>
        <w:t xml:space="preserve"> achitate în perioadele necorespunzătoare, iar din punct de vedere social, beneficiarul șomer, neavând alte surse de venit, este privat de dreptul de a primi ajutorul de șomaj în perioada cuvenită.</w:t>
      </w:r>
      <w:r w:rsidRPr="00341E6C">
        <w:rPr>
          <w:rFonts w:asciiTheme="majorHAnsi" w:hAnsiTheme="majorHAnsi" w:cstheme="majorHAnsi"/>
          <w:sz w:val="24"/>
          <w:szCs w:val="24"/>
          <w:lang w:val="ro-RO"/>
        </w:rPr>
        <w:t xml:space="preserve"> </w:t>
      </w:r>
    </w:p>
    <w:p w14:paraId="721B17E2" w14:textId="6DEE1D19" w:rsidR="00482A27" w:rsidRPr="008D0C8A" w:rsidRDefault="000A5439" w:rsidP="005C0729">
      <w:pPr>
        <w:pStyle w:val="ListParagraph"/>
        <w:numPr>
          <w:ilvl w:val="1"/>
          <w:numId w:val="23"/>
        </w:numPr>
        <w:spacing w:after="0" w:line="276" w:lineRule="auto"/>
        <w:ind w:left="0" w:firstLine="0"/>
        <w:jc w:val="both"/>
        <w:outlineLvl w:val="1"/>
        <w:rPr>
          <w:rFonts w:asciiTheme="majorHAnsi" w:eastAsia="Calibri" w:hAnsiTheme="majorHAnsi" w:cstheme="majorHAnsi"/>
          <w:b/>
          <w:strike/>
          <w:noProof/>
          <w:sz w:val="24"/>
          <w:szCs w:val="24"/>
          <w:lang w:val="ro-RO"/>
        </w:rPr>
      </w:pPr>
      <w:r w:rsidRPr="00341E6C">
        <w:rPr>
          <w:rFonts w:asciiTheme="majorHAnsi" w:eastAsia="Calibri" w:hAnsiTheme="majorHAnsi" w:cstheme="majorHAnsi"/>
          <w:b/>
          <w:noProof/>
          <w:sz w:val="24"/>
          <w:szCs w:val="24"/>
          <w:lang w:val="ro-RO"/>
        </w:rPr>
        <w:t>I</w:t>
      </w:r>
      <w:r w:rsidR="00482A27" w:rsidRPr="00341E6C">
        <w:rPr>
          <w:rFonts w:asciiTheme="majorHAnsi" w:eastAsia="Calibri" w:hAnsiTheme="majorHAnsi" w:cstheme="majorHAnsi"/>
          <w:b/>
          <w:noProof/>
          <w:sz w:val="24"/>
          <w:szCs w:val="24"/>
          <w:lang w:val="ro-RO"/>
        </w:rPr>
        <w:t xml:space="preserve">ndemnizația în cazul decesului unuia dintre soți </w:t>
      </w:r>
      <w:r w:rsidRPr="00341E6C">
        <w:rPr>
          <w:rFonts w:asciiTheme="majorHAnsi" w:eastAsia="Calibri" w:hAnsiTheme="majorHAnsi" w:cstheme="majorHAnsi"/>
          <w:b/>
          <w:noProof/>
          <w:sz w:val="24"/>
          <w:szCs w:val="24"/>
          <w:lang w:val="ro-RO"/>
        </w:rPr>
        <w:t xml:space="preserve">nu a fost stabilită </w:t>
      </w:r>
      <w:r w:rsidR="00BB6181" w:rsidRPr="00341E6C">
        <w:rPr>
          <w:rFonts w:asciiTheme="majorHAnsi" w:eastAsia="Calibri" w:hAnsiTheme="majorHAnsi" w:cstheme="majorHAnsi"/>
          <w:b/>
          <w:noProof/>
          <w:sz w:val="24"/>
          <w:szCs w:val="24"/>
          <w:lang w:val="ro-RO"/>
        </w:rPr>
        <w:t>în termen</w:t>
      </w:r>
      <w:r w:rsidR="00B17E98">
        <w:rPr>
          <w:rFonts w:asciiTheme="majorHAnsi" w:eastAsia="Calibri" w:hAnsiTheme="majorHAnsi" w:cstheme="majorHAnsi"/>
          <w:b/>
          <w:noProof/>
          <w:sz w:val="24"/>
          <w:szCs w:val="24"/>
          <w:lang w:val="ro-RO"/>
        </w:rPr>
        <w:t>ele</w:t>
      </w:r>
      <w:r w:rsidR="00BB6181" w:rsidRPr="00341E6C">
        <w:rPr>
          <w:rFonts w:asciiTheme="majorHAnsi" w:eastAsia="Calibri" w:hAnsiTheme="majorHAnsi" w:cstheme="majorHAnsi"/>
          <w:b/>
          <w:noProof/>
          <w:sz w:val="24"/>
          <w:szCs w:val="24"/>
          <w:lang w:val="ro-RO"/>
        </w:rPr>
        <w:t xml:space="preserve"> prevăzu</w:t>
      </w:r>
      <w:r w:rsidR="00B17E98">
        <w:rPr>
          <w:rFonts w:asciiTheme="majorHAnsi" w:eastAsia="Calibri" w:hAnsiTheme="majorHAnsi" w:cstheme="majorHAnsi"/>
          <w:b/>
          <w:noProof/>
          <w:sz w:val="24"/>
          <w:szCs w:val="24"/>
          <w:lang w:val="ro-RO"/>
        </w:rPr>
        <w:t>te.</w:t>
      </w:r>
      <w:r w:rsidR="00D55E37" w:rsidRPr="00341E6C">
        <w:rPr>
          <w:rFonts w:asciiTheme="majorHAnsi" w:eastAsia="Calibri" w:hAnsiTheme="majorHAnsi" w:cstheme="majorHAnsi"/>
          <w:b/>
          <w:noProof/>
          <w:sz w:val="24"/>
          <w:szCs w:val="24"/>
          <w:lang w:val="ro-RO"/>
        </w:rPr>
        <w:t xml:space="preserve"> </w:t>
      </w:r>
    </w:p>
    <w:p w14:paraId="1470303E" w14:textId="01C2911F" w:rsidR="00482A27" w:rsidRPr="00341E6C" w:rsidRDefault="00482A27" w:rsidP="00E7122D">
      <w:pPr>
        <w:spacing w:line="276" w:lineRule="auto"/>
        <w:jc w:val="both"/>
        <w:rPr>
          <w:rFonts w:asciiTheme="majorHAnsi" w:hAnsiTheme="majorHAnsi" w:cstheme="majorHAnsi"/>
          <w:sz w:val="24"/>
          <w:szCs w:val="24"/>
          <w:shd w:val="clear" w:color="auto" w:fill="FFFFFF"/>
          <w:lang w:val="ro-RO"/>
        </w:rPr>
      </w:pPr>
      <w:r w:rsidRPr="00341E6C">
        <w:rPr>
          <w:rFonts w:asciiTheme="majorHAnsi" w:hAnsiTheme="majorHAnsi" w:cstheme="majorHAnsi"/>
          <w:color w:val="333333"/>
          <w:sz w:val="24"/>
          <w:szCs w:val="24"/>
          <w:shd w:val="clear" w:color="auto" w:fill="FFFFFF"/>
          <w:lang w:val="ro-RO"/>
        </w:rPr>
        <w:t> Începând cu anul 2020, d</w:t>
      </w:r>
      <w:r w:rsidRPr="00341E6C">
        <w:rPr>
          <w:rFonts w:asciiTheme="majorHAnsi" w:hAnsiTheme="majorHAnsi" w:cstheme="majorHAnsi"/>
          <w:sz w:val="24"/>
          <w:szCs w:val="24"/>
          <w:shd w:val="clear" w:color="auto" w:fill="FFFFFF"/>
          <w:lang w:val="ro-RO"/>
        </w:rPr>
        <w:t xml:space="preserve">reptul la </w:t>
      </w:r>
      <w:r w:rsidR="00D42DAF" w:rsidRPr="00341E6C">
        <w:rPr>
          <w:rFonts w:asciiTheme="majorHAnsi" w:hAnsiTheme="majorHAnsi" w:cstheme="majorHAnsi"/>
          <w:sz w:val="24"/>
          <w:szCs w:val="24"/>
          <w:shd w:val="clear" w:color="auto" w:fill="FFFFFF"/>
          <w:lang w:val="ro-RO"/>
        </w:rPr>
        <w:t>indemnizație</w:t>
      </w:r>
      <w:r w:rsidRPr="00341E6C">
        <w:rPr>
          <w:rFonts w:asciiTheme="majorHAnsi" w:hAnsiTheme="majorHAnsi" w:cstheme="majorHAnsi"/>
          <w:sz w:val="24"/>
          <w:szCs w:val="24"/>
          <w:shd w:val="clear" w:color="auto" w:fill="FFFFFF"/>
          <w:lang w:val="ro-RO"/>
        </w:rPr>
        <w:t xml:space="preserve"> în cazul decesului unuia dintre soți se acordă soțului supraviețuitor, în </w:t>
      </w:r>
      <w:r w:rsidR="00D42DAF" w:rsidRPr="00341E6C">
        <w:rPr>
          <w:rFonts w:asciiTheme="majorHAnsi" w:hAnsiTheme="majorHAnsi" w:cstheme="majorHAnsi"/>
          <w:sz w:val="24"/>
          <w:szCs w:val="24"/>
          <w:shd w:val="clear" w:color="auto" w:fill="FFFFFF"/>
          <w:lang w:val="ro-RO"/>
        </w:rPr>
        <w:t>urma</w:t>
      </w:r>
      <w:r w:rsidRPr="00341E6C">
        <w:rPr>
          <w:rFonts w:asciiTheme="majorHAnsi" w:hAnsiTheme="majorHAnsi" w:cstheme="majorHAnsi"/>
          <w:sz w:val="24"/>
          <w:szCs w:val="24"/>
          <w:shd w:val="clear" w:color="auto" w:fill="FFFFFF"/>
          <w:lang w:val="ro-RO"/>
        </w:rPr>
        <w:t xml:space="preserve"> decesului soțului</w:t>
      </w:r>
      <w:r w:rsidR="00D42DAF" w:rsidRPr="00341E6C">
        <w:rPr>
          <w:rFonts w:asciiTheme="majorHAnsi" w:hAnsiTheme="majorHAnsi" w:cstheme="majorHAnsi"/>
          <w:sz w:val="24"/>
          <w:szCs w:val="24"/>
          <w:shd w:val="clear" w:color="auto" w:fill="FFFFFF"/>
          <w:lang w:val="ro-RO"/>
        </w:rPr>
        <w:t>/soției</w:t>
      </w:r>
      <w:r w:rsidRPr="00341E6C">
        <w:rPr>
          <w:rFonts w:asciiTheme="majorHAnsi" w:hAnsiTheme="majorHAnsi" w:cstheme="majorHAnsi"/>
          <w:sz w:val="24"/>
          <w:szCs w:val="24"/>
          <w:shd w:val="clear" w:color="auto" w:fill="FFFFFF"/>
          <w:lang w:val="ro-RO"/>
        </w:rPr>
        <w:t xml:space="preserve"> care a beneficiat de pensie pentru limită de </w:t>
      </w:r>
      <w:r w:rsidR="00D42DAF" w:rsidRPr="00341E6C">
        <w:rPr>
          <w:rFonts w:asciiTheme="majorHAnsi" w:hAnsiTheme="majorHAnsi" w:cstheme="majorHAnsi"/>
          <w:sz w:val="24"/>
          <w:szCs w:val="24"/>
          <w:shd w:val="clear" w:color="auto" w:fill="FFFFFF"/>
          <w:lang w:val="ro-RO"/>
        </w:rPr>
        <w:t>vârstă</w:t>
      </w:r>
      <w:r w:rsidRPr="00341E6C">
        <w:rPr>
          <w:rFonts w:asciiTheme="majorHAnsi" w:hAnsiTheme="majorHAnsi" w:cstheme="majorHAnsi"/>
          <w:sz w:val="24"/>
          <w:szCs w:val="24"/>
          <w:shd w:val="clear" w:color="auto" w:fill="FFFFFF"/>
          <w:lang w:val="ro-RO"/>
        </w:rPr>
        <w:t xml:space="preserve"> mai puțin de 5 ani după stabilirea dreptului la pensie</w:t>
      </w:r>
      <w:r w:rsidRPr="00341E6C">
        <w:rPr>
          <w:rStyle w:val="FootnoteReference"/>
          <w:rFonts w:asciiTheme="majorHAnsi" w:hAnsiTheme="majorHAnsi" w:cstheme="majorHAnsi"/>
          <w:sz w:val="24"/>
          <w:szCs w:val="24"/>
          <w:shd w:val="clear" w:color="auto" w:fill="FFFFFF"/>
          <w:lang w:val="ro-RO"/>
        </w:rPr>
        <w:footnoteReference w:id="53"/>
      </w:r>
      <w:r w:rsidRPr="00341E6C">
        <w:rPr>
          <w:rFonts w:asciiTheme="majorHAnsi" w:hAnsiTheme="majorHAnsi" w:cstheme="majorHAnsi"/>
          <w:sz w:val="24"/>
          <w:szCs w:val="24"/>
          <w:shd w:val="clear" w:color="auto" w:fill="FFFFFF"/>
          <w:lang w:val="ro-RO"/>
        </w:rPr>
        <w:t>.</w:t>
      </w:r>
      <w:r w:rsidRPr="00341E6C">
        <w:rPr>
          <w:rFonts w:asciiTheme="majorHAnsi" w:hAnsiTheme="majorHAnsi" w:cstheme="majorHAnsi"/>
          <w:sz w:val="24"/>
          <w:szCs w:val="24"/>
          <w:lang w:val="ro-RO"/>
        </w:rPr>
        <w:t xml:space="preserve"> Cheltuielile </w:t>
      </w:r>
      <w:r w:rsidR="00D42DAF" w:rsidRPr="00341E6C">
        <w:rPr>
          <w:rFonts w:asciiTheme="majorHAnsi" w:hAnsiTheme="majorHAnsi" w:cstheme="majorHAnsi"/>
          <w:sz w:val="24"/>
          <w:szCs w:val="24"/>
          <w:lang w:val="ro-RO"/>
        </w:rPr>
        <w:t>aferente</w:t>
      </w:r>
      <w:r w:rsidRPr="00341E6C">
        <w:rPr>
          <w:rFonts w:asciiTheme="majorHAnsi" w:hAnsiTheme="majorHAnsi" w:cstheme="majorHAnsi"/>
          <w:sz w:val="24"/>
          <w:szCs w:val="24"/>
          <w:lang w:val="ro-RO"/>
        </w:rPr>
        <w:t xml:space="preserve"> pl</w:t>
      </w:r>
      <w:r w:rsidR="00D42DAF" w:rsidRPr="00341E6C">
        <w:rPr>
          <w:rFonts w:asciiTheme="majorHAnsi" w:hAnsiTheme="majorHAnsi" w:cstheme="majorHAnsi"/>
          <w:sz w:val="24"/>
          <w:szCs w:val="24"/>
          <w:lang w:val="ro-RO"/>
        </w:rPr>
        <w:t>ății</w:t>
      </w:r>
      <w:r w:rsidRPr="00341E6C">
        <w:rPr>
          <w:rFonts w:asciiTheme="majorHAnsi" w:hAnsiTheme="majorHAnsi" w:cstheme="majorHAnsi"/>
          <w:sz w:val="24"/>
          <w:szCs w:val="24"/>
          <w:lang w:val="ro-RO"/>
        </w:rPr>
        <w:t xml:space="preserve"> acestei prestații au </w:t>
      </w:r>
      <w:r w:rsidR="00063105">
        <w:rPr>
          <w:rFonts w:asciiTheme="majorHAnsi" w:hAnsiTheme="majorHAnsi" w:cstheme="majorHAnsi"/>
          <w:sz w:val="24"/>
          <w:szCs w:val="24"/>
          <w:shd w:val="clear" w:color="auto" w:fill="FFFFFF"/>
          <w:lang w:val="ro-RO"/>
        </w:rPr>
        <w:t>constituit 8 033,</w:t>
      </w:r>
      <w:r w:rsidRPr="00671E4A">
        <w:rPr>
          <w:rFonts w:asciiTheme="majorHAnsi" w:hAnsiTheme="majorHAnsi" w:cstheme="majorHAnsi"/>
          <w:sz w:val="24"/>
          <w:szCs w:val="24"/>
          <w:shd w:val="clear" w:color="auto" w:fill="FFFFFF"/>
          <w:lang w:val="ro-RO"/>
        </w:rPr>
        <w:t>3 mii.</w:t>
      </w:r>
      <w:r w:rsidRPr="00341E6C">
        <w:rPr>
          <w:rFonts w:asciiTheme="majorHAnsi" w:hAnsiTheme="majorHAnsi" w:cstheme="majorHAnsi"/>
          <w:sz w:val="24"/>
          <w:szCs w:val="24"/>
          <w:shd w:val="clear" w:color="auto" w:fill="FFFFFF"/>
          <w:lang w:val="ro-RO"/>
        </w:rPr>
        <w:t xml:space="preserve"> lei pentru 775 de beneficiari.</w:t>
      </w:r>
    </w:p>
    <w:p w14:paraId="21595721" w14:textId="03B004F9" w:rsidR="00482A27" w:rsidRDefault="00482A27" w:rsidP="00E7122D">
      <w:pPr>
        <w:spacing w:line="276" w:lineRule="auto"/>
        <w:jc w:val="both"/>
        <w:rPr>
          <w:rFonts w:asciiTheme="majorHAnsi" w:eastAsia="Calibri" w:hAnsiTheme="majorHAnsi" w:cstheme="majorHAnsi"/>
          <w:sz w:val="24"/>
          <w:szCs w:val="24"/>
          <w:lang w:val="ro-RO" w:eastAsia="ro-RO"/>
        </w:rPr>
      </w:pPr>
      <w:r w:rsidRPr="00341E6C">
        <w:rPr>
          <w:rFonts w:asciiTheme="majorHAnsi" w:eastAsia="Calibri" w:hAnsiTheme="majorHAnsi" w:cstheme="majorHAnsi"/>
          <w:sz w:val="24"/>
          <w:szCs w:val="24"/>
          <w:lang w:val="ro-RO"/>
        </w:rPr>
        <w:t xml:space="preserve">La </w:t>
      </w:r>
      <w:r w:rsidRPr="00341E6C">
        <w:rPr>
          <w:rFonts w:asciiTheme="majorHAnsi" w:hAnsiTheme="majorHAnsi" w:cstheme="majorHAnsi"/>
          <w:sz w:val="24"/>
          <w:szCs w:val="24"/>
          <w:lang w:val="ro-RO"/>
        </w:rPr>
        <w:t>verificarea regularității stabilirii/calculării indemnizației în cazul decesului unuia dintre soți</w:t>
      </w:r>
      <w:r w:rsidR="00B17E98">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au fost stabilite </w:t>
      </w:r>
      <w:r w:rsidR="004744A2">
        <w:rPr>
          <w:rFonts w:asciiTheme="majorHAnsi" w:hAnsiTheme="majorHAnsi" w:cstheme="majorHAnsi"/>
          <w:sz w:val="24"/>
          <w:szCs w:val="24"/>
          <w:lang w:val="ro-RO"/>
        </w:rPr>
        <w:t xml:space="preserve">iregularități </w:t>
      </w:r>
      <w:r w:rsidRPr="00341E6C">
        <w:rPr>
          <w:rFonts w:asciiTheme="majorHAnsi" w:hAnsiTheme="majorHAnsi" w:cstheme="majorHAnsi"/>
          <w:sz w:val="24"/>
          <w:szCs w:val="24"/>
          <w:lang w:val="ro-RO"/>
        </w:rPr>
        <w:t xml:space="preserve">în valoare de </w:t>
      </w:r>
      <w:r w:rsidR="009309D8">
        <w:rPr>
          <w:rFonts w:asciiTheme="majorHAnsi" w:hAnsiTheme="majorHAnsi" w:cstheme="majorHAnsi"/>
          <w:sz w:val="24"/>
          <w:szCs w:val="24"/>
          <w:lang w:val="ro-RO"/>
        </w:rPr>
        <w:t>0,43</w:t>
      </w:r>
      <w:r w:rsidRPr="00341E6C">
        <w:rPr>
          <w:rFonts w:asciiTheme="majorHAnsi" w:hAnsiTheme="majorHAnsi" w:cstheme="majorHAnsi"/>
          <w:sz w:val="24"/>
          <w:szCs w:val="24"/>
          <w:lang w:val="ro-RO"/>
        </w:rPr>
        <w:t xml:space="preserve"> mii lei, generate de determinarea neregulamentară a </w:t>
      </w:r>
      <w:r w:rsidR="00EA6731">
        <w:rPr>
          <w:rFonts w:asciiTheme="majorHAnsi" w:hAnsiTheme="majorHAnsi" w:cstheme="majorHAnsi"/>
          <w:sz w:val="24"/>
          <w:szCs w:val="24"/>
          <w:lang w:val="ro-RO"/>
        </w:rPr>
        <w:t>cuantumului</w:t>
      </w:r>
      <w:r w:rsidR="00A12A81">
        <w:rPr>
          <w:rFonts w:asciiTheme="majorHAnsi" w:hAnsiTheme="majorHAnsi" w:cstheme="majorHAnsi"/>
          <w:sz w:val="24"/>
          <w:szCs w:val="24"/>
          <w:lang w:val="ro-RO"/>
        </w:rPr>
        <w:t xml:space="preserve"> acesteia</w:t>
      </w:r>
      <w:r w:rsidRPr="00341E6C">
        <w:rPr>
          <w:rFonts w:asciiTheme="majorHAnsi" w:hAnsiTheme="majorHAnsi" w:cstheme="majorHAnsi"/>
          <w:sz w:val="24"/>
          <w:szCs w:val="24"/>
          <w:lang w:val="ro-RO"/>
        </w:rPr>
        <w:t>. Totodată, atenția auditului a fost atrasă de funcționa</w:t>
      </w:r>
      <w:r w:rsidR="00E01736" w:rsidRPr="00341E6C">
        <w:rPr>
          <w:rFonts w:asciiTheme="majorHAnsi" w:hAnsiTheme="majorHAnsi" w:cstheme="majorHAnsi"/>
          <w:sz w:val="24"/>
          <w:szCs w:val="24"/>
          <w:lang w:val="ro-RO"/>
        </w:rPr>
        <w:t xml:space="preserve">litatea SI „Protecția Socială”, care </w:t>
      </w:r>
      <w:r w:rsidRPr="00341E6C">
        <w:rPr>
          <w:rFonts w:asciiTheme="majorHAnsi" w:hAnsiTheme="majorHAnsi" w:cstheme="majorHAnsi"/>
          <w:sz w:val="24"/>
          <w:szCs w:val="24"/>
          <w:lang w:val="ro-RO"/>
        </w:rPr>
        <w:t xml:space="preserve">în cazul </w:t>
      </w:r>
      <w:r w:rsidRPr="002117FA">
        <w:rPr>
          <w:rFonts w:asciiTheme="majorHAnsi" w:hAnsiTheme="majorHAnsi" w:cstheme="majorHAnsi"/>
          <w:sz w:val="24"/>
          <w:szCs w:val="24"/>
          <w:lang w:val="ro-RO"/>
        </w:rPr>
        <w:t xml:space="preserve">a </w:t>
      </w:r>
      <w:r w:rsidR="00D42DAF" w:rsidRPr="002117FA">
        <w:rPr>
          <w:rFonts w:asciiTheme="majorHAnsi" w:hAnsiTheme="majorHAnsi" w:cstheme="majorHAnsi"/>
          <w:sz w:val="24"/>
          <w:szCs w:val="24"/>
          <w:lang w:val="ro-RO"/>
        </w:rPr>
        <w:t>1</w:t>
      </w:r>
      <w:r w:rsidR="00E01736" w:rsidRPr="002117FA">
        <w:rPr>
          <w:rFonts w:asciiTheme="majorHAnsi" w:hAnsiTheme="majorHAnsi" w:cstheme="majorHAnsi"/>
          <w:sz w:val="24"/>
          <w:szCs w:val="24"/>
          <w:lang w:val="ro-RO"/>
        </w:rPr>
        <w:t>7 % din beneficiari</w:t>
      </w:r>
      <w:r w:rsidR="00B17E98">
        <w:rPr>
          <w:rFonts w:asciiTheme="majorHAnsi" w:hAnsiTheme="majorHAnsi" w:cstheme="majorHAnsi"/>
          <w:sz w:val="24"/>
          <w:szCs w:val="24"/>
          <w:lang w:val="ro-RO"/>
        </w:rPr>
        <w:t>i</w:t>
      </w:r>
      <w:r w:rsidRPr="002117FA">
        <w:rPr>
          <w:rFonts w:asciiTheme="majorHAnsi" w:hAnsiTheme="majorHAnsi" w:cstheme="majorHAnsi"/>
          <w:sz w:val="24"/>
          <w:szCs w:val="24"/>
          <w:lang w:val="ro-RO"/>
        </w:rPr>
        <w:t xml:space="preserve"> verificați</w:t>
      </w:r>
      <w:r w:rsidR="00E01736" w:rsidRPr="002117FA">
        <w:rPr>
          <w:rFonts w:asciiTheme="majorHAnsi" w:hAnsiTheme="majorHAnsi" w:cstheme="majorHAnsi"/>
          <w:sz w:val="24"/>
          <w:szCs w:val="24"/>
          <w:lang w:val="ro-RO"/>
        </w:rPr>
        <w:t xml:space="preserve"> (68 dosare)</w:t>
      </w:r>
      <w:r w:rsidRPr="002117FA">
        <w:rPr>
          <w:rFonts w:asciiTheme="majorHAnsi" w:hAnsiTheme="majorHAnsi" w:cstheme="majorHAnsi"/>
          <w:sz w:val="24"/>
          <w:szCs w:val="24"/>
          <w:lang w:val="ro-RO"/>
        </w:rPr>
        <w:t xml:space="preserve">, </w:t>
      </w:r>
      <w:r w:rsidR="00425FF6" w:rsidRPr="002117FA">
        <w:rPr>
          <w:rFonts w:asciiTheme="majorHAnsi" w:hAnsiTheme="majorHAnsi" w:cstheme="majorHAnsi"/>
          <w:sz w:val="24"/>
          <w:szCs w:val="24"/>
          <w:lang w:val="ro-RO"/>
        </w:rPr>
        <w:t xml:space="preserve">deciziile au fost generate </w:t>
      </w:r>
      <w:r w:rsidR="00481528" w:rsidRPr="002117FA">
        <w:rPr>
          <w:rFonts w:asciiTheme="majorHAnsi" w:hAnsiTheme="majorHAnsi" w:cstheme="majorHAnsi"/>
          <w:sz w:val="24"/>
          <w:szCs w:val="24"/>
          <w:lang w:val="ro-RO"/>
        </w:rPr>
        <w:t>cu unele inex</w:t>
      </w:r>
      <w:r w:rsidR="00425FF6" w:rsidRPr="002117FA">
        <w:rPr>
          <w:rFonts w:asciiTheme="majorHAnsi" w:hAnsiTheme="majorHAnsi" w:cstheme="majorHAnsi"/>
          <w:sz w:val="24"/>
          <w:szCs w:val="24"/>
          <w:lang w:val="ro-RO"/>
        </w:rPr>
        <w:t>a</w:t>
      </w:r>
      <w:r w:rsidR="00481528" w:rsidRPr="002117FA">
        <w:rPr>
          <w:rFonts w:asciiTheme="majorHAnsi" w:hAnsiTheme="majorHAnsi" w:cstheme="majorHAnsi"/>
          <w:sz w:val="24"/>
          <w:szCs w:val="24"/>
          <w:lang w:val="ro-RO"/>
        </w:rPr>
        <w:t>ctități</w:t>
      </w:r>
      <w:r w:rsidR="00425FF6" w:rsidRPr="002117FA">
        <w:rPr>
          <w:rFonts w:asciiTheme="majorHAnsi" w:hAnsiTheme="majorHAnsi" w:cstheme="majorHAnsi"/>
          <w:sz w:val="24"/>
          <w:szCs w:val="24"/>
          <w:lang w:val="ro-RO"/>
        </w:rPr>
        <w:t xml:space="preserve"> la determinare</w:t>
      </w:r>
      <w:r w:rsidR="002117FA" w:rsidRPr="002117FA">
        <w:rPr>
          <w:rFonts w:asciiTheme="majorHAnsi" w:hAnsiTheme="majorHAnsi" w:cstheme="majorHAnsi"/>
          <w:sz w:val="24"/>
          <w:szCs w:val="24"/>
          <w:lang w:val="ro-RO"/>
        </w:rPr>
        <w:t xml:space="preserve">a </w:t>
      </w:r>
      <w:r w:rsidRPr="002117FA">
        <w:rPr>
          <w:rFonts w:asciiTheme="majorHAnsi" w:hAnsiTheme="majorHAnsi" w:cstheme="majorHAnsi"/>
          <w:sz w:val="24"/>
          <w:szCs w:val="24"/>
          <w:lang w:val="ro-RO"/>
        </w:rPr>
        <w:t>perioad</w:t>
      </w:r>
      <w:r w:rsidR="002117FA" w:rsidRPr="002117FA">
        <w:rPr>
          <w:rFonts w:asciiTheme="majorHAnsi" w:hAnsiTheme="majorHAnsi" w:cstheme="majorHAnsi"/>
          <w:sz w:val="24"/>
          <w:szCs w:val="24"/>
          <w:lang w:val="ro-RO"/>
        </w:rPr>
        <w:t>ei</w:t>
      </w:r>
      <w:r w:rsidRPr="002117FA">
        <w:rPr>
          <w:rFonts w:asciiTheme="majorHAnsi" w:hAnsiTheme="majorHAnsi" w:cstheme="majorHAnsi"/>
          <w:sz w:val="24"/>
          <w:szCs w:val="24"/>
          <w:lang w:val="ro-RO"/>
        </w:rPr>
        <w:t xml:space="preserve"> pentru care se acordă indemnizația</w:t>
      </w:r>
      <w:r w:rsidR="002117FA" w:rsidRPr="002117FA">
        <w:rPr>
          <w:rFonts w:asciiTheme="majorHAnsi" w:hAnsiTheme="majorHAnsi" w:cstheme="majorHAnsi"/>
          <w:sz w:val="24"/>
          <w:szCs w:val="24"/>
          <w:lang w:val="ro-RO"/>
        </w:rPr>
        <w:t xml:space="preserve">. Deși nu a fost influențată mărimea și perioada de beneficiere, </w:t>
      </w:r>
      <w:r w:rsidR="00D42DAF" w:rsidRPr="002117FA">
        <w:rPr>
          <w:rFonts w:asciiTheme="majorHAnsi" w:hAnsiTheme="majorHAnsi" w:cstheme="majorHAnsi"/>
          <w:sz w:val="24"/>
          <w:szCs w:val="24"/>
          <w:lang w:val="ro-RO"/>
        </w:rPr>
        <w:t>aceasta afectează acuratețea datelor furnizate</w:t>
      </w:r>
      <w:r w:rsidRPr="002117FA">
        <w:rPr>
          <w:rFonts w:asciiTheme="majorHAnsi" w:hAnsiTheme="majorHAnsi" w:cstheme="majorHAnsi"/>
          <w:sz w:val="24"/>
          <w:szCs w:val="24"/>
          <w:lang w:val="ro-RO"/>
        </w:rPr>
        <w:t>. De</w:t>
      </w:r>
      <w:r w:rsidR="00063105">
        <w:rPr>
          <w:rFonts w:asciiTheme="majorHAnsi" w:hAnsiTheme="majorHAnsi" w:cstheme="majorHAnsi"/>
          <w:sz w:val="24"/>
          <w:szCs w:val="24"/>
          <w:lang w:val="ro-RO"/>
        </w:rPr>
        <w:t xml:space="preserve"> asemenea, în cazul a 19,</w:t>
      </w:r>
      <w:r w:rsidR="00D827EE" w:rsidRPr="00341E6C">
        <w:rPr>
          <w:rFonts w:asciiTheme="majorHAnsi" w:hAnsiTheme="majorHAnsi" w:cstheme="majorHAnsi"/>
          <w:sz w:val="24"/>
          <w:szCs w:val="24"/>
          <w:lang w:val="ro-RO"/>
        </w:rPr>
        <w:t>1</w:t>
      </w:r>
      <w:r w:rsidRPr="00341E6C">
        <w:rPr>
          <w:rFonts w:asciiTheme="majorHAnsi" w:hAnsiTheme="majorHAnsi" w:cstheme="majorHAnsi"/>
          <w:sz w:val="24"/>
          <w:szCs w:val="24"/>
          <w:lang w:val="ro-RO"/>
        </w:rPr>
        <w:t>% din dosare</w:t>
      </w:r>
      <w:r w:rsidR="00D42DAF" w:rsidRPr="00341E6C">
        <w:rPr>
          <w:rFonts w:asciiTheme="majorHAnsi" w:hAnsiTheme="majorHAnsi" w:cstheme="majorHAnsi"/>
          <w:sz w:val="24"/>
          <w:szCs w:val="24"/>
          <w:lang w:val="ro-RO"/>
        </w:rPr>
        <w:t>le</w:t>
      </w:r>
      <w:r w:rsidRPr="00341E6C">
        <w:rPr>
          <w:rFonts w:asciiTheme="majorHAnsi" w:hAnsiTheme="majorHAnsi" w:cstheme="majorHAnsi"/>
          <w:sz w:val="24"/>
          <w:szCs w:val="24"/>
          <w:lang w:val="ro-RO"/>
        </w:rPr>
        <w:t xml:space="preserve"> verificate, termenul de examinare a indemnizației în </w:t>
      </w:r>
      <w:r w:rsidRPr="00341E6C">
        <w:rPr>
          <w:rFonts w:asciiTheme="majorHAnsi" w:hAnsiTheme="majorHAnsi" w:cstheme="majorHAnsi"/>
          <w:sz w:val="24"/>
          <w:szCs w:val="24"/>
          <w:lang w:val="ro-RO"/>
        </w:rPr>
        <w:lastRenderedPageBreak/>
        <w:t xml:space="preserve">cazul decesului unuia dintre soți este depășit de la </w:t>
      </w:r>
      <w:r w:rsidR="00D827EE" w:rsidRPr="00341E6C">
        <w:rPr>
          <w:rFonts w:asciiTheme="majorHAnsi" w:hAnsiTheme="majorHAnsi" w:cstheme="majorHAnsi"/>
          <w:sz w:val="24"/>
          <w:szCs w:val="24"/>
          <w:lang w:val="ro-RO"/>
        </w:rPr>
        <w:t>3</w:t>
      </w:r>
      <w:r w:rsidRPr="00341E6C">
        <w:rPr>
          <w:rFonts w:asciiTheme="majorHAnsi" w:hAnsiTheme="majorHAnsi" w:cstheme="majorHAnsi"/>
          <w:sz w:val="24"/>
          <w:szCs w:val="24"/>
          <w:lang w:val="ro-RO"/>
        </w:rPr>
        <w:t>9 zile până la 114 zile</w:t>
      </w:r>
      <w:r w:rsidR="00A12A81">
        <w:rPr>
          <w:rFonts w:asciiTheme="majorHAnsi" w:hAnsiTheme="majorHAnsi" w:cstheme="majorHAnsi"/>
          <w:sz w:val="24"/>
          <w:szCs w:val="24"/>
          <w:lang w:val="ro-RO"/>
        </w:rPr>
        <w:t>,</w:t>
      </w:r>
      <w:r w:rsidR="002117FA" w:rsidRPr="002117FA">
        <w:rPr>
          <w:rFonts w:asciiTheme="majorHAnsi" w:hAnsiTheme="majorHAnsi" w:cstheme="majorHAnsi"/>
          <w:sz w:val="24"/>
          <w:szCs w:val="24"/>
          <w:lang w:val="ro-RO"/>
        </w:rPr>
        <w:t xml:space="preserve"> </w:t>
      </w:r>
      <w:r w:rsidR="002117FA" w:rsidRPr="00341E6C">
        <w:rPr>
          <w:rFonts w:asciiTheme="majorHAnsi" w:hAnsiTheme="majorHAnsi" w:cstheme="majorHAnsi"/>
          <w:sz w:val="24"/>
          <w:szCs w:val="24"/>
          <w:lang w:val="ro-RO"/>
        </w:rPr>
        <w:t>ceea ce determină reflectarea sumelor achitate (49,2 mii lei) în perioade necorespunzătoare</w:t>
      </w:r>
      <w:r w:rsidR="002117FA">
        <w:rPr>
          <w:rFonts w:asciiTheme="majorHAnsi" w:hAnsiTheme="majorHAnsi" w:cstheme="majorHAnsi"/>
          <w:sz w:val="24"/>
          <w:szCs w:val="24"/>
          <w:lang w:val="ro-RO"/>
        </w:rPr>
        <w:t xml:space="preserve">. Potrivit motivațiilor CNAS, termenul a fost depășit </w:t>
      </w:r>
      <w:r w:rsidR="005729EE">
        <w:rPr>
          <w:rFonts w:asciiTheme="majorHAnsi" w:hAnsiTheme="majorHAnsi" w:cstheme="majorHAnsi"/>
          <w:sz w:val="24"/>
          <w:szCs w:val="24"/>
          <w:lang w:val="ro-RO"/>
        </w:rPr>
        <w:t xml:space="preserve">ca </w:t>
      </w:r>
      <w:r w:rsidR="002117FA">
        <w:rPr>
          <w:rFonts w:asciiTheme="majorHAnsi" w:hAnsiTheme="majorHAnsi" w:cstheme="majorHAnsi"/>
          <w:sz w:val="24"/>
          <w:szCs w:val="24"/>
          <w:lang w:val="ro-RO"/>
        </w:rPr>
        <w:t>rezultat a</w:t>
      </w:r>
      <w:r w:rsidR="009309D8">
        <w:rPr>
          <w:rFonts w:asciiTheme="majorHAnsi" w:hAnsiTheme="majorHAnsi" w:cstheme="majorHAnsi"/>
          <w:sz w:val="24"/>
          <w:szCs w:val="24"/>
          <w:lang w:val="ro-RO"/>
        </w:rPr>
        <w:t xml:space="preserve">l </w:t>
      </w:r>
      <w:r w:rsidR="009357E5">
        <w:rPr>
          <w:rFonts w:asciiTheme="majorHAnsi" w:hAnsiTheme="majorHAnsi" w:cstheme="majorHAnsi"/>
          <w:sz w:val="24"/>
          <w:szCs w:val="24"/>
          <w:lang w:val="ro-RO"/>
        </w:rPr>
        <w:t>introducerii</w:t>
      </w:r>
      <w:r w:rsidR="00CC4A93">
        <w:rPr>
          <w:rFonts w:asciiTheme="majorHAnsi" w:hAnsiTheme="majorHAnsi" w:cstheme="majorHAnsi"/>
          <w:sz w:val="24"/>
          <w:szCs w:val="24"/>
          <w:lang w:val="ro-RO"/>
        </w:rPr>
        <w:t xml:space="preserve"> </w:t>
      </w:r>
      <w:r w:rsidR="002117FA">
        <w:rPr>
          <w:rFonts w:asciiTheme="majorHAnsi" w:hAnsiTheme="majorHAnsi" w:cstheme="majorHAnsi"/>
          <w:sz w:val="24"/>
          <w:szCs w:val="24"/>
          <w:lang w:val="ro-RO"/>
        </w:rPr>
        <w:t xml:space="preserve">tipului nou de prestație </w:t>
      </w:r>
      <w:r w:rsidR="00CC4A93" w:rsidRPr="002117FA">
        <w:rPr>
          <w:rFonts w:asciiTheme="majorHAnsi" w:hAnsiTheme="majorHAnsi" w:cstheme="majorHAnsi"/>
          <w:sz w:val="24"/>
          <w:szCs w:val="24"/>
          <w:lang w:val="ro-RO"/>
        </w:rPr>
        <w:t>și</w:t>
      </w:r>
      <w:r w:rsidR="00A1181E" w:rsidRPr="002117FA">
        <w:rPr>
          <w:rFonts w:asciiTheme="majorHAnsi" w:hAnsiTheme="majorHAnsi" w:cstheme="majorHAnsi"/>
          <w:sz w:val="24"/>
          <w:szCs w:val="24"/>
          <w:lang w:val="ro-RO"/>
        </w:rPr>
        <w:t xml:space="preserve"> </w:t>
      </w:r>
      <w:r w:rsidR="005729EE">
        <w:rPr>
          <w:rFonts w:asciiTheme="majorHAnsi" w:hAnsiTheme="majorHAnsi" w:cstheme="majorHAnsi"/>
          <w:sz w:val="24"/>
          <w:szCs w:val="24"/>
          <w:lang w:val="ro-RO"/>
        </w:rPr>
        <w:t xml:space="preserve">al </w:t>
      </w:r>
      <w:r w:rsidR="00A1181E" w:rsidRPr="002117FA">
        <w:rPr>
          <w:rFonts w:asciiTheme="majorHAnsi" w:hAnsiTheme="majorHAnsi" w:cstheme="majorHAnsi"/>
          <w:sz w:val="24"/>
          <w:szCs w:val="24"/>
          <w:lang w:val="ro-RO"/>
        </w:rPr>
        <w:t>integr</w:t>
      </w:r>
      <w:r w:rsidR="005729EE">
        <w:rPr>
          <w:rFonts w:asciiTheme="majorHAnsi" w:hAnsiTheme="majorHAnsi" w:cstheme="majorHAnsi"/>
          <w:sz w:val="24"/>
          <w:szCs w:val="24"/>
          <w:lang w:val="ro-RO"/>
        </w:rPr>
        <w:t>ării</w:t>
      </w:r>
      <w:r w:rsidR="002117FA" w:rsidRPr="002117FA">
        <w:rPr>
          <w:rFonts w:asciiTheme="majorHAnsi" w:hAnsiTheme="majorHAnsi" w:cstheme="majorHAnsi"/>
          <w:sz w:val="24"/>
          <w:szCs w:val="24"/>
          <w:lang w:val="ro-RO"/>
        </w:rPr>
        <w:t xml:space="preserve"> acesteia</w:t>
      </w:r>
      <w:r w:rsidR="00A1181E" w:rsidRPr="002117FA">
        <w:rPr>
          <w:rFonts w:asciiTheme="majorHAnsi" w:hAnsiTheme="majorHAnsi" w:cstheme="majorHAnsi"/>
          <w:sz w:val="24"/>
          <w:szCs w:val="24"/>
          <w:lang w:val="ro-RO"/>
        </w:rPr>
        <w:t xml:space="preserve"> în SI</w:t>
      </w:r>
      <w:r w:rsidRPr="00341E6C">
        <w:rPr>
          <w:rFonts w:asciiTheme="majorHAnsi" w:hAnsiTheme="majorHAnsi" w:cstheme="majorHAnsi"/>
          <w:sz w:val="24"/>
          <w:szCs w:val="24"/>
          <w:lang w:val="ro-RO"/>
        </w:rPr>
        <w:t>. Cu referire la raportarea cheltuielilor aferente</w:t>
      </w:r>
      <w:r w:rsidR="005729EE">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nu s-au stabilit e</w:t>
      </w:r>
      <w:r w:rsidRPr="00341E6C">
        <w:rPr>
          <w:rFonts w:asciiTheme="majorHAnsi" w:eastAsia="Calibri" w:hAnsiTheme="majorHAnsi" w:cstheme="majorHAnsi"/>
          <w:sz w:val="24"/>
          <w:szCs w:val="24"/>
          <w:lang w:val="ro-RO"/>
        </w:rPr>
        <w:t>rori, mărimile prestațiilor</w:t>
      </w:r>
      <w:r w:rsidRPr="00341E6C">
        <w:rPr>
          <w:rFonts w:asciiTheme="majorHAnsi" w:eastAsia="Calibri" w:hAnsiTheme="majorHAnsi" w:cstheme="majorHAnsi"/>
          <w:sz w:val="24"/>
          <w:szCs w:val="24"/>
          <w:lang w:val="ro-RO" w:eastAsia="ro-RO"/>
        </w:rPr>
        <w:t xml:space="preserve"> fiind înregistrate la conturile prevăzute în acest sens</w:t>
      </w:r>
      <w:r w:rsidR="00D42DAF" w:rsidRPr="00341E6C">
        <w:rPr>
          <w:rFonts w:asciiTheme="majorHAnsi" w:eastAsia="Calibri" w:hAnsiTheme="majorHAnsi" w:cstheme="majorHAnsi"/>
          <w:sz w:val="24"/>
          <w:szCs w:val="24"/>
          <w:lang w:val="ro-RO" w:eastAsia="ro-RO"/>
        </w:rPr>
        <w:t>.</w:t>
      </w:r>
    </w:p>
    <w:p w14:paraId="458BC10B" w14:textId="6A976985" w:rsidR="00481528" w:rsidRPr="00227218" w:rsidRDefault="00481528" w:rsidP="00E7122D">
      <w:pPr>
        <w:spacing w:line="276" w:lineRule="auto"/>
        <w:jc w:val="both"/>
        <w:rPr>
          <w:rFonts w:asciiTheme="majorHAnsi" w:eastAsia="Calibri" w:hAnsiTheme="majorHAnsi" w:cstheme="majorHAnsi"/>
          <w:i/>
          <w:sz w:val="24"/>
          <w:szCs w:val="24"/>
          <w:lang w:val="ro-RO" w:eastAsia="ro-RO"/>
        </w:rPr>
      </w:pPr>
      <w:r w:rsidRPr="009309D8">
        <w:rPr>
          <w:rFonts w:asciiTheme="majorHAnsi" w:eastAsia="Calibri" w:hAnsiTheme="majorHAnsi" w:cstheme="majorHAnsi"/>
          <w:i/>
          <w:sz w:val="24"/>
          <w:szCs w:val="24"/>
          <w:lang w:val="ro-RO" w:eastAsia="ro-RO"/>
        </w:rPr>
        <w:t>Notă:</w:t>
      </w:r>
      <w:r w:rsidR="002117FA" w:rsidRPr="009309D8">
        <w:rPr>
          <w:rFonts w:asciiTheme="majorHAnsi" w:eastAsia="Calibri" w:hAnsiTheme="majorHAnsi" w:cstheme="majorHAnsi"/>
          <w:i/>
          <w:sz w:val="24"/>
          <w:szCs w:val="24"/>
          <w:lang w:val="ro-RO" w:eastAsia="ro-RO"/>
        </w:rPr>
        <w:t xml:space="preserve"> </w:t>
      </w:r>
      <w:r w:rsidR="009309D8" w:rsidRPr="009309D8">
        <w:rPr>
          <w:rFonts w:asciiTheme="majorHAnsi" w:eastAsia="Calibri" w:hAnsiTheme="majorHAnsi" w:cstheme="majorHAnsi"/>
          <w:i/>
          <w:sz w:val="24"/>
          <w:szCs w:val="24"/>
          <w:lang w:val="ro-RO" w:eastAsia="ro-RO"/>
        </w:rPr>
        <w:t xml:space="preserve">În urma efectuării auditului, CNAS a recalculat prestația stabilită cu </w:t>
      </w:r>
      <w:r w:rsidR="00035B1B">
        <w:rPr>
          <w:rFonts w:asciiTheme="majorHAnsi" w:eastAsia="Calibri" w:hAnsiTheme="majorHAnsi" w:cstheme="majorHAnsi"/>
          <w:i/>
          <w:sz w:val="24"/>
          <w:szCs w:val="24"/>
          <w:lang w:val="ro-RO" w:eastAsia="ro-RO"/>
        </w:rPr>
        <w:t>iregularități</w:t>
      </w:r>
      <w:r w:rsidR="009309D8" w:rsidRPr="009309D8">
        <w:rPr>
          <w:rFonts w:asciiTheme="majorHAnsi" w:eastAsia="Calibri" w:hAnsiTheme="majorHAnsi" w:cstheme="majorHAnsi"/>
          <w:i/>
          <w:sz w:val="24"/>
          <w:szCs w:val="24"/>
          <w:lang w:val="ro-RO" w:eastAsia="ro-RO"/>
        </w:rPr>
        <w:t xml:space="preserve"> de 0,43 mii lei.</w:t>
      </w:r>
      <w:r w:rsidR="009309D8" w:rsidRPr="009309D8">
        <w:rPr>
          <w:rFonts w:asciiTheme="majorHAnsi" w:eastAsia="Calibri" w:hAnsiTheme="majorHAnsi" w:cstheme="majorHAnsi"/>
          <w:sz w:val="24"/>
          <w:szCs w:val="24"/>
          <w:lang w:val="ro-RO" w:eastAsia="ro-RO"/>
        </w:rPr>
        <w:t xml:space="preserve"> </w:t>
      </w:r>
      <w:r w:rsidR="002E378B">
        <w:rPr>
          <w:rFonts w:asciiTheme="majorHAnsi" w:eastAsia="Calibri" w:hAnsiTheme="majorHAnsi" w:cstheme="majorHAnsi"/>
          <w:i/>
          <w:sz w:val="24"/>
          <w:szCs w:val="24"/>
          <w:lang w:val="ro-RO" w:eastAsia="ro-RO"/>
        </w:rPr>
        <w:t>Privitor</w:t>
      </w:r>
      <w:r w:rsidR="009357E5" w:rsidRPr="00227218">
        <w:rPr>
          <w:rFonts w:asciiTheme="majorHAnsi" w:eastAsia="Calibri" w:hAnsiTheme="majorHAnsi" w:cstheme="majorHAnsi"/>
          <w:i/>
          <w:sz w:val="24"/>
          <w:szCs w:val="24"/>
          <w:lang w:val="ro-RO" w:eastAsia="ro-RO"/>
        </w:rPr>
        <w:t xml:space="preserve"> la funcționalitatea SI, </w:t>
      </w:r>
      <w:r w:rsidR="002E378B">
        <w:rPr>
          <w:rFonts w:asciiTheme="majorHAnsi" w:eastAsia="Calibri" w:hAnsiTheme="majorHAnsi" w:cstheme="majorHAnsi"/>
          <w:i/>
          <w:sz w:val="24"/>
          <w:szCs w:val="24"/>
          <w:lang w:val="ro-RO" w:eastAsia="ro-RO"/>
        </w:rPr>
        <w:t>auditul menționează că</w:t>
      </w:r>
      <w:r w:rsidR="00E420A9">
        <w:rPr>
          <w:rFonts w:asciiTheme="majorHAnsi" w:eastAsia="Calibri" w:hAnsiTheme="majorHAnsi" w:cstheme="majorHAnsi"/>
          <w:i/>
          <w:sz w:val="24"/>
          <w:szCs w:val="24"/>
          <w:lang w:val="ro-RO" w:eastAsia="ro-RO"/>
        </w:rPr>
        <w:t>,</w:t>
      </w:r>
      <w:r w:rsidR="002E378B">
        <w:rPr>
          <w:rFonts w:asciiTheme="majorHAnsi" w:eastAsia="Calibri" w:hAnsiTheme="majorHAnsi" w:cstheme="majorHAnsi"/>
          <w:i/>
          <w:sz w:val="24"/>
          <w:szCs w:val="24"/>
          <w:lang w:val="ro-RO" w:eastAsia="ro-RO"/>
        </w:rPr>
        <w:t xml:space="preserve"> </w:t>
      </w:r>
      <w:r w:rsidR="009357E5" w:rsidRPr="00227218">
        <w:rPr>
          <w:rFonts w:asciiTheme="majorHAnsi" w:eastAsia="Calibri" w:hAnsiTheme="majorHAnsi" w:cstheme="majorHAnsi"/>
          <w:i/>
          <w:sz w:val="24"/>
          <w:szCs w:val="24"/>
          <w:lang w:val="ro-RO" w:eastAsia="ro-RO"/>
        </w:rPr>
        <w:t>în luna septembrie</w:t>
      </w:r>
      <w:r w:rsidR="00227218">
        <w:rPr>
          <w:rFonts w:asciiTheme="majorHAnsi" w:eastAsia="Calibri" w:hAnsiTheme="majorHAnsi" w:cstheme="majorHAnsi"/>
          <w:i/>
          <w:sz w:val="24"/>
          <w:szCs w:val="24"/>
          <w:lang w:val="ro-RO" w:eastAsia="ro-RO"/>
        </w:rPr>
        <w:t xml:space="preserve"> 2020</w:t>
      </w:r>
      <w:r w:rsidR="009357E5" w:rsidRPr="00227218">
        <w:rPr>
          <w:rFonts w:asciiTheme="majorHAnsi" w:eastAsia="Calibri" w:hAnsiTheme="majorHAnsi" w:cstheme="majorHAnsi"/>
          <w:i/>
          <w:sz w:val="24"/>
          <w:szCs w:val="24"/>
          <w:lang w:val="ro-RO" w:eastAsia="ro-RO"/>
        </w:rPr>
        <w:t xml:space="preserve">, </w:t>
      </w:r>
      <w:r w:rsidR="00EA6731">
        <w:rPr>
          <w:rFonts w:asciiTheme="majorHAnsi" w:eastAsia="Calibri" w:hAnsiTheme="majorHAnsi" w:cstheme="majorHAnsi"/>
          <w:i/>
          <w:sz w:val="24"/>
          <w:szCs w:val="24"/>
          <w:lang w:val="ro-RO" w:eastAsia="ro-RO"/>
        </w:rPr>
        <w:t>entitatea audi</w:t>
      </w:r>
      <w:r w:rsidR="009309D8">
        <w:rPr>
          <w:rFonts w:asciiTheme="majorHAnsi" w:eastAsia="Calibri" w:hAnsiTheme="majorHAnsi" w:cstheme="majorHAnsi"/>
          <w:i/>
          <w:sz w:val="24"/>
          <w:szCs w:val="24"/>
          <w:lang w:val="ro-RO" w:eastAsia="ro-RO"/>
        </w:rPr>
        <w:t>tată</w:t>
      </w:r>
      <w:r w:rsidR="009357E5" w:rsidRPr="00227218">
        <w:rPr>
          <w:rFonts w:asciiTheme="majorHAnsi" w:eastAsia="Calibri" w:hAnsiTheme="majorHAnsi" w:cstheme="majorHAnsi"/>
          <w:i/>
          <w:sz w:val="24"/>
          <w:szCs w:val="24"/>
          <w:lang w:val="ro-RO" w:eastAsia="ro-RO"/>
        </w:rPr>
        <w:t xml:space="preserve"> a solicitat prestatorului de mentenanță de a opera modificări și a aduce în concordanță </w:t>
      </w:r>
      <w:r w:rsidR="00227218" w:rsidRPr="00227218">
        <w:rPr>
          <w:rFonts w:asciiTheme="majorHAnsi" w:eastAsia="Calibri" w:hAnsiTheme="majorHAnsi" w:cstheme="majorHAnsi"/>
          <w:i/>
          <w:sz w:val="24"/>
          <w:szCs w:val="24"/>
          <w:lang w:val="ro-RO" w:eastAsia="ro-RO"/>
        </w:rPr>
        <w:t xml:space="preserve">cu normele legale </w:t>
      </w:r>
      <w:r w:rsidR="009357E5" w:rsidRPr="00227218">
        <w:rPr>
          <w:rFonts w:asciiTheme="majorHAnsi" w:eastAsia="Calibri" w:hAnsiTheme="majorHAnsi" w:cstheme="majorHAnsi"/>
          <w:i/>
          <w:sz w:val="24"/>
          <w:szCs w:val="24"/>
          <w:lang w:val="ro-RO" w:eastAsia="ro-RO"/>
        </w:rPr>
        <w:t>emiterea deciziilor, în scopul asigurării veridicității datelor</w:t>
      </w:r>
      <w:r w:rsidR="00227218">
        <w:rPr>
          <w:rFonts w:asciiTheme="majorHAnsi" w:eastAsia="Calibri" w:hAnsiTheme="majorHAnsi" w:cstheme="majorHAnsi"/>
          <w:i/>
          <w:sz w:val="24"/>
          <w:szCs w:val="24"/>
          <w:lang w:val="ro-RO" w:eastAsia="ro-RO"/>
        </w:rPr>
        <w:t xml:space="preserve"> furnizate asupra stabilirii perioa</w:t>
      </w:r>
      <w:r w:rsidR="009309D8">
        <w:rPr>
          <w:rFonts w:asciiTheme="majorHAnsi" w:eastAsia="Calibri" w:hAnsiTheme="majorHAnsi" w:cstheme="majorHAnsi"/>
          <w:i/>
          <w:sz w:val="24"/>
          <w:szCs w:val="24"/>
          <w:lang w:val="ro-RO" w:eastAsia="ro-RO"/>
        </w:rPr>
        <w:t>dei de acordare a indemnizației, acesta fiind în proces de implementare.</w:t>
      </w:r>
    </w:p>
    <w:p w14:paraId="54471FF6" w14:textId="0A36BB24" w:rsidR="008F49A0" w:rsidRPr="008F49A0" w:rsidRDefault="00035B1B" w:rsidP="00CB1847">
      <w:pPr>
        <w:pStyle w:val="ListParagraph"/>
        <w:numPr>
          <w:ilvl w:val="1"/>
          <w:numId w:val="23"/>
        </w:numPr>
        <w:spacing w:after="240" w:line="276" w:lineRule="auto"/>
        <w:ind w:left="0" w:firstLine="0"/>
        <w:jc w:val="both"/>
        <w:outlineLvl w:val="1"/>
        <w:rPr>
          <w:rFonts w:asciiTheme="majorHAnsi" w:hAnsiTheme="majorHAnsi" w:cstheme="majorHAnsi"/>
          <w:lang w:val="ro-RO"/>
        </w:rPr>
      </w:pPr>
      <w:r>
        <w:rPr>
          <w:rFonts w:asciiTheme="majorHAnsi" w:hAnsiTheme="majorHAnsi" w:cstheme="majorHAnsi"/>
          <w:b/>
          <w:sz w:val="24"/>
          <w:szCs w:val="24"/>
          <w:lang w:val="ro-RO"/>
        </w:rPr>
        <w:t>La s</w:t>
      </w:r>
      <w:r w:rsidR="005F50E7">
        <w:rPr>
          <w:rFonts w:asciiTheme="majorHAnsi" w:hAnsiTheme="majorHAnsi" w:cstheme="majorHAnsi"/>
          <w:b/>
          <w:sz w:val="24"/>
          <w:szCs w:val="24"/>
          <w:lang w:val="ro-RO"/>
        </w:rPr>
        <w:t>tabilirea i</w:t>
      </w:r>
      <w:r w:rsidR="00EC619A" w:rsidRPr="008F49A0">
        <w:rPr>
          <w:rFonts w:asciiTheme="majorHAnsi" w:hAnsiTheme="majorHAnsi" w:cstheme="majorHAnsi"/>
          <w:b/>
          <w:sz w:val="24"/>
          <w:szCs w:val="24"/>
          <w:lang w:val="ro-RO"/>
        </w:rPr>
        <w:t>ndemnizației unice în legătură cu decesul pensionarului din râ</w:t>
      </w:r>
      <w:r>
        <w:rPr>
          <w:rFonts w:asciiTheme="majorHAnsi" w:hAnsiTheme="majorHAnsi" w:cstheme="majorHAnsi"/>
          <w:b/>
          <w:sz w:val="24"/>
          <w:szCs w:val="24"/>
          <w:lang w:val="ro-RO"/>
        </w:rPr>
        <w:t>ndul instituțiilor de forță</w:t>
      </w:r>
      <w:r w:rsidR="00E420A9">
        <w:rPr>
          <w:rFonts w:asciiTheme="majorHAnsi" w:hAnsiTheme="majorHAnsi" w:cstheme="majorHAnsi"/>
          <w:b/>
          <w:sz w:val="24"/>
          <w:szCs w:val="24"/>
          <w:lang w:val="ro-RO"/>
        </w:rPr>
        <w:t>,</w:t>
      </w:r>
      <w:r>
        <w:rPr>
          <w:rFonts w:asciiTheme="majorHAnsi" w:hAnsiTheme="majorHAnsi" w:cstheme="majorHAnsi"/>
          <w:b/>
          <w:sz w:val="24"/>
          <w:szCs w:val="24"/>
          <w:lang w:val="ro-RO"/>
        </w:rPr>
        <w:t xml:space="preserve"> s-au stabilit iregularități </w:t>
      </w:r>
      <w:r w:rsidR="0081727F" w:rsidRPr="008F49A0">
        <w:rPr>
          <w:rFonts w:asciiTheme="majorHAnsi" w:hAnsiTheme="majorHAnsi" w:cstheme="majorHAnsi"/>
          <w:b/>
          <w:sz w:val="24"/>
          <w:szCs w:val="24"/>
          <w:lang w:val="ro-RO"/>
        </w:rPr>
        <w:t xml:space="preserve">în valoare de </w:t>
      </w:r>
      <w:r w:rsidR="00C15C9D">
        <w:rPr>
          <w:rFonts w:asciiTheme="majorHAnsi" w:hAnsiTheme="majorHAnsi" w:cstheme="majorHAnsi"/>
          <w:b/>
          <w:sz w:val="24"/>
          <w:szCs w:val="24"/>
          <w:lang w:val="ro-RO"/>
        </w:rPr>
        <w:t>8,5 mii lei</w:t>
      </w:r>
      <w:r w:rsidR="00E420A9">
        <w:rPr>
          <w:rFonts w:asciiTheme="majorHAnsi" w:hAnsiTheme="majorHAnsi" w:cstheme="majorHAnsi"/>
          <w:b/>
          <w:sz w:val="24"/>
          <w:szCs w:val="24"/>
          <w:lang w:val="ro-RO"/>
        </w:rPr>
        <w:t>.</w:t>
      </w:r>
    </w:p>
    <w:p w14:paraId="3FB91A44" w14:textId="2E739787" w:rsidR="0091187A" w:rsidRPr="008F49A0" w:rsidRDefault="0091187A" w:rsidP="008F49A0">
      <w:pPr>
        <w:pStyle w:val="ListParagraph"/>
        <w:spacing w:after="240" w:line="276" w:lineRule="auto"/>
        <w:ind w:left="0"/>
        <w:jc w:val="both"/>
        <w:rPr>
          <w:rFonts w:asciiTheme="majorHAnsi" w:hAnsiTheme="majorHAnsi" w:cstheme="majorHAnsi"/>
          <w:sz w:val="24"/>
          <w:szCs w:val="24"/>
          <w:lang w:val="ro-RO"/>
        </w:rPr>
      </w:pPr>
      <w:r w:rsidRPr="008F49A0">
        <w:rPr>
          <w:rFonts w:asciiTheme="majorHAnsi" w:hAnsiTheme="majorHAnsi" w:cstheme="majorHAnsi"/>
          <w:sz w:val="24"/>
          <w:szCs w:val="24"/>
          <w:lang w:val="ro-RO"/>
        </w:rPr>
        <w:t>În anul 2020</w:t>
      </w:r>
      <w:r w:rsidR="00E420A9">
        <w:rPr>
          <w:rFonts w:asciiTheme="majorHAnsi" w:hAnsiTheme="majorHAnsi" w:cstheme="majorHAnsi"/>
          <w:sz w:val="24"/>
          <w:szCs w:val="24"/>
          <w:lang w:val="ro-RO"/>
        </w:rPr>
        <w:t>,</w:t>
      </w:r>
      <w:r w:rsidRPr="008F49A0">
        <w:rPr>
          <w:rFonts w:asciiTheme="majorHAnsi" w:hAnsiTheme="majorHAnsi" w:cstheme="majorHAnsi"/>
          <w:sz w:val="24"/>
          <w:szCs w:val="24"/>
          <w:lang w:val="ro-RO"/>
        </w:rPr>
        <w:t xml:space="preserve"> de indemnizație unică în legătură cu decesul pensionarului din rândul instituțiilor de forță au beneficiat 250 de urmași, cu suma totală de 2 537,4 mii lei, </w:t>
      </w:r>
      <w:r w:rsidR="00E420A9">
        <w:rPr>
          <w:rFonts w:asciiTheme="majorHAnsi" w:hAnsiTheme="majorHAnsi" w:cstheme="majorHAnsi"/>
          <w:sz w:val="24"/>
          <w:szCs w:val="24"/>
          <w:lang w:val="ro-RO"/>
        </w:rPr>
        <w:t xml:space="preserve">ceea </w:t>
      </w:r>
      <w:r w:rsidRPr="008F49A0">
        <w:rPr>
          <w:rFonts w:asciiTheme="majorHAnsi" w:hAnsiTheme="majorHAnsi" w:cstheme="majorHAnsi"/>
          <w:sz w:val="24"/>
          <w:szCs w:val="24"/>
          <w:lang w:val="ro-RO"/>
        </w:rPr>
        <w:t>ce constituie 4,2% din cheltuielile pentru indemnizații</w:t>
      </w:r>
      <w:r w:rsidR="00920C23">
        <w:rPr>
          <w:rFonts w:asciiTheme="majorHAnsi" w:hAnsiTheme="majorHAnsi" w:cstheme="majorHAnsi"/>
          <w:sz w:val="24"/>
          <w:szCs w:val="24"/>
          <w:lang w:val="ro-RO"/>
        </w:rPr>
        <w:t>le</w:t>
      </w:r>
      <w:r w:rsidRPr="008F49A0">
        <w:rPr>
          <w:rFonts w:asciiTheme="majorHAnsi" w:hAnsiTheme="majorHAnsi" w:cstheme="majorHAnsi"/>
          <w:sz w:val="24"/>
          <w:szCs w:val="24"/>
          <w:lang w:val="ro-RO"/>
        </w:rPr>
        <w:t xml:space="preserve"> de asistenț</w:t>
      </w:r>
      <w:r w:rsidR="00920C23">
        <w:rPr>
          <w:rFonts w:asciiTheme="majorHAnsi" w:hAnsiTheme="majorHAnsi" w:cstheme="majorHAnsi"/>
          <w:sz w:val="24"/>
          <w:szCs w:val="24"/>
          <w:lang w:val="ro-RO"/>
        </w:rPr>
        <w:t>ă</w:t>
      </w:r>
      <w:r w:rsidRPr="008F49A0">
        <w:rPr>
          <w:rFonts w:asciiTheme="majorHAnsi" w:hAnsiTheme="majorHAnsi" w:cstheme="majorHAnsi"/>
          <w:sz w:val="24"/>
          <w:szCs w:val="24"/>
          <w:lang w:val="ro-RO"/>
        </w:rPr>
        <w:t xml:space="preserve"> socială, mijloace din bugetul de stat. Conform prevederilor cadrului legal</w:t>
      </w:r>
      <w:r w:rsidRPr="008F49A0">
        <w:rPr>
          <w:rStyle w:val="FootnoteReference"/>
          <w:rFonts w:asciiTheme="majorHAnsi" w:hAnsiTheme="majorHAnsi" w:cstheme="majorHAnsi"/>
          <w:sz w:val="24"/>
          <w:szCs w:val="24"/>
          <w:lang w:val="ro-RO"/>
        </w:rPr>
        <w:footnoteReference w:id="54"/>
      </w:r>
      <w:r w:rsidRPr="008F49A0">
        <w:rPr>
          <w:rFonts w:asciiTheme="majorHAnsi" w:hAnsiTheme="majorHAnsi" w:cstheme="majorHAnsi"/>
          <w:sz w:val="24"/>
          <w:szCs w:val="24"/>
          <w:lang w:val="ro-RO"/>
        </w:rPr>
        <w:t>, de indemnizație unică beneficiază numai soțiile și copiii pensionarilor decedați, în cuantumul individual pentru fiecare în parte stabilit de legislație.</w:t>
      </w:r>
    </w:p>
    <w:p w14:paraId="35A81DFC" w14:textId="087E5671" w:rsidR="0091187A" w:rsidRDefault="00920C23" w:rsidP="00035B1B">
      <w:pPr>
        <w:pStyle w:val="NormalWeb"/>
        <w:spacing w:after="240" w:line="276" w:lineRule="auto"/>
        <w:ind w:firstLine="0"/>
        <w:rPr>
          <w:rFonts w:asciiTheme="majorHAnsi" w:eastAsiaTheme="minorHAnsi" w:hAnsiTheme="majorHAnsi" w:cstheme="majorHAnsi"/>
          <w:lang w:val="ro-RO"/>
        </w:rPr>
      </w:pPr>
      <w:r>
        <w:rPr>
          <w:rFonts w:asciiTheme="majorHAnsi" w:eastAsiaTheme="minorHAnsi" w:hAnsiTheme="majorHAnsi" w:cstheme="majorHAnsi"/>
          <w:lang w:val="ro-RO"/>
        </w:rPr>
        <w:t>I</w:t>
      </w:r>
      <w:r w:rsidR="008F49A0">
        <w:rPr>
          <w:rFonts w:asciiTheme="majorHAnsi" w:eastAsiaTheme="minorHAnsi" w:hAnsiTheme="majorHAnsi" w:cstheme="majorHAnsi"/>
          <w:lang w:val="ro-RO"/>
        </w:rPr>
        <w:t>ndemnizația unică s-a</w:t>
      </w:r>
      <w:r w:rsidR="0091187A" w:rsidRPr="0091187A">
        <w:rPr>
          <w:rFonts w:asciiTheme="majorHAnsi" w:eastAsiaTheme="minorHAnsi" w:hAnsiTheme="majorHAnsi" w:cstheme="majorHAnsi"/>
          <w:lang w:val="ro-RO"/>
        </w:rPr>
        <w:t xml:space="preserve"> acord</w:t>
      </w:r>
      <w:r w:rsidR="008F49A0">
        <w:rPr>
          <w:rFonts w:asciiTheme="majorHAnsi" w:eastAsiaTheme="minorHAnsi" w:hAnsiTheme="majorHAnsi" w:cstheme="majorHAnsi"/>
          <w:lang w:val="ro-RO"/>
        </w:rPr>
        <w:t>at</w:t>
      </w:r>
      <w:r w:rsidR="0091187A" w:rsidRPr="0091187A">
        <w:rPr>
          <w:rFonts w:asciiTheme="majorHAnsi" w:eastAsiaTheme="minorHAnsi" w:hAnsiTheme="majorHAnsi" w:cstheme="majorHAnsi"/>
          <w:lang w:val="ro-RO"/>
        </w:rPr>
        <w:t xml:space="preserve"> persoanelor eligibile și în cuantumul cuvenit, însă din 60 d</w:t>
      </w:r>
      <w:r w:rsidR="0091187A">
        <w:rPr>
          <w:rFonts w:asciiTheme="majorHAnsi" w:eastAsiaTheme="minorHAnsi" w:hAnsiTheme="majorHAnsi" w:cstheme="majorHAnsi"/>
          <w:lang w:val="ro-RO"/>
        </w:rPr>
        <w:t>e dosare verificate de audit, s-a constat</w:t>
      </w:r>
      <w:r>
        <w:rPr>
          <w:rFonts w:asciiTheme="majorHAnsi" w:eastAsiaTheme="minorHAnsi" w:hAnsiTheme="majorHAnsi" w:cstheme="majorHAnsi"/>
          <w:lang w:val="ro-RO"/>
        </w:rPr>
        <w:t>at</w:t>
      </w:r>
      <w:r w:rsidR="00F738F5">
        <w:rPr>
          <w:rFonts w:asciiTheme="majorHAnsi" w:eastAsiaTheme="minorHAnsi" w:hAnsiTheme="majorHAnsi" w:cstheme="majorHAnsi"/>
          <w:lang w:val="ro-RO"/>
        </w:rPr>
        <w:t xml:space="preserve"> un caz </w:t>
      </w:r>
      <w:r w:rsidR="0091187A" w:rsidRPr="0091187A">
        <w:rPr>
          <w:rFonts w:asciiTheme="majorHAnsi" w:eastAsiaTheme="minorHAnsi" w:hAnsiTheme="majorHAnsi" w:cstheme="majorHAnsi"/>
          <w:lang w:val="ro-RO"/>
        </w:rPr>
        <w:t xml:space="preserve">de neacordare a </w:t>
      </w:r>
      <w:r>
        <w:rPr>
          <w:rFonts w:asciiTheme="majorHAnsi" w:eastAsiaTheme="minorHAnsi" w:hAnsiTheme="majorHAnsi" w:cstheme="majorHAnsi"/>
          <w:lang w:val="ro-RO"/>
        </w:rPr>
        <w:t>i</w:t>
      </w:r>
      <w:r w:rsidR="0091187A" w:rsidRPr="0091187A">
        <w:rPr>
          <w:rFonts w:asciiTheme="majorHAnsi" w:eastAsiaTheme="minorHAnsi" w:hAnsiTheme="majorHAnsi" w:cstheme="majorHAnsi"/>
          <w:lang w:val="ro-RO"/>
        </w:rPr>
        <w:t>ndemnizației un</w:t>
      </w:r>
      <w:r w:rsidR="00F738F5">
        <w:rPr>
          <w:rFonts w:asciiTheme="majorHAnsi" w:eastAsiaTheme="minorHAnsi" w:hAnsiTheme="majorHAnsi" w:cstheme="majorHAnsi"/>
          <w:lang w:val="ro-RO"/>
        </w:rPr>
        <w:t xml:space="preserve">ice tuturor membrilor familiei în sumă de 8,5 mii lei, determinată de lipsa de </w:t>
      </w:r>
      <w:r w:rsidR="0091187A" w:rsidRPr="0091187A">
        <w:rPr>
          <w:rFonts w:asciiTheme="majorHAnsi" w:eastAsiaTheme="minorHAnsi" w:hAnsiTheme="majorHAnsi" w:cstheme="majorHAnsi"/>
          <w:lang w:val="ro-RO"/>
        </w:rPr>
        <w:t xml:space="preserve">îndrumare în </w:t>
      </w:r>
      <w:r w:rsidR="0091187A" w:rsidRPr="00671E4A">
        <w:rPr>
          <w:rFonts w:asciiTheme="majorHAnsi" w:eastAsiaTheme="minorHAnsi" w:hAnsiTheme="majorHAnsi" w:cstheme="majorHAnsi"/>
          <w:lang w:val="ro-MD"/>
        </w:rPr>
        <w:t>aplicarea dispoziţiilor</w:t>
      </w:r>
      <w:r w:rsidR="0091187A" w:rsidRPr="0091187A">
        <w:rPr>
          <w:rFonts w:asciiTheme="majorHAnsi" w:eastAsiaTheme="minorHAnsi" w:hAnsiTheme="majorHAnsi" w:cstheme="majorHAnsi"/>
          <w:lang w:val="ro-RO"/>
        </w:rPr>
        <w:t xml:space="preserve"> legale de cătr</w:t>
      </w:r>
      <w:r w:rsidR="00F738F5">
        <w:rPr>
          <w:rFonts w:asciiTheme="majorHAnsi" w:eastAsiaTheme="minorHAnsi" w:hAnsiTheme="majorHAnsi" w:cstheme="majorHAnsi"/>
          <w:lang w:val="ro-RO"/>
        </w:rPr>
        <w:t xml:space="preserve">e persoanele fizice </w:t>
      </w:r>
      <w:r w:rsidR="0091187A" w:rsidRPr="0091187A">
        <w:rPr>
          <w:rFonts w:asciiTheme="majorHAnsi" w:eastAsiaTheme="minorHAnsi" w:hAnsiTheme="majorHAnsi" w:cstheme="majorHAnsi"/>
          <w:lang w:val="ro-RO"/>
        </w:rPr>
        <w:t>cărora le revin drepturi conform sistemulu</w:t>
      </w:r>
      <w:r w:rsidR="00F738F5">
        <w:rPr>
          <w:rFonts w:asciiTheme="majorHAnsi" w:eastAsiaTheme="minorHAnsi" w:hAnsiTheme="majorHAnsi" w:cstheme="majorHAnsi"/>
          <w:lang w:val="ro-RO"/>
        </w:rPr>
        <w:t>i public de asigurări sociale</w:t>
      </w:r>
      <w:r>
        <w:rPr>
          <w:rFonts w:asciiTheme="majorHAnsi" w:eastAsiaTheme="minorHAnsi" w:hAnsiTheme="majorHAnsi" w:cstheme="majorHAnsi"/>
          <w:lang w:val="ro-RO"/>
        </w:rPr>
        <w:t>,</w:t>
      </w:r>
      <w:r w:rsidR="00F738F5">
        <w:rPr>
          <w:rFonts w:asciiTheme="majorHAnsi" w:eastAsiaTheme="minorHAnsi" w:hAnsiTheme="majorHAnsi" w:cstheme="majorHAnsi"/>
          <w:lang w:val="ro-RO"/>
        </w:rPr>
        <w:t xml:space="preserve"> funcție ce îi revine CNAS</w:t>
      </w:r>
      <w:r w:rsidR="00F738F5">
        <w:rPr>
          <w:rStyle w:val="FootnoteReference"/>
          <w:rFonts w:asciiTheme="majorHAnsi" w:eastAsiaTheme="minorHAnsi" w:hAnsiTheme="majorHAnsi" w:cstheme="majorHAnsi"/>
          <w:lang w:val="ro-RO"/>
        </w:rPr>
        <w:footnoteReference w:id="55"/>
      </w:r>
      <w:r w:rsidR="0091187A" w:rsidRPr="0091187A">
        <w:rPr>
          <w:rFonts w:asciiTheme="majorHAnsi" w:eastAsiaTheme="minorHAnsi" w:hAnsiTheme="majorHAnsi" w:cstheme="majorHAnsi"/>
          <w:lang w:val="ro-RO"/>
        </w:rPr>
        <w:t>.</w:t>
      </w:r>
    </w:p>
    <w:p w14:paraId="09AE68F2" w14:textId="0202F88A" w:rsidR="00035B1B" w:rsidRDefault="004E6DAE" w:rsidP="00035B1B">
      <w:pPr>
        <w:pStyle w:val="Normal1"/>
        <w:numPr>
          <w:ilvl w:val="1"/>
          <w:numId w:val="23"/>
        </w:numPr>
        <w:spacing w:before="0" w:beforeAutospacing="0" w:after="0" w:afterAutospacing="0" w:line="276" w:lineRule="auto"/>
        <w:ind w:left="0" w:right="50" w:firstLine="0"/>
        <w:jc w:val="both"/>
        <w:outlineLvl w:val="1"/>
        <w:rPr>
          <w:rFonts w:asciiTheme="majorHAnsi" w:hAnsiTheme="majorHAnsi" w:cstheme="majorHAnsi"/>
          <w:b/>
          <w:lang w:val="ro-RO"/>
        </w:rPr>
      </w:pPr>
      <w:r w:rsidRPr="00341E6C">
        <w:rPr>
          <w:rFonts w:asciiTheme="majorHAnsi" w:hAnsiTheme="majorHAnsi" w:cstheme="majorHAnsi"/>
          <w:b/>
          <w:lang w:val="ro-RO"/>
        </w:rPr>
        <w:t xml:space="preserve">Situația epidemiologică de durată a impus instituirea unor măsuri </w:t>
      </w:r>
      <w:r w:rsidR="007334C1" w:rsidRPr="00341E6C">
        <w:rPr>
          <w:rFonts w:asciiTheme="majorHAnsi" w:hAnsiTheme="majorHAnsi" w:cstheme="majorHAnsi"/>
          <w:b/>
          <w:lang w:val="ro-RO"/>
        </w:rPr>
        <w:t xml:space="preserve">necesare susținerii cetățenilor, precum și </w:t>
      </w:r>
      <w:r w:rsidR="003D1A1E" w:rsidRPr="00341E6C">
        <w:rPr>
          <w:rFonts w:asciiTheme="majorHAnsi" w:hAnsiTheme="majorHAnsi" w:cstheme="majorHAnsi"/>
          <w:b/>
          <w:lang w:val="ro-RO"/>
        </w:rPr>
        <w:t xml:space="preserve">în </w:t>
      </w:r>
      <w:r w:rsidR="007334C1" w:rsidRPr="00341E6C">
        <w:rPr>
          <w:rFonts w:asciiTheme="majorHAnsi" w:hAnsiTheme="majorHAnsi"/>
          <w:b/>
          <w:shd w:val="clear" w:color="auto" w:fill="FFFFFF"/>
          <w:lang w:val="ro-RO"/>
        </w:rPr>
        <w:t>scop</w:t>
      </w:r>
      <w:r w:rsidR="003D1A1E" w:rsidRPr="00341E6C">
        <w:rPr>
          <w:rFonts w:asciiTheme="majorHAnsi" w:hAnsiTheme="majorHAnsi"/>
          <w:b/>
          <w:shd w:val="clear" w:color="auto" w:fill="FFFFFF"/>
          <w:lang w:val="ro-RO"/>
        </w:rPr>
        <w:t>ul</w:t>
      </w:r>
      <w:r w:rsidR="007334C1" w:rsidRPr="00341E6C">
        <w:rPr>
          <w:rFonts w:asciiTheme="majorHAnsi" w:hAnsiTheme="majorHAnsi"/>
          <w:b/>
          <w:shd w:val="clear" w:color="auto" w:fill="FFFFFF"/>
          <w:lang w:val="ro-RO"/>
        </w:rPr>
        <w:t xml:space="preserve"> oferir</w:t>
      </w:r>
      <w:r w:rsidR="003D1A1E" w:rsidRPr="00341E6C">
        <w:rPr>
          <w:rFonts w:asciiTheme="majorHAnsi" w:hAnsiTheme="majorHAnsi"/>
          <w:b/>
          <w:shd w:val="clear" w:color="auto" w:fill="FFFFFF"/>
          <w:lang w:val="ro-RO"/>
        </w:rPr>
        <w:t>ii</w:t>
      </w:r>
      <w:r w:rsidR="007334C1" w:rsidRPr="00341E6C">
        <w:rPr>
          <w:rFonts w:asciiTheme="majorHAnsi" w:hAnsiTheme="majorHAnsi"/>
          <w:b/>
          <w:shd w:val="clear" w:color="auto" w:fill="FFFFFF"/>
          <w:lang w:val="ro-RO"/>
        </w:rPr>
        <w:t xml:space="preserve"> serviciilor în condiții de siguranță atât pentru cetățeni</w:t>
      </w:r>
      <w:r w:rsidR="00920C23">
        <w:rPr>
          <w:rFonts w:asciiTheme="majorHAnsi" w:hAnsiTheme="majorHAnsi"/>
          <w:b/>
          <w:shd w:val="clear" w:color="auto" w:fill="FFFFFF"/>
          <w:lang w:val="ro-RO"/>
        </w:rPr>
        <w:t>,</w:t>
      </w:r>
      <w:r w:rsidR="007334C1" w:rsidRPr="00341E6C">
        <w:rPr>
          <w:rFonts w:asciiTheme="majorHAnsi" w:hAnsiTheme="majorHAnsi"/>
          <w:b/>
          <w:shd w:val="clear" w:color="auto" w:fill="FFFFFF"/>
          <w:lang w:val="ro-RO"/>
        </w:rPr>
        <w:t xml:space="preserve"> cât ș</w:t>
      </w:r>
      <w:r w:rsidR="000D7C07">
        <w:rPr>
          <w:rFonts w:asciiTheme="majorHAnsi" w:hAnsiTheme="majorHAnsi"/>
          <w:b/>
          <w:shd w:val="clear" w:color="auto" w:fill="FFFFFF"/>
          <w:lang w:val="ro-RO"/>
        </w:rPr>
        <w:t>i pentru angajații CNAS</w:t>
      </w:r>
      <w:r w:rsidR="00920C23">
        <w:rPr>
          <w:rFonts w:asciiTheme="majorHAnsi" w:hAnsiTheme="majorHAnsi"/>
          <w:b/>
          <w:shd w:val="clear" w:color="auto" w:fill="FFFFFF"/>
          <w:lang w:val="ro-RO"/>
        </w:rPr>
        <w:t>.</w:t>
      </w:r>
    </w:p>
    <w:p w14:paraId="11784C82" w14:textId="77777777" w:rsidR="00035B1B" w:rsidRDefault="00035B1B" w:rsidP="00E21171">
      <w:pPr>
        <w:pStyle w:val="Normal1"/>
        <w:spacing w:before="0" w:beforeAutospacing="0" w:after="0" w:afterAutospacing="0" w:line="276" w:lineRule="auto"/>
        <w:ind w:right="50"/>
        <w:jc w:val="both"/>
        <w:rPr>
          <w:rFonts w:asciiTheme="majorHAnsi" w:hAnsiTheme="majorHAnsi" w:cstheme="majorHAnsi"/>
          <w:b/>
          <w:lang w:val="ro-RO"/>
        </w:rPr>
      </w:pPr>
    </w:p>
    <w:p w14:paraId="6C6ED457" w14:textId="17177361" w:rsidR="007334C1" w:rsidRPr="00341E6C" w:rsidRDefault="00035B1B" w:rsidP="00035B1B">
      <w:pPr>
        <w:pStyle w:val="Normal1"/>
        <w:spacing w:before="0" w:beforeAutospacing="0" w:after="0" w:afterAutospacing="0" w:line="276" w:lineRule="auto"/>
        <w:ind w:right="50"/>
        <w:jc w:val="both"/>
        <w:rPr>
          <w:rFonts w:asciiTheme="majorHAnsi" w:hAnsiTheme="majorHAnsi" w:cstheme="majorHAnsi"/>
          <w:b/>
          <w:lang w:val="ro-RO"/>
        </w:rPr>
      </w:pPr>
      <w:r w:rsidRPr="00035B1B">
        <w:rPr>
          <w:rFonts w:asciiTheme="majorHAnsi" w:hAnsiTheme="majorHAnsi"/>
          <w:b/>
          <w:shd w:val="clear" w:color="auto" w:fill="FFFFFF"/>
          <w:lang w:val="ro-RO"/>
        </w:rPr>
        <w:t>Astfel</w:t>
      </w:r>
      <w:r w:rsidR="00655988">
        <w:rPr>
          <w:rFonts w:asciiTheme="majorHAnsi" w:hAnsiTheme="majorHAnsi"/>
          <w:b/>
          <w:shd w:val="clear" w:color="auto" w:fill="FFFFFF"/>
          <w:lang w:val="ro-RO"/>
        </w:rPr>
        <w:t>,</w:t>
      </w:r>
      <w:r>
        <w:rPr>
          <w:rFonts w:asciiTheme="majorHAnsi" w:hAnsiTheme="majorHAnsi"/>
          <w:b/>
          <w:shd w:val="clear" w:color="auto" w:fill="FFFFFF"/>
          <w:lang w:val="ro-RO"/>
        </w:rPr>
        <w:t xml:space="preserve"> se denotă că</w:t>
      </w:r>
      <w:r w:rsidRPr="00035B1B">
        <w:rPr>
          <w:rFonts w:asciiTheme="majorHAnsi" w:hAnsiTheme="majorHAnsi"/>
          <w:b/>
          <w:shd w:val="clear" w:color="auto" w:fill="FFFFFF"/>
          <w:lang w:val="ro-RO"/>
        </w:rPr>
        <w:t>:</w:t>
      </w:r>
      <w:r w:rsidR="007334C1" w:rsidRPr="00035B1B">
        <w:rPr>
          <w:rFonts w:asciiTheme="majorHAnsi" w:hAnsiTheme="majorHAnsi"/>
          <w:b/>
          <w:shd w:val="clear" w:color="auto" w:fill="FFFFFF"/>
          <w:lang w:val="ro-RO"/>
        </w:rPr>
        <w:t xml:space="preserve"> </w:t>
      </w:r>
    </w:p>
    <w:p w14:paraId="64C44CB9" w14:textId="32641E6E" w:rsidR="00362E1D" w:rsidRPr="00341E6C" w:rsidRDefault="00035B1B" w:rsidP="005C0729">
      <w:pPr>
        <w:pStyle w:val="Normal1"/>
        <w:numPr>
          <w:ilvl w:val="2"/>
          <w:numId w:val="23"/>
        </w:numPr>
        <w:spacing w:before="0" w:beforeAutospacing="0" w:after="0" w:afterAutospacing="0" w:line="276" w:lineRule="auto"/>
        <w:ind w:left="0" w:right="50" w:firstLine="0"/>
        <w:jc w:val="both"/>
        <w:outlineLvl w:val="2"/>
        <w:rPr>
          <w:rFonts w:asciiTheme="majorHAnsi" w:hAnsiTheme="majorHAnsi"/>
          <w:b/>
          <w:lang w:val="ro-RO"/>
        </w:rPr>
      </w:pPr>
      <w:r>
        <w:rPr>
          <w:rFonts w:asciiTheme="majorHAnsi" w:hAnsiTheme="majorHAnsi" w:cstheme="majorHAnsi"/>
          <w:b/>
          <w:lang w:val="ro-RO"/>
        </w:rPr>
        <w:t>d</w:t>
      </w:r>
      <w:r w:rsidR="00362E1D" w:rsidRPr="00341E6C">
        <w:rPr>
          <w:rFonts w:asciiTheme="majorHAnsi" w:hAnsiTheme="majorHAnsi" w:cstheme="majorHAnsi"/>
          <w:b/>
          <w:lang w:val="ro-RO"/>
        </w:rPr>
        <w:t>istribuirea prestațiilor</w:t>
      </w:r>
      <w:r w:rsidR="00920B19" w:rsidRPr="00341E6C">
        <w:rPr>
          <w:rFonts w:asciiTheme="majorHAnsi" w:hAnsiTheme="majorHAnsi" w:cstheme="majorHAnsi"/>
          <w:b/>
          <w:lang w:val="ro-RO"/>
        </w:rPr>
        <w:t xml:space="preserve"> sociale</w:t>
      </w:r>
      <w:r w:rsidR="00BC2D84" w:rsidRPr="00341E6C">
        <w:rPr>
          <w:rFonts w:asciiTheme="majorHAnsi" w:hAnsiTheme="majorHAnsi" w:cstheme="majorHAnsi"/>
          <w:b/>
          <w:lang w:val="ro-RO"/>
        </w:rPr>
        <w:t xml:space="preserve"> la domiciliu</w:t>
      </w:r>
      <w:r w:rsidR="00920B19" w:rsidRPr="00341E6C">
        <w:rPr>
          <w:rFonts w:asciiTheme="majorHAnsi" w:hAnsiTheme="majorHAnsi" w:cstheme="majorHAnsi"/>
          <w:b/>
          <w:lang w:val="ro-RO"/>
        </w:rPr>
        <w:t xml:space="preserve"> </w:t>
      </w:r>
      <w:r w:rsidR="00971A20" w:rsidRPr="00341E6C">
        <w:rPr>
          <w:rFonts w:asciiTheme="majorHAnsi" w:hAnsiTheme="majorHAnsi" w:cstheme="majorHAnsi"/>
          <w:b/>
          <w:lang w:val="ro-RO"/>
        </w:rPr>
        <w:t xml:space="preserve">de către Î.S. </w:t>
      </w:r>
      <w:r w:rsidR="00971A20">
        <w:rPr>
          <w:rFonts w:asciiTheme="majorHAnsi" w:hAnsiTheme="majorHAnsi" w:cstheme="majorHAnsi"/>
          <w:b/>
          <w:lang w:val="ro-RO"/>
        </w:rPr>
        <w:t>„</w:t>
      </w:r>
      <w:r w:rsidR="00971A20" w:rsidRPr="00341E6C">
        <w:rPr>
          <w:rFonts w:asciiTheme="majorHAnsi" w:hAnsiTheme="majorHAnsi" w:cstheme="majorHAnsi"/>
          <w:b/>
          <w:lang w:val="ro-RO"/>
        </w:rPr>
        <w:t>Poșta Moldovei</w:t>
      </w:r>
      <w:r w:rsidR="00971A20">
        <w:rPr>
          <w:rFonts w:asciiTheme="majorHAnsi" w:hAnsiTheme="majorHAnsi" w:cstheme="majorHAnsi"/>
          <w:b/>
          <w:lang w:val="ro-RO"/>
        </w:rPr>
        <w:t>”</w:t>
      </w:r>
      <w:r w:rsidR="00971A20" w:rsidRPr="00341E6C">
        <w:rPr>
          <w:rFonts w:asciiTheme="majorHAnsi" w:hAnsiTheme="majorHAnsi" w:cstheme="majorHAnsi"/>
          <w:b/>
          <w:lang w:val="ro-RO"/>
        </w:rPr>
        <w:t xml:space="preserve"> </w:t>
      </w:r>
      <w:r w:rsidR="00920B19" w:rsidRPr="00341E6C">
        <w:rPr>
          <w:rFonts w:asciiTheme="majorHAnsi" w:hAnsiTheme="majorHAnsi" w:cstheme="majorHAnsi"/>
          <w:b/>
          <w:lang w:val="ro-RO"/>
        </w:rPr>
        <w:t>pe perioada stării de urgență</w:t>
      </w:r>
      <w:r w:rsidR="00971A20">
        <w:rPr>
          <w:rFonts w:asciiTheme="majorHAnsi" w:hAnsiTheme="majorHAnsi" w:cstheme="majorHAnsi"/>
          <w:b/>
          <w:lang w:val="ro-RO"/>
        </w:rPr>
        <w:t xml:space="preserve"> generată de COVID-19</w:t>
      </w:r>
      <w:r w:rsidR="00920B19" w:rsidRPr="00341E6C">
        <w:rPr>
          <w:rFonts w:asciiTheme="majorHAnsi" w:hAnsiTheme="majorHAnsi" w:cstheme="majorHAnsi"/>
          <w:b/>
          <w:lang w:val="ro-RO"/>
        </w:rPr>
        <w:t xml:space="preserve">, </w:t>
      </w:r>
      <w:r w:rsidR="00A64F00">
        <w:rPr>
          <w:rFonts w:asciiTheme="majorHAnsi" w:hAnsiTheme="majorHAnsi" w:cstheme="majorHAnsi"/>
          <w:b/>
          <w:lang w:val="ro-RO"/>
        </w:rPr>
        <w:t xml:space="preserve">a fost asigurată parțial, ceea ce a determinat </w:t>
      </w:r>
      <w:r w:rsidR="00B60EC4">
        <w:rPr>
          <w:rFonts w:asciiTheme="majorHAnsi" w:hAnsiTheme="majorHAnsi" w:cstheme="majorHAnsi"/>
          <w:b/>
          <w:lang w:val="ro-RO"/>
        </w:rPr>
        <w:t xml:space="preserve">că 37,2 </w:t>
      </w:r>
      <w:r w:rsidR="00881B38">
        <w:rPr>
          <w:rFonts w:asciiTheme="majorHAnsi" w:hAnsiTheme="majorHAnsi" w:cstheme="majorHAnsi"/>
          <w:b/>
          <w:lang w:val="ro-RO"/>
        </w:rPr>
        <w:t xml:space="preserve">mii </w:t>
      </w:r>
      <w:r w:rsidR="00655988">
        <w:rPr>
          <w:rFonts w:asciiTheme="majorHAnsi" w:hAnsiTheme="majorHAnsi" w:cstheme="majorHAnsi"/>
          <w:b/>
          <w:lang w:val="ro-RO"/>
        </w:rPr>
        <w:t xml:space="preserve">de </w:t>
      </w:r>
      <w:r w:rsidR="00B60EC4">
        <w:rPr>
          <w:rFonts w:asciiTheme="majorHAnsi" w:hAnsiTheme="majorHAnsi" w:cstheme="majorHAnsi"/>
          <w:b/>
          <w:lang w:val="ro-RO"/>
        </w:rPr>
        <w:t xml:space="preserve">pensii nu au fost achitate, iar </w:t>
      </w:r>
      <w:r w:rsidR="00A64F00" w:rsidRPr="00341E6C">
        <w:rPr>
          <w:rFonts w:asciiTheme="majorHAnsi" w:hAnsiTheme="majorHAnsi" w:cstheme="majorHAnsi"/>
          <w:b/>
          <w:lang w:val="ro-RO"/>
        </w:rPr>
        <w:t xml:space="preserve">beneficiarii nu și-au putut realiza dreptul </w:t>
      </w:r>
      <w:r w:rsidR="00A64F00">
        <w:rPr>
          <w:rFonts w:asciiTheme="majorHAnsi" w:hAnsiTheme="majorHAnsi" w:cstheme="majorHAnsi"/>
          <w:b/>
          <w:lang w:val="ro-RO"/>
        </w:rPr>
        <w:t xml:space="preserve">în termeni utili în </w:t>
      </w:r>
      <w:r w:rsidR="00920B19" w:rsidRPr="00341E6C">
        <w:rPr>
          <w:rFonts w:asciiTheme="majorHAnsi" w:hAnsiTheme="majorHAnsi" w:cstheme="majorHAnsi"/>
          <w:b/>
          <w:lang w:val="ro-RO"/>
        </w:rPr>
        <w:t>condițiile restricț</w:t>
      </w:r>
      <w:r w:rsidR="000D7C07">
        <w:rPr>
          <w:rFonts w:asciiTheme="majorHAnsi" w:hAnsiTheme="majorHAnsi" w:cstheme="majorHAnsi"/>
          <w:b/>
          <w:lang w:val="ro-RO"/>
        </w:rPr>
        <w:t>iilor impuse</w:t>
      </w:r>
      <w:r w:rsidR="00655988">
        <w:rPr>
          <w:rFonts w:asciiTheme="majorHAnsi" w:hAnsiTheme="majorHAnsi" w:cstheme="majorHAnsi"/>
          <w:b/>
          <w:lang w:val="ro-RO"/>
        </w:rPr>
        <w:t>.</w:t>
      </w:r>
    </w:p>
    <w:p w14:paraId="6ED6BEA0" w14:textId="2AD4AF6E" w:rsidR="00DE6C7D" w:rsidRDefault="003020EC" w:rsidP="00E7122D">
      <w:pPr>
        <w:pStyle w:val="Normal1"/>
        <w:spacing w:before="0" w:beforeAutospacing="0" w:after="0" w:afterAutospacing="0" w:line="276" w:lineRule="auto"/>
        <w:ind w:right="50"/>
        <w:jc w:val="both"/>
        <w:rPr>
          <w:rFonts w:asciiTheme="majorHAnsi" w:eastAsia="Calibri" w:hAnsiTheme="majorHAnsi" w:cstheme="majorHAnsi"/>
          <w:color w:val="000000" w:themeColor="text1"/>
          <w:lang w:val="ro-RO"/>
        </w:rPr>
      </w:pPr>
      <w:r w:rsidRPr="00341E6C">
        <w:rPr>
          <w:rFonts w:asciiTheme="majorHAnsi" w:hAnsiTheme="majorHAnsi" w:cstheme="majorHAnsi"/>
          <w:lang w:val="ro-RO"/>
        </w:rPr>
        <w:t>Odată cu instituire</w:t>
      </w:r>
      <w:r w:rsidR="00AD246C">
        <w:rPr>
          <w:rFonts w:asciiTheme="majorHAnsi" w:hAnsiTheme="majorHAnsi" w:cstheme="majorHAnsi"/>
          <w:lang w:val="ro-RO"/>
        </w:rPr>
        <w:t>a</w:t>
      </w:r>
      <w:r w:rsidRPr="00341E6C">
        <w:rPr>
          <w:rFonts w:asciiTheme="majorHAnsi" w:hAnsiTheme="majorHAnsi" w:cstheme="majorHAnsi"/>
          <w:lang w:val="ro-RO"/>
        </w:rPr>
        <w:t xml:space="preserve"> stării de urgență pe teritoriul Republicii Moldova,</w:t>
      </w:r>
      <w:r w:rsidR="00AA145E" w:rsidRPr="00341E6C">
        <w:rPr>
          <w:rFonts w:asciiTheme="majorHAnsi" w:hAnsiTheme="majorHAnsi" w:cstheme="majorHAnsi"/>
          <w:lang w:val="ro-RO"/>
        </w:rPr>
        <w:t xml:space="preserve"> Î.S.</w:t>
      </w:r>
      <w:r w:rsidRPr="00341E6C">
        <w:rPr>
          <w:rFonts w:asciiTheme="majorHAnsi" w:hAnsiTheme="majorHAnsi" w:cstheme="majorHAnsi"/>
          <w:lang w:val="ro-RO"/>
        </w:rPr>
        <w:t xml:space="preserve"> „Poșta Moldovei”, prin intermediul subdiviziunilor sale, pentru beneficiarii de pensii și alocații sociale de stat, deserviți de prestatorul menționat, </w:t>
      </w:r>
      <w:r w:rsidR="00AA145E" w:rsidRPr="00341E6C">
        <w:rPr>
          <w:rFonts w:asciiTheme="majorHAnsi" w:hAnsiTheme="majorHAnsi" w:cstheme="majorHAnsi"/>
          <w:lang w:val="ro-RO"/>
        </w:rPr>
        <w:t>urma să</w:t>
      </w:r>
      <w:r w:rsidRPr="00341E6C">
        <w:rPr>
          <w:rFonts w:asciiTheme="majorHAnsi" w:hAnsiTheme="majorHAnsi" w:cstheme="majorHAnsi"/>
          <w:lang w:val="ro-RO"/>
        </w:rPr>
        <w:t xml:space="preserve"> asigur</w:t>
      </w:r>
      <w:r w:rsidR="00AA145E" w:rsidRPr="00341E6C">
        <w:rPr>
          <w:rFonts w:asciiTheme="majorHAnsi" w:hAnsiTheme="majorHAnsi" w:cstheme="majorHAnsi"/>
          <w:lang w:val="ro-RO"/>
        </w:rPr>
        <w:t>e</w:t>
      </w:r>
      <w:r w:rsidR="00920B19" w:rsidRPr="00341E6C">
        <w:rPr>
          <w:rFonts w:asciiTheme="majorHAnsi" w:hAnsiTheme="majorHAnsi" w:cstheme="majorHAnsi"/>
          <w:lang w:val="ro-RO"/>
        </w:rPr>
        <w:t xml:space="preserve">, începând cu 1 aprilie 2020, </w:t>
      </w:r>
      <w:r w:rsidRPr="00341E6C">
        <w:rPr>
          <w:rFonts w:asciiTheme="majorHAnsi" w:hAnsiTheme="majorHAnsi" w:cstheme="majorHAnsi"/>
          <w:lang w:val="ro-RO"/>
        </w:rPr>
        <w:t>distribuirea la domiciliu, cu însoțirea unui angajat al structurilor</w:t>
      </w:r>
      <w:r w:rsidR="005F50E7">
        <w:rPr>
          <w:rFonts w:asciiTheme="majorHAnsi" w:hAnsiTheme="majorHAnsi" w:cstheme="majorHAnsi"/>
          <w:lang w:val="ro-RO"/>
        </w:rPr>
        <w:t xml:space="preserve"> din cadrul</w:t>
      </w:r>
      <w:r w:rsidRPr="00341E6C">
        <w:rPr>
          <w:rFonts w:asciiTheme="majorHAnsi" w:hAnsiTheme="majorHAnsi" w:cstheme="majorHAnsi"/>
          <w:lang w:val="ro-RO"/>
        </w:rPr>
        <w:t xml:space="preserve"> Ministerului Afacerilor Interne, a pensiilor, alocațiilor sociale de stat și altor prestații sociale </w:t>
      </w:r>
      <w:r w:rsidR="00920B19" w:rsidRPr="00341E6C">
        <w:rPr>
          <w:rFonts w:asciiTheme="majorHAnsi" w:hAnsiTheme="majorHAnsi" w:cstheme="majorHAnsi"/>
          <w:lang w:val="ro-RO"/>
        </w:rPr>
        <w:t>pentru persoane vâ</w:t>
      </w:r>
      <w:r w:rsidR="00933302" w:rsidRPr="00341E6C">
        <w:rPr>
          <w:rFonts w:asciiTheme="majorHAnsi" w:hAnsiTheme="majorHAnsi" w:cstheme="majorHAnsi"/>
          <w:lang w:val="ro-RO"/>
        </w:rPr>
        <w:t>rstnice</w:t>
      </w:r>
      <w:r w:rsidRPr="00341E6C">
        <w:rPr>
          <w:rFonts w:asciiTheme="majorHAnsi" w:hAnsiTheme="majorHAnsi" w:cstheme="majorHAnsi"/>
          <w:vertAlign w:val="superscript"/>
          <w:lang w:val="ro-RO"/>
        </w:rPr>
        <w:footnoteReference w:id="56"/>
      </w:r>
      <w:r w:rsidR="00933302" w:rsidRPr="00341E6C">
        <w:rPr>
          <w:rFonts w:asciiTheme="majorHAnsi" w:hAnsiTheme="majorHAnsi" w:cstheme="majorHAnsi"/>
          <w:lang w:val="ro-RO"/>
        </w:rPr>
        <w:t xml:space="preserve">. </w:t>
      </w:r>
      <w:r w:rsidR="00C25E6A" w:rsidRPr="00341E6C">
        <w:rPr>
          <w:rFonts w:asciiTheme="majorHAnsi" w:eastAsia="Calibri" w:hAnsiTheme="majorHAnsi" w:cstheme="majorHAnsi"/>
          <w:color w:val="000000" w:themeColor="text1"/>
          <w:lang w:val="ro-RO"/>
        </w:rPr>
        <w:t>Analiza de audit atestă că</w:t>
      </w:r>
      <w:r w:rsidR="00655988">
        <w:rPr>
          <w:rFonts w:asciiTheme="majorHAnsi" w:eastAsia="Calibri" w:hAnsiTheme="majorHAnsi" w:cstheme="majorHAnsi"/>
          <w:color w:val="000000" w:themeColor="text1"/>
          <w:lang w:val="ro-RO"/>
        </w:rPr>
        <w:t>,</w:t>
      </w:r>
      <w:r w:rsidR="00C25E6A" w:rsidRPr="00341E6C">
        <w:rPr>
          <w:rFonts w:asciiTheme="majorHAnsi" w:eastAsia="Calibri" w:hAnsiTheme="majorHAnsi" w:cstheme="majorHAnsi"/>
          <w:color w:val="000000" w:themeColor="text1"/>
          <w:lang w:val="ro-RO"/>
        </w:rPr>
        <w:t xml:space="preserve"> pentru luna aprilie, restituirile de mijloace bănești pentru pensiile neachitate au </w:t>
      </w:r>
      <w:r w:rsidR="00C25E6A" w:rsidRPr="00341E6C">
        <w:rPr>
          <w:rFonts w:asciiTheme="majorHAnsi" w:eastAsia="Calibri" w:hAnsiTheme="majorHAnsi" w:cstheme="majorHAnsi"/>
          <w:color w:val="000000" w:themeColor="text1"/>
          <w:lang w:val="ro-RO"/>
        </w:rPr>
        <w:lastRenderedPageBreak/>
        <w:t>constituit 63,4 mil</w:t>
      </w:r>
      <w:r w:rsidR="00655988">
        <w:rPr>
          <w:rFonts w:asciiTheme="majorHAnsi" w:eastAsia="Calibri" w:hAnsiTheme="majorHAnsi" w:cstheme="majorHAnsi"/>
          <w:color w:val="000000" w:themeColor="text1"/>
          <w:lang w:val="ro-RO"/>
        </w:rPr>
        <w:t>.</w:t>
      </w:r>
      <w:r w:rsidR="00C25E6A" w:rsidRPr="00341E6C">
        <w:rPr>
          <w:rFonts w:asciiTheme="majorHAnsi" w:eastAsia="Calibri" w:hAnsiTheme="majorHAnsi" w:cstheme="majorHAnsi"/>
          <w:color w:val="000000" w:themeColor="text1"/>
          <w:lang w:val="ro-RO"/>
        </w:rPr>
        <w:t xml:space="preserve"> lei, fapt ce a dus la formarea datoriilor</w:t>
      </w:r>
      <w:r w:rsidR="00DE6C7D" w:rsidRPr="00341E6C">
        <w:rPr>
          <w:rFonts w:asciiTheme="majorHAnsi" w:eastAsia="Calibri" w:hAnsiTheme="majorHAnsi" w:cstheme="majorHAnsi"/>
          <w:color w:val="000000" w:themeColor="text1"/>
          <w:lang w:val="ro-RO"/>
        </w:rPr>
        <w:t>,</w:t>
      </w:r>
      <w:r w:rsidR="00C25E6A" w:rsidRPr="00341E6C">
        <w:rPr>
          <w:rFonts w:asciiTheme="majorHAnsi" w:eastAsia="Calibri" w:hAnsiTheme="majorHAnsi" w:cstheme="majorHAnsi"/>
          <w:color w:val="000000" w:themeColor="text1"/>
          <w:lang w:val="ro-RO"/>
        </w:rPr>
        <w:t xml:space="preserve"> precum și la neîndeplinirea obiectivelor</w:t>
      </w:r>
      <w:r w:rsidR="00DE6C7D" w:rsidRPr="00341E6C">
        <w:rPr>
          <w:rFonts w:asciiTheme="majorHAnsi" w:eastAsia="Calibri" w:hAnsiTheme="majorHAnsi" w:cstheme="majorHAnsi"/>
          <w:color w:val="000000" w:themeColor="text1"/>
          <w:lang w:val="ro-RO"/>
        </w:rPr>
        <w:t xml:space="preserve"> stabilite</w:t>
      </w:r>
      <w:r w:rsidR="00C25E6A" w:rsidRPr="00341E6C">
        <w:rPr>
          <w:rFonts w:asciiTheme="majorHAnsi" w:eastAsia="Calibri" w:hAnsiTheme="majorHAnsi" w:cstheme="majorHAnsi"/>
          <w:color w:val="000000" w:themeColor="text1"/>
          <w:lang w:val="ro-RO"/>
        </w:rPr>
        <w:t xml:space="preserve">. </w:t>
      </w:r>
    </w:p>
    <w:p w14:paraId="7CB0C76A" w14:textId="5C60A8E0" w:rsidR="00017D97" w:rsidRPr="00341E6C" w:rsidRDefault="00017D97" w:rsidP="00017D97">
      <w:pPr>
        <w:pStyle w:val="Normal1"/>
        <w:spacing w:before="0" w:beforeAutospacing="0" w:after="0" w:afterAutospacing="0"/>
        <w:ind w:right="50"/>
        <w:jc w:val="right"/>
        <w:rPr>
          <w:rFonts w:asciiTheme="majorHAnsi" w:eastAsia="Calibri" w:hAnsiTheme="majorHAnsi" w:cstheme="majorHAnsi"/>
          <w:b/>
          <w:color w:val="000000" w:themeColor="text1"/>
          <w:lang w:val="ro-RO"/>
        </w:rPr>
      </w:pPr>
      <w:r w:rsidRPr="00341E6C">
        <w:rPr>
          <w:rFonts w:asciiTheme="majorHAnsi" w:eastAsia="Calibri" w:hAnsiTheme="majorHAnsi" w:cstheme="majorHAnsi"/>
          <w:b/>
          <w:color w:val="000000" w:themeColor="text1"/>
          <w:lang w:val="ro-RO"/>
        </w:rPr>
        <w:t>Tabel</w:t>
      </w:r>
      <w:r w:rsidR="00655988">
        <w:rPr>
          <w:rFonts w:asciiTheme="majorHAnsi" w:eastAsia="Calibri" w:hAnsiTheme="majorHAnsi" w:cstheme="majorHAnsi"/>
          <w:b/>
          <w:color w:val="000000" w:themeColor="text1"/>
          <w:lang w:val="ro-RO"/>
        </w:rPr>
        <w:t>ul</w:t>
      </w:r>
      <w:r w:rsidRPr="00341E6C">
        <w:rPr>
          <w:rFonts w:asciiTheme="majorHAnsi" w:eastAsia="Calibri" w:hAnsiTheme="majorHAnsi" w:cstheme="majorHAnsi"/>
          <w:b/>
          <w:color w:val="000000" w:themeColor="text1"/>
          <w:lang w:val="ro-RO"/>
        </w:rPr>
        <w:t xml:space="preserve"> nr.</w:t>
      </w:r>
      <w:r w:rsidR="00786886">
        <w:rPr>
          <w:rFonts w:asciiTheme="majorHAnsi" w:eastAsia="Calibri" w:hAnsiTheme="majorHAnsi" w:cstheme="majorHAnsi"/>
          <w:b/>
          <w:color w:val="000000" w:themeColor="text1"/>
          <w:lang w:val="ro-RO"/>
        </w:rPr>
        <w:t>5</w:t>
      </w:r>
    </w:p>
    <w:p w14:paraId="389FF655" w14:textId="6168C726" w:rsidR="00017D97" w:rsidRPr="00341E6C" w:rsidRDefault="00017D97" w:rsidP="00017D97">
      <w:pPr>
        <w:pStyle w:val="Normal1"/>
        <w:spacing w:before="0" w:beforeAutospacing="0" w:after="0" w:afterAutospacing="0"/>
        <w:ind w:right="50"/>
        <w:jc w:val="center"/>
        <w:rPr>
          <w:rFonts w:asciiTheme="majorHAnsi" w:hAnsiTheme="majorHAnsi" w:cstheme="majorHAnsi"/>
          <w:b/>
          <w:lang w:val="ro-RO"/>
        </w:rPr>
      </w:pPr>
      <w:r w:rsidRPr="00341E6C">
        <w:rPr>
          <w:rFonts w:asciiTheme="majorHAnsi" w:eastAsia="Calibri" w:hAnsiTheme="majorHAnsi" w:cstheme="majorHAnsi"/>
          <w:b/>
          <w:color w:val="000000" w:themeColor="text1"/>
          <w:lang w:val="ro-RO"/>
        </w:rPr>
        <w:t>Analiza restituirii mijloacelor financiare neachitate pentru pensii</w:t>
      </w:r>
      <w:r w:rsidR="00655988">
        <w:rPr>
          <w:rFonts w:asciiTheme="majorHAnsi" w:eastAsia="Calibri" w:hAnsiTheme="majorHAnsi" w:cstheme="majorHAnsi"/>
          <w:b/>
          <w:color w:val="000000" w:themeColor="text1"/>
          <w:lang w:val="ro-RO"/>
        </w:rPr>
        <w:t xml:space="preserve"> (</w:t>
      </w:r>
      <w:r w:rsidR="00671E4A">
        <w:rPr>
          <w:rFonts w:asciiTheme="majorHAnsi" w:eastAsia="Calibri" w:hAnsiTheme="majorHAnsi" w:cstheme="majorHAnsi"/>
          <w:b/>
          <w:color w:val="000000" w:themeColor="text1"/>
          <w:lang w:val="ro-RO"/>
        </w:rPr>
        <w:t xml:space="preserve">mii </w:t>
      </w:r>
      <w:r w:rsidR="00655988">
        <w:rPr>
          <w:rFonts w:asciiTheme="majorHAnsi" w:eastAsia="Calibri" w:hAnsiTheme="majorHAnsi" w:cstheme="majorHAnsi"/>
          <w:b/>
          <w:color w:val="000000" w:themeColor="text1"/>
          <w:lang w:val="ro-RO"/>
        </w:rPr>
        <w:t>lei)</w:t>
      </w:r>
    </w:p>
    <w:tbl>
      <w:tblPr>
        <w:tblStyle w:val="TableGrid"/>
        <w:tblW w:w="9323" w:type="dxa"/>
        <w:jc w:val="center"/>
        <w:tblLayout w:type="fixed"/>
        <w:tblLook w:val="04A0" w:firstRow="1" w:lastRow="0" w:firstColumn="1" w:lastColumn="0" w:noHBand="0" w:noVBand="1"/>
      </w:tblPr>
      <w:tblGrid>
        <w:gridCol w:w="1471"/>
        <w:gridCol w:w="1655"/>
        <w:gridCol w:w="1748"/>
        <w:gridCol w:w="1633"/>
        <w:gridCol w:w="1408"/>
        <w:gridCol w:w="1408"/>
      </w:tblGrid>
      <w:tr w:rsidR="00881B38" w:rsidRPr="00341E6C" w14:paraId="74AF45CC" w14:textId="77777777" w:rsidTr="00881B38">
        <w:trPr>
          <w:trHeight w:val="576"/>
          <w:jc w:val="center"/>
        </w:trPr>
        <w:tc>
          <w:tcPr>
            <w:tcW w:w="1471" w:type="dxa"/>
            <w:shd w:val="clear" w:color="auto" w:fill="92D050"/>
            <w:vAlign w:val="center"/>
          </w:tcPr>
          <w:p w14:paraId="4F449E48" w14:textId="77777777" w:rsidR="00881B38" w:rsidRPr="00341E6C" w:rsidRDefault="00881B38" w:rsidP="00200503">
            <w:pPr>
              <w:jc w:val="center"/>
              <w:rPr>
                <w:rFonts w:asciiTheme="majorHAnsi" w:hAnsiTheme="majorHAnsi" w:cstheme="majorHAnsi"/>
                <w:b/>
                <w:lang w:val="ro-RO"/>
              </w:rPr>
            </w:pPr>
            <w:r w:rsidRPr="00341E6C">
              <w:rPr>
                <w:rFonts w:asciiTheme="majorHAnsi" w:hAnsiTheme="majorHAnsi" w:cstheme="majorHAnsi"/>
                <w:b/>
                <w:lang w:val="ro-RO"/>
              </w:rPr>
              <w:t>Perioada</w:t>
            </w:r>
          </w:p>
        </w:tc>
        <w:tc>
          <w:tcPr>
            <w:tcW w:w="1655" w:type="dxa"/>
            <w:shd w:val="clear" w:color="auto" w:fill="92D050"/>
            <w:vAlign w:val="center"/>
          </w:tcPr>
          <w:p w14:paraId="16790A5F" w14:textId="0ED840B7" w:rsidR="00881B38" w:rsidRPr="00341E6C" w:rsidRDefault="00881B38" w:rsidP="00200503">
            <w:pPr>
              <w:jc w:val="center"/>
              <w:rPr>
                <w:rFonts w:asciiTheme="majorHAnsi" w:hAnsiTheme="majorHAnsi" w:cstheme="majorHAnsi"/>
                <w:b/>
                <w:lang w:val="ro-RO"/>
              </w:rPr>
            </w:pPr>
            <w:r w:rsidRPr="00341E6C">
              <w:rPr>
                <w:rFonts w:asciiTheme="majorHAnsi" w:hAnsiTheme="majorHAnsi" w:cstheme="majorHAnsi"/>
                <w:b/>
                <w:lang w:val="ro-RO"/>
              </w:rPr>
              <w:t>Suma distribuită în oficii</w:t>
            </w:r>
            <w:r w:rsidR="00655988">
              <w:rPr>
                <w:rFonts w:asciiTheme="majorHAnsi" w:hAnsiTheme="majorHAnsi" w:cstheme="majorHAnsi"/>
                <w:b/>
                <w:lang w:val="ro-RO"/>
              </w:rPr>
              <w:t>le</w:t>
            </w:r>
            <w:r w:rsidRPr="00341E6C">
              <w:rPr>
                <w:rFonts w:asciiTheme="majorHAnsi" w:hAnsiTheme="majorHAnsi" w:cstheme="majorHAnsi"/>
                <w:b/>
                <w:lang w:val="ro-RO"/>
              </w:rPr>
              <w:t xml:space="preserve"> poștale</w:t>
            </w:r>
          </w:p>
        </w:tc>
        <w:tc>
          <w:tcPr>
            <w:tcW w:w="1748" w:type="dxa"/>
            <w:shd w:val="clear" w:color="auto" w:fill="92D050"/>
            <w:vAlign w:val="center"/>
          </w:tcPr>
          <w:p w14:paraId="3C8FACAA" w14:textId="77777777" w:rsidR="00881B38" w:rsidRPr="00341E6C" w:rsidRDefault="00881B38" w:rsidP="00200503">
            <w:pPr>
              <w:jc w:val="center"/>
              <w:rPr>
                <w:rFonts w:asciiTheme="majorHAnsi" w:hAnsiTheme="majorHAnsi" w:cstheme="majorHAnsi"/>
                <w:b/>
                <w:lang w:val="ro-RO"/>
              </w:rPr>
            </w:pPr>
            <w:r w:rsidRPr="00341E6C">
              <w:rPr>
                <w:rFonts w:asciiTheme="majorHAnsi" w:hAnsiTheme="majorHAnsi" w:cstheme="majorHAnsi"/>
                <w:b/>
                <w:lang w:val="ro-RO"/>
              </w:rPr>
              <w:t>Suma distribuită la domiciliu</w:t>
            </w:r>
          </w:p>
        </w:tc>
        <w:tc>
          <w:tcPr>
            <w:tcW w:w="1633" w:type="dxa"/>
            <w:shd w:val="clear" w:color="auto" w:fill="92D050"/>
            <w:vAlign w:val="center"/>
          </w:tcPr>
          <w:p w14:paraId="6EDFBA8A" w14:textId="77777777" w:rsidR="00881B38" w:rsidRPr="00341E6C" w:rsidRDefault="00881B38" w:rsidP="00200503">
            <w:pPr>
              <w:jc w:val="center"/>
              <w:rPr>
                <w:rFonts w:asciiTheme="majorHAnsi" w:hAnsiTheme="majorHAnsi" w:cstheme="majorHAnsi"/>
                <w:b/>
                <w:lang w:val="ro-RO"/>
              </w:rPr>
            </w:pPr>
            <w:r w:rsidRPr="00341E6C">
              <w:rPr>
                <w:rFonts w:asciiTheme="majorHAnsi" w:hAnsiTheme="majorHAnsi" w:cstheme="majorHAnsi"/>
                <w:b/>
                <w:lang w:val="ro-RO"/>
              </w:rPr>
              <w:t>Suma neachitată și restituită pentru pensii</w:t>
            </w:r>
          </w:p>
        </w:tc>
        <w:tc>
          <w:tcPr>
            <w:tcW w:w="1408" w:type="dxa"/>
            <w:shd w:val="clear" w:color="auto" w:fill="92D050"/>
          </w:tcPr>
          <w:p w14:paraId="3EF045F8" w14:textId="6C1B32AC" w:rsidR="00881B38" w:rsidRPr="00341E6C" w:rsidRDefault="00881B38" w:rsidP="00200503">
            <w:pPr>
              <w:jc w:val="center"/>
              <w:rPr>
                <w:rFonts w:asciiTheme="majorHAnsi" w:hAnsiTheme="majorHAnsi" w:cstheme="majorHAnsi"/>
                <w:b/>
                <w:lang w:val="ro-RO"/>
              </w:rPr>
            </w:pPr>
            <w:r>
              <w:rPr>
                <w:rFonts w:asciiTheme="majorHAnsi" w:hAnsiTheme="majorHAnsi" w:cstheme="majorHAnsi"/>
                <w:b/>
                <w:lang w:val="ro-RO"/>
              </w:rPr>
              <w:t>Numărul de beneficiari care nu și-au primit pensiile</w:t>
            </w:r>
          </w:p>
        </w:tc>
        <w:tc>
          <w:tcPr>
            <w:tcW w:w="1408" w:type="dxa"/>
            <w:shd w:val="clear" w:color="auto" w:fill="92D050"/>
            <w:vAlign w:val="center"/>
          </w:tcPr>
          <w:p w14:paraId="18043699" w14:textId="2DE17FCA" w:rsidR="00881B38" w:rsidRPr="00341E6C" w:rsidRDefault="00881B38" w:rsidP="00200503">
            <w:pPr>
              <w:jc w:val="center"/>
              <w:rPr>
                <w:rFonts w:asciiTheme="majorHAnsi" w:hAnsiTheme="majorHAnsi" w:cstheme="majorHAnsi"/>
                <w:b/>
                <w:lang w:val="ro-RO"/>
              </w:rPr>
            </w:pPr>
            <w:r w:rsidRPr="00341E6C">
              <w:rPr>
                <w:rFonts w:asciiTheme="majorHAnsi" w:hAnsiTheme="majorHAnsi" w:cstheme="majorHAnsi"/>
                <w:b/>
                <w:lang w:val="ro-RO"/>
              </w:rPr>
              <w:t>Suma comisionului aferent distribuirii la domiciliu</w:t>
            </w:r>
          </w:p>
        </w:tc>
      </w:tr>
      <w:tr w:rsidR="00881B38" w:rsidRPr="00341E6C" w14:paraId="1CFA54F0" w14:textId="77777777" w:rsidTr="00881B38">
        <w:trPr>
          <w:trHeight w:val="248"/>
          <w:jc w:val="center"/>
        </w:trPr>
        <w:tc>
          <w:tcPr>
            <w:tcW w:w="1471" w:type="dxa"/>
          </w:tcPr>
          <w:p w14:paraId="0315A87C" w14:textId="77777777" w:rsidR="00881B38" w:rsidRPr="00341E6C" w:rsidRDefault="00881B38" w:rsidP="00017D97">
            <w:pPr>
              <w:jc w:val="both"/>
              <w:rPr>
                <w:rFonts w:asciiTheme="majorHAnsi" w:hAnsiTheme="majorHAnsi" w:cstheme="majorHAnsi"/>
                <w:b/>
                <w:lang w:val="ro-RO"/>
              </w:rPr>
            </w:pPr>
            <w:r w:rsidRPr="00341E6C">
              <w:rPr>
                <w:rFonts w:asciiTheme="majorHAnsi" w:hAnsiTheme="majorHAnsi" w:cstheme="majorHAnsi"/>
                <w:b/>
                <w:lang w:val="ro-RO"/>
              </w:rPr>
              <w:t>Ianuarie</w:t>
            </w:r>
          </w:p>
        </w:tc>
        <w:tc>
          <w:tcPr>
            <w:tcW w:w="1655" w:type="dxa"/>
          </w:tcPr>
          <w:p w14:paraId="70ED5CCF"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777,7</w:t>
            </w:r>
          </w:p>
        </w:tc>
        <w:tc>
          <w:tcPr>
            <w:tcW w:w="1748" w:type="dxa"/>
          </w:tcPr>
          <w:p w14:paraId="5D0E6125"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0BB1A13C" w14:textId="19F17560" w:rsidR="00881B38" w:rsidRPr="00341E6C" w:rsidRDefault="00FB54E0" w:rsidP="00017D97">
            <w:pPr>
              <w:contextualSpacing/>
              <w:jc w:val="right"/>
              <w:rPr>
                <w:rFonts w:asciiTheme="majorHAnsi" w:hAnsiTheme="majorHAnsi" w:cstheme="majorHAnsi"/>
                <w:color w:val="000000"/>
                <w:lang w:val="ro-RO"/>
              </w:rPr>
            </w:pPr>
            <w:r>
              <w:rPr>
                <w:rFonts w:asciiTheme="majorHAnsi" w:hAnsiTheme="majorHAnsi" w:cstheme="majorHAnsi"/>
                <w:color w:val="000000"/>
                <w:lang w:val="ro-RO"/>
              </w:rPr>
              <w:t>40,</w:t>
            </w:r>
            <w:r w:rsidR="00881B38" w:rsidRPr="00341E6C">
              <w:rPr>
                <w:rFonts w:asciiTheme="majorHAnsi" w:hAnsiTheme="majorHAnsi" w:cstheme="majorHAnsi"/>
                <w:color w:val="000000"/>
                <w:lang w:val="ro-RO"/>
              </w:rPr>
              <w:t>8</w:t>
            </w:r>
          </w:p>
        </w:tc>
        <w:tc>
          <w:tcPr>
            <w:tcW w:w="1408" w:type="dxa"/>
          </w:tcPr>
          <w:p w14:paraId="30A44F2A" w14:textId="77777777" w:rsidR="00881B38" w:rsidRPr="00341E6C" w:rsidRDefault="00881B38" w:rsidP="00017D97">
            <w:pPr>
              <w:jc w:val="center"/>
              <w:rPr>
                <w:rFonts w:asciiTheme="majorHAnsi" w:hAnsiTheme="majorHAnsi" w:cstheme="majorHAnsi"/>
                <w:lang w:val="ro-RO"/>
              </w:rPr>
            </w:pPr>
          </w:p>
        </w:tc>
        <w:tc>
          <w:tcPr>
            <w:tcW w:w="1408" w:type="dxa"/>
          </w:tcPr>
          <w:p w14:paraId="388337A4" w14:textId="22B90FEA"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77A20288" w14:textId="77777777" w:rsidTr="00881B38">
        <w:trPr>
          <w:trHeight w:val="237"/>
          <w:jc w:val="center"/>
        </w:trPr>
        <w:tc>
          <w:tcPr>
            <w:tcW w:w="1471" w:type="dxa"/>
          </w:tcPr>
          <w:p w14:paraId="4A99442B" w14:textId="77777777" w:rsidR="00881B38" w:rsidRPr="00341E6C" w:rsidRDefault="00881B38" w:rsidP="00017D97">
            <w:pPr>
              <w:jc w:val="both"/>
              <w:rPr>
                <w:rFonts w:asciiTheme="majorHAnsi" w:hAnsiTheme="majorHAnsi" w:cstheme="majorHAnsi"/>
                <w:b/>
                <w:lang w:val="ro-RO"/>
              </w:rPr>
            </w:pPr>
            <w:r w:rsidRPr="00341E6C">
              <w:rPr>
                <w:rFonts w:asciiTheme="majorHAnsi" w:hAnsiTheme="majorHAnsi" w:cstheme="majorHAnsi"/>
                <w:b/>
                <w:lang w:val="ro-RO"/>
              </w:rPr>
              <w:t>Februarie</w:t>
            </w:r>
          </w:p>
        </w:tc>
        <w:tc>
          <w:tcPr>
            <w:tcW w:w="1655" w:type="dxa"/>
          </w:tcPr>
          <w:p w14:paraId="74D8FC4F"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768,7</w:t>
            </w:r>
          </w:p>
        </w:tc>
        <w:tc>
          <w:tcPr>
            <w:tcW w:w="1748" w:type="dxa"/>
          </w:tcPr>
          <w:p w14:paraId="435468F9"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184BDF1E" w14:textId="23409959"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46</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6</w:t>
            </w:r>
          </w:p>
        </w:tc>
        <w:tc>
          <w:tcPr>
            <w:tcW w:w="1408" w:type="dxa"/>
          </w:tcPr>
          <w:p w14:paraId="34295EAF" w14:textId="77777777" w:rsidR="00881B38" w:rsidRPr="00341E6C" w:rsidRDefault="00881B38" w:rsidP="00017D97">
            <w:pPr>
              <w:jc w:val="center"/>
              <w:rPr>
                <w:rFonts w:asciiTheme="majorHAnsi" w:hAnsiTheme="majorHAnsi" w:cstheme="majorHAnsi"/>
                <w:lang w:val="ro-RO"/>
              </w:rPr>
            </w:pPr>
          </w:p>
        </w:tc>
        <w:tc>
          <w:tcPr>
            <w:tcW w:w="1408" w:type="dxa"/>
          </w:tcPr>
          <w:p w14:paraId="31BB4064" w14:textId="2A7DB8DA"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3A514DC2" w14:textId="77777777" w:rsidTr="00881B38">
        <w:trPr>
          <w:trHeight w:val="248"/>
          <w:jc w:val="center"/>
        </w:trPr>
        <w:tc>
          <w:tcPr>
            <w:tcW w:w="1471" w:type="dxa"/>
          </w:tcPr>
          <w:p w14:paraId="1D48232E" w14:textId="77777777" w:rsidR="00881B38" w:rsidRPr="00341E6C" w:rsidRDefault="00881B38" w:rsidP="00017D97">
            <w:pPr>
              <w:jc w:val="both"/>
              <w:rPr>
                <w:rFonts w:asciiTheme="majorHAnsi" w:hAnsiTheme="majorHAnsi" w:cstheme="majorHAnsi"/>
                <w:b/>
                <w:lang w:val="ro-RO"/>
              </w:rPr>
            </w:pPr>
            <w:r w:rsidRPr="00341E6C">
              <w:rPr>
                <w:rFonts w:asciiTheme="majorHAnsi" w:hAnsiTheme="majorHAnsi" w:cstheme="majorHAnsi"/>
                <w:b/>
                <w:lang w:val="ro-RO"/>
              </w:rPr>
              <w:t>Martie</w:t>
            </w:r>
          </w:p>
        </w:tc>
        <w:tc>
          <w:tcPr>
            <w:tcW w:w="1655" w:type="dxa"/>
            <w:shd w:val="clear" w:color="auto" w:fill="auto"/>
          </w:tcPr>
          <w:p w14:paraId="737A5447" w14:textId="59F2E4ED" w:rsidR="00881B38" w:rsidRPr="00341E6C" w:rsidRDefault="00881B38" w:rsidP="000575A6">
            <w:pPr>
              <w:jc w:val="center"/>
              <w:rPr>
                <w:rFonts w:asciiTheme="majorHAnsi" w:hAnsiTheme="majorHAnsi" w:cstheme="majorHAnsi"/>
                <w:lang w:val="ro-RO"/>
              </w:rPr>
            </w:pPr>
            <w:r w:rsidRPr="00341E6C">
              <w:rPr>
                <w:rFonts w:asciiTheme="majorHAnsi" w:hAnsiTheme="majorHAnsi" w:cstheme="majorHAnsi"/>
                <w:lang w:val="ro-RO"/>
              </w:rPr>
              <w:t>765,1</w:t>
            </w:r>
          </w:p>
        </w:tc>
        <w:tc>
          <w:tcPr>
            <w:tcW w:w="1748" w:type="dxa"/>
            <w:shd w:val="clear" w:color="auto" w:fill="auto"/>
          </w:tcPr>
          <w:p w14:paraId="37002D51"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shd w:val="clear" w:color="auto" w:fill="auto"/>
            <w:vAlign w:val="bottom"/>
          </w:tcPr>
          <w:p w14:paraId="1CD74A47" w14:textId="412BB6D6"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52</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4</w:t>
            </w:r>
          </w:p>
        </w:tc>
        <w:tc>
          <w:tcPr>
            <w:tcW w:w="1408" w:type="dxa"/>
          </w:tcPr>
          <w:p w14:paraId="64C25788" w14:textId="77777777" w:rsidR="00881B38" w:rsidRPr="00341E6C" w:rsidRDefault="00881B38" w:rsidP="00017D97">
            <w:pPr>
              <w:jc w:val="center"/>
              <w:rPr>
                <w:rFonts w:asciiTheme="majorHAnsi" w:hAnsiTheme="majorHAnsi" w:cstheme="majorHAnsi"/>
                <w:lang w:val="ro-RO"/>
              </w:rPr>
            </w:pPr>
          </w:p>
        </w:tc>
        <w:tc>
          <w:tcPr>
            <w:tcW w:w="1408" w:type="dxa"/>
          </w:tcPr>
          <w:p w14:paraId="0A495512" w14:textId="32223119"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1E629952" w14:textId="77777777" w:rsidTr="00881B38">
        <w:trPr>
          <w:trHeight w:val="248"/>
          <w:jc w:val="center"/>
        </w:trPr>
        <w:tc>
          <w:tcPr>
            <w:tcW w:w="1471" w:type="dxa"/>
          </w:tcPr>
          <w:p w14:paraId="5C20EA7C" w14:textId="77777777" w:rsidR="00881B38" w:rsidRPr="00341E6C" w:rsidRDefault="00881B38" w:rsidP="00017D97">
            <w:pPr>
              <w:jc w:val="both"/>
              <w:rPr>
                <w:rFonts w:asciiTheme="majorHAnsi" w:hAnsiTheme="majorHAnsi" w:cstheme="majorHAnsi"/>
                <w:b/>
                <w:lang w:val="ro-RO"/>
              </w:rPr>
            </w:pPr>
            <w:r w:rsidRPr="00341E6C">
              <w:rPr>
                <w:rFonts w:asciiTheme="majorHAnsi" w:hAnsiTheme="majorHAnsi" w:cstheme="majorHAnsi"/>
                <w:b/>
                <w:lang w:val="ro-RO"/>
              </w:rPr>
              <w:t>Aprilie</w:t>
            </w:r>
          </w:p>
        </w:tc>
        <w:tc>
          <w:tcPr>
            <w:tcW w:w="1655" w:type="dxa"/>
            <w:shd w:val="clear" w:color="auto" w:fill="auto"/>
          </w:tcPr>
          <w:p w14:paraId="75D07D2C" w14:textId="3384E1A2"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270,2</w:t>
            </w:r>
          </w:p>
        </w:tc>
        <w:tc>
          <w:tcPr>
            <w:tcW w:w="1748" w:type="dxa"/>
            <w:shd w:val="clear" w:color="auto" w:fill="FFC000"/>
          </w:tcPr>
          <w:p w14:paraId="5A5EF0ED"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526,4</w:t>
            </w:r>
          </w:p>
        </w:tc>
        <w:tc>
          <w:tcPr>
            <w:tcW w:w="1633" w:type="dxa"/>
            <w:shd w:val="clear" w:color="auto" w:fill="00B0F0"/>
            <w:vAlign w:val="bottom"/>
          </w:tcPr>
          <w:p w14:paraId="074D9C54" w14:textId="2995933D"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63</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4</w:t>
            </w:r>
          </w:p>
        </w:tc>
        <w:tc>
          <w:tcPr>
            <w:tcW w:w="1408" w:type="dxa"/>
            <w:shd w:val="clear" w:color="auto" w:fill="FFC000"/>
          </w:tcPr>
          <w:p w14:paraId="69FA6429" w14:textId="3153AA66" w:rsidR="00881B38" w:rsidRPr="00881B38" w:rsidRDefault="00881B38" w:rsidP="00017D97">
            <w:pPr>
              <w:jc w:val="center"/>
              <w:rPr>
                <w:rFonts w:asciiTheme="majorHAnsi" w:hAnsiTheme="majorHAnsi" w:cstheme="majorHAnsi"/>
                <w:lang w:val="ro-RO"/>
              </w:rPr>
            </w:pPr>
            <w:r w:rsidRPr="00881B38">
              <w:rPr>
                <w:rFonts w:asciiTheme="majorHAnsi" w:hAnsiTheme="majorHAnsi" w:cstheme="majorHAnsi"/>
                <w:lang w:val="ro-RO"/>
              </w:rPr>
              <w:t>22182</w:t>
            </w:r>
          </w:p>
        </w:tc>
        <w:tc>
          <w:tcPr>
            <w:tcW w:w="1408" w:type="dxa"/>
            <w:shd w:val="clear" w:color="auto" w:fill="FFC000"/>
          </w:tcPr>
          <w:p w14:paraId="4772E907" w14:textId="0EA4F93D" w:rsidR="00881B38" w:rsidRPr="00341E6C" w:rsidRDefault="00881B38" w:rsidP="00017D97">
            <w:pPr>
              <w:jc w:val="center"/>
              <w:rPr>
                <w:rFonts w:asciiTheme="majorHAnsi" w:hAnsiTheme="majorHAnsi" w:cstheme="majorHAnsi"/>
                <w:b/>
                <w:lang w:val="ro-RO"/>
              </w:rPr>
            </w:pPr>
            <w:r w:rsidRPr="00341E6C">
              <w:rPr>
                <w:rFonts w:asciiTheme="majorHAnsi" w:hAnsiTheme="majorHAnsi" w:cstheme="majorHAnsi"/>
                <w:b/>
                <w:lang w:val="ro-RO"/>
              </w:rPr>
              <w:t>6,8</w:t>
            </w:r>
          </w:p>
        </w:tc>
      </w:tr>
      <w:tr w:rsidR="00881B38" w:rsidRPr="00341E6C" w14:paraId="003CB555" w14:textId="77777777" w:rsidTr="00881B38">
        <w:trPr>
          <w:trHeight w:val="248"/>
          <w:jc w:val="center"/>
        </w:trPr>
        <w:tc>
          <w:tcPr>
            <w:tcW w:w="1471" w:type="dxa"/>
          </w:tcPr>
          <w:p w14:paraId="47A0A838" w14:textId="77777777" w:rsidR="00881B38" w:rsidRPr="00341E6C" w:rsidRDefault="00881B38" w:rsidP="00017D97">
            <w:pPr>
              <w:jc w:val="both"/>
              <w:rPr>
                <w:rFonts w:asciiTheme="majorHAnsi" w:hAnsiTheme="majorHAnsi" w:cstheme="majorHAnsi"/>
                <w:b/>
                <w:lang w:val="ro-RO"/>
              </w:rPr>
            </w:pPr>
            <w:r w:rsidRPr="00341E6C">
              <w:rPr>
                <w:rFonts w:asciiTheme="majorHAnsi" w:hAnsiTheme="majorHAnsi" w:cstheme="majorHAnsi"/>
                <w:b/>
                <w:lang w:val="ro-RO"/>
              </w:rPr>
              <w:t>Mai</w:t>
            </w:r>
          </w:p>
        </w:tc>
        <w:tc>
          <w:tcPr>
            <w:tcW w:w="1655" w:type="dxa"/>
          </w:tcPr>
          <w:p w14:paraId="7962467B" w14:textId="4DE297DD"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377,1</w:t>
            </w:r>
          </w:p>
        </w:tc>
        <w:tc>
          <w:tcPr>
            <w:tcW w:w="1748" w:type="dxa"/>
            <w:shd w:val="clear" w:color="auto" w:fill="FFC000"/>
          </w:tcPr>
          <w:p w14:paraId="4A36CA3A" w14:textId="325FF38E"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431,5</w:t>
            </w:r>
          </w:p>
        </w:tc>
        <w:tc>
          <w:tcPr>
            <w:tcW w:w="1633" w:type="dxa"/>
            <w:shd w:val="clear" w:color="auto" w:fill="00B0F0"/>
            <w:vAlign w:val="bottom"/>
          </w:tcPr>
          <w:p w14:paraId="32F9027D" w14:textId="35A3F94C"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46</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1</w:t>
            </w:r>
          </w:p>
        </w:tc>
        <w:tc>
          <w:tcPr>
            <w:tcW w:w="1408" w:type="dxa"/>
            <w:shd w:val="clear" w:color="auto" w:fill="FFC000"/>
          </w:tcPr>
          <w:p w14:paraId="74E9F185" w14:textId="17E5E51B" w:rsidR="00881B38" w:rsidRPr="00881B38" w:rsidRDefault="00881B38" w:rsidP="00017D97">
            <w:pPr>
              <w:jc w:val="center"/>
              <w:rPr>
                <w:rFonts w:asciiTheme="majorHAnsi" w:hAnsiTheme="majorHAnsi" w:cstheme="majorHAnsi"/>
                <w:lang w:val="ro-RO"/>
              </w:rPr>
            </w:pPr>
            <w:r w:rsidRPr="00881B38">
              <w:rPr>
                <w:rFonts w:asciiTheme="majorHAnsi" w:hAnsiTheme="majorHAnsi" w:cstheme="majorHAnsi"/>
                <w:lang w:val="ro-RO"/>
              </w:rPr>
              <w:t>14977</w:t>
            </w:r>
          </w:p>
        </w:tc>
        <w:tc>
          <w:tcPr>
            <w:tcW w:w="1408" w:type="dxa"/>
            <w:shd w:val="clear" w:color="auto" w:fill="FFC000"/>
          </w:tcPr>
          <w:p w14:paraId="15E15313" w14:textId="45E17247" w:rsidR="00881B38" w:rsidRPr="00341E6C" w:rsidRDefault="00881B38" w:rsidP="00017D97">
            <w:pPr>
              <w:jc w:val="center"/>
              <w:rPr>
                <w:rFonts w:asciiTheme="majorHAnsi" w:hAnsiTheme="majorHAnsi" w:cstheme="majorHAnsi"/>
                <w:b/>
                <w:lang w:val="ro-RO"/>
              </w:rPr>
            </w:pPr>
            <w:r w:rsidRPr="00341E6C">
              <w:rPr>
                <w:rFonts w:asciiTheme="majorHAnsi" w:hAnsiTheme="majorHAnsi" w:cstheme="majorHAnsi"/>
                <w:b/>
                <w:lang w:val="ro-RO"/>
              </w:rPr>
              <w:t>5,6</w:t>
            </w:r>
          </w:p>
        </w:tc>
      </w:tr>
      <w:tr w:rsidR="00881B38" w:rsidRPr="00341E6C" w14:paraId="7A3EE788" w14:textId="77777777" w:rsidTr="00881B38">
        <w:trPr>
          <w:trHeight w:val="248"/>
          <w:jc w:val="center"/>
        </w:trPr>
        <w:tc>
          <w:tcPr>
            <w:tcW w:w="1471" w:type="dxa"/>
          </w:tcPr>
          <w:p w14:paraId="34051E8C" w14:textId="77777777" w:rsidR="00881B38" w:rsidRPr="00341E6C" w:rsidRDefault="00881B38" w:rsidP="00017D97">
            <w:pPr>
              <w:jc w:val="both"/>
              <w:rPr>
                <w:rFonts w:asciiTheme="majorHAnsi" w:hAnsiTheme="majorHAnsi" w:cstheme="majorHAnsi"/>
                <w:b/>
                <w:lang w:val="ro-RO"/>
              </w:rPr>
            </w:pPr>
            <w:r w:rsidRPr="00341E6C">
              <w:rPr>
                <w:rFonts w:asciiTheme="majorHAnsi" w:hAnsiTheme="majorHAnsi" w:cstheme="majorHAnsi"/>
                <w:b/>
                <w:lang w:val="ro-RO"/>
              </w:rPr>
              <w:t>Iunie</w:t>
            </w:r>
          </w:p>
        </w:tc>
        <w:tc>
          <w:tcPr>
            <w:tcW w:w="1655" w:type="dxa"/>
          </w:tcPr>
          <w:p w14:paraId="4371C231"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799,7</w:t>
            </w:r>
          </w:p>
        </w:tc>
        <w:tc>
          <w:tcPr>
            <w:tcW w:w="1748" w:type="dxa"/>
          </w:tcPr>
          <w:p w14:paraId="7E33B826" w14:textId="77777777"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212C8EA8" w14:textId="3A7F6202"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46</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8</w:t>
            </w:r>
          </w:p>
        </w:tc>
        <w:tc>
          <w:tcPr>
            <w:tcW w:w="1408" w:type="dxa"/>
          </w:tcPr>
          <w:p w14:paraId="29AA9ECA" w14:textId="77777777" w:rsidR="00881B38" w:rsidRPr="00341E6C" w:rsidRDefault="00881B38" w:rsidP="00017D97">
            <w:pPr>
              <w:jc w:val="center"/>
              <w:rPr>
                <w:rFonts w:asciiTheme="majorHAnsi" w:hAnsiTheme="majorHAnsi" w:cstheme="majorHAnsi"/>
                <w:lang w:val="ro-RO"/>
              </w:rPr>
            </w:pPr>
          </w:p>
        </w:tc>
        <w:tc>
          <w:tcPr>
            <w:tcW w:w="1408" w:type="dxa"/>
          </w:tcPr>
          <w:p w14:paraId="45697875" w14:textId="4DE37274" w:rsidR="00881B38" w:rsidRPr="00341E6C" w:rsidRDefault="00881B38" w:rsidP="00017D97">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50616B70" w14:textId="77777777" w:rsidTr="00881B38">
        <w:trPr>
          <w:trHeight w:val="248"/>
          <w:jc w:val="center"/>
        </w:trPr>
        <w:tc>
          <w:tcPr>
            <w:tcW w:w="1471" w:type="dxa"/>
          </w:tcPr>
          <w:p w14:paraId="5A45541A" w14:textId="77777777" w:rsidR="00881B38" w:rsidRPr="00341E6C" w:rsidRDefault="00881B38" w:rsidP="00A7079A">
            <w:pPr>
              <w:jc w:val="both"/>
              <w:rPr>
                <w:rFonts w:asciiTheme="majorHAnsi" w:hAnsiTheme="majorHAnsi" w:cstheme="majorHAnsi"/>
                <w:b/>
                <w:lang w:val="ro-RO"/>
              </w:rPr>
            </w:pPr>
            <w:r w:rsidRPr="00341E6C">
              <w:rPr>
                <w:rFonts w:asciiTheme="majorHAnsi" w:hAnsiTheme="majorHAnsi" w:cstheme="majorHAnsi"/>
                <w:b/>
                <w:lang w:val="ro-RO"/>
              </w:rPr>
              <w:t>Iulie</w:t>
            </w:r>
          </w:p>
        </w:tc>
        <w:tc>
          <w:tcPr>
            <w:tcW w:w="1655" w:type="dxa"/>
          </w:tcPr>
          <w:p w14:paraId="30B8417D" w14:textId="57533050"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795,6</w:t>
            </w:r>
          </w:p>
        </w:tc>
        <w:tc>
          <w:tcPr>
            <w:tcW w:w="1748" w:type="dxa"/>
          </w:tcPr>
          <w:p w14:paraId="27B51C4C" w14:textId="77777777"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6A0B58D0" w14:textId="3219D10B"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40</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6</w:t>
            </w:r>
          </w:p>
        </w:tc>
        <w:tc>
          <w:tcPr>
            <w:tcW w:w="1408" w:type="dxa"/>
          </w:tcPr>
          <w:p w14:paraId="6C387871" w14:textId="77777777" w:rsidR="00881B38" w:rsidRPr="00341E6C" w:rsidRDefault="00881B38" w:rsidP="00A7079A">
            <w:pPr>
              <w:jc w:val="center"/>
              <w:rPr>
                <w:rFonts w:asciiTheme="majorHAnsi" w:hAnsiTheme="majorHAnsi" w:cstheme="majorHAnsi"/>
                <w:lang w:val="ro-RO"/>
              </w:rPr>
            </w:pPr>
          </w:p>
        </w:tc>
        <w:tc>
          <w:tcPr>
            <w:tcW w:w="1408" w:type="dxa"/>
          </w:tcPr>
          <w:p w14:paraId="505B0F29" w14:textId="119A6C46"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359CEDB6" w14:textId="77777777" w:rsidTr="00881B38">
        <w:trPr>
          <w:trHeight w:val="248"/>
          <w:jc w:val="center"/>
        </w:trPr>
        <w:tc>
          <w:tcPr>
            <w:tcW w:w="1471" w:type="dxa"/>
          </w:tcPr>
          <w:p w14:paraId="446395D5" w14:textId="77777777" w:rsidR="00881B38" w:rsidRPr="00341E6C" w:rsidRDefault="00881B38" w:rsidP="00A7079A">
            <w:pPr>
              <w:jc w:val="both"/>
              <w:rPr>
                <w:rFonts w:asciiTheme="majorHAnsi" w:hAnsiTheme="majorHAnsi" w:cstheme="majorHAnsi"/>
                <w:b/>
                <w:lang w:val="ro-RO"/>
              </w:rPr>
            </w:pPr>
            <w:r w:rsidRPr="00341E6C">
              <w:rPr>
                <w:rFonts w:asciiTheme="majorHAnsi" w:hAnsiTheme="majorHAnsi" w:cstheme="majorHAnsi"/>
                <w:b/>
                <w:lang w:val="ro-RO"/>
              </w:rPr>
              <w:t>August</w:t>
            </w:r>
          </w:p>
        </w:tc>
        <w:tc>
          <w:tcPr>
            <w:tcW w:w="1655" w:type="dxa"/>
          </w:tcPr>
          <w:p w14:paraId="3B77E6AB" w14:textId="2D71458E"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788,4</w:t>
            </w:r>
          </w:p>
        </w:tc>
        <w:tc>
          <w:tcPr>
            <w:tcW w:w="1748" w:type="dxa"/>
          </w:tcPr>
          <w:p w14:paraId="01D9033E" w14:textId="77777777"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7D5E222F" w14:textId="23F48EDA"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39</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8</w:t>
            </w:r>
          </w:p>
        </w:tc>
        <w:tc>
          <w:tcPr>
            <w:tcW w:w="1408" w:type="dxa"/>
          </w:tcPr>
          <w:p w14:paraId="15FD0A32" w14:textId="77777777" w:rsidR="00881B38" w:rsidRPr="00341E6C" w:rsidRDefault="00881B38" w:rsidP="00A7079A">
            <w:pPr>
              <w:jc w:val="center"/>
              <w:rPr>
                <w:rFonts w:asciiTheme="majorHAnsi" w:hAnsiTheme="majorHAnsi" w:cstheme="majorHAnsi"/>
                <w:lang w:val="ro-RO"/>
              </w:rPr>
            </w:pPr>
          </w:p>
        </w:tc>
        <w:tc>
          <w:tcPr>
            <w:tcW w:w="1408" w:type="dxa"/>
          </w:tcPr>
          <w:p w14:paraId="1F525BEA" w14:textId="4D717E09"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49C3256A" w14:textId="77777777" w:rsidTr="00881B38">
        <w:trPr>
          <w:trHeight w:val="248"/>
          <w:jc w:val="center"/>
        </w:trPr>
        <w:tc>
          <w:tcPr>
            <w:tcW w:w="1471" w:type="dxa"/>
          </w:tcPr>
          <w:p w14:paraId="60582074" w14:textId="77777777" w:rsidR="00881B38" w:rsidRPr="00341E6C" w:rsidRDefault="00881B38" w:rsidP="00A7079A">
            <w:pPr>
              <w:jc w:val="both"/>
              <w:rPr>
                <w:rFonts w:asciiTheme="majorHAnsi" w:hAnsiTheme="majorHAnsi" w:cstheme="majorHAnsi"/>
                <w:b/>
                <w:lang w:val="ro-RO"/>
              </w:rPr>
            </w:pPr>
            <w:r w:rsidRPr="00341E6C">
              <w:rPr>
                <w:rFonts w:asciiTheme="majorHAnsi" w:hAnsiTheme="majorHAnsi" w:cstheme="majorHAnsi"/>
                <w:b/>
                <w:lang w:val="ro-RO"/>
              </w:rPr>
              <w:t>Septembrie</w:t>
            </w:r>
          </w:p>
        </w:tc>
        <w:tc>
          <w:tcPr>
            <w:tcW w:w="1655" w:type="dxa"/>
          </w:tcPr>
          <w:p w14:paraId="2FE1EAF7" w14:textId="6D861FEA"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800,2</w:t>
            </w:r>
          </w:p>
        </w:tc>
        <w:tc>
          <w:tcPr>
            <w:tcW w:w="1748" w:type="dxa"/>
          </w:tcPr>
          <w:p w14:paraId="08FFE3FE" w14:textId="77777777"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5BDA4E14" w14:textId="72CBDDF8"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36</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0</w:t>
            </w:r>
          </w:p>
        </w:tc>
        <w:tc>
          <w:tcPr>
            <w:tcW w:w="1408" w:type="dxa"/>
          </w:tcPr>
          <w:p w14:paraId="7BF81EED" w14:textId="77777777" w:rsidR="00881B38" w:rsidRPr="00341E6C" w:rsidRDefault="00881B38" w:rsidP="00A7079A">
            <w:pPr>
              <w:jc w:val="center"/>
              <w:rPr>
                <w:rFonts w:asciiTheme="majorHAnsi" w:hAnsiTheme="majorHAnsi" w:cstheme="majorHAnsi"/>
                <w:lang w:val="ro-RO"/>
              </w:rPr>
            </w:pPr>
          </w:p>
        </w:tc>
        <w:tc>
          <w:tcPr>
            <w:tcW w:w="1408" w:type="dxa"/>
          </w:tcPr>
          <w:p w14:paraId="60F2480E" w14:textId="277CDB5C"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0E3B4F04" w14:textId="77777777" w:rsidTr="00881B38">
        <w:trPr>
          <w:trHeight w:val="248"/>
          <w:jc w:val="center"/>
        </w:trPr>
        <w:tc>
          <w:tcPr>
            <w:tcW w:w="1471" w:type="dxa"/>
          </w:tcPr>
          <w:p w14:paraId="5E7F35AA" w14:textId="77777777" w:rsidR="00881B38" w:rsidRPr="00341E6C" w:rsidRDefault="00881B38" w:rsidP="00A7079A">
            <w:pPr>
              <w:jc w:val="both"/>
              <w:rPr>
                <w:rFonts w:asciiTheme="majorHAnsi" w:hAnsiTheme="majorHAnsi" w:cstheme="majorHAnsi"/>
                <w:b/>
                <w:lang w:val="ro-RO"/>
              </w:rPr>
            </w:pPr>
            <w:r w:rsidRPr="00341E6C">
              <w:rPr>
                <w:rFonts w:asciiTheme="majorHAnsi" w:hAnsiTheme="majorHAnsi" w:cstheme="majorHAnsi"/>
                <w:b/>
                <w:lang w:val="ro-RO"/>
              </w:rPr>
              <w:t>Octombrie</w:t>
            </w:r>
          </w:p>
        </w:tc>
        <w:tc>
          <w:tcPr>
            <w:tcW w:w="1655" w:type="dxa"/>
          </w:tcPr>
          <w:p w14:paraId="513A92A6" w14:textId="4D835136"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797,8</w:t>
            </w:r>
          </w:p>
        </w:tc>
        <w:tc>
          <w:tcPr>
            <w:tcW w:w="1748" w:type="dxa"/>
          </w:tcPr>
          <w:p w14:paraId="4F18C69E" w14:textId="77777777"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04886CD9" w14:textId="2E36B22B"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35</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4</w:t>
            </w:r>
          </w:p>
        </w:tc>
        <w:tc>
          <w:tcPr>
            <w:tcW w:w="1408" w:type="dxa"/>
          </w:tcPr>
          <w:p w14:paraId="14D5C2B1" w14:textId="77777777" w:rsidR="00881B38" w:rsidRPr="00341E6C" w:rsidRDefault="00881B38" w:rsidP="00A7079A">
            <w:pPr>
              <w:jc w:val="center"/>
              <w:rPr>
                <w:rFonts w:asciiTheme="majorHAnsi" w:hAnsiTheme="majorHAnsi" w:cstheme="majorHAnsi"/>
                <w:lang w:val="ro-RO"/>
              </w:rPr>
            </w:pPr>
          </w:p>
        </w:tc>
        <w:tc>
          <w:tcPr>
            <w:tcW w:w="1408" w:type="dxa"/>
          </w:tcPr>
          <w:p w14:paraId="00C48552" w14:textId="78C76760"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29A65CA1" w14:textId="77777777" w:rsidTr="00881B38">
        <w:trPr>
          <w:trHeight w:val="248"/>
          <w:jc w:val="center"/>
        </w:trPr>
        <w:tc>
          <w:tcPr>
            <w:tcW w:w="1471" w:type="dxa"/>
          </w:tcPr>
          <w:p w14:paraId="14531716" w14:textId="77777777" w:rsidR="00881B38" w:rsidRPr="00341E6C" w:rsidRDefault="00881B38" w:rsidP="00A7079A">
            <w:pPr>
              <w:jc w:val="both"/>
              <w:rPr>
                <w:rFonts w:asciiTheme="majorHAnsi" w:hAnsiTheme="majorHAnsi" w:cstheme="majorHAnsi"/>
                <w:b/>
                <w:lang w:val="ro-RO"/>
              </w:rPr>
            </w:pPr>
            <w:r w:rsidRPr="00341E6C">
              <w:rPr>
                <w:rFonts w:asciiTheme="majorHAnsi" w:hAnsiTheme="majorHAnsi" w:cstheme="majorHAnsi"/>
                <w:b/>
                <w:lang w:val="ro-RO"/>
              </w:rPr>
              <w:t>Noiembrie</w:t>
            </w:r>
          </w:p>
        </w:tc>
        <w:tc>
          <w:tcPr>
            <w:tcW w:w="1655" w:type="dxa"/>
          </w:tcPr>
          <w:p w14:paraId="52A962AC" w14:textId="41CF728A"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811,8</w:t>
            </w:r>
          </w:p>
        </w:tc>
        <w:tc>
          <w:tcPr>
            <w:tcW w:w="1748" w:type="dxa"/>
          </w:tcPr>
          <w:p w14:paraId="473B411B" w14:textId="77777777"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473D7815" w14:textId="3D3DC7B0"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29</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6</w:t>
            </w:r>
          </w:p>
        </w:tc>
        <w:tc>
          <w:tcPr>
            <w:tcW w:w="1408" w:type="dxa"/>
          </w:tcPr>
          <w:p w14:paraId="35F81F11" w14:textId="77777777" w:rsidR="00881B38" w:rsidRPr="00341E6C" w:rsidRDefault="00881B38" w:rsidP="00A7079A">
            <w:pPr>
              <w:jc w:val="center"/>
              <w:rPr>
                <w:rFonts w:asciiTheme="majorHAnsi" w:hAnsiTheme="majorHAnsi" w:cstheme="majorHAnsi"/>
                <w:lang w:val="ro-RO"/>
              </w:rPr>
            </w:pPr>
          </w:p>
        </w:tc>
        <w:tc>
          <w:tcPr>
            <w:tcW w:w="1408" w:type="dxa"/>
          </w:tcPr>
          <w:p w14:paraId="1C349E37" w14:textId="679ABAAB"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r>
      <w:tr w:rsidR="00881B38" w:rsidRPr="00341E6C" w14:paraId="431A0DCF" w14:textId="77777777" w:rsidTr="00881B38">
        <w:trPr>
          <w:trHeight w:val="248"/>
          <w:jc w:val="center"/>
        </w:trPr>
        <w:tc>
          <w:tcPr>
            <w:tcW w:w="1471" w:type="dxa"/>
          </w:tcPr>
          <w:p w14:paraId="6E3C4C40" w14:textId="77777777" w:rsidR="00881B38" w:rsidRPr="00341E6C" w:rsidRDefault="00881B38" w:rsidP="00A7079A">
            <w:pPr>
              <w:jc w:val="both"/>
              <w:rPr>
                <w:rFonts w:asciiTheme="majorHAnsi" w:hAnsiTheme="majorHAnsi" w:cstheme="majorHAnsi"/>
                <w:b/>
                <w:lang w:val="ro-RO"/>
              </w:rPr>
            </w:pPr>
            <w:r w:rsidRPr="00341E6C">
              <w:rPr>
                <w:rFonts w:asciiTheme="majorHAnsi" w:hAnsiTheme="majorHAnsi" w:cstheme="majorHAnsi"/>
                <w:b/>
                <w:lang w:val="ro-RO"/>
              </w:rPr>
              <w:t>Decembrie</w:t>
            </w:r>
          </w:p>
        </w:tc>
        <w:tc>
          <w:tcPr>
            <w:tcW w:w="1655" w:type="dxa"/>
          </w:tcPr>
          <w:p w14:paraId="1A462332" w14:textId="4E69DD84"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796,8</w:t>
            </w:r>
          </w:p>
        </w:tc>
        <w:tc>
          <w:tcPr>
            <w:tcW w:w="1748" w:type="dxa"/>
          </w:tcPr>
          <w:p w14:paraId="0FC0F708" w14:textId="77777777"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c>
          <w:tcPr>
            <w:tcW w:w="1633" w:type="dxa"/>
            <w:vAlign w:val="bottom"/>
          </w:tcPr>
          <w:p w14:paraId="78D1946B" w14:textId="2431D947" w:rsidR="00881B38" w:rsidRPr="00341E6C" w:rsidRDefault="00881B38" w:rsidP="00FB54E0">
            <w:pPr>
              <w:contextualSpacing/>
              <w:jc w:val="right"/>
              <w:rPr>
                <w:rFonts w:asciiTheme="majorHAnsi" w:hAnsiTheme="majorHAnsi" w:cstheme="majorHAnsi"/>
                <w:color w:val="000000"/>
                <w:lang w:val="ro-RO"/>
              </w:rPr>
            </w:pPr>
            <w:r w:rsidRPr="00341E6C">
              <w:rPr>
                <w:rFonts w:asciiTheme="majorHAnsi" w:hAnsiTheme="majorHAnsi" w:cstheme="majorHAnsi"/>
                <w:color w:val="000000"/>
                <w:lang w:val="ro-RO"/>
              </w:rPr>
              <w:t>31</w:t>
            </w:r>
            <w:r w:rsidR="00FB54E0">
              <w:rPr>
                <w:rFonts w:asciiTheme="majorHAnsi" w:hAnsiTheme="majorHAnsi" w:cstheme="majorHAnsi"/>
                <w:color w:val="000000"/>
                <w:lang w:val="ro-RO"/>
              </w:rPr>
              <w:t>,</w:t>
            </w:r>
            <w:r w:rsidRPr="00341E6C">
              <w:rPr>
                <w:rFonts w:asciiTheme="majorHAnsi" w:hAnsiTheme="majorHAnsi" w:cstheme="majorHAnsi"/>
                <w:color w:val="000000"/>
                <w:lang w:val="ro-RO"/>
              </w:rPr>
              <w:t>9</w:t>
            </w:r>
          </w:p>
        </w:tc>
        <w:tc>
          <w:tcPr>
            <w:tcW w:w="1408" w:type="dxa"/>
          </w:tcPr>
          <w:p w14:paraId="69180924" w14:textId="77777777" w:rsidR="00881B38" w:rsidRPr="00341E6C" w:rsidRDefault="00881B38" w:rsidP="00A7079A">
            <w:pPr>
              <w:jc w:val="center"/>
              <w:rPr>
                <w:rFonts w:asciiTheme="majorHAnsi" w:hAnsiTheme="majorHAnsi" w:cstheme="majorHAnsi"/>
                <w:lang w:val="ro-RO"/>
              </w:rPr>
            </w:pPr>
          </w:p>
        </w:tc>
        <w:tc>
          <w:tcPr>
            <w:tcW w:w="1408" w:type="dxa"/>
          </w:tcPr>
          <w:p w14:paraId="1B37B4A6" w14:textId="0ACCAD11" w:rsidR="00881B38" w:rsidRPr="00341E6C" w:rsidRDefault="00881B38" w:rsidP="00A7079A">
            <w:pPr>
              <w:jc w:val="center"/>
              <w:rPr>
                <w:rFonts w:asciiTheme="majorHAnsi" w:hAnsiTheme="majorHAnsi" w:cstheme="majorHAnsi"/>
                <w:lang w:val="ro-RO"/>
              </w:rPr>
            </w:pPr>
            <w:r w:rsidRPr="00341E6C">
              <w:rPr>
                <w:rFonts w:asciiTheme="majorHAnsi" w:hAnsiTheme="majorHAnsi" w:cstheme="majorHAnsi"/>
                <w:lang w:val="ro-RO"/>
              </w:rPr>
              <w:t>x</w:t>
            </w:r>
          </w:p>
        </w:tc>
      </w:tr>
    </w:tbl>
    <w:p w14:paraId="0ED26A16" w14:textId="40A5E01B" w:rsidR="00C25E6A" w:rsidRPr="00341E6C" w:rsidRDefault="00017D97" w:rsidP="00BD19F7">
      <w:pPr>
        <w:tabs>
          <w:tab w:val="left" w:pos="720"/>
        </w:tabs>
        <w:spacing w:after="0" w:line="276" w:lineRule="auto"/>
        <w:ind w:right="-29"/>
        <w:jc w:val="both"/>
        <w:rPr>
          <w:rFonts w:asciiTheme="majorHAnsi" w:eastAsia="Calibri" w:hAnsiTheme="majorHAnsi" w:cstheme="majorHAnsi"/>
          <w:i/>
          <w:color w:val="000000" w:themeColor="text1"/>
          <w:szCs w:val="24"/>
          <w:lang w:val="ro-RO"/>
        </w:rPr>
      </w:pPr>
      <w:r w:rsidRPr="00341E6C">
        <w:rPr>
          <w:rFonts w:asciiTheme="majorHAnsi" w:eastAsia="Calibri" w:hAnsiTheme="majorHAnsi" w:cstheme="majorHAnsi"/>
          <w:i/>
          <w:color w:val="000000" w:themeColor="text1"/>
          <w:szCs w:val="24"/>
          <w:lang w:val="ro-RO"/>
        </w:rPr>
        <w:t xml:space="preserve">Sursa: Darea de seamă privind </w:t>
      </w:r>
      <w:r w:rsidR="00BD19F7" w:rsidRPr="00341E6C">
        <w:rPr>
          <w:rFonts w:asciiTheme="majorHAnsi" w:eastAsia="Calibri" w:hAnsiTheme="majorHAnsi" w:cstheme="majorHAnsi"/>
          <w:i/>
          <w:color w:val="000000" w:themeColor="text1"/>
          <w:szCs w:val="24"/>
          <w:lang w:val="ro-RO"/>
        </w:rPr>
        <w:t xml:space="preserve">achitarea pensiilor prin intermediul Î.S. </w:t>
      </w:r>
      <w:r w:rsidR="00D51F0A">
        <w:rPr>
          <w:rFonts w:asciiTheme="majorHAnsi" w:eastAsia="Calibri" w:hAnsiTheme="majorHAnsi" w:cstheme="majorHAnsi"/>
          <w:i/>
          <w:color w:val="000000" w:themeColor="text1"/>
          <w:szCs w:val="24"/>
          <w:lang w:val="ro-RO"/>
        </w:rPr>
        <w:t>„</w:t>
      </w:r>
      <w:r w:rsidR="00BD19F7" w:rsidRPr="00341E6C">
        <w:rPr>
          <w:rFonts w:asciiTheme="majorHAnsi" w:eastAsia="Calibri" w:hAnsiTheme="majorHAnsi" w:cstheme="majorHAnsi"/>
          <w:i/>
          <w:color w:val="000000" w:themeColor="text1"/>
          <w:szCs w:val="24"/>
          <w:lang w:val="ro-RO"/>
        </w:rPr>
        <w:t>Poșta Moldovei</w:t>
      </w:r>
      <w:r w:rsidR="00D51F0A">
        <w:rPr>
          <w:rFonts w:asciiTheme="majorHAnsi" w:eastAsia="Calibri" w:hAnsiTheme="majorHAnsi" w:cstheme="majorHAnsi"/>
          <w:i/>
          <w:color w:val="000000" w:themeColor="text1"/>
          <w:szCs w:val="24"/>
          <w:lang w:val="ro-RO"/>
        </w:rPr>
        <w:t>”</w:t>
      </w:r>
      <w:r w:rsidR="00BD19F7" w:rsidRPr="00341E6C">
        <w:rPr>
          <w:rFonts w:asciiTheme="majorHAnsi" w:eastAsia="Calibri" w:hAnsiTheme="majorHAnsi" w:cstheme="majorHAnsi"/>
          <w:i/>
          <w:color w:val="000000" w:themeColor="text1"/>
          <w:szCs w:val="24"/>
          <w:lang w:val="ro-RO"/>
        </w:rPr>
        <w:t xml:space="preserve"> pentru lunile ianuarie-decembrie 2020</w:t>
      </w:r>
      <w:r w:rsidR="00D51F0A">
        <w:rPr>
          <w:rFonts w:asciiTheme="majorHAnsi" w:eastAsia="Calibri" w:hAnsiTheme="majorHAnsi" w:cstheme="majorHAnsi"/>
          <w:i/>
          <w:color w:val="000000" w:themeColor="text1"/>
          <w:szCs w:val="24"/>
          <w:lang w:val="ro-RO"/>
        </w:rPr>
        <w:t>.</w:t>
      </w:r>
    </w:p>
    <w:p w14:paraId="3A7A366B" w14:textId="77777777" w:rsidR="00DE6C7D" w:rsidRPr="00341E6C" w:rsidRDefault="00DE6C7D" w:rsidP="00BD19F7">
      <w:pPr>
        <w:tabs>
          <w:tab w:val="left" w:pos="720"/>
        </w:tabs>
        <w:spacing w:after="0" w:line="276" w:lineRule="auto"/>
        <w:ind w:right="-29"/>
        <w:jc w:val="both"/>
        <w:rPr>
          <w:rFonts w:asciiTheme="majorHAnsi" w:eastAsia="Calibri" w:hAnsiTheme="majorHAnsi" w:cstheme="majorHAnsi"/>
          <w:color w:val="000000" w:themeColor="text1"/>
          <w:sz w:val="24"/>
          <w:szCs w:val="24"/>
          <w:lang w:val="ro-RO"/>
        </w:rPr>
      </w:pPr>
    </w:p>
    <w:p w14:paraId="26E4F44C" w14:textId="704A98C4" w:rsidR="00091E54" w:rsidRDefault="00DE6C7D" w:rsidP="001A3D6B">
      <w:pPr>
        <w:pStyle w:val="Normal1"/>
        <w:spacing w:before="0" w:beforeAutospacing="0" w:after="240" w:afterAutospacing="0" w:line="276" w:lineRule="auto"/>
        <w:ind w:right="50"/>
        <w:jc w:val="both"/>
        <w:rPr>
          <w:rFonts w:asciiTheme="majorHAnsi" w:eastAsia="Calibri" w:hAnsiTheme="majorHAnsi" w:cstheme="majorHAnsi"/>
          <w:color w:val="000000" w:themeColor="text1"/>
          <w:lang w:val="ro-RO"/>
        </w:rPr>
      </w:pPr>
      <w:r w:rsidRPr="00341E6C">
        <w:rPr>
          <w:rFonts w:asciiTheme="majorHAnsi" w:hAnsiTheme="majorHAnsi" w:cstheme="majorHAnsi"/>
          <w:lang w:val="ro-RO"/>
        </w:rPr>
        <w:t>În condițiile în care au fost impuse restricții de deplasare,</w:t>
      </w:r>
      <w:r w:rsidRPr="00341E6C">
        <w:rPr>
          <w:rStyle w:val="FootnoteReference"/>
          <w:rFonts w:asciiTheme="majorHAnsi" w:hAnsiTheme="majorHAnsi" w:cstheme="majorHAnsi"/>
          <w:lang w:val="ro-RO"/>
        </w:rPr>
        <w:footnoteReference w:id="57"/>
      </w:r>
      <w:r w:rsidRPr="00341E6C">
        <w:rPr>
          <w:rFonts w:asciiTheme="majorHAnsi" w:hAnsiTheme="majorHAnsi" w:cstheme="majorHAnsi"/>
          <w:lang w:val="ro-RO"/>
        </w:rPr>
        <w:t xml:space="preserve"> </w:t>
      </w:r>
      <w:r w:rsidRPr="00341E6C">
        <w:rPr>
          <w:rFonts w:asciiTheme="majorHAnsi" w:eastAsia="Calibri" w:hAnsiTheme="majorHAnsi" w:cstheme="majorHAnsi"/>
          <w:color w:val="000000" w:themeColor="text1"/>
          <w:lang w:val="ro-RO"/>
        </w:rPr>
        <w:t xml:space="preserve">persoanele în vârstă nu au dispus de posibilitatea de a </w:t>
      </w:r>
      <w:r w:rsidR="005D7B4C" w:rsidRPr="00341E6C">
        <w:rPr>
          <w:rFonts w:asciiTheme="majorHAnsi" w:eastAsia="Calibri" w:hAnsiTheme="majorHAnsi" w:cstheme="majorHAnsi"/>
          <w:color w:val="000000" w:themeColor="text1"/>
          <w:lang w:val="ro-RO"/>
        </w:rPr>
        <w:t>merge</w:t>
      </w:r>
      <w:r w:rsidRPr="00341E6C">
        <w:rPr>
          <w:rFonts w:asciiTheme="majorHAnsi" w:eastAsia="Calibri" w:hAnsiTheme="majorHAnsi" w:cstheme="majorHAnsi"/>
          <w:color w:val="000000" w:themeColor="text1"/>
          <w:lang w:val="ro-RO"/>
        </w:rPr>
        <w:t xml:space="preserve"> la oficiile poștale, precum și nu au beneficiat de dreptul de a</w:t>
      </w:r>
      <w:r w:rsidR="005D7B4C" w:rsidRPr="00341E6C">
        <w:rPr>
          <w:rFonts w:asciiTheme="majorHAnsi" w:eastAsia="Calibri" w:hAnsiTheme="majorHAnsi" w:cstheme="majorHAnsi"/>
          <w:color w:val="000000" w:themeColor="text1"/>
          <w:lang w:val="ro-RO"/>
        </w:rPr>
        <w:t xml:space="preserve"> primi prestațiile la domiciliu</w:t>
      </w:r>
      <w:r w:rsidR="00F13899">
        <w:rPr>
          <w:rFonts w:asciiTheme="majorHAnsi" w:eastAsia="Calibri" w:hAnsiTheme="majorHAnsi" w:cstheme="majorHAnsi"/>
          <w:color w:val="000000" w:themeColor="text1"/>
          <w:lang w:val="ro-RO"/>
        </w:rPr>
        <w:t>,</w:t>
      </w:r>
      <w:r w:rsidR="005D7B4C" w:rsidRPr="00341E6C">
        <w:rPr>
          <w:rFonts w:asciiTheme="majorHAnsi" w:eastAsia="Calibri" w:hAnsiTheme="majorHAnsi" w:cstheme="majorHAnsi"/>
          <w:color w:val="000000" w:themeColor="text1"/>
          <w:lang w:val="ro-RO"/>
        </w:rPr>
        <w:t xml:space="preserve"> în timp ce</w:t>
      </w:r>
      <w:r w:rsidRPr="00341E6C">
        <w:rPr>
          <w:rFonts w:asciiTheme="majorHAnsi" w:eastAsia="Calibri" w:hAnsiTheme="majorHAnsi" w:cstheme="majorHAnsi"/>
          <w:color w:val="000000" w:themeColor="text1"/>
          <w:lang w:val="ro-RO"/>
        </w:rPr>
        <w:t xml:space="preserve"> oficii</w:t>
      </w:r>
      <w:r w:rsidR="005D7B4C" w:rsidRPr="00341E6C">
        <w:rPr>
          <w:rFonts w:asciiTheme="majorHAnsi" w:eastAsia="Calibri" w:hAnsiTheme="majorHAnsi" w:cstheme="majorHAnsi"/>
          <w:color w:val="000000" w:themeColor="text1"/>
          <w:lang w:val="ro-RO"/>
        </w:rPr>
        <w:t>le</w:t>
      </w:r>
      <w:r w:rsidRPr="00341E6C">
        <w:rPr>
          <w:rFonts w:asciiTheme="majorHAnsi" w:eastAsia="Calibri" w:hAnsiTheme="majorHAnsi" w:cstheme="majorHAnsi"/>
          <w:color w:val="000000" w:themeColor="text1"/>
          <w:lang w:val="ro-RO"/>
        </w:rPr>
        <w:t xml:space="preserve"> poștale au avut un regim special de activitate</w:t>
      </w:r>
      <w:r w:rsidRPr="00341E6C">
        <w:rPr>
          <w:rStyle w:val="FootnoteReference"/>
          <w:rFonts w:asciiTheme="majorHAnsi" w:eastAsia="Calibri" w:hAnsiTheme="majorHAnsi" w:cstheme="majorHAnsi"/>
          <w:color w:val="000000" w:themeColor="text1"/>
          <w:lang w:val="ro-RO"/>
        </w:rPr>
        <w:footnoteReference w:id="58"/>
      </w:r>
      <w:r w:rsidRPr="00341E6C">
        <w:rPr>
          <w:rFonts w:asciiTheme="majorHAnsi" w:eastAsia="Calibri" w:hAnsiTheme="majorHAnsi" w:cstheme="majorHAnsi"/>
          <w:color w:val="000000" w:themeColor="text1"/>
          <w:lang w:val="ro-RO"/>
        </w:rPr>
        <w:t xml:space="preserve">. </w:t>
      </w:r>
      <w:r w:rsidR="00F16F38">
        <w:rPr>
          <w:rFonts w:asciiTheme="majorHAnsi" w:eastAsia="Calibri" w:hAnsiTheme="majorHAnsi" w:cstheme="majorHAnsi"/>
          <w:color w:val="000000" w:themeColor="text1"/>
          <w:lang w:val="ro-RO"/>
        </w:rPr>
        <w:t>Potrivit motivațiilor Î.S. „</w:t>
      </w:r>
      <w:r w:rsidR="004A2563">
        <w:rPr>
          <w:rFonts w:asciiTheme="majorHAnsi" w:eastAsia="Calibri" w:hAnsiTheme="majorHAnsi" w:cstheme="majorHAnsi"/>
          <w:color w:val="000000" w:themeColor="text1"/>
          <w:lang w:val="ro-RO"/>
        </w:rPr>
        <w:t>Poșta Moldovei</w:t>
      </w:r>
      <w:r w:rsidR="00F16F38">
        <w:rPr>
          <w:rFonts w:asciiTheme="majorHAnsi" w:eastAsia="Calibri" w:hAnsiTheme="majorHAnsi" w:cstheme="majorHAnsi"/>
          <w:color w:val="000000" w:themeColor="text1"/>
          <w:lang w:val="ro-RO"/>
        </w:rPr>
        <w:t>”</w:t>
      </w:r>
      <w:r w:rsidR="004A2563">
        <w:rPr>
          <w:rFonts w:asciiTheme="majorHAnsi" w:eastAsia="Calibri" w:hAnsiTheme="majorHAnsi" w:cstheme="majorHAnsi"/>
          <w:color w:val="000000" w:themeColor="text1"/>
          <w:lang w:val="ro-RO"/>
        </w:rPr>
        <w:t xml:space="preserve">, neachitarea integrală a prestațiilor a fost determinată de restricțiile impuse și </w:t>
      </w:r>
      <w:r w:rsidR="00F13899">
        <w:rPr>
          <w:rFonts w:asciiTheme="majorHAnsi" w:eastAsia="Calibri" w:hAnsiTheme="majorHAnsi" w:cstheme="majorHAnsi"/>
          <w:color w:val="000000" w:themeColor="text1"/>
          <w:lang w:val="ro-RO"/>
        </w:rPr>
        <w:t xml:space="preserve">de faptul că unii </w:t>
      </w:r>
      <w:r w:rsidR="004A2563">
        <w:rPr>
          <w:rFonts w:asciiTheme="majorHAnsi" w:eastAsia="Calibri" w:hAnsiTheme="majorHAnsi" w:cstheme="majorHAnsi"/>
          <w:color w:val="000000" w:themeColor="text1"/>
          <w:lang w:val="ro-RO"/>
        </w:rPr>
        <w:t xml:space="preserve">beneficiari nu acceptau vizita lucrătorilor poștali. </w:t>
      </w:r>
    </w:p>
    <w:p w14:paraId="594F5EE3" w14:textId="62FFAA29" w:rsidR="00DE6C7D" w:rsidRPr="00341E6C" w:rsidRDefault="00DE6C7D" w:rsidP="001A3D6B">
      <w:pPr>
        <w:pStyle w:val="Normal1"/>
        <w:spacing w:before="0" w:beforeAutospacing="0" w:after="240" w:afterAutospacing="0" w:line="276" w:lineRule="auto"/>
        <w:ind w:right="50"/>
        <w:jc w:val="both"/>
        <w:rPr>
          <w:rFonts w:asciiTheme="majorHAnsi" w:eastAsia="Calibri" w:hAnsiTheme="majorHAnsi" w:cstheme="majorHAnsi"/>
          <w:color w:val="000000" w:themeColor="text1"/>
          <w:lang w:val="ro-RO"/>
        </w:rPr>
      </w:pPr>
      <w:r w:rsidRPr="00341E6C">
        <w:rPr>
          <w:rFonts w:asciiTheme="majorHAnsi" w:eastAsia="Calibri" w:hAnsiTheme="majorHAnsi" w:cstheme="majorHAnsi"/>
          <w:color w:val="000000" w:themeColor="text1"/>
          <w:lang w:val="ro-RO"/>
        </w:rPr>
        <w:t>Se menționează că</w:t>
      </w:r>
      <w:r w:rsidR="00F13899">
        <w:rPr>
          <w:rFonts w:asciiTheme="majorHAnsi" w:eastAsia="Calibri" w:hAnsiTheme="majorHAnsi" w:cstheme="majorHAnsi"/>
          <w:color w:val="000000" w:themeColor="text1"/>
          <w:lang w:val="ro-RO"/>
        </w:rPr>
        <w:t>,</w:t>
      </w:r>
      <w:r w:rsidRPr="00341E6C">
        <w:rPr>
          <w:rFonts w:asciiTheme="majorHAnsi" w:eastAsia="Calibri" w:hAnsiTheme="majorHAnsi" w:cstheme="majorHAnsi"/>
          <w:color w:val="000000" w:themeColor="text1"/>
          <w:lang w:val="ro-RO"/>
        </w:rPr>
        <w:t xml:space="preserve"> pe parcursul stării de urgență, tariful la serviciile de distribuire la domiciliu în numerar a pensiilor</w:t>
      </w:r>
      <w:r w:rsidR="00AD246C">
        <w:rPr>
          <w:rFonts w:asciiTheme="majorHAnsi" w:eastAsia="Calibri" w:hAnsiTheme="majorHAnsi" w:cstheme="majorHAnsi"/>
          <w:color w:val="000000" w:themeColor="text1"/>
          <w:lang w:val="ro-RO"/>
        </w:rPr>
        <w:t xml:space="preserve"> s-a majorat până la 1,3</w:t>
      </w:r>
      <w:r w:rsidRPr="00341E6C">
        <w:rPr>
          <w:rFonts w:asciiTheme="majorHAnsi" w:eastAsia="Calibri" w:hAnsiTheme="majorHAnsi" w:cstheme="majorHAnsi"/>
          <w:color w:val="000000" w:themeColor="text1"/>
          <w:lang w:val="ro-RO"/>
        </w:rPr>
        <w:t>%</w:t>
      </w:r>
      <w:r w:rsidRPr="00341E6C">
        <w:rPr>
          <w:rStyle w:val="FootnoteReference"/>
          <w:rFonts w:asciiTheme="majorHAnsi" w:eastAsia="Calibri" w:hAnsiTheme="majorHAnsi" w:cstheme="majorHAnsi"/>
          <w:color w:val="000000" w:themeColor="text1"/>
          <w:lang w:val="ro-RO"/>
        </w:rPr>
        <w:footnoteReference w:id="59"/>
      </w:r>
      <w:r w:rsidR="002C307D">
        <w:rPr>
          <w:rFonts w:asciiTheme="majorHAnsi" w:eastAsia="Calibri" w:hAnsiTheme="majorHAnsi" w:cstheme="majorHAnsi"/>
          <w:color w:val="000000" w:themeColor="text1"/>
          <w:lang w:val="ro-RO"/>
        </w:rPr>
        <w:t>. A</w:t>
      </w:r>
      <w:r w:rsidRPr="00341E6C">
        <w:rPr>
          <w:rFonts w:asciiTheme="majorHAnsi" w:eastAsia="Calibri" w:hAnsiTheme="majorHAnsi" w:cstheme="majorHAnsi"/>
          <w:color w:val="000000" w:themeColor="text1"/>
          <w:lang w:val="ro-RO"/>
        </w:rPr>
        <w:t>stfel</w:t>
      </w:r>
      <w:r w:rsidR="00F13899">
        <w:rPr>
          <w:rFonts w:asciiTheme="majorHAnsi" w:eastAsia="Calibri" w:hAnsiTheme="majorHAnsi" w:cstheme="majorHAnsi"/>
          <w:color w:val="000000" w:themeColor="text1"/>
          <w:lang w:val="ro-RO"/>
        </w:rPr>
        <w:t>,</w:t>
      </w:r>
      <w:r w:rsidRPr="00341E6C">
        <w:rPr>
          <w:rFonts w:asciiTheme="majorHAnsi" w:eastAsia="Calibri" w:hAnsiTheme="majorHAnsi" w:cstheme="majorHAnsi"/>
          <w:color w:val="000000" w:themeColor="text1"/>
          <w:lang w:val="ro-RO"/>
        </w:rPr>
        <w:t xml:space="preserve"> în aceste condiții Î.S. </w:t>
      </w:r>
      <w:r w:rsidR="00AD246C">
        <w:rPr>
          <w:rFonts w:asciiTheme="majorHAnsi" w:eastAsia="Calibri" w:hAnsiTheme="majorHAnsi" w:cstheme="majorHAnsi"/>
          <w:color w:val="000000" w:themeColor="text1"/>
          <w:lang w:val="ro-RO"/>
        </w:rPr>
        <w:t>„</w:t>
      </w:r>
      <w:r w:rsidRPr="00341E6C">
        <w:rPr>
          <w:rFonts w:asciiTheme="majorHAnsi" w:eastAsia="Calibri" w:hAnsiTheme="majorHAnsi" w:cstheme="majorHAnsi"/>
          <w:color w:val="000000" w:themeColor="text1"/>
          <w:lang w:val="ro-RO"/>
        </w:rPr>
        <w:t>Poșta Moldovei</w:t>
      </w:r>
      <w:r w:rsidR="00AD246C">
        <w:rPr>
          <w:rFonts w:asciiTheme="majorHAnsi" w:eastAsia="Calibri" w:hAnsiTheme="majorHAnsi" w:cstheme="majorHAnsi"/>
          <w:color w:val="000000" w:themeColor="text1"/>
          <w:lang w:val="ro-RO"/>
        </w:rPr>
        <w:t>”</w:t>
      </w:r>
      <w:r w:rsidRPr="00341E6C">
        <w:rPr>
          <w:rFonts w:asciiTheme="majorHAnsi" w:eastAsia="Calibri" w:hAnsiTheme="majorHAnsi" w:cstheme="majorHAnsi"/>
          <w:color w:val="000000" w:themeColor="text1"/>
          <w:lang w:val="ro-RO"/>
        </w:rPr>
        <w:t xml:space="preserve"> a beneficiat de mai mult de 12,4 mil. lei pentru distribuirea prestațiilor la domiciliu.</w:t>
      </w:r>
    </w:p>
    <w:p w14:paraId="4953643C" w14:textId="3FF323D2" w:rsidR="00BD19F7" w:rsidRPr="00341E6C" w:rsidRDefault="00BD19F7" w:rsidP="003D3301">
      <w:pPr>
        <w:tabs>
          <w:tab w:val="left" w:pos="720"/>
        </w:tabs>
        <w:spacing w:line="276" w:lineRule="auto"/>
        <w:ind w:right="-29"/>
        <w:jc w:val="both"/>
        <w:rPr>
          <w:rFonts w:asciiTheme="majorHAnsi" w:eastAsia="Calibri" w:hAnsiTheme="majorHAnsi" w:cstheme="majorHAnsi"/>
          <w:color w:val="000000" w:themeColor="text1"/>
          <w:sz w:val="24"/>
          <w:szCs w:val="24"/>
          <w:lang w:val="ro-RO"/>
        </w:rPr>
      </w:pPr>
      <w:r w:rsidRPr="00341E6C">
        <w:rPr>
          <w:rFonts w:asciiTheme="majorHAnsi" w:eastAsia="Calibri" w:hAnsiTheme="majorHAnsi" w:cstheme="majorHAnsi"/>
          <w:color w:val="000000" w:themeColor="text1"/>
          <w:sz w:val="24"/>
          <w:szCs w:val="24"/>
          <w:lang w:val="ro-RO"/>
        </w:rPr>
        <w:t>Datele din tabel indică că</w:t>
      </w:r>
      <w:r w:rsidR="00F13899">
        <w:rPr>
          <w:rFonts w:asciiTheme="majorHAnsi" w:eastAsia="Calibri" w:hAnsiTheme="majorHAnsi" w:cstheme="majorHAnsi"/>
          <w:color w:val="000000" w:themeColor="text1"/>
          <w:sz w:val="24"/>
          <w:szCs w:val="24"/>
          <w:lang w:val="ro-RO"/>
        </w:rPr>
        <w:t>,</w:t>
      </w:r>
      <w:r w:rsidRPr="00341E6C">
        <w:rPr>
          <w:rFonts w:asciiTheme="majorHAnsi" w:eastAsia="Calibri" w:hAnsiTheme="majorHAnsi" w:cstheme="majorHAnsi"/>
          <w:color w:val="000000" w:themeColor="text1"/>
          <w:sz w:val="24"/>
          <w:szCs w:val="24"/>
          <w:lang w:val="ro-RO"/>
        </w:rPr>
        <w:t xml:space="preserve"> odată cu ridicarea stări de urgență</w:t>
      </w:r>
      <w:r w:rsidR="0057744A" w:rsidRPr="00341E6C">
        <w:rPr>
          <w:rFonts w:asciiTheme="majorHAnsi" w:eastAsia="Calibri" w:hAnsiTheme="majorHAnsi" w:cstheme="majorHAnsi"/>
          <w:color w:val="000000" w:themeColor="text1"/>
          <w:sz w:val="24"/>
          <w:szCs w:val="24"/>
          <w:lang w:val="ro-RO"/>
        </w:rPr>
        <w:t xml:space="preserve"> (15 mai 2020)</w:t>
      </w:r>
      <w:r w:rsidRPr="00341E6C">
        <w:rPr>
          <w:rFonts w:asciiTheme="majorHAnsi" w:eastAsia="Calibri" w:hAnsiTheme="majorHAnsi" w:cstheme="majorHAnsi"/>
          <w:color w:val="000000" w:themeColor="text1"/>
          <w:sz w:val="24"/>
          <w:szCs w:val="24"/>
          <w:lang w:val="ro-RO"/>
        </w:rPr>
        <w:t>, se înregistrează un trend descrescător a</w:t>
      </w:r>
      <w:r w:rsidR="00F13899">
        <w:rPr>
          <w:rFonts w:asciiTheme="majorHAnsi" w:eastAsia="Calibri" w:hAnsiTheme="majorHAnsi" w:cstheme="majorHAnsi"/>
          <w:color w:val="000000" w:themeColor="text1"/>
          <w:sz w:val="24"/>
          <w:szCs w:val="24"/>
          <w:lang w:val="ro-RO"/>
        </w:rPr>
        <w:t>l</w:t>
      </w:r>
      <w:r w:rsidRPr="00341E6C">
        <w:rPr>
          <w:rFonts w:asciiTheme="majorHAnsi" w:eastAsia="Calibri" w:hAnsiTheme="majorHAnsi" w:cstheme="majorHAnsi"/>
          <w:color w:val="000000" w:themeColor="text1"/>
          <w:sz w:val="24"/>
          <w:szCs w:val="24"/>
          <w:lang w:val="ro-RO"/>
        </w:rPr>
        <w:t xml:space="preserve"> sumelor neachitate, fapt ce confirmă că beneficiarii și-au putu</w:t>
      </w:r>
      <w:r w:rsidR="0057744A" w:rsidRPr="00341E6C">
        <w:rPr>
          <w:rFonts w:asciiTheme="majorHAnsi" w:eastAsia="Calibri" w:hAnsiTheme="majorHAnsi" w:cstheme="majorHAnsi"/>
          <w:color w:val="000000" w:themeColor="text1"/>
          <w:sz w:val="24"/>
          <w:szCs w:val="24"/>
          <w:lang w:val="ro-RO"/>
        </w:rPr>
        <w:t>t</w:t>
      </w:r>
      <w:r w:rsidRPr="00341E6C">
        <w:rPr>
          <w:rFonts w:asciiTheme="majorHAnsi" w:eastAsia="Calibri" w:hAnsiTheme="majorHAnsi" w:cstheme="majorHAnsi"/>
          <w:color w:val="000000" w:themeColor="text1"/>
          <w:sz w:val="24"/>
          <w:szCs w:val="24"/>
          <w:lang w:val="ro-RO"/>
        </w:rPr>
        <w:t xml:space="preserve"> realiza dreptul</w:t>
      </w:r>
      <w:r w:rsidR="0057744A" w:rsidRPr="00341E6C">
        <w:rPr>
          <w:rFonts w:asciiTheme="majorHAnsi" w:eastAsia="Calibri" w:hAnsiTheme="majorHAnsi" w:cstheme="majorHAnsi"/>
          <w:color w:val="000000" w:themeColor="text1"/>
          <w:sz w:val="24"/>
          <w:szCs w:val="24"/>
          <w:lang w:val="ro-RO"/>
        </w:rPr>
        <w:t xml:space="preserve"> de </w:t>
      </w:r>
      <w:r w:rsidR="00AD246C">
        <w:rPr>
          <w:rFonts w:asciiTheme="majorHAnsi" w:eastAsia="Calibri" w:hAnsiTheme="majorHAnsi" w:cstheme="majorHAnsi"/>
          <w:color w:val="000000" w:themeColor="text1"/>
          <w:sz w:val="24"/>
          <w:szCs w:val="24"/>
          <w:lang w:val="ro-RO"/>
        </w:rPr>
        <w:t xml:space="preserve">a </w:t>
      </w:r>
      <w:r w:rsidR="0057744A" w:rsidRPr="00341E6C">
        <w:rPr>
          <w:rFonts w:asciiTheme="majorHAnsi" w:eastAsia="Calibri" w:hAnsiTheme="majorHAnsi" w:cstheme="majorHAnsi"/>
          <w:color w:val="000000" w:themeColor="text1"/>
          <w:sz w:val="24"/>
          <w:szCs w:val="24"/>
          <w:lang w:val="ro-RO"/>
        </w:rPr>
        <w:t>ridica prestația</w:t>
      </w:r>
      <w:r w:rsidR="00127637" w:rsidRPr="00341E6C">
        <w:rPr>
          <w:rFonts w:asciiTheme="majorHAnsi" w:eastAsia="Calibri" w:hAnsiTheme="majorHAnsi" w:cstheme="majorHAnsi"/>
          <w:color w:val="000000" w:themeColor="text1"/>
          <w:sz w:val="24"/>
          <w:szCs w:val="24"/>
          <w:lang w:val="ro-RO"/>
        </w:rPr>
        <w:t xml:space="preserve"> de sine stătător</w:t>
      </w:r>
      <w:r w:rsidR="00F13899">
        <w:rPr>
          <w:rFonts w:asciiTheme="majorHAnsi" w:eastAsia="Calibri" w:hAnsiTheme="majorHAnsi" w:cstheme="majorHAnsi"/>
          <w:color w:val="000000" w:themeColor="text1"/>
          <w:sz w:val="24"/>
          <w:szCs w:val="24"/>
          <w:lang w:val="ro-RO"/>
        </w:rPr>
        <w:t>;</w:t>
      </w:r>
    </w:p>
    <w:p w14:paraId="6EC22604" w14:textId="3827F5E6" w:rsidR="007E068F" w:rsidRPr="00341E6C" w:rsidRDefault="00EE3574" w:rsidP="005C0729">
      <w:pPr>
        <w:pStyle w:val="ListParagraph"/>
        <w:numPr>
          <w:ilvl w:val="2"/>
          <w:numId w:val="23"/>
        </w:numPr>
        <w:tabs>
          <w:tab w:val="left" w:pos="851"/>
        </w:tabs>
        <w:spacing w:after="0" w:line="276" w:lineRule="auto"/>
        <w:ind w:left="0" w:firstLine="0"/>
        <w:jc w:val="both"/>
        <w:outlineLvl w:val="2"/>
        <w:rPr>
          <w:rFonts w:asciiTheme="majorHAnsi" w:hAnsiTheme="majorHAnsi" w:cstheme="majorHAnsi"/>
          <w:b/>
          <w:sz w:val="24"/>
          <w:szCs w:val="24"/>
          <w:lang w:val="ro-RO"/>
        </w:rPr>
      </w:pPr>
      <w:r>
        <w:rPr>
          <w:rFonts w:asciiTheme="majorHAnsi" w:hAnsiTheme="majorHAnsi" w:cstheme="majorHAnsi"/>
          <w:b/>
          <w:sz w:val="24"/>
          <w:szCs w:val="24"/>
          <w:lang w:val="ro-RO"/>
        </w:rPr>
        <w:t>i</w:t>
      </w:r>
      <w:r w:rsidR="007E068F" w:rsidRPr="00341E6C">
        <w:rPr>
          <w:rFonts w:asciiTheme="majorHAnsi" w:hAnsiTheme="majorHAnsi" w:cstheme="majorHAnsi"/>
          <w:b/>
          <w:sz w:val="24"/>
          <w:szCs w:val="24"/>
          <w:lang w:val="ro-RO"/>
        </w:rPr>
        <w:t>nsuficiența pârghiilor de control privind corectitudinea achitării indemnizațiil</w:t>
      </w:r>
      <w:r w:rsidR="00BF35BB">
        <w:rPr>
          <w:rFonts w:asciiTheme="majorHAnsi" w:hAnsiTheme="majorHAnsi" w:cstheme="majorHAnsi"/>
          <w:b/>
          <w:sz w:val="24"/>
          <w:szCs w:val="24"/>
          <w:lang w:val="ro-RO"/>
        </w:rPr>
        <w:t>or</w:t>
      </w:r>
      <w:r w:rsidR="007E068F" w:rsidRPr="00341E6C">
        <w:rPr>
          <w:rFonts w:asciiTheme="majorHAnsi" w:hAnsiTheme="majorHAnsi" w:cstheme="majorHAnsi"/>
          <w:b/>
          <w:sz w:val="24"/>
          <w:szCs w:val="24"/>
          <w:lang w:val="ro-RO"/>
        </w:rPr>
        <w:t xml:space="preserve"> urmașilor personalului medical decedat ca urmare a desfășurării activității </w:t>
      </w:r>
      <w:r w:rsidR="00113667">
        <w:rPr>
          <w:rFonts w:asciiTheme="majorHAnsi" w:hAnsiTheme="majorHAnsi" w:cstheme="majorHAnsi"/>
          <w:b/>
          <w:sz w:val="24"/>
          <w:szCs w:val="24"/>
          <w:lang w:val="ro-RO"/>
        </w:rPr>
        <w:t xml:space="preserve">medicale în lupta cu COVID-19 a </w:t>
      </w:r>
      <w:r w:rsidR="007E068F" w:rsidRPr="00341E6C">
        <w:rPr>
          <w:rFonts w:asciiTheme="majorHAnsi" w:hAnsiTheme="majorHAnsi" w:cstheme="majorHAnsi"/>
          <w:b/>
          <w:sz w:val="24"/>
          <w:szCs w:val="24"/>
          <w:lang w:val="ro-RO"/>
        </w:rPr>
        <w:t xml:space="preserve">generat </w:t>
      </w:r>
      <w:r w:rsidR="00C343FC">
        <w:rPr>
          <w:rFonts w:asciiTheme="majorHAnsi" w:hAnsiTheme="majorHAnsi" w:cstheme="majorHAnsi"/>
          <w:b/>
          <w:sz w:val="24"/>
          <w:szCs w:val="24"/>
          <w:lang w:val="ro-RO"/>
        </w:rPr>
        <w:t xml:space="preserve">achitarea </w:t>
      </w:r>
      <w:r w:rsidR="007E068F" w:rsidRPr="00341E6C">
        <w:rPr>
          <w:rFonts w:asciiTheme="majorHAnsi" w:hAnsiTheme="majorHAnsi" w:cstheme="majorHAnsi"/>
          <w:b/>
          <w:sz w:val="24"/>
          <w:szCs w:val="24"/>
          <w:lang w:val="ro-RO"/>
        </w:rPr>
        <w:t>în</w:t>
      </w:r>
      <w:r w:rsidR="00C343FC">
        <w:rPr>
          <w:rFonts w:asciiTheme="majorHAnsi" w:hAnsiTheme="majorHAnsi" w:cstheme="majorHAnsi"/>
          <w:b/>
          <w:sz w:val="24"/>
          <w:szCs w:val="24"/>
          <w:lang w:val="ro-RO"/>
        </w:rPr>
        <w:t xml:space="preserve"> cuantum diferit</w:t>
      </w:r>
      <w:r w:rsidR="007E068F" w:rsidRPr="00341E6C">
        <w:rPr>
          <w:rFonts w:asciiTheme="majorHAnsi" w:hAnsiTheme="majorHAnsi" w:cstheme="majorHAnsi"/>
          <w:b/>
          <w:sz w:val="24"/>
          <w:szCs w:val="24"/>
          <w:lang w:val="ro-RO"/>
        </w:rPr>
        <w:t xml:space="preserve"> față de suma stabilită conform deciziei</w:t>
      </w:r>
      <w:r w:rsidR="00C343FC">
        <w:rPr>
          <w:rFonts w:asciiTheme="majorHAnsi" w:hAnsiTheme="majorHAnsi" w:cstheme="majorHAnsi"/>
          <w:b/>
          <w:sz w:val="24"/>
          <w:szCs w:val="24"/>
          <w:lang w:val="ro-RO"/>
        </w:rPr>
        <w:t xml:space="preserve"> în</w:t>
      </w:r>
      <w:r w:rsidR="00C343FC" w:rsidRPr="00C343FC">
        <w:rPr>
          <w:rFonts w:asciiTheme="majorHAnsi" w:hAnsiTheme="majorHAnsi" w:cstheme="majorHAnsi"/>
          <w:b/>
          <w:sz w:val="24"/>
          <w:szCs w:val="24"/>
          <w:lang w:val="ro-RO"/>
        </w:rPr>
        <w:t xml:space="preserve"> </w:t>
      </w:r>
      <w:r w:rsidR="00C343FC" w:rsidRPr="00341E6C">
        <w:rPr>
          <w:rFonts w:asciiTheme="majorHAnsi" w:hAnsiTheme="majorHAnsi" w:cstheme="majorHAnsi"/>
          <w:b/>
          <w:sz w:val="24"/>
          <w:szCs w:val="24"/>
          <w:lang w:val="ro-RO"/>
        </w:rPr>
        <w:t xml:space="preserve">valoare </w:t>
      </w:r>
      <w:r w:rsidR="00C343FC">
        <w:rPr>
          <w:rFonts w:asciiTheme="majorHAnsi" w:hAnsiTheme="majorHAnsi" w:cstheme="majorHAnsi"/>
          <w:b/>
          <w:sz w:val="24"/>
          <w:szCs w:val="24"/>
          <w:lang w:val="ro-RO"/>
        </w:rPr>
        <w:t>de 3,</w:t>
      </w:r>
      <w:r w:rsidR="00C343FC" w:rsidRPr="00341E6C">
        <w:rPr>
          <w:rFonts w:asciiTheme="majorHAnsi" w:hAnsiTheme="majorHAnsi" w:cstheme="majorHAnsi"/>
          <w:b/>
          <w:sz w:val="24"/>
          <w:szCs w:val="24"/>
          <w:lang w:val="ro-RO"/>
        </w:rPr>
        <w:t>7 mii lei</w:t>
      </w:r>
      <w:r w:rsidR="00BF35BB">
        <w:rPr>
          <w:rFonts w:asciiTheme="majorHAnsi" w:hAnsiTheme="majorHAnsi" w:cstheme="majorHAnsi"/>
          <w:b/>
          <w:sz w:val="24"/>
          <w:szCs w:val="24"/>
          <w:lang w:val="ro-RO"/>
        </w:rPr>
        <w:t>.</w:t>
      </w:r>
    </w:p>
    <w:p w14:paraId="29395839" w14:textId="5E1A5A55" w:rsidR="007E068F" w:rsidRPr="00341E6C" w:rsidRDefault="00BF35BB" w:rsidP="00E7122D">
      <w:pPr>
        <w:tabs>
          <w:tab w:val="left" w:pos="851"/>
        </w:tabs>
        <w:spacing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lastRenderedPageBreak/>
        <w:t>Ca u</w:t>
      </w:r>
      <w:r w:rsidR="007E068F" w:rsidRPr="00341E6C">
        <w:rPr>
          <w:rFonts w:asciiTheme="majorHAnsi" w:hAnsiTheme="majorHAnsi" w:cstheme="majorHAnsi"/>
          <w:sz w:val="24"/>
          <w:szCs w:val="24"/>
          <w:lang w:val="ro-RO"/>
        </w:rPr>
        <w:t xml:space="preserve">rmare a situației pandemice, în luna iulie 2020 a </w:t>
      </w:r>
      <w:r>
        <w:rPr>
          <w:rFonts w:asciiTheme="majorHAnsi" w:hAnsiTheme="majorHAnsi" w:cstheme="majorHAnsi"/>
          <w:sz w:val="24"/>
          <w:szCs w:val="24"/>
          <w:lang w:val="ro-RO"/>
        </w:rPr>
        <w:t xml:space="preserve">fost </w:t>
      </w:r>
      <w:r w:rsidR="007E068F" w:rsidRPr="00341E6C">
        <w:rPr>
          <w:rFonts w:asciiTheme="majorHAnsi" w:hAnsiTheme="majorHAnsi" w:cstheme="majorHAnsi"/>
          <w:sz w:val="24"/>
          <w:szCs w:val="24"/>
          <w:lang w:val="ro-RO"/>
        </w:rPr>
        <w:t>aprobat</w:t>
      </w:r>
      <w:r>
        <w:rPr>
          <w:rFonts w:asciiTheme="majorHAnsi" w:hAnsiTheme="majorHAnsi" w:cstheme="majorHAnsi"/>
          <w:sz w:val="24"/>
          <w:szCs w:val="24"/>
          <w:lang w:val="ro-RO"/>
        </w:rPr>
        <w:t>ă</w:t>
      </w:r>
      <w:r w:rsidR="007E068F" w:rsidRPr="00341E6C">
        <w:rPr>
          <w:rFonts w:asciiTheme="majorHAnsi" w:hAnsiTheme="majorHAnsi" w:cstheme="majorHAnsi"/>
          <w:sz w:val="24"/>
          <w:szCs w:val="24"/>
          <w:lang w:val="ro-RO"/>
        </w:rPr>
        <w:t xml:space="preserve"> Legea privind acordarea indemnizației urmașilor personalului medical decedat ca </w:t>
      </w:r>
      <w:r>
        <w:rPr>
          <w:rFonts w:asciiTheme="majorHAnsi" w:hAnsiTheme="majorHAnsi" w:cstheme="majorHAnsi"/>
          <w:sz w:val="24"/>
          <w:szCs w:val="24"/>
          <w:lang w:val="ro-RO"/>
        </w:rPr>
        <w:t>rezultat</w:t>
      </w:r>
      <w:r w:rsidRPr="00341E6C">
        <w:rPr>
          <w:rFonts w:asciiTheme="majorHAnsi" w:hAnsiTheme="majorHAnsi" w:cstheme="majorHAnsi"/>
          <w:sz w:val="24"/>
          <w:szCs w:val="24"/>
          <w:lang w:val="ro-RO"/>
        </w:rPr>
        <w:t xml:space="preserve"> </w:t>
      </w:r>
      <w:r w:rsidR="007E068F" w:rsidRPr="00341E6C">
        <w:rPr>
          <w:rFonts w:asciiTheme="majorHAnsi" w:hAnsiTheme="majorHAnsi" w:cstheme="majorHAnsi"/>
          <w:sz w:val="24"/>
          <w:szCs w:val="24"/>
          <w:lang w:val="ro-RO"/>
        </w:rPr>
        <w:t>a</w:t>
      </w:r>
      <w:r>
        <w:rPr>
          <w:rFonts w:asciiTheme="majorHAnsi" w:hAnsiTheme="majorHAnsi" w:cstheme="majorHAnsi"/>
          <w:sz w:val="24"/>
          <w:szCs w:val="24"/>
          <w:lang w:val="ro-RO"/>
        </w:rPr>
        <w:t>l</w:t>
      </w:r>
      <w:r w:rsidR="007E068F" w:rsidRPr="00341E6C">
        <w:rPr>
          <w:rFonts w:asciiTheme="majorHAnsi" w:hAnsiTheme="majorHAnsi" w:cstheme="majorHAnsi"/>
          <w:sz w:val="24"/>
          <w:szCs w:val="24"/>
          <w:lang w:val="ro-RO"/>
        </w:rPr>
        <w:t xml:space="preserve"> desfășurării activității medicale în lupta cu COVID-19</w:t>
      </w:r>
      <w:r w:rsidR="007E068F" w:rsidRPr="00341E6C">
        <w:rPr>
          <w:rStyle w:val="FootnoteReference"/>
          <w:rFonts w:asciiTheme="majorHAnsi" w:hAnsiTheme="majorHAnsi" w:cstheme="majorHAnsi"/>
          <w:sz w:val="24"/>
          <w:szCs w:val="24"/>
          <w:lang w:val="ro-RO"/>
        </w:rPr>
        <w:footnoteReference w:id="60"/>
      </w:r>
      <w:r w:rsidR="007E068F" w:rsidRPr="00341E6C">
        <w:rPr>
          <w:rFonts w:asciiTheme="majorHAnsi" w:hAnsiTheme="majorHAnsi" w:cstheme="majorHAnsi"/>
          <w:sz w:val="24"/>
          <w:szCs w:val="24"/>
          <w:lang w:val="ro-RO"/>
        </w:rPr>
        <w:t>.</w:t>
      </w:r>
    </w:p>
    <w:p w14:paraId="17FA446C" w14:textId="3F5F4309" w:rsidR="007E068F" w:rsidRPr="00341E6C" w:rsidRDefault="007E068F" w:rsidP="00E7122D">
      <w:pPr>
        <w:tabs>
          <w:tab w:val="left" w:pos="851"/>
        </w:tabs>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Stabilirea, evidența și organizarea plății indemnizației urmașilor personalului medical decedat ca urmare a desfășurării activității medicale în lupta cu Covid-19 se efectuează de către Casa Națională de Asigurări Sociale</w:t>
      </w:r>
      <w:r w:rsidRPr="00341E6C">
        <w:rPr>
          <w:rStyle w:val="FootnoteReference"/>
          <w:rFonts w:asciiTheme="majorHAnsi" w:hAnsiTheme="majorHAnsi" w:cstheme="majorHAnsi"/>
          <w:sz w:val="24"/>
          <w:szCs w:val="24"/>
          <w:lang w:val="ro-RO"/>
        </w:rPr>
        <w:footnoteReference w:id="61"/>
      </w:r>
      <w:r w:rsidRPr="00341E6C">
        <w:rPr>
          <w:rFonts w:asciiTheme="majorHAnsi" w:hAnsiTheme="majorHAnsi" w:cstheme="majorHAnsi"/>
          <w:sz w:val="24"/>
          <w:szCs w:val="24"/>
          <w:lang w:val="ro-RO"/>
        </w:rPr>
        <w:t>. Casa Națională a stabilit dreptul la indemnizație pentru 33 de urmași și a înregistrat cheltuieli efective pentru această prestație în sumă de 1</w:t>
      </w:r>
      <w:r w:rsidR="000D7C07">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321,2 mii lei.</w:t>
      </w:r>
    </w:p>
    <w:p w14:paraId="771FA22C" w14:textId="698AAB9D" w:rsidR="007E068F" w:rsidRPr="00A379A2" w:rsidRDefault="007E068F" w:rsidP="00E7122D">
      <w:pPr>
        <w:tabs>
          <w:tab w:val="left" w:pos="851"/>
        </w:tabs>
        <w:spacing w:line="276" w:lineRule="auto"/>
        <w:jc w:val="both"/>
        <w:rPr>
          <w:rFonts w:asciiTheme="majorHAnsi" w:hAnsiTheme="majorHAnsi" w:cstheme="majorHAnsi"/>
          <w:strike/>
          <w:sz w:val="24"/>
          <w:szCs w:val="24"/>
          <w:lang w:val="ro-RO"/>
        </w:rPr>
      </w:pPr>
      <w:r w:rsidRPr="00341E6C">
        <w:rPr>
          <w:rFonts w:asciiTheme="majorHAnsi" w:hAnsiTheme="majorHAnsi" w:cstheme="majorHAnsi"/>
          <w:sz w:val="24"/>
          <w:szCs w:val="24"/>
          <w:lang w:val="ro-RO"/>
        </w:rPr>
        <w:t>Potrivit informației MSMPS</w:t>
      </w:r>
      <w:r w:rsidRPr="00341E6C">
        <w:rPr>
          <w:rStyle w:val="FootnoteReference"/>
          <w:rFonts w:asciiTheme="majorHAnsi" w:hAnsiTheme="majorHAnsi" w:cstheme="majorHAnsi"/>
          <w:sz w:val="24"/>
          <w:szCs w:val="24"/>
          <w:lang w:val="ro-RO"/>
        </w:rPr>
        <w:footnoteReference w:id="62"/>
      </w:r>
      <w:r w:rsidRPr="00341E6C">
        <w:rPr>
          <w:rFonts w:asciiTheme="majorHAnsi" w:hAnsiTheme="majorHAnsi" w:cstheme="majorHAnsi"/>
          <w:sz w:val="24"/>
          <w:szCs w:val="24"/>
          <w:lang w:val="ro-RO"/>
        </w:rPr>
        <w:t xml:space="preserve">, în anul 2020 s-au înregistrat 65 de persoane decedate </w:t>
      </w:r>
      <w:r w:rsidR="002C2E2C">
        <w:rPr>
          <w:rFonts w:asciiTheme="majorHAnsi" w:hAnsiTheme="majorHAnsi" w:cstheme="majorHAnsi"/>
          <w:sz w:val="24"/>
          <w:szCs w:val="24"/>
          <w:lang w:val="ro-RO"/>
        </w:rPr>
        <w:t xml:space="preserve">din rândul </w:t>
      </w:r>
      <w:r w:rsidRPr="00341E6C">
        <w:rPr>
          <w:rFonts w:asciiTheme="majorHAnsi" w:hAnsiTheme="majorHAnsi" w:cstheme="majorHAnsi"/>
          <w:sz w:val="24"/>
          <w:szCs w:val="24"/>
          <w:lang w:val="ro-RO"/>
        </w:rPr>
        <w:t>lucrători</w:t>
      </w:r>
      <w:r w:rsidR="002C2E2C">
        <w:rPr>
          <w:rFonts w:asciiTheme="majorHAnsi" w:hAnsiTheme="majorHAnsi" w:cstheme="majorHAnsi"/>
          <w:sz w:val="24"/>
          <w:szCs w:val="24"/>
          <w:lang w:val="ro-RO"/>
        </w:rPr>
        <w:t>lor</w:t>
      </w:r>
      <w:r w:rsidRPr="00341E6C">
        <w:rPr>
          <w:rFonts w:asciiTheme="majorHAnsi" w:hAnsiTheme="majorHAnsi" w:cstheme="majorHAnsi"/>
          <w:sz w:val="24"/>
          <w:szCs w:val="24"/>
          <w:lang w:val="ro-RO"/>
        </w:rPr>
        <w:t xml:space="preserve"> medicali care au participat nemijlocit la acțiunile medicale</w:t>
      </w:r>
      <w:r w:rsidR="00345C1B">
        <w:rPr>
          <w:rFonts w:asciiTheme="majorHAnsi" w:hAnsiTheme="majorHAnsi" w:cstheme="majorHAnsi"/>
          <w:sz w:val="24"/>
          <w:szCs w:val="24"/>
          <w:lang w:val="ro-RO"/>
        </w:rPr>
        <w:t xml:space="preserve"> împotriva COVID-19. S</w:t>
      </w:r>
      <w:r w:rsidRPr="00341E6C">
        <w:rPr>
          <w:rFonts w:asciiTheme="majorHAnsi" w:hAnsiTheme="majorHAnsi" w:cstheme="majorHAnsi"/>
          <w:sz w:val="24"/>
          <w:szCs w:val="24"/>
          <w:lang w:val="ro-RO"/>
        </w:rPr>
        <w:t>-a constatat că</w:t>
      </w:r>
      <w:r w:rsidR="002C2E2C">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din 33 </w:t>
      </w:r>
      <w:r w:rsidR="002C2E2C">
        <w:rPr>
          <w:rFonts w:asciiTheme="majorHAnsi" w:hAnsiTheme="majorHAnsi" w:cstheme="majorHAnsi"/>
          <w:sz w:val="24"/>
          <w:szCs w:val="24"/>
          <w:lang w:val="ro-RO"/>
        </w:rPr>
        <w:t xml:space="preserve">de </w:t>
      </w:r>
      <w:r w:rsidRPr="00341E6C">
        <w:rPr>
          <w:rFonts w:asciiTheme="majorHAnsi" w:hAnsiTheme="majorHAnsi" w:cstheme="majorHAnsi"/>
          <w:sz w:val="24"/>
          <w:szCs w:val="24"/>
          <w:lang w:val="ro-RO"/>
        </w:rPr>
        <w:t>dosare examinate, 9 lucrători medicali decedați a</w:t>
      </w:r>
      <w:r w:rsidR="00F604F3">
        <w:rPr>
          <w:rFonts w:asciiTheme="majorHAnsi" w:hAnsiTheme="majorHAnsi" w:cstheme="majorHAnsi"/>
          <w:sz w:val="24"/>
          <w:szCs w:val="24"/>
          <w:lang w:val="ro-RO"/>
        </w:rPr>
        <w:t>i</w:t>
      </w:r>
      <w:r w:rsidRPr="00341E6C">
        <w:rPr>
          <w:rFonts w:asciiTheme="majorHAnsi" w:hAnsiTheme="majorHAnsi" w:cstheme="majorHAnsi"/>
          <w:sz w:val="24"/>
          <w:szCs w:val="24"/>
          <w:lang w:val="ro-RO"/>
        </w:rPr>
        <w:t xml:space="preserve"> căror urmași beneficiază de dreptul la indemnizație nu se regăsesc în lista MSMPS, precum și viceversa, a fost respinsă cererea urmașului care se regăsea în listă. </w:t>
      </w:r>
      <w:r w:rsidR="00345C1B">
        <w:rPr>
          <w:rFonts w:asciiTheme="majorHAnsi" w:hAnsiTheme="majorHAnsi" w:cstheme="majorHAnsi"/>
          <w:sz w:val="24"/>
          <w:szCs w:val="24"/>
          <w:lang w:val="ro-RO"/>
        </w:rPr>
        <w:t>Astfel, deși CNAS a stabilit prestația în conformitate cu cadrul normativ și în baza documentelor justificative</w:t>
      </w:r>
      <w:r w:rsidR="00486505">
        <w:rPr>
          <w:rStyle w:val="FootnoteReference"/>
          <w:rFonts w:asciiTheme="majorHAnsi" w:hAnsiTheme="majorHAnsi" w:cstheme="majorHAnsi"/>
          <w:sz w:val="24"/>
          <w:szCs w:val="24"/>
          <w:lang w:val="ro-RO"/>
        </w:rPr>
        <w:footnoteReference w:id="63"/>
      </w:r>
      <w:r w:rsidR="006C4242">
        <w:rPr>
          <w:rFonts w:asciiTheme="majorHAnsi" w:hAnsiTheme="majorHAnsi" w:cstheme="majorHAnsi"/>
          <w:sz w:val="24"/>
          <w:szCs w:val="24"/>
          <w:lang w:val="ro-RO"/>
        </w:rPr>
        <w:t>,</w:t>
      </w:r>
      <w:r w:rsidR="00D26C6D">
        <w:rPr>
          <w:rFonts w:asciiTheme="majorHAnsi" w:hAnsiTheme="majorHAnsi" w:cstheme="majorHAnsi"/>
          <w:sz w:val="24"/>
          <w:szCs w:val="24"/>
          <w:lang w:val="ro-RO"/>
        </w:rPr>
        <w:t xml:space="preserve"> </w:t>
      </w:r>
      <w:r w:rsidR="00345C1B">
        <w:rPr>
          <w:rFonts w:asciiTheme="majorHAnsi" w:hAnsiTheme="majorHAnsi" w:cstheme="majorHAnsi"/>
          <w:sz w:val="24"/>
          <w:szCs w:val="24"/>
          <w:lang w:val="ro-RO"/>
        </w:rPr>
        <w:t>datel</w:t>
      </w:r>
      <w:r w:rsidR="00D26C6D">
        <w:rPr>
          <w:rFonts w:asciiTheme="majorHAnsi" w:hAnsiTheme="majorHAnsi" w:cstheme="majorHAnsi"/>
          <w:sz w:val="24"/>
          <w:szCs w:val="24"/>
          <w:lang w:val="ro-RO"/>
        </w:rPr>
        <w:t>e</w:t>
      </w:r>
      <w:r w:rsidR="00345C1B">
        <w:rPr>
          <w:rFonts w:asciiTheme="majorHAnsi" w:hAnsiTheme="majorHAnsi" w:cstheme="majorHAnsi"/>
          <w:sz w:val="24"/>
          <w:szCs w:val="24"/>
          <w:lang w:val="ro-RO"/>
        </w:rPr>
        <w:t xml:space="preserve"> furnizate de MSMPS creează incertitudini privind numărul real de personal medical decedat.  </w:t>
      </w:r>
    </w:p>
    <w:p w14:paraId="139D6201" w14:textId="3BAAC639" w:rsidR="007E068F" w:rsidRPr="00341E6C" w:rsidRDefault="007E068F" w:rsidP="00E7122D">
      <w:pPr>
        <w:tabs>
          <w:tab w:val="left" w:pos="851"/>
        </w:tabs>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Cu privire la corectitudinea stabilirii</w:t>
      </w:r>
      <w:r w:rsidRPr="00341E6C">
        <w:rPr>
          <w:rFonts w:asciiTheme="majorHAnsi" w:hAnsiTheme="majorHAnsi" w:cstheme="majorHAnsi"/>
          <w:i/>
          <w:sz w:val="24"/>
          <w:szCs w:val="24"/>
          <w:lang w:val="ro-RO"/>
        </w:rPr>
        <w:t xml:space="preserve"> </w:t>
      </w:r>
      <w:r w:rsidRPr="00341E6C">
        <w:rPr>
          <w:rFonts w:asciiTheme="majorHAnsi" w:hAnsiTheme="majorHAnsi" w:cstheme="majorHAnsi"/>
          <w:sz w:val="24"/>
          <w:szCs w:val="24"/>
          <w:lang w:val="ro-RO"/>
        </w:rPr>
        <w:t xml:space="preserve">indemnizației, auditorul nu a înregistrat neconformități, acestea fiind calculate exact, în cuantum corespunzător și conform prevederilor legale. Totodată, au fost identificate deficiențe la achitarea indemnizației beneficiarilor, în </w:t>
      </w:r>
      <w:r w:rsidR="00486505">
        <w:rPr>
          <w:rFonts w:asciiTheme="majorHAnsi" w:hAnsiTheme="majorHAnsi" w:cstheme="majorHAnsi"/>
          <w:sz w:val="24"/>
          <w:szCs w:val="24"/>
          <w:lang w:val="ro-RO"/>
        </w:rPr>
        <w:t>7</w:t>
      </w:r>
      <w:r w:rsidRPr="00341E6C">
        <w:rPr>
          <w:rFonts w:asciiTheme="majorHAnsi" w:hAnsiTheme="majorHAnsi" w:cstheme="majorHAnsi"/>
          <w:sz w:val="24"/>
          <w:szCs w:val="24"/>
          <w:lang w:val="ro-RO"/>
        </w:rPr>
        <w:t xml:space="preserve"> cazuri </w:t>
      </w:r>
      <w:r w:rsidR="002C2E2C">
        <w:rPr>
          <w:rFonts w:asciiTheme="majorHAnsi" w:hAnsiTheme="majorHAnsi" w:cstheme="majorHAnsi"/>
          <w:sz w:val="24"/>
          <w:szCs w:val="24"/>
          <w:lang w:val="ro-RO"/>
        </w:rPr>
        <w:t xml:space="preserve">fiind </w:t>
      </w:r>
      <w:r w:rsidRPr="00341E6C">
        <w:rPr>
          <w:rFonts w:asciiTheme="majorHAnsi" w:hAnsiTheme="majorHAnsi" w:cstheme="majorHAnsi"/>
          <w:sz w:val="24"/>
          <w:szCs w:val="24"/>
          <w:lang w:val="ro-RO"/>
        </w:rPr>
        <w:t xml:space="preserve"> efectuat</w:t>
      </w:r>
      <w:r w:rsidR="002C2E2C">
        <w:rPr>
          <w:rFonts w:asciiTheme="majorHAnsi" w:hAnsiTheme="majorHAnsi" w:cstheme="majorHAnsi"/>
          <w:sz w:val="24"/>
          <w:szCs w:val="24"/>
          <w:lang w:val="ro-RO"/>
        </w:rPr>
        <w:t>e</w:t>
      </w:r>
      <w:r w:rsidRPr="00341E6C">
        <w:rPr>
          <w:rFonts w:asciiTheme="majorHAnsi" w:hAnsiTheme="majorHAnsi" w:cstheme="majorHAnsi"/>
          <w:sz w:val="24"/>
          <w:szCs w:val="24"/>
          <w:lang w:val="ro-RO"/>
        </w:rPr>
        <w:t xml:space="preserve"> în cuantum necorespunzător și diferit de deciziile emise. Erorile identificate se referă la achitarea sumelor indexate pentru lunile anterioare indexării (0,75 mii lei), precum și neachitarea integrală a cuantumului stabilit în decizie (3,0 mii lei)</w:t>
      </w:r>
      <w:r w:rsidR="002C2E2C">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w:t>
      </w:r>
    </w:p>
    <w:p w14:paraId="5E9BBAC3" w14:textId="1BEDB9E6" w:rsidR="00EC2B30" w:rsidRPr="00341E6C" w:rsidRDefault="00EE3574" w:rsidP="005C0729">
      <w:pPr>
        <w:pStyle w:val="ListParagraph"/>
        <w:numPr>
          <w:ilvl w:val="2"/>
          <w:numId w:val="23"/>
        </w:numPr>
        <w:tabs>
          <w:tab w:val="left" w:pos="851"/>
        </w:tabs>
        <w:spacing w:after="0" w:line="276" w:lineRule="auto"/>
        <w:ind w:left="0" w:firstLine="0"/>
        <w:jc w:val="both"/>
        <w:outlineLvl w:val="2"/>
        <w:rPr>
          <w:rFonts w:asciiTheme="majorHAnsi" w:hAnsiTheme="majorHAnsi" w:cstheme="majorHAnsi"/>
          <w:b/>
          <w:sz w:val="24"/>
          <w:szCs w:val="24"/>
          <w:lang w:val="ro-RO"/>
        </w:rPr>
      </w:pPr>
      <w:r>
        <w:rPr>
          <w:rFonts w:asciiTheme="majorHAnsi" w:hAnsiTheme="majorHAnsi" w:cstheme="majorHAnsi"/>
          <w:b/>
          <w:sz w:val="24"/>
          <w:szCs w:val="24"/>
          <w:lang w:val="ro-RO"/>
        </w:rPr>
        <w:t>p</w:t>
      </w:r>
      <w:r w:rsidR="00EC2B30" w:rsidRPr="00341E6C">
        <w:rPr>
          <w:rFonts w:asciiTheme="majorHAnsi" w:hAnsiTheme="majorHAnsi" w:cstheme="majorHAnsi"/>
          <w:b/>
          <w:sz w:val="24"/>
          <w:szCs w:val="24"/>
          <w:lang w:val="ro-RO"/>
        </w:rPr>
        <w:t>e parcursul perioadei</w:t>
      </w:r>
      <w:r w:rsidR="007D1A76">
        <w:rPr>
          <w:rFonts w:asciiTheme="majorHAnsi" w:hAnsiTheme="majorHAnsi" w:cstheme="majorHAnsi"/>
          <w:b/>
          <w:sz w:val="24"/>
          <w:szCs w:val="24"/>
          <w:lang w:val="ro-RO"/>
        </w:rPr>
        <w:t xml:space="preserve"> stării</w:t>
      </w:r>
      <w:r w:rsidR="00EC2B30" w:rsidRPr="00341E6C">
        <w:rPr>
          <w:rFonts w:asciiTheme="majorHAnsi" w:hAnsiTheme="majorHAnsi" w:cstheme="majorHAnsi"/>
          <w:b/>
          <w:sz w:val="24"/>
          <w:szCs w:val="24"/>
          <w:lang w:val="ro-RO"/>
        </w:rPr>
        <w:t xml:space="preserve"> de urgenț</w:t>
      </w:r>
      <w:r w:rsidR="002C2E2C">
        <w:rPr>
          <w:rFonts w:asciiTheme="majorHAnsi" w:hAnsiTheme="majorHAnsi" w:cstheme="majorHAnsi"/>
          <w:b/>
          <w:sz w:val="24"/>
          <w:szCs w:val="24"/>
          <w:lang w:val="ro-RO"/>
        </w:rPr>
        <w:t>ă</w:t>
      </w:r>
      <w:r w:rsidR="00EC2B30" w:rsidRPr="00341E6C">
        <w:rPr>
          <w:rFonts w:asciiTheme="majorHAnsi" w:hAnsiTheme="majorHAnsi" w:cstheme="majorHAnsi"/>
          <w:b/>
          <w:sz w:val="24"/>
          <w:szCs w:val="24"/>
          <w:lang w:val="ro-RO"/>
        </w:rPr>
        <w:t xml:space="preserve">, mai mult de 14 mii </w:t>
      </w:r>
      <w:r w:rsidR="002C2E2C">
        <w:rPr>
          <w:rFonts w:asciiTheme="majorHAnsi" w:hAnsiTheme="majorHAnsi" w:cstheme="majorHAnsi"/>
          <w:b/>
          <w:sz w:val="24"/>
          <w:szCs w:val="24"/>
          <w:lang w:val="ro-RO"/>
        </w:rPr>
        <w:t xml:space="preserve">de </w:t>
      </w:r>
      <w:r w:rsidR="00EC2B30" w:rsidRPr="00341E6C">
        <w:rPr>
          <w:rFonts w:asciiTheme="majorHAnsi" w:hAnsiTheme="majorHAnsi" w:cstheme="majorHAnsi"/>
          <w:b/>
          <w:sz w:val="24"/>
          <w:szCs w:val="24"/>
          <w:lang w:val="ro-RO"/>
        </w:rPr>
        <w:t>cetățeni au beneficiat de ajutor de șomaj în sumă de 6</w:t>
      </w:r>
      <w:r w:rsidR="00055D36">
        <w:rPr>
          <w:rFonts w:asciiTheme="majorHAnsi" w:hAnsiTheme="majorHAnsi" w:cstheme="majorHAnsi"/>
          <w:b/>
          <w:sz w:val="24"/>
          <w:szCs w:val="24"/>
          <w:lang w:val="ro-RO"/>
        </w:rPr>
        <w:t>8</w:t>
      </w:r>
      <w:r w:rsidR="00F16F38">
        <w:rPr>
          <w:rFonts w:asciiTheme="majorHAnsi" w:hAnsiTheme="majorHAnsi" w:cstheme="majorHAnsi"/>
          <w:b/>
          <w:sz w:val="24"/>
          <w:szCs w:val="24"/>
          <w:lang w:val="ro-RO"/>
        </w:rPr>
        <w:t xml:space="preserve"> </w:t>
      </w:r>
      <w:r w:rsidR="00055D36">
        <w:rPr>
          <w:rFonts w:asciiTheme="majorHAnsi" w:hAnsiTheme="majorHAnsi" w:cstheme="majorHAnsi"/>
          <w:b/>
          <w:sz w:val="24"/>
          <w:szCs w:val="24"/>
          <w:lang w:val="ro-RO"/>
        </w:rPr>
        <w:t>692,0 mii lei</w:t>
      </w:r>
      <w:r w:rsidR="002C2E2C">
        <w:rPr>
          <w:rFonts w:asciiTheme="majorHAnsi" w:hAnsiTheme="majorHAnsi" w:cstheme="majorHAnsi"/>
          <w:b/>
          <w:sz w:val="24"/>
          <w:szCs w:val="24"/>
          <w:lang w:val="ro-RO"/>
        </w:rPr>
        <w:t>.</w:t>
      </w:r>
    </w:p>
    <w:p w14:paraId="1758AC06" w14:textId="0B53AE99" w:rsidR="00EC2B30" w:rsidRPr="00341E6C" w:rsidRDefault="00EC2B30" w:rsidP="00EC2B30">
      <w:pPr>
        <w:tabs>
          <w:tab w:val="left" w:pos="851"/>
        </w:tabs>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Conform prevederilor</w:t>
      </w:r>
      <w:r w:rsidRPr="00341E6C">
        <w:rPr>
          <w:rStyle w:val="FootnoteReference"/>
          <w:rFonts w:cstheme="majorHAnsi"/>
          <w:sz w:val="24"/>
          <w:szCs w:val="24"/>
          <w:lang w:val="ro-RO"/>
        </w:rPr>
        <w:footnoteReference w:id="64"/>
      </w:r>
      <w:r w:rsidRPr="00341E6C">
        <w:rPr>
          <w:rFonts w:asciiTheme="majorHAnsi" w:hAnsiTheme="majorHAnsi" w:cstheme="majorHAnsi"/>
          <w:sz w:val="24"/>
          <w:szCs w:val="24"/>
          <w:lang w:val="ro-RO"/>
        </w:rPr>
        <w:t xml:space="preserve">, prin derogare </w:t>
      </w:r>
      <w:r w:rsidR="00F16F38">
        <w:rPr>
          <w:rFonts w:asciiTheme="majorHAnsi" w:hAnsiTheme="majorHAnsi" w:cstheme="majorHAnsi"/>
          <w:sz w:val="24"/>
          <w:szCs w:val="24"/>
          <w:lang w:val="ro-RO"/>
        </w:rPr>
        <w:t>de la Leg</w:t>
      </w:r>
      <w:r w:rsidR="002C2E2C">
        <w:rPr>
          <w:rFonts w:asciiTheme="majorHAnsi" w:hAnsiTheme="majorHAnsi" w:cstheme="majorHAnsi"/>
          <w:sz w:val="24"/>
          <w:szCs w:val="24"/>
          <w:lang w:val="ro-RO"/>
        </w:rPr>
        <w:t>ea</w:t>
      </w:r>
      <w:r w:rsidR="00F16F38">
        <w:rPr>
          <w:rFonts w:asciiTheme="majorHAnsi" w:hAnsiTheme="majorHAnsi" w:cstheme="majorHAnsi"/>
          <w:sz w:val="24"/>
          <w:szCs w:val="24"/>
          <w:lang w:val="ro-RO"/>
        </w:rPr>
        <w:t xml:space="preserve"> nr. 105 din 14.06.</w:t>
      </w:r>
      <w:r w:rsidRPr="00341E6C">
        <w:rPr>
          <w:rFonts w:asciiTheme="majorHAnsi" w:hAnsiTheme="majorHAnsi" w:cstheme="majorHAnsi"/>
          <w:sz w:val="24"/>
          <w:szCs w:val="24"/>
          <w:lang w:val="ro-RO"/>
        </w:rPr>
        <w:t>2018 cu privire la promovarea ocupării forței de muncă și asigurarea de șomaj, în perioada stării de urgență persoanele înregistrate cu statut de șomer la una dintre subdiviziunile teritoriale de ocupare a forței de muncă, inclusiv cele revenite de peste hotare, au beneficiat lunar, de la data solicitării, de ajutor de șomaj în cuantum de 2</w:t>
      </w:r>
      <w:r w:rsidR="00F16F38">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775 de lei. Astfel, au avut loc un șir de modificări care au influențat majorarea transferurilor de la bugetul de stat la BASS. Transferurile bugetului de stat în sumă de 167</w:t>
      </w:r>
      <w:r w:rsidR="0059578E">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978,6 mii lei a</w:t>
      </w:r>
      <w:r w:rsidR="008201B4">
        <w:rPr>
          <w:rFonts w:asciiTheme="majorHAnsi" w:hAnsiTheme="majorHAnsi" w:cstheme="majorHAnsi"/>
          <w:sz w:val="24"/>
          <w:szCs w:val="24"/>
          <w:lang w:val="ro-RO"/>
        </w:rPr>
        <w:t>u</w:t>
      </w:r>
      <w:r w:rsidRPr="00341E6C">
        <w:rPr>
          <w:rFonts w:asciiTheme="majorHAnsi" w:hAnsiTheme="majorHAnsi" w:cstheme="majorHAnsi"/>
          <w:sz w:val="24"/>
          <w:szCs w:val="24"/>
          <w:lang w:val="ro-RO"/>
        </w:rPr>
        <w:t xml:space="preserve"> fost destinate pentru: </w:t>
      </w:r>
    </w:p>
    <w:p w14:paraId="3FCC2C36" w14:textId="77777777" w:rsidR="00EC2B30" w:rsidRPr="00341E6C" w:rsidRDefault="00EC2B30" w:rsidP="009B59B6">
      <w:pPr>
        <w:pStyle w:val="ListParagraph"/>
        <w:numPr>
          <w:ilvl w:val="0"/>
          <w:numId w:val="7"/>
        </w:numPr>
        <w:tabs>
          <w:tab w:val="left" w:pos="851"/>
        </w:tabs>
        <w:spacing w:after="0" w:line="276" w:lineRule="auto"/>
        <w:jc w:val="both"/>
        <w:rPr>
          <w:rFonts w:asciiTheme="majorHAnsi" w:hAnsiTheme="majorHAnsi" w:cstheme="majorHAnsi"/>
          <w:b/>
          <w:sz w:val="24"/>
          <w:szCs w:val="24"/>
          <w:lang w:val="ro-RO"/>
        </w:rPr>
      </w:pPr>
      <w:r w:rsidRPr="00341E6C">
        <w:rPr>
          <w:rFonts w:asciiTheme="majorHAnsi" w:hAnsiTheme="majorHAnsi" w:cstheme="majorHAnsi"/>
          <w:sz w:val="24"/>
          <w:szCs w:val="24"/>
          <w:lang w:val="ro-RO"/>
        </w:rPr>
        <w:t xml:space="preserve">garantarea ajutorului de șomaj persoanelor asigurate în sumă minimă de 2775 lei </w:t>
      </w:r>
      <w:r w:rsidRPr="00341E6C">
        <w:rPr>
          <w:rFonts w:asciiTheme="majorHAnsi" w:hAnsiTheme="majorHAnsi" w:cstheme="majorHAnsi"/>
          <w:b/>
          <w:sz w:val="24"/>
          <w:szCs w:val="24"/>
          <w:lang w:val="ro-RO"/>
        </w:rPr>
        <w:t>(3879,4 mii lei);</w:t>
      </w:r>
    </w:p>
    <w:p w14:paraId="16C8D8C7" w14:textId="7E5B244C" w:rsidR="00EC2B30" w:rsidRPr="00341E6C" w:rsidRDefault="00EC2B30" w:rsidP="009B59B6">
      <w:pPr>
        <w:pStyle w:val="ListParagraph"/>
        <w:numPr>
          <w:ilvl w:val="0"/>
          <w:numId w:val="7"/>
        </w:numPr>
        <w:tabs>
          <w:tab w:val="left" w:pos="851"/>
        </w:tabs>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acordarea ajutorului de șomaj în sumă de 2</w:t>
      </w:r>
      <w:r w:rsidR="0059578E">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 xml:space="preserve">775 lei persoanelor ce se înregistrează în calitate de șomeri, dar care nu corespund criteriilor de acordare a ajutorului de șomaj; prin Dispoziția nr.25 din 05.05.2020 a Comisiei pentru </w:t>
      </w:r>
      <w:r w:rsidR="008201B4">
        <w:rPr>
          <w:rFonts w:asciiTheme="majorHAnsi" w:hAnsiTheme="majorHAnsi" w:cstheme="majorHAnsi"/>
          <w:sz w:val="24"/>
          <w:szCs w:val="24"/>
          <w:lang w:val="ro-RO"/>
        </w:rPr>
        <w:t>S</w:t>
      </w:r>
      <w:r w:rsidRPr="00341E6C">
        <w:rPr>
          <w:rFonts w:asciiTheme="majorHAnsi" w:hAnsiTheme="majorHAnsi" w:cstheme="majorHAnsi"/>
          <w:sz w:val="24"/>
          <w:szCs w:val="24"/>
          <w:lang w:val="ro-RO"/>
        </w:rPr>
        <w:t xml:space="preserve">ituații Excepționale a Republicii </w:t>
      </w:r>
      <w:r w:rsidRPr="00341E6C">
        <w:rPr>
          <w:rFonts w:asciiTheme="majorHAnsi" w:hAnsiTheme="majorHAnsi" w:cstheme="majorHAnsi"/>
          <w:sz w:val="24"/>
          <w:szCs w:val="24"/>
          <w:lang w:val="ro-RO"/>
        </w:rPr>
        <w:lastRenderedPageBreak/>
        <w:t xml:space="preserve">Moldova, în această categorie au fost incluși și titularii patentei de întreprinzător, care în luna martie nu au realizat venit asigurat </w:t>
      </w:r>
      <w:r w:rsidRPr="00341E6C">
        <w:rPr>
          <w:rFonts w:asciiTheme="majorHAnsi" w:hAnsiTheme="majorHAnsi" w:cstheme="majorHAnsi"/>
          <w:b/>
          <w:sz w:val="24"/>
          <w:szCs w:val="24"/>
          <w:lang w:val="ro-RO"/>
        </w:rPr>
        <w:t>(164</w:t>
      </w:r>
      <w:r w:rsidR="0059578E">
        <w:rPr>
          <w:rFonts w:asciiTheme="majorHAnsi" w:hAnsiTheme="majorHAnsi" w:cstheme="majorHAnsi"/>
          <w:b/>
          <w:sz w:val="24"/>
          <w:szCs w:val="24"/>
          <w:lang w:val="ro-RO"/>
        </w:rPr>
        <w:t xml:space="preserve"> </w:t>
      </w:r>
      <w:r w:rsidRPr="00341E6C">
        <w:rPr>
          <w:rFonts w:asciiTheme="majorHAnsi" w:hAnsiTheme="majorHAnsi" w:cstheme="majorHAnsi"/>
          <w:b/>
          <w:sz w:val="24"/>
          <w:szCs w:val="24"/>
          <w:lang w:val="ro-RO"/>
        </w:rPr>
        <w:t>099,2 mii lei);</w:t>
      </w:r>
    </w:p>
    <w:p w14:paraId="323116DF" w14:textId="21310BD7" w:rsidR="00EC2B30" w:rsidRPr="00341E6C" w:rsidRDefault="00EC2B30" w:rsidP="00E7122D">
      <w:pPr>
        <w:jc w:val="both"/>
        <w:rPr>
          <w:rFonts w:ascii="Times New Roman" w:eastAsia="Times New Roman" w:hAnsi="Times New Roman" w:cs="Times New Roman"/>
          <w:sz w:val="28"/>
          <w:szCs w:val="28"/>
          <w:lang w:val="ro-RO"/>
        </w:rPr>
      </w:pPr>
      <w:r w:rsidRPr="00341E6C">
        <w:rPr>
          <w:rFonts w:asciiTheme="majorHAnsi" w:hAnsiTheme="majorHAnsi" w:cstheme="majorHAnsi"/>
          <w:sz w:val="24"/>
          <w:szCs w:val="24"/>
          <w:lang w:val="ro-RO"/>
        </w:rPr>
        <w:t xml:space="preserve">Astfel, în anul 2020, ANOFM a emis </w:t>
      </w:r>
      <w:r w:rsidR="008201B4" w:rsidRPr="00341E6C">
        <w:rPr>
          <w:rFonts w:asciiTheme="majorHAnsi" w:hAnsiTheme="majorHAnsi" w:cstheme="majorHAnsi"/>
          <w:sz w:val="24"/>
          <w:szCs w:val="24"/>
          <w:lang w:val="ro-RO"/>
        </w:rPr>
        <w:t xml:space="preserve">în perioada stării de urgență </w:t>
      </w:r>
      <w:r w:rsidRPr="00341E6C">
        <w:rPr>
          <w:rFonts w:asciiTheme="majorHAnsi" w:hAnsiTheme="majorHAnsi" w:cstheme="majorHAnsi"/>
          <w:sz w:val="24"/>
          <w:szCs w:val="24"/>
          <w:lang w:val="ro-RO"/>
        </w:rPr>
        <w:t>14</w:t>
      </w:r>
      <w:r w:rsidR="0059578E">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316 decizii de acordare a ajutorului de ș</w:t>
      </w:r>
      <w:r w:rsidR="002C307D">
        <w:rPr>
          <w:rFonts w:asciiTheme="majorHAnsi" w:hAnsiTheme="majorHAnsi" w:cstheme="majorHAnsi"/>
          <w:sz w:val="24"/>
          <w:szCs w:val="24"/>
          <w:lang w:val="ro-RO"/>
        </w:rPr>
        <w:t>omaj, iar CNAS</w:t>
      </w:r>
      <w:r w:rsidR="008201B4">
        <w:rPr>
          <w:rFonts w:asciiTheme="majorHAnsi" w:hAnsiTheme="majorHAnsi" w:cstheme="majorHAnsi"/>
          <w:sz w:val="24"/>
          <w:szCs w:val="24"/>
          <w:lang w:val="ro-RO"/>
        </w:rPr>
        <w:t>,</w:t>
      </w:r>
      <w:r w:rsidR="002C307D">
        <w:rPr>
          <w:rFonts w:asciiTheme="majorHAnsi" w:hAnsiTheme="majorHAnsi" w:cstheme="majorHAnsi"/>
          <w:sz w:val="24"/>
          <w:szCs w:val="24"/>
          <w:lang w:val="ro-RO"/>
        </w:rPr>
        <w:t xml:space="preserve"> din mijloacele b</w:t>
      </w:r>
      <w:r w:rsidRPr="00341E6C">
        <w:rPr>
          <w:rFonts w:asciiTheme="majorHAnsi" w:hAnsiTheme="majorHAnsi" w:cstheme="majorHAnsi"/>
          <w:sz w:val="24"/>
          <w:szCs w:val="24"/>
          <w:lang w:val="ro-RO"/>
        </w:rPr>
        <w:t>ugetului de stat</w:t>
      </w:r>
      <w:r w:rsidR="008201B4">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a utilizat </w:t>
      </w:r>
      <w:r w:rsidRPr="00341E6C">
        <w:rPr>
          <w:rFonts w:asciiTheme="majorHAnsi" w:hAnsiTheme="majorHAnsi" w:cstheme="majorHAnsi"/>
          <w:b/>
          <w:sz w:val="24"/>
          <w:szCs w:val="24"/>
          <w:lang w:val="ro-RO"/>
        </w:rPr>
        <w:t>68</w:t>
      </w:r>
      <w:r w:rsidR="0059578E">
        <w:rPr>
          <w:rFonts w:asciiTheme="majorHAnsi" w:hAnsiTheme="majorHAnsi" w:cstheme="majorHAnsi"/>
          <w:b/>
          <w:sz w:val="24"/>
          <w:szCs w:val="24"/>
          <w:lang w:val="ro-RO"/>
        </w:rPr>
        <w:t xml:space="preserve"> </w:t>
      </w:r>
      <w:r w:rsidRPr="00341E6C">
        <w:rPr>
          <w:rFonts w:asciiTheme="majorHAnsi" w:hAnsiTheme="majorHAnsi" w:cstheme="majorHAnsi"/>
          <w:b/>
          <w:sz w:val="24"/>
          <w:szCs w:val="24"/>
          <w:lang w:val="ro-RO"/>
        </w:rPr>
        <w:t>692,0 mii</w:t>
      </w:r>
      <w:r w:rsidRPr="00341E6C">
        <w:rPr>
          <w:rFonts w:asciiTheme="majorHAnsi" w:hAnsiTheme="majorHAnsi" w:cstheme="majorHAnsi"/>
          <w:sz w:val="24"/>
          <w:szCs w:val="24"/>
          <w:lang w:val="ro-RO"/>
        </w:rPr>
        <w:t xml:space="preserve"> lei pentru ajutoarele de șomaj. </w:t>
      </w:r>
    </w:p>
    <w:p w14:paraId="204734EB" w14:textId="46C1D010" w:rsidR="00EC2B30" w:rsidRPr="00341E6C" w:rsidRDefault="00EC2B30" w:rsidP="00EC2B30">
      <w:pPr>
        <w:tabs>
          <w:tab w:val="left" w:pos="851"/>
        </w:tabs>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Verificările de </w:t>
      </w:r>
      <w:r w:rsidRPr="005C7267">
        <w:rPr>
          <w:rFonts w:asciiTheme="majorHAnsi" w:hAnsiTheme="majorHAnsi" w:cstheme="majorHAnsi"/>
          <w:sz w:val="24"/>
          <w:szCs w:val="24"/>
          <w:lang w:val="ro-MD"/>
        </w:rPr>
        <w:t>audit denotă că deciziile de acordare a dreptului la ajutorul de șomaj</w:t>
      </w:r>
      <w:r w:rsidR="007B59AB" w:rsidRPr="005C7267">
        <w:rPr>
          <w:rFonts w:asciiTheme="majorHAnsi" w:hAnsiTheme="majorHAnsi" w:cstheme="majorHAnsi"/>
          <w:sz w:val="24"/>
          <w:szCs w:val="24"/>
          <w:lang w:val="ro-MD"/>
        </w:rPr>
        <w:t>,</w:t>
      </w:r>
      <w:r w:rsidRPr="005C7267">
        <w:rPr>
          <w:rFonts w:asciiTheme="majorHAnsi" w:hAnsiTheme="majorHAnsi" w:cstheme="majorHAnsi"/>
          <w:sz w:val="24"/>
          <w:szCs w:val="24"/>
          <w:lang w:val="ro-MD"/>
        </w:rPr>
        <w:t xml:space="preserve"> emise în perioada stării de urgență de ANOFM, au fost transmi</w:t>
      </w:r>
      <w:r w:rsidR="007B59AB" w:rsidRPr="005C7267">
        <w:rPr>
          <w:rFonts w:asciiTheme="majorHAnsi" w:hAnsiTheme="majorHAnsi" w:cstheme="majorHAnsi"/>
          <w:sz w:val="24"/>
          <w:szCs w:val="24"/>
          <w:lang w:val="ro-MD"/>
        </w:rPr>
        <w:t>s</w:t>
      </w:r>
      <w:r w:rsidRPr="005C7267">
        <w:rPr>
          <w:rFonts w:asciiTheme="majorHAnsi" w:hAnsiTheme="majorHAnsi" w:cstheme="majorHAnsi"/>
          <w:sz w:val="24"/>
          <w:szCs w:val="24"/>
          <w:lang w:val="ro-MD"/>
        </w:rPr>
        <w:t>e către CNAS cu date eronate privind data eliberării din câmpul muncii, fiind mai recent</w:t>
      </w:r>
      <w:r w:rsidR="007B59AB" w:rsidRPr="005C7267">
        <w:rPr>
          <w:rFonts w:asciiTheme="majorHAnsi" w:hAnsiTheme="majorHAnsi" w:cstheme="majorHAnsi"/>
          <w:sz w:val="24"/>
          <w:szCs w:val="24"/>
          <w:lang w:val="ro-MD"/>
        </w:rPr>
        <w:t>e</w:t>
      </w:r>
      <w:r w:rsidRPr="005C7267">
        <w:rPr>
          <w:rFonts w:asciiTheme="majorHAnsi" w:hAnsiTheme="majorHAnsi" w:cstheme="majorHAnsi"/>
          <w:sz w:val="24"/>
          <w:szCs w:val="24"/>
          <w:lang w:val="ro-MD"/>
        </w:rPr>
        <w:t xml:space="preserve"> perioadei</w:t>
      </w:r>
      <w:r w:rsidR="007B59AB" w:rsidRPr="005C7267">
        <w:rPr>
          <w:rFonts w:asciiTheme="majorHAnsi" w:hAnsiTheme="majorHAnsi" w:cstheme="majorHAnsi"/>
          <w:sz w:val="24"/>
          <w:szCs w:val="24"/>
          <w:lang w:val="ro-MD"/>
        </w:rPr>
        <w:t xml:space="preserve"> de</w:t>
      </w:r>
      <w:r w:rsidRPr="005C7267">
        <w:rPr>
          <w:rFonts w:asciiTheme="majorHAnsi" w:hAnsiTheme="majorHAnsi" w:cstheme="majorHAnsi"/>
          <w:sz w:val="24"/>
          <w:szCs w:val="24"/>
          <w:lang w:val="ro-MD"/>
        </w:rPr>
        <w:t xml:space="preserve"> înregistr</w:t>
      </w:r>
      <w:r w:rsidR="007B59AB" w:rsidRPr="005C7267">
        <w:rPr>
          <w:rFonts w:asciiTheme="majorHAnsi" w:hAnsiTheme="majorHAnsi" w:cstheme="majorHAnsi"/>
          <w:sz w:val="24"/>
          <w:szCs w:val="24"/>
          <w:lang w:val="ro-MD"/>
        </w:rPr>
        <w:t>are a</w:t>
      </w:r>
      <w:r w:rsidRPr="005C7267">
        <w:rPr>
          <w:rFonts w:asciiTheme="majorHAnsi" w:hAnsiTheme="majorHAnsi" w:cstheme="majorHAnsi"/>
          <w:sz w:val="24"/>
          <w:szCs w:val="24"/>
          <w:lang w:val="ro-MD"/>
        </w:rPr>
        <w:t xml:space="preserve"> beneficiarului cu statut de șomer.</w:t>
      </w:r>
      <w:r w:rsidR="00F249D0" w:rsidRPr="005C7267">
        <w:rPr>
          <w:rFonts w:asciiTheme="majorHAnsi" w:hAnsiTheme="majorHAnsi" w:cstheme="majorHAnsi"/>
          <w:sz w:val="24"/>
          <w:szCs w:val="24"/>
          <w:lang w:val="ro-MD"/>
        </w:rPr>
        <w:t xml:space="preserve"> P</w:t>
      </w:r>
      <w:r w:rsidR="00F249D0" w:rsidRPr="005C7267">
        <w:rPr>
          <w:rFonts w:ascii="Calibri Light" w:hAnsi="Calibri Light" w:cs="Calibri Light"/>
          <w:color w:val="212121"/>
          <w:sz w:val="24"/>
          <w:szCs w:val="24"/>
          <w:lang w:val="ro-MD"/>
        </w:rPr>
        <w:t>otrivit argumentărilor ANOFM, această situație este generată de lipsa unui Registru electronic al contractelor individuale de muncă</w:t>
      </w:r>
      <w:r w:rsidR="007B59AB">
        <w:rPr>
          <w:rFonts w:ascii="Calibri Light" w:hAnsi="Calibri Light" w:cs="Calibri Light"/>
          <w:color w:val="212121"/>
          <w:sz w:val="24"/>
          <w:szCs w:val="24"/>
          <w:lang w:val="ro-MD"/>
        </w:rPr>
        <w:t>,</w:t>
      </w:r>
      <w:r w:rsidR="00F249D0" w:rsidRPr="005C7267">
        <w:rPr>
          <w:rFonts w:ascii="Calibri Light" w:hAnsi="Calibri Light" w:cs="Calibri Light"/>
          <w:color w:val="212121"/>
          <w:sz w:val="24"/>
          <w:szCs w:val="24"/>
          <w:lang w:val="ro-MD"/>
        </w:rPr>
        <w:t xml:space="preserve"> care ar conține date despre raporturile de muncă ale salariaților.</w:t>
      </w:r>
      <w:r w:rsidRPr="005C7267">
        <w:rPr>
          <w:rFonts w:asciiTheme="majorHAnsi" w:hAnsiTheme="majorHAnsi" w:cstheme="majorHAnsi"/>
          <w:sz w:val="24"/>
          <w:szCs w:val="24"/>
          <w:lang w:val="ro-MD"/>
        </w:rPr>
        <w:t xml:space="preserve"> După cum s-a constatat, acest fapt nu influențează exactitatea și regularitatea stabilirii dreptului și cuantumului ajutorului de șomaj, dar creează o imagine neveridică a datelor din deciziile de</w:t>
      </w:r>
      <w:r w:rsidRPr="00341E6C">
        <w:rPr>
          <w:rFonts w:asciiTheme="majorHAnsi" w:hAnsiTheme="majorHAnsi" w:cstheme="majorHAnsi"/>
          <w:sz w:val="24"/>
          <w:szCs w:val="24"/>
          <w:lang w:val="ro-RO"/>
        </w:rPr>
        <w:t xml:space="preserve"> stabilire a dreptului și a cuantumului ajutorului de șomaj.</w:t>
      </w:r>
    </w:p>
    <w:p w14:paraId="266164D7" w14:textId="29FB82DF" w:rsidR="007928CF" w:rsidRPr="00341E6C" w:rsidRDefault="007928CF" w:rsidP="00CF676A">
      <w:pPr>
        <w:tabs>
          <w:tab w:val="left" w:pos="709"/>
          <w:tab w:val="left" w:pos="1134"/>
        </w:tabs>
        <w:spacing w:after="0" w:line="276" w:lineRule="auto"/>
        <w:jc w:val="both"/>
        <w:rPr>
          <w:rFonts w:asciiTheme="majorHAnsi" w:hAnsiTheme="majorHAnsi" w:cs="Times New Roman"/>
          <w:b/>
          <w:sz w:val="24"/>
          <w:szCs w:val="24"/>
          <w:shd w:val="clear" w:color="auto" w:fill="FFFFFF"/>
          <w:lang w:val="ro-RO"/>
        </w:rPr>
      </w:pPr>
    </w:p>
    <w:p w14:paraId="00C8781C" w14:textId="310B7B7B" w:rsidR="00703AF9" w:rsidRPr="00341E6C" w:rsidRDefault="00F346E5" w:rsidP="005C0729">
      <w:pPr>
        <w:pStyle w:val="ListParagraph"/>
        <w:numPr>
          <w:ilvl w:val="2"/>
          <w:numId w:val="23"/>
        </w:numPr>
        <w:tabs>
          <w:tab w:val="left" w:pos="709"/>
          <w:tab w:val="left" w:pos="1134"/>
        </w:tabs>
        <w:spacing w:after="0" w:line="276" w:lineRule="auto"/>
        <w:ind w:left="0" w:firstLine="0"/>
        <w:jc w:val="both"/>
        <w:outlineLvl w:val="2"/>
        <w:rPr>
          <w:rFonts w:asciiTheme="majorHAnsi" w:hAnsiTheme="majorHAnsi" w:cs="Times New Roman"/>
          <w:b/>
          <w:sz w:val="24"/>
          <w:szCs w:val="24"/>
          <w:shd w:val="clear" w:color="auto" w:fill="FFFFFF"/>
          <w:lang w:val="ro-RO"/>
        </w:rPr>
      </w:pPr>
      <w:r>
        <w:rPr>
          <w:rFonts w:asciiTheme="majorHAnsi" w:hAnsiTheme="majorHAnsi" w:cs="Times New Roman"/>
          <w:b/>
          <w:sz w:val="24"/>
          <w:szCs w:val="24"/>
          <w:shd w:val="clear" w:color="auto" w:fill="FFFFFF"/>
          <w:lang w:val="ro-RO"/>
        </w:rPr>
        <w:t xml:space="preserve">CNAS a dispus de măsuri de prevenire și combatere a infecției COVID-19, care au fost </w:t>
      </w:r>
      <w:r w:rsidR="00112700" w:rsidRPr="00341E6C">
        <w:rPr>
          <w:rFonts w:asciiTheme="majorHAnsi" w:hAnsiTheme="majorHAnsi" w:cs="Times New Roman"/>
          <w:b/>
          <w:sz w:val="24"/>
          <w:szCs w:val="24"/>
          <w:shd w:val="clear" w:color="auto" w:fill="FFFFFF"/>
          <w:lang w:val="ro-RO"/>
        </w:rPr>
        <w:t xml:space="preserve"> orientate spre </w:t>
      </w:r>
      <w:r w:rsidR="008F335D" w:rsidRPr="00341E6C">
        <w:rPr>
          <w:rFonts w:asciiTheme="majorHAnsi" w:hAnsiTheme="majorHAnsi" w:cs="Times New Roman"/>
          <w:b/>
          <w:sz w:val="24"/>
          <w:szCs w:val="24"/>
          <w:shd w:val="clear" w:color="auto" w:fill="FFFFFF"/>
          <w:lang w:val="ro-RO"/>
        </w:rPr>
        <w:t>a</w:t>
      </w:r>
      <w:r w:rsidR="00586DF1" w:rsidRPr="00341E6C">
        <w:rPr>
          <w:rFonts w:asciiTheme="majorHAnsi" w:hAnsiTheme="majorHAnsi" w:cs="Times New Roman"/>
          <w:b/>
          <w:sz w:val="24"/>
          <w:szCs w:val="24"/>
          <w:shd w:val="clear" w:color="auto" w:fill="FFFFFF"/>
          <w:lang w:val="ro-RO"/>
        </w:rPr>
        <w:t xml:space="preserve">sigurarea protecției </w:t>
      </w:r>
      <w:r>
        <w:rPr>
          <w:rFonts w:asciiTheme="majorHAnsi" w:hAnsiTheme="majorHAnsi" w:cs="Times New Roman"/>
          <w:b/>
          <w:sz w:val="24"/>
          <w:szCs w:val="24"/>
          <w:shd w:val="clear" w:color="auto" w:fill="FFFFFF"/>
          <w:lang w:val="ro-RO"/>
        </w:rPr>
        <w:t xml:space="preserve">la </w:t>
      </w:r>
      <w:r w:rsidR="00112700" w:rsidRPr="00341E6C">
        <w:rPr>
          <w:rFonts w:asciiTheme="majorHAnsi" w:hAnsiTheme="majorHAnsi" w:cs="Times New Roman"/>
          <w:b/>
          <w:sz w:val="24"/>
          <w:szCs w:val="24"/>
          <w:shd w:val="clear" w:color="auto" w:fill="FFFFFF"/>
          <w:lang w:val="ro-RO"/>
        </w:rPr>
        <w:t>oferirea serviciilor în condiții de siguranță atât pentru cetățeni</w:t>
      </w:r>
      <w:r w:rsidR="007B59AB">
        <w:rPr>
          <w:rFonts w:asciiTheme="majorHAnsi" w:hAnsiTheme="majorHAnsi" w:cs="Times New Roman"/>
          <w:b/>
          <w:sz w:val="24"/>
          <w:szCs w:val="24"/>
          <w:shd w:val="clear" w:color="auto" w:fill="FFFFFF"/>
          <w:lang w:val="ro-RO"/>
        </w:rPr>
        <w:t>,</w:t>
      </w:r>
      <w:r w:rsidR="00112700" w:rsidRPr="00341E6C">
        <w:rPr>
          <w:rFonts w:asciiTheme="majorHAnsi" w:hAnsiTheme="majorHAnsi" w:cs="Times New Roman"/>
          <w:b/>
          <w:sz w:val="24"/>
          <w:szCs w:val="24"/>
          <w:shd w:val="clear" w:color="auto" w:fill="FFFFFF"/>
          <w:lang w:val="ro-RO"/>
        </w:rPr>
        <w:t xml:space="preserve"> cât și pentru angajați</w:t>
      </w:r>
      <w:r w:rsidR="007B59AB">
        <w:rPr>
          <w:rFonts w:asciiTheme="majorHAnsi" w:hAnsiTheme="majorHAnsi" w:cs="Times New Roman"/>
          <w:b/>
          <w:sz w:val="24"/>
          <w:szCs w:val="24"/>
          <w:shd w:val="clear" w:color="auto" w:fill="FFFFFF"/>
          <w:lang w:val="ro-RO"/>
        </w:rPr>
        <w:t>.</w:t>
      </w:r>
    </w:p>
    <w:p w14:paraId="4820DCBA" w14:textId="37CB2D91" w:rsidR="003B5F3F" w:rsidRPr="00341E6C" w:rsidRDefault="00DF003A" w:rsidP="00A536BD">
      <w:pPr>
        <w:spacing w:after="0" w:line="276" w:lineRule="auto"/>
        <w:jc w:val="both"/>
        <w:rPr>
          <w:rFonts w:ascii="Calibri" w:eastAsia="Times New Roman" w:hAnsi="Calibri" w:cs="Calibri"/>
          <w:color w:val="000000"/>
          <w:lang w:val="ro-RO"/>
        </w:rPr>
      </w:pPr>
      <w:r w:rsidRPr="00341E6C">
        <w:rPr>
          <w:rFonts w:asciiTheme="majorHAnsi" w:hAnsiTheme="majorHAnsi" w:cstheme="majorHAnsi"/>
          <w:sz w:val="24"/>
          <w:szCs w:val="24"/>
          <w:lang w:val="ro-RO"/>
        </w:rPr>
        <w:t>Odată cu apariția virusului</w:t>
      </w:r>
      <w:r w:rsidR="00586DF1" w:rsidRPr="00341E6C">
        <w:rPr>
          <w:rFonts w:asciiTheme="majorHAnsi" w:hAnsiTheme="majorHAnsi" w:cstheme="majorHAnsi"/>
          <w:sz w:val="24"/>
          <w:szCs w:val="24"/>
          <w:lang w:val="ro-RO"/>
        </w:rPr>
        <w:t xml:space="preserve"> Covid-19</w:t>
      </w:r>
      <w:r w:rsidR="002C44A0" w:rsidRPr="00341E6C">
        <w:rPr>
          <w:rFonts w:asciiTheme="majorHAnsi" w:hAnsiTheme="majorHAnsi" w:cstheme="majorHAnsi"/>
          <w:sz w:val="24"/>
          <w:szCs w:val="24"/>
          <w:lang w:val="ro-RO"/>
        </w:rPr>
        <w:t xml:space="preserve">, </w:t>
      </w:r>
      <w:r w:rsidR="00586DF1" w:rsidRPr="00341E6C">
        <w:rPr>
          <w:rFonts w:asciiTheme="majorHAnsi" w:hAnsiTheme="majorHAnsi" w:cstheme="majorHAnsi"/>
          <w:sz w:val="24"/>
          <w:szCs w:val="24"/>
          <w:lang w:val="ro-RO"/>
        </w:rPr>
        <w:t>a</w:t>
      </w:r>
      <w:r w:rsidR="002C44A0" w:rsidRPr="00341E6C">
        <w:rPr>
          <w:rFonts w:asciiTheme="majorHAnsi" w:hAnsiTheme="majorHAnsi" w:cstheme="majorHAnsi"/>
          <w:sz w:val="24"/>
          <w:szCs w:val="24"/>
          <w:lang w:val="ro-RO"/>
        </w:rPr>
        <w:t>u</w:t>
      </w:r>
      <w:r w:rsidR="00586DF1" w:rsidRPr="00341E6C">
        <w:rPr>
          <w:rFonts w:asciiTheme="majorHAnsi" w:hAnsiTheme="majorHAnsi" w:cstheme="majorHAnsi"/>
          <w:sz w:val="24"/>
          <w:szCs w:val="24"/>
          <w:lang w:val="ro-RO"/>
        </w:rPr>
        <w:t xml:space="preserve"> fost </w:t>
      </w:r>
      <w:r w:rsidRPr="00341E6C">
        <w:rPr>
          <w:rFonts w:asciiTheme="majorHAnsi" w:hAnsiTheme="majorHAnsi" w:cstheme="majorHAnsi"/>
          <w:sz w:val="24"/>
          <w:szCs w:val="24"/>
          <w:lang w:val="ro-RO"/>
        </w:rPr>
        <w:t xml:space="preserve">implementate acțiuni </w:t>
      </w:r>
      <w:r w:rsidR="00586DF1" w:rsidRPr="00341E6C">
        <w:rPr>
          <w:rFonts w:asciiTheme="majorHAnsi" w:hAnsiTheme="majorHAnsi" w:cstheme="majorHAnsi"/>
          <w:sz w:val="24"/>
          <w:szCs w:val="24"/>
          <w:lang w:val="ro-RO"/>
        </w:rPr>
        <w:t>privind asigurarea condițiilor pentru respectarea măsurilor de prevenire</w:t>
      </w:r>
      <w:r w:rsidR="002C44A0" w:rsidRPr="00341E6C">
        <w:rPr>
          <w:rFonts w:asciiTheme="majorHAnsi" w:hAnsiTheme="majorHAnsi" w:cstheme="majorHAnsi"/>
          <w:sz w:val="24"/>
          <w:szCs w:val="24"/>
          <w:lang w:val="ro-RO"/>
        </w:rPr>
        <w:t xml:space="preserve"> și combatere</w:t>
      </w:r>
      <w:r w:rsidR="00586DF1" w:rsidRPr="00341E6C">
        <w:rPr>
          <w:rFonts w:asciiTheme="majorHAnsi" w:hAnsiTheme="majorHAnsi" w:cstheme="majorHAnsi"/>
          <w:sz w:val="24"/>
          <w:szCs w:val="24"/>
          <w:lang w:val="ro-RO"/>
        </w:rPr>
        <w:t xml:space="preserve"> a infecției</w:t>
      </w:r>
      <w:r w:rsidR="002C44A0" w:rsidRPr="00341E6C">
        <w:rPr>
          <w:rFonts w:asciiTheme="majorHAnsi" w:hAnsiTheme="majorHAnsi" w:cstheme="majorHAnsi"/>
          <w:sz w:val="24"/>
          <w:szCs w:val="24"/>
          <w:lang w:val="ro-RO"/>
        </w:rPr>
        <w:t xml:space="preserve">. Astfel, reieșind din importanța socială a acestui buget și asigurarea continuă </w:t>
      </w:r>
      <w:r w:rsidR="00184FE9" w:rsidRPr="00341E6C">
        <w:rPr>
          <w:rFonts w:asciiTheme="majorHAnsi" w:hAnsiTheme="majorHAnsi" w:cstheme="majorHAnsi"/>
          <w:sz w:val="24"/>
          <w:szCs w:val="24"/>
          <w:lang w:val="ro-RO"/>
        </w:rPr>
        <w:t xml:space="preserve">a </w:t>
      </w:r>
      <w:r w:rsidR="002C44A0" w:rsidRPr="00341E6C">
        <w:rPr>
          <w:rFonts w:asciiTheme="majorHAnsi" w:hAnsiTheme="majorHAnsi" w:cstheme="majorHAnsi"/>
          <w:sz w:val="24"/>
          <w:szCs w:val="24"/>
          <w:lang w:val="ro-RO"/>
        </w:rPr>
        <w:t xml:space="preserve">desfășurării și acordării serviciilor către cetățeni, au fost achiziționate materiale și articole de protecție atât pentru angajați, cât și pentru beneficiari: dezinfectanți, detergenți, măști faciale de protecție, mănuși, viziere pentru </w:t>
      </w:r>
      <w:r w:rsidR="007B59AB">
        <w:rPr>
          <w:rFonts w:asciiTheme="majorHAnsi" w:hAnsiTheme="majorHAnsi" w:cstheme="majorHAnsi"/>
          <w:sz w:val="24"/>
          <w:szCs w:val="24"/>
          <w:lang w:val="ro-RO"/>
        </w:rPr>
        <w:t>angajații</w:t>
      </w:r>
      <w:r w:rsidR="007B59AB" w:rsidRPr="00341E6C">
        <w:rPr>
          <w:rFonts w:asciiTheme="majorHAnsi" w:hAnsiTheme="majorHAnsi" w:cstheme="majorHAnsi"/>
          <w:sz w:val="24"/>
          <w:szCs w:val="24"/>
          <w:lang w:val="ro-RO"/>
        </w:rPr>
        <w:t xml:space="preserve"> </w:t>
      </w:r>
      <w:r w:rsidR="002C44A0" w:rsidRPr="00341E6C">
        <w:rPr>
          <w:rFonts w:asciiTheme="majorHAnsi" w:hAnsiTheme="majorHAnsi" w:cstheme="majorHAnsi"/>
          <w:sz w:val="24"/>
          <w:szCs w:val="24"/>
          <w:lang w:val="ro-RO"/>
        </w:rPr>
        <w:t>ce contactează direct cu vizitatorii, lămpi bactericide pentru decontaminarea încăperilor, butelii cu apă potabilă, instalații pentru spălarea/uscarea mâinilor, termometre, care pe parcursul anului 2020 au însumat</w:t>
      </w:r>
      <w:r w:rsidR="00135F8D" w:rsidRPr="00341E6C">
        <w:rPr>
          <w:rFonts w:asciiTheme="majorHAnsi" w:hAnsiTheme="majorHAnsi" w:cstheme="majorHAnsi"/>
          <w:sz w:val="24"/>
          <w:szCs w:val="24"/>
          <w:lang w:val="ro-RO"/>
        </w:rPr>
        <w:t xml:space="preserve"> </w:t>
      </w:r>
      <w:r w:rsidR="003B5F3F" w:rsidRPr="00341E6C">
        <w:rPr>
          <w:rFonts w:asciiTheme="majorHAnsi" w:hAnsiTheme="majorHAnsi" w:cstheme="majorHAnsi"/>
          <w:sz w:val="24"/>
          <w:szCs w:val="24"/>
          <w:lang w:val="ro-RO"/>
        </w:rPr>
        <w:t xml:space="preserve"> </w:t>
      </w:r>
      <w:r w:rsidR="00135F8D" w:rsidRPr="00341E6C">
        <w:rPr>
          <w:rFonts w:asciiTheme="majorHAnsi" w:hAnsiTheme="majorHAnsi" w:cstheme="majorHAnsi"/>
          <w:sz w:val="24"/>
          <w:szCs w:val="24"/>
          <w:lang w:val="ro-RO"/>
        </w:rPr>
        <w:t>996,</w:t>
      </w:r>
      <w:r w:rsidR="003B5F3F" w:rsidRPr="00341E6C">
        <w:rPr>
          <w:rFonts w:asciiTheme="majorHAnsi" w:hAnsiTheme="majorHAnsi" w:cstheme="majorHAnsi"/>
          <w:sz w:val="24"/>
          <w:szCs w:val="24"/>
          <w:lang w:val="ro-RO"/>
        </w:rPr>
        <w:t>8 mii lei.</w:t>
      </w:r>
      <w:r w:rsidR="003B5F3F" w:rsidRPr="00341E6C">
        <w:rPr>
          <w:rFonts w:ascii="Calibri" w:eastAsia="Times New Roman" w:hAnsi="Calibri" w:cs="Calibri"/>
          <w:color w:val="000000"/>
          <w:lang w:val="ro-RO"/>
        </w:rPr>
        <w:t xml:space="preserve"> </w:t>
      </w:r>
      <w:r w:rsidR="006D67E9" w:rsidRPr="00341E6C">
        <w:rPr>
          <w:rFonts w:asciiTheme="majorHAnsi" w:hAnsiTheme="majorHAnsi" w:cstheme="majorHAnsi"/>
          <w:sz w:val="24"/>
          <w:szCs w:val="24"/>
          <w:lang w:val="ro-RO"/>
        </w:rPr>
        <w:t xml:space="preserve">Dintre acestea, </w:t>
      </w:r>
      <w:r w:rsidR="003B5F3F" w:rsidRPr="00341E6C">
        <w:rPr>
          <w:rFonts w:asciiTheme="majorHAnsi" w:hAnsiTheme="majorHAnsi" w:cstheme="majorHAnsi"/>
          <w:sz w:val="24"/>
          <w:szCs w:val="24"/>
          <w:lang w:val="ro-RO"/>
        </w:rPr>
        <w:t>808,5 mii lei</w:t>
      </w:r>
      <w:r w:rsidR="006D67E9" w:rsidRPr="00341E6C">
        <w:rPr>
          <w:rFonts w:asciiTheme="majorHAnsi" w:hAnsiTheme="majorHAnsi" w:cstheme="majorHAnsi"/>
          <w:sz w:val="24"/>
          <w:szCs w:val="24"/>
          <w:lang w:val="ro-RO"/>
        </w:rPr>
        <w:t xml:space="preserve"> au fost efectuate prin intermediul contractelor de valoare mică, iar </w:t>
      </w:r>
      <w:r w:rsidR="003B5F3F" w:rsidRPr="00341E6C">
        <w:rPr>
          <w:rFonts w:asciiTheme="majorHAnsi" w:hAnsiTheme="majorHAnsi" w:cstheme="majorHAnsi"/>
          <w:sz w:val="24"/>
          <w:szCs w:val="24"/>
          <w:lang w:val="ro-RO"/>
        </w:rPr>
        <w:t>188,3</w:t>
      </w:r>
      <w:r w:rsidR="006D67E9" w:rsidRPr="00341E6C">
        <w:rPr>
          <w:rFonts w:asciiTheme="majorHAnsi" w:hAnsiTheme="majorHAnsi" w:cstheme="majorHAnsi"/>
          <w:sz w:val="24"/>
          <w:szCs w:val="24"/>
          <w:lang w:val="ro-RO"/>
        </w:rPr>
        <w:t xml:space="preserve"> </w:t>
      </w:r>
      <w:r w:rsidR="007B59AB">
        <w:rPr>
          <w:rFonts w:asciiTheme="majorHAnsi" w:hAnsiTheme="majorHAnsi" w:cstheme="majorHAnsi"/>
          <w:sz w:val="24"/>
          <w:szCs w:val="24"/>
          <w:lang w:val="ro-RO"/>
        </w:rPr>
        <w:t xml:space="preserve">– </w:t>
      </w:r>
      <w:r w:rsidR="003B5F3F" w:rsidRPr="00341E6C">
        <w:rPr>
          <w:rFonts w:asciiTheme="majorHAnsi" w:hAnsiTheme="majorHAnsi" w:cstheme="majorHAnsi"/>
          <w:sz w:val="24"/>
          <w:szCs w:val="24"/>
          <w:lang w:val="ro-RO"/>
        </w:rPr>
        <w:t>prin conturile de plată.</w:t>
      </w:r>
      <w:r w:rsidR="003B5F3F" w:rsidRPr="00341E6C">
        <w:rPr>
          <w:rFonts w:ascii="Calibri" w:eastAsia="Times New Roman" w:hAnsi="Calibri" w:cs="Calibri"/>
          <w:color w:val="000000"/>
          <w:lang w:val="ro-RO"/>
        </w:rPr>
        <w:t xml:space="preserve"> </w:t>
      </w:r>
    </w:p>
    <w:p w14:paraId="5149E3D1" w14:textId="67F7A012" w:rsidR="001C7005" w:rsidRPr="006226B7" w:rsidRDefault="009F5E5B" w:rsidP="00A536BD">
      <w:pPr>
        <w:spacing w:after="0" w:line="276" w:lineRule="auto"/>
        <w:jc w:val="both"/>
        <w:rPr>
          <w:rFonts w:ascii="Calibri" w:eastAsia="Times New Roman" w:hAnsi="Calibri" w:cs="Calibri"/>
          <w:color w:val="000000"/>
          <w:lang w:val="ro-RO"/>
        </w:rPr>
      </w:pPr>
      <w:r w:rsidRPr="00E5034F">
        <w:rPr>
          <w:rFonts w:asciiTheme="majorHAnsi" w:hAnsiTheme="majorHAnsi" w:cstheme="majorHAnsi"/>
          <w:sz w:val="24"/>
          <w:szCs w:val="24"/>
          <w:lang w:val="ro-RO"/>
        </w:rPr>
        <w:t>T</w:t>
      </w:r>
      <w:r w:rsidR="00BE0748" w:rsidRPr="00E5034F">
        <w:rPr>
          <w:rFonts w:asciiTheme="majorHAnsi" w:hAnsiTheme="majorHAnsi" w:cstheme="majorHAnsi"/>
          <w:sz w:val="24"/>
          <w:szCs w:val="24"/>
          <w:lang w:val="ro-RO"/>
        </w:rPr>
        <w:t xml:space="preserve">estările de audit </w:t>
      </w:r>
      <w:r w:rsidR="00E5034F" w:rsidRPr="00E5034F">
        <w:rPr>
          <w:rFonts w:asciiTheme="majorHAnsi" w:hAnsiTheme="majorHAnsi" w:cstheme="majorHAnsi"/>
          <w:sz w:val="24"/>
          <w:szCs w:val="24"/>
          <w:lang w:val="ro-RO"/>
        </w:rPr>
        <w:t>aferente</w:t>
      </w:r>
      <w:r w:rsidR="00BE0748" w:rsidRPr="00E5034F">
        <w:rPr>
          <w:rFonts w:asciiTheme="majorHAnsi" w:hAnsiTheme="majorHAnsi" w:cstheme="majorHAnsi"/>
          <w:sz w:val="24"/>
          <w:szCs w:val="24"/>
          <w:lang w:val="ro-RO"/>
        </w:rPr>
        <w:t xml:space="preserve"> procesul</w:t>
      </w:r>
      <w:r w:rsidR="00E5034F" w:rsidRPr="00E5034F">
        <w:rPr>
          <w:rFonts w:asciiTheme="majorHAnsi" w:hAnsiTheme="majorHAnsi" w:cstheme="majorHAnsi"/>
          <w:sz w:val="24"/>
          <w:szCs w:val="24"/>
          <w:lang w:val="ro-RO"/>
        </w:rPr>
        <w:t>ui</w:t>
      </w:r>
      <w:r w:rsidR="00BE0748" w:rsidRPr="00E5034F">
        <w:rPr>
          <w:rFonts w:asciiTheme="majorHAnsi" w:hAnsiTheme="majorHAnsi" w:cstheme="majorHAnsi"/>
          <w:sz w:val="24"/>
          <w:szCs w:val="24"/>
          <w:lang w:val="ro-RO"/>
        </w:rPr>
        <w:t xml:space="preserve"> de achiziții publice efectuate în vederea prevenirii, diminuării și lichidării consecințelor pandemiei de co</w:t>
      </w:r>
      <w:r w:rsidR="0074480E" w:rsidRPr="00E5034F">
        <w:rPr>
          <w:rFonts w:asciiTheme="majorHAnsi" w:hAnsiTheme="majorHAnsi" w:cstheme="majorHAnsi"/>
          <w:sz w:val="24"/>
          <w:szCs w:val="24"/>
          <w:lang w:val="ro-RO"/>
        </w:rPr>
        <w:t>ronavirus,</w:t>
      </w:r>
      <w:r w:rsidR="003B5F3F" w:rsidRPr="00E5034F">
        <w:rPr>
          <w:rFonts w:asciiTheme="majorHAnsi" w:hAnsiTheme="majorHAnsi" w:cstheme="majorHAnsi"/>
          <w:sz w:val="24"/>
          <w:szCs w:val="24"/>
          <w:lang w:val="ro-RO"/>
        </w:rPr>
        <w:t xml:space="preserve"> nu au stabilit neconformități.</w:t>
      </w:r>
    </w:p>
    <w:p w14:paraId="18841EA4" w14:textId="023D528D" w:rsidR="00E301D6" w:rsidRDefault="00E301D6" w:rsidP="00E301D6">
      <w:pPr>
        <w:pStyle w:val="ListParagraph"/>
        <w:spacing w:after="0" w:line="276" w:lineRule="auto"/>
        <w:ind w:left="0"/>
        <w:jc w:val="both"/>
        <w:rPr>
          <w:rFonts w:asciiTheme="majorHAnsi" w:hAnsiTheme="majorHAnsi" w:cstheme="majorHAnsi"/>
          <w:b/>
          <w:sz w:val="24"/>
          <w:szCs w:val="24"/>
          <w:lang w:val="ro-RO"/>
        </w:rPr>
      </w:pPr>
      <w:r>
        <w:rPr>
          <w:rFonts w:asciiTheme="majorHAnsi" w:hAnsiTheme="majorHAnsi" w:cstheme="majorHAnsi"/>
          <w:b/>
          <w:noProof/>
          <w:sz w:val="24"/>
          <w:szCs w:val="24"/>
        </w:rPr>
        <mc:AlternateContent>
          <mc:Choice Requires="wps">
            <w:drawing>
              <wp:anchor distT="0" distB="0" distL="114300" distR="114300" simplePos="0" relativeHeight="251669504" behindDoc="0" locked="0" layoutInCell="1" allowOverlap="1" wp14:anchorId="62E6ED3C" wp14:editId="7CBC262E">
                <wp:simplePos x="0" y="0"/>
                <wp:positionH relativeFrom="column">
                  <wp:posOffset>-5715</wp:posOffset>
                </wp:positionH>
                <wp:positionV relativeFrom="paragraph">
                  <wp:posOffset>114935</wp:posOffset>
                </wp:positionV>
                <wp:extent cx="5935980" cy="10515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5935980" cy="10515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8EE4D5" w14:textId="2AB203AE" w:rsidR="004059A3" w:rsidRPr="00E301D6" w:rsidRDefault="004059A3" w:rsidP="00E301D6">
                            <w:pPr>
                              <w:pStyle w:val="ListParagraph"/>
                              <w:spacing w:after="0" w:line="276" w:lineRule="auto"/>
                              <w:ind w:left="0"/>
                              <w:jc w:val="both"/>
                              <w:outlineLvl w:val="2"/>
                              <w:rPr>
                                <w:rFonts w:asciiTheme="majorHAnsi" w:hAnsiTheme="majorHAnsi" w:cstheme="majorHAnsi"/>
                                <w:b/>
                                <w:sz w:val="24"/>
                                <w:szCs w:val="24"/>
                                <w:lang w:val="ro-RO"/>
                              </w:rPr>
                            </w:pPr>
                            <w:r w:rsidRPr="00341E6C">
                              <w:rPr>
                                <w:rFonts w:asciiTheme="majorHAnsi" w:hAnsiTheme="majorHAnsi" w:cstheme="majorHAnsi"/>
                                <w:b/>
                                <w:sz w:val="24"/>
                                <w:szCs w:val="24"/>
                                <w:lang w:val="ro-RO"/>
                              </w:rPr>
                              <w:t>Asigurarea serviciilor sociale în condiții de siguranță pentru cetățeni a impus instituirea unor măsuri de protecție suplimentare prin instituirea Front/Back Office</w:t>
                            </w:r>
                            <w:r>
                              <w:rPr>
                                <w:rFonts w:asciiTheme="majorHAnsi" w:hAnsiTheme="majorHAnsi" w:cstheme="majorHAnsi"/>
                                <w:b/>
                                <w:sz w:val="24"/>
                                <w:szCs w:val="24"/>
                                <w:lang w:val="ro-RO"/>
                              </w:rPr>
                              <w:t>,</w:t>
                            </w:r>
                            <w:r w:rsidRPr="00341E6C">
                              <w:rPr>
                                <w:rFonts w:asciiTheme="majorHAnsi" w:hAnsiTheme="majorHAnsi" w:cstheme="majorHAnsi"/>
                                <w:b/>
                                <w:sz w:val="24"/>
                                <w:szCs w:val="24"/>
                                <w:lang w:val="ro-RO"/>
                              </w:rPr>
                              <w:t xml:space="preserve"> pentru care s-au cheltuit 96,7 mii lei. Totodată, în continuare persistă necesitatea îmbunătățirii procesu</w:t>
                            </w:r>
                            <w:r>
                              <w:rPr>
                                <w:rFonts w:asciiTheme="majorHAnsi" w:hAnsiTheme="majorHAnsi" w:cstheme="majorHAnsi"/>
                                <w:b/>
                                <w:sz w:val="24"/>
                                <w:szCs w:val="24"/>
                                <w:lang w:val="ro-RO"/>
                              </w:rPr>
                              <w:t>lui de asigurare</w:t>
                            </w:r>
                            <w:r w:rsidRPr="00341E6C">
                              <w:rPr>
                                <w:rFonts w:asciiTheme="majorHAnsi" w:hAnsiTheme="majorHAnsi" w:cstheme="majorHAnsi"/>
                                <w:b/>
                                <w:sz w:val="24"/>
                                <w:szCs w:val="24"/>
                                <w:lang w:val="ro-RO"/>
                              </w:rPr>
                              <w:t xml:space="preserve"> a protecției angajaților și beneficiarilor.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6ED3C" id="Rectangle 11" o:spid="_x0000_s1027" style="position:absolute;left:0;text-align:left;margin-left:-.45pt;margin-top:9.05pt;width:467.4pt;height:82.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" fillcolor="white [3201]" strokecolor="#70ad47 [3209]" strokeweight="1pt">
                <v:textbox>
                  <w:txbxContent>
                    <w:p w14:paraId="018EE4D5" w14:textId="2AB203AE" w:rsidR="004059A3" w:rsidRPr="00E301D6" w:rsidRDefault="004059A3" w:rsidP="00E301D6">
                      <w:pPr>
                        <w:pStyle w:val="ListParagraph"/>
                        <w:spacing w:after="0" w:line="276" w:lineRule="auto"/>
                        <w:ind w:left="0"/>
                        <w:jc w:val="both"/>
                        <w:outlineLvl w:val="2"/>
                        <w:rPr>
                          <w:rFonts w:asciiTheme="majorHAnsi" w:hAnsiTheme="majorHAnsi" w:cstheme="majorHAnsi"/>
                          <w:b/>
                          <w:sz w:val="24"/>
                          <w:szCs w:val="24"/>
                          <w:lang w:val="ro-RO"/>
                        </w:rPr>
                      </w:pPr>
                      <w:r w:rsidRPr="00341E6C">
                        <w:rPr>
                          <w:rFonts w:asciiTheme="majorHAnsi" w:hAnsiTheme="majorHAnsi" w:cstheme="majorHAnsi"/>
                          <w:b/>
                          <w:sz w:val="24"/>
                          <w:szCs w:val="24"/>
                          <w:lang w:val="ro-RO"/>
                        </w:rPr>
                        <w:t>Asigurarea serviciilor sociale în condiții de siguranță pentru cetățeni a impus instituirea unor măsuri de protecție suplimentare prin instituirea Front/Back Office</w:t>
                      </w:r>
                      <w:r>
                        <w:rPr>
                          <w:rFonts w:asciiTheme="majorHAnsi" w:hAnsiTheme="majorHAnsi" w:cstheme="majorHAnsi"/>
                          <w:b/>
                          <w:sz w:val="24"/>
                          <w:szCs w:val="24"/>
                          <w:lang w:val="ro-RO"/>
                        </w:rPr>
                        <w:t>,</w:t>
                      </w:r>
                      <w:r w:rsidRPr="00341E6C">
                        <w:rPr>
                          <w:rFonts w:asciiTheme="majorHAnsi" w:hAnsiTheme="majorHAnsi" w:cstheme="majorHAnsi"/>
                          <w:b/>
                          <w:sz w:val="24"/>
                          <w:szCs w:val="24"/>
                          <w:lang w:val="ro-RO"/>
                        </w:rPr>
                        <w:t xml:space="preserve"> pentru care s-au cheltuit 96,7 mii lei. Totodată, în continuare persistă necesitatea îmbunătățirii procesu</w:t>
                      </w:r>
                      <w:r>
                        <w:rPr>
                          <w:rFonts w:asciiTheme="majorHAnsi" w:hAnsiTheme="majorHAnsi" w:cstheme="majorHAnsi"/>
                          <w:b/>
                          <w:sz w:val="24"/>
                          <w:szCs w:val="24"/>
                          <w:lang w:val="ro-RO"/>
                        </w:rPr>
                        <w:t>lui de asigurare</w:t>
                      </w:r>
                      <w:r w:rsidRPr="00341E6C">
                        <w:rPr>
                          <w:rFonts w:asciiTheme="majorHAnsi" w:hAnsiTheme="majorHAnsi" w:cstheme="majorHAnsi"/>
                          <w:b/>
                          <w:sz w:val="24"/>
                          <w:szCs w:val="24"/>
                          <w:lang w:val="ro-RO"/>
                        </w:rPr>
                        <w:t xml:space="preserve"> a protecției angajaților și beneficiarilor. </w:t>
                      </w:r>
                    </w:p>
                  </w:txbxContent>
                </v:textbox>
              </v:rect>
            </w:pict>
          </mc:Fallback>
        </mc:AlternateContent>
      </w:r>
    </w:p>
    <w:p w14:paraId="6B97C32A" w14:textId="4C4CA21D" w:rsidR="00E301D6" w:rsidRDefault="00E301D6" w:rsidP="00E301D6">
      <w:pPr>
        <w:pStyle w:val="ListParagraph"/>
        <w:spacing w:after="0" w:line="276" w:lineRule="auto"/>
        <w:ind w:left="0"/>
        <w:jc w:val="both"/>
        <w:rPr>
          <w:rFonts w:asciiTheme="majorHAnsi" w:hAnsiTheme="majorHAnsi" w:cstheme="majorHAnsi"/>
          <w:b/>
          <w:sz w:val="24"/>
          <w:szCs w:val="24"/>
          <w:lang w:val="ro-RO"/>
        </w:rPr>
      </w:pPr>
    </w:p>
    <w:p w14:paraId="40FF0CBC" w14:textId="33C2B5EA" w:rsidR="00E301D6" w:rsidRDefault="00E301D6" w:rsidP="00E301D6">
      <w:pPr>
        <w:pStyle w:val="ListParagraph"/>
        <w:spacing w:after="0" w:line="276" w:lineRule="auto"/>
        <w:ind w:left="0"/>
        <w:jc w:val="both"/>
        <w:rPr>
          <w:rFonts w:asciiTheme="majorHAnsi" w:hAnsiTheme="majorHAnsi" w:cstheme="majorHAnsi"/>
          <w:b/>
          <w:sz w:val="24"/>
          <w:szCs w:val="24"/>
          <w:lang w:val="ro-RO"/>
        </w:rPr>
      </w:pPr>
    </w:p>
    <w:p w14:paraId="4FF7B167" w14:textId="531E0D52" w:rsidR="00E301D6" w:rsidRDefault="00E301D6" w:rsidP="00E301D6">
      <w:pPr>
        <w:pStyle w:val="ListParagraph"/>
        <w:spacing w:after="0" w:line="276" w:lineRule="auto"/>
        <w:ind w:left="0"/>
        <w:jc w:val="both"/>
        <w:rPr>
          <w:rFonts w:asciiTheme="majorHAnsi" w:hAnsiTheme="majorHAnsi" w:cstheme="majorHAnsi"/>
          <w:b/>
          <w:sz w:val="24"/>
          <w:szCs w:val="24"/>
          <w:lang w:val="ro-RO"/>
        </w:rPr>
      </w:pPr>
    </w:p>
    <w:p w14:paraId="6DA94008" w14:textId="77777777" w:rsidR="00E301D6" w:rsidRDefault="00E301D6" w:rsidP="00E301D6">
      <w:pPr>
        <w:pStyle w:val="ListParagraph"/>
        <w:spacing w:after="0" w:line="276" w:lineRule="auto"/>
        <w:ind w:left="0"/>
        <w:jc w:val="both"/>
        <w:rPr>
          <w:rFonts w:asciiTheme="majorHAnsi" w:hAnsiTheme="majorHAnsi" w:cstheme="majorHAnsi"/>
          <w:b/>
          <w:sz w:val="24"/>
          <w:szCs w:val="24"/>
          <w:lang w:val="ro-RO"/>
        </w:rPr>
      </w:pPr>
    </w:p>
    <w:p w14:paraId="069C056A" w14:textId="017187E1" w:rsidR="00E301D6" w:rsidRDefault="00E301D6" w:rsidP="00E301D6">
      <w:pPr>
        <w:pStyle w:val="ListParagraph"/>
        <w:spacing w:after="0" w:line="276" w:lineRule="auto"/>
        <w:ind w:left="0"/>
        <w:jc w:val="both"/>
        <w:rPr>
          <w:rFonts w:asciiTheme="majorHAnsi" w:hAnsiTheme="majorHAnsi" w:cstheme="majorHAnsi"/>
          <w:b/>
          <w:sz w:val="24"/>
          <w:szCs w:val="24"/>
          <w:lang w:val="ro-RO"/>
        </w:rPr>
      </w:pPr>
    </w:p>
    <w:p w14:paraId="7276C5F5" w14:textId="6C731702" w:rsidR="000A077B" w:rsidRDefault="00980255" w:rsidP="00FA2599">
      <w:pPr>
        <w:spacing w:line="276" w:lineRule="auto"/>
        <w:jc w:val="both"/>
        <w:rPr>
          <w:rFonts w:asciiTheme="majorHAnsi" w:hAnsiTheme="majorHAnsi" w:cs="Times New Roman"/>
          <w:color w:val="000000"/>
          <w:sz w:val="24"/>
          <w:szCs w:val="24"/>
          <w:shd w:val="clear" w:color="auto" w:fill="FFFFFF"/>
          <w:lang w:val="ro-RO"/>
        </w:rPr>
      </w:pPr>
      <w:r w:rsidRPr="00E301D6">
        <w:rPr>
          <w:rFonts w:asciiTheme="majorHAnsi" w:hAnsiTheme="majorHAnsi" w:cstheme="majorHAnsi"/>
          <w:sz w:val="24"/>
          <w:szCs w:val="24"/>
          <w:lang w:val="ro-RO"/>
        </w:rPr>
        <w:t>Amenajarea Caselor Teritoriale de Asigurări Sociale după principiul Front/Back Office reprezintă amplasarea unui mobilier specializat cu protecție din sticlă pentru primirea cetățenilor</w:t>
      </w:r>
      <w:r w:rsidR="00885EFF" w:rsidRPr="00E301D6">
        <w:rPr>
          <w:rFonts w:asciiTheme="majorHAnsi" w:hAnsiTheme="majorHAnsi" w:cstheme="majorHAnsi"/>
          <w:sz w:val="24"/>
          <w:szCs w:val="24"/>
          <w:lang w:val="ro-RO"/>
        </w:rPr>
        <w:t>,</w:t>
      </w:r>
      <w:r w:rsidRPr="00E301D6">
        <w:rPr>
          <w:rFonts w:asciiTheme="majorHAnsi" w:hAnsiTheme="majorHAnsi" w:cstheme="majorHAnsi"/>
          <w:sz w:val="24"/>
          <w:szCs w:val="24"/>
          <w:lang w:val="ro-RO"/>
        </w:rPr>
        <w:t xml:space="preserve"> care asigură protejarea de la contact</w:t>
      </w:r>
      <w:r w:rsidR="00697011">
        <w:rPr>
          <w:rFonts w:asciiTheme="majorHAnsi" w:hAnsiTheme="majorHAnsi" w:cstheme="majorHAnsi"/>
          <w:sz w:val="24"/>
          <w:szCs w:val="24"/>
          <w:lang w:val="ro-RO"/>
        </w:rPr>
        <w:t>ul</w:t>
      </w:r>
      <w:r w:rsidRPr="00E301D6">
        <w:rPr>
          <w:rFonts w:asciiTheme="majorHAnsi" w:hAnsiTheme="majorHAnsi" w:cstheme="majorHAnsi"/>
          <w:sz w:val="24"/>
          <w:szCs w:val="24"/>
          <w:lang w:val="ro-RO"/>
        </w:rPr>
        <w:t xml:space="preserve"> direct cu vizitatori</w:t>
      </w:r>
      <w:r w:rsidR="00885EFF" w:rsidRPr="00E301D6">
        <w:rPr>
          <w:rFonts w:asciiTheme="majorHAnsi" w:hAnsiTheme="majorHAnsi" w:cstheme="majorHAnsi"/>
          <w:sz w:val="24"/>
          <w:szCs w:val="24"/>
          <w:lang w:val="ro-RO"/>
        </w:rPr>
        <w:t>i</w:t>
      </w:r>
      <w:r w:rsidRPr="00E301D6">
        <w:rPr>
          <w:rFonts w:asciiTheme="majorHAnsi" w:hAnsiTheme="majorHAnsi" w:cstheme="majorHAnsi"/>
          <w:sz w:val="24"/>
          <w:szCs w:val="24"/>
          <w:lang w:val="ro-RO"/>
        </w:rPr>
        <w:t>. Astfel, deși CNAS, avea instituit</w:t>
      </w:r>
      <w:r w:rsidR="0059578E">
        <w:rPr>
          <w:rFonts w:asciiTheme="majorHAnsi" w:hAnsiTheme="majorHAnsi" w:cstheme="majorHAnsi"/>
          <w:sz w:val="24"/>
          <w:szCs w:val="24"/>
          <w:lang w:val="ro-RO"/>
        </w:rPr>
        <w:t>ă</w:t>
      </w:r>
      <w:r w:rsidRPr="00E301D6">
        <w:rPr>
          <w:rFonts w:asciiTheme="majorHAnsi" w:hAnsiTheme="majorHAnsi" w:cstheme="majorHAnsi"/>
          <w:sz w:val="24"/>
          <w:szCs w:val="24"/>
          <w:lang w:val="ro-RO"/>
        </w:rPr>
        <w:t xml:space="preserve"> această modalitate în cadrul a 37 CTAS, pe parcursul perioadei pandemice, pentru asigurarea măsurilor de protecție, în cadrul a două subdiviziuni teritoriale (</w:t>
      </w:r>
      <w:r w:rsidR="00586DF1" w:rsidRPr="00E301D6">
        <w:rPr>
          <w:rFonts w:asciiTheme="majorHAnsi" w:hAnsiTheme="majorHAnsi" w:cstheme="majorHAnsi"/>
          <w:sz w:val="24"/>
          <w:szCs w:val="24"/>
          <w:lang w:val="ro-RO"/>
        </w:rPr>
        <w:t>CTAS Cahul și CTAS Florești</w:t>
      </w:r>
      <w:r w:rsidRPr="00E301D6">
        <w:rPr>
          <w:rFonts w:asciiTheme="majorHAnsi" w:hAnsiTheme="majorHAnsi" w:cstheme="majorHAnsi"/>
          <w:sz w:val="24"/>
          <w:szCs w:val="24"/>
          <w:lang w:val="ro-RO"/>
        </w:rPr>
        <w:t>)</w:t>
      </w:r>
      <w:r w:rsidR="00586DF1" w:rsidRPr="00E301D6">
        <w:rPr>
          <w:rFonts w:asciiTheme="majorHAnsi" w:hAnsiTheme="majorHAnsi" w:cstheme="majorHAnsi"/>
          <w:sz w:val="24"/>
          <w:szCs w:val="24"/>
          <w:lang w:val="ro-RO"/>
        </w:rPr>
        <w:t xml:space="preserve">, a fost organizată activitatea </w:t>
      </w:r>
      <w:r w:rsidR="00697011">
        <w:rPr>
          <w:rFonts w:asciiTheme="majorHAnsi" w:hAnsiTheme="majorHAnsi" w:cstheme="majorHAnsi"/>
          <w:sz w:val="24"/>
          <w:szCs w:val="24"/>
          <w:lang w:val="ro-RO"/>
        </w:rPr>
        <w:t>conform</w:t>
      </w:r>
      <w:r w:rsidR="00697011" w:rsidRPr="00E301D6">
        <w:rPr>
          <w:rFonts w:asciiTheme="majorHAnsi" w:hAnsiTheme="majorHAnsi" w:cstheme="majorHAnsi"/>
          <w:sz w:val="24"/>
          <w:szCs w:val="24"/>
          <w:lang w:val="ro-RO"/>
        </w:rPr>
        <w:t xml:space="preserve"> </w:t>
      </w:r>
      <w:r w:rsidR="00782AB5" w:rsidRPr="00E301D6">
        <w:rPr>
          <w:rFonts w:asciiTheme="majorHAnsi" w:hAnsiTheme="majorHAnsi" w:cstheme="majorHAnsi"/>
          <w:sz w:val="24"/>
          <w:szCs w:val="24"/>
          <w:lang w:val="ro-RO"/>
        </w:rPr>
        <w:t>acest</w:t>
      </w:r>
      <w:r w:rsidR="00697011">
        <w:rPr>
          <w:rFonts w:asciiTheme="majorHAnsi" w:hAnsiTheme="majorHAnsi" w:cstheme="majorHAnsi"/>
          <w:sz w:val="24"/>
          <w:szCs w:val="24"/>
          <w:lang w:val="ro-RO"/>
        </w:rPr>
        <w:t>ui</w:t>
      </w:r>
      <w:r w:rsidR="00782AB5" w:rsidRPr="00E301D6">
        <w:rPr>
          <w:rFonts w:asciiTheme="majorHAnsi" w:hAnsiTheme="majorHAnsi" w:cstheme="majorHAnsi"/>
          <w:sz w:val="24"/>
          <w:szCs w:val="24"/>
          <w:lang w:val="ro-RO"/>
        </w:rPr>
        <w:t xml:space="preserve"> </w:t>
      </w:r>
      <w:r w:rsidRPr="00E301D6">
        <w:rPr>
          <w:rFonts w:asciiTheme="majorHAnsi" w:hAnsiTheme="majorHAnsi" w:cstheme="majorHAnsi"/>
          <w:sz w:val="24"/>
          <w:szCs w:val="24"/>
          <w:lang w:val="ro-RO"/>
        </w:rPr>
        <w:t xml:space="preserve">principiu. </w:t>
      </w:r>
      <w:r w:rsidR="00586DF1" w:rsidRPr="00E301D6">
        <w:rPr>
          <w:rFonts w:asciiTheme="majorHAnsi" w:hAnsiTheme="majorHAnsi" w:cstheme="majorHAnsi"/>
          <w:sz w:val="24"/>
          <w:szCs w:val="24"/>
          <w:lang w:val="ro-RO"/>
        </w:rPr>
        <w:t>La moment</w:t>
      </w:r>
      <w:r w:rsidR="00D3387B" w:rsidRPr="00E301D6">
        <w:rPr>
          <w:rFonts w:asciiTheme="majorHAnsi" w:hAnsiTheme="majorHAnsi" w:cstheme="majorHAnsi"/>
          <w:sz w:val="24"/>
          <w:szCs w:val="24"/>
          <w:lang w:val="ro-RO"/>
        </w:rPr>
        <w:t>ul actual, în cadrul CNA</w:t>
      </w:r>
      <w:r w:rsidR="00782AB5" w:rsidRPr="00E301D6">
        <w:rPr>
          <w:rFonts w:asciiTheme="majorHAnsi" w:hAnsiTheme="majorHAnsi" w:cstheme="majorHAnsi"/>
          <w:sz w:val="24"/>
          <w:szCs w:val="24"/>
          <w:lang w:val="ro-RO"/>
        </w:rPr>
        <w:t xml:space="preserve">S organizarea acestor servicii este un nivel </w:t>
      </w:r>
      <w:r w:rsidR="00D3387B" w:rsidRPr="00E301D6">
        <w:rPr>
          <w:rFonts w:asciiTheme="majorHAnsi" w:hAnsiTheme="majorHAnsi" w:cstheme="majorHAnsi"/>
          <w:sz w:val="24"/>
          <w:szCs w:val="24"/>
          <w:lang w:val="ro-RO"/>
        </w:rPr>
        <w:t xml:space="preserve">de 97,5 %, </w:t>
      </w:r>
      <w:r w:rsidR="00782AB5" w:rsidRPr="00E301D6">
        <w:rPr>
          <w:rFonts w:asciiTheme="majorHAnsi" w:hAnsiTheme="majorHAnsi" w:cstheme="majorHAnsi"/>
          <w:sz w:val="24"/>
          <w:szCs w:val="24"/>
          <w:lang w:val="ro-RO"/>
        </w:rPr>
        <w:t>excepție fiind</w:t>
      </w:r>
      <w:r w:rsidR="00D3387B" w:rsidRPr="00E301D6">
        <w:rPr>
          <w:rFonts w:asciiTheme="majorHAnsi" w:hAnsiTheme="majorHAnsi" w:cstheme="majorHAnsi"/>
          <w:sz w:val="24"/>
          <w:szCs w:val="24"/>
          <w:lang w:val="ro-RO"/>
        </w:rPr>
        <w:t xml:space="preserve"> o subdiviziune CTAS, din cele 40 existente. Prin </w:t>
      </w:r>
      <w:r w:rsidR="00D3387B" w:rsidRPr="00E301D6">
        <w:rPr>
          <w:rFonts w:asciiTheme="majorHAnsi" w:hAnsiTheme="majorHAnsi" w:cstheme="majorHAnsi"/>
          <w:sz w:val="24"/>
          <w:szCs w:val="24"/>
          <w:lang w:val="ro-RO"/>
        </w:rPr>
        <w:lastRenderedPageBreak/>
        <w:t>urmare, î</w:t>
      </w:r>
      <w:r w:rsidR="00D3387B" w:rsidRPr="00E301D6">
        <w:rPr>
          <w:rFonts w:asciiTheme="majorHAnsi" w:hAnsiTheme="majorHAnsi" w:cs="Times New Roman"/>
          <w:color w:val="000000"/>
          <w:sz w:val="24"/>
          <w:szCs w:val="24"/>
          <w:shd w:val="clear" w:color="auto" w:fill="FFFFFF"/>
          <w:lang w:val="ro-RO"/>
        </w:rPr>
        <w:t>n continuare persistă necesitatea îmbună</w:t>
      </w:r>
      <w:r w:rsidR="0059578E">
        <w:rPr>
          <w:rFonts w:asciiTheme="majorHAnsi" w:hAnsiTheme="majorHAnsi" w:cs="Times New Roman"/>
          <w:color w:val="000000"/>
          <w:sz w:val="24"/>
          <w:szCs w:val="24"/>
          <w:shd w:val="clear" w:color="auto" w:fill="FFFFFF"/>
          <w:lang w:val="ro-RO"/>
        </w:rPr>
        <w:t>tățirii procesului de asigurare</w:t>
      </w:r>
      <w:r w:rsidR="00D3387B" w:rsidRPr="00E301D6">
        <w:rPr>
          <w:rFonts w:asciiTheme="majorHAnsi" w:hAnsiTheme="majorHAnsi" w:cs="Times New Roman"/>
          <w:color w:val="000000"/>
          <w:sz w:val="24"/>
          <w:szCs w:val="24"/>
          <w:shd w:val="clear" w:color="auto" w:fill="FFFFFF"/>
          <w:lang w:val="ro-RO"/>
        </w:rPr>
        <w:t xml:space="preserve"> a protecție</w:t>
      </w:r>
      <w:r w:rsidR="00885EFF" w:rsidRPr="00E301D6">
        <w:rPr>
          <w:rFonts w:asciiTheme="majorHAnsi" w:hAnsiTheme="majorHAnsi" w:cs="Times New Roman"/>
          <w:color w:val="000000"/>
          <w:sz w:val="24"/>
          <w:szCs w:val="24"/>
          <w:shd w:val="clear" w:color="auto" w:fill="FFFFFF"/>
          <w:lang w:val="ro-RO"/>
        </w:rPr>
        <w:t xml:space="preserve">i angajaților și beneficiarilor, întrucât </w:t>
      </w:r>
      <w:r w:rsidR="00207953" w:rsidRPr="00E301D6">
        <w:rPr>
          <w:rFonts w:asciiTheme="majorHAnsi" w:hAnsiTheme="majorHAnsi" w:cs="Times New Roman"/>
          <w:color w:val="000000"/>
          <w:sz w:val="24"/>
          <w:szCs w:val="24"/>
          <w:shd w:val="clear" w:color="auto" w:fill="FFFFFF"/>
          <w:lang w:val="ro-RO"/>
        </w:rPr>
        <w:t>situația pandemică este un fenomen de durată.</w:t>
      </w:r>
    </w:p>
    <w:p w14:paraId="52B61F21" w14:textId="4CDF8EBA" w:rsidR="00E301D6" w:rsidRDefault="00E301D6" w:rsidP="00FA2599">
      <w:pPr>
        <w:spacing w:line="276" w:lineRule="auto"/>
        <w:jc w:val="both"/>
        <w:rPr>
          <w:rFonts w:asciiTheme="majorHAnsi" w:hAnsiTheme="majorHAnsi" w:cs="Times New Roman"/>
          <w:color w:val="000000"/>
          <w:sz w:val="24"/>
          <w:szCs w:val="24"/>
          <w:shd w:val="clear" w:color="auto" w:fill="FFFFFF"/>
          <w:lang w:val="ro-RO"/>
        </w:rPr>
      </w:pPr>
      <w:r>
        <w:rPr>
          <w:rFonts w:asciiTheme="majorHAnsi" w:hAnsiTheme="majorHAnsi" w:cs="Times New Roman"/>
          <w:noProof/>
          <w:color w:val="000000"/>
          <w:sz w:val="24"/>
          <w:szCs w:val="24"/>
        </w:rPr>
        <mc:AlternateContent>
          <mc:Choice Requires="wps">
            <w:drawing>
              <wp:anchor distT="0" distB="0" distL="114300" distR="114300" simplePos="0" relativeHeight="251670528" behindDoc="0" locked="0" layoutInCell="1" allowOverlap="1" wp14:anchorId="05066CAE" wp14:editId="329203F5">
                <wp:simplePos x="0" y="0"/>
                <wp:positionH relativeFrom="column">
                  <wp:posOffset>17145</wp:posOffset>
                </wp:positionH>
                <wp:positionV relativeFrom="paragraph">
                  <wp:posOffset>18415</wp:posOffset>
                </wp:positionV>
                <wp:extent cx="5989320" cy="1424940"/>
                <wp:effectExtent l="0" t="0" r="11430" b="22860"/>
                <wp:wrapNone/>
                <wp:docPr id="13" name="Rectangle 13"/>
                <wp:cNvGraphicFramePr/>
                <a:graphic xmlns:a="http://schemas.openxmlformats.org/drawingml/2006/main">
                  <a:graphicData uri="http://schemas.microsoft.com/office/word/2010/wordprocessingShape">
                    <wps:wsp>
                      <wps:cNvSpPr/>
                      <wps:spPr>
                        <a:xfrm>
                          <a:off x="0" y="0"/>
                          <a:ext cx="5989320" cy="14249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854368" w14:textId="66A8912F" w:rsidR="004059A3" w:rsidRPr="00E301D6" w:rsidRDefault="004059A3" w:rsidP="00E301D6">
                            <w:pPr>
                              <w:spacing w:line="276" w:lineRule="auto"/>
                              <w:jc w:val="both"/>
                              <w:rPr>
                                <w:rFonts w:ascii="Calibri Light" w:hAnsi="Calibri Light" w:cs="Calibri Light"/>
                                <w:b/>
                                <w:sz w:val="24"/>
                                <w:szCs w:val="24"/>
                                <w:lang w:val="ro-MD"/>
                              </w:rPr>
                            </w:pPr>
                            <w:r w:rsidRPr="00E301D6">
                              <w:rPr>
                                <w:rFonts w:ascii="Calibri Light" w:hAnsi="Calibri Light" w:cs="Calibri Light"/>
                                <w:b/>
                                <w:sz w:val="24"/>
                                <w:szCs w:val="24"/>
                                <w:lang w:val="ro-MD"/>
                              </w:rPr>
                              <w:t>Situația pandemică provocată de virusul Covid-19 a avut un impact major asupra activităților CNAS</w:t>
                            </w:r>
                            <w:r>
                              <w:rPr>
                                <w:rFonts w:ascii="Calibri Light" w:hAnsi="Calibri Light" w:cs="Calibri Light"/>
                                <w:b/>
                                <w:sz w:val="24"/>
                                <w:szCs w:val="24"/>
                                <w:lang w:val="ro-MD"/>
                              </w:rPr>
                              <w:t xml:space="preserve"> desfășurate în anul 2020, atât</w:t>
                            </w:r>
                            <w:r w:rsidRPr="00E301D6">
                              <w:rPr>
                                <w:rFonts w:ascii="Calibri Light" w:hAnsi="Calibri Light" w:cs="Calibri Light"/>
                                <w:b/>
                                <w:sz w:val="24"/>
                                <w:szCs w:val="24"/>
                                <w:lang w:val="ro-MD"/>
                              </w:rPr>
                              <w:t xml:space="preserve"> pe interiorul autorității, cât și de conlucrare pe exterior cu alte instituții/autorități de diferit nivel, care di</w:t>
                            </w:r>
                            <w:r>
                              <w:rPr>
                                <w:rFonts w:ascii="Calibri Light" w:hAnsi="Calibri Light" w:cs="Calibri Light"/>
                                <w:b/>
                                <w:sz w:val="24"/>
                                <w:szCs w:val="24"/>
                                <w:lang w:val="ro-MD"/>
                              </w:rPr>
                              <w:t>n motive de confruntare cu răspâ</w:t>
                            </w:r>
                            <w:r w:rsidRPr="00E301D6">
                              <w:rPr>
                                <w:rFonts w:ascii="Calibri Light" w:hAnsi="Calibri Light" w:cs="Calibri Light"/>
                                <w:b/>
                                <w:sz w:val="24"/>
                                <w:szCs w:val="24"/>
                                <w:lang w:val="ro-MD"/>
                              </w:rPr>
                              <w:t xml:space="preserve">ndirea pandemică a virusului, și-au reorganizat activitatea în condiții speciale. Această situație a influențat în mod direct și procesul de deservire de către CNAS cu subdiviziunile sale teritoriale (CTAS) a beneficiarilor sistemului de asigurări sociale. </w:t>
                            </w:r>
                          </w:p>
                          <w:p w14:paraId="7147151E" w14:textId="77777777" w:rsidR="004059A3" w:rsidRPr="00E301D6" w:rsidRDefault="004059A3" w:rsidP="00E301D6">
                            <w:pPr>
                              <w:jc w:val="center"/>
                              <w:rPr>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66CAE" id="Rectangle 13" o:spid="_x0000_s1028" style="position:absolute;left:0;text-align:left;margin-left:1.35pt;margin-top:1.45pt;width:471.6pt;height:11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" fillcolor="white [3201]" strokecolor="#70ad47 [3209]" strokeweight="1pt">
                <v:textbox>
                  <w:txbxContent>
                    <w:p w14:paraId="1E854368" w14:textId="66A8912F" w:rsidR="004059A3" w:rsidRPr="00E301D6" w:rsidRDefault="004059A3" w:rsidP="00E301D6">
                      <w:pPr>
                        <w:spacing w:line="276" w:lineRule="auto"/>
                        <w:jc w:val="both"/>
                        <w:rPr>
                          <w:rFonts w:ascii="Calibri Light" w:hAnsi="Calibri Light" w:cs="Calibri Light"/>
                          <w:b/>
                          <w:sz w:val="24"/>
                          <w:szCs w:val="24"/>
                          <w:lang w:val="ro-MD"/>
                        </w:rPr>
                      </w:pPr>
                      <w:r w:rsidRPr="00E301D6">
                        <w:rPr>
                          <w:rFonts w:ascii="Calibri Light" w:hAnsi="Calibri Light" w:cs="Calibri Light"/>
                          <w:b/>
                          <w:sz w:val="24"/>
                          <w:szCs w:val="24"/>
                          <w:lang w:val="ro-MD"/>
                        </w:rPr>
                        <w:t>Situația pandemică provocată de virusul Covid-19 a avut un impact major asupra activităților CNAS</w:t>
                      </w:r>
                      <w:r>
                        <w:rPr>
                          <w:rFonts w:ascii="Calibri Light" w:hAnsi="Calibri Light" w:cs="Calibri Light"/>
                          <w:b/>
                          <w:sz w:val="24"/>
                          <w:szCs w:val="24"/>
                          <w:lang w:val="ro-MD"/>
                        </w:rPr>
                        <w:t xml:space="preserve"> desfășurate în anul 2020, atât</w:t>
                      </w:r>
                      <w:r w:rsidRPr="00E301D6">
                        <w:rPr>
                          <w:rFonts w:ascii="Calibri Light" w:hAnsi="Calibri Light" w:cs="Calibri Light"/>
                          <w:b/>
                          <w:sz w:val="24"/>
                          <w:szCs w:val="24"/>
                          <w:lang w:val="ro-MD"/>
                        </w:rPr>
                        <w:t xml:space="preserve"> pe interiorul autorității, cât și de conlucrare pe exterior cu alte instituții/autorități de diferit nivel, care di</w:t>
                      </w:r>
                      <w:r>
                        <w:rPr>
                          <w:rFonts w:ascii="Calibri Light" w:hAnsi="Calibri Light" w:cs="Calibri Light"/>
                          <w:b/>
                          <w:sz w:val="24"/>
                          <w:szCs w:val="24"/>
                          <w:lang w:val="ro-MD"/>
                        </w:rPr>
                        <w:t>n motive de confruntare cu răspâ</w:t>
                      </w:r>
                      <w:r w:rsidRPr="00E301D6">
                        <w:rPr>
                          <w:rFonts w:ascii="Calibri Light" w:hAnsi="Calibri Light" w:cs="Calibri Light"/>
                          <w:b/>
                          <w:sz w:val="24"/>
                          <w:szCs w:val="24"/>
                          <w:lang w:val="ro-MD"/>
                        </w:rPr>
                        <w:t xml:space="preserve">ndirea pandemică a virusului, și-au reorganizat activitatea în condiții speciale. Această situație a influențat în mod direct și procesul de deservire de către CNAS cu subdiviziunile sale teritoriale (CTAS) a beneficiarilor sistemului de asigurări sociale. </w:t>
                      </w:r>
                    </w:p>
                    <w:p w14:paraId="7147151E" w14:textId="77777777" w:rsidR="004059A3" w:rsidRPr="00E301D6" w:rsidRDefault="004059A3" w:rsidP="00E301D6">
                      <w:pPr>
                        <w:jc w:val="center"/>
                        <w:rPr>
                          <w:lang w:val="ro-MD"/>
                        </w:rPr>
                      </w:pPr>
                    </w:p>
                  </w:txbxContent>
                </v:textbox>
              </v:rect>
            </w:pict>
          </mc:Fallback>
        </mc:AlternateContent>
      </w:r>
    </w:p>
    <w:p w14:paraId="450FCABA" w14:textId="1E59EE5A" w:rsidR="00E301D6" w:rsidRDefault="00E301D6" w:rsidP="00FA2599">
      <w:pPr>
        <w:spacing w:line="276" w:lineRule="auto"/>
        <w:jc w:val="both"/>
        <w:rPr>
          <w:rFonts w:asciiTheme="majorHAnsi" w:hAnsiTheme="majorHAnsi" w:cs="Times New Roman"/>
          <w:color w:val="000000"/>
          <w:sz w:val="24"/>
          <w:szCs w:val="24"/>
          <w:shd w:val="clear" w:color="auto" w:fill="FFFFFF"/>
          <w:lang w:val="ro-RO"/>
        </w:rPr>
      </w:pPr>
    </w:p>
    <w:p w14:paraId="72E68343" w14:textId="645B8630" w:rsidR="00E301D6" w:rsidRDefault="00E301D6" w:rsidP="00FA2599">
      <w:pPr>
        <w:spacing w:line="276" w:lineRule="auto"/>
        <w:jc w:val="both"/>
        <w:rPr>
          <w:rFonts w:asciiTheme="majorHAnsi" w:hAnsiTheme="majorHAnsi" w:cs="Times New Roman"/>
          <w:color w:val="000000"/>
          <w:sz w:val="24"/>
          <w:szCs w:val="24"/>
          <w:shd w:val="clear" w:color="auto" w:fill="FFFFFF"/>
          <w:lang w:val="ro-RO"/>
        </w:rPr>
      </w:pPr>
    </w:p>
    <w:p w14:paraId="0D203FA8" w14:textId="77777777" w:rsidR="00E301D6" w:rsidRDefault="00E301D6" w:rsidP="00FA2599">
      <w:pPr>
        <w:spacing w:line="276" w:lineRule="auto"/>
        <w:jc w:val="both"/>
        <w:rPr>
          <w:rFonts w:asciiTheme="majorHAnsi" w:hAnsiTheme="majorHAnsi" w:cs="Times New Roman"/>
          <w:color w:val="000000"/>
          <w:sz w:val="24"/>
          <w:szCs w:val="24"/>
          <w:shd w:val="clear" w:color="auto" w:fill="FFFFFF"/>
          <w:lang w:val="ro-RO"/>
        </w:rPr>
      </w:pPr>
    </w:p>
    <w:p w14:paraId="71D9A45F" w14:textId="508D0402" w:rsidR="00E301D6" w:rsidRPr="00E301D6" w:rsidRDefault="00E301D6" w:rsidP="00FA2599">
      <w:pPr>
        <w:spacing w:line="276" w:lineRule="auto"/>
        <w:jc w:val="both"/>
        <w:rPr>
          <w:rFonts w:asciiTheme="majorHAnsi" w:hAnsiTheme="majorHAnsi" w:cs="Times New Roman"/>
          <w:color w:val="000000"/>
          <w:sz w:val="24"/>
          <w:szCs w:val="24"/>
          <w:shd w:val="clear" w:color="auto" w:fill="FFFFFF"/>
          <w:lang w:val="ro-RO"/>
        </w:rPr>
      </w:pPr>
    </w:p>
    <w:p w14:paraId="5141761F" w14:textId="039BDC64" w:rsidR="00E301D6" w:rsidRPr="00E301D6" w:rsidRDefault="00E301D6" w:rsidP="00E301D6">
      <w:pPr>
        <w:spacing w:line="276" w:lineRule="auto"/>
        <w:jc w:val="both"/>
        <w:rPr>
          <w:rFonts w:ascii="Calibri Light" w:hAnsi="Calibri Light" w:cs="Calibri Light"/>
          <w:sz w:val="24"/>
          <w:szCs w:val="24"/>
          <w:lang w:val="ro-MD"/>
        </w:rPr>
      </w:pPr>
      <w:r w:rsidRPr="00E301D6">
        <w:rPr>
          <w:rFonts w:ascii="Calibri Light" w:hAnsi="Calibri Light" w:cs="Calibri Light"/>
          <w:sz w:val="24"/>
          <w:szCs w:val="24"/>
          <w:lang w:val="ro-MD"/>
        </w:rPr>
        <w:t>Specialiștii CNAS s-au confruntat cu aceleași probleme provocate de pandemie, ca și întreaga</w:t>
      </w:r>
      <w:r w:rsidR="00D4753A">
        <w:rPr>
          <w:rFonts w:ascii="Calibri Light" w:hAnsi="Calibri Light" w:cs="Calibri Light"/>
          <w:sz w:val="24"/>
          <w:szCs w:val="24"/>
          <w:lang w:val="ro-MD"/>
        </w:rPr>
        <w:t xml:space="preserve"> societate: înregistrarea crescâ</w:t>
      </w:r>
      <w:r w:rsidRPr="00E301D6">
        <w:rPr>
          <w:rFonts w:ascii="Calibri Light" w:hAnsi="Calibri Light" w:cs="Calibri Light"/>
          <w:sz w:val="24"/>
          <w:szCs w:val="24"/>
          <w:lang w:val="ro-MD"/>
        </w:rPr>
        <w:t xml:space="preserve">ndă a cazurilor de suspecție/îmbolnăvire cu COVID-19. </w:t>
      </w:r>
      <w:r w:rsidR="00697011">
        <w:rPr>
          <w:rFonts w:ascii="Calibri Light" w:hAnsi="Calibri Light" w:cs="Calibri Light"/>
          <w:sz w:val="24"/>
          <w:szCs w:val="24"/>
          <w:lang w:val="ro-MD"/>
        </w:rPr>
        <w:t>Din această cauză,</w:t>
      </w:r>
      <w:r w:rsidRPr="00E301D6">
        <w:rPr>
          <w:rFonts w:ascii="Calibri Light" w:hAnsi="Calibri Light" w:cs="Calibri Light"/>
          <w:sz w:val="24"/>
          <w:szCs w:val="24"/>
          <w:lang w:val="ro-MD"/>
        </w:rPr>
        <w:t xml:space="preserve"> o parte din angajați s-au aflat  în regim de tratament/supraveghere, iar unele CTAS s-au aflat în </w:t>
      </w:r>
      <w:r w:rsidR="00D4753A">
        <w:rPr>
          <w:rFonts w:ascii="Calibri Light" w:hAnsi="Calibri Light" w:cs="Calibri Light"/>
          <w:sz w:val="24"/>
          <w:szCs w:val="24"/>
          <w:lang w:val="ro-MD"/>
        </w:rPr>
        <w:t>regim total de carantină, existâ</w:t>
      </w:r>
      <w:r w:rsidRPr="00E301D6">
        <w:rPr>
          <w:rFonts w:ascii="Calibri Light" w:hAnsi="Calibri Light" w:cs="Calibri Light"/>
          <w:sz w:val="24"/>
          <w:szCs w:val="24"/>
          <w:lang w:val="ro-MD"/>
        </w:rPr>
        <w:t>nd riscul de a perturba procesul de deservire a beneficiarilor.</w:t>
      </w:r>
    </w:p>
    <w:p w14:paraId="575D6DF5" w14:textId="023C826D" w:rsidR="00E301D6" w:rsidRPr="00E301D6" w:rsidRDefault="00E301D6" w:rsidP="00E301D6">
      <w:pPr>
        <w:spacing w:line="276" w:lineRule="auto"/>
        <w:jc w:val="both"/>
        <w:rPr>
          <w:rFonts w:ascii="Calibri Light" w:hAnsi="Calibri Light" w:cs="Calibri Light"/>
          <w:sz w:val="24"/>
          <w:szCs w:val="24"/>
          <w:lang w:val="ro-MD"/>
        </w:rPr>
      </w:pPr>
      <w:r w:rsidRPr="00E301D6">
        <w:rPr>
          <w:rFonts w:ascii="Calibri Light" w:hAnsi="Calibri Light" w:cs="Calibri Light"/>
          <w:sz w:val="24"/>
          <w:szCs w:val="24"/>
          <w:lang w:val="ro-MD"/>
        </w:rPr>
        <w:t>În aceste condiţii</w:t>
      </w:r>
      <w:r w:rsidR="00697011">
        <w:rPr>
          <w:rFonts w:ascii="Calibri Light" w:hAnsi="Calibri Light" w:cs="Calibri Light"/>
          <w:sz w:val="24"/>
          <w:szCs w:val="24"/>
          <w:lang w:val="ro-MD"/>
        </w:rPr>
        <w:t>,</w:t>
      </w:r>
      <w:r w:rsidRPr="00E301D6">
        <w:rPr>
          <w:rFonts w:ascii="Calibri Light" w:hAnsi="Calibri Light" w:cs="Calibri Light"/>
          <w:sz w:val="24"/>
          <w:szCs w:val="24"/>
          <w:lang w:val="ro-MD"/>
        </w:rPr>
        <w:t xml:space="preserve"> au </w:t>
      </w:r>
      <w:r w:rsidR="00697011">
        <w:rPr>
          <w:rFonts w:ascii="Calibri Light" w:hAnsi="Calibri Light" w:cs="Calibri Light"/>
          <w:sz w:val="24"/>
          <w:szCs w:val="24"/>
          <w:lang w:val="ro-MD"/>
        </w:rPr>
        <w:t xml:space="preserve">fost </w:t>
      </w:r>
      <w:r w:rsidRPr="00E301D6">
        <w:rPr>
          <w:rFonts w:ascii="Calibri Light" w:hAnsi="Calibri Light" w:cs="Calibri Light"/>
          <w:sz w:val="24"/>
          <w:szCs w:val="24"/>
          <w:lang w:val="ro-MD"/>
        </w:rPr>
        <w:t>mobilizat</w:t>
      </w:r>
      <w:r w:rsidR="00697011">
        <w:rPr>
          <w:rFonts w:ascii="Calibri Light" w:hAnsi="Calibri Light" w:cs="Calibri Light"/>
          <w:sz w:val="24"/>
          <w:szCs w:val="24"/>
          <w:lang w:val="ro-MD"/>
        </w:rPr>
        <w:t>e</w:t>
      </w:r>
      <w:r w:rsidRPr="00E301D6">
        <w:rPr>
          <w:rFonts w:ascii="Calibri Light" w:hAnsi="Calibri Light" w:cs="Calibri Light"/>
          <w:sz w:val="24"/>
          <w:szCs w:val="24"/>
          <w:lang w:val="ro-MD"/>
        </w:rPr>
        <w:t xml:space="preserve"> capacitățile CNAS pentru organizarea activităților în regim special, protejarea sănătăţii beneficiarilor şi a angajaţilor fiind primordială. A fost asigurat accesul fizic permanent a</w:t>
      </w:r>
      <w:r w:rsidR="00D4753A">
        <w:rPr>
          <w:rFonts w:ascii="Calibri Light" w:hAnsi="Calibri Light" w:cs="Calibri Light"/>
          <w:sz w:val="24"/>
          <w:szCs w:val="24"/>
          <w:lang w:val="ro-MD"/>
        </w:rPr>
        <w:t>l</w:t>
      </w:r>
      <w:r w:rsidRPr="00E301D6">
        <w:rPr>
          <w:rFonts w:ascii="Calibri Light" w:hAnsi="Calibri Light" w:cs="Calibri Light"/>
          <w:sz w:val="24"/>
          <w:szCs w:val="24"/>
          <w:lang w:val="ro-MD"/>
        </w:rPr>
        <w:t xml:space="preserve"> beneficiarilor la serviciile instituției, cu respectarea cerințelor de protecție individuală.  </w:t>
      </w:r>
    </w:p>
    <w:p w14:paraId="36504305" w14:textId="04D3A546" w:rsidR="00E301D6" w:rsidRPr="00E301D6" w:rsidRDefault="00D4753A" w:rsidP="00E301D6">
      <w:pPr>
        <w:spacing w:line="276" w:lineRule="auto"/>
        <w:jc w:val="both"/>
        <w:rPr>
          <w:rFonts w:ascii="Calibri Light" w:hAnsi="Calibri Light" w:cs="Calibri Light"/>
          <w:sz w:val="24"/>
          <w:szCs w:val="24"/>
          <w:lang w:val="ro-MD"/>
        </w:rPr>
      </w:pPr>
      <w:r>
        <w:rPr>
          <w:rFonts w:ascii="Calibri Light" w:hAnsi="Calibri Light" w:cs="Calibri Light"/>
          <w:sz w:val="24"/>
          <w:szCs w:val="24"/>
          <w:lang w:val="ro-MD"/>
        </w:rPr>
        <w:t>Situația neordinară, micș</w:t>
      </w:r>
      <w:r w:rsidR="00E301D6" w:rsidRPr="00E301D6">
        <w:rPr>
          <w:rFonts w:ascii="Calibri Light" w:hAnsi="Calibri Light" w:cs="Calibri Light"/>
          <w:sz w:val="24"/>
          <w:szCs w:val="24"/>
          <w:lang w:val="ro-MD"/>
        </w:rPr>
        <w:t>orarea numărului de specialiști activi a</w:t>
      </w:r>
      <w:r w:rsidR="00697011">
        <w:rPr>
          <w:rFonts w:ascii="Calibri Light" w:hAnsi="Calibri Light" w:cs="Calibri Light"/>
          <w:sz w:val="24"/>
          <w:szCs w:val="24"/>
          <w:lang w:val="ro-MD"/>
        </w:rPr>
        <w:t>u</w:t>
      </w:r>
      <w:r w:rsidR="00E301D6" w:rsidRPr="00E301D6">
        <w:rPr>
          <w:rFonts w:ascii="Calibri Light" w:hAnsi="Calibri Light" w:cs="Calibri Light"/>
          <w:sz w:val="24"/>
          <w:szCs w:val="24"/>
          <w:lang w:val="ro-MD"/>
        </w:rPr>
        <w:t xml:space="preserve"> impus luarea unor măsuri suplimentare de delegare/redistribuire a atribuțiilor personalului, </w:t>
      </w:r>
      <w:r>
        <w:rPr>
          <w:rFonts w:ascii="Calibri Light" w:hAnsi="Calibri Light" w:cs="Calibri Light"/>
          <w:sz w:val="24"/>
          <w:szCs w:val="24"/>
          <w:lang w:val="ro-MD"/>
        </w:rPr>
        <w:t>inclusiv între diferite CTAS, câ</w:t>
      </w:r>
      <w:r w:rsidR="00E301D6" w:rsidRPr="00E301D6">
        <w:rPr>
          <w:rFonts w:ascii="Calibri Light" w:hAnsi="Calibri Light" w:cs="Calibri Light"/>
          <w:sz w:val="24"/>
          <w:szCs w:val="24"/>
          <w:lang w:val="ro-MD"/>
        </w:rPr>
        <w:t xml:space="preserve">t și implicarea activă a specialiștilor Direcțiilor responsabile de gestionarea domeniilor din cadrul aparatului central. </w:t>
      </w:r>
      <w:r w:rsidR="00697011">
        <w:rPr>
          <w:rFonts w:ascii="Calibri Light" w:hAnsi="Calibri Light" w:cs="Calibri Light"/>
          <w:sz w:val="24"/>
          <w:szCs w:val="24"/>
          <w:lang w:val="ro-MD"/>
        </w:rPr>
        <w:t>Astfel,</w:t>
      </w:r>
      <w:r w:rsidR="00E301D6" w:rsidRPr="00E301D6">
        <w:rPr>
          <w:rFonts w:ascii="Calibri Light" w:hAnsi="Calibri Light" w:cs="Calibri Light"/>
          <w:sz w:val="24"/>
          <w:szCs w:val="24"/>
          <w:lang w:val="ro-MD"/>
        </w:rPr>
        <w:t xml:space="preserve"> a crescut int</w:t>
      </w:r>
      <w:r>
        <w:rPr>
          <w:rFonts w:ascii="Calibri Light" w:hAnsi="Calibri Light" w:cs="Calibri Light"/>
          <w:sz w:val="24"/>
          <w:szCs w:val="24"/>
          <w:lang w:val="ro-MD"/>
        </w:rPr>
        <w:t>ensitatea muncii angajaţilor atât la nivel teritorial</w:t>
      </w:r>
      <w:r w:rsidR="00697011">
        <w:rPr>
          <w:rFonts w:ascii="Calibri Light" w:hAnsi="Calibri Light" w:cs="Calibri Light"/>
          <w:sz w:val="24"/>
          <w:szCs w:val="24"/>
          <w:lang w:val="ro-MD"/>
        </w:rPr>
        <w:t>,</w:t>
      </w:r>
      <w:r>
        <w:rPr>
          <w:rFonts w:ascii="Calibri Light" w:hAnsi="Calibri Light" w:cs="Calibri Light"/>
          <w:sz w:val="24"/>
          <w:szCs w:val="24"/>
          <w:lang w:val="ro-MD"/>
        </w:rPr>
        <w:t xml:space="preserve"> câ</w:t>
      </w:r>
      <w:r w:rsidR="00E301D6" w:rsidRPr="00E301D6">
        <w:rPr>
          <w:rFonts w:ascii="Calibri Light" w:hAnsi="Calibri Light" w:cs="Calibri Light"/>
          <w:sz w:val="24"/>
          <w:szCs w:val="24"/>
          <w:lang w:val="ro-MD"/>
        </w:rPr>
        <w:t>t şi central.</w:t>
      </w:r>
    </w:p>
    <w:p w14:paraId="2EC3D540" w14:textId="1D3B431B" w:rsidR="00C75E87" w:rsidRPr="007B54F0" w:rsidRDefault="00C75E87" w:rsidP="007B54F0">
      <w:pPr>
        <w:pStyle w:val="Heading1"/>
        <w:ind w:left="0" w:firstLine="0"/>
        <w:jc w:val="left"/>
        <w:rPr>
          <w:rFonts w:asciiTheme="majorHAnsi" w:hAnsiTheme="majorHAnsi" w:cstheme="majorHAnsi"/>
          <w:sz w:val="28"/>
          <w:szCs w:val="28"/>
        </w:rPr>
      </w:pPr>
      <w:bookmarkStart w:id="6" w:name="_Toc35000687"/>
      <w:r w:rsidRPr="007B54F0">
        <w:rPr>
          <w:rFonts w:asciiTheme="majorHAnsi" w:hAnsiTheme="majorHAnsi" w:cstheme="majorHAnsi"/>
          <w:sz w:val="28"/>
          <w:szCs w:val="28"/>
        </w:rPr>
        <w:t>P</w:t>
      </w:r>
      <w:r w:rsidR="00AE03C9" w:rsidRPr="007B54F0">
        <w:rPr>
          <w:rFonts w:asciiTheme="majorHAnsi" w:hAnsiTheme="majorHAnsi" w:cstheme="majorHAnsi"/>
          <w:sz w:val="28"/>
          <w:szCs w:val="28"/>
        </w:rPr>
        <w:t>REZENTAREA BUGETULUI</w:t>
      </w:r>
      <w:bookmarkEnd w:id="6"/>
      <w:r w:rsidRPr="007B54F0">
        <w:rPr>
          <w:rFonts w:asciiTheme="majorHAnsi" w:hAnsiTheme="majorHAnsi" w:cstheme="majorHAnsi"/>
          <w:sz w:val="28"/>
          <w:szCs w:val="28"/>
        </w:rPr>
        <w:t xml:space="preserve"> </w:t>
      </w:r>
    </w:p>
    <w:p w14:paraId="19DE9F70" w14:textId="428A4F1B" w:rsidR="00BE5297" w:rsidRPr="00341E6C" w:rsidRDefault="005656F0" w:rsidP="00E7122D">
      <w:pPr>
        <w:spacing w:line="276" w:lineRule="auto"/>
        <w:jc w:val="both"/>
        <w:rPr>
          <w:rFonts w:asciiTheme="majorHAnsi" w:eastAsia="Times New Roman" w:hAnsiTheme="majorHAnsi" w:cstheme="majorHAnsi"/>
          <w:sz w:val="24"/>
          <w:szCs w:val="24"/>
          <w:lang w:val="ro-RO" w:eastAsia="ro-RO"/>
        </w:rPr>
      </w:pPr>
      <w:r w:rsidRPr="00341E6C">
        <w:rPr>
          <w:rFonts w:asciiTheme="majorHAnsi" w:hAnsiTheme="majorHAnsi" w:cstheme="majorHAnsi"/>
          <w:sz w:val="24"/>
          <w:szCs w:val="24"/>
          <w:lang w:val="ro-RO" w:eastAsia="ru-RU"/>
        </w:rPr>
        <w:t xml:space="preserve">Bugetul asigurărilor sociale de stat reprezintă </w:t>
      </w:r>
      <w:r w:rsidRPr="00341E6C">
        <w:rPr>
          <w:rFonts w:asciiTheme="majorHAnsi" w:hAnsiTheme="majorHAnsi" w:cstheme="majorHAnsi"/>
          <w:color w:val="333333"/>
          <w:sz w:val="24"/>
          <w:szCs w:val="24"/>
          <w:shd w:val="clear" w:color="auto" w:fill="FFFFFF"/>
          <w:lang w:val="ro-RO"/>
        </w:rPr>
        <w:t>totalitatea veniturilor, cheltuielilor şi a surselor de finanţare destinate pentru realizarea funcţiilor şi gestionarea sistemului public de asigurări sociale</w:t>
      </w:r>
      <w:r w:rsidRPr="00341E6C">
        <w:rPr>
          <w:rStyle w:val="FootnoteReference"/>
          <w:rFonts w:asciiTheme="majorHAnsi" w:hAnsiTheme="majorHAnsi" w:cstheme="majorHAnsi"/>
          <w:color w:val="333333"/>
          <w:sz w:val="24"/>
          <w:szCs w:val="24"/>
          <w:shd w:val="clear" w:color="auto" w:fill="FFFFFF"/>
          <w:lang w:val="ro-RO"/>
        </w:rPr>
        <w:footnoteReference w:id="65"/>
      </w:r>
      <w:r w:rsidRPr="00341E6C">
        <w:rPr>
          <w:rFonts w:asciiTheme="majorHAnsi" w:hAnsiTheme="majorHAnsi" w:cstheme="majorHAnsi"/>
          <w:sz w:val="24"/>
          <w:szCs w:val="24"/>
          <w:lang w:val="ro-RO"/>
        </w:rPr>
        <w:t xml:space="preserve">. Acesta </w:t>
      </w:r>
      <w:r w:rsidRPr="00341E6C">
        <w:rPr>
          <w:rFonts w:asciiTheme="majorHAnsi" w:hAnsiTheme="majorHAnsi" w:cstheme="majorHAnsi"/>
          <w:sz w:val="24"/>
          <w:szCs w:val="24"/>
          <w:lang w:val="ro-RO" w:eastAsia="ro-RO"/>
        </w:rPr>
        <w:t>face parte din bugetul public național și se administrează independent de alte bugete componente ale bugetului public național</w:t>
      </w:r>
      <w:r w:rsidRPr="00341E6C">
        <w:rPr>
          <w:rStyle w:val="FootnoteReference"/>
          <w:rFonts w:asciiTheme="majorHAnsi" w:hAnsiTheme="majorHAnsi" w:cstheme="majorHAnsi"/>
          <w:sz w:val="24"/>
          <w:szCs w:val="24"/>
          <w:lang w:val="ro-RO" w:eastAsia="ro-RO"/>
        </w:rPr>
        <w:footnoteReference w:id="66"/>
      </w:r>
      <w:r w:rsidRPr="00341E6C">
        <w:rPr>
          <w:rFonts w:asciiTheme="majorHAnsi" w:hAnsiTheme="majorHAnsi" w:cstheme="majorHAnsi"/>
          <w:sz w:val="24"/>
          <w:szCs w:val="24"/>
          <w:lang w:val="ro-RO" w:eastAsia="ro-RO"/>
        </w:rPr>
        <w:t>.</w:t>
      </w:r>
      <w:r w:rsidRPr="00341E6C">
        <w:rPr>
          <w:rFonts w:asciiTheme="majorHAnsi" w:hAnsiTheme="majorHAnsi" w:cstheme="majorHAnsi"/>
          <w:sz w:val="24"/>
          <w:szCs w:val="24"/>
          <w:lang w:val="ro-RO"/>
        </w:rPr>
        <w:t xml:space="preserve"> </w:t>
      </w:r>
      <w:r w:rsidRPr="00341E6C">
        <w:rPr>
          <w:rFonts w:asciiTheme="majorHAnsi" w:eastAsia="Times New Roman" w:hAnsiTheme="majorHAnsi" w:cstheme="majorHAnsi"/>
          <w:sz w:val="24"/>
          <w:szCs w:val="24"/>
          <w:lang w:val="ro-RO" w:eastAsia="ro-RO"/>
        </w:rPr>
        <w:t>Administrarea bugetului asigurărilor sociale de stat și implementarea programelor în conformitate cu obiectivele și indicatorii de performanță asumați i-a revenit Casei Naționale de Asigurări Sociale</w:t>
      </w:r>
      <w:r w:rsidRPr="00341E6C">
        <w:rPr>
          <w:rStyle w:val="FootnoteReference"/>
          <w:rFonts w:asciiTheme="majorHAnsi" w:eastAsia="Times New Roman" w:hAnsiTheme="majorHAnsi" w:cstheme="majorHAnsi"/>
          <w:sz w:val="24"/>
          <w:szCs w:val="24"/>
          <w:lang w:val="ro-RO" w:eastAsia="ro-RO"/>
        </w:rPr>
        <w:footnoteReference w:id="67"/>
      </w:r>
      <w:r w:rsidRPr="00341E6C">
        <w:rPr>
          <w:rFonts w:asciiTheme="majorHAnsi" w:eastAsia="Times New Roman" w:hAnsiTheme="majorHAnsi" w:cstheme="majorHAnsi"/>
          <w:sz w:val="24"/>
          <w:szCs w:val="24"/>
          <w:lang w:val="ro-RO" w:eastAsia="ro-RO"/>
        </w:rPr>
        <w:t xml:space="preserve">. </w:t>
      </w:r>
      <w:r w:rsidR="00177AF4" w:rsidRPr="00341E6C">
        <w:rPr>
          <w:rFonts w:asciiTheme="majorHAnsi" w:eastAsia="Times New Roman" w:hAnsiTheme="majorHAnsi" w:cstheme="majorHAnsi"/>
          <w:sz w:val="24"/>
          <w:szCs w:val="24"/>
          <w:lang w:val="ro-RO" w:eastAsia="ro-RO"/>
        </w:rPr>
        <w:t xml:space="preserve">Astfel, această entitate </w:t>
      </w:r>
      <w:r w:rsidR="00BE5297" w:rsidRPr="00341E6C">
        <w:rPr>
          <w:rFonts w:asciiTheme="majorHAnsi" w:hAnsiTheme="majorHAnsi" w:cstheme="majorHAnsi"/>
          <w:sz w:val="24"/>
          <w:szCs w:val="24"/>
          <w:lang w:val="ro-RO"/>
        </w:rPr>
        <w:t>are misiunea de a realiza politicile sociale ale statului orientate spre garantarea drepturilor sociale ale cetățenilor prin administrarea sistemului public de asigurări sociale și gestionarea bugetului asigurărilor sociale de stat.</w:t>
      </w:r>
    </w:p>
    <w:p w14:paraId="75A955BA" w14:textId="09F3C3A6" w:rsidR="00D1231F" w:rsidRPr="00341E6C" w:rsidRDefault="001E22EF" w:rsidP="00E7122D">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Bugetul asigurărilor sociale de stat este planul financiar anual care reflectă constituirea, repartizarea şi utilizarea fondurilor băneşti necesare ocrotirii pensionarilor, salariaţilor şi membrilor de familie.</w:t>
      </w:r>
      <w:r w:rsidR="00177AF4" w:rsidRPr="00341E6C">
        <w:rPr>
          <w:rFonts w:asciiTheme="majorHAnsi" w:hAnsiTheme="majorHAnsi" w:cstheme="majorHAnsi"/>
          <w:sz w:val="24"/>
          <w:szCs w:val="24"/>
          <w:lang w:val="ro-RO"/>
        </w:rPr>
        <w:t xml:space="preserve"> </w:t>
      </w:r>
      <w:r w:rsidR="00D1231F" w:rsidRPr="00341E6C">
        <w:rPr>
          <w:rFonts w:asciiTheme="majorHAnsi" w:hAnsiTheme="majorHAnsi" w:cstheme="majorHAnsi"/>
          <w:sz w:val="24"/>
          <w:szCs w:val="24"/>
          <w:lang w:val="ro-RO"/>
        </w:rPr>
        <w:t xml:space="preserve">Prin intermediul sistemului public de asigurări sociale, statul garantează cetăţenilor dreptul la protecţie socială în cazurile de bătrâneţe, şomaj, boală, invaliditate, de </w:t>
      </w:r>
      <w:r w:rsidR="00D1231F" w:rsidRPr="00341E6C">
        <w:rPr>
          <w:rFonts w:asciiTheme="majorHAnsi" w:hAnsiTheme="majorHAnsi" w:cstheme="majorHAnsi"/>
          <w:sz w:val="24"/>
          <w:szCs w:val="24"/>
          <w:lang w:val="ro-RO"/>
        </w:rPr>
        <w:lastRenderedPageBreak/>
        <w:t xml:space="preserve">pierdere a întreţinătorului prin plăţi sociale – pensii, indemnizaţii şi alte prestaţii de asigurări sociale. </w:t>
      </w:r>
      <w:r w:rsidR="00B21CC2" w:rsidRPr="00341E6C">
        <w:rPr>
          <w:rFonts w:asciiTheme="majorHAnsi" w:hAnsiTheme="majorHAnsi" w:cstheme="majorHAnsi"/>
          <w:sz w:val="24"/>
          <w:szCs w:val="24"/>
          <w:lang w:val="ro-RO"/>
        </w:rPr>
        <w:t>Totodată, p</w:t>
      </w:r>
      <w:r w:rsidR="00D1231F" w:rsidRPr="00341E6C">
        <w:rPr>
          <w:rFonts w:asciiTheme="majorHAnsi" w:hAnsiTheme="majorHAnsi" w:cstheme="majorHAnsi"/>
          <w:sz w:val="24"/>
          <w:szCs w:val="24"/>
          <w:lang w:val="ro-RO"/>
        </w:rPr>
        <w:t>rin intermediul CNAS se acordă unor anumite categorii de cetățeni, prestații de asistență socială, a căror finanțare se efectuează din mijloacele bugetului de stat.</w:t>
      </w:r>
    </w:p>
    <w:p w14:paraId="4DD312A4" w14:textId="3B6112FF" w:rsidR="005F11F1" w:rsidRPr="00341E6C" w:rsidRDefault="00B21CC2" w:rsidP="00E7122D">
      <w:pPr>
        <w:spacing w:line="276" w:lineRule="auto"/>
        <w:jc w:val="both"/>
        <w:rPr>
          <w:rFonts w:asciiTheme="majorHAnsi" w:hAnsiTheme="majorHAnsi" w:cstheme="majorHAnsi"/>
          <w:color w:val="333333"/>
          <w:sz w:val="24"/>
          <w:szCs w:val="24"/>
          <w:shd w:val="clear" w:color="auto" w:fill="FFFFFF"/>
          <w:lang w:val="ro-RO"/>
        </w:rPr>
      </w:pPr>
      <w:r w:rsidRPr="00341E6C">
        <w:rPr>
          <w:rFonts w:asciiTheme="majorHAnsi" w:hAnsiTheme="majorHAnsi" w:cstheme="majorHAnsi"/>
          <w:sz w:val="24"/>
          <w:szCs w:val="24"/>
          <w:lang w:val="ro-RO"/>
        </w:rPr>
        <w:t xml:space="preserve">În </w:t>
      </w:r>
      <w:r w:rsidR="004924B9">
        <w:rPr>
          <w:rFonts w:asciiTheme="majorHAnsi" w:hAnsiTheme="majorHAnsi" w:cstheme="majorHAnsi"/>
          <w:sz w:val="24"/>
          <w:szCs w:val="24"/>
          <w:lang w:val="ro-RO"/>
        </w:rPr>
        <w:t xml:space="preserve">acest </w:t>
      </w:r>
      <w:r w:rsidRPr="00341E6C">
        <w:rPr>
          <w:rFonts w:asciiTheme="majorHAnsi" w:hAnsiTheme="majorHAnsi" w:cstheme="majorHAnsi"/>
          <w:sz w:val="24"/>
          <w:szCs w:val="24"/>
          <w:lang w:val="ro-RO"/>
        </w:rPr>
        <w:t>context, se relevă importanța semnificativă/calitativă a acestui buget, deoarece este orienta</w:t>
      </w:r>
      <w:r w:rsidR="002B15E0">
        <w:rPr>
          <w:rFonts w:asciiTheme="majorHAnsi" w:hAnsiTheme="majorHAnsi" w:cstheme="majorHAnsi"/>
          <w:sz w:val="24"/>
          <w:szCs w:val="24"/>
          <w:lang w:val="ro-RO"/>
        </w:rPr>
        <w:t>t spre cetățeni în</w:t>
      </w:r>
      <w:r w:rsidR="004924B9">
        <w:rPr>
          <w:rFonts w:asciiTheme="majorHAnsi" w:hAnsiTheme="majorHAnsi" w:cstheme="majorHAnsi"/>
          <w:sz w:val="24"/>
          <w:szCs w:val="24"/>
          <w:lang w:val="ro-RO"/>
        </w:rPr>
        <w:t xml:space="preserve"> vederea</w:t>
      </w:r>
      <w:r w:rsidRPr="00341E6C">
        <w:rPr>
          <w:rFonts w:asciiTheme="majorHAnsi" w:hAnsiTheme="majorHAnsi" w:cstheme="majorHAnsi"/>
          <w:sz w:val="24"/>
          <w:szCs w:val="24"/>
          <w:lang w:val="ro-RO"/>
        </w:rPr>
        <w:t xml:space="preserve"> asigur</w:t>
      </w:r>
      <w:r w:rsidR="004924B9">
        <w:rPr>
          <w:rFonts w:asciiTheme="majorHAnsi" w:hAnsiTheme="majorHAnsi" w:cstheme="majorHAnsi"/>
          <w:sz w:val="24"/>
          <w:szCs w:val="24"/>
          <w:lang w:val="ro-RO"/>
        </w:rPr>
        <w:t>ării</w:t>
      </w:r>
      <w:r w:rsidRPr="00341E6C">
        <w:rPr>
          <w:rFonts w:asciiTheme="majorHAnsi" w:hAnsiTheme="majorHAnsi" w:cstheme="majorHAnsi"/>
          <w:sz w:val="24"/>
          <w:szCs w:val="24"/>
          <w:lang w:val="ro-RO"/>
        </w:rPr>
        <w:t xml:space="preserve"> riscurilor survenite pe parcursul vieții (boală, bătrânețe etc.)</w:t>
      </w:r>
      <w:r w:rsidR="005F11F1" w:rsidRPr="00341E6C">
        <w:rPr>
          <w:rFonts w:asciiTheme="majorHAnsi" w:hAnsiTheme="majorHAnsi" w:cstheme="majorHAnsi"/>
          <w:sz w:val="24"/>
          <w:szCs w:val="24"/>
          <w:lang w:val="ro-RO"/>
        </w:rPr>
        <w:t xml:space="preserve">. </w:t>
      </w:r>
      <w:r w:rsidR="005F11F1" w:rsidRPr="00341E6C">
        <w:rPr>
          <w:rFonts w:asciiTheme="majorHAnsi" w:hAnsiTheme="majorHAnsi" w:cstheme="majorHAnsi"/>
          <w:color w:val="333333"/>
          <w:sz w:val="24"/>
          <w:szCs w:val="24"/>
          <w:shd w:val="clear" w:color="auto" w:fill="FFFFFF"/>
          <w:lang w:val="ro-RO"/>
        </w:rPr>
        <w:t>BASS are în administrarea lui pe</w:t>
      </w:r>
      <w:r w:rsidR="005D7B4C" w:rsidRPr="00341E6C">
        <w:rPr>
          <w:rFonts w:asciiTheme="majorHAnsi" w:hAnsiTheme="majorHAnsi" w:cstheme="majorHAnsi"/>
          <w:color w:val="333333"/>
          <w:sz w:val="24"/>
          <w:szCs w:val="24"/>
          <w:shd w:val="clear" w:color="auto" w:fill="FFFFFF"/>
          <w:lang w:val="ro-RO"/>
        </w:rPr>
        <w:t xml:space="preserve">ste </w:t>
      </w:r>
      <w:r w:rsidR="00547812" w:rsidRPr="00341E6C">
        <w:rPr>
          <w:rFonts w:asciiTheme="majorHAnsi" w:hAnsiTheme="majorHAnsi" w:cstheme="majorHAnsi"/>
          <w:color w:val="333333"/>
          <w:sz w:val="24"/>
          <w:szCs w:val="24"/>
          <w:shd w:val="clear" w:color="auto" w:fill="FFFFFF"/>
          <w:lang w:val="ro-RO"/>
        </w:rPr>
        <w:t>trei milioane</w:t>
      </w:r>
      <w:r w:rsidR="005D7B4C" w:rsidRPr="00341E6C">
        <w:rPr>
          <w:rFonts w:asciiTheme="majorHAnsi" w:hAnsiTheme="majorHAnsi" w:cstheme="majorHAnsi"/>
          <w:color w:val="333333"/>
          <w:sz w:val="24"/>
          <w:szCs w:val="24"/>
          <w:shd w:val="clear" w:color="auto" w:fill="FFFFFF"/>
          <w:lang w:val="ro-RO"/>
        </w:rPr>
        <w:t xml:space="preserve"> </w:t>
      </w:r>
      <w:r w:rsidR="004924B9">
        <w:rPr>
          <w:rFonts w:asciiTheme="majorHAnsi" w:hAnsiTheme="majorHAnsi" w:cstheme="majorHAnsi"/>
          <w:color w:val="333333"/>
          <w:sz w:val="24"/>
          <w:szCs w:val="24"/>
          <w:shd w:val="clear" w:color="auto" w:fill="FFFFFF"/>
          <w:lang w:val="ro-RO"/>
        </w:rPr>
        <w:t xml:space="preserve">de </w:t>
      </w:r>
      <w:r w:rsidR="005D7B4C" w:rsidRPr="00341E6C">
        <w:rPr>
          <w:rFonts w:asciiTheme="majorHAnsi" w:hAnsiTheme="majorHAnsi" w:cstheme="majorHAnsi"/>
          <w:color w:val="333333"/>
          <w:sz w:val="24"/>
          <w:szCs w:val="24"/>
          <w:shd w:val="clear" w:color="auto" w:fill="FFFFFF"/>
          <w:lang w:val="ro-RO"/>
        </w:rPr>
        <w:t xml:space="preserve">beneficiari </w:t>
      </w:r>
      <w:r w:rsidR="00547812" w:rsidRPr="00341E6C">
        <w:rPr>
          <w:rFonts w:asciiTheme="majorHAnsi" w:hAnsiTheme="majorHAnsi" w:cstheme="majorHAnsi"/>
          <w:color w:val="333333"/>
          <w:sz w:val="24"/>
          <w:szCs w:val="24"/>
          <w:shd w:val="clear" w:color="auto" w:fill="FFFFFF"/>
          <w:lang w:val="ro-RO"/>
        </w:rPr>
        <w:t>d</w:t>
      </w:r>
      <w:r w:rsidR="005D7B4C" w:rsidRPr="00341E6C">
        <w:rPr>
          <w:rFonts w:asciiTheme="majorHAnsi" w:hAnsiTheme="majorHAnsi" w:cstheme="majorHAnsi"/>
          <w:color w:val="333333"/>
          <w:sz w:val="24"/>
          <w:szCs w:val="24"/>
          <w:shd w:val="clear" w:color="auto" w:fill="FFFFFF"/>
          <w:lang w:val="ro-RO"/>
        </w:rPr>
        <w:t>e prestații, care pe parcursul anului 2020 au avut tangență cu acest buget și au beneficiat cel puțin de o prestație</w:t>
      </w:r>
      <w:r w:rsidR="00ED7EDB">
        <w:rPr>
          <w:rFonts w:asciiTheme="majorHAnsi" w:hAnsiTheme="majorHAnsi" w:cstheme="majorHAnsi"/>
          <w:color w:val="333333"/>
          <w:sz w:val="24"/>
          <w:szCs w:val="24"/>
          <w:shd w:val="clear" w:color="auto" w:fill="FFFFFF"/>
          <w:lang w:val="ro-RO"/>
        </w:rPr>
        <w:t>.</w:t>
      </w:r>
    </w:p>
    <w:p w14:paraId="3531DE94" w14:textId="7FAF99BF" w:rsidR="000A0AE4" w:rsidRDefault="000A0AE4" w:rsidP="00E7122D">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eastAsia="ru-RU"/>
        </w:rPr>
        <w:t>Bugetul asigurăr</w:t>
      </w:r>
      <w:r w:rsidR="00C76C95" w:rsidRPr="00341E6C">
        <w:rPr>
          <w:rFonts w:asciiTheme="majorHAnsi" w:hAnsiTheme="majorHAnsi" w:cstheme="majorHAnsi"/>
          <w:sz w:val="24"/>
          <w:szCs w:val="24"/>
          <w:lang w:val="ro-RO" w:eastAsia="ru-RU"/>
        </w:rPr>
        <w:t>ilor sociale de stat pe anul 2020</w:t>
      </w:r>
      <w:r w:rsidRPr="00341E6C">
        <w:rPr>
          <w:rFonts w:asciiTheme="majorHAnsi" w:hAnsiTheme="majorHAnsi" w:cstheme="majorHAnsi"/>
          <w:sz w:val="24"/>
          <w:szCs w:val="24"/>
          <w:lang w:val="ro-RO" w:eastAsia="ru-RU"/>
        </w:rPr>
        <w:t xml:space="preserve"> a fost aprobat inițial la venituri și cheltuieli în sume egale de </w:t>
      </w:r>
      <w:r w:rsidR="002B15E0">
        <w:rPr>
          <w:rFonts w:asciiTheme="majorHAnsi" w:hAnsiTheme="majorHAnsi" w:cstheme="majorHAnsi"/>
          <w:sz w:val="24"/>
          <w:szCs w:val="24"/>
          <w:lang w:val="ro-RO"/>
        </w:rPr>
        <w:t xml:space="preserve">23 </w:t>
      </w:r>
      <w:r w:rsidR="00C76C95" w:rsidRPr="00341E6C">
        <w:rPr>
          <w:rFonts w:asciiTheme="majorHAnsi" w:hAnsiTheme="majorHAnsi" w:cstheme="majorHAnsi"/>
          <w:sz w:val="24"/>
          <w:szCs w:val="24"/>
          <w:lang w:val="ro-RO"/>
        </w:rPr>
        <w:t>491,0</w:t>
      </w:r>
      <w:r w:rsidRPr="00341E6C">
        <w:rPr>
          <w:rFonts w:asciiTheme="majorHAnsi" w:hAnsiTheme="majorHAnsi" w:cstheme="majorHAnsi"/>
          <w:sz w:val="24"/>
          <w:szCs w:val="24"/>
          <w:lang w:val="ro-RO"/>
        </w:rPr>
        <w:t xml:space="preserve"> mil.lei. Ca rezultat al operării modificărilor și completărilor, parametrii BASS au fost precizați până la </w:t>
      </w:r>
      <w:r w:rsidR="002B15E0">
        <w:rPr>
          <w:rFonts w:asciiTheme="majorHAnsi" w:hAnsiTheme="majorHAnsi" w:cstheme="majorHAnsi"/>
          <w:sz w:val="24"/>
          <w:szCs w:val="24"/>
          <w:lang w:val="ro-RO"/>
        </w:rPr>
        <w:t xml:space="preserve">24 </w:t>
      </w:r>
      <w:r w:rsidR="00C76C95" w:rsidRPr="00341E6C">
        <w:rPr>
          <w:rFonts w:asciiTheme="majorHAnsi" w:hAnsiTheme="majorHAnsi" w:cstheme="majorHAnsi"/>
          <w:sz w:val="24"/>
          <w:szCs w:val="24"/>
          <w:lang w:val="ro-RO"/>
        </w:rPr>
        <w:t>572,1 mil</w:t>
      </w:r>
      <w:r w:rsidR="004924B9">
        <w:rPr>
          <w:rFonts w:asciiTheme="majorHAnsi" w:hAnsiTheme="majorHAnsi" w:cstheme="majorHAnsi"/>
          <w:sz w:val="24"/>
          <w:szCs w:val="24"/>
          <w:lang w:val="ro-RO"/>
        </w:rPr>
        <w:t>.</w:t>
      </w:r>
      <w:r w:rsidR="00C76C95" w:rsidRPr="00341E6C">
        <w:rPr>
          <w:rFonts w:asciiTheme="majorHAnsi" w:hAnsiTheme="majorHAnsi" w:cstheme="majorHAnsi"/>
          <w:sz w:val="24"/>
          <w:szCs w:val="24"/>
          <w:lang w:val="ro-RO"/>
        </w:rPr>
        <w:t xml:space="preserve"> lei.</w:t>
      </w:r>
    </w:p>
    <w:p w14:paraId="036802A4" w14:textId="11C33A2A" w:rsidR="00B21CC2" w:rsidRPr="00341E6C" w:rsidRDefault="00B21CC2" w:rsidP="000A0AE4">
      <w:pPr>
        <w:spacing w:line="276" w:lineRule="auto"/>
        <w:jc w:val="both"/>
        <w:rPr>
          <w:rFonts w:asciiTheme="majorHAnsi" w:hAnsiTheme="majorHAnsi" w:cstheme="majorHAnsi"/>
          <w:sz w:val="24"/>
          <w:szCs w:val="24"/>
          <w:lang w:val="ro-RO"/>
        </w:rPr>
      </w:pPr>
      <w:r w:rsidRPr="00341E6C">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67A6DEB1" wp14:editId="25A3A643">
                <wp:simplePos x="0" y="0"/>
                <wp:positionH relativeFrom="column">
                  <wp:posOffset>-5715</wp:posOffset>
                </wp:positionH>
                <wp:positionV relativeFrom="paragraph">
                  <wp:posOffset>8890</wp:posOffset>
                </wp:positionV>
                <wp:extent cx="5913120" cy="11201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5913120" cy="11201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68A5B2" w14:textId="45C650B4" w:rsidR="004059A3" w:rsidRPr="00B21CC2" w:rsidRDefault="004059A3" w:rsidP="00B21CC2">
                            <w:pPr>
                              <w:jc w:val="both"/>
                              <w:rPr>
                                <w:color w:val="000000" w:themeColor="text1"/>
                              </w:rPr>
                            </w:pPr>
                            <w:r w:rsidRPr="00B21CC2">
                              <w:rPr>
                                <w:rFonts w:asciiTheme="majorHAnsi" w:hAnsiTheme="majorHAnsi" w:cstheme="majorHAnsi"/>
                                <w:b/>
                                <w:color w:val="000000" w:themeColor="text1"/>
                                <w:sz w:val="24"/>
                                <w:lang w:val="ro-RO"/>
                              </w:rPr>
                              <w:t>Planificarea şi executarea bugetului asigurărilor sociale de stat pentru anul 2020</w:t>
                            </w:r>
                            <w:r>
                              <w:rPr>
                                <w:rFonts w:asciiTheme="majorHAnsi" w:hAnsiTheme="majorHAnsi" w:cstheme="majorHAnsi"/>
                                <w:b/>
                                <w:color w:val="000000" w:themeColor="text1"/>
                                <w:sz w:val="24"/>
                                <w:lang w:val="ro-RO"/>
                              </w:rPr>
                              <w:t>,</w:t>
                            </w:r>
                            <w:r w:rsidRPr="00B21CC2">
                              <w:rPr>
                                <w:rFonts w:asciiTheme="majorHAnsi" w:hAnsiTheme="majorHAnsi" w:cstheme="majorHAnsi"/>
                                <w:b/>
                                <w:color w:val="000000" w:themeColor="text1"/>
                                <w:sz w:val="24"/>
                                <w:lang w:val="ro-RO"/>
                              </w:rPr>
                              <w:t xml:space="preserve"> în condiţiile determinate de situaţia pandemică, a</w:t>
                            </w:r>
                            <w:r>
                              <w:rPr>
                                <w:rFonts w:asciiTheme="majorHAnsi" w:hAnsiTheme="majorHAnsi" w:cstheme="majorHAnsi"/>
                                <w:b/>
                                <w:color w:val="000000" w:themeColor="text1"/>
                                <w:sz w:val="24"/>
                                <w:lang w:val="ro-RO"/>
                              </w:rPr>
                              <w:t>u</w:t>
                            </w:r>
                            <w:r w:rsidRPr="00B21CC2">
                              <w:rPr>
                                <w:rFonts w:asciiTheme="majorHAnsi" w:hAnsiTheme="majorHAnsi" w:cstheme="majorHAnsi"/>
                                <w:b/>
                                <w:color w:val="000000" w:themeColor="text1"/>
                                <w:sz w:val="24"/>
                                <w:lang w:val="ro-RO"/>
                              </w:rPr>
                              <w:t xml:space="preserve"> fost influenţat</w:t>
                            </w:r>
                            <w:r>
                              <w:rPr>
                                <w:rFonts w:asciiTheme="majorHAnsi" w:hAnsiTheme="majorHAnsi" w:cstheme="majorHAnsi"/>
                                <w:b/>
                                <w:color w:val="000000" w:themeColor="text1"/>
                                <w:sz w:val="24"/>
                                <w:lang w:val="ro-RO"/>
                              </w:rPr>
                              <w:t>e</w:t>
                            </w:r>
                            <w:r w:rsidRPr="00B21CC2">
                              <w:rPr>
                                <w:rFonts w:asciiTheme="majorHAnsi" w:hAnsiTheme="majorHAnsi" w:cstheme="majorHAnsi"/>
                                <w:b/>
                                <w:color w:val="000000" w:themeColor="text1"/>
                                <w:sz w:val="24"/>
                                <w:lang w:val="ro-RO"/>
                              </w:rPr>
                              <w:t xml:space="preserve"> direct de măsurile prevăzute în dispoziţiile Comisiei pentru Situaţii Excepţionale a Republicii Moldova, hotărâril</w:t>
                            </w:r>
                            <w:r>
                              <w:rPr>
                                <w:rFonts w:asciiTheme="majorHAnsi" w:hAnsiTheme="majorHAnsi" w:cstheme="majorHAnsi"/>
                                <w:b/>
                                <w:color w:val="000000" w:themeColor="text1"/>
                                <w:sz w:val="24"/>
                                <w:lang w:val="ro-RO"/>
                              </w:rPr>
                              <w:t>e</w:t>
                            </w:r>
                            <w:r w:rsidRPr="00B21CC2">
                              <w:rPr>
                                <w:rFonts w:asciiTheme="majorHAnsi" w:hAnsiTheme="majorHAnsi" w:cstheme="majorHAnsi"/>
                                <w:b/>
                                <w:color w:val="000000" w:themeColor="text1"/>
                                <w:sz w:val="24"/>
                                <w:lang w:val="ro-RO"/>
                              </w:rPr>
                              <w:t xml:space="preserve"> Comisiei Naţionale Extraordinare de Sănătate Publică şi de alte acte normative aprobate în contextul epidemiologic.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DEB1" id="Rectangle 1" o:spid="_x0000_s1029" style="position:absolute;left:0;text-align:left;margin-left:-.45pt;margin-top:.7pt;width:465.6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" fillcolor="white [3201]" strokecolor="#70ad47 [3209]" strokeweight="1pt">
                <v:textbox>
                  <w:txbxContent>
                    <w:p w14:paraId="0C68A5B2" w14:textId="45C650B4" w:rsidR="004059A3" w:rsidRPr="00B21CC2" w:rsidRDefault="004059A3" w:rsidP="00B21CC2">
                      <w:pPr>
                        <w:jc w:val="both"/>
                        <w:rPr>
                          <w:color w:val="000000" w:themeColor="text1"/>
                        </w:rPr>
                      </w:pPr>
                      <w:r w:rsidRPr="00B21CC2">
                        <w:rPr>
                          <w:rFonts w:asciiTheme="majorHAnsi" w:hAnsiTheme="majorHAnsi" w:cstheme="majorHAnsi"/>
                          <w:b/>
                          <w:color w:val="000000" w:themeColor="text1"/>
                          <w:sz w:val="24"/>
                          <w:lang w:val="ro-RO"/>
                        </w:rPr>
                        <w:t>Planificarea şi executarea bugetului asigurărilor sociale de stat pentru anul 2020</w:t>
                      </w:r>
                      <w:r>
                        <w:rPr>
                          <w:rFonts w:asciiTheme="majorHAnsi" w:hAnsiTheme="majorHAnsi" w:cstheme="majorHAnsi"/>
                          <w:b/>
                          <w:color w:val="000000" w:themeColor="text1"/>
                          <w:sz w:val="24"/>
                          <w:lang w:val="ro-RO"/>
                        </w:rPr>
                        <w:t>,</w:t>
                      </w:r>
                      <w:r w:rsidRPr="00B21CC2">
                        <w:rPr>
                          <w:rFonts w:asciiTheme="majorHAnsi" w:hAnsiTheme="majorHAnsi" w:cstheme="majorHAnsi"/>
                          <w:b/>
                          <w:color w:val="000000" w:themeColor="text1"/>
                          <w:sz w:val="24"/>
                          <w:lang w:val="ro-RO"/>
                        </w:rPr>
                        <w:t xml:space="preserve"> în condiţiile determinate de situaţia pandemică, a</w:t>
                      </w:r>
                      <w:r>
                        <w:rPr>
                          <w:rFonts w:asciiTheme="majorHAnsi" w:hAnsiTheme="majorHAnsi" w:cstheme="majorHAnsi"/>
                          <w:b/>
                          <w:color w:val="000000" w:themeColor="text1"/>
                          <w:sz w:val="24"/>
                          <w:lang w:val="ro-RO"/>
                        </w:rPr>
                        <w:t>u</w:t>
                      </w:r>
                      <w:r w:rsidRPr="00B21CC2">
                        <w:rPr>
                          <w:rFonts w:asciiTheme="majorHAnsi" w:hAnsiTheme="majorHAnsi" w:cstheme="majorHAnsi"/>
                          <w:b/>
                          <w:color w:val="000000" w:themeColor="text1"/>
                          <w:sz w:val="24"/>
                          <w:lang w:val="ro-RO"/>
                        </w:rPr>
                        <w:t xml:space="preserve"> fost influenţat</w:t>
                      </w:r>
                      <w:r>
                        <w:rPr>
                          <w:rFonts w:asciiTheme="majorHAnsi" w:hAnsiTheme="majorHAnsi" w:cstheme="majorHAnsi"/>
                          <w:b/>
                          <w:color w:val="000000" w:themeColor="text1"/>
                          <w:sz w:val="24"/>
                          <w:lang w:val="ro-RO"/>
                        </w:rPr>
                        <w:t>e</w:t>
                      </w:r>
                      <w:r w:rsidRPr="00B21CC2">
                        <w:rPr>
                          <w:rFonts w:asciiTheme="majorHAnsi" w:hAnsiTheme="majorHAnsi" w:cstheme="majorHAnsi"/>
                          <w:b/>
                          <w:color w:val="000000" w:themeColor="text1"/>
                          <w:sz w:val="24"/>
                          <w:lang w:val="ro-RO"/>
                        </w:rPr>
                        <w:t xml:space="preserve"> direct de măsurile prevăzute în dispoziţiile Comisiei pentru Situaţii Excepţionale a Republicii Moldova, hotărâril</w:t>
                      </w:r>
                      <w:r>
                        <w:rPr>
                          <w:rFonts w:asciiTheme="majorHAnsi" w:hAnsiTheme="majorHAnsi" w:cstheme="majorHAnsi"/>
                          <w:b/>
                          <w:color w:val="000000" w:themeColor="text1"/>
                          <w:sz w:val="24"/>
                          <w:lang w:val="ro-RO"/>
                        </w:rPr>
                        <w:t>e</w:t>
                      </w:r>
                      <w:r w:rsidRPr="00B21CC2">
                        <w:rPr>
                          <w:rFonts w:asciiTheme="majorHAnsi" w:hAnsiTheme="majorHAnsi" w:cstheme="majorHAnsi"/>
                          <w:b/>
                          <w:color w:val="000000" w:themeColor="text1"/>
                          <w:sz w:val="24"/>
                          <w:lang w:val="ro-RO"/>
                        </w:rPr>
                        <w:t xml:space="preserve"> Comisiei Naţionale Extraordinare de Sănătate Publică şi de alte acte normative aprobate în contextul epidemiologic.</w:t>
                      </w:r>
                    </w:p>
                  </w:txbxContent>
                </v:textbox>
              </v:rect>
            </w:pict>
          </mc:Fallback>
        </mc:AlternateContent>
      </w:r>
    </w:p>
    <w:p w14:paraId="099B13BC" w14:textId="77777777" w:rsidR="00B21CC2" w:rsidRPr="00341E6C" w:rsidRDefault="00B21CC2" w:rsidP="000A0AE4">
      <w:pPr>
        <w:spacing w:line="276" w:lineRule="auto"/>
        <w:jc w:val="both"/>
        <w:rPr>
          <w:rFonts w:asciiTheme="majorHAnsi" w:hAnsiTheme="majorHAnsi" w:cstheme="majorHAnsi"/>
          <w:sz w:val="24"/>
          <w:szCs w:val="24"/>
          <w:lang w:val="ro-RO"/>
        </w:rPr>
      </w:pPr>
    </w:p>
    <w:p w14:paraId="62556AB7" w14:textId="24CCEADC" w:rsidR="00B21CC2" w:rsidRPr="00341E6C" w:rsidRDefault="00B21CC2" w:rsidP="000A0AE4">
      <w:pPr>
        <w:spacing w:line="276" w:lineRule="auto"/>
        <w:jc w:val="both"/>
        <w:rPr>
          <w:rFonts w:asciiTheme="majorHAnsi" w:hAnsiTheme="majorHAnsi" w:cstheme="majorHAnsi"/>
          <w:sz w:val="24"/>
          <w:szCs w:val="24"/>
          <w:lang w:val="ro-RO"/>
        </w:rPr>
      </w:pPr>
    </w:p>
    <w:p w14:paraId="1F930005" w14:textId="77777777" w:rsidR="00B21CC2" w:rsidRPr="00341E6C" w:rsidRDefault="00B21CC2" w:rsidP="000A0AE4">
      <w:pPr>
        <w:spacing w:line="276" w:lineRule="auto"/>
        <w:jc w:val="both"/>
        <w:rPr>
          <w:rFonts w:asciiTheme="majorHAnsi" w:hAnsiTheme="majorHAnsi" w:cstheme="majorHAnsi"/>
          <w:b/>
          <w:sz w:val="24"/>
          <w:lang w:val="ro-RO"/>
        </w:rPr>
      </w:pPr>
    </w:p>
    <w:p w14:paraId="548486E5" w14:textId="2C3D3EC5" w:rsidR="000A0AE4" w:rsidRPr="005A4F77" w:rsidRDefault="000A0AE4" w:rsidP="00E7122D">
      <w:pPr>
        <w:spacing w:line="276" w:lineRule="auto"/>
        <w:jc w:val="both"/>
        <w:rPr>
          <w:rFonts w:asciiTheme="majorHAnsi" w:hAnsiTheme="majorHAnsi" w:cstheme="majorHAnsi"/>
          <w:b/>
          <w:sz w:val="24"/>
          <w:lang w:val="ro-MD"/>
        </w:rPr>
      </w:pPr>
      <w:r w:rsidRPr="005A4F77">
        <w:rPr>
          <w:rFonts w:asciiTheme="majorHAnsi" w:hAnsiTheme="majorHAnsi" w:cstheme="majorHAnsi"/>
          <w:sz w:val="24"/>
          <w:lang w:val="ro-MD"/>
        </w:rPr>
        <w:t>Deşi Legea finanţelor publice şi responsabilităţii bugetar-fiscale</w:t>
      </w:r>
      <w:r w:rsidR="001379C8" w:rsidRPr="005A4F77">
        <w:rPr>
          <w:rStyle w:val="FootnoteReference"/>
          <w:rFonts w:asciiTheme="majorHAnsi" w:hAnsiTheme="majorHAnsi" w:cstheme="majorHAnsi"/>
          <w:sz w:val="24"/>
          <w:lang w:val="ro-MD"/>
        </w:rPr>
        <w:footnoteReference w:id="68"/>
      </w:r>
      <w:r w:rsidRPr="005A4F77">
        <w:rPr>
          <w:rFonts w:asciiTheme="majorHAnsi" w:hAnsiTheme="majorHAnsi" w:cstheme="majorHAnsi"/>
          <w:sz w:val="24"/>
          <w:lang w:val="ro-MD"/>
        </w:rPr>
        <w:t xml:space="preserve"> stabileşte condiţiile şi termenele generale privind modificările/precizările bugetelor anuale aprobate, indicatorii anuali ai bugetului asigurărilor sociale de stat  au fost precizaţi de </w:t>
      </w:r>
      <w:r w:rsidR="00814622" w:rsidRPr="005A4F77">
        <w:rPr>
          <w:rFonts w:asciiTheme="majorHAnsi" w:hAnsiTheme="majorHAnsi" w:cstheme="majorHAnsi"/>
          <w:sz w:val="24"/>
          <w:lang w:val="ro-MD"/>
        </w:rPr>
        <w:t>4</w:t>
      </w:r>
      <w:r w:rsidRPr="005A4F77">
        <w:rPr>
          <w:rFonts w:asciiTheme="majorHAnsi" w:hAnsiTheme="majorHAnsi" w:cstheme="majorHAnsi"/>
          <w:sz w:val="24"/>
          <w:lang w:val="ro-MD"/>
        </w:rPr>
        <w:t xml:space="preserve"> ori</w:t>
      </w:r>
      <w:r w:rsidRPr="005A4F77">
        <w:rPr>
          <w:rStyle w:val="FootnoteReference"/>
          <w:rFonts w:asciiTheme="majorHAnsi" w:hAnsiTheme="majorHAnsi" w:cstheme="majorHAnsi"/>
          <w:sz w:val="24"/>
          <w:lang w:val="ro-MD"/>
        </w:rPr>
        <w:footnoteReference w:id="69"/>
      </w:r>
      <w:r w:rsidRPr="005A4F77">
        <w:rPr>
          <w:rFonts w:asciiTheme="majorHAnsi" w:hAnsiTheme="majorHAnsi" w:cstheme="majorHAnsi"/>
          <w:sz w:val="24"/>
          <w:lang w:val="ro-MD"/>
        </w:rPr>
        <w:t>. Precizările indicatorilor bugetului au fost influenţate de nivelul executării bugetului asigurărilor sociale de stat pe parcursul anului bugetar, de caracterul dinamic al numărului beneficiarilor şi a</w:t>
      </w:r>
      <w:r w:rsidR="009C6E2D">
        <w:rPr>
          <w:rFonts w:asciiTheme="majorHAnsi" w:hAnsiTheme="majorHAnsi" w:cstheme="majorHAnsi"/>
          <w:sz w:val="24"/>
          <w:lang w:val="ro-MD"/>
        </w:rPr>
        <w:t>l</w:t>
      </w:r>
      <w:r w:rsidRPr="005A4F77">
        <w:rPr>
          <w:rFonts w:asciiTheme="majorHAnsi" w:hAnsiTheme="majorHAnsi" w:cstheme="majorHAnsi"/>
          <w:sz w:val="24"/>
          <w:lang w:val="ro-MD"/>
        </w:rPr>
        <w:t xml:space="preserve"> mărimilor medii ale prestaţiilor sociale pe fiecare tip de prestaţie socială, precum şi de adoptarea unor acte legislative, acoperirea financiară a cărora nu a fost prevăzută în bugetul aprobat pentru anul 2020. </w:t>
      </w:r>
    </w:p>
    <w:p w14:paraId="7B37E82A" w14:textId="1AADA5CB" w:rsidR="000A0AE4" w:rsidRPr="00341E6C" w:rsidRDefault="000A0AE4" w:rsidP="001A3D6B">
      <w:pPr>
        <w:spacing w:line="276" w:lineRule="auto"/>
        <w:jc w:val="both"/>
        <w:rPr>
          <w:rFonts w:asciiTheme="majorHAnsi" w:hAnsiTheme="majorHAnsi" w:cstheme="majorHAnsi"/>
          <w:sz w:val="24"/>
          <w:lang w:val="ro-RO"/>
        </w:rPr>
      </w:pPr>
      <w:r w:rsidRPr="005A4F77">
        <w:rPr>
          <w:rFonts w:asciiTheme="majorHAnsi" w:hAnsiTheme="majorHAnsi" w:cstheme="majorHAnsi"/>
          <w:sz w:val="24"/>
          <w:lang w:val="ro-MD"/>
        </w:rPr>
        <w:t xml:space="preserve">Totodată, </w:t>
      </w:r>
      <w:r w:rsidR="001379C8" w:rsidRPr="005A4F77">
        <w:rPr>
          <w:rFonts w:asciiTheme="majorHAnsi" w:hAnsiTheme="majorHAnsi" w:cstheme="majorHAnsi"/>
          <w:sz w:val="24"/>
          <w:lang w:val="ro-MD"/>
        </w:rPr>
        <w:t>modificările indicatorilor BASS</w:t>
      </w:r>
      <w:r w:rsidRPr="005A4F77">
        <w:rPr>
          <w:rFonts w:asciiTheme="majorHAnsi" w:hAnsiTheme="majorHAnsi" w:cstheme="majorHAnsi"/>
          <w:sz w:val="24"/>
          <w:lang w:val="ro-MD"/>
        </w:rPr>
        <w:t xml:space="preserve"> a</w:t>
      </w:r>
      <w:r w:rsidR="008F5F27" w:rsidRPr="005A4F77">
        <w:rPr>
          <w:rFonts w:asciiTheme="majorHAnsi" w:hAnsiTheme="majorHAnsi" w:cstheme="majorHAnsi"/>
          <w:sz w:val="24"/>
          <w:lang w:val="ro-MD"/>
        </w:rPr>
        <w:t>u</w:t>
      </w:r>
      <w:r w:rsidRPr="005A4F77">
        <w:rPr>
          <w:rFonts w:asciiTheme="majorHAnsi" w:hAnsiTheme="majorHAnsi" w:cstheme="majorHAnsi"/>
          <w:sz w:val="24"/>
          <w:lang w:val="ro-MD"/>
        </w:rPr>
        <w:t xml:space="preserve"> fost dictat</w:t>
      </w:r>
      <w:r w:rsidR="008F5F27" w:rsidRPr="005A4F77">
        <w:rPr>
          <w:rFonts w:asciiTheme="majorHAnsi" w:hAnsiTheme="majorHAnsi" w:cstheme="majorHAnsi"/>
          <w:sz w:val="24"/>
          <w:lang w:val="ro-MD"/>
        </w:rPr>
        <w:t>e</w:t>
      </w:r>
      <w:r w:rsidRPr="005A4F77">
        <w:rPr>
          <w:rFonts w:asciiTheme="majorHAnsi" w:hAnsiTheme="majorHAnsi" w:cstheme="majorHAnsi"/>
          <w:sz w:val="24"/>
          <w:lang w:val="ro-MD"/>
        </w:rPr>
        <w:t xml:space="preserve"> şi de </w:t>
      </w:r>
      <w:r w:rsidRPr="005A4F77">
        <w:rPr>
          <w:rFonts w:asciiTheme="majorHAnsi" w:eastAsia="Calibri" w:hAnsiTheme="majorHAnsi" w:cstheme="majorHAnsi"/>
          <w:sz w:val="24"/>
          <w:lang w:val="ro-MD"/>
        </w:rPr>
        <w:t>impactul pandemiei de coronavirus (COVID-19), în condițiile stării de urgenţă pe teritoriul Republicii Moldova pe perioada 17 martie - 15 mai 2020</w:t>
      </w:r>
      <w:r w:rsidR="001379C8" w:rsidRPr="005A4F77">
        <w:rPr>
          <w:rStyle w:val="FootnoteReference"/>
          <w:rFonts w:asciiTheme="majorHAnsi" w:eastAsia="Calibri" w:hAnsiTheme="majorHAnsi" w:cstheme="majorHAnsi"/>
          <w:sz w:val="24"/>
          <w:lang w:val="ro-MD"/>
        </w:rPr>
        <w:footnoteReference w:id="70"/>
      </w:r>
      <w:r w:rsidR="009C6E2D">
        <w:rPr>
          <w:rFonts w:asciiTheme="majorHAnsi" w:eastAsia="Calibri" w:hAnsiTheme="majorHAnsi" w:cstheme="majorHAnsi"/>
          <w:sz w:val="24"/>
          <w:lang w:val="ro-MD"/>
        </w:rPr>
        <w:t>,</w:t>
      </w:r>
      <w:r w:rsidRPr="005A4F77">
        <w:rPr>
          <w:rFonts w:asciiTheme="majorHAnsi" w:eastAsia="Calibri" w:hAnsiTheme="majorHAnsi" w:cstheme="majorHAnsi"/>
          <w:sz w:val="24"/>
          <w:lang w:val="ro-MD"/>
        </w:rPr>
        <w:t xml:space="preserve"> precum și de adoptarea unor măsuri de susținere</w:t>
      </w:r>
      <w:r w:rsidRPr="00341E6C">
        <w:rPr>
          <w:rFonts w:asciiTheme="majorHAnsi" w:eastAsia="Calibri" w:hAnsiTheme="majorHAnsi" w:cstheme="majorHAnsi"/>
          <w:sz w:val="24"/>
          <w:lang w:val="ro-RO"/>
        </w:rPr>
        <w:t xml:space="preserve"> suplimentară a unor categorii de populație</w:t>
      </w:r>
      <w:r w:rsidRPr="00341E6C">
        <w:rPr>
          <w:rFonts w:asciiTheme="majorHAnsi" w:hAnsiTheme="majorHAnsi" w:cstheme="majorHAnsi"/>
          <w:sz w:val="24"/>
          <w:lang w:val="ro-RO"/>
        </w:rPr>
        <w:t>.</w:t>
      </w:r>
    </w:p>
    <w:p w14:paraId="3E6966FB" w14:textId="1B2C2EFE" w:rsidR="007B4644" w:rsidRPr="00341E6C" w:rsidRDefault="007B4644" w:rsidP="001A3D6B">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b/>
          <w:sz w:val="24"/>
          <w:lang w:val="ro-RO"/>
        </w:rPr>
        <w:t>În p</w:t>
      </w:r>
      <w:r w:rsidR="000A0AE4" w:rsidRPr="00341E6C">
        <w:rPr>
          <w:rFonts w:asciiTheme="majorHAnsi" w:hAnsiTheme="majorHAnsi" w:cstheme="majorHAnsi"/>
          <w:b/>
          <w:sz w:val="24"/>
          <w:lang w:val="ro-RO"/>
        </w:rPr>
        <w:t>rimul proiect de modificare a Legii bugetului asigurărilor sociale de stat</w:t>
      </w:r>
      <w:r w:rsidR="003A66FD" w:rsidRPr="00341E6C">
        <w:rPr>
          <w:rStyle w:val="FootnoteReference"/>
          <w:rFonts w:asciiTheme="majorHAnsi" w:hAnsiTheme="majorHAnsi" w:cstheme="majorHAnsi"/>
          <w:b/>
          <w:sz w:val="24"/>
          <w:lang w:val="ro-RO"/>
        </w:rPr>
        <w:footnoteReference w:id="71"/>
      </w:r>
      <w:r w:rsidR="000A0AE4" w:rsidRPr="00341E6C">
        <w:rPr>
          <w:rFonts w:asciiTheme="majorHAnsi" w:hAnsiTheme="majorHAnsi" w:cstheme="majorHAnsi"/>
          <w:b/>
          <w:sz w:val="24"/>
          <w:lang w:val="ro-RO"/>
        </w:rPr>
        <w:t xml:space="preserve"> </w:t>
      </w:r>
      <w:r w:rsidR="000A0AE4" w:rsidRPr="00341E6C">
        <w:rPr>
          <w:rFonts w:asciiTheme="majorHAnsi" w:hAnsiTheme="majorHAnsi" w:cstheme="majorHAnsi"/>
          <w:sz w:val="24"/>
          <w:lang w:val="ro-RO"/>
        </w:rPr>
        <w:t xml:space="preserve">pe anul 2020 </w:t>
      </w:r>
      <w:r w:rsidR="001379C8" w:rsidRPr="00341E6C">
        <w:rPr>
          <w:rFonts w:asciiTheme="majorHAnsi" w:hAnsiTheme="majorHAnsi" w:cstheme="majorHAnsi"/>
          <w:sz w:val="24"/>
          <w:lang w:val="ro-RO"/>
        </w:rPr>
        <w:t>a fost micşorat</w:t>
      </w:r>
      <w:r w:rsidR="000A0AE4" w:rsidRPr="00341E6C">
        <w:rPr>
          <w:rFonts w:asciiTheme="majorHAnsi" w:hAnsiTheme="majorHAnsi" w:cstheme="majorHAnsi"/>
          <w:sz w:val="24"/>
          <w:lang w:val="ro-RO"/>
        </w:rPr>
        <w:t xml:space="preserve"> planul aprobat la contribuţiile de asigurări sociale de stat.</w:t>
      </w:r>
      <w:r w:rsidR="001379C8" w:rsidRPr="00341E6C">
        <w:rPr>
          <w:rFonts w:asciiTheme="majorHAnsi" w:hAnsiTheme="majorHAnsi" w:cstheme="majorHAnsi"/>
          <w:sz w:val="24"/>
          <w:lang w:val="ro-RO"/>
        </w:rPr>
        <w:t xml:space="preserve"> </w:t>
      </w:r>
      <w:r w:rsidR="000A0AE4" w:rsidRPr="00341E6C">
        <w:rPr>
          <w:rFonts w:asciiTheme="majorHAnsi" w:hAnsiTheme="majorHAnsi" w:cstheme="majorHAnsi"/>
          <w:sz w:val="24"/>
          <w:szCs w:val="24"/>
          <w:lang w:val="ro-RO"/>
        </w:rPr>
        <w:t xml:space="preserve">Totodată, </w:t>
      </w:r>
      <w:r w:rsidR="008F5F27">
        <w:rPr>
          <w:rFonts w:asciiTheme="majorHAnsi" w:hAnsiTheme="majorHAnsi" w:cstheme="majorHAnsi"/>
          <w:sz w:val="24"/>
          <w:szCs w:val="24"/>
          <w:lang w:val="ro-RO"/>
        </w:rPr>
        <w:t xml:space="preserve">majorarea </w:t>
      </w:r>
      <w:r w:rsidR="000A0AE4" w:rsidRPr="00341E6C">
        <w:rPr>
          <w:rFonts w:asciiTheme="majorHAnsi" w:hAnsiTheme="majorHAnsi" w:cstheme="majorHAnsi"/>
          <w:sz w:val="24"/>
          <w:szCs w:val="24"/>
          <w:lang w:val="ro-RO"/>
        </w:rPr>
        <w:t>transferuril</w:t>
      </w:r>
      <w:r w:rsidR="008F5F27">
        <w:rPr>
          <w:rFonts w:asciiTheme="majorHAnsi" w:hAnsiTheme="majorHAnsi" w:cstheme="majorHAnsi"/>
          <w:sz w:val="24"/>
          <w:szCs w:val="24"/>
          <w:lang w:val="ro-RO"/>
        </w:rPr>
        <w:t>or</w:t>
      </w:r>
      <w:r w:rsidR="000A0AE4" w:rsidRPr="00341E6C">
        <w:rPr>
          <w:rFonts w:asciiTheme="majorHAnsi" w:hAnsiTheme="majorHAnsi" w:cstheme="majorHAnsi"/>
          <w:sz w:val="24"/>
          <w:szCs w:val="24"/>
          <w:lang w:val="ro-RO"/>
        </w:rPr>
        <w:t xml:space="preserve"> de la bugetul de stat la BASS au fost destinate acoperirii deficitului BASS, </w:t>
      </w:r>
      <w:r w:rsidRPr="00341E6C">
        <w:rPr>
          <w:rFonts w:asciiTheme="majorHAnsi" w:hAnsiTheme="majorHAnsi" w:cstheme="majorHAnsi"/>
          <w:sz w:val="24"/>
          <w:szCs w:val="24"/>
          <w:lang w:val="ro-RO"/>
        </w:rPr>
        <w:t>precum și</w:t>
      </w:r>
      <w:r w:rsidR="000A0AE4" w:rsidRPr="00341E6C">
        <w:rPr>
          <w:rFonts w:asciiTheme="majorHAnsi" w:hAnsiTheme="majorHAnsi" w:cstheme="majorHAnsi"/>
          <w:sz w:val="24"/>
          <w:szCs w:val="24"/>
          <w:lang w:val="ro-RO"/>
        </w:rPr>
        <w:t xml:space="preserve"> implementării unor prevederi aprobate, dar neincluse în bugetul iniţial</w:t>
      </w:r>
      <w:r w:rsidR="007C47F1">
        <w:rPr>
          <w:rFonts w:asciiTheme="majorHAnsi" w:hAnsiTheme="majorHAnsi" w:cstheme="majorHAnsi"/>
          <w:sz w:val="24"/>
          <w:szCs w:val="24"/>
          <w:lang w:val="ro-RO"/>
        </w:rPr>
        <w:t>,</w:t>
      </w:r>
      <w:r w:rsidR="000A0AE4" w:rsidRPr="00341E6C">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 xml:space="preserve">ce se referă la: </w:t>
      </w:r>
    </w:p>
    <w:p w14:paraId="6B95DD94" w14:textId="7803FC18" w:rsidR="007B4644" w:rsidRPr="00341E6C" w:rsidRDefault="000A0AE4" w:rsidP="009B59B6">
      <w:pPr>
        <w:pStyle w:val="ListParagraph"/>
        <w:numPr>
          <w:ilvl w:val="0"/>
          <w:numId w:val="8"/>
        </w:numPr>
        <w:spacing w:after="0" w:line="276" w:lineRule="auto"/>
        <w:ind w:left="540"/>
        <w:contextualSpacing w:val="0"/>
        <w:jc w:val="both"/>
        <w:rPr>
          <w:rFonts w:asciiTheme="majorHAnsi" w:hAnsiTheme="majorHAnsi" w:cstheme="majorHAnsi"/>
          <w:sz w:val="24"/>
          <w:lang w:val="ro-RO"/>
        </w:rPr>
      </w:pPr>
      <w:r w:rsidRPr="00341E6C">
        <w:rPr>
          <w:rFonts w:asciiTheme="majorHAnsi" w:hAnsiTheme="majorHAnsi" w:cstheme="majorHAnsi"/>
          <w:sz w:val="24"/>
          <w:szCs w:val="24"/>
          <w:lang w:val="ro-RO"/>
        </w:rPr>
        <w:t>garantarea ajutorului de şomaj persoanelor asigurate</w:t>
      </w:r>
      <w:r w:rsidR="007C47F1">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 sumă minimă de 2</w:t>
      </w:r>
      <w:r w:rsidR="00263809">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775 lei;</w:t>
      </w:r>
    </w:p>
    <w:p w14:paraId="602976CA" w14:textId="570969DF" w:rsidR="007B4644" w:rsidRPr="00341E6C" w:rsidRDefault="000A0AE4" w:rsidP="009B59B6">
      <w:pPr>
        <w:pStyle w:val="ListParagraph"/>
        <w:numPr>
          <w:ilvl w:val="0"/>
          <w:numId w:val="8"/>
        </w:numPr>
        <w:spacing w:after="0" w:line="276" w:lineRule="auto"/>
        <w:ind w:left="54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acordarea ajutorului de şomaj în sumă de 2</w:t>
      </w:r>
      <w:r w:rsidR="00263809">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775 lei persoanelor ce se înregistrează în calitate de şomeri, dar care nu corespund criteriilor de</w:t>
      </w:r>
      <w:r w:rsidR="007B4644" w:rsidRPr="00341E6C">
        <w:rPr>
          <w:rFonts w:asciiTheme="majorHAnsi" w:hAnsiTheme="majorHAnsi" w:cstheme="majorHAnsi"/>
          <w:sz w:val="24"/>
          <w:szCs w:val="24"/>
          <w:lang w:val="ro-RO"/>
        </w:rPr>
        <w:t xml:space="preserve"> acordare a ajutorului de şomaj, cu includerea </w:t>
      </w:r>
      <w:r w:rsidR="007B4644" w:rsidRPr="00341E6C">
        <w:rPr>
          <w:rFonts w:asciiTheme="majorHAnsi" w:hAnsiTheme="majorHAnsi" w:cstheme="majorHAnsi"/>
          <w:b/>
          <w:sz w:val="24"/>
          <w:szCs w:val="24"/>
          <w:lang w:val="ro-RO"/>
        </w:rPr>
        <w:t>titularilor</w:t>
      </w:r>
      <w:r w:rsidRPr="00341E6C">
        <w:rPr>
          <w:rFonts w:asciiTheme="majorHAnsi" w:hAnsiTheme="majorHAnsi" w:cstheme="majorHAnsi"/>
          <w:b/>
          <w:sz w:val="24"/>
          <w:szCs w:val="24"/>
          <w:lang w:val="ro-RO"/>
        </w:rPr>
        <w:t xml:space="preserve"> patentei de întreprinzător</w:t>
      </w:r>
      <w:r w:rsidRPr="00341E6C">
        <w:rPr>
          <w:rFonts w:asciiTheme="majorHAnsi" w:hAnsiTheme="majorHAnsi" w:cstheme="majorHAnsi"/>
          <w:sz w:val="24"/>
          <w:szCs w:val="24"/>
          <w:lang w:val="ro-RO"/>
        </w:rPr>
        <w:t>, care în luna martie nu au realizat venit asigurat;</w:t>
      </w:r>
      <w:r w:rsidR="007B4644" w:rsidRPr="00341E6C">
        <w:rPr>
          <w:rFonts w:asciiTheme="majorHAnsi" w:hAnsiTheme="majorHAnsi" w:cstheme="majorHAnsi"/>
          <w:b/>
          <w:sz w:val="24"/>
          <w:szCs w:val="24"/>
          <w:lang w:val="ro-RO"/>
        </w:rPr>
        <w:t xml:space="preserve"> </w:t>
      </w:r>
    </w:p>
    <w:p w14:paraId="5425593A" w14:textId="47BB1CD9" w:rsidR="000A0AE4" w:rsidRPr="00341E6C" w:rsidRDefault="000A0AE4" w:rsidP="009B59B6">
      <w:pPr>
        <w:pStyle w:val="ListParagraph"/>
        <w:numPr>
          <w:ilvl w:val="0"/>
          <w:numId w:val="8"/>
        </w:numPr>
        <w:spacing w:line="276" w:lineRule="auto"/>
        <w:ind w:left="54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lastRenderedPageBreak/>
        <w:t>susţinerea financiară a familiilor defavorizate prin acordarea ajutorului social în contextul implementării măsurilor de susținere în perioada stării de urgență.</w:t>
      </w:r>
    </w:p>
    <w:p w14:paraId="183052CE" w14:textId="20E4CE15" w:rsidR="003A66FD" w:rsidRPr="00341E6C" w:rsidRDefault="007C47F1" w:rsidP="001A3D6B">
      <w:pPr>
        <w:spacing w:after="0" w:line="276" w:lineRule="auto"/>
        <w:jc w:val="both"/>
        <w:rPr>
          <w:rFonts w:asciiTheme="majorHAnsi" w:hAnsiTheme="majorHAnsi" w:cstheme="majorHAnsi"/>
          <w:sz w:val="24"/>
          <w:lang w:val="ro-RO"/>
        </w:rPr>
      </w:pPr>
      <w:r w:rsidRPr="005A4F77">
        <w:rPr>
          <w:rFonts w:asciiTheme="majorHAnsi" w:hAnsiTheme="majorHAnsi" w:cstheme="majorHAnsi"/>
          <w:sz w:val="24"/>
          <w:lang w:val="ro-RO"/>
        </w:rPr>
        <w:t>La a</w:t>
      </w:r>
      <w:r w:rsidR="000A0AE4" w:rsidRPr="00341E6C">
        <w:rPr>
          <w:rFonts w:asciiTheme="majorHAnsi" w:hAnsiTheme="majorHAnsi" w:cstheme="majorHAnsi"/>
          <w:b/>
          <w:sz w:val="24"/>
          <w:lang w:val="ro-RO"/>
        </w:rPr>
        <w:t xml:space="preserve"> doua modificare a bugetului asigurărilor sociale de stat</w:t>
      </w:r>
      <w:r w:rsidR="003A66FD" w:rsidRPr="00341E6C">
        <w:rPr>
          <w:rStyle w:val="FootnoteReference"/>
          <w:rFonts w:asciiTheme="majorHAnsi" w:hAnsiTheme="majorHAnsi" w:cstheme="majorHAnsi"/>
          <w:b/>
          <w:sz w:val="24"/>
          <w:lang w:val="ro-RO"/>
        </w:rPr>
        <w:footnoteReference w:id="72"/>
      </w:r>
      <w:r w:rsidR="00FB1F12">
        <w:rPr>
          <w:rFonts w:asciiTheme="majorHAnsi" w:hAnsiTheme="majorHAnsi" w:cstheme="majorHAnsi"/>
          <w:b/>
          <w:sz w:val="24"/>
          <w:lang w:val="ro-RO"/>
        </w:rPr>
        <w:t xml:space="preserve">, </w:t>
      </w:r>
      <w:r w:rsidR="000A0AE4" w:rsidRPr="00FB1F12">
        <w:rPr>
          <w:rFonts w:asciiTheme="majorHAnsi" w:hAnsiTheme="majorHAnsi" w:cstheme="majorHAnsi"/>
          <w:sz w:val="24"/>
          <w:lang w:val="ro-RO"/>
        </w:rPr>
        <w:t>t</w:t>
      </w:r>
      <w:r w:rsidR="000A0AE4" w:rsidRPr="00FB1F12">
        <w:rPr>
          <w:rFonts w:asciiTheme="majorHAnsi" w:eastAsia="Calibri" w:hAnsiTheme="majorHAnsi" w:cstheme="majorHAnsi"/>
          <w:sz w:val="24"/>
          <w:lang w:val="ro-RO"/>
        </w:rPr>
        <w:t xml:space="preserve">ransferurile </w:t>
      </w:r>
      <w:r>
        <w:rPr>
          <w:rFonts w:asciiTheme="majorHAnsi" w:eastAsia="Calibri" w:hAnsiTheme="majorHAnsi" w:cstheme="majorHAnsi"/>
          <w:sz w:val="24"/>
          <w:lang w:val="ro-RO"/>
        </w:rPr>
        <w:t>de la</w:t>
      </w:r>
      <w:r w:rsidR="000A0AE4" w:rsidRPr="00341E6C">
        <w:rPr>
          <w:rFonts w:asciiTheme="majorHAnsi" w:eastAsia="Calibri" w:hAnsiTheme="majorHAnsi" w:cstheme="majorHAnsi"/>
          <w:sz w:val="24"/>
          <w:lang w:val="ro-RO"/>
        </w:rPr>
        <w:t xml:space="preserve"> bugetul de stat </w:t>
      </w:r>
      <w:r>
        <w:rPr>
          <w:rFonts w:asciiTheme="majorHAnsi" w:eastAsia="Calibri" w:hAnsiTheme="majorHAnsi" w:cstheme="majorHAnsi"/>
          <w:sz w:val="24"/>
          <w:lang w:val="ro-RO"/>
        </w:rPr>
        <w:t>la</w:t>
      </w:r>
      <w:r w:rsidR="000A0AE4" w:rsidRPr="00341E6C">
        <w:rPr>
          <w:rFonts w:asciiTheme="majorHAnsi" w:eastAsia="Calibri" w:hAnsiTheme="majorHAnsi" w:cstheme="majorHAnsi"/>
          <w:sz w:val="24"/>
          <w:lang w:val="ro-RO"/>
        </w:rPr>
        <w:t xml:space="preserve"> bugetul asigurărilor sociale de stat </w:t>
      </w:r>
      <w:r w:rsidR="000A0AE4" w:rsidRPr="00341E6C">
        <w:rPr>
          <w:rFonts w:asciiTheme="majorHAnsi" w:hAnsiTheme="majorHAnsi" w:cstheme="majorHAnsi"/>
          <w:sz w:val="24"/>
          <w:lang w:val="ro-RO"/>
        </w:rPr>
        <w:t xml:space="preserve">au fost </w:t>
      </w:r>
      <w:r w:rsidR="000A0AE4" w:rsidRPr="00341E6C">
        <w:rPr>
          <w:rFonts w:asciiTheme="majorHAnsi" w:eastAsia="Calibri" w:hAnsiTheme="majorHAnsi" w:cstheme="majorHAnsi"/>
          <w:sz w:val="24"/>
          <w:lang w:val="ro-RO"/>
        </w:rPr>
        <w:t>major</w:t>
      </w:r>
      <w:r w:rsidR="000A0AE4" w:rsidRPr="00341E6C">
        <w:rPr>
          <w:rFonts w:asciiTheme="majorHAnsi" w:hAnsiTheme="majorHAnsi" w:cstheme="majorHAnsi"/>
          <w:sz w:val="24"/>
          <w:lang w:val="ro-RO"/>
        </w:rPr>
        <w:t>ate</w:t>
      </w:r>
      <w:r w:rsidR="005A4F77">
        <w:rPr>
          <w:rFonts w:asciiTheme="majorHAnsi" w:hAnsiTheme="majorHAnsi" w:cstheme="majorHAnsi"/>
          <w:sz w:val="24"/>
          <w:lang w:val="ro-RO"/>
        </w:rPr>
        <w:t xml:space="preserve"> atât la partea de venituri</w:t>
      </w:r>
      <w:r w:rsidR="000A0AE4" w:rsidRPr="00341E6C">
        <w:rPr>
          <w:rFonts w:asciiTheme="majorHAnsi" w:hAnsiTheme="majorHAnsi" w:cstheme="majorHAnsi"/>
          <w:sz w:val="24"/>
          <w:lang w:val="ro-RO"/>
        </w:rPr>
        <w:t xml:space="preserve">, cât şi la cheltuieli, pentru acordarea unor plăţi neprevăzute în </w:t>
      </w:r>
      <w:r w:rsidR="003A66FD" w:rsidRPr="00341E6C">
        <w:rPr>
          <w:rFonts w:asciiTheme="majorHAnsi" w:hAnsiTheme="majorHAnsi" w:cstheme="majorHAnsi"/>
          <w:sz w:val="24"/>
          <w:lang w:val="ro-RO"/>
        </w:rPr>
        <w:t>bugetul anual aprobat</w:t>
      </w:r>
      <w:r w:rsidR="000A0AE4" w:rsidRPr="00341E6C">
        <w:rPr>
          <w:rFonts w:asciiTheme="majorHAnsi" w:hAnsiTheme="majorHAnsi" w:cstheme="majorHAnsi"/>
          <w:sz w:val="24"/>
          <w:lang w:val="ro-RO"/>
        </w:rPr>
        <w:t>:</w:t>
      </w:r>
    </w:p>
    <w:p w14:paraId="10B0CA3D" w14:textId="77777777" w:rsidR="009703A8"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pentru acordarea indemnizaţiei urmaşilor personalului medical decedat ca urmare a desfăşurării activităţii medicale in lupta cu COVID-19;</w:t>
      </w:r>
    </w:p>
    <w:p w14:paraId="2E07659E" w14:textId="341074A5" w:rsidR="000A0AE4"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lang w:val="ro-RO"/>
        </w:rPr>
      </w:pPr>
      <w:r w:rsidRPr="00341E6C">
        <w:rPr>
          <w:rFonts w:asciiTheme="majorHAnsi" w:hAnsiTheme="majorHAnsi" w:cstheme="majorHAnsi"/>
          <w:sz w:val="24"/>
          <w:szCs w:val="24"/>
          <w:lang w:val="ro-RO"/>
        </w:rPr>
        <w:t>pentru acordarea suportului financiar unic de 700 de lei beneficiarilor de pensii şi alocaţii sociale, al căror cuantum nu depăşeşte 3</w:t>
      </w:r>
      <w:r w:rsidR="00263809">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000 lei.</w:t>
      </w:r>
    </w:p>
    <w:p w14:paraId="6CD2225B" w14:textId="0B21AE24" w:rsidR="000A0AE4" w:rsidRPr="00341E6C" w:rsidRDefault="000A0AE4" w:rsidP="00EF0877">
      <w:pPr>
        <w:tabs>
          <w:tab w:val="left" w:pos="360"/>
          <w:tab w:val="left" w:pos="900"/>
        </w:tabs>
        <w:spacing w:after="0" w:line="276" w:lineRule="auto"/>
        <w:jc w:val="both"/>
        <w:rPr>
          <w:rFonts w:asciiTheme="majorHAnsi" w:hAnsiTheme="majorHAnsi" w:cstheme="majorHAnsi"/>
          <w:sz w:val="28"/>
          <w:szCs w:val="24"/>
          <w:lang w:val="ro-RO"/>
        </w:rPr>
      </w:pPr>
      <w:r w:rsidRPr="00341E6C">
        <w:rPr>
          <w:rFonts w:asciiTheme="majorHAnsi" w:hAnsiTheme="majorHAnsi" w:cstheme="majorHAnsi"/>
          <w:b/>
          <w:sz w:val="24"/>
          <w:lang w:val="ro-RO"/>
        </w:rPr>
        <w:t>Prin modificarea a treia</w:t>
      </w:r>
      <w:r w:rsidR="009703A8" w:rsidRPr="00341E6C">
        <w:rPr>
          <w:rStyle w:val="FootnoteReference"/>
          <w:rFonts w:asciiTheme="majorHAnsi" w:hAnsiTheme="majorHAnsi" w:cstheme="majorHAnsi"/>
          <w:b/>
          <w:sz w:val="24"/>
          <w:lang w:val="ro-RO"/>
        </w:rPr>
        <w:footnoteReference w:id="73"/>
      </w:r>
      <w:r w:rsidRPr="00341E6C">
        <w:rPr>
          <w:rFonts w:asciiTheme="majorHAnsi" w:hAnsiTheme="majorHAnsi" w:cstheme="majorHAnsi"/>
          <w:sz w:val="24"/>
          <w:lang w:val="ro-RO"/>
        </w:rPr>
        <w:t xml:space="preserve">, </w:t>
      </w:r>
      <w:r w:rsidRPr="00341E6C">
        <w:rPr>
          <w:rFonts w:asciiTheme="majorHAnsi" w:hAnsiTheme="majorHAnsi" w:cstheme="majorHAnsi"/>
          <w:bCs/>
          <w:sz w:val="24"/>
          <w:lang w:val="ro-RO"/>
        </w:rPr>
        <w:t>indicatorii generali ai bugetului asigurărilor sociale de stat pe anul 2020 au fost modificaţi prin aducerea în corespundere cu indicatorii incluşi în proiectul legii pentru modificarea Legii bugetului de stat pe anul 2020, coordonați cu Fondul Monetar Internațional:</w:t>
      </w:r>
    </w:p>
    <w:p w14:paraId="547CF398" w14:textId="710EE2DB" w:rsidR="000A0AE4" w:rsidRPr="00341E6C" w:rsidRDefault="00EE0C95"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au fost majorate </w:t>
      </w:r>
      <w:r w:rsidR="000A0AE4" w:rsidRPr="00341E6C">
        <w:rPr>
          <w:rFonts w:asciiTheme="majorHAnsi" w:hAnsiTheme="majorHAnsi" w:cstheme="majorHAnsi"/>
          <w:sz w:val="24"/>
          <w:szCs w:val="24"/>
          <w:lang w:val="ro-RO"/>
        </w:rPr>
        <w:t>transferurile primite între bugetul de stat şi bugetul asigurărilor sociale de stat</w:t>
      </w:r>
      <w:r w:rsidR="007C47F1">
        <w:rPr>
          <w:rFonts w:asciiTheme="majorHAnsi" w:hAnsiTheme="majorHAnsi" w:cstheme="majorHAnsi"/>
          <w:sz w:val="24"/>
          <w:szCs w:val="24"/>
          <w:lang w:val="ro-RO"/>
        </w:rPr>
        <w:t>,</w:t>
      </w:r>
      <w:r w:rsidR="000A0AE4" w:rsidRPr="00341E6C">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precum și cele pentru acoperirea deficitului bugetului asigurărilor sociale de stat;</w:t>
      </w:r>
    </w:p>
    <w:p w14:paraId="5899F5D8" w14:textId="259758F0" w:rsidR="000A0AE4" w:rsidRPr="00341E6C" w:rsidRDefault="00EE0C95" w:rsidP="009B59B6">
      <w:pPr>
        <w:pStyle w:val="ListParagraph"/>
        <w:numPr>
          <w:ilvl w:val="0"/>
          <w:numId w:val="8"/>
        </w:numPr>
        <w:spacing w:after="0" w:line="276" w:lineRule="auto"/>
        <w:ind w:left="360"/>
        <w:contextualSpacing w:val="0"/>
        <w:jc w:val="both"/>
        <w:rPr>
          <w:rFonts w:asciiTheme="majorHAnsi" w:hAnsiTheme="majorHAnsi" w:cstheme="majorHAnsi"/>
          <w:sz w:val="24"/>
          <w:lang w:val="ro-RO"/>
        </w:rPr>
      </w:pPr>
      <w:r w:rsidRPr="00341E6C">
        <w:rPr>
          <w:rFonts w:asciiTheme="majorHAnsi" w:hAnsiTheme="majorHAnsi" w:cstheme="majorHAnsi"/>
          <w:sz w:val="24"/>
          <w:szCs w:val="24"/>
          <w:lang w:val="ro-RO"/>
        </w:rPr>
        <w:t xml:space="preserve">au fost micşorate </w:t>
      </w:r>
      <w:r w:rsidR="000A0AE4" w:rsidRPr="00341E6C">
        <w:rPr>
          <w:rFonts w:asciiTheme="majorHAnsi" w:hAnsiTheme="majorHAnsi" w:cstheme="majorHAnsi"/>
          <w:sz w:val="24"/>
          <w:szCs w:val="24"/>
          <w:lang w:val="ro-RO"/>
        </w:rPr>
        <w:t>transferurile pentru prestaţii şi alte plăţi, finanţate di</w:t>
      </w:r>
      <w:r w:rsidRPr="00341E6C">
        <w:rPr>
          <w:rFonts w:asciiTheme="majorHAnsi" w:hAnsiTheme="majorHAnsi" w:cstheme="majorHAnsi"/>
          <w:sz w:val="24"/>
          <w:szCs w:val="24"/>
          <w:lang w:val="ro-RO"/>
        </w:rPr>
        <w:t>n mijloacele bugetului</w:t>
      </w:r>
      <w:r w:rsidRPr="00341E6C">
        <w:rPr>
          <w:rFonts w:asciiTheme="majorHAnsi" w:eastAsia="Calibri" w:hAnsiTheme="majorHAnsi" w:cstheme="majorHAnsi"/>
          <w:sz w:val="24"/>
          <w:lang w:val="ro-RO"/>
        </w:rPr>
        <w:t xml:space="preserve"> de stat</w:t>
      </w:r>
      <w:r w:rsidR="007C47F1">
        <w:rPr>
          <w:rFonts w:asciiTheme="majorHAnsi" w:eastAsia="Calibri" w:hAnsiTheme="majorHAnsi" w:cstheme="majorHAnsi"/>
          <w:sz w:val="24"/>
          <w:lang w:val="ro-RO"/>
        </w:rPr>
        <w:t>.</w:t>
      </w:r>
    </w:p>
    <w:p w14:paraId="25B12134" w14:textId="224F95FF" w:rsidR="000A0AE4" w:rsidRPr="00341E6C" w:rsidRDefault="000A0AE4" w:rsidP="00EF0877">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Totodată, la partea de cheltuieli au fost </w:t>
      </w:r>
      <w:r w:rsidR="00EE0C95" w:rsidRPr="00341E6C">
        <w:rPr>
          <w:rFonts w:asciiTheme="majorHAnsi" w:hAnsiTheme="majorHAnsi" w:cstheme="majorHAnsi"/>
          <w:sz w:val="24"/>
          <w:szCs w:val="24"/>
          <w:lang w:val="ro-RO"/>
        </w:rPr>
        <w:t>operate următoarele modificări:</w:t>
      </w:r>
    </w:p>
    <w:p w14:paraId="175397D8" w14:textId="52EE868B" w:rsidR="000A0AE4"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majorarea cheltuielilor destinate indemnizaţiilor pentru incapacitate temporară de muncă cauzată de boli obişnuite sau accidente nelegate </w:t>
      </w:r>
      <w:r w:rsidR="00EE0C95" w:rsidRPr="00341E6C">
        <w:rPr>
          <w:rFonts w:asciiTheme="majorHAnsi" w:hAnsiTheme="majorHAnsi" w:cstheme="majorHAnsi"/>
          <w:sz w:val="24"/>
          <w:szCs w:val="24"/>
          <w:lang w:val="ro-RO"/>
        </w:rPr>
        <w:t>de muncă;</w:t>
      </w:r>
    </w:p>
    <w:p w14:paraId="7CF4E5AC" w14:textId="4A99011E" w:rsidR="000A0AE4"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excluderea cheltuielilor pe activitatea „Organizarea odihnei de vară a copiilor şi adolescenţilor” în legătură cu sistarea activităţii taberelor de odihnă şi</w:t>
      </w:r>
      <w:r w:rsidR="00EE0C95" w:rsidRPr="00341E6C">
        <w:rPr>
          <w:rFonts w:asciiTheme="majorHAnsi" w:hAnsiTheme="majorHAnsi" w:cstheme="majorHAnsi"/>
          <w:sz w:val="24"/>
          <w:szCs w:val="24"/>
          <w:lang w:val="ro-RO"/>
        </w:rPr>
        <w:t xml:space="preserve"> întremare a sănătăţii copiilor;</w:t>
      </w:r>
    </w:p>
    <w:p w14:paraId="5A1BFE21" w14:textId="1077BB85" w:rsidR="000A0AE4"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micşorarea cheltuielilor la activitatea „Asigurarea dreptului </w:t>
      </w:r>
      <w:r w:rsidR="00EE0C95" w:rsidRPr="00341E6C">
        <w:rPr>
          <w:rFonts w:asciiTheme="majorHAnsi" w:hAnsiTheme="majorHAnsi" w:cstheme="majorHAnsi"/>
          <w:sz w:val="24"/>
          <w:szCs w:val="24"/>
          <w:lang w:val="ro-RO"/>
        </w:rPr>
        <w:t>la tratament balneo-sanatorial”;</w:t>
      </w:r>
    </w:p>
    <w:p w14:paraId="03A16888" w14:textId="617FCF59" w:rsidR="000A0AE4"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majorarea cheltuielilor (prin redistribuire de la alte articole) pentru stocuri de materiale circulante, determinată de necesitatea achiziţionării materialelor de protecţie şi dezinfectanţilor, </w:t>
      </w:r>
      <w:r w:rsidR="007C47F1">
        <w:rPr>
          <w:rFonts w:asciiTheme="majorHAnsi" w:hAnsiTheme="majorHAnsi" w:cstheme="majorHAnsi"/>
          <w:sz w:val="24"/>
          <w:szCs w:val="24"/>
          <w:lang w:val="ro-RO"/>
        </w:rPr>
        <w:t>în vederea</w:t>
      </w:r>
      <w:r w:rsidRPr="00341E6C">
        <w:rPr>
          <w:rFonts w:asciiTheme="majorHAnsi" w:hAnsiTheme="majorHAnsi" w:cstheme="majorHAnsi"/>
          <w:sz w:val="24"/>
          <w:szCs w:val="24"/>
          <w:lang w:val="ro-RO"/>
        </w:rPr>
        <w:t xml:space="preserve"> asigur</w:t>
      </w:r>
      <w:r w:rsidR="007C47F1">
        <w:rPr>
          <w:rFonts w:asciiTheme="majorHAnsi" w:hAnsiTheme="majorHAnsi" w:cstheme="majorHAnsi"/>
          <w:sz w:val="24"/>
          <w:szCs w:val="24"/>
          <w:lang w:val="ro-RO"/>
        </w:rPr>
        <w:t>ării</w:t>
      </w:r>
      <w:r w:rsidRPr="00341E6C">
        <w:rPr>
          <w:rFonts w:asciiTheme="majorHAnsi" w:hAnsiTheme="majorHAnsi" w:cstheme="majorHAnsi"/>
          <w:sz w:val="24"/>
          <w:szCs w:val="24"/>
          <w:lang w:val="ro-RO"/>
        </w:rPr>
        <w:t xml:space="preserve"> desfăşur</w:t>
      </w:r>
      <w:r w:rsidR="007C47F1">
        <w:rPr>
          <w:rFonts w:asciiTheme="majorHAnsi" w:hAnsiTheme="majorHAnsi" w:cstheme="majorHAnsi"/>
          <w:sz w:val="24"/>
          <w:szCs w:val="24"/>
          <w:lang w:val="ro-RO"/>
        </w:rPr>
        <w:t>ării</w:t>
      </w:r>
      <w:r w:rsidRPr="00341E6C">
        <w:rPr>
          <w:rFonts w:asciiTheme="majorHAnsi" w:hAnsiTheme="majorHAnsi" w:cstheme="majorHAnsi"/>
          <w:sz w:val="24"/>
          <w:szCs w:val="24"/>
          <w:lang w:val="ro-RO"/>
        </w:rPr>
        <w:t xml:space="preserve"> proceselor de lucru în regimul stabilit de CNESP;</w:t>
      </w:r>
    </w:p>
    <w:p w14:paraId="6233ED5D" w14:textId="778E5F20" w:rsidR="000A0AE4" w:rsidRPr="00341E6C" w:rsidRDefault="000A0AE4" w:rsidP="009B59B6">
      <w:pPr>
        <w:pStyle w:val="ListParagraph"/>
        <w:numPr>
          <w:ilvl w:val="0"/>
          <w:numId w:val="8"/>
        </w:numPr>
        <w:spacing w:after="0" w:line="276" w:lineRule="auto"/>
        <w:ind w:left="360"/>
        <w:contextualSpacing w:val="0"/>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recalcularea cheltuielilor pentru distribuirea prestaţiilor, ținând cont de majorarea de la 0,7% la 1,3% a tarifelor de distribuire la domiciliu în numerar a pensiilor, alocaţiilor şi altor prestaţii sociale de stat pentru beneficiarii de pensii pentru limită de vârstă şi a alocaţiilor sociale de stat pentru persoanele vârstnice, în perioada stării de urgenţă în sănătate publică.</w:t>
      </w:r>
    </w:p>
    <w:p w14:paraId="28B87EF1" w14:textId="2428D1EE" w:rsidR="002C44A0" w:rsidRPr="00341E6C" w:rsidRDefault="00207369" w:rsidP="001A3D6B">
      <w:pPr>
        <w:spacing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Sinteza cuantumului modificărilor bugetului asigurărilor sociale de stat pe anul 2020 se prezintă în Anexa nr. </w:t>
      </w:r>
      <w:r w:rsidR="006E1331">
        <w:rPr>
          <w:rFonts w:asciiTheme="majorHAnsi" w:hAnsiTheme="majorHAnsi" w:cstheme="majorHAnsi"/>
          <w:sz w:val="24"/>
          <w:szCs w:val="24"/>
          <w:lang w:val="ro-RO"/>
        </w:rPr>
        <w:t>2</w:t>
      </w:r>
      <w:r w:rsidR="007C47F1">
        <w:rPr>
          <w:rFonts w:asciiTheme="majorHAnsi" w:hAnsiTheme="majorHAnsi" w:cstheme="majorHAnsi"/>
          <w:sz w:val="24"/>
          <w:szCs w:val="24"/>
          <w:lang w:val="ro-RO"/>
        </w:rPr>
        <w:t xml:space="preserve"> la prezentul Raport de audit</w:t>
      </w:r>
      <w:r w:rsidR="001A3D6B">
        <w:rPr>
          <w:rFonts w:asciiTheme="majorHAnsi" w:hAnsiTheme="majorHAnsi" w:cstheme="majorHAnsi"/>
          <w:sz w:val="24"/>
          <w:szCs w:val="24"/>
          <w:lang w:val="ro-RO"/>
        </w:rPr>
        <w:t>.</w:t>
      </w:r>
    </w:p>
    <w:p w14:paraId="2F390673" w14:textId="218701A4" w:rsidR="006D3DDA" w:rsidRDefault="005656F0" w:rsidP="001A3D6B">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În urma analizei exercițiului bugetar încheiat la 31 decembrie 20</w:t>
      </w:r>
      <w:r w:rsidR="003C2689" w:rsidRPr="00341E6C">
        <w:rPr>
          <w:rFonts w:asciiTheme="majorHAnsi" w:hAnsiTheme="majorHAnsi" w:cstheme="majorHAnsi"/>
          <w:sz w:val="24"/>
          <w:szCs w:val="24"/>
          <w:lang w:val="ro-RO"/>
        </w:rPr>
        <w:t>20</w:t>
      </w:r>
      <w:r w:rsidRPr="00341E6C">
        <w:rPr>
          <w:rFonts w:asciiTheme="majorHAnsi" w:hAnsiTheme="majorHAnsi" w:cstheme="majorHAnsi"/>
          <w:sz w:val="24"/>
          <w:szCs w:val="24"/>
          <w:lang w:val="ro-RO"/>
        </w:rPr>
        <w:t xml:space="preserve">, s-a constatat că veniturile executate în sumă de </w:t>
      </w:r>
      <w:r w:rsidR="00263809">
        <w:rPr>
          <w:rFonts w:asciiTheme="majorHAnsi" w:hAnsiTheme="majorHAnsi" w:cstheme="majorHAnsi"/>
          <w:sz w:val="24"/>
          <w:szCs w:val="24"/>
          <w:lang w:val="ro-RO"/>
        </w:rPr>
        <w:t xml:space="preserve">24 </w:t>
      </w:r>
      <w:r w:rsidR="003C2689" w:rsidRPr="00341E6C">
        <w:rPr>
          <w:rFonts w:asciiTheme="majorHAnsi" w:hAnsiTheme="majorHAnsi" w:cstheme="majorHAnsi"/>
          <w:sz w:val="24"/>
          <w:szCs w:val="24"/>
          <w:lang w:val="ro-RO"/>
        </w:rPr>
        <w:t>285,5</w:t>
      </w:r>
      <w:r w:rsidRPr="00341E6C">
        <w:rPr>
          <w:rFonts w:asciiTheme="majorHAnsi" w:hAnsiTheme="majorHAnsi" w:cstheme="majorHAnsi"/>
          <w:sz w:val="24"/>
          <w:szCs w:val="24"/>
          <w:lang w:val="ro-RO"/>
        </w:rPr>
        <w:t xml:space="preserve"> mil. lei au fost cu </w:t>
      </w:r>
      <w:r w:rsidR="003C2689" w:rsidRPr="00341E6C">
        <w:rPr>
          <w:rFonts w:asciiTheme="majorHAnsi" w:hAnsiTheme="majorHAnsi" w:cstheme="majorHAnsi"/>
          <w:sz w:val="24"/>
          <w:szCs w:val="24"/>
          <w:lang w:val="ro-RO"/>
        </w:rPr>
        <w:t>-286,6</w:t>
      </w:r>
      <w:r w:rsidRPr="00341E6C">
        <w:rPr>
          <w:rFonts w:asciiTheme="majorHAnsi" w:hAnsiTheme="majorHAnsi" w:cstheme="majorHAnsi"/>
          <w:sz w:val="24"/>
          <w:szCs w:val="24"/>
          <w:lang w:val="ro-RO"/>
        </w:rPr>
        <w:t xml:space="preserve"> mil. lei (</w:t>
      </w:r>
      <w:r w:rsidR="003C2689" w:rsidRPr="00341E6C">
        <w:rPr>
          <w:rFonts w:asciiTheme="majorHAnsi" w:hAnsiTheme="majorHAnsi" w:cstheme="majorHAnsi"/>
          <w:sz w:val="24"/>
          <w:szCs w:val="24"/>
          <w:lang w:val="ro-RO"/>
        </w:rPr>
        <w:t>1,2</w:t>
      </w:r>
      <w:r w:rsidRPr="00341E6C">
        <w:rPr>
          <w:rFonts w:asciiTheme="majorHAnsi" w:hAnsiTheme="majorHAnsi" w:cstheme="majorHAnsi"/>
          <w:sz w:val="24"/>
          <w:szCs w:val="24"/>
          <w:lang w:val="ro-RO"/>
        </w:rPr>
        <w:t xml:space="preserve">%) sub nivelul precizat, iar cheltuielile de casă în sumă de </w:t>
      </w:r>
      <w:r w:rsidR="00263809">
        <w:rPr>
          <w:rFonts w:asciiTheme="majorHAnsi" w:hAnsiTheme="majorHAnsi" w:cstheme="majorHAnsi"/>
          <w:sz w:val="24"/>
          <w:szCs w:val="24"/>
          <w:lang w:val="ro-RO"/>
        </w:rPr>
        <w:t xml:space="preserve">24 </w:t>
      </w:r>
      <w:r w:rsidR="003C2689" w:rsidRPr="00341E6C">
        <w:rPr>
          <w:rFonts w:asciiTheme="majorHAnsi" w:hAnsiTheme="majorHAnsi" w:cstheme="majorHAnsi"/>
          <w:sz w:val="24"/>
          <w:szCs w:val="24"/>
          <w:lang w:val="ro-RO"/>
        </w:rPr>
        <w:t xml:space="preserve">244,3 </w:t>
      </w:r>
      <w:r w:rsidRPr="00341E6C">
        <w:rPr>
          <w:rFonts w:asciiTheme="majorHAnsi" w:hAnsiTheme="majorHAnsi" w:cstheme="majorHAnsi"/>
          <w:sz w:val="24"/>
          <w:szCs w:val="24"/>
          <w:lang w:val="ro-RO"/>
        </w:rPr>
        <w:t xml:space="preserve">mil. lei – cu </w:t>
      </w:r>
      <w:r w:rsidR="003C2689" w:rsidRPr="00341E6C">
        <w:rPr>
          <w:rFonts w:asciiTheme="majorHAnsi" w:hAnsiTheme="majorHAnsi" w:cstheme="majorHAnsi"/>
          <w:sz w:val="24"/>
          <w:szCs w:val="24"/>
          <w:lang w:val="ro-RO"/>
        </w:rPr>
        <w:t xml:space="preserve">-327,7 </w:t>
      </w:r>
      <w:r w:rsidRPr="00341E6C">
        <w:rPr>
          <w:rFonts w:asciiTheme="majorHAnsi" w:hAnsiTheme="majorHAnsi" w:cstheme="majorHAnsi"/>
          <w:sz w:val="24"/>
          <w:szCs w:val="24"/>
          <w:lang w:val="ro-RO"/>
        </w:rPr>
        <w:t xml:space="preserve">mil. lei (1,3%) sub nivelul celor precizate. În aceste condiții, exercițiul bugetar s-a soldat cu un excedent de </w:t>
      </w:r>
      <w:r w:rsidR="003C2689" w:rsidRPr="00341E6C">
        <w:rPr>
          <w:rFonts w:asciiTheme="majorHAnsi" w:hAnsiTheme="majorHAnsi" w:cstheme="majorHAnsi"/>
          <w:sz w:val="24"/>
          <w:szCs w:val="24"/>
          <w:lang w:val="ro-RO"/>
        </w:rPr>
        <w:t>41,1</w:t>
      </w:r>
      <w:r w:rsidRPr="00341E6C">
        <w:rPr>
          <w:rFonts w:asciiTheme="majorHAnsi" w:hAnsiTheme="majorHAnsi" w:cstheme="majorHAnsi"/>
          <w:sz w:val="24"/>
          <w:szCs w:val="24"/>
          <w:lang w:val="ro-RO"/>
        </w:rPr>
        <w:t xml:space="preserve"> mil.lei. Sinteza bugetului asigurărilor sociale de stat pe anul 20</w:t>
      </w:r>
      <w:r w:rsidR="003C2689" w:rsidRPr="00341E6C">
        <w:rPr>
          <w:rFonts w:asciiTheme="majorHAnsi" w:hAnsiTheme="majorHAnsi" w:cstheme="majorHAnsi"/>
          <w:sz w:val="24"/>
          <w:szCs w:val="24"/>
          <w:lang w:val="ro-RO"/>
        </w:rPr>
        <w:t>20</w:t>
      </w:r>
      <w:r w:rsidRPr="00341E6C">
        <w:rPr>
          <w:rFonts w:asciiTheme="majorHAnsi" w:hAnsiTheme="majorHAnsi" w:cstheme="majorHAnsi"/>
          <w:sz w:val="24"/>
          <w:szCs w:val="24"/>
          <w:lang w:val="ro-RO"/>
        </w:rPr>
        <w:t xml:space="preserve"> se prezintă în tabelul ce urmează.</w:t>
      </w:r>
    </w:p>
    <w:p w14:paraId="5356AEC5" w14:textId="06A99E23" w:rsidR="00F914FA" w:rsidRDefault="00F914FA" w:rsidP="001A3D6B">
      <w:pPr>
        <w:spacing w:after="0" w:line="276" w:lineRule="auto"/>
        <w:jc w:val="both"/>
        <w:rPr>
          <w:rFonts w:asciiTheme="majorHAnsi" w:hAnsiTheme="majorHAnsi" w:cstheme="majorHAnsi"/>
          <w:sz w:val="24"/>
          <w:szCs w:val="24"/>
          <w:lang w:val="ro-RO"/>
        </w:rPr>
      </w:pPr>
    </w:p>
    <w:p w14:paraId="342458AE" w14:textId="77777777" w:rsidR="00F914FA" w:rsidRPr="00341E6C" w:rsidRDefault="00F914FA" w:rsidP="001A3D6B">
      <w:pPr>
        <w:spacing w:after="0" w:line="276" w:lineRule="auto"/>
        <w:jc w:val="both"/>
        <w:rPr>
          <w:rFonts w:asciiTheme="majorHAnsi" w:hAnsiTheme="majorHAnsi" w:cstheme="majorHAnsi"/>
          <w:sz w:val="24"/>
          <w:szCs w:val="24"/>
          <w:lang w:val="ro-RO"/>
        </w:rPr>
      </w:pPr>
    </w:p>
    <w:p w14:paraId="1C474DBC" w14:textId="6A2E74B6" w:rsidR="002D64F9" w:rsidRPr="00341E6C" w:rsidRDefault="002D64F9" w:rsidP="002D64F9">
      <w:pPr>
        <w:spacing w:line="276" w:lineRule="auto"/>
        <w:jc w:val="right"/>
        <w:rPr>
          <w:rFonts w:asciiTheme="majorHAnsi" w:hAnsiTheme="majorHAnsi" w:cstheme="majorHAnsi"/>
          <w:b/>
          <w:szCs w:val="24"/>
          <w:lang w:val="ro-RO"/>
        </w:rPr>
      </w:pPr>
      <w:r w:rsidRPr="00341E6C">
        <w:rPr>
          <w:rFonts w:asciiTheme="majorHAnsi" w:hAnsiTheme="majorHAnsi" w:cstheme="majorHAnsi"/>
          <w:b/>
          <w:szCs w:val="24"/>
          <w:lang w:val="ro-RO"/>
        </w:rPr>
        <w:lastRenderedPageBreak/>
        <w:t>Tabelul nr.</w:t>
      </w:r>
      <w:r w:rsidR="008608F4">
        <w:rPr>
          <w:rFonts w:asciiTheme="majorHAnsi" w:hAnsiTheme="majorHAnsi" w:cstheme="majorHAnsi"/>
          <w:b/>
          <w:szCs w:val="24"/>
          <w:lang w:val="ro-RO"/>
        </w:rPr>
        <w:t>6</w:t>
      </w:r>
    </w:p>
    <w:p w14:paraId="767DF64B" w14:textId="77777777" w:rsidR="002D64F9" w:rsidRPr="00341E6C" w:rsidRDefault="002D64F9" w:rsidP="002D64F9">
      <w:pPr>
        <w:spacing w:after="0" w:line="276" w:lineRule="auto"/>
        <w:jc w:val="center"/>
        <w:rPr>
          <w:rFonts w:asciiTheme="majorHAnsi" w:hAnsiTheme="majorHAnsi" w:cstheme="majorHAnsi"/>
          <w:b/>
          <w:sz w:val="20"/>
          <w:szCs w:val="24"/>
          <w:lang w:val="ro-RO"/>
        </w:rPr>
      </w:pPr>
      <w:r w:rsidRPr="00341E6C">
        <w:rPr>
          <w:rFonts w:asciiTheme="majorHAnsi" w:hAnsiTheme="majorHAnsi" w:cstheme="majorHAnsi"/>
          <w:b/>
          <w:szCs w:val="24"/>
          <w:lang w:val="ro-RO"/>
        </w:rPr>
        <w:t>Executarea bugetului asigurărilor sociale de stat pe anul 2020</w:t>
      </w:r>
    </w:p>
    <w:tbl>
      <w:tblPr>
        <w:tblpPr w:leftFromText="180" w:rightFromText="180" w:vertAnchor="text" w:horzAnchor="margin" w:tblpX="-635" w:tblpY="183"/>
        <w:tblW w:w="10521" w:type="dxa"/>
        <w:tblLayout w:type="fixed"/>
        <w:tblLook w:val="04A0" w:firstRow="1" w:lastRow="0" w:firstColumn="1" w:lastColumn="0" w:noHBand="0" w:noVBand="1"/>
      </w:tblPr>
      <w:tblGrid>
        <w:gridCol w:w="1222"/>
        <w:gridCol w:w="931"/>
        <w:gridCol w:w="992"/>
        <w:gridCol w:w="972"/>
        <w:gridCol w:w="1005"/>
        <w:gridCol w:w="993"/>
        <w:gridCol w:w="708"/>
        <w:gridCol w:w="6"/>
        <w:gridCol w:w="996"/>
        <w:gridCol w:w="810"/>
        <w:gridCol w:w="907"/>
        <w:gridCol w:w="979"/>
      </w:tblGrid>
      <w:tr w:rsidR="00BC2880" w:rsidRPr="00BC2880" w14:paraId="6990E5C0" w14:textId="25B089EF" w:rsidTr="00BC2880">
        <w:trPr>
          <w:trHeight w:val="978"/>
        </w:trPr>
        <w:tc>
          <w:tcPr>
            <w:tcW w:w="122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95E99A6" w14:textId="7777777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Denumirea</w:t>
            </w:r>
          </w:p>
        </w:tc>
        <w:tc>
          <w:tcPr>
            <w:tcW w:w="931" w:type="dxa"/>
            <w:vMerge w:val="restart"/>
            <w:tcBorders>
              <w:top w:val="single" w:sz="4" w:space="0" w:color="auto"/>
              <w:left w:val="nil"/>
              <w:right w:val="nil"/>
            </w:tcBorders>
            <w:shd w:val="clear" w:color="auto" w:fill="92D050"/>
            <w:vAlign w:val="center"/>
          </w:tcPr>
          <w:p w14:paraId="1D395FA1" w14:textId="238643A2"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Executat</w:t>
            </w:r>
            <w:r w:rsidR="0058025C">
              <w:rPr>
                <w:rFonts w:asciiTheme="majorHAnsi" w:hAnsiTheme="majorHAnsi" w:cstheme="majorHAnsi"/>
                <w:b/>
                <w:sz w:val="18"/>
                <w:szCs w:val="18"/>
                <w:lang w:val="ro-RO"/>
              </w:rPr>
              <w:t>,</w:t>
            </w:r>
            <w:r w:rsidRPr="00BC2880">
              <w:rPr>
                <w:rFonts w:asciiTheme="majorHAnsi" w:hAnsiTheme="majorHAnsi" w:cstheme="majorHAnsi"/>
                <w:b/>
                <w:sz w:val="18"/>
                <w:szCs w:val="18"/>
                <w:lang w:val="ro-RO"/>
              </w:rPr>
              <w:t xml:space="preserve"> anul 2018</w:t>
            </w:r>
          </w:p>
        </w:tc>
        <w:tc>
          <w:tcPr>
            <w:tcW w:w="992" w:type="dxa"/>
            <w:vMerge w:val="restart"/>
            <w:tcBorders>
              <w:top w:val="single" w:sz="4" w:space="0" w:color="auto"/>
              <w:left w:val="single" w:sz="4" w:space="0" w:color="auto"/>
              <w:right w:val="single" w:sz="4" w:space="0" w:color="000000"/>
            </w:tcBorders>
            <w:shd w:val="clear" w:color="auto" w:fill="92D050"/>
            <w:noWrap/>
            <w:vAlign w:val="center"/>
            <w:hideMark/>
          </w:tcPr>
          <w:p w14:paraId="535E2BB2" w14:textId="124FA654"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Executat</w:t>
            </w:r>
            <w:r w:rsidR="0058025C">
              <w:rPr>
                <w:rFonts w:asciiTheme="majorHAnsi" w:hAnsiTheme="majorHAnsi" w:cstheme="majorHAnsi"/>
                <w:b/>
                <w:sz w:val="18"/>
                <w:szCs w:val="18"/>
                <w:lang w:val="ro-RO"/>
              </w:rPr>
              <w:t>,</w:t>
            </w:r>
            <w:r w:rsidR="00263809">
              <w:rPr>
                <w:rFonts w:asciiTheme="majorHAnsi" w:hAnsiTheme="majorHAnsi" w:cstheme="majorHAnsi"/>
                <w:b/>
                <w:sz w:val="18"/>
                <w:szCs w:val="18"/>
                <w:lang w:val="ro-RO"/>
              </w:rPr>
              <w:t xml:space="preserve"> </w:t>
            </w:r>
            <w:r w:rsidRPr="00BC2880">
              <w:rPr>
                <w:rFonts w:asciiTheme="majorHAnsi" w:hAnsiTheme="majorHAnsi" w:cstheme="majorHAnsi"/>
                <w:b/>
                <w:sz w:val="18"/>
                <w:szCs w:val="18"/>
                <w:lang w:val="ro-RO"/>
              </w:rPr>
              <w:t>anul 2019</w:t>
            </w:r>
          </w:p>
        </w:tc>
        <w:tc>
          <w:tcPr>
            <w:tcW w:w="972" w:type="dxa"/>
            <w:vMerge w:val="restart"/>
            <w:tcBorders>
              <w:top w:val="single" w:sz="4" w:space="0" w:color="auto"/>
              <w:left w:val="single" w:sz="4" w:space="0" w:color="auto"/>
              <w:right w:val="single" w:sz="4" w:space="0" w:color="000000"/>
            </w:tcBorders>
            <w:shd w:val="clear" w:color="auto" w:fill="92D050"/>
            <w:vAlign w:val="center"/>
          </w:tcPr>
          <w:p w14:paraId="3D1673A9" w14:textId="1CABFD61"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Precizat</w:t>
            </w:r>
            <w:r w:rsidR="0058025C">
              <w:rPr>
                <w:rFonts w:asciiTheme="majorHAnsi" w:hAnsiTheme="majorHAnsi" w:cstheme="majorHAnsi"/>
                <w:b/>
                <w:sz w:val="18"/>
                <w:szCs w:val="18"/>
                <w:lang w:val="ro-RO"/>
              </w:rPr>
              <w:t>,</w:t>
            </w:r>
            <w:r w:rsidRPr="00BC2880">
              <w:rPr>
                <w:rFonts w:asciiTheme="majorHAnsi" w:hAnsiTheme="majorHAnsi" w:cstheme="majorHAnsi"/>
                <w:b/>
                <w:sz w:val="18"/>
                <w:szCs w:val="18"/>
                <w:lang w:val="ro-RO"/>
              </w:rPr>
              <w:t xml:space="preserve">  anul 2020</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216001DF" w14:textId="3D7A538D"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Executat</w:t>
            </w:r>
            <w:r w:rsidR="0058025C">
              <w:rPr>
                <w:rFonts w:asciiTheme="majorHAnsi" w:hAnsiTheme="majorHAnsi" w:cstheme="majorHAnsi"/>
                <w:b/>
                <w:sz w:val="18"/>
                <w:szCs w:val="18"/>
                <w:lang w:val="ro-RO"/>
              </w:rPr>
              <w:t>,</w:t>
            </w:r>
            <w:r w:rsidRPr="00BC2880">
              <w:rPr>
                <w:rFonts w:asciiTheme="majorHAnsi" w:hAnsiTheme="majorHAnsi" w:cstheme="majorHAnsi"/>
                <w:b/>
                <w:sz w:val="18"/>
                <w:szCs w:val="18"/>
                <w:lang w:val="ro-RO"/>
              </w:rPr>
              <w:t xml:space="preserve"> anul 2020</w:t>
            </w:r>
          </w:p>
        </w:tc>
        <w:tc>
          <w:tcPr>
            <w:tcW w:w="1707" w:type="dxa"/>
            <w:gridSpan w:val="3"/>
            <w:tcBorders>
              <w:top w:val="single" w:sz="4" w:space="0" w:color="auto"/>
              <w:left w:val="nil"/>
              <w:bottom w:val="single" w:sz="4" w:space="0" w:color="auto"/>
              <w:right w:val="single" w:sz="4" w:space="0" w:color="auto"/>
            </w:tcBorders>
            <w:shd w:val="clear" w:color="auto" w:fill="92D050"/>
            <w:vAlign w:val="center"/>
            <w:hideMark/>
          </w:tcPr>
          <w:p w14:paraId="7B349BEE" w14:textId="5898FA58"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Executat</w:t>
            </w:r>
            <w:r w:rsidR="0058025C">
              <w:rPr>
                <w:rFonts w:asciiTheme="majorHAnsi" w:hAnsiTheme="majorHAnsi" w:cstheme="majorHAnsi"/>
                <w:b/>
                <w:sz w:val="18"/>
                <w:szCs w:val="18"/>
                <w:lang w:val="ro-RO"/>
              </w:rPr>
              <w:t>,</w:t>
            </w:r>
            <w:r w:rsidRPr="00BC2880">
              <w:rPr>
                <w:rFonts w:asciiTheme="majorHAnsi" w:hAnsiTheme="majorHAnsi" w:cstheme="majorHAnsi"/>
                <w:b/>
                <w:sz w:val="18"/>
                <w:szCs w:val="18"/>
                <w:lang w:val="ro-RO"/>
              </w:rPr>
              <w:t xml:space="preserve"> 2020</w:t>
            </w:r>
            <w:r w:rsidRPr="00BC2880">
              <w:rPr>
                <w:rFonts w:asciiTheme="majorHAnsi" w:hAnsiTheme="majorHAnsi" w:cstheme="majorHAnsi"/>
                <w:b/>
                <w:sz w:val="18"/>
                <w:szCs w:val="18"/>
                <w:lang w:val="ro-RO"/>
              </w:rPr>
              <w:br/>
              <w:t>faţă de precizat</w:t>
            </w:r>
          </w:p>
        </w:tc>
        <w:tc>
          <w:tcPr>
            <w:tcW w:w="1806" w:type="dxa"/>
            <w:gridSpan w:val="2"/>
            <w:tcBorders>
              <w:top w:val="single" w:sz="4" w:space="0" w:color="auto"/>
              <w:left w:val="single" w:sz="4" w:space="0" w:color="auto"/>
              <w:bottom w:val="single" w:sz="4" w:space="0" w:color="auto"/>
              <w:right w:val="single" w:sz="4" w:space="0" w:color="000000"/>
            </w:tcBorders>
            <w:shd w:val="clear" w:color="auto" w:fill="92D050"/>
            <w:vAlign w:val="center"/>
            <w:hideMark/>
          </w:tcPr>
          <w:p w14:paraId="2C4EE416" w14:textId="47AF8C49"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Executat</w:t>
            </w:r>
            <w:r w:rsidR="0058025C">
              <w:rPr>
                <w:rFonts w:asciiTheme="majorHAnsi" w:hAnsiTheme="majorHAnsi" w:cstheme="majorHAnsi"/>
                <w:b/>
                <w:sz w:val="18"/>
                <w:szCs w:val="18"/>
                <w:lang w:val="ro-RO"/>
              </w:rPr>
              <w:t>,</w:t>
            </w:r>
            <w:r w:rsidRPr="00BC2880">
              <w:rPr>
                <w:rFonts w:asciiTheme="majorHAnsi" w:hAnsiTheme="majorHAnsi" w:cstheme="majorHAnsi"/>
                <w:b/>
                <w:sz w:val="18"/>
                <w:szCs w:val="18"/>
                <w:lang w:val="ro-RO"/>
              </w:rPr>
              <w:br/>
              <w:t xml:space="preserve">anul 2020 faţă de anul </w:t>
            </w:r>
            <w:r>
              <w:rPr>
                <w:rFonts w:asciiTheme="majorHAnsi" w:hAnsiTheme="majorHAnsi" w:cstheme="majorHAnsi"/>
                <w:b/>
                <w:sz w:val="18"/>
                <w:szCs w:val="18"/>
                <w:lang w:val="ro-RO"/>
              </w:rPr>
              <w:t>2018</w:t>
            </w:r>
          </w:p>
        </w:tc>
        <w:tc>
          <w:tcPr>
            <w:tcW w:w="1886" w:type="dxa"/>
            <w:gridSpan w:val="2"/>
            <w:tcBorders>
              <w:top w:val="single" w:sz="4" w:space="0" w:color="auto"/>
              <w:left w:val="single" w:sz="4" w:space="0" w:color="auto"/>
              <w:bottom w:val="single" w:sz="4" w:space="0" w:color="auto"/>
              <w:right w:val="single" w:sz="4" w:space="0" w:color="000000"/>
            </w:tcBorders>
            <w:shd w:val="clear" w:color="auto" w:fill="92D050"/>
            <w:vAlign w:val="center"/>
          </w:tcPr>
          <w:p w14:paraId="00A85AD6" w14:textId="6C434C8D"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Executat</w:t>
            </w:r>
            <w:r w:rsidR="0058025C">
              <w:rPr>
                <w:rFonts w:asciiTheme="majorHAnsi" w:hAnsiTheme="majorHAnsi" w:cstheme="majorHAnsi"/>
                <w:b/>
                <w:sz w:val="18"/>
                <w:szCs w:val="18"/>
                <w:lang w:val="ro-RO"/>
              </w:rPr>
              <w:t>,</w:t>
            </w:r>
            <w:r w:rsidRPr="00BC2880">
              <w:rPr>
                <w:rFonts w:asciiTheme="majorHAnsi" w:hAnsiTheme="majorHAnsi" w:cstheme="majorHAnsi"/>
                <w:b/>
                <w:sz w:val="18"/>
                <w:szCs w:val="18"/>
                <w:lang w:val="ro-RO"/>
              </w:rPr>
              <w:br/>
              <w:t>anul 2020 faţă de anul 201</w:t>
            </w:r>
            <w:r>
              <w:rPr>
                <w:rFonts w:asciiTheme="majorHAnsi" w:hAnsiTheme="majorHAnsi" w:cstheme="majorHAnsi"/>
                <w:b/>
                <w:sz w:val="18"/>
                <w:szCs w:val="18"/>
                <w:lang w:val="ro-RO"/>
              </w:rPr>
              <w:t>9</w:t>
            </w:r>
          </w:p>
        </w:tc>
      </w:tr>
      <w:tr w:rsidR="00BC2880" w:rsidRPr="00BC2880" w14:paraId="0F4BDB5F" w14:textId="55B18262" w:rsidTr="00BC2880">
        <w:trPr>
          <w:trHeight w:val="814"/>
        </w:trPr>
        <w:tc>
          <w:tcPr>
            <w:tcW w:w="1222"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6CAD4B5" w14:textId="7777777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p>
        </w:tc>
        <w:tc>
          <w:tcPr>
            <w:tcW w:w="931" w:type="dxa"/>
            <w:vMerge/>
            <w:tcBorders>
              <w:left w:val="nil"/>
              <w:bottom w:val="single" w:sz="4" w:space="0" w:color="auto"/>
              <w:right w:val="nil"/>
            </w:tcBorders>
            <w:shd w:val="clear" w:color="auto" w:fill="92D050"/>
            <w:vAlign w:val="center"/>
          </w:tcPr>
          <w:p w14:paraId="5E4F1B6A" w14:textId="7777777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p>
        </w:tc>
        <w:tc>
          <w:tcPr>
            <w:tcW w:w="992" w:type="dxa"/>
            <w:vMerge/>
            <w:tcBorders>
              <w:left w:val="single" w:sz="4" w:space="0" w:color="auto"/>
              <w:bottom w:val="single" w:sz="4" w:space="0" w:color="auto"/>
              <w:right w:val="single" w:sz="4" w:space="0" w:color="auto"/>
            </w:tcBorders>
            <w:shd w:val="clear" w:color="auto" w:fill="92D050"/>
            <w:vAlign w:val="center"/>
          </w:tcPr>
          <w:p w14:paraId="1BDB8E7F" w14:textId="66D6BEB3"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p>
        </w:tc>
        <w:tc>
          <w:tcPr>
            <w:tcW w:w="972" w:type="dxa"/>
            <w:vMerge/>
            <w:tcBorders>
              <w:left w:val="single" w:sz="4" w:space="0" w:color="auto"/>
              <w:bottom w:val="single" w:sz="4" w:space="0" w:color="auto"/>
              <w:right w:val="single" w:sz="4" w:space="0" w:color="000000"/>
            </w:tcBorders>
            <w:shd w:val="clear" w:color="auto" w:fill="92D050"/>
            <w:vAlign w:val="center"/>
            <w:hideMark/>
          </w:tcPr>
          <w:p w14:paraId="50F66192" w14:textId="49E6B74D"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p>
        </w:tc>
        <w:tc>
          <w:tcPr>
            <w:tcW w:w="1005" w:type="dxa"/>
            <w:vMerge/>
            <w:tcBorders>
              <w:top w:val="single" w:sz="4" w:space="0" w:color="auto"/>
              <w:left w:val="single" w:sz="4" w:space="0" w:color="000000"/>
              <w:bottom w:val="single" w:sz="4" w:space="0" w:color="auto"/>
              <w:right w:val="single" w:sz="4" w:space="0" w:color="auto"/>
            </w:tcBorders>
            <w:shd w:val="clear" w:color="auto" w:fill="92D050"/>
            <w:vAlign w:val="center"/>
            <w:hideMark/>
          </w:tcPr>
          <w:p w14:paraId="170A0A2A" w14:textId="7777777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p>
        </w:tc>
        <w:tc>
          <w:tcPr>
            <w:tcW w:w="993" w:type="dxa"/>
            <w:tcBorders>
              <w:top w:val="single" w:sz="4" w:space="0" w:color="auto"/>
              <w:left w:val="nil"/>
              <w:bottom w:val="single" w:sz="4" w:space="0" w:color="auto"/>
              <w:right w:val="single" w:sz="4" w:space="0" w:color="auto"/>
            </w:tcBorders>
            <w:shd w:val="clear" w:color="auto" w:fill="92D050"/>
            <w:vAlign w:val="center"/>
            <w:hideMark/>
          </w:tcPr>
          <w:p w14:paraId="7734A4DA" w14:textId="7777777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devieri</w:t>
            </w:r>
            <w:r w:rsidRPr="00BC2880">
              <w:rPr>
                <w:rFonts w:asciiTheme="majorHAnsi" w:hAnsiTheme="majorHAnsi" w:cstheme="majorHAnsi"/>
                <w:b/>
                <w:sz w:val="18"/>
                <w:szCs w:val="18"/>
                <w:lang w:val="ro-RO"/>
              </w:rPr>
              <w:br/>
              <w:t>(+/-)</w:t>
            </w:r>
          </w:p>
        </w:tc>
        <w:tc>
          <w:tcPr>
            <w:tcW w:w="708" w:type="dxa"/>
            <w:tcBorders>
              <w:top w:val="nil"/>
              <w:left w:val="nil"/>
              <w:bottom w:val="single" w:sz="4" w:space="0" w:color="auto"/>
              <w:right w:val="single" w:sz="4" w:space="0" w:color="auto"/>
            </w:tcBorders>
            <w:shd w:val="clear" w:color="auto" w:fill="92D050"/>
            <w:vAlign w:val="center"/>
            <w:hideMark/>
          </w:tcPr>
          <w:p w14:paraId="39A536DB" w14:textId="7777777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în</w:t>
            </w:r>
            <w:r w:rsidRPr="00BC2880">
              <w:rPr>
                <w:rFonts w:asciiTheme="majorHAnsi" w:hAnsiTheme="majorHAnsi" w:cstheme="majorHAnsi"/>
                <w:b/>
                <w:sz w:val="18"/>
                <w:szCs w:val="18"/>
                <w:lang w:val="ro-RO"/>
              </w:rPr>
              <w:br/>
              <w:t xml:space="preserve"> %</w:t>
            </w:r>
          </w:p>
        </w:tc>
        <w:tc>
          <w:tcPr>
            <w:tcW w:w="1002" w:type="dxa"/>
            <w:gridSpan w:val="2"/>
            <w:tcBorders>
              <w:top w:val="nil"/>
              <w:left w:val="single" w:sz="4" w:space="0" w:color="auto"/>
              <w:bottom w:val="single" w:sz="4" w:space="0" w:color="auto"/>
              <w:right w:val="single" w:sz="4" w:space="0" w:color="auto"/>
            </w:tcBorders>
            <w:shd w:val="clear" w:color="auto" w:fill="92D050"/>
            <w:vAlign w:val="center"/>
          </w:tcPr>
          <w:p w14:paraId="12364C8C" w14:textId="53BEC974"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devieri</w:t>
            </w:r>
            <w:r w:rsidRPr="00BC2880">
              <w:rPr>
                <w:rFonts w:asciiTheme="majorHAnsi" w:hAnsiTheme="majorHAnsi" w:cstheme="majorHAnsi"/>
                <w:b/>
                <w:sz w:val="18"/>
                <w:szCs w:val="18"/>
                <w:lang w:val="ro-RO"/>
              </w:rPr>
              <w:br/>
              <w:t>(+/-)</w:t>
            </w:r>
          </w:p>
        </w:tc>
        <w:tc>
          <w:tcPr>
            <w:tcW w:w="810" w:type="dxa"/>
            <w:tcBorders>
              <w:top w:val="nil"/>
              <w:left w:val="nil"/>
              <w:bottom w:val="single" w:sz="4" w:space="0" w:color="auto"/>
              <w:right w:val="single" w:sz="4" w:space="0" w:color="auto"/>
            </w:tcBorders>
            <w:shd w:val="clear" w:color="auto" w:fill="92D050"/>
            <w:vAlign w:val="center"/>
          </w:tcPr>
          <w:p w14:paraId="48235A4B" w14:textId="59435A87"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în</w:t>
            </w:r>
            <w:r w:rsidRPr="00BC2880">
              <w:rPr>
                <w:rFonts w:asciiTheme="majorHAnsi" w:hAnsiTheme="majorHAnsi" w:cstheme="majorHAnsi"/>
                <w:b/>
                <w:sz w:val="18"/>
                <w:szCs w:val="18"/>
                <w:lang w:val="ro-RO"/>
              </w:rPr>
              <w:br/>
              <w:t xml:space="preserve"> %</w:t>
            </w:r>
          </w:p>
        </w:tc>
        <w:tc>
          <w:tcPr>
            <w:tcW w:w="907" w:type="dxa"/>
            <w:tcBorders>
              <w:top w:val="nil"/>
              <w:left w:val="nil"/>
              <w:bottom w:val="single" w:sz="4" w:space="0" w:color="auto"/>
              <w:right w:val="single" w:sz="4" w:space="0" w:color="auto"/>
            </w:tcBorders>
            <w:shd w:val="clear" w:color="auto" w:fill="92D050"/>
            <w:vAlign w:val="center"/>
          </w:tcPr>
          <w:p w14:paraId="7E82B7AF" w14:textId="57AF491F"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devieri</w:t>
            </w:r>
            <w:r w:rsidRPr="00BC2880">
              <w:rPr>
                <w:rFonts w:asciiTheme="majorHAnsi" w:hAnsiTheme="majorHAnsi" w:cstheme="majorHAnsi"/>
                <w:b/>
                <w:sz w:val="18"/>
                <w:szCs w:val="18"/>
                <w:lang w:val="ro-RO"/>
              </w:rPr>
              <w:br/>
              <w:t>(+/-)</w:t>
            </w:r>
          </w:p>
        </w:tc>
        <w:tc>
          <w:tcPr>
            <w:tcW w:w="979" w:type="dxa"/>
            <w:tcBorders>
              <w:top w:val="nil"/>
              <w:left w:val="nil"/>
              <w:bottom w:val="single" w:sz="4" w:space="0" w:color="auto"/>
              <w:right w:val="single" w:sz="4" w:space="0" w:color="auto"/>
            </w:tcBorders>
            <w:shd w:val="clear" w:color="auto" w:fill="92D050"/>
            <w:vAlign w:val="center"/>
          </w:tcPr>
          <w:p w14:paraId="15E3BDC0" w14:textId="7A9513C2" w:rsidR="00BC2880" w:rsidRPr="00BC2880" w:rsidRDefault="00BC2880" w:rsidP="00BC2880">
            <w:pPr>
              <w:pStyle w:val="NormalWeb"/>
              <w:tabs>
                <w:tab w:val="left" w:pos="162"/>
              </w:tabs>
              <w:spacing w:line="276" w:lineRule="auto"/>
              <w:ind w:firstLine="0"/>
              <w:jc w:val="center"/>
              <w:rPr>
                <w:rFonts w:asciiTheme="majorHAnsi" w:hAnsiTheme="majorHAnsi" w:cstheme="majorHAnsi"/>
                <w:b/>
                <w:sz w:val="18"/>
                <w:szCs w:val="18"/>
                <w:lang w:val="ro-RO"/>
              </w:rPr>
            </w:pPr>
            <w:r w:rsidRPr="00BC2880">
              <w:rPr>
                <w:rFonts w:asciiTheme="majorHAnsi" w:hAnsiTheme="majorHAnsi" w:cstheme="majorHAnsi"/>
                <w:b/>
                <w:sz w:val="18"/>
                <w:szCs w:val="18"/>
                <w:lang w:val="ro-RO"/>
              </w:rPr>
              <w:t>în</w:t>
            </w:r>
            <w:r w:rsidRPr="00BC2880">
              <w:rPr>
                <w:rFonts w:asciiTheme="majorHAnsi" w:hAnsiTheme="majorHAnsi" w:cstheme="majorHAnsi"/>
                <w:b/>
                <w:sz w:val="18"/>
                <w:szCs w:val="18"/>
                <w:lang w:val="ro-RO"/>
              </w:rPr>
              <w:br/>
              <w:t xml:space="preserve"> %</w:t>
            </w:r>
          </w:p>
        </w:tc>
      </w:tr>
      <w:tr w:rsidR="00BC2880" w:rsidRPr="00BC2880" w14:paraId="59A92948" w14:textId="5CF32D04" w:rsidTr="00BC2880">
        <w:trPr>
          <w:trHeight w:val="306"/>
        </w:trPr>
        <w:tc>
          <w:tcPr>
            <w:tcW w:w="1222" w:type="dxa"/>
            <w:tcBorders>
              <w:top w:val="nil"/>
              <w:left w:val="single" w:sz="4" w:space="0" w:color="auto"/>
              <w:bottom w:val="single" w:sz="4" w:space="0" w:color="auto"/>
              <w:right w:val="single" w:sz="4" w:space="0" w:color="auto"/>
            </w:tcBorders>
            <w:shd w:val="clear" w:color="auto" w:fill="auto"/>
            <w:noWrap/>
            <w:hideMark/>
          </w:tcPr>
          <w:p w14:paraId="6C2B831B" w14:textId="77777777" w:rsidR="00BC2880" w:rsidRPr="00BC2880" w:rsidRDefault="00BC2880" w:rsidP="00BC2880">
            <w:pPr>
              <w:pStyle w:val="NormalWeb"/>
              <w:tabs>
                <w:tab w:val="left" w:pos="162"/>
              </w:tabs>
              <w:spacing w:line="276" w:lineRule="auto"/>
              <w:ind w:firstLine="0"/>
              <w:rPr>
                <w:rFonts w:asciiTheme="majorHAnsi" w:hAnsiTheme="majorHAnsi" w:cstheme="majorHAnsi"/>
                <w:b/>
                <w:sz w:val="18"/>
                <w:szCs w:val="18"/>
                <w:lang w:val="ro-RO"/>
              </w:rPr>
            </w:pPr>
            <w:r w:rsidRPr="00BC2880">
              <w:rPr>
                <w:rFonts w:asciiTheme="majorHAnsi" w:hAnsiTheme="majorHAnsi" w:cstheme="majorHAnsi"/>
                <w:b/>
                <w:sz w:val="18"/>
                <w:szCs w:val="18"/>
                <w:lang w:val="ro-RO"/>
              </w:rPr>
              <w:t>Venituri, mil. lei</w:t>
            </w:r>
          </w:p>
        </w:tc>
        <w:tc>
          <w:tcPr>
            <w:tcW w:w="931" w:type="dxa"/>
            <w:tcBorders>
              <w:top w:val="single" w:sz="4" w:space="0" w:color="auto"/>
              <w:left w:val="nil"/>
              <w:bottom w:val="single" w:sz="4" w:space="0" w:color="auto"/>
              <w:right w:val="nil"/>
            </w:tcBorders>
          </w:tcPr>
          <w:p w14:paraId="5C519A78" w14:textId="2C9BA581"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19FCA94" w14:textId="4BA62DC4"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21.748,3</w:t>
            </w:r>
          </w:p>
        </w:tc>
        <w:tc>
          <w:tcPr>
            <w:tcW w:w="972" w:type="dxa"/>
            <w:tcBorders>
              <w:top w:val="single" w:sz="4" w:space="0" w:color="auto"/>
              <w:left w:val="nil"/>
              <w:bottom w:val="single" w:sz="4" w:space="0" w:color="auto"/>
              <w:right w:val="single" w:sz="4" w:space="0" w:color="auto"/>
            </w:tcBorders>
            <w:shd w:val="clear" w:color="auto" w:fill="auto"/>
            <w:noWrap/>
            <w:hideMark/>
          </w:tcPr>
          <w:p w14:paraId="2A2B7991" w14:textId="77777777"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24.572,1</w:t>
            </w:r>
          </w:p>
        </w:tc>
        <w:tc>
          <w:tcPr>
            <w:tcW w:w="1005" w:type="dxa"/>
            <w:tcBorders>
              <w:top w:val="single" w:sz="4" w:space="0" w:color="auto"/>
              <w:left w:val="nil"/>
              <w:bottom w:val="single" w:sz="4" w:space="0" w:color="auto"/>
              <w:right w:val="single" w:sz="4" w:space="0" w:color="auto"/>
            </w:tcBorders>
            <w:shd w:val="clear" w:color="auto" w:fill="auto"/>
            <w:noWrap/>
            <w:hideMark/>
          </w:tcPr>
          <w:p w14:paraId="60E3756F" w14:textId="77777777"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24.285,5</w:t>
            </w:r>
          </w:p>
        </w:tc>
        <w:tc>
          <w:tcPr>
            <w:tcW w:w="993" w:type="dxa"/>
            <w:tcBorders>
              <w:top w:val="single" w:sz="4" w:space="0" w:color="auto"/>
              <w:left w:val="nil"/>
              <w:bottom w:val="single" w:sz="4" w:space="0" w:color="auto"/>
              <w:right w:val="single" w:sz="4" w:space="0" w:color="auto"/>
            </w:tcBorders>
            <w:shd w:val="clear" w:color="auto" w:fill="auto"/>
            <w:noWrap/>
          </w:tcPr>
          <w:p w14:paraId="111D014A" w14:textId="77777777"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-286,5</w:t>
            </w:r>
          </w:p>
        </w:tc>
        <w:tc>
          <w:tcPr>
            <w:tcW w:w="708" w:type="dxa"/>
            <w:tcBorders>
              <w:top w:val="nil"/>
              <w:left w:val="nil"/>
              <w:bottom w:val="single" w:sz="4" w:space="0" w:color="auto"/>
              <w:right w:val="single" w:sz="4" w:space="0" w:color="auto"/>
            </w:tcBorders>
            <w:shd w:val="clear" w:color="auto" w:fill="auto"/>
            <w:noWrap/>
          </w:tcPr>
          <w:p w14:paraId="20C71ED2" w14:textId="77777777"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98,8</w:t>
            </w:r>
          </w:p>
        </w:tc>
        <w:tc>
          <w:tcPr>
            <w:tcW w:w="1002" w:type="dxa"/>
            <w:gridSpan w:val="2"/>
            <w:tcBorders>
              <w:top w:val="nil"/>
              <w:left w:val="single" w:sz="4" w:space="0" w:color="auto"/>
              <w:bottom w:val="single" w:sz="4" w:space="0" w:color="auto"/>
              <w:right w:val="single" w:sz="4" w:space="0" w:color="auto"/>
            </w:tcBorders>
            <w:shd w:val="clear" w:color="auto" w:fill="auto"/>
            <w:noWrap/>
          </w:tcPr>
          <w:p w14:paraId="11F614D7" w14:textId="25FE5E5D"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p>
        </w:tc>
        <w:tc>
          <w:tcPr>
            <w:tcW w:w="810" w:type="dxa"/>
            <w:tcBorders>
              <w:top w:val="nil"/>
              <w:left w:val="nil"/>
              <w:bottom w:val="single" w:sz="4" w:space="0" w:color="auto"/>
              <w:right w:val="single" w:sz="4" w:space="0" w:color="auto"/>
            </w:tcBorders>
            <w:shd w:val="clear" w:color="auto" w:fill="auto"/>
            <w:noWrap/>
          </w:tcPr>
          <w:p w14:paraId="288A3893" w14:textId="0A8EDE9A"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p>
        </w:tc>
        <w:tc>
          <w:tcPr>
            <w:tcW w:w="907" w:type="dxa"/>
            <w:tcBorders>
              <w:top w:val="nil"/>
              <w:left w:val="nil"/>
              <w:bottom w:val="single" w:sz="4" w:space="0" w:color="auto"/>
              <w:right w:val="single" w:sz="4" w:space="0" w:color="auto"/>
            </w:tcBorders>
          </w:tcPr>
          <w:p w14:paraId="288354B7" w14:textId="4423F017"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2537,2</w:t>
            </w:r>
          </w:p>
        </w:tc>
        <w:tc>
          <w:tcPr>
            <w:tcW w:w="979" w:type="dxa"/>
            <w:tcBorders>
              <w:top w:val="nil"/>
              <w:left w:val="nil"/>
              <w:bottom w:val="single" w:sz="4" w:space="0" w:color="auto"/>
              <w:right w:val="single" w:sz="4" w:space="0" w:color="auto"/>
            </w:tcBorders>
          </w:tcPr>
          <w:p w14:paraId="7812CA1E" w14:textId="31BE6A83" w:rsidR="00BC2880" w:rsidRPr="00BC2880" w:rsidRDefault="00BC2880" w:rsidP="00BC2880">
            <w:pPr>
              <w:pStyle w:val="NormalWeb"/>
              <w:tabs>
                <w:tab w:val="left" w:pos="162"/>
              </w:tabs>
              <w:spacing w:line="276" w:lineRule="auto"/>
              <w:ind w:firstLine="0"/>
              <w:jc w:val="right"/>
              <w:rPr>
                <w:rFonts w:asciiTheme="majorHAnsi" w:hAnsiTheme="majorHAnsi" w:cstheme="majorHAnsi"/>
                <w:sz w:val="18"/>
                <w:szCs w:val="18"/>
                <w:lang w:val="ro-RO"/>
              </w:rPr>
            </w:pPr>
            <w:r w:rsidRPr="00BC2880">
              <w:rPr>
                <w:rFonts w:asciiTheme="majorHAnsi" w:hAnsiTheme="majorHAnsi" w:cstheme="majorHAnsi"/>
                <w:sz w:val="18"/>
                <w:szCs w:val="18"/>
                <w:lang w:val="ro-RO"/>
              </w:rPr>
              <w:t>111,7</w:t>
            </w:r>
          </w:p>
        </w:tc>
      </w:tr>
      <w:tr w:rsidR="00BC2880" w:rsidRPr="00BC2880" w14:paraId="7C196853" w14:textId="03E0CEAC" w:rsidTr="00BC2880">
        <w:trPr>
          <w:trHeight w:val="306"/>
        </w:trPr>
        <w:tc>
          <w:tcPr>
            <w:tcW w:w="1222" w:type="dxa"/>
            <w:tcBorders>
              <w:top w:val="single" w:sz="4" w:space="0" w:color="auto"/>
              <w:left w:val="single" w:sz="4" w:space="0" w:color="auto"/>
              <w:bottom w:val="single" w:sz="4" w:space="0" w:color="auto"/>
              <w:right w:val="single" w:sz="4" w:space="0" w:color="auto"/>
            </w:tcBorders>
            <w:shd w:val="clear" w:color="auto" w:fill="auto"/>
            <w:noWrap/>
          </w:tcPr>
          <w:p w14:paraId="49A18CBE" w14:textId="77777777" w:rsidR="00BC2880" w:rsidRPr="00BC2880" w:rsidRDefault="00BC2880" w:rsidP="00BC2880">
            <w:pPr>
              <w:pStyle w:val="NormalWeb"/>
              <w:tabs>
                <w:tab w:val="left" w:pos="162"/>
              </w:tabs>
              <w:spacing w:line="276" w:lineRule="auto"/>
              <w:ind w:firstLine="0"/>
              <w:rPr>
                <w:rFonts w:asciiTheme="majorHAnsi" w:hAnsiTheme="majorHAnsi" w:cstheme="majorHAnsi"/>
                <w:b/>
                <w:sz w:val="18"/>
                <w:szCs w:val="18"/>
                <w:lang w:val="ro-RO"/>
              </w:rPr>
            </w:pPr>
            <w:r w:rsidRPr="00BC2880">
              <w:rPr>
                <w:rFonts w:asciiTheme="majorHAnsi" w:hAnsiTheme="majorHAnsi" w:cstheme="majorHAnsi"/>
                <w:b/>
                <w:sz w:val="18"/>
                <w:szCs w:val="18"/>
                <w:lang w:val="ro-RO"/>
              </w:rPr>
              <w:t>Cheltuieli, mil. lei</w:t>
            </w:r>
          </w:p>
        </w:tc>
        <w:tc>
          <w:tcPr>
            <w:tcW w:w="931" w:type="dxa"/>
            <w:tcBorders>
              <w:top w:val="single" w:sz="4" w:space="0" w:color="auto"/>
              <w:left w:val="single" w:sz="4" w:space="0" w:color="auto"/>
              <w:bottom w:val="single" w:sz="4" w:space="0" w:color="auto"/>
              <w:right w:val="single" w:sz="4" w:space="0" w:color="auto"/>
            </w:tcBorders>
          </w:tcPr>
          <w:p w14:paraId="55A129D7" w14:textId="6A29082C" w:rsidR="00BC2880" w:rsidRPr="00BC2880" w:rsidRDefault="00BC2880" w:rsidP="00BC2880">
            <w:pPr>
              <w:spacing w:line="276" w:lineRule="auto"/>
              <w:jc w:val="right"/>
              <w:rPr>
                <w:rFonts w:asciiTheme="majorHAnsi" w:eastAsia="Times New Roman" w:hAnsiTheme="majorHAnsi" w:cstheme="majorHAnsi"/>
                <w:sz w:val="18"/>
                <w:szCs w:val="18"/>
                <w:lang w:val="ro-RO"/>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CF0EA0" w14:textId="4136841B"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21.602,3</w:t>
            </w:r>
          </w:p>
        </w:tc>
        <w:tc>
          <w:tcPr>
            <w:tcW w:w="972" w:type="dxa"/>
            <w:tcBorders>
              <w:top w:val="single" w:sz="4" w:space="0" w:color="auto"/>
              <w:left w:val="single" w:sz="4" w:space="0" w:color="auto"/>
              <w:bottom w:val="single" w:sz="4" w:space="0" w:color="auto"/>
              <w:right w:val="single" w:sz="4" w:space="0" w:color="auto"/>
            </w:tcBorders>
            <w:shd w:val="clear" w:color="auto" w:fill="auto"/>
            <w:noWrap/>
          </w:tcPr>
          <w:p w14:paraId="7C70CAB7" w14:textId="77777777"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24.572,1</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0E1DD056" w14:textId="77777777"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24.244,3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28CE1E7A" w14:textId="77777777"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-327,8</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67400BF" w14:textId="77777777"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98,7</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14:paraId="2B4D4B5F" w14:textId="2BAC0EA6" w:rsidR="00BC2880" w:rsidRPr="00BC2880" w:rsidRDefault="00BC2880" w:rsidP="00BC2880">
            <w:pPr>
              <w:spacing w:line="276" w:lineRule="auto"/>
              <w:jc w:val="right"/>
              <w:rPr>
                <w:rFonts w:asciiTheme="majorHAnsi" w:eastAsia="Times New Roman" w:hAnsiTheme="majorHAnsi" w:cstheme="majorHAnsi"/>
                <w:sz w:val="18"/>
                <w:szCs w:val="18"/>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5146E4" w14:textId="2A76D3E7" w:rsidR="00BC2880" w:rsidRPr="00BC2880" w:rsidRDefault="00BC2880" w:rsidP="00BC2880">
            <w:pPr>
              <w:spacing w:line="276" w:lineRule="auto"/>
              <w:jc w:val="right"/>
              <w:rPr>
                <w:rFonts w:asciiTheme="majorHAnsi" w:eastAsia="Times New Roman" w:hAnsiTheme="majorHAnsi" w:cstheme="majorHAnsi"/>
                <w:sz w:val="18"/>
                <w:szCs w:val="18"/>
                <w:lang w:val="ro-RO"/>
              </w:rPr>
            </w:pPr>
          </w:p>
        </w:tc>
        <w:tc>
          <w:tcPr>
            <w:tcW w:w="907" w:type="dxa"/>
            <w:tcBorders>
              <w:top w:val="single" w:sz="4" w:space="0" w:color="auto"/>
              <w:left w:val="single" w:sz="4" w:space="0" w:color="auto"/>
              <w:bottom w:val="single" w:sz="4" w:space="0" w:color="auto"/>
              <w:right w:val="single" w:sz="4" w:space="0" w:color="auto"/>
            </w:tcBorders>
          </w:tcPr>
          <w:p w14:paraId="6184D160" w14:textId="7108FA5B"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2642,0</w:t>
            </w:r>
          </w:p>
        </w:tc>
        <w:tc>
          <w:tcPr>
            <w:tcW w:w="979" w:type="dxa"/>
            <w:tcBorders>
              <w:top w:val="single" w:sz="4" w:space="0" w:color="auto"/>
              <w:left w:val="single" w:sz="4" w:space="0" w:color="auto"/>
              <w:bottom w:val="single" w:sz="4" w:space="0" w:color="auto"/>
              <w:right w:val="single" w:sz="4" w:space="0" w:color="auto"/>
            </w:tcBorders>
          </w:tcPr>
          <w:p w14:paraId="62655401" w14:textId="00795BF0" w:rsidR="00BC2880" w:rsidRPr="00BC2880" w:rsidRDefault="00BC2880" w:rsidP="00BC2880">
            <w:pPr>
              <w:spacing w:line="276" w:lineRule="auto"/>
              <w:jc w:val="right"/>
              <w:rPr>
                <w:rFonts w:asciiTheme="majorHAnsi" w:eastAsia="Times New Roman" w:hAnsiTheme="majorHAnsi" w:cstheme="majorHAnsi"/>
                <w:sz w:val="18"/>
                <w:szCs w:val="18"/>
                <w:lang w:val="ro-RO"/>
              </w:rPr>
            </w:pPr>
            <w:r w:rsidRPr="00BC2880">
              <w:rPr>
                <w:rFonts w:asciiTheme="majorHAnsi" w:eastAsia="Times New Roman" w:hAnsiTheme="majorHAnsi" w:cstheme="majorHAnsi"/>
                <w:sz w:val="18"/>
                <w:szCs w:val="18"/>
                <w:lang w:val="ro-RO"/>
              </w:rPr>
              <w:t>112,2</w:t>
            </w:r>
          </w:p>
        </w:tc>
      </w:tr>
    </w:tbl>
    <w:p w14:paraId="75C42DA3" w14:textId="77777777" w:rsidR="002D64F9" w:rsidRPr="00341E6C" w:rsidRDefault="002D64F9" w:rsidP="002D64F9">
      <w:pPr>
        <w:spacing w:line="276" w:lineRule="auto"/>
        <w:jc w:val="both"/>
        <w:rPr>
          <w:rFonts w:asciiTheme="majorHAnsi" w:hAnsiTheme="majorHAnsi" w:cstheme="majorHAnsi"/>
          <w:sz w:val="24"/>
          <w:szCs w:val="24"/>
          <w:lang w:val="ro-RO"/>
        </w:rPr>
      </w:pPr>
      <w:r w:rsidRPr="00341E6C">
        <w:rPr>
          <w:rFonts w:asciiTheme="majorHAnsi" w:hAnsiTheme="majorHAnsi" w:cstheme="majorHAnsi"/>
          <w:b/>
          <w:i/>
          <w:sz w:val="20"/>
          <w:szCs w:val="24"/>
          <w:lang w:val="ro-RO"/>
        </w:rPr>
        <w:t>Sursa:</w:t>
      </w:r>
      <w:r w:rsidRPr="00341E6C">
        <w:rPr>
          <w:rFonts w:asciiTheme="majorHAnsi" w:hAnsiTheme="majorHAnsi" w:cstheme="majorHAnsi"/>
          <w:sz w:val="18"/>
          <w:lang w:val="ro-RO"/>
        </w:rPr>
        <w:t xml:space="preserve"> </w:t>
      </w:r>
      <w:r w:rsidRPr="00341E6C">
        <w:rPr>
          <w:rFonts w:asciiTheme="majorHAnsi" w:hAnsiTheme="majorHAnsi" w:cstheme="majorHAnsi"/>
          <w:i/>
          <w:sz w:val="20"/>
          <w:lang w:val="ro-RO"/>
        </w:rPr>
        <w:t>Raportul privind executarea bugetului asigurărilor sociale de stat la situaţia din 1 ianuarie 2021 (Formularul nr.1 CNAS).</w:t>
      </w:r>
    </w:p>
    <w:p w14:paraId="38A0C2E4" w14:textId="77777777" w:rsidR="00C32938" w:rsidRPr="00341E6C" w:rsidRDefault="00C32938" w:rsidP="005D7B4C">
      <w:pPr>
        <w:spacing w:after="0" w:line="276" w:lineRule="auto"/>
        <w:ind w:firstLine="709"/>
        <w:jc w:val="both"/>
        <w:rPr>
          <w:rFonts w:asciiTheme="majorHAnsi" w:hAnsiTheme="majorHAnsi" w:cstheme="majorHAnsi"/>
          <w:b/>
          <w:szCs w:val="24"/>
          <w:lang w:val="ro-RO"/>
        </w:rPr>
      </w:pPr>
    </w:p>
    <w:p w14:paraId="00C1489B" w14:textId="19084900" w:rsidR="00C75E87" w:rsidRPr="00341E6C" w:rsidRDefault="00C75E87" w:rsidP="007B54F0">
      <w:pPr>
        <w:pStyle w:val="Heading1"/>
        <w:spacing w:before="0"/>
        <w:ind w:left="709" w:hanging="709"/>
        <w:jc w:val="left"/>
        <w:rPr>
          <w:rFonts w:asciiTheme="majorHAnsi" w:hAnsiTheme="majorHAnsi" w:cstheme="majorHAnsi"/>
          <w:sz w:val="28"/>
          <w:szCs w:val="28"/>
          <w:lang w:val="ro-RO"/>
        </w:rPr>
      </w:pPr>
      <w:bookmarkStart w:id="7" w:name="_Toc35000688"/>
      <w:r w:rsidRPr="00341E6C">
        <w:rPr>
          <w:rFonts w:asciiTheme="majorHAnsi" w:hAnsiTheme="majorHAnsi" w:cstheme="majorHAnsi"/>
          <w:sz w:val="28"/>
          <w:szCs w:val="28"/>
          <w:lang w:val="ro-RO"/>
        </w:rPr>
        <w:t>R</w:t>
      </w:r>
      <w:r w:rsidR="00AE03C9" w:rsidRPr="00341E6C">
        <w:rPr>
          <w:rFonts w:asciiTheme="majorHAnsi" w:hAnsiTheme="majorHAnsi" w:cstheme="majorHAnsi"/>
          <w:sz w:val="28"/>
          <w:szCs w:val="28"/>
          <w:lang w:val="ro-RO"/>
        </w:rPr>
        <w:t>ECOMANDĂRI</w:t>
      </w:r>
      <w:bookmarkEnd w:id="7"/>
    </w:p>
    <w:p w14:paraId="042ADF5A" w14:textId="77777777" w:rsidR="00E21171" w:rsidRPr="00E75D2F" w:rsidRDefault="00E21171" w:rsidP="00E21171">
      <w:pPr>
        <w:pStyle w:val="NormalWeb"/>
        <w:spacing w:line="276" w:lineRule="auto"/>
        <w:ind w:firstLine="0"/>
        <w:rPr>
          <w:rFonts w:asciiTheme="majorHAnsi" w:hAnsiTheme="majorHAnsi" w:cstheme="majorHAnsi"/>
          <w:b/>
          <w:noProof/>
          <w:u w:val="single"/>
          <w:lang w:val="ro-RO"/>
        </w:rPr>
      </w:pPr>
      <w:bookmarkStart w:id="8" w:name="_Toc35000689"/>
      <w:r w:rsidRPr="00E75D2F">
        <w:rPr>
          <w:rFonts w:asciiTheme="majorHAnsi" w:hAnsiTheme="majorHAnsi" w:cstheme="majorHAnsi"/>
          <w:b/>
          <w:noProof/>
          <w:u w:val="single"/>
          <w:lang w:val="ro-RO"/>
        </w:rPr>
        <w:t>Recomandare Ministerului Finanțelor:</w:t>
      </w:r>
    </w:p>
    <w:p w14:paraId="7BC7315F" w14:textId="186C2B42" w:rsidR="00E21171" w:rsidRPr="00883673" w:rsidRDefault="00475E00" w:rsidP="00E21171">
      <w:pPr>
        <w:pStyle w:val="ListParagraph"/>
        <w:numPr>
          <w:ilvl w:val="0"/>
          <w:numId w:val="15"/>
        </w:numPr>
        <w:tabs>
          <w:tab w:val="left" w:pos="900"/>
          <w:tab w:val="left" w:pos="993"/>
          <w:tab w:val="left" w:pos="1276"/>
        </w:tabs>
        <w:spacing w:after="0" w:line="276" w:lineRule="auto"/>
        <w:jc w:val="both"/>
        <w:rPr>
          <w:rFonts w:asciiTheme="majorHAnsi" w:eastAsia="Times New Roman" w:hAnsiTheme="majorHAnsi" w:cstheme="majorHAnsi"/>
          <w:i/>
          <w:sz w:val="24"/>
          <w:szCs w:val="24"/>
          <w:lang w:val="ro-RO"/>
        </w:rPr>
      </w:pPr>
      <w:r>
        <w:rPr>
          <w:rFonts w:asciiTheme="majorHAnsi" w:eastAsia="Times New Roman" w:hAnsiTheme="majorHAnsi" w:cstheme="majorHAnsi"/>
          <w:i/>
          <w:sz w:val="24"/>
          <w:szCs w:val="24"/>
          <w:lang w:val="ro-RO"/>
        </w:rPr>
        <w:t>S</w:t>
      </w:r>
      <w:r w:rsidR="00E21171" w:rsidRPr="00883673">
        <w:rPr>
          <w:rFonts w:asciiTheme="majorHAnsi" w:eastAsia="Times New Roman" w:hAnsiTheme="majorHAnsi" w:cstheme="majorHAnsi"/>
          <w:i/>
          <w:sz w:val="24"/>
          <w:szCs w:val="24"/>
          <w:lang w:val="ro-RO"/>
        </w:rPr>
        <w:t>ă evalueze și să includă, de comun cu Casa Națională de Asigurări Sociale, completarea Normelor metodologice aferente modului de întocmire a Rapoartelor privind executarea bugetului asigurărilor sociale de stat, cu proceduri distincte de reflectare completă a veniturilor</w:t>
      </w:r>
      <w:r w:rsidR="00856726" w:rsidRPr="00883673">
        <w:rPr>
          <w:rFonts w:asciiTheme="majorHAnsi" w:eastAsia="Times New Roman" w:hAnsiTheme="majorHAnsi" w:cstheme="majorHAnsi"/>
          <w:i/>
          <w:sz w:val="24"/>
          <w:szCs w:val="24"/>
          <w:lang w:val="ro-RO"/>
        </w:rPr>
        <w:t xml:space="preserve"> (Observația 3.1.</w:t>
      </w:r>
      <w:r w:rsidR="00856726" w:rsidRPr="00883673">
        <w:rPr>
          <w:rFonts w:asciiTheme="majorHAnsi" w:hAnsiTheme="majorHAnsi" w:cstheme="majorHAnsi"/>
          <w:i/>
          <w:sz w:val="24"/>
          <w:szCs w:val="24"/>
          <w:lang w:val="ro-RO"/>
        </w:rPr>
        <w:t xml:space="preserve"> – Secțiunea III</w:t>
      </w:r>
      <w:r w:rsidR="00856726" w:rsidRPr="00883673">
        <w:rPr>
          <w:rFonts w:asciiTheme="majorHAnsi" w:eastAsia="Times New Roman" w:hAnsiTheme="majorHAnsi" w:cstheme="majorHAnsi"/>
          <w:i/>
          <w:sz w:val="24"/>
          <w:szCs w:val="24"/>
          <w:lang w:val="ro-RO"/>
        </w:rPr>
        <w:t>);</w:t>
      </w:r>
    </w:p>
    <w:p w14:paraId="23BDF3C3" w14:textId="77777777" w:rsidR="00E21171" w:rsidRPr="00883673" w:rsidRDefault="00E21171" w:rsidP="00E21171">
      <w:pPr>
        <w:pStyle w:val="NormalWeb"/>
        <w:spacing w:before="240" w:line="276" w:lineRule="auto"/>
        <w:ind w:firstLine="0"/>
        <w:rPr>
          <w:rFonts w:asciiTheme="majorHAnsi" w:hAnsiTheme="majorHAnsi" w:cstheme="majorHAnsi"/>
          <w:b/>
          <w:noProof/>
          <w:u w:val="single"/>
          <w:lang w:val="ro-RO"/>
        </w:rPr>
      </w:pPr>
      <w:r w:rsidRPr="00883673">
        <w:rPr>
          <w:rFonts w:asciiTheme="majorHAnsi" w:hAnsiTheme="majorHAnsi" w:cstheme="majorHAnsi"/>
          <w:b/>
          <w:noProof/>
          <w:u w:val="single"/>
          <w:lang w:val="ro-RO"/>
        </w:rPr>
        <w:t>Recomandări Ministerului Sănătății, Muncii și Protecției Sociale:</w:t>
      </w:r>
    </w:p>
    <w:p w14:paraId="493D4932" w14:textId="609EA0E6" w:rsidR="00E21171" w:rsidRPr="00883673" w:rsidRDefault="00E21171" w:rsidP="00883673">
      <w:pPr>
        <w:pStyle w:val="ListParagraph"/>
        <w:numPr>
          <w:ilvl w:val="0"/>
          <w:numId w:val="15"/>
        </w:numPr>
        <w:spacing w:after="0" w:line="276" w:lineRule="auto"/>
        <w:jc w:val="both"/>
        <w:rPr>
          <w:rFonts w:asciiTheme="majorHAnsi" w:hAnsiTheme="majorHAnsi" w:cstheme="majorHAnsi"/>
          <w:i/>
          <w:sz w:val="24"/>
          <w:szCs w:val="24"/>
          <w:lang w:val="ro-RO"/>
        </w:rPr>
      </w:pPr>
      <w:r w:rsidRPr="00883673">
        <w:rPr>
          <w:rFonts w:asciiTheme="majorHAnsi" w:hAnsiTheme="majorHAnsi" w:cstheme="majorHAnsi"/>
          <w:i/>
          <w:sz w:val="24"/>
          <w:szCs w:val="24"/>
          <w:lang w:val="ro-RO"/>
        </w:rPr>
        <w:t>Să stabilească, în actele normative, măsurile ce urmează a fi întreprinse și autoritățile responsabile, pentru asigurarea legalității constatării și recuperării de la beneficiari a plăților achitate necuvenit pentru ajutor</w:t>
      </w:r>
      <w:r w:rsidR="0058025C">
        <w:rPr>
          <w:rFonts w:asciiTheme="majorHAnsi" w:hAnsiTheme="majorHAnsi" w:cstheme="majorHAnsi"/>
          <w:i/>
          <w:sz w:val="24"/>
          <w:szCs w:val="24"/>
          <w:lang w:val="ro-RO"/>
        </w:rPr>
        <w:t>ul</w:t>
      </w:r>
      <w:r w:rsidRPr="00883673">
        <w:rPr>
          <w:rFonts w:asciiTheme="majorHAnsi" w:hAnsiTheme="majorHAnsi" w:cstheme="majorHAnsi"/>
          <w:i/>
          <w:sz w:val="24"/>
          <w:szCs w:val="24"/>
          <w:lang w:val="ro-RO"/>
        </w:rPr>
        <w:t xml:space="preserve"> social și </w:t>
      </w:r>
      <w:r w:rsidR="0058025C">
        <w:rPr>
          <w:rFonts w:asciiTheme="majorHAnsi" w:hAnsiTheme="majorHAnsi" w:cstheme="majorHAnsi"/>
          <w:i/>
          <w:sz w:val="24"/>
          <w:szCs w:val="24"/>
          <w:lang w:val="ro-RO"/>
        </w:rPr>
        <w:t xml:space="preserve">ajutorul </w:t>
      </w:r>
      <w:r w:rsidRPr="00883673">
        <w:rPr>
          <w:rFonts w:asciiTheme="majorHAnsi" w:hAnsiTheme="majorHAnsi" w:cstheme="majorHAnsi"/>
          <w:i/>
          <w:sz w:val="24"/>
          <w:szCs w:val="24"/>
          <w:lang w:val="ro-RO"/>
        </w:rPr>
        <w:t>pentru perioada rece a anului</w:t>
      </w:r>
      <w:r w:rsidR="006F6B20" w:rsidRPr="00883673">
        <w:rPr>
          <w:rFonts w:asciiTheme="majorHAnsi" w:hAnsiTheme="majorHAnsi" w:cstheme="majorHAnsi"/>
          <w:i/>
          <w:sz w:val="24"/>
          <w:szCs w:val="24"/>
          <w:lang w:val="ro-RO"/>
        </w:rPr>
        <w:t xml:space="preserve"> și să </w:t>
      </w:r>
      <w:r w:rsidR="0058025C">
        <w:rPr>
          <w:rFonts w:asciiTheme="majorHAnsi" w:hAnsiTheme="majorHAnsi" w:cstheme="majorHAnsi"/>
          <w:i/>
          <w:sz w:val="24"/>
          <w:szCs w:val="24"/>
          <w:lang w:val="ro-RO"/>
        </w:rPr>
        <w:t>determine</w:t>
      </w:r>
      <w:r w:rsidR="0058025C" w:rsidRPr="00883673">
        <w:rPr>
          <w:rFonts w:asciiTheme="majorHAnsi" w:hAnsiTheme="majorHAnsi" w:cstheme="majorHAnsi"/>
          <w:i/>
          <w:sz w:val="24"/>
          <w:szCs w:val="24"/>
          <w:lang w:val="ro-RO"/>
        </w:rPr>
        <w:t xml:space="preserve"> </w:t>
      </w:r>
      <w:r w:rsidR="006F6B20" w:rsidRPr="00883673">
        <w:rPr>
          <w:rFonts w:asciiTheme="majorHAnsi" w:hAnsiTheme="majorHAnsi" w:cstheme="majorHAnsi"/>
          <w:i/>
          <w:sz w:val="24"/>
          <w:szCs w:val="24"/>
          <w:lang w:val="ro-RO"/>
        </w:rPr>
        <w:t xml:space="preserve">modalitățile de transmitere a informației privind plățile achitate necuvenit beneficiarilor de ajutor social şi de ajutor pentru perioada rece a anului, constatate de către organele de control abilitate, </w:t>
      </w:r>
      <w:r w:rsidR="0058025C">
        <w:rPr>
          <w:rFonts w:asciiTheme="majorHAnsi" w:hAnsiTheme="majorHAnsi" w:cstheme="majorHAnsi"/>
          <w:i/>
          <w:sz w:val="24"/>
          <w:szCs w:val="24"/>
          <w:lang w:val="ro-RO"/>
        </w:rPr>
        <w:t xml:space="preserve">în scopul </w:t>
      </w:r>
      <w:r w:rsidR="006F6B20" w:rsidRPr="00883673">
        <w:rPr>
          <w:rFonts w:asciiTheme="majorHAnsi" w:hAnsiTheme="majorHAnsi" w:cstheme="majorHAnsi"/>
          <w:i/>
          <w:sz w:val="24"/>
          <w:szCs w:val="24"/>
          <w:lang w:val="ro-RO"/>
        </w:rPr>
        <w:t>asigur</w:t>
      </w:r>
      <w:r w:rsidR="0058025C">
        <w:rPr>
          <w:rFonts w:asciiTheme="majorHAnsi" w:hAnsiTheme="majorHAnsi" w:cstheme="majorHAnsi"/>
          <w:i/>
          <w:sz w:val="24"/>
          <w:szCs w:val="24"/>
          <w:lang w:val="ro-RO"/>
        </w:rPr>
        <w:t>ării</w:t>
      </w:r>
      <w:r w:rsidR="006F6B20" w:rsidRPr="00883673">
        <w:rPr>
          <w:rFonts w:asciiTheme="majorHAnsi" w:hAnsiTheme="majorHAnsi" w:cstheme="majorHAnsi"/>
          <w:i/>
          <w:sz w:val="24"/>
          <w:szCs w:val="24"/>
          <w:lang w:val="ro-RO"/>
        </w:rPr>
        <w:t xml:space="preserve"> plenitudinii înregistrării şi ra</w:t>
      </w:r>
      <w:r w:rsidR="007B32BD" w:rsidRPr="00883673">
        <w:rPr>
          <w:rFonts w:asciiTheme="majorHAnsi" w:hAnsiTheme="majorHAnsi" w:cstheme="majorHAnsi"/>
          <w:i/>
          <w:sz w:val="24"/>
          <w:szCs w:val="24"/>
          <w:lang w:val="ro-RO"/>
        </w:rPr>
        <w:t>portării acestora de către CNAS (Observația 5.2. – Secțiunea V);</w:t>
      </w:r>
    </w:p>
    <w:p w14:paraId="4F2DD655" w14:textId="736410C6" w:rsidR="00E21171" w:rsidRPr="00883673" w:rsidRDefault="00E21171" w:rsidP="00883673">
      <w:pPr>
        <w:pStyle w:val="NormalWeb"/>
        <w:numPr>
          <w:ilvl w:val="0"/>
          <w:numId w:val="15"/>
        </w:numPr>
        <w:spacing w:line="276" w:lineRule="auto"/>
        <w:rPr>
          <w:rFonts w:asciiTheme="majorHAnsi" w:hAnsiTheme="majorHAnsi" w:cstheme="majorHAnsi"/>
          <w:i/>
          <w:lang w:val="ro-RO"/>
        </w:rPr>
      </w:pPr>
      <w:r w:rsidRPr="00883673">
        <w:rPr>
          <w:rFonts w:asciiTheme="majorHAnsi" w:hAnsiTheme="majorHAnsi" w:cstheme="majorHAnsi"/>
          <w:i/>
          <w:lang w:val="ro-RO"/>
        </w:rPr>
        <w:t>Să asigure accesul direcțiilor teritoriale de asistență socială la bazele de date ale instituțiilor care dețin informații privind sursele și mărimea veniturilor solicitanților de ajutoare sociale (</w:t>
      </w:r>
      <w:r w:rsidR="00856726" w:rsidRPr="00883673">
        <w:rPr>
          <w:rFonts w:asciiTheme="majorHAnsi" w:hAnsiTheme="majorHAnsi" w:cstheme="majorHAnsi"/>
          <w:i/>
          <w:lang w:val="ro-RO"/>
        </w:rPr>
        <w:t>Observația 5.2. – Secțiunea V</w:t>
      </w:r>
      <w:r w:rsidR="007B32BD" w:rsidRPr="00883673">
        <w:rPr>
          <w:rFonts w:asciiTheme="majorHAnsi" w:hAnsiTheme="majorHAnsi" w:cstheme="majorHAnsi"/>
          <w:i/>
          <w:lang w:val="ro-RO"/>
        </w:rPr>
        <w:t>);</w:t>
      </w:r>
    </w:p>
    <w:p w14:paraId="2C846C8C" w14:textId="4073A577" w:rsidR="00E21171" w:rsidRPr="00883673" w:rsidRDefault="00E21171" w:rsidP="00883673">
      <w:pPr>
        <w:pStyle w:val="NormalWeb"/>
        <w:numPr>
          <w:ilvl w:val="0"/>
          <w:numId w:val="15"/>
        </w:numPr>
        <w:spacing w:line="276" w:lineRule="auto"/>
        <w:rPr>
          <w:rFonts w:asciiTheme="majorHAnsi" w:hAnsiTheme="majorHAnsi" w:cstheme="majorHAnsi"/>
          <w:i/>
          <w:lang w:val="ro-RO"/>
        </w:rPr>
      </w:pPr>
      <w:r w:rsidRPr="00883673">
        <w:rPr>
          <w:rFonts w:asciiTheme="majorHAnsi" w:hAnsiTheme="majorHAnsi" w:cstheme="majorHAnsi"/>
          <w:i/>
          <w:lang w:val="ro-RO"/>
        </w:rPr>
        <w:t>Să asigure măsuri de instruire și perfecționare a personalului implicat în procesul de acordare și stabilire a ajutorului social și ajutorului pentru perioada rece a anului, în scopul diminuării ponderii iregularităților constatate, precum și măsuri de responsabilizare a beneficiarilor acestor tip</w:t>
      </w:r>
      <w:r w:rsidR="00883673" w:rsidRPr="00883673">
        <w:rPr>
          <w:rFonts w:asciiTheme="majorHAnsi" w:hAnsiTheme="majorHAnsi" w:cstheme="majorHAnsi"/>
          <w:i/>
          <w:lang w:val="ro-RO"/>
        </w:rPr>
        <w:t>uri de prestații (Observația 5.2</w:t>
      </w:r>
      <w:r w:rsidRPr="00883673">
        <w:rPr>
          <w:rFonts w:asciiTheme="majorHAnsi" w:hAnsiTheme="majorHAnsi" w:cstheme="majorHAnsi"/>
          <w:i/>
          <w:lang w:val="ro-RO"/>
        </w:rPr>
        <w:t>.</w:t>
      </w:r>
      <w:r w:rsidR="00883673" w:rsidRPr="00883673">
        <w:rPr>
          <w:rFonts w:asciiTheme="majorHAnsi" w:hAnsiTheme="majorHAnsi" w:cstheme="majorHAnsi"/>
          <w:i/>
          <w:lang w:val="ro-RO"/>
        </w:rPr>
        <w:t xml:space="preserve"> – Secțiunea V</w:t>
      </w:r>
      <w:r w:rsidRPr="00883673">
        <w:rPr>
          <w:rFonts w:asciiTheme="majorHAnsi" w:hAnsiTheme="majorHAnsi" w:cstheme="majorHAnsi"/>
          <w:i/>
          <w:lang w:val="ro-RO"/>
        </w:rPr>
        <w:t xml:space="preserve">); </w:t>
      </w:r>
    </w:p>
    <w:p w14:paraId="45067293" w14:textId="512DB7FA" w:rsidR="00E21171" w:rsidRPr="00B75377" w:rsidRDefault="00E21171" w:rsidP="00883673">
      <w:pPr>
        <w:pStyle w:val="ListParagraph"/>
        <w:numPr>
          <w:ilvl w:val="0"/>
          <w:numId w:val="15"/>
        </w:numPr>
        <w:spacing w:after="0" w:line="276" w:lineRule="auto"/>
        <w:jc w:val="both"/>
        <w:rPr>
          <w:rFonts w:asciiTheme="majorHAnsi" w:hAnsiTheme="majorHAnsi" w:cstheme="majorHAnsi"/>
          <w:i/>
          <w:sz w:val="24"/>
          <w:szCs w:val="24"/>
          <w:lang w:val="ro-RO"/>
        </w:rPr>
      </w:pPr>
      <w:r w:rsidRPr="00B75377">
        <w:rPr>
          <w:rFonts w:asciiTheme="majorHAnsi" w:hAnsiTheme="majorHAnsi" w:cstheme="majorHAnsi"/>
          <w:i/>
          <w:sz w:val="24"/>
          <w:szCs w:val="24"/>
          <w:lang w:val="ro-RO"/>
        </w:rPr>
        <w:t>Să elaboreze</w:t>
      </w:r>
      <w:r w:rsidR="0058025C">
        <w:rPr>
          <w:rFonts w:asciiTheme="majorHAnsi" w:hAnsiTheme="majorHAnsi" w:cstheme="majorHAnsi"/>
          <w:i/>
          <w:sz w:val="24"/>
          <w:szCs w:val="24"/>
          <w:lang w:val="ro-RO"/>
        </w:rPr>
        <w:t>,</w:t>
      </w:r>
      <w:r w:rsidRPr="00B75377">
        <w:rPr>
          <w:rFonts w:asciiTheme="majorHAnsi" w:hAnsiTheme="majorHAnsi" w:cstheme="majorHAnsi"/>
          <w:i/>
          <w:sz w:val="24"/>
          <w:szCs w:val="24"/>
          <w:lang w:val="ro-RO"/>
        </w:rPr>
        <w:t xml:space="preserve"> </w:t>
      </w:r>
      <w:r w:rsidRPr="00B75377">
        <w:rPr>
          <w:rFonts w:asciiTheme="majorHAnsi" w:hAnsiTheme="majorHAnsi" w:cstheme="majorHAnsi"/>
          <w:b/>
          <w:i/>
          <w:sz w:val="24"/>
          <w:szCs w:val="24"/>
          <w:lang w:val="ro-RO"/>
        </w:rPr>
        <w:t>de comun cu Inspecția Socială</w:t>
      </w:r>
      <w:r w:rsidR="0058025C">
        <w:rPr>
          <w:rFonts w:asciiTheme="majorHAnsi" w:hAnsiTheme="majorHAnsi" w:cstheme="majorHAnsi"/>
          <w:b/>
          <w:i/>
          <w:sz w:val="24"/>
          <w:szCs w:val="24"/>
          <w:lang w:val="ro-RO"/>
        </w:rPr>
        <w:t>,</w:t>
      </w:r>
      <w:r w:rsidRPr="00B75377">
        <w:rPr>
          <w:rFonts w:asciiTheme="majorHAnsi" w:hAnsiTheme="majorHAnsi" w:cstheme="majorHAnsi"/>
          <w:b/>
          <w:i/>
          <w:sz w:val="24"/>
          <w:szCs w:val="24"/>
          <w:lang w:val="ro-RO"/>
        </w:rPr>
        <w:t xml:space="preserve"> </w:t>
      </w:r>
      <w:r w:rsidRPr="00B75377">
        <w:rPr>
          <w:rFonts w:asciiTheme="majorHAnsi" w:hAnsiTheme="majorHAnsi" w:cstheme="majorHAnsi"/>
          <w:i/>
          <w:sz w:val="24"/>
          <w:szCs w:val="24"/>
          <w:lang w:val="ro-RO"/>
        </w:rPr>
        <w:t>și să înainteze</w:t>
      </w:r>
      <w:r w:rsidR="0058025C">
        <w:rPr>
          <w:rFonts w:asciiTheme="majorHAnsi" w:hAnsiTheme="majorHAnsi" w:cstheme="majorHAnsi"/>
          <w:i/>
          <w:sz w:val="24"/>
          <w:szCs w:val="24"/>
          <w:lang w:val="ro-RO"/>
        </w:rPr>
        <w:t>,</w:t>
      </w:r>
      <w:r w:rsidRPr="00B75377">
        <w:rPr>
          <w:rFonts w:asciiTheme="majorHAnsi" w:hAnsiTheme="majorHAnsi" w:cstheme="majorHAnsi"/>
          <w:i/>
          <w:sz w:val="24"/>
          <w:szCs w:val="24"/>
          <w:lang w:val="ro-RO"/>
        </w:rPr>
        <w:t xml:space="preserve"> în modul stabilit, propuneri de ajustare a cadrului normativ din domeniile supuse inspecției, în scopul diminuării iregularităților constatate la acordarea AS și APRA și recuperării sumelor achitate necuvenit </w:t>
      </w:r>
      <w:r w:rsidR="00883673" w:rsidRPr="00B75377">
        <w:rPr>
          <w:rFonts w:asciiTheme="majorHAnsi" w:eastAsia="Times New Roman" w:hAnsiTheme="majorHAnsi" w:cstheme="majorHAnsi"/>
          <w:i/>
          <w:sz w:val="24"/>
          <w:szCs w:val="24"/>
          <w:lang w:val="ro-RO"/>
        </w:rPr>
        <w:t>(Observația 5.2</w:t>
      </w:r>
      <w:r w:rsidRPr="00B75377">
        <w:rPr>
          <w:rFonts w:asciiTheme="majorHAnsi" w:eastAsia="Times New Roman" w:hAnsiTheme="majorHAnsi" w:cstheme="majorHAnsi"/>
          <w:i/>
          <w:sz w:val="24"/>
          <w:szCs w:val="24"/>
          <w:lang w:val="ro-RO"/>
        </w:rPr>
        <w:t>.</w:t>
      </w:r>
      <w:r w:rsidR="00883673" w:rsidRPr="00B75377">
        <w:rPr>
          <w:rFonts w:asciiTheme="majorHAnsi" w:eastAsia="Times New Roman" w:hAnsiTheme="majorHAnsi" w:cstheme="majorHAnsi"/>
          <w:i/>
          <w:sz w:val="24"/>
          <w:szCs w:val="24"/>
          <w:lang w:val="ro-RO"/>
        </w:rPr>
        <w:t xml:space="preserve"> </w:t>
      </w:r>
      <w:r w:rsidR="00883673" w:rsidRPr="00B75377">
        <w:rPr>
          <w:rFonts w:asciiTheme="majorHAnsi" w:hAnsiTheme="majorHAnsi" w:cstheme="majorHAnsi"/>
          <w:i/>
          <w:sz w:val="24"/>
          <w:szCs w:val="24"/>
          <w:lang w:val="ro-RO"/>
        </w:rPr>
        <w:t>– Secțiunea V</w:t>
      </w:r>
      <w:r w:rsidRPr="00B75377">
        <w:rPr>
          <w:rFonts w:asciiTheme="majorHAnsi" w:eastAsia="Times New Roman" w:hAnsiTheme="majorHAnsi" w:cstheme="majorHAnsi"/>
          <w:i/>
          <w:sz w:val="24"/>
          <w:szCs w:val="24"/>
          <w:lang w:val="ro-RO"/>
        </w:rPr>
        <w:t>)</w:t>
      </w:r>
      <w:r w:rsidRPr="00B75377">
        <w:rPr>
          <w:rFonts w:asciiTheme="majorHAnsi" w:hAnsiTheme="majorHAnsi" w:cstheme="majorHAnsi"/>
          <w:i/>
          <w:sz w:val="24"/>
          <w:szCs w:val="24"/>
          <w:lang w:val="ro-RO"/>
        </w:rPr>
        <w:t>;</w:t>
      </w:r>
    </w:p>
    <w:p w14:paraId="236643C0" w14:textId="6C7A77EC" w:rsidR="00E21171" w:rsidRPr="00883673" w:rsidRDefault="00E21171" w:rsidP="00883673">
      <w:pPr>
        <w:pStyle w:val="ListParagraph"/>
        <w:numPr>
          <w:ilvl w:val="0"/>
          <w:numId w:val="15"/>
        </w:numPr>
        <w:spacing w:after="0" w:line="276" w:lineRule="auto"/>
        <w:jc w:val="both"/>
        <w:rPr>
          <w:rFonts w:asciiTheme="majorHAnsi" w:hAnsiTheme="majorHAnsi" w:cstheme="majorHAnsi"/>
          <w:i/>
          <w:sz w:val="24"/>
          <w:szCs w:val="24"/>
          <w:lang w:val="ro-RO"/>
        </w:rPr>
      </w:pPr>
      <w:r w:rsidRPr="00883673">
        <w:rPr>
          <w:rFonts w:asciiTheme="majorHAnsi" w:hAnsiTheme="majorHAnsi" w:cstheme="majorHAnsi"/>
          <w:i/>
          <w:sz w:val="24"/>
          <w:szCs w:val="24"/>
          <w:lang w:val="ro-RO"/>
        </w:rPr>
        <w:lastRenderedPageBreak/>
        <w:t>Să elaboreze</w:t>
      </w:r>
      <w:r w:rsidR="0058025C">
        <w:rPr>
          <w:rFonts w:asciiTheme="majorHAnsi" w:hAnsiTheme="majorHAnsi" w:cstheme="majorHAnsi"/>
          <w:i/>
          <w:sz w:val="24"/>
          <w:szCs w:val="24"/>
          <w:lang w:val="ro-RO"/>
        </w:rPr>
        <w:t>,</w:t>
      </w:r>
      <w:r w:rsidRPr="00883673">
        <w:rPr>
          <w:rFonts w:asciiTheme="majorHAnsi" w:hAnsiTheme="majorHAnsi" w:cstheme="majorHAnsi"/>
          <w:i/>
          <w:sz w:val="24"/>
          <w:szCs w:val="24"/>
          <w:lang w:val="ro-RO"/>
        </w:rPr>
        <w:t xml:space="preserve"> </w:t>
      </w:r>
      <w:r w:rsidRPr="00883673">
        <w:rPr>
          <w:rFonts w:asciiTheme="majorHAnsi" w:hAnsiTheme="majorHAnsi" w:cstheme="majorHAnsi"/>
          <w:b/>
          <w:i/>
          <w:sz w:val="24"/>
          <w:szCs w:val="24"/>
          <w:lang w:val="ro-RO"/>
        </w:rPr>
        <w:t>de comun cu ANOFM și CNAS</w:t>
      </w:r>
      <w:r w:rsidR="0058025C">
        <w:rPr>
          <w:rFonts w:asciiTheme="majorHAnsi" w:hAnsiTheme="majorHAnsi" w:cstheme="majorHAnsi"/>
          <w:b/>
          <w:i/>
          <w:sz w:val="24"/>
          <w:szCs w:val="24"/>
          <w:lang w:val="ro-RO"/>
        </w:rPr>
        <w:t>,</w:t>
      </w:r>
      <w:r w:rsidRPr="00883673">
        <w:rPr>
          <w:rFonts w:asciiTheme="majorHAnsi" w:hAnsiTheme="majorHAnsi" w:cstheme="majorHAnsi"/>
          <w:b/>
          <w:i/>
          <w:sz w:val="24"/>
          <w:szCs w:val="24"/>
          <w:lang w:val="ro-RO"/>
        </w:rPr>
        <w:t xml:space="preserve"> </w:t>
      </w:r>
      <w:r w:rsidRPr="00883673">
        <w:rPr>
          <w:rFonts w:asciiTheme="majorHAnsi" w:hAnsiTheme="majorHAnsi" w:cstheme="majorHAnsi"/>
          <w:i/>
          <w:sz w:val="24"/>
          <w:szCs w:val="24"/>
          <w:lang w:val="ro-RO"/>
        </w:rPr>
        <w:t>și să aprobe</w:t>
      </w:r>
      <w:r w:rsidR="00E07CED">
        <w:rPr>
          <w:rFonts w:asciiTheme="majorHAnsi" w:hAnsiTheme="majorHAnsi" w:cstheme="majorHAnsi"/>
          <w:i/>
          <w:sz w:val="24"/>
          <w:szCs w:val="24"/>
          <w:lang w:val="ro-RO"/>
        </w:rPr>
        <w:t>,</w:t>
      </w:r>
      <w:r w:rsidRPr="00883673">
        <w:rPr>
          <w:rFonts w:asciiTheme="majorHAnsi" w:hAnsiTheme="majorHAnsi" w:cstheme="majorHAnsi"/>
          <w:i/>
          <w:sz w:val="24"/>
          <w:szCs w:val="24"/>
          <w:lang w:val="ro-RO"/>
        </w:rPr>
        <w:t xml:space="preserve"> în modul stabilit, mecanisme și proceduri distincte privind determinarea stagiului de cotizare, în vederea stabilirii conforme a dreptului la ajutorul de șomaj </w:t>
      </w:r>
      <w:r w:rsidRPr="00883673">
        <w:rPr>
          <w:rFonts w:asciiTheme="majorHAnsi" w:eastAsia="Times New Roman" w:hAnsiTheme="majorHAnsi" w:cstheme="majorHAnsi"/>
          <w:i/>
          <w:sz w:val="24"/>
          <w:szCs w:val="24"/>
          <w:lang w:val="ro-RO"/>
        </w:rPr>
        <w:t>(Observația 6.7., 6.10.3</w:t>
      </w:r>
      <w:r w:rsidR="00883673" w:rsidRPr="00883673">
        <w:rPr>
          <w:rFonts w:asciiTheme="majorHAnsi" w:eastAsia="Times New Roman" w:hAnsiTheme="majorHAnsi" w:cstheme="majorHAnsi"/>
          <w:i/>
          <w:sz w:val="24"/>
          <w:szCs w:val="24"/>
          <w:lang w:val="ro-RO"/>
        </w:rPr>
        <w:t xml:space="preserve"> </w:t>
      </w:r>
      <w:r w:rsidR="00883673" w:rsidRPr="00883673">
        <w:rPr>
          <w:rFonts w:asciiTheme="majorHAnsi" w:hAnsiTheme="majorHAnsi" w:cstheme="majorHAnsi"/>
          <w:i/>
          <w:sz w:val="24"/>
          <w:szCs w:val="24"/>
          <w:lang w:val="ro-RO"/>
        </w:rPr>
        <w:t>– Secțiunea VI</w:t>
      </w:r>
      <w:r w:rsidRPr="00883673">
        <w:rPr>
          <w:rFonts w:asciiTheme="majorHAnsi" w:eastAsia="Times New Roman" w:hAnsiTheme="majorHAnsi" w:cstheme="majorHAnsi"/>
          <w:i/>
          <w:sz w:val="24"/>
          <w:szCs w:val="24"/>
          <w:lang w:val="ro-RO"/>
        </w:rPr>
        <w:t>)</w:t>
      </w:r>
      <w:r w:rsidRPr="00883673">
        <w:rPr>
          <w:rFonts w:asciiTheme="majorHAnsi" w:hAnsiTheme="majorHAnsi" w:cstheme="majorHAnsi"/>
          <w:i/>
          <w:sz w:val="24"/>
          <w:szCs w:val="24"/>
          <w:lang w:val="ro-RO"/>
        </w:rPr>
        <w:t>;</w:t>
      </w:r>
    </w:p>
    <w:p w14:paraId="2541E821" w14:textId="20123E6A" w:rsidR="00E21171" w:rsidRPr="00883673" w:rsidRDefault="00E21171" w:rsidP="00883673">
      <w:pPr>
        <w:pStyle w:val="ListParagraph"/>
        <w:numPr>
          <w:ilvl w:val="0"/>
          <w:numId w:val="15"/>
        </w:numPr>
        <w:spacing w:after="0" w:line="276" w:lineRule="auto"/>
        <w:jc w:val="both"/>
        <w:rPr>
          <w:rFonts w:asciiTheme="majorHAnsi" w:hAnsiTheme="majorHAnsi" w:cstheme="majorHAnsi"/>
          <w:i/>
          <w:sz w:val="24"/>
          <w:szCs w:val="24"/>
          <w:lang w:val="ro-RO"/>
        </w:rPr>
      </w:pPr>
      <w:r w:rsidRPr="00883673">
        <w:rPr>
          <w:rFonts w:asciiTheme="majorHAnsi" w:hAnsiTheme="majorHAnsi" w:cs="Calibri"/>
          <w:i/>
          <w:color w:val="000000"/>
          <w:sz w:val="24"/>
          <w:szCs w:val="24"/>
          <w:lang w:val="ro-RO"/>
        </w:rPr>
        <w:t>Să întreprindă</w:t>
      </w:r>
      <w:r w:rsidR="00E07CED">
        <w:rPr>
          <w:rFonts w:asciiTheme="majorHAnsi" w:hAnsiTheme="majorHAnsi" w:cs="Calibri"/>
          <w:i/>
          <w:color w:val="000000"/>
          <w:sz w:val="24"/>
          <w:szCs w:val="24"/>
          <w:lang w:val="ro-RO"/>
        </w:rPr>
        <w:t>,</w:t>
      </w:r>
      <w:r w:rsidRPr="00883673">
        <w:rPr>
          <w:rFonts w:asciiTheme="majorHAnsi" w:hAnsiTheme="majorHAnsi" w:cs="Calibri"/>
          <w:i/>
          <w:color w:val="000000"/>
          <w:sz w:val="24"/>
          <w:szCs w:val="24"/>
          <w:lang w:val="ro-RO"/>
        </w:rPr>
        <w:t xml:space="preserve"> </w:t>
      </w:r>
      <w:r w:rsidR="00103A00" w:rsidRPr="00883673">
        <w:rPr>
          <w:rFonts w:asciiTheme="majorHAnsi" w:hAnsiTheme="majorHAnsi" w:cs="Calibri"/>
          <w:b/>
          <w:i/>
          <w:color w:val="000000"/>
          <w:sz w:val="24"/>
          <w:szCs w:val="24"/>
          <w:lang w:val="ro-RO"/>
        </w:rPr>
        <w:t>de comun cu Compania Națională de Asigurări în Medicină</w:t>
      </w:r>
      <w:r w:rsidR="00103A00" w:rsidRPr="00883673">
        <w:rPr>
          <w:rFonts w:asciiTheme="majorHAnsi" w:hAnsiTheme="majorHAnsi" w:cs="Calibri"/>
          <w:i/>
          <w:color w:val="000000"/>
          <w:sz w:val="24"/>
          <w:szCs w:val="24"/>
          <w:lang w:val="ro-RO"/>
        </w:rPr>
        <w:t xml:space="preserve">, </w:t>
      </w:r>
      <w:r w:rsidRPr="00883673">
        <w:rPr>
          <w:rFonts w:asciiTheme="majorHAnsi" w:hAnsiTheme="majorHAnsi" w:cs="Calibri"/>
          <w:i/>
          <w:color w:val="000000"/>
          <w:sz w:val="24"/>
          <w:szCs w:val="24"/>
          <w:lang w:val="ro-RO"/>
        </w:rPr>
        <w:t xml:space="preserve">acțiuni </w:t>
      </w:r>
      <w:r w:rsidR="00E07CED">
        <w:rPr>
          <w:rFonts w:asciiTheme="majorHAnsi" w:hAnsiTheme="majorHAnsi" w:cs="Calibri"/>
          <w:i/>
          <w:color w:val="000000"/>
          <w:sz w:val="24"/>
          <w:szCs w:val="24"/>
          <w:lang w:val="ro-RO"/>
        </w:rPr>
        <w:t xml:space="preserve">de </w:t>
      </w:r>
      <w:r w:rsidRPr="00883673">
        <w:rPr>
          <w:rFonts w:asciiTheme="majorHAnsi" w:hAnsiTheme="majorHAnsi" w:cs="Calibri"/>
          <w:i/>
          <w:color w:val="000000"/>
          <w:sz w:val="24"/>
          <w:szCs w:val="24"/>
          <w:lang w:val="ro-RO"/>
        </w:rPr>
        <w:t xml:space="preserve">perfecționare a Portalului certificatelor de concediu medical, în scopul recepționării informațiilor veridice și în termen a datelor din certificatele de concediu medical </w:t>
      </w:r>
      <w:r w:rsidR="00883673" w:rsidRPr="00883673">
        <w:rPr>
          <w:rFonts w:asciiTheme="majorHAnsi" w:eastAsia="Times New Roman" w:hAnsiTheme="majorHAnsi" w:cstheme="majorHAnsi"/>
          <w:i/>
          <w:sz w:val="24"/>
          <w:szCs w:val="24"/>
          <w:lang w:val="ro-RO"/>
        </w:rPr>
        <w:t>(Observația 5.5</w:t>
      </w:r>
      <w:r w:rsidRPr="00883673">
        <w:rPr>
          <w:rFonts w:asciiTheme="majorHAnsi" w:eastAsia="Times New Roman" w:hAnsiTheme="majorHAnsi" w:cstheme="majorHAnsi"/>
          <w:i/>
          <w:sz w:val="24"/>
          <w:szCs w:val="24"/>
          <w:lang w:val="ro-RO"/>
        </w:rPr>
        <w:t>.,</w:t>
      </w:r>
      <w:r w:rsidR="00883673" w:rsidRPr="00883673">
        <w:rPr>
          <w:rFonts w:asciiTheme="majorHAnsi" w:hAnsiTheme="majorHAnsi" w:cstheme="majorHAnsi"/>
          <w:i/>
          <w:sz w:val="24"/>
          <w:szCs w:val="24"/>
          <w:lang w:val="ro-RO"/>
        </w:rPr>
        <w:t xml:space="preserve"> – Secțiunea V și</w:t>
      </w:r>
      <w:r w:rsidRPr="00883673">
        <w:rPr>
          <w:rFonts w:asciiTheme="majorHAnsi" w:eastAsia="Times New Roman" w:hAnsiTheme="majorHAnsi" w:cstheme="majorHAnsi"/>
          <w:i/>
          <w:sz w:val="24"/>
          <w:szCs w:val="24"/>
          <w:lang w:val="ro-RO"/>
        </w:rPr>
        <w:t xml:space="preserve"> </w:t>
      </w:r>
      <w:r w:rsidR="00883673" w:rsidRPr="00883673">
        <w:rPr>
          <w:rFonts w:asciiTheme="majorHAnsi" w:eastAsia="Times New Roman" w:hAnsiTheme="majorHAnsi" w:cstheme="majorHAnsi"/>
          <w:i/>
          <w:sz w:val="24"/>
          <w:szCs w:val="24"/>
          <w:lang w:val="ro-RO"/>
        </w:rPr>
        <w:t xml:space="preserve">Observația </w:t>
      </w:r>
      <w:r w:rsidRPr="00883673">
        <w:rPr>
          <w:rFonts w:asciiTheme="majorHAnsi" w:eastAsia="Times New Roman" w:hAnsiTheme="majorHAnsi" w:cstheme="majorHAnsi"/>
          <w:i/>
          <w:sz w:val="24"/>
          <w:szCs w:val="24"/>
          <w:lang w:val="ro-RO"/>
        </w:rPr>
        <w:t>6.6.</w:t>
      </w:r>
      <w:r w:rsidR="00883673" w:rsidRPr="00883673">
        <w:rPr>
          <w:rFonts w:asciiTheme="majorHAnsi" w:eastAsia="Times New Roman" w:hAnsiTheme="majorHAnsi" w:cstheme="majorHAnsi"/>
          <w:i/>
          <w:sz w:val="24"/>
          <w:szCs w:val="24"/>
          <w:lang w:val="ro-RO"/>
        </w:rPr>
        <w:t xml:space="preserve"> </w:t>
      </w:r>
      <w:r w:rsidR="00883673" w:rsidRPr="00883673">
        <w:rPr>
          <w:rFonts w:asciiTheme="majorHAnsi" w:hAnsiTheme="majorHAnsi" w:cstheme="majorHAnsi"/>
          <w:i/>
          <w:sz w:val="24"/>
          <w:szCs w:val="24"/>
          <w:lang w:val="ro-RO"/>
        </w:rPr>
        <w:t>–</w:t>
      </w:r>
      <w:r w:rsidR="00611304" w:rsidRPr="00611304">
        <w:rPr>
          <w:rFonts w:asciiTheme="majorHAnsi" w:hAnsiTheme="majorHAnsi" w:cstheme="majorHAnsi"/>
          <w:i/>
          <w:sz w:val="24"/>
          <w:szCs w:val="24"/>
          <w:lang w:val="ro-RO"/>
        </w:rPr>
        <w:t xml:space="preserve"> </w:t>
      </w:r>
      <w:r w:rsidR="00611304" w:rsidRPr="00883673">
        <w:rPr>
          <w:rFonts w:asciiTheme="majorHAnsi" w:hAnsiTheme="majorHAnsi" w:cstheme="majorHAnsi"/>
          <w:i/>
          <w:sz w:val="24"/>
          <w:szCs w:val="24"/>
          <w:lang w:val="ro-RO"/>
        </w:rPr>
        <w:t xml:space="preserve">Secțiunea </w:t>
      </w:r>
      <w:r w:rsidR="00883673" w:rsidRPr="00883673">
        <w:rPr>
          <w:rFonts w:asciiTheme="majorHAnsi" w:hAnsiTheme="majorHAnsi" w:cstheme="majorHAnsi"/>
          <w:i/>
          <w:sz w:val="24"/>
          <w:szCs w:val="24"/>
          <w:lang w:val="ro-RO"/>
        </w:rPr>
        <w:t>VI</w:t>
      </w:r>
      <w:r w:rsidRPr="00883673">
        <w:rPr>
          <w:rFonts w:asciiTheme="majorHAnsi" w:eastAsia="Times New Roman" w:hAnsiTheme="majorHAnsi" w:cstheme="majorHAnsi"/>
          <w:i/>
          <w:sz w:val="24"/>
          <w:szCs w:val="24"/>
          <w:lang w:val="ro-RO"/>
        </w:rPr>
        <w:t>)</w:t>
      </w:r>
      <w:r w:rsidRPr="00883673">
        <w:rPr>
          <w:rFonts w:asciiTheme="majorHAnsi" w:hAnsiTheme="majorHAnsi" w:cs="Calibri"/>
          <w:i/>
          <w:color w:val="000000"/>
          <w:sz w:val="24"/>
          <w:szCs w:val="24"/>
          <w:lang w:val="ro-RO"/>
        </w:rPr>
        <w:t>;</w:t>
      </w:r>
    </w:p>
    <w:p w14:paraId="6E9C872A" w14:textId="127B940A" w:rsidR="00103A00" w:rsidRPr="006F6B20" w:rsidRDefault="006F6B20" w:rsidP="00883673">
      <w:pPr>
        <w:pStyle w:val="ListParagraph"/>
        <w:numPr>
          <w:ilvl w:val="0"/>
          <w:numId w:val="15"/>
        </w:numPr>
        <w:spacing w:after="0" w:line="276" w:lineRule="auto"/>
        <w:jc w:val="both"/>
        <w:rPr>
          <w:rFonts w:asciiTheme="majorHAnsi" w:hAnsiTheme="majorHAnsi" w:cstheme="majorHAnsi"/>
          <w:i/>
          <w:sz w:val="24"/>
          <w:szCs w:val="24"/>
          <w:lang w:val="ro-RO"/>
        </w:rPr>
      </w:pPr>
      <w:r w:rsidRPr="006F6B20">
        <w:rPr>
          <w:rFonts w:asciiTheme="majorHAnsi" w:hAnsiTheme="majorHAnsi" w:cs="Calibri"/>
          <w:i/>
          <w:color w:val="000000"/>
          <w:sz w:val="24"/>
          <w:szCs w:val="24"/>
          <w:lang w:val="ro-RO"/>
        </w:rPr>
        <w:t>Să examineze</w:t>
      </w:r>
      <w:r w:rsidR="00E07CED">
        <w:rPr>
          <w:rFonts w:asciiTheme="majorHAnsi" w:hAnsiTheme="majorHAnsi" w:cs="Calibri"/>
          <w:i/>
          <w:color w:val="000000"/>
          <w:sz w:val="24"/>
          <w:szCs w:val="24"/>
          <w:lang w:val="ro-RO"/>
        </w:rPr>
        <w:t>,</w:t>
      </w:r>
      <w:r w:rsidRPr="006F6B20">
        <w:rPr>
          <w:rFonts w:asciiTheme="majorHAnsi" w:hAnsiTheme="majorHAnsi" w:cs="Calibri"/>
          <w:i/>
          <w:color w:val="000000"/>
          <w:sz w:val="24"/>
          <w:szCs w:val="24"/>
          <w:lang w:val="ro-RO"/>
        </w:rPr>
        <w:t xml:space="preserve"> </w:t>
      </w:r>
      <w:r w:rsidRPr="005A4F77">
        <w:rPr>
          <w:rFonts w:asciiTheme="majorHAnsi" w:hAnsiTheme="majorHAnsi" w:cs="Calibri"/>
          <w:b/>
          <w:i/>
          <w:color w:val="000000"/>
          <w:sz w:val="24"/>
          <w:szCs w:val="24"/>
          <w:lang w:val="ro-RO"/>
        </w:rPr>
        <w:t xml:space="preserve">de comun cu </w:t>
      </w:r>
      <w:r w:rsidRPr="00E07CED">
        <w:rPr>
          <w:rFonts w:asciiTheme="majorHAnsi" w:hAnsiTheme="majorHAnsi" w:cs="Calibri"/>
          <w:b/>
          <w:i/>
          <w:color w:val="000000"/>
          <w:sz w:val="24"/>
          <w:szCs w:val="24"/>
          <w:lang w:val="ro-RO"/>
        </w:rPr>
        <w:t>C</w:t>
      </w:r>
      <w:r w:rsidRPr="006F6B20">
        <w:rPr>
          <w:rFonts w:asciiTheme="majorHAnsi" w:hAnsiTheme="majorHAnsi" w:cs="Calibri"/>
          <w:b/>
          <w:i/>
          <w:color w:val="000000"/>
          <w:sz w:val="24"/>
          <w:szCs w:val="24"/>
          <w:lang w:val="ro-RO"/>
        </w:rPr>
        <w:t>NAM și CNAS</w:t>
      </w:r>
      <w:r w:rsidR="00E07CED">
        <w:rPr>
          <w:rFonts w:asciiTheme="majorHAnsi" w:hAnsiTheme="majorHAnsi" w:cs="Calibri"/>
          <w:b/>
          <w:i/>
          <w:color w:val="000000"/>
          <w:sz w:val="24"/>
          <w:szCs w:val="24"/>
          <w:lang w:val="ro-RO"/>
        </w:rPr>
        <w:t>,</w:t>
      </w:r>
      <w:r w:rsidRPr="006F6B20">
        <w:rPr>
          <w:rFonts w:asciiTheme="majorHAnsi" w:hAnsiTheme="majorHAnsi" w:cs="Calibri"/>
          <w:b/>
          <w:i/>
          <w:color w:val="000000"/>
          <w:sz w:val="24"/>
          <w:szCs w:val="24"/>
          <w:lang w:val="ro-RO"/>
        </w:rPr>
        <w:t xml:space="preserve"> </w:t>
      </w:r>
      <w:r w:rsidRPr="006F6B20">
        <w:rPr>
          <w:rFonts w:asciiTheme="majorHAnsi" w:hAnsiTheme="majorHAnsi" w:cs="Calibri"/>
          <w:i/>
          <w:color w:val="000000"/>
          <w:sz w:val="24"/>
          <w:szCs w:val="24"/>
          <w:lang w:val="ro-RO"/>
        </w:rPr>
        <w:t>și</w:t>
      </w:r>
      <w:r w:rsidR="00883673">
        <w:rPr>
          <w:rFonts w:asciiTheme="majorHAnsi" w:hAnsiTheme="majorHAnsi" w:cs="Calibri"/>
          <w:i/>
          <w:color w:val="000000"/>
          <w:sz w:val="24"/>
          <w:szCs w:val="24"/>
          <w:lang w:val="ro-RO"/>
        </w:rPr>
        <w:t xml:space="preserve"> în continuare</w:t>
      </w:r>
      <w:r w:rsidRPr="006F6B20">
        <w:rPr>
          <w:rFonts w:asciiTheme="majorHAnsi" w:hAnsiTheme="majorHAnsi" w:cs="Calibri"/>
          <w:i/>
          <w:color w:val="000000"/>
          <w:sz w:val="24"/>
          <w:szCs w:val="24"/>
          <w:lang w:val="ro-RO"/>
        </w:rPr>
        <w:t xml:space="preserve"> să întreprindă măsuri de remediere/soluționare a problemei aferente introducerii</w:t>
      </w:r>
      <w:r>
        <w:rPr>
          <w:rFonts w:asciiTheme="majorHAnsi" w:hAnsiTheme="majorHAnsi" w:cs="Calibri"/>
          <w:i/>
          <w:color w:val="000000"/>
          <w:sz w:val="24"/>
          <w:szCs w:val="24"/>
          <w:lang w:val="ro-RO"/>
        </w:rPr>
        <w:t xml:space="preserve"> tardive</w:t>
      </w:r>
      <w:r w:rsidR="00F50D35">
        <w:rPr>
          <w:rFonts w:asciiTheme="majorHAnsi" w:hAnsiTheme="majorHAnsi" w:cs="Calibri"/>
          <w:i/>
          <w:color w:val="000000"/>
          <w:sz w:val="24"/>
          <w:szCs w:val="24"/>
          <w:lang w:val="ro-RO"/>
        </w:rPr>
        <w:t xml:space="preserve"> de către IMSP</w:t>
      </w:r>
      <w:r>
        <w:rPr>
          <w:rFonts w:asciiTheme="majorHAnsi" w:hAnsiTheme="majorHAnsi" w:cs="Calibri"/>
          <w:i/>
          <w:color w:val="000000"/>
          <w:sz w:val="24"/>
          <w:szCs w:val="24"/>
          <w:lang w:val="ro-RO"/>
        </w:rPr>
        <w:t xml:space="preserve"> a</w:t>
      </w:r>
      <w:r w:rsidRPr="006F6B20">
        <w:rPr>
          <w:rFonts w:asciiTheme="majorHAnsi" w:hAnsiTheme="majorHAnsi" w:cs="Calibri"/>
          <w:i/>
          <w:color w:val="000000"/>
          <w:sz w:val="24"/>
          <w:szCs w:val="24"/>
          <w:lang w:val="ro-RO"/>
        </w:rPr>
        <w:t xml:space="preserve"> datelor</w:t>
      </w:r>
      <w:r>
        <w:rPr>
          <w:rFonts w:asciiTheme="majorHAnsi" w:hAnsiTheme="majorHAnsi" w:cs="Calibri"/>
          <w:i/>
          <w:color w:val="000000"/>
          <w:sz w:val="24"/>
          <w:szCs w:val="24"/>
          <w:lang w:val="ro-RO"/>
        </w:rPr>
        <w:t xml:space="preserve"> din </w:t>
      </w:r>
      <w:r w:rsidRPr="001C4E54">
        <w:rPr>
          <w:rFonts w:asciiTheme="majorHAnsi" w:hAnsiTheme="majorHAnsi" w:cs="Calibri"/>
          <w:i/>
          <w:color w:val="000000"/>
          <w:sz w:val="24"/>
          <w:lang w:val="ro-RO"/>
        </w:rPr>
        <w:t>certificatel</w:t>
      </w:r>
      <w:r>
        <w:rPr>
          <w:rFonts w:asciiTheme="majorHAnsi" w:hAnsiTheme="majorHAnsi" w:cs="Calibri"/>
          <w:i/>
          <w:color w:val="000000"/>
          <w:sz w:val="24"/>
          <w:lang w:val="ro-RO"/>
        </w:rPr>
        <w:t>e</w:t>
      </w:r>
      <w:r w:rsidR="00F50D35">
        <w:rPr>
          <w:rFonts w:asciiTheme="majorHAnsi" w:hAnsiTheme="majorHAnsi" w:cs="Calibri"/>
          <w:i/>
          <w:color w:val="000000"/>
          <w:sz w:val="24"/>
          <w:lang w:val="ro-RO"/>
        </w:rPr>
        <w:t xml:space="preserve"> de concediu medical </w:t>
      </w:r>
      <w:r w:rsidR="00F50D35" w:rsidRPr="00883673">
        <w:rPr>
          <w:rFonts w:asciiTheme="majorHAnsi" w:eastAsia="Times New Roman" w:hAnsiTheme="majorHAnsi" w:cstheme="majorHAnsi"/>
          <w:i/>
          <w:sz w:val="24"/>
          <w:szCs w:val="24"/>
          <w:lang w:val="ro-RO"/>
        </w:rPr>
        <w:t>(Observația 5.5.,</w:t>
      </w:r>
      <w:r w:rsidR="00F50D35" w:rsidRPr="00883673">
        <w:rPr>
          <w:rFonts w:asciiTheme="majorHAnsi" w:hAnsiTheme="majorHAnsi" w:cstheme="majorHAnsi"/>
          <w:i/>
          <w:sz w:val="24"/>
          <w:szCs w:val="24"/>
          <w:lang w:val="ro-RO"/>
        </w:rPr>
        <w:t xml:space="preserve"> – Secțiunea V și</w:t>
      </w:r>
      <w:r w:rsidR="00F50D35" w:rsidRPr="00883673">
        <w:rPr>
          <w:rFonts w:asciiTheme="majorHAnsi" w:eastAsia="Times New Roman" w:hAnsiTheme="majorHAnsi" w:cstheme="majorHAnsi"/>
          <w:i/>
          <w:sz w:val="24"/>
          <w:szCs w:val="24"/>
          <w:lang w:val="ro-RO"/>
        </w:rPr>
        <w:t xml:space="preserve"> Observația 6.6. </w:t>
      </w:r>
      <w:r w:rsidR="00F50D35" w:rsidRPr="00883673">
        <w:rPr>
          <w:rFonts w:asciiTheme="majorHAnsi" w:hAnsiTheme="majorHAnsi" w:cstheme="majorHAnsi"/>
          <w:i/>
          <w:sz w:val="24"/>
          <w:szCs w:val="24"/>
          <w:lang w:val="ro-RO"/>
        </w:rPr>
        <w:t>–</w:t>
      </w:r>
      <w:r w:rsidR="00611304">
        <w:rPr>
          <w:rFonts w:asciiTheme="majorHAnsi" w:hAnsiTheme="majorHAnsi" w:cstheme="majorHAnsi"/>
          <w:i/>
          <w:sz w:val="24"/>
          <w:szCs w:val="24"/>
          <w:lang w:val="ro-RO"/>
        </w:rPr>
        <w:t xml:space="preserve"> </w:t>
      </w:r>
      <w:r w:rsidR="00611304" w:rsidRPr="00883673">
        <w:rPr>
          <w:rFonts w:asciiTheme="majorHAnsi" w:hAnsiTheme="majorHAnsi" w:cstheme="majorHAnsi"/>
          <w:i/>
          <w:sz w:val="24"/>
          <w:szCs w:val="24"/>
          <w:lang w:val="ro-RO"/>
        </w:rPr>
        <w:t xml:space="preserve">Secțiunea </w:t>
      </w:r>
      <w:r w:rsidR="00F50D35" w:rsidRPr="00883673">
        <w:rPr>
          <w:rFonts w:asciiTheme="majorHAnsi" w:hAnsiTheme="majorHAnsi" w:cstheme="majorHAnsi"/>
          <w:i/>
          <w:sz w:val="24"/>
          <w:szCs w:val="24"/>
          <w:lang w:val="ro-RO"/>
        </w:rPr>
        <w:t>VI</w:t>
      </w:r>
      <w:r w:rsidR="00F50D35" w:rsidRPr="00883673">
        <w:rPr>
          <w:rFonts w:asciiTheme="majorHAnsi" w:eastAsia="Times New Roman" w:hAnsiTheme="majorHAnsi" w:cstheme="majorHAnsi"/>
          <w:i/>
          <w:sz w:val="24"/>
          <w:szCs w:val="24"/>
          <w:lang w:val="ro-RO"/>
        </w:rPr>
        <w:t>)</w:t>
      </w:r>
      <w:r w:rsidR="00F50D35" w:rsidRPr="00883673">
        <w:rPr>
          <w:rFonts w:asciiTheme="majorHAnsi" w:hAnsiTheme="majorHAnsi" w:cs="Calibri"/>
          <w:i/>
          <w:color w:val="000000"/>
          <w:sz w:val="24"/>
          <w:szCs w:val="24"/>
          <w:lang w:val="ro-RO"/>
        </w:rPr>
        <w:t>;</w:t>
      </w:r>
    </w:p>
    <w:p w14:paraId="6C73097C" w14:textId="0E545498" w:rsidR="00E21171" w:rsidRDefault="00E21171" w:rsidP="00883673">
      <w:pPr>
        <w:pStyle w:val="NormalWeb"/>
        <w:numPr>
          <w:ilvl w:val="0"/>
          <w:numId w:val="15"/>
        </w:numPr>
        <w:spacing w:line="276" w:lineRule="auto"/>
        <w:rPr>
          <w:rFonts w:asciiTheme="majorHAnsi" w:hAnsiTheme="majorHAnsi" w:cstheme="majorHAnsi"/>
          <w:i/>
          <w:lang w:val="ro-RO"/>
        </w:rPr>
      </w:pPr>
      <w:r>
        <w:rPr>
          <w:rFonts w:asciiTheme="majorHAnsi" w:hAnsiTheme="majorHAnsi" w:cstheme="majorHAnsi"/>
          <w:i/>
          <w:lang w:val="ro-RO"/>
        </w:rPr>
        <w:t>S</w:t>
      </w:r>
      <w:r w:rsidRPr="00543566">
        <w:rPr>
          <w:rFonts w:asciiTheme="majorHAnsi" w:hAnsiTheme="majorHAnsi" w:cstheme="majorHAnsi"/>
          <w:i/>
          <w:lang w:val="ro-RO"/>
        </w:rPr>
        <w:t xml:space="preserve">ă elaboreze, </w:t>
      </w:r>
      <w:r w:rsidRPr="00543566">
        <w:rPr>
          <w:rFonts w:asciiTheme="majorHAnsi" w:hAnsiTheme="majorHAnsi" w:cstheme="majorHAnsi"/>
          <w:b/>
          <w:i/>
          <w:lang w:val="ro-RO"/>
        </w:rPr>
        <w:t>de comun cu CNAS și cu autoritățile de forță</w:t>
      </w:r>
      <w:r w:rsidRPr="00543566">
        <w:rPr>
          <w:rFonts w:asciiTheme="majorHAnsi" w:hAnsiTheme="majorHAnsi" w:cstheme="majorHAnsi"/>
          <w:i/>
          <w:lang w:val="ro-RO"/>
        </w:rPr>
        <w:t>, să aprobe</w:t>
      </w:r>
      <w:r>
        <w:rPr>
          <w:rFonts w:asciiTheme="majorHAnsi" w:hAnsiTheme="majorHAnsi" w:cstheme="majorHAnsi"/>
          <w:i/>
          <w:lang w:val="ro-RO"/>
        </w:rPr>
        <w:t xml:space="preserve"> și să promoveze</w:t>
      </w:r>
      <w:r w:rsidRPr="00543566">
        <w:rPr>
          <w:rFonts w:asciiTheme="majorHAnsi" w:hAnsiTheme="majorHAnsi" w:cstheme="majorHAnsi"/>
          <w:i/>
          <w:lang w:val="ro-RO"/>
        </w:rPr>
        <w:t>, în modul stabilit, propuneri privind modificarea/completarea cadrului legislativ-normativ, în vederea descrierii clare și exhaustive a instrumentelor, mecanismelor, tehnicilor și procedurilor de calculare a vechimii în muncă și a soldei (câștigului) din care se calculează pensia</w:t>
      </w:r>
      <w:r>
        <w:rPr>
          <w:rFonts w:asciiTheme="majorHAnsi" w:hAnsiTheme="majorHAnsi" w:cstheme="majorHAnsi"/>
          <w:i/>
          <w:lang w:val="ro-RO"/>
        </w:rPr>
        <w:t xml:space="preserve"> (Observația 6.5.</w:t>
      </w:r>
      <w:r w:rsidR="00B55AF6" w:rsidRPr="00B55AF6">
        <w:rPr>
          <w:rFonts w:asciiTheme="majorHAnsi" w:hAnsiTheme="majorHAnsi" w:cstheme="majorHAnsi"/>
          <w:i/>
          <w:lang w:val="ro-RO"/>
        </w:rPr>
        <w:t xml:space="preserve"> </w:t>
      </w:r>
      <w:r w:rsidR="00B55AF6" w:rsidRPr="00883673">
        <w:rPr>
          <w:rFonts w:asciiTheme="majorHAnsi" w:hAnsiTheme="majorHAnsi" w:cstheme="majorHAnsi"/>
          <w:i/>
          <w:lang w:val="ro-RO"/>
        </w:rPr>
        <w:t>–</w:t>
      </w:r>
      <w:r w:rsidR="00B55AF6">
        <w:rPr>
          <w:rFonts w:asciiTheme="majorHAnsi" w:hAnsiTheme="majorHAnsi" w:cstheme="majorHAnsi"/>
          <w:i/>
          <w:lang w:val="ro-RO"/>
        </w:rPr>
        <w:t xml:space="preserve"> </w:t>
      </w:r>
      <w:r w:rsidR="00B55AF6" w:rsidRPr="00883673">
        <w:rPr>
          <w:rFonts w:asciiTheme="majorHAnsi" w:hAnsiTheme="majorHAnsi" w:cstheme="majorHAnsi"/>
          <w:i/>
          <w:lang w:val="ro-RO"/>
        </w:rPr>
        <w:t>Secțiunea VI</w:t>
      </w:r>
      <w:r>
        <w:rPr>
          <w:rFonts w:asciiTheme="majorHAnsi" w:hAnsiTheme="majorHAnsi" w:cstheme="majorHAnsi"/>
          <w:i/>
          <w:lang w:val="ro-RO"/>
        </w:rPr>
        <w:t>);</w:t>
      </w:r>
      <w:r w:rsidRPr="00543566">
        <w:rPr>
          <w:rFonts w:asciiTheme="majorHAnsi" w:hAnsiTheme="majorHAnsi" w:cstheme="majorHAnsi"/>
          <w:i/>
          <w:lang w:val="ro-RO"/>
        </w:rPr>
        <w:t xml:space="preserve"> </w:t>
      </w:r>
    </w:p>
    <w:p w14:paraId="143FCF8A" w14:textId="4E5645F4" w:rsidR="00E21171" w:rsidRPr="001C4E54" w:rsidRDefault="00E21171" w:rsidP="00883673">
      <w:pPr>
        <w:pStyle w:val="NormalWeb"/>
        <w:numPr>
          <w:ilvl w:val="0"/>
          <w:numId w:val="15"/>
        </w:numPr>
        <w:spacing w:line="276" w:lineRule="auto"/>
        <w:rPr>
          <w:rFonts w:asciiTheme="majorHAnsi" w:hAnsiTheme="majorHAnsi" w:cstheme="majorHAnsi"/>
          <w:i/>
          <w:lang w:val="ro-RO"/>
        </w:rPr>
      </w:pPr>
      <w:r w:rsidRPr="001C4E54">
        <w:rPr>
          <w:rFonts w:asciiTheme="majorHAnsi" w:hAnsiTheme="majorHAnsi" w:cstheme="majorHAnsi"/>
          <w:i/>
          <w:lang w:val="ro-RO"/>
        </w:rPr>
        <w:t>Să elaboreze și să înainteze, în modul stabilit, propuneri de ajustare a cadrului normativ ce reglementează acordarea înlesnirilor la calcularea vechimii în muncă angajaților cu activități în cadrul izolatoarelor de detenție provizorie din inspectoratele de poliție, în vederea excluderii litig</w:t>
      </w:r>
      <w:r>
        <w:rPr>
          <w:rFonts w:asciiTheme="majorHAnsi" w:hAnsiTheme="majorHAnsi" w:cstheme="majorHAnsi"/>
          <w:i/>
          <w:lang w:val="ro-RO"/>
        </w:rPr>
        <w:t>iilor în instanțele de judecată (Observația 6.5.</w:t>
      </w:r>
      <w:r w:rsidR="00B55AF6" w:rsidRPr="00B55AF6">
        <w:rPr>
          <w:rFonts w:asciiTheme="majorHAnsi" w:hAnsiTheme="majorHAnsi" w:cstheme="majorHAnsi"/>
          <w:i/>
          <w:lang w:val="ro-RO"/>
        </w:rPr>
        <w:t xml:space="preserve"> </w:t>
      </w:r>
      <w:r w:rsidR="00B55AF6" w:rsidRPr="00883673">
        <w:rPr>
          <w:rFonts w:asciiTheme="majorHAnsi" w:hAnsiTheme="majorHAnsi" w:cstheme="majorHAnsi"/>
          <w:i/>
          <w:lang w:val="ro-RO"/>
        </w:rPr>
        <w:t>–</w:t>
      </w:r>
      <w:r w:rsidR="00B55AF6">
        <w:rPr>
          <w:rFonts w:asciiTheme="majorHAnsi" w:hAnsiTheme="majorHAnsi" w:cstheme="majorHAnsi"/>
          <w:i/>
          <w:lang w:val="ro-RO"/>
        </w:rPr>
        <w:t xml:space="preserve"> </w:t>
      </w:r>
      <w:r w:rsidR="00B55AF6" w:rsidRPr="00883673">
        <w:rPr>
          <w:rFonts w:asciiTheme="majorHAnsi" w:hAnsiTheme="majorHAnsi" w:cstheme="majorHAnsi"/>
          <w:i/>
          <w:lang w:val="ro-RO"/>
        </w:rPr>
        <w:t>Secțiunea VI</w:t>
      </w:r>
      <w:r>
        <w:rPr>
          <w:rFonts w:asciiTheme="majorHAnsi" w:hAnsiTheme="majorHAnsi" w:cstheme="majorHAnsi"/>
          <w:i/>
          <w:lang w:val="ro-RO"/>
        </w:rPr>
        <w:t>);</w:t>
      </w:r>
    </w:p>
    <w:p w14:paraId="6F098D6A" w14:textId="77777777" w:rsidR="00E21171" w:rsidRPr="00187D2B" w:rsidRDefault="00E21171" w:rsidP="00E21171">
      <w:pPr>
        <w:pStyle w:val="NormalWeb"/>
        <w:spacing w:before="240" w:line="276" w:lineRule="auto"/>
        <w:ind w:firstLine="0"/>
        <w:rPr>
          <w:rFonts w:asciiTheme="majorHAnsi" w:hAnsiTheme="majorHAnsi" w:cstheme="majorHAnsi"/>
          <w:b/>
          <w:u w:val="single"/>
          <w:lang w:val="ro-RO"/>
        </w:rPr>
      </w:pPr>
      <w:r w:rsidRPr="00187D2B">
        <w:rPr>
          <w:rFonts w:asciiTheme="majorHAnsi" w:hAnsiTheme="majorHAnsi" w:cstheme="majorHAnsi"/>
          <w:b/>
          <w:u w:val="single"/>
          <w:lang w:val="ro-RO"/>
        </w:rPr>
        <w:t>Recomandare Ministerului Afacerilor Interne:</w:t>
      </w:r>
    </w:p>
    <w:p w14:paraId="5C8302C2" w14:textId="775CC7FE" w:rsidR="00E21171" w:rsidRPr="001C4E54" w:rsidRDefault="00E21171" w:rsidP="00883673">
      <w:pPr>
        <w:pStyle w:val="ListParagraph"/>
        <w:numPr>
          <w:ilvl w:val="0"/>
          <w:numId w:val="15"/>
        </w:numPr>
        <w:spacing w:line="276" w:lineRule="auto"/>
        <w:jc w:val="both"/>
        <w:rPr>
          <w:rFonts w:asciiTheme="majorHAnsi" w:hAnsiTheme="majorHAnsi" w:cstheme="majorHAnsi"/>
          <w:bCs/>
          <w:i/>
          <w:sz w:val="24"/>
          <w:szCs w:val="24"/>
          <w:lang w:val="ro-RO"/>
        </w:rPr>
      </w:pPr>
      <w:r w:rsidRPr="001C4E54">
        <w:rPr>
          <w:rFonts w:asciiTheme="majorHAnsi" w:hAnsiTheme="majorHAnsi" w:cstheme="majorHAnsi"/>
          <w:bCs/>
          <w:i/>
          <w:sz w:val="24"/>
          <w:szCs w:val="24"/>
          <w:lang w:val="ro-RO"/>
        </w:rPr>
        <w:t xml:space="preserve">Să ajusteze  Ordinul nr.96 din 20.03.2018 „Cu privire la recunoaşterea unor înlesniri pentru stabilirea pensiei anumitor categorii de funcţionari publici cu statut special şi militar din cadrul Ministerului Afacerilor Interne”, în corespundere cu Hotărârea Guvernului nr. 78 din 21.02.1994 </w:t>
      </w:r>
      <w:r w:rsidR="00E07CED">
        <w:rPr>
          <w:rFonts w:asciiTheme="majorHAnsi" w:hAnsiTheme="majorHAnsi" w:cstheme="majorHAnsi"/>
          <w:bCs/>
          <w:i/>
          <w:sz w:val="24"/>
          <w:szCs w:val="24"/>
          <w:lang w:val="ro-RO"/>
        </w:rPr>
        <w:t>„C</w:t>
      </w:r>
      <w:r w:rsidRPr="001C4E54">
        <w:rPr>
          <w:rFonts w:asciiTheme="majorHAnsi" w:hAnsiTheme="majorHAnsi" w:cstheme="majorHAnsi"/>
          <w:bCs/>
          <w:i/>
          <w:sz w:val="24"/>
          <w:szCs w:val="24"/>
          <w:lang w:val="ro-RO"/>
        </w:rPr>
        <w:t>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w:t>
      </w:r>
      <w:r w:rsidR="00304AB8">
        <w:rPr>
          <w:rFonts w:asciiTheme="majorHAnsi" w:hAnsiTheme="majorHAnsi" w:cstheme="majorHAnsi"/>
          <w:bCs/>
          <w:i/>
          <w:sz w:val="24"/>
          <w:szCs w:val="24"/>
          <w:lang w:val="ro-RO"/>
        </w:rPr>
        <w:t>e</w:t>
      </w:r>
      <w:r w:rsidRPr="001C4E54">
        <w:rPr>
          <w:rFonts w:asciiTheme="majorHAnsi" w:hAnsiTheme="majorHAnsi" w:cstheme="majorHAnsi"/>
          <w:bCs/>
          <w:i/>
          <w:sz w:val="24"/>
          <w:szCs w:val="24"/>
          <w:lang w:val="ro-RO"/>
        </w:rPr>
        <w:t xml:space="preserve"> și respectarea normelor prevăzute </w:t>
      </w:r>
      <w:r w:rsidR="00304AB8">
        <w:rPr>
          <w:rFonts w:asciiTheme="majorHAnsi" w:hAnsiTheme="majorHAnsi" w:cstheme="majorHAnsi"/>
          <w:bCs/>
          <w:i/>
          <w:sz w:val="24"/>
          <w:szCs w:val="24"/>
          <w:lang w:val="ro-RO"/>
        </w:rPr>
        <w:t>de</w:t>
      </w:r>
      <w:r w:rsidRPr="001C4E54">
        <w:rPr>
          <w:rFonts w:asciiTheme="majorHAnsi" w:hAnsiTheme="majorHAnsi" w:cstheme="majorHAnsi"/>
          <w:bCs/>
          <w:i/>
          <w:sz w:val="24"/>
          <w:szCs w:val="24"/>
          <w:lang w:val="ro-RO"/>
        </w:rPr>
        <w:t xml:space="preserve"> art.16 alin.(2) și art.37 alin.(4) ale Legii cu privire la actele normative nr.100 din 22.12.2017</w:t>
      </w:r>
      <w:r>
        <w:rPr>
          <w:rFonts w:asciiTheme="majorHAnsi" w:hAnsiTheme="majorHAnsi" w:cstheme="majorHAnsi"/>
          <w:bCs/>
          <w:i/>
          <w:sz w:val="24"/>
          <w:szCs w:val="24"/>
          <w:lang w:val="ro-RO"/>
        </w:rPr>
        <w:t xml:space="preserve"> </w:t>
      </w:r>
      <w:r>
        <w:rPr>
          <w:rFonts w:asciiTheme="majorHAnsi" w:eastAsia="Times New Roman" w:hAnsiTheme="majorHAnsi" w:cstheme="majorHAnsi"/>
          <w:i/>
          <w:sz w:val="24"/>
          <w:szCs w:val="24"/>
          <w:lang w:val="ro-RO"/>
        </w:rPr>
        <w:t>(Observația 6.5.</w:t>
      </w:r>
      <w:r w:rsidR="00B55AF6">
        <w:rPr>
          <w:rFonts w:asciiTheme="majorHAnsi" w:eastAsia="Times New Roman" w:hAnsiTheme="majorHAnsi" w:cstheme="majorHAnsi"/>
          <w:i/>
          <w:sz w:val="24"/>
          <w:szCs w:val="24"/>
          <w:lang w:val="ro-RO"/>
        </w:rPr>
        <w:t xml:space="preserve"> </w:t>
      </w:r>
      <w:r w:rsidR="00B55AF6" w:rsidRPr="00883673">
        <w:rPr>
          <w:rFonts w:asciiTheme="majorHAnsi" w:hAnsiTheme="majorHAnsi" w:cstheme="majorHAnsi"/>
          <w:i/>
          <w:sz w:val="24"/>
          <w:szCs w:val="24"/>
          <w:lang w:val="ro-RO"/>
        </w:rPr>
        <w:t>–</w:t>
      </w:r>
      <w:r w:rsidR="00B55AF6">
        <w:rPr>
          <w:rFonts w:asciiTheme="majorHAnsi" w:hAnsiTheme="majorHAnsi" w:cstheme="majorHAnsi"/>
          <w:i/>
          <w:sz w:val="24"/>
          <w:szCs w:val="24"/>
          <w:lang w:val="ro-RO"/>
        </w:rPr>
        <w:t xml:space="preserve"> </w:t>
      </w:r>
      <w:r w:rsidR="00B55AF6" w:rsidRPr="00883673">
        <w:rPr>
          <w:rFonts w:asciiTheme="majorHAnsi" w:hAnsiTheme="majorHAnsi" w:cstheme="majorHAnsi"/>
          <w:i/>
          <w:sz w:val="24"/>
          <w:szCs w:val="24"/>
          <w:lang w:val="ro-RO"/>
        </w:rPr>
        <w:t>Secțiunea VI</w:t>
      </w:r>
      <w:r>
        <w:rPr>
          <w:rFonts w:asciiTheme="majorHAnsi" w:eastAsia="Times New Roman" w:hAnsiTheme="majorHAnsi" w:cstheme="majorHAnsi"/>
          <w:i/>
          <w:sz w:val="24"/>
          <w:szCs w:val="24"/>
          <w:lang w:val="ro-RO"/>
        </w:rPr>
        <w:t>)</w:t>
      </w:r>
      <w:r w:rsidRPr="001C4E54">
        <w:rPr>
          <w:rFonts w:asciiTheme="majorHAnsi" w:hAnsiTheme="majorHAnsi" w:cstheme="majorHAnsi"/>
          <w:bCs/>
          <w:i/>
          <w:sz w:val="24"/>
          <w:szCs w:val="24"/>
          <w:lang w:val="ro-RO"/>
        </w:rPr>
        <w:t>;</w:t>
      </w:r>
    </w:p>
    <w:p w14:paraId="290DB202" w14:textId="77777777" w:rsidR="00E21171" w:rsidRPr="00E75D2F" w:rsidRDefault="00E21171" w:rsidP="00E21171">
      <w:pPr>
        <w:pStyle w:val="NormalWeb"/>
        <w:spacing w:line="276" w:lineRule="auto"/>
        <w:ind w:firstLine="0"/>
        <w:rPr>
          <w:rFonts w:asciiTheme="majorHAnsi" w:hAnsiTheme="majorHAnsi" w:cstheme="majorHAnsi"/>
          <w:b/>
          <w:noProof/>
          <w:u w:val="single"/>
          <w:lang w:val="ro-RO"/>
        </w:rPr>
      </w:pPr>
      <w:r w:rsidRPr="00E75D2F">
        <w:rPr>
          <w:rFonts w:asciiTheme="majorHAnsi" w:hAnsiTheme="majorHAnsi" w:cstheme="majorHAnsi"/>
          <w:b/>
          <w:noProof/>
          <w:u w:val="single"/>
          <w:lang w:val="ro-RO"/>
        </w:rPr>
        <w:t>Recomandări Casei Naționale de Asigurări Sociale:</w:t>
      </w:r>
    </w:p>
    <w:p w14:paraId="35A0552F" w14:textId="612D6D00" w:rsidR="00BC458C" w:rsidRPr="00BC458C" w:rsidRDefault="008E0BD7" w:rsidP="00BC458C">
      <w:pPr>
        <w:pStyle w:val="ListParagraph"/>
        <w:numPr>
          <w:ilvl w:val="0"/>
          <w:numId w:val="15"/>
        </w:numPr>
        <w:spacing w:after="0" w:line="276" w:lineRule="auto"/>
        <w:jc w:val="both"/>
        <w:rPr>
          <w:rFonts w:asciiTheme="majorHAnsi" w:hAnsiTheme="majorHAnsi" w:cstheme="majorHAnsi"/>
          <w:i/>
          <w:sz w:val="24"/>
          <w:szCs w:val="24"/>
          <w:lang w:val="ro-RO"/>
        </w:rPr>
      </w:pPr>
      <w:r>
        <w:rPr>
          <w:rFonts w:asciiTheme="majorHAnsi" w:eastAsia="Times New Roman" w:hAnsiTheme="majorHAnsi" w:cs="Times New Roman"/>
          <w:i/>
          <w:color w:val="000000"/>
          <w:sz w:val="24"/>
          <w:szCs w:val="24"/>
          <w:lang w:val="ro-RO" w:eastAsia="ru-RU"/>
        </w:rPr>
        <w:t>S</w:t>
      </w:r>
      <w:r w:rsidR="00BC458C" w:rsidRPr="00BC458C">
        <w:rPr>
          <w:rFonts w:asciiTheme="majorHAnsi" w:eastAsia="Times New Roman" w:hAnsiTheme="majorHAnsi" w:cs="Times New Roman"/>
          <w:i/>
          <w:color w:val="000000"/>
          <w:sz w:val="24"/>
          <w:szCs w:val="24"/>
          <w:lang w:val="ro-RO" w:eastAsia="ru-RU"/>
        </w:rPr>
        <w:t xml:space="preserve">ă intensifice controlul asupra autenticității actelor ce confirmă vechimea în serviciu şi solda (câştigul), eliberate de organele abilitate, în baza prevederilor art.49 alin.(3) din Legea nr.1544-XII din 23.06.1993 </w:t>
      </w:r>
      <w:r w:rsidR="00BC458C" w:rsidRPr="00BC458C">
        <w:rPr>
          <w:rFonts w:asciiTheme="majorHAnsi" w:hAnsiTheme="majorHAnsi" w:cs="Times New Roman"/>
          <w:i/>
          <w:sz w:val="24"/>
          <w:szCs w:val="24"/>
          <w:lang w:val="ro-RO"/>
        </w:rPr>
        <w:t>privind asigurarea cu pensii a militarilor și a persoanelor din corpul de comandă și din trupele organelor afacerilor interne</w:t>
      </w:r>
      <w:r w:rsidR="00BC458C" w:rsidRPr="00BC458C">
        <w:rPr>
          <w:rFonts w:asciiTheme="majorHAnsi" w:eastAsia="Times New Roman" w:hAnsiTheme="majorHAnsi" w:cs="Times New Roman"/>
          <w:i/>
          <w:color w:val="000000"/>
          <w:sz w:val="24"/>
          <w:szCs w:val="24"/>
          <w:lang w:val="ro-RO" w:eastAsia="ru-RU"/>
        </w:rPr>
        <w:t xml:space="preserve"> şi din cadrul Inspectoratului General de Carabinieri</w:t>
      </w:r>
      <w:r w:rsidR="00BC458C" w:rsidRPr="00BC458C">
        <w:rPr>
          <w:rFonts w:asciiTheme="majorHAnsi" w:hAnsiTheme="majorHAnsi" w:cstheme="majorHAnsi"/>
          <w:i/>
          <w:sz w:val="24"/>
          <w:szCs w:val="24"/>
          <w:lang w:val="ro-RO"/>
        </w:rPr>
        <w:t xml:space="preserve"> (Observația 6.5. - Secțiunea VI); </w:t>
      </w:r>
    </w:p>
    <w:p w14:paraId="03AD766B" w14:textId="5BB06F37" w:rsidR="00E21171" w:rsidRDefault="00E21171" w:rsidP="00BC458C">
      <w:pPr>
        <w:pStyle w:val="ListParagraph"/>
        <w:numPr>
          <w:ilvl w:val="0"/>
          <w:numId w:val="15"/>
        </w:numPr>
        <w:spacing w:line="276" w:lineRule="auto"/>
        <w:jc w:val="both"/>
        <w:rPr>
          <w:rFonts w:asciiTheme="majorHAnsi" w:hAnsiTheme="majorHAnsi" w:cstheme="majorHAnsi"/>
          <w:i/>
          <w:sz w:val="24"/>
          <w:szCs w:val="24"/>
          <w:lang w:val="ro-RO"/>
        </w:rPr>
      </w:pPr>
      <w:r>
        <w:rPr>
          <w:rFonts w:asciiTheme="majorHAnsi" w:hAnsiTheme="majorHAnsi" w:cstheme="majorHAnsi"/>
          <w:i/>
          <w:sz w:val="24"/>
          <w:szCs w:val="24"/>
          <w:lang w:val="ro-RO"/>
        </w:rPr>
        <w:t>S</w:t>
      </w:r>
      <w:r w:rsidRPr="00700B20">
        <w:rPr>
          <w:rFonts w:asciiTheme="majorHAnsi" w:hAnsiTheme="majorHAnsi" w:cstheme="majorHAnsi"/>
          <w:i/>
          <w:sz w:val="24"/>
          <w:szCs w:val="24"/>
          <w:lang w:val="ro-RO"/>
        </w:rPr>
        <w:t>ă evalueze procesul de formare a rapoartelor în SI „Protecția Socială”, reieșind din normele de evidență și rapoarte financiare, în vederea identificării riscurilor și estimării impactului valoric asupra situațiilor financiare, precum și asigurării corelării politicilor de reglementare a metodelor de contabilitate specifice asupra perioadei de gestiune stabilite ca constantă în SI „Protecția Socială”, ceea ce ar permite reconcilierea datelor util</w:t>
      </w:r>
      <w:r>
        <w:rPr>
          <w:rFonts w:asciiTheme="majorHAnsi" w:hAnsiTheme="majorHAnsi" w:cstheme="majorHAnsi"/>
          <w:i/>
          <w:sz w:val="24"/>
          <w:szCs w:val="24"/>
          <w:lang w:val="ro-RO"/>
        </w:rPr>
        <w:t xml:space="preserve">izate la întocmirea rapoartelor </w:t>
      </w:r>
      <w:r w:rsidR="00B55AF6">
        <w:rPr>
          <w:rFonts w:asciiTheme="majorHAnsi" w:eastAsia="Times New Roman" w:hAnsiTheme="majorHAnsi" w:cstheme="majorHAnsi"/>
          <w:i/>
          <w:sz w:val="24"/>
          <w:szCs w:val="24"/>
          <w:lang w:val="ro-RO"/>
        </w:rPr>
        <w:t>(Observația 5.4</w:t>
      </w:r>
      <w:r>
        <w:rPr>
          <w:rFonts w:asciiTheme="majorHAnsi" w:eastAsia="Times New Roman" w:hAnsiTheme="majorHAnsi" w:cstheme="majorHAnsi"/>
          <w:i/>
          <w:sz w:val="24"/>
          <w:szCs w:val="24"/>
          <w:lang w:val="ro-RO"/>
        </w:rPr>
        <w:t>.</w:t>
      </w:r>
      <w:r w:rsidR="00B55AF6">
        <w:rPr>
          <w:rFonts w:asciiTheme="majorHAnsi" w:eastAsia="Times New Roman" w:hAnsiTheme="majorHAnsi" w:cstheme="majorHAnsi"/>
          <w:i/>
          <w:sz w:val="24"/>
          <w:szCs w:val="24"/>
          <w:lang w:val="ro-RO"/>
        </w:rPr>
        <w:t xml:space="preserve"> </w:t>
      </w:r>
      <w:r w:rsidR="00B55AF6" w:rsidRPr="00883673">
        <w:rPr>
          <w:rFonts w:asciiTheme="majorHAnsi" w:hAnsiTheme="majorHAnsi" w:cstheme="majorHAnsi"/>
          <w:i/>
          <w:sz w:val="24"/>
          <w:szCs w:val="24"/>
          <w:lang w:val="ro-RO"/>
        </w:rPr>
        <w:t>–</w:t>
      </w:r>
      <w:r w:rsidR="00B55AF6">
        <w:rPr>
          <w:rFonts w:asciiTheme="majorHAnsi" w:hAnsiTheme="majorHAnsi" w:cstheme="majorHAnsi"/>
          <w:i/>
          <w:sz w:val="24"/>
          <w:szCs w:val="24"/>
          <w:lang w:val="ro-RO"/>
        </w:rPr>
        <w:t xml:space="preserve"> </w:t>
      </w:r>
      <w:r w:rsidR="00B55AF6" w:rsidRPr="00883673">
        <w:rPr>
          <w:rFonts w:asciiTheme="majorHAnsi" w:hAnsiTheme="majorHAnsi" w:cstheme="majorHAnsi"/>
          <w:i/>
          <w:sz w:val="24"/>
          <w:szCs w:val="24"/>
          <w:lang w:val="ro-RO"/>
        </w:rPr>
        <w:t xml:space="preserve">Secțiunea </w:t>
      </w:r>
      <w:r w:rsidR="00B55AF6">
        <w:rPr>
          <w:rFonts w:asciiTheme="majorHAnsi" w:hAnsiTheme="majorHAnsi" w:cstheme="majorHAnsi"/>
          <w:i/>
          <w:sz w:val="24"/>
          <w:szCs w:val="24"/>
          <w:lang w:val="ro-RO"/>
        </w:rPr>
        <w:t>V</w:t>
      </w:r>
      <w:r>
        <w:rPr>
          <w:rFonts w:asciiTheme="majorHAnsi" w:eastAsia="Times New Roman" w:hAnsiTheme="majorHAnsi" w:cstheme="majorHAnsi"/>
          <w:i/>
          <w:sz w:val="24"/>
          <w:szCs w:val="24"/>
          <w:lang w:val="ro-RO"/>
        </w:rPr>
        <w:t>)</w:t>
      </w:r>
      <w:r>
        <w:rPr>
          <w:rFonts w:asciiTheme="majorHAnsi" w:hAnsiTheme="majorHAnsi" w:cstheme="majorHAnsi"/>
          <w:i/>
          <w:sz w:val="24"/>
          <w:szCs w:val="24"/>
          <w:lang w:val="ro-RO"/>
        </w:rPr>
        <w:t>;</w:t>
      </w:r>
    </w:p>
    <w:p w14:paraId="30A4A2D1" w14:textId="752ECB4C" w:rsidR="00E21171" w:rsidRPr="002A1297" w:rsidRDefault="00E21171" w:rsidP="00BC458C">
      <w:pPr>
        <w:pStyle w:val="ListParagraph"/>
        <w:numPr>
          <w:ilvl w:val="0"/>
          <w:numId w:val="15"/>
        </w:numPr>
        <w:spacing w:line="276" w:lineRule="auto"/>
        <w:jc w:val="both"/>
        <w:rPr>
          <w:rFonts w:asciiTheme="majorHAnsi" w:hAnsiTheme="majorHAnsi" w:cstheme="majorHAnsi"/>
          <w:bCs/>
          <w:i/>
          <w:sz w:val="24"/>
          <w:szCs w:val="24"/>
          <w:lang w:val="ro-RO"/>
        </w:rPr>
      </w:pPr>
      <w:r>
        <w:rPr>
          <w:rFonts w:asciiTheme="majorHAnsi" w:hAnsiTheme="majorHAnsi" w:cstheme="majorHAnsi"/>
          <w:i/>
          <w:sz w:val="24"/>
          <w:szCs w:val="24"/>
          <w:lang w:val="ro-RO"/>
        </w:rPr>
        <w:lastRenderedPageBreak/>
        <w:t>S</w:t>
      </w:r>
      <w:r w:rsidRPr="00700B20">
        <w:rPr>
          <w:rFonts w:asciiTheme="majorHAnsi" w:hAnsiTheme="majorHAnsi" w:cstheme="majorHAnsi"/>
          <w:i/>
          <w:sz w:val="24"/>
          <w:szCs w:val="24"/>
          <w:lang w:val="ro-RO"/>
        </w:rPr>
        <w:t>ă identifice, să evalueze și să includă în evidența contabilă și în rapoarte creanțele privind supo</w:t>
      </w:r>
      <w:r>
        <w:rPr>
          <w:rFonts w:asciiTheme="majorHAnsi" w:hAnsiTheme="majorHAnsi" w:cstheme="majorHAnsi"/>
          <w:i/>
          <w:sz w:val="24"/>
          <w:szCs w:val="24"/>
          <w:lang w:val="ro-RO"/>
        </w:rPr>
        <w:t xml:space="preserve">rtul financiar și suportul unic </w:t>
      </w:r>
      <w:r w:rsidR="00B55AF6">
        <w:rPr>
          <w:rFonts w:asciiTheme="majorHAnsi" w:eastAsia="Times New Roman" w:hAnsiTheme="majorHAnsi" w:cstheme="majorHAnsi"/>
          <w:i/>
          <w:sz w:val="24"/>
          <w:szCs w:val="24"/>
          <w:lang w:val="ro-RO"/>
        </w:rPr>
        <w:t>(Observația 5.3</w:t>
      </w:r>
      <w:r>
        <w:rPr>
          <w:rFonts w:asciiTheme="majorHAnsi" w:eastAsia="Times New Roman" w:hAnsiTheme="majorHAnsi" w:cstheme="majorHAnsi"/>
          <w:i/>
          <w:sz w:val="24"/>
          <w:szCs w:val="24"/>
          <w:lang w:val="ro-RO"/>
        </w:rPr>
        <w:t>.</w:t>
      </w:r>
      <w:r w:rsidR="00B55AF6">
        <w:rPr>
          <w:rFonts w:asciiTheme="majorHAnsi" w:eastAsia="Times New Roman" w:hAnsiTheme="majorHAnsi" w:cstheme="majorHAnsi"/>
          <w:i/>
          <w:sz w:val="24"/>
          <w:szCs w:val="24"/>
          <w:lang w:val="ro-RO"/>
        </w:rPr>
        <w:t xml:space="preserve"> </w:t>
      </w:r>
      <w:r w:rsidR="00B55AF6" w:rsidRPr="00883673">
        <w:rPr>
          <w:rFonts w:asciiTheme="majorHAnsi" w:hAnsiTheme="majorHAnsi" w:cstheme="majorHAnsi"/>
          <w:i/>
          <w:sz w:val="24"/>
          <w:szCs w:val="24"/>
          <w:lang w:val="ro-RO"/>
        </w:rPr>
        <w:t>–</w:t>
      </w:r>
      <w:r w:rsidR="00B55AF6">
        <w:rPr>
          <w:rFonts w:asciiTheme="majorHAnsi" w:hAnsiTheme="majorHAnsi" w:cstheme="majorHAnsi"/>
          <w:i/>
          <w:sz w:val="24"/>
          <w:szCs w:val="24"/>
          <w:lang w:val="ro-RO"/>
        </w:rPr>
        <w:t xml:space="preserve"> </w:t>
      </w:r>
      <w:r w:rsidR="00B55AF6" w:rsidRPr="00883673">
        <w:rPr>
          <w:rFonts w:asciiTheme="majorHAnsi" w:hAnsiTheme="majorHAnsi" w:cstheme="majorHAnsi"/>
          <w:i/>
          <w:sz w:val="24"/>
          <w:szCs w:val="24"/>
          <w:lang w:val="ro-RO"/>
        </w:rPr>
        <w:t xml:space="preserve">Secțiunea </w:t>
      </w:r>
      <w:r w:rsidR="007208D2">
        <w:rPr>
          <w:rFonts w:asciiTheme="majorHAnsi" w:hAnsiTheme="majorHAnsi" w:cstheme="majorHAnsi"/>
          <w:i/>
          <w:sz w:val="24"/>
          <w:szCs w:val="24"/>
          <w:lang w:val="ro-RO"/>
        </w:rPr>
        <w:t>V</w:t>
      </w:r>
      <w:r>
        <w:rPr>
          <w:rFonts w:asciiTheme="majorHAnsi" w:eastAsia="Times New Roman" w:hAnsiTheme="majorHAnsi" w:cstheme="majorHAnsi"/>
          <w:i/>
          <w:sz w:val="24"/>
          <w:szCs w:val="24"/>
          <w:lang w:val="ro-RO"/>
        </w:rPr>
        <w:t>)</w:t>
      </w:r>
      <w:r>
        <w:rPr>
          <w:rFonts w:asciiTheme="majorHAnsi" w:hAnsiTheme="majorHAnsi" w:cstheme="majorHAnsi"/>
          <w:i/>
          <w:sz w:val="24"/>
          <w:szCs w:val="24"/>
          <w:lang w:val="ro-RO"/>
        </w:rPr>
        <w:t>;</w:t>
      </w:r>
    </w:p>
    <w:p w14:paraId="3706EB64" w14:textId="57479A00" w:rsidR="00E21171" w:rsidRPr="00455B8F" w:rsidRDefault="00E21171" w:rsidP="00BC458C">
      <w:pPr>
        <w:pStyle w:val="ListParagraph"/>
        <w:numPr>
          <w:ilvl w:val="0"/>
          <w:numId w:val="15"/>
        </w:numPr>
        <w:tabs>
          <w:tab w:val="left" w:pos="900"/>
          <w:tab w:val="left" w:pos="993"/>
          <w:tab w:val="left" w:pos="1276"/>
        </w:tabs>
        <w:spacing w:after="0" w:line="276" w:lineRule="auto"/>
        <w:jc w:val="both"/>
        <w:rPr>
          <w:rFonts w:asciiTheme="majorHAnsi" w:hAnsiTheme="majorHAnsi" w:cstheme="majorHAnsi"/>
          <w:i/>
          <w:sz w:val="24"/>
          <w:szCs w:val="24"/>
          <w:lang w:val="ro-RO"/>
        </w:rPr>
      </w:pPr>
      <w:r>
        <w:rPr>
          <w:rFonts w:asciiTheme="majorHAnsi" w:hAnsiTheme="majorHAnsi" w:cstheme="majorHAnsi"/>
          <w:i/>
          <w:sz w:val="24"/>
          <w:szCs w:val="24"/>
          <w:lang w:val="ro-RO"/>
        </w:rPr>
        <w:t>S</w:t>
      </w:r>
      <w:r w:rsidRPr="00455B8F">
        <w:rPr>
          <w:rFonts w:asciiTheme="majorHAnsi" w:hAnsiTheme="majorHAnsi" w:cstheme="majorHAnsi"/>
          <w:i/>
          <w:sz w:val="24"/>
          <w:szCs w:val="24"/>
          <w:lang w:val="ro-RO"/>
        </w:rPr>
        <w:t xml:space="preserve">ă elaboreze și să înainteze, în modul stabilit, propuneri de ajustare a </w:t>
      </w:r>
      <w:r w:rsidR="00B55AF6">
        <w:rPr>
          <w:rFonts w:asciiTheme="majorHAnsi" w:hAnsiTheme="majorHAnsi" w:cstheme="majorHAnsi"/>
          <w:i/>
          <w:sz w:val="24"/>
          <w:szCs w:val="24"/>
          <w:lang w:val="ro-RO"/>
        </w:rPr>
        <w:t>instrucțiunii privind evidența contabilă a CNAS</w:t>
      </w:r>
      <w:r w:rsidRPr="00455B8F">
        <w:rPr>
          <w:rFonts w:asciiTheme="majorHAnsi" w:hAnsiTheme="majorHAnsi" w:cstheme="majorHAnsi"/>
          <w:i/>
          <w:sz w:val="24"/>
          <w:szCs w:val="24"/>
          <w:lang w:val="ro-RO"/>
        </w:rPr>
        <w:t>, în vederea descrierii procedurilor distincte de reflectare a datoriilor ș</w:t>
      </w:r>
      <w:r>
        <w:rPr>
          <w:rFonts w:asciiTheme="majorHAnsi" w:hAnsiTheme="majorHAnsi" w:cstheme="majorHAnsi"/>
          <w:i/>
          <w:sz w:val="24"/>
          <w:szCs w:val="24"/>
          <w:lang w:val="ro-RO"/>
        </w:rPr>
        <w:t xml:space="preserve">i creanțelor cu termen expirat </w:t>
      </w:r>
      <w:r w:rsidR="007208D2">
        <w:rPr>
          <w:rFonts w:asciiTheme="majorHAnsi" w:eastAsia="Times New Roman" w:hAnsiTheme="majorHAnsi" w:cstheme="majorHAnsi"/>
          <w:i/>
          <w:sz w:val="24"/>
          <w:szCs w:val="24"/>
          <w:lang w:val="ro-RO"/>
        </w:rPr>
        <w:t>(Observația 5.6</w:t>
      </w:r>
      <w:r>
        <w:rPr>
          <w:rFonts w:asciiTheme="majorHAnsi" w:eastAsia="Times New Roman" w:hAnsiTheme="majorHAnsi" w:cstheme="majorHAnsi"/>
          <w:i/>
          <w:sz w:val="24"/>
          <w:szCs w:val="24"/>
          <w:lang w:val="ro-RO"/>
        </w:rPr>
        <w:t>.</w:t>
      </w:r>
      <w:r w:rsidR="00E4647C">
        <w:rPr>
          <w:rFonts w:asciiTheme="majorHAnsi" w:eastAsia="Times New Roman" w:hAnsiTheme="majorHAnsi" w:cstheme="majorHAnsi"/>
          <w:i/>
          <w:sz w:val="24"/>
          <w:szCs w:val="24"/>
          <w:lang w:val="ro-RO"/>
        </w:rPr>
        <w:t xml:space="preserve"> -</w:t>
      </w:r>
      <w:r w:rsidR="00E4647C" w:rsidRPr="00883673">
        <w:rPr>
          <w:rFonts w:asciiTheme="majorHAnsi" w:hAnsiTheme="majorHAnsi" w:cstheme="majorHAnsi"/>
          <w:i/>
          <w:sz w:val="24"/>
          <w:szCs w:val="24"/>
          <w:lang w:val="ro-RO"/>
        </w:rPr>
        <w:t>–</w:t>
      </w:r>
      <w:r w:rsidR="00E4647C">
        <w:rPr>
          <w:rFonts w:asciiTheme="majorHAnsi" w:hAnsiTheme="majorHAnsi" w:cstheme="majorHAnsi"/>
          <w:i/>
          <w:sz w:val="24"/>
          <w:szCs w:val="24"/>
          <w:lang w:val="ro-RO"/>
        </w:rPr>
        <w:t xml:space="preserve"> </w:t>
      </w:r>
      <w:r w:rsidR="00E4647C" w:rsidRPr="00883673">
        <w:rPr>
          <w:rFonts w:asciiTheme="majorHAnsi" w:hAnsiTheme="majorHAnsi" w:cstheme="majorHAnsi"/>
          <w:i/>
          <w:sz w:val="24"/>
          <w:szCs w:val="24"/>
          <w:lang w:val="ro-RO"/>
        </w:rPr>
        <w:t xml:space="preserve">Secțiunea </w:t>
      </w:r>
      <w:r w:rsidR="007208D2">
        <w:rPr>
          <w:rFonts w:asciiTheme="majorHAnsi" w:hAnsiTheme="majorHAnsi" w:cstheme="majorHAnsi"/>
          <w:i/>
          <w:sz w:val="24"/>
          <w:szCs w:val="24"/>
          <w:lang w:val="ro-RO"/>
        </w:rPr>
        <w:t>V</w:t>
      </w:r>
      <w:r>
        <w:rPr>
          <w:rFonts w:asciiTheme="majorHAnsi" w:eastAsia="Times New Roman" w:hAnsiTheme="majorHAnsi" w:cstheme="majorHAnsi"/>
          <w:i/>
          <w:sz w:val="24"/>
          <w:szCs w:val="24"/>
          <w:lang w:val="ro-RO"/>
        </w:rPr>
        <w:t>)</w:t>
      </w:r>
      <w:r>
        <w:rPr>
          <w:rFonts w:asciiTheme="majorHAnsi" w:hAnsiTheme="majorHAnsi" w:cstheme="majorHAnsi"/>
          <w:i/>
          <w:sz w:val="24"/>
          <w:szCs w:val="24"/>
          <w:lang w:val="ro-RO"/>
        </w:rPr>
        <w:t>;</w:t>
      </w:r>
    </w:p>
    <w:p w14:paraId="1F812F66" w14:textId="7A335301" w:rsidR="00E21171" w:rsidRPr="00592CCA" w:rsidRDefault="00E21171" w:rsidP="00BC458C">
      <w:pPr>
        <w:pStyle w:val="NormalWeb"/>
        <w:numPr>
          <w:ilvl w:val="0"/>
          <w:numId w:val="15"/>
        </w:numPr>
        <w:spacing w:line="276" w:lineRule="auto"/>
        <w:rPr>
          <w:rFonts w:asciiTheme="majorHAnsi" w:hAnsiTheme="majorHAnsi" w:cstheme="majorHAnsi"/>
          <w:i/>
          <w:noProof/>
          <w:lang w:val="ro-RO"/>
        </w:rPr>
      </w:pPr>
      <w:r w:rsidRPr="00592CCA">
        <w:rPr>
          <w:rFonts w:asciiTheme="majorHAnsi" w:hAnsiTheme="majorHAnsi" w:cstheme="majorHAnsi"/>
          <w:i/>
          <w:noProof/>
          <w:lang w:val="ro-RO"/>
        </w:rPr>
        <w:t xml:space="preserve">Să eficientizeze controalele interne privind verificarea corectitudinii stabilirii, calculării și integrității dosarelor pentru: </w:t>
      </w:r>
      <w:r w:rsidR="007208D2" w:rsidRPr="00592CCA">
        <w:rPr>
          <w:rFonts w:asciiTheme="majorHAnsi" w:hAnsiTheme="majorHAnsi" w:cstheme="majorHAnsi"/>
          <w:i/>
          <w:noProof/>
          <w:lang w:val="ro-RO"/>
        </w:rPr>
        <w:t>indemnizați</w:t>
      </w:r>
      <w:r w:rsidR="00304AB8">
        <w:rPr>
          <w:rFonts w:asciiTheme="majorHAnsi" w:hAnsiTheme="majorHAnsi" w:cstheme="majorHAnsi"/>
          <w:i/>
          <w:noProof/>
          <w:lang w:val="ro-RO"/>
        </w:rPr>
        <w:t>a</w:t>
      </w:r>
      <w:r w:rsidR="007208D2" w:rsidRPr="00592CCA">
        <w:rPr>
          <w:rFonts w:asciiTheme="majorHAnsi" w:hAnsiTheme="majorHAnsi" w:cstheme="majorHAnsi"/>
          <w:i/>
          <w:noProof/>
          <w:lang w:val="ro-RO"/>
        </w:rPr>
        <w:t xml:space="preserve"> unic</w:t>
      </w:r>
      <w:r w:rsidR="00304AB8">
        <w:rPr>
          <w:rFonts w:asciiTheme="majorHAnsi" w:hAnsiTheme="majorHAnsi" w:cstheme="majorHAnsi"/>
          <w:i/>
          <w:noProof/>
          <w:lang w:val="ro-RO"/>
        </w:rPr>
        <w:t>ă</w:t>
      </w:r>
      <w:r w:rsidR="007208D2" w:rsidRPr="00592CCA">
        <w:rPr>
          <w:rFonts w:asciiTheme="majorHAnsi" w:hAnsiTheme="majorHAnsi" w:cstheme="majorHAnsi"/>
          <w:i/>
          <w:noProof/>
          <w:lang w:val="ro-RO"/>
        </w:rPr>
        <w:t xml:space="preserve"> în legătură cu decesul pensionarului din rândul instituțiilor de forță</w:t>
      </w:r>
      <w:r w:rsidR="007208D2">
        <w:rPr>
          <w:rFonts w:asciiTheme="majorHAnsi" w:hAnsiTheme="majorHAnsi" w:cstheme="majorHAnsi"/>
          <w:i/>
          <w:noProof/>
          <w:lang w:val="ro-RO"/>
        </w:rPr>
        <w:t>,</w:t>
      </w:r>
      <w:r w:rsidR="007208D2" w:rsidRPr="00592CCA">
        <w:rPr>
          <w:rFonts w:asciiTheme="majorHAnsi" w:hAnsiTheme="majorHAnsi" w:cstheme="majorHAnsi"/>
          <w:i/>
          <w:noProof/>
          <w:lang w:val="ro-RO"/>
        </w:rPr>
        <w:t xml:space="preserve"> </w:t>
      </w:r>
      <w:r w:rsidRPr="00592CCA">
        <w:rPr>
          <w:rFonts w:asciiTheme="majorHAnsi" w:hAnsiTheme="majorHAnsi" w:cstheme="majorHAnsi"/>
          <w:i/>
          <w:noProof/>
          <w:lang w:val="ro-RO"/>
        </w:rPr>
        <w:t>indemnizați</w:t>
      </w:r>
      <w:r w:rsidR="00304AB8">
        <w:rPr>
          <w:rFonts w:asciiTheme="majorHAnsi" w:hAnsiTheme="majorHAnsi" w:cstheme="majorHAnsi"/>
          <w:i/>
          <w:noProof/>
          <w:lang w:val="ro-RO"/>
        </w:rPr>
        <w:t>a</w:t>
      </w:r>
      <w:r w:rsidRPr="00592CCA">
        <w:rPr>
          <w:rFonts w:asciiTheme="majorHAnsi" w:hAnsiTheme="majorHAnsi" w:cstheme="majorHAnsi"/>
          <w:i/>
          <w:noProof/>
          <w:lang w:val="ro-RO"/>
        </w:rPr>
        <w:t xml:space="preserve"> pentru incapacitatea temporară de muncă</w:t>
      </w:r>
      <w:r>
        <w:rPr>
          <w:rFonts w:asciiTheme="majorHAnsi" w:hAnsiTheme="majorHAnsi" w:cstheme="majorHAnsi"/>
          <w:i/>
          <w:noProof/>
          <w:lang w:val="ro-RO"/>
        </w:rPr>
        <w:t xml:space="preserve"> </w:t>
      </w:r>
      <w:r>
        <w:rPr>
          <w:rFonts w:asciiTheme="majorHAnsi" w:hAnsiTheme="majorHAnsi" w:cstheme="majorHAnsi"/>
          <w:i/>
          <w:lang w:val="ro-RO"/>
        </w:rPr>
        <w:t>cauzat</w:t>
      </w:r>
      <w:r w:rsidR="00304AB8">
        <w:rPr>
          <w:rFonts w:asciiTheme="majorHAnsi" w:hAnsiTheme="majorHAnsi" w:cstheme="majorHAnsi"/>
          <w:i/>
          <w:lang w:val="ro-RO"/>
        </w:rPr>
        <w:t>ă</w:t>
      </w:r>
      <w:r>
        <w:rPr>
          <w:rFonts w:asciiTheme="majorHAnsi" w:hAnsiTheme="majorHAnsi" w:cstheme="majorHAnsi"/>
          <w:i/>
          <w:lang w:val="ro-RO"/>
        </w:rPr>
        <w:t xml:space="preserve"> de boli obișnuite</w:t>
      </w:r>
      <w:r w:rsidRPr="00592CCA">
        <w:rPr>
          <w:rFonts w:asciiTheme="majorHAnsi" w:hAnsiTheme="majorHAnsi" w:cstheme="majorHAnsi"/>
          <w:i/>
          <w:noProof/>
          <w:lang w:val="ro-RO"/>
        </w:rPr>
        <w:t>,</w:t>
      </w:r>
      <w:r w:rsidRPr="00592CCA">
        <w:rPr>
          <w:rFonts w:asciiTheme="majorHAnsi" w:hAnsiTheme="majorHAnsi" w:cs="Calibri"/>
          <w:i/>
          <w:color w:val="000000"/>
          <w:lang w:val="ro-RO"/>
        </w:rPr>
        <w:t xml:space="preserve"> </w:t>
      </w:r>
      <w:r w:rsidR="007208D2" w:rsidRPr="00592CCA">
        <w:rPr>
          <w:rFonts w:asciiTheme="majorHAnsi" w:hAnsiTheme="majorHAnsi" w:cstheme="majorHAnsi"/>
          <w:i/>
          <w:noProof/>
          <w:lang w:val="ro-RO"/>
        </w:rPr>
        <w:t>ajutor de șomaj</w:t>
      </w:r>
      <w:r w:rsidR="007208D2">
        <w:rPr>
          <w:rFonts w:asciiTheme="majorHAnsi" w:hAnsiTheme="majorHAnsi" w:cstheme="majorHAnsi"/>
          <w:i/>
          <w:noProof/>
          <w:lang w:val="ro-RO"/>
        </w:rPr>
        <w:t xml:space="preserve">, </w:t>
      </w:r>
      <w:r w:rsidRPr="00592CCA">
        <w:rPr>
          <w:rFonts w:asciiTheme="majorHAnsi" w:hAnsiTheme="majorHAnsi" w:cs="Calibri"/>
          <w:i/>
          <w:color w:val="000000"/>
          <w:lang w:val="ro-RO"/>
        </w:rPr>
        <w:t>indemnizați</w:t>
      </w:r>
      <w:r w:rsidR="00304AB8">
        <w:rPr>
          <w:rFonts w:asciiTheme="majorHAnsi" w:hAnsiTheme="majorHAnsi" w:cs="Calibri"/>
          <w:i/>
          <w:color w:val="000000"/>
          <w:lang w:val="ro-RO"/>
        </w:rPr>
        <w:t>a</w:t>
      </w:r>
      <w:r w:rsidRPr="00592CCA">
        <w:rPr>
          <w:rFonts w:asciiTheme="majorHAnsi" w:hAnsiTheme="majorHAnsi" w:cs="Calibri"/>
          <w:i/>
          <w:color w:val="000000"/>
          <w:lang w:val="ro-RO"/>
        </w:rPr>
        <w:t xml:space="preserve"> în cazul decesului unuia dintre soți</w:t>
      </w:r>
      <w:r w:rsidR="007208D2">
        <w:rPr>
          <w:rFonts w:asciiTheme="majorHAnsi" w:hAnsiTheme="majorHAnsi" w:cstheme="majorHAnsi"/>
          <w:i/>
          <w:noProof/>
          <w:lang w:val="ro-RO"/>
        </w:rPr>
        <w:t xml:space="preserve"> </w:t>
      </w:r>
      <w:r w:rsidR="007208D2">
        <w:rPr>
          <w:rFonts w:asciiTheme="majorHAnsi" w:hAnsiTheme="majorHAnsi" w:cstheme="majorHAnsi"/>
          <w:i/>
          <w:lang w:val="ro-RO"/>
        </w:rPr>
        <w:t>(Observația 6.6. - 6.9.</w:t>
      </w:r>
      <w:r w:rsidR="005D3C07" w:rsidRPr="00883673">
        <w:rPr>
          <w:rFonts w:asciiTheme="majorHAnsi" w:hAnsiTheme="majorHAnsi" w:cstheme="majorHAnsi"/>
          <w:i/>
          <w:lang w:val="ro-RO"/>
        </w:rPr>
        <w:t>–</w:t>
      </w:r>
      <w:r w:rsidR="005D3C07">
        <w:rPr>
          <w:rFonts w:asciiTheme="majorHAnsi" w:hAnsiTheme="majorHAnsi" w:cstheme="majorHAnsi"/>
          <w:i/>
          <w:lang w:val="ro-RO"/>
        </w:rPr>
        <w:t xml:space="preserve"> </w:t>
      </w:r>
      <w:r w:rsidR="005D3C07" w:rsidRPr="00883673">
        <w:rPr>
          <w:rFonts w:asciiTheme="majorHAnsi" w:hAnsiTheme="majorHAnsi" w:cstheme="majorHAnsi"/>
          <w:i/>
          <w:lang w:val="ro-RO"/>
        </w:rPr>
        <w:t>Secțiunea VI</w:t>
      </w:r>
      <w:r>
        <w:rPr>
          <w:rFonts w:asciiTheme="majorHAnsi" w:hAnsiTheme="majorHAnsi" w:cstheme="majorHAnsi"/>
          <w:i/>
          <w:lang w:val="ro-RO"/>
        </w:rPr>
        <w:t>)</w:t>
      </w:r>
      <w:r w:rsidRPr="00592CCA">
        <w:rPr>
          <w:rFonts w:asciiTheme="majorHAnsi" w:hAnsiTheme="majorHAnsi" w:cstheme="majorHAnsi"/>
          <w:i/>
          <w:noProof/>
          <w:lang w:val="ro-RO"/>
        </w:rPr>
        <w:t>;</w:t>
      </w:r>
    </w:p>
    <w:p w14:paraId="3A042E40" w14:textId="5C6D1FD8" w:rsidR="00E21171" w:rsidRPr="00B92EE2" w:rsidRDefault="00E21171" w:rsidP="00BC458C">
      <w:pPr>
        <w:pStyle w:val="NormalWeb"/>
        <w:numPr>
          <w:ilvl w:val="0"/>
          <w:numId w:val="15"/>
        </w:numPr>
        <w:spacing w:line="276" w:lineRule="auto"/>
        <w:rPr>
          <w:rFonts w:asciiTheme="majorHAnsi" w:hAnsiTheme="majorHAnsi" w:cstheme="majorHAnsi"/>
          <w:i/>
          <w:noProof/>
          <w:lang w:val="ro-RO"/>
        </w:rPr>
      </w:pPr>
      <w:r w:rsidRPr="00B92EE2">
        <w:rPr>
          <w:rFonts w:asciiTheme="majorHAnsi" w:hAnsiTheme="majorHAnsi" w:cstheme="majorHAnsi"/>
          <w:i/>
          <w:noProof/>
          <w:lang w:val="ro-RO"/>
        </w:rPr>
        <w:t>Să înlăture erorile identificate privind sumele achitate incorect beneficiarilor și</w:t>
      </w:r>
      <w:r w:rsidR="00304AB8">
        <w:rPr>
          <w:rFonts w:asciiTheme="majorHAnsi" w:hAnsiTheme="majorHAnsi" w:cstheme="majorHAnsi"/>
          <w:i/>
          <w:noProof/>
          <w:lang w:val="ro-RO"/>
        </w:rPr>
        <w:t xml:space="preserve"> să </w:t>
      </w:r>
      <w:r w:rsidRPr="00B92EE2">
        <w:rPr>
          <w:rFonts w:asciiTheme="majorHAnsi" w:hAnsiTheme="majorHAnsi" w:cstheme="majorHAnsi"/>
          <w:i/>
          <w:noProof/>
          <w:lang w:val="ro-RO"/>
        </w:rPr>
        <w:t xml:space="preserve"> elabor</w:t>
      </w:r>
      <w:r w:rsidR="00304AB8">
        <w:rPr>
          <w:rFonts w:asciiTheme="majorHAnsi" w:hAnsiTheme="majorHAnsi" w:cstheme="majorHAnsi"/>
          <w:i/>
          <w:noProof/>
          <w:lang w:val="ro-RO"/>
        </w:rPr>
        <w:t>eze</w:t>
      </w:r>
      <w:r w:rsidRPr="00B92EE2">
        <w:rPr>
          <w:rFonts w:asciiTheme="majorHAnsi" w:hAnsiTheme="majorHAnsi" w:cstheme="majorHAnsi"/>
          <w:i/>
          <w:noProof/>
          <w:lang w:val="ro-RO"/>
        </w:rPr>
        <w:t xml:space="preserve"> un mecanism de control a</w:t>
      </w:r>
      <w:r w:rsidR="00C2530B">
        <w:rPr>
          <w:rFonts w:asciiTheme="majorHAnsi" w:hAnsiTheme="majorHAnsi" w:cstheme="majorHAnsi"/>
          <w:i/>
          <w:noProof/>
          <w:lang w:val="ro-RO"/>
        </w:rPr>
        <w:t>l</w:t>
      </w:r>
      <w:r w:rsidRPr="00B92EE2">
        <w:rPr>
          <w:rFonts w:asciiTheme="majorHAnsi" w:hAnsiTheme="majorHAnsi" w:cstheme="majorHAnsi"/>
          <w:i/>
          <w:noProof/>
          <w:lang w:val="ro-RO"/>
        </w:rPr>
        <w:t xml:space="preserve"> corectitudinii achitării indemnizațiilor urmașilor personalului medical decedat ca urmare a desfășurării activității medicale în lupta cu COVID-19</w:t>
      </w:r>
      <w:r>
        <w:rPr>
          <w:rFonts w:asciiTheme="majorHAnsi" w:hAnsiTheme="majorHAnsi" w:cstheme="majorHAnsi"/>
          <w:i/>
          <w:noProof/>
          <w:lang w:val="ro-RO"/>
        </w:rPr>
        <w:t xml:space="preserve"> </w:t>
      </w:r>
      <w:r>
        <w:rPr>
          <w:rFonts w:asciiTheme="majorHAnsi" w:hAnsiTheme="majorHAnsi" w:cstheme="majorHAnsi"/>
          <w:i/>
          <w:lang w:val="ro-RO"/>
        </w:rPr>
        <w:t>(Observația 6.10.2</w:t>
      </w:r>
      <w:r w:rsidR="007208D2">
        <w:rPr>
          <w:rFonts w:asciiTheme="majorHAnsi" w:hAnsiTheme="majorHAnsi" w:cstheme="majorHAnsi"/>
          <w:i/>
          <w:lang w:val="ro-RO"/>
        </w:rPr>
        <w:t xml:space="preserve"> </w:t>
      </w:r>
      <w:r w:rsidR="007208D2" w:rsidRPr="00883673">
        <w:rPr>
          <w:rFonts w:asciiTheme="majorHAnsi" w:hAnsiTheme="majorHAnsi" w:cstheme="majorHAnsi"/>
          <w:i/>
          <w:lang w:val="ro-RO"/>
        </w:rPr>
        <w:t>–</w:t>
      </w:r>
      <w:r w:rsidR="007208D2">
        <w:rPr>
          <w:rFonts w:asciiTheme="majorHAnsi" w:hAnsiTheme="majorHAnsi" w:cstheme="majorHAnsi"/>
          <w:i/>
          <w:lang w:val="ro-RO"/>
        </w:rPr>
        <w:t xml:space="preserve"> </w:t>
      </w:r>
      <w:r w:rsidR="007208D2" w:rsidRPr="00883673">
        <w:rPr>
          <w:rFonts w:asciiTheme="majorHAnsi" w:hAnsiTheme="majorHAnsi" w:cstheme="majorHAnsi"/>
          <w:i/>
          <w:lang w:val="ro-RO"/>
        </w:rPr>
        <w:t>Secțiunea VI</w:t>
      </w:r>
      <w:r>
        <w:rPr>
          <w:rFonts w:asciiTheme="majorHAnsi" w:hAnsiTheme="majorHAnsi" w:cstheme="majorHAnsi"/>
          <w:i/>
          <w:lang w:val="ro-RO"/>
        </w:rPr>
        <w:t>)</w:t>
      </w:r>
      <w:r w:rsidRPr="00B92EE2">
        <w:rPr>
          <w:rFonts w:asciiTheme="majorHAnsi" w:hAnsiTheme="majorHAnsi" w:cstheme="majorHAnsi"/>
          <w:i/>
          <w:noProof/>
          <w:lang w:val="ro-RO"/>
        </w:rPr>
        <w:t>;</w:t>
      </w:r>
    </w:p>
    <w:p w14:paraId="4D6F310E" w14:textId="50985F2C" w:rsidR="00E21171" w:rsidRPr="00050A6B" w:rsidRDefault="00E21171" w:rsidP="00BC458C">
      <w:pPr>
        <w:pStyle w:val="NormalWeb"/>
        <w:numPr>
          <w:ilvl w:val="0"/>
          <w:numId w:val="15"/>
        </w:numPr>
        <w:spacing w:line="276" w:lineRule="auto"/>
        <w:rPr>
          <w:rFonts w:asciiTheme="majorHAnsi" w:hAnsiTheme="majorHAnsi" w:cstheme="majorHAnsi"/>
          <w:i/>
          <w:noProof/>
          <w:lang w:val="ro-RO"/>
        </w:rPr>
      </w:pPr>
      <w:r>
        <w:rPr>
          <w:rFonts w:asciiTheme="majorHAnsi" w:hAnsiTheme="majorHAnsi" w:cstheme="majorHAnsi"/>
          <w:i/>
          <w:lang w:val="ro-RO"/>
        </w:rPr>
        <w:t>S</w:t>
      </w:r>
      <w:r w:rsidRPr="00700B20">
        <w:rPr>
          <w:rFonts w:asciiTheme="majorHAnsi" w:hAnsiTheme="majorHAnsi" w:cstheme="majorHAnsi"/>
          <w:i/>
          <w:lang w:val="ro-RO"/>
        </w:rPr>
        <w:t>ă monitorizeze procesul de stabilire și achitare în termen a: indemnizației de incapacitate temporară de muncă</w:t>
      </w:r>
      <w:r>
        <w:rPr>
          <w:rFonts w:asciiTheme="majorHAnsi" w:hAnsiTheme="majorHAnsi" w:cstheme="majorHAnsi"/>
          <w:i/>
          <w:lang w:val="ro-RO"/>
        </w:rPr>
        <w:t xml:space="preserve"> cauzate de boli obișnuite</w:t>
      </w:r>
      <w:r w:rsidRPr="00700B20">
        <w:rPr>
          <w:rFonts w:asciiTheme="majorHAnsi" w:hAnsiTheme="majorHAnsi" w:cstheme="majorHAnsi"/>
          <w:i/>
          <w:lang w:val="ro-RO"/>
        </w:rPr>
        <w:t xml:space="preserve">, </w:t>
      </w:r>
      <w:r w:rsidRPr="00700B20">
        <w:rPr>
          <w:rFonts w:asciiTheme="majorHAnsi" w:hAnsiTheme="majorHAnsi" w:cstheme="majorHAnsi"/>
          <w:i/>
          <w:noProof/>
          <w:lang w:val="ro-RO"/>
        </w:rPr>
        <w:t xml:space="preserve">indemnizației pentru incapacitate temporară de muncă cauzate de un accident </w:t>
      </w:r>
      <w:r>
        <w:rPr>
          <w:rFonts w:asciiTheme="majorHAnsi" w:hAnsiTheme="majorHAnsi" w:cstheme="majorHAnsi"/>
          <w:i/>
          <w:noProof/>
          <w:lang w:val="ro-RO"/>
        </w:rPr>
        <w:t>de muncă sau boli profesionale</w:t>
      </w:r>
      <w:r w:rsidRPr="00700B20">
        <w:rPr>
          <w:rFonts w:asciiTheme="majorHAnsi" w:hAnsiTheme="majorHAnsi" w:cstheme="majorHAnsi"/>
          <w:i/>
          <w:noProof/>
          <w:lang w:val="ro-RO"/>
        </w:rPr>
        <w:t>,</w:t>
      </w:r>
      <w:r w:rsidRPr="00700B20">
        <w:rPr>
          <w:rFonts w:asciiTheme="majorHAnsi" w:hAnsiTheme="majorHAnsi" w:cs="Calibri"/>
          <w:i/>
          <w:color w:val="000000"/>
          <w:lang w:val="ro-RO"/>
        </w:rPr>
        <w:t xml:space="preserve"> indemnizației în cazul decesului unuia dintre soți</w:t>
      </w:r>
      <w:r>
        <w:rPr>
          <w:rFonts w:asciiTheme="majorHAnsi" w:hAnsiTheme="majorHAnsi" w:cs="Calibri"/>
          <w:i/>
          <w:color w:val="000000"/>
          <w:lang w:val="ro-RO"/>
        </w:rPr>
        <w:t xml:space="preserve"> </w:t>
      </w:r>
      <w:r>
        <w:rPr>
          <w:rFonts w:asciiTheme="majorHAnsi" w:hAnsiTheme="majorHAnsi" w:cstheme="majorHAnsi"/>
          <w:i/>
          <w:lang w:val="ro-RO"/>
        </w:rPr>
        <w:t xml:space="preserve">(Observația </w:t>
      </w:r>
      <w:r w:rsidR="00E34B37">
        <w:rPr>
          <w:rFonts w:asciiTheme="majorHAnsi" w:hAnsiTheme="majorHAnsi" w:cstheme="majorHAnsi"/>
          <w:i/>
          <w:lang w:val="ro-RO"/>
        </w:rPr>
        <w:t xml:space="preserve">5.6. </w:t>
      </w:r>
      <w:r w:rsidR="00E34B37" w:rsidRPr="00883673">
        <w:rPr>
          <w:rFonts w:asciiTheme="majorHAnsi" w:hAnsiTheme="majorHAnsi" w:cstheme="majorHAnsi"/>
          <w:i/>
          <w:lang w:val="ro-RO"/>
        </w:rPr>
        <w:t>–</w:t>
      </w:r>
      <w:r w:rsidR="00E34B37">
        <w:rPr>
          <w:rFonts w:asciiTheme="majorHAnsi" w:hAnsiTheme="majorHAnsi" w:cstheme="majorHAnsi"/>
          <w:i/>
          <w:lang w:val="ro-RO"/>
        </w:rPr>
        <w:t xml:space="preserve"> </w:t>
      </w:r>
      <w:r w:rsidR="00E34B37" w:rsidRPr="00883673">
        <w:rPr>
          <w:rFonts w:asciiTheme="majorHAnsi" w:hAnsiTheme="majorHAnsi" w:cstheme="majorHAnsi"/>
          <w:i/>
          <w:lang w:val="ro-RO"/>
        </w:rPr>
        <w:t xml:space="preserve">Secțiunea </w:t>
      </w:r>
      <w:r w:rsidR="00E34B37">
        <w:rPr>
          <w:rFonts w:asciiTheme="majorHAnsi" w:hAnsiTheme="majorHAnsi" w:cstheme="majorHAnsi"/>
          <w:i/>
          <w:lang w:val="ro-RO"/>
        </w:rPr>
        <w:t xml:space="preserve">V și Observația </w:t>
      </w:r>
      <w:r>
        <w:rPr>
          <w:rFonts w:asciiTheme="majorHAnsi" w:hAnsiTheme="majorHAnsi" w:cstheme="majorHAnsi"/>
          <w:i/>
          <w:lang w:val="ro-RO"/>
        </w:rPr>
        <w:t>6.6., 6.8.</w:t>
      </w:r>
      <w:r w:rsidR="00AA740E" w:rsidRPr="00AA740E">
        <w:rPr>
          <w:rFonts w:asciiTheme="majorHAnsi" w:hAnsiTheme="majorHAnsi" w:cstheme="majorHAnsi"/>
          <w:i/>
          <w:lang w:val="ro-RO"/>
        </w:rPr>
        <w:t xml:space="preserve"> </w:t>
      </w:r>
      <w:r w:rsidR="00AA740E" w:rsidRPr="00883673">
        <w:rPr>
          <w:rFonts w:asciiTheme="majorHAnsi" w:hAnsiTheme="majorHAnsi" w:cstheme="majorHAnsi"/>
          <w:i/>
          <w:lang w:val="ro-RO"/>
        </w:rPr>
        <w:t>–</w:t>
      </w:r>
      <w:r w:rsidR="00AA740E">
        <w:rPr>
          <w:rFonts w:asciiTheme="majorHAnsi" w:hAnsiTheme="majorHAnsi" w:cstheme="majorHAnsi"/>
          <w:i/>
          <w:lang w:val="ro-RO"/>
        </w:rPr>
        <w:t xml:space="preserve"> </w:t>
      </w:r>
      <w:r w:rsidR="00AA740E" w:rsidRPr="00883673">
        <w:rPr>
          <w:rFonts w:asciiTheme="majorHAnsi" w:hAnsiTheme="majorHAnsi" w:cstheme="majorHAnsi"/>
          <w:i/>
          <w:lang w:val="ro-RO"/>
        </w:rPr>
        <w:t xml:space="preserve">Secțiunea </w:t>
      </w:r>
      <w:r w:rsidR="00AA740E">
        <w:rPr>
          <w:rFonts w:asciiTheme="majorHAnsi" w:hAnsiTheme="majorHAnsi" w:cstheme="majorHAnsi"/>
          <w:i/>
          <w:lang w:val="ro-RO"/>
        </w:rPr>
        <w:t>VI</w:t>
      </w:r>
      <w:r>
        <w:rPr>
          <w:rFonts w:asciiTheme="majorHAnsi" w:hAnsiTheme="majorHAnsi" w:cstheme="majorHAnsi"/>
          <w:i/>
          <w:lang w:val="ro-RO"/>
        </w:rPr>
        <w:t>)</w:t>
      </w:r>
      <w:r w:rsidRPr="00700B20">
        <w:rPr>
          <w:rFonts w:asciiTheme="majorHAnsi" w:hAnsiTheme="majorHAnsi" w:cstheme="majorHAnsi"/>
          <w:i/>
          <w:noProof/>
          <w:lang w:val="ro-RO"/>
        </w:rPr>
        <w:t>;</w:t>
      </w:r>
    </w:p>
    <w:p w14:paraId="3DB9BDD4" w14:textId="29CCD816" w:rsidR="00E21171" w:rsidRPr="00700B20" w:rsidRDefault="00E21171" w:rsidP="00BC458C">
      <w:pPr>
        <w:pStyle w:val="NormalWeb"/>
        <w:numPr>
          <w:ilvl w:val="0"/>
          <w:numId w:val="15"/>
        </w:numPr>
        <w:spacing w:line="276" w:lineRule="auto"/>
        <w:rPr>
          <w:rFonts w:asciiTheme="majorHAnsi" w:hAnsiTheme="majorHAnsi" w:cstheme="majorHAnsi"/>
          <w:i/>
          <w:noProof/>
          <w:lang w:val="ro-RO"/>
        </w:rPr>
      </w:pPr>
      <w:r>
        <w:rPr>
          <w:rFonts w:asciiTheme="majorHAnsi" w:hAnsiTheme="majorHAnsi" w:cstheme="majorHAnsi"/>
          <w:i/>
          <w:lang w:val="ro-RO"/>
        </w:rPr>
        <w:t>S</w:t>
      </w:r>
      <w:r w:rsidRPr="00700B20">
        <w:rPr>
          <w:rFonts w:asciiTheme="majorHAnsi" w:hAnsiTheme="majorHAnsi" w:cstheme="majorHAnsi"/>
          <w:i/>
          <w:lang w:val="ro-RO"/>
        </w:rPr>
        <w:t xml:space="preserve">ă identifice, să evalueze și să includă în evidență separată </w:t>
      </w:r>
      <w:r w:rsidRPr="00700B20">
        <w:rPr>
          <w:rFonts w:asciiTheme="majorHAnsi" w:hAnsiTheme="majorHAnsi" w:cstheme="majorHAnsi"/>
          <w:i/>
          <w:noProof/>
          <w:lang w:val="ro-RO"/>
        </w:rPr>
        <w:t xml:space="preserve">sumele aferente indemnizațiilor pentru incapacitate temporară </w:t>
      </w:r>
      <w:r>
        <w:rPr>
          <w:rFonts w:asciiTheme="majorHAnsi" w:hAnsiTheme="majorHAnsi" w:cstheme="majorHAnsi"/>
          <w:i/>
          <w:noProof/>
          <w:lang w:val="ro-RO"/>
        </w:rPr>
        <w:t>de muncă cauzat</w:t>
      </w:r>
      <w:r w:rsidR="00261955">
        <w:rPr>
          <w:rFonts w:asciiTheme="majorHAnsi" w:hAnsiTheme="majorHAnsi" w:cstheme="majorHAnsi"/>
          <w:i/>
          <w:noProof/>
          <w:lang w:val="ro-RO"/>
        </w:rPr>
        <w:t>ă</w:t>
      </w:r>
      <w:r>
        <w:rPr>
          <w:rFonts w:asciiTheme="majorHAnsi" w:hAnsiTheme="majorHAnsi" w:cstheme="majorHAnsi"/>
          <w:i/>
          <w:noProof/>
          <w:lang w:val="ro-RO"/>
        </w:rPr>
        <w:t xml:space="preserve"> de un accident</w:t>
      </w:r>
      <w:r w:rsidRPr="00700B20">
        <w:rPr>
          <w:rFonts w:asciiTheme="majorHAnsi" w:hAnsiTheme="majorHAnsi" w:cstheme="majorHAnsi"/>
          <w:i/>
          <w:noProof/>
          <w:lang w:val="ro-RO"/>
        </w:rPr>
        <w:t xml:space="preserve"> de muncă sau boli profesionale achitate de angajator, cât și cele stabilite de CNAS</w:t>
      </w:r>
      <w:r w:rsidR="00261955">
        <w:rPr>
          <w:rFonts w:asciiTheme="majorHAnsi" w:hAnsiTheme="majorHAnsi" w:cstheme="majorHAnsi"/>
          <w:i/>
          <w:noProof/>
          <w:lang w:val="ro-RO"/>
        </w:rPr>
        <w:t>, cu</w:t>
      </w:r>
      <w:r w:rsidRPr="00700B20">
        <w:rPr>
          <w:rFonts w:asciiTheme="majorHAnsi" w:hAnsiTheme="majorHAnsi" w:cstheme="majorHAnsi"/>
          <w:i/>
          <w:noProof/>
          <w:lang w:val="ro-RO"/>
        </w:rPr>
        <w:t xml:space="preserve"> reflectarea corespunzătoare în rapoarte</w:t>
      </w:r>
      <w:r>
        <w:rPr>
          <w:rFonts w:asciiTheme="majorHAnsi" w:hAnsiTheme="majorHAnsi" w:cstheme="majorHAnsi"/>
          <w:i/>
          <w:noProof/>
          <w:lang w:val="ro-RO"/>
        </w:rPr>
        <w:t xml:space="preserve"> </w:t>
      </w:r>
      <w:r>
        <w:rPr>
          <w:rFonts w:asciiTheme="majorHAnsi" w:hAnsiTheme="majorHAnsi" w:cstheme="majorHAnsi"/>
          <w:i/>
          <w:lang w:val="ro-RO"/>
        </w:rPr>
        <w:t>(Observația 5.</w:t>
      </w:r>
      <w:r w:rsidR="00AA740E">
        <w:rPr>
          <w:rFonts w:asciiTheme="majorHAnsi" w:hAnsiTheme="majorHAnsi" w:cstheme="majorHAnsi"/>
          <w:i/>
          <w:lang w:val="ro-RO"/>
        </w:rPr>
        <w:t>5</w:t>
      </w:r>
      <w:r>
        <w:rPr>
          <w:rFonts w:asciiTheme="majorHAnsi" w:hAnsiTheme="majorHAnsi" w:cstheme="majorHAnsi"/>
          <w:i/>
          <w:lang w:val="ro-RO"/>
        </w:rPr>
        <w:t>.</w:t>
      </w:r>
      <w:r w:rsidR="00AA740E">
        <w:rPr>
          <w:rFonts w:asciiTheme="majorHAnsi" w:hAnsiTheme="majorHAnsi" w:cstheme="majorHAnsi"/>
          <w:i/>
          <w:lang w:val="ro-RO"/>
        </w:rPr>
        <w:t xml:space="preserve"> </w:t>
      </w:r>
      <w:r w:rsidR="00AA740E" w:rsidRPr="00883673">
        <w:rPr>
          <w:rFonts w:asciiTheme="majorHAnsi" w:hAnsiTheme="majorHAnsi" w:cstheme="majorHAnsi"/>
          <w:i/>
          <w:lang w:val="ro-RO"/>
        </w:rPr>
        <w:t>–</w:t>
      </w:r>
      <w:r w:rsidR="00AA740E">
        <w:rPr>
          <w:rFonts w:asciiTheme="majorHAnsi" w:hAnsiTheme="majorHAnsi" w:cstheme="majorHAnsi"/>
          <w:i/>
          <w:lang w:val="ro-RO"/>
        </w:rPr>
        <w:t xml:space="preserve"> </w:t>
      </w:r>
      <w:r w:rsidR="00AA740E" w:rsidRPr="00883673">
        <w:rPr>
          <w:rFonts w:asciiTheme="majorHAnsi" w:hAnsiTheme="majorHAnsi" w:cstheme="majorHAnsi"/>
          <w:i/>
          <w:lang w:val="ro-RO"/>
        </w:rPr>
        <w:t xml:space="preserve">Secțiunea </w:t>
      </w:r>
      <w:r w:rsidR="00AA740E">
        <w:rPr>
          <w:rFonts w:asciiTheme="majorHAnsi" w:hAnsiTheme="majorHAnsi" w:cstheme="majorHAnsi"/>
          <w:i/>
          <w:lang w:val="ro-RO"/>
        </w:rPr>
        <w:t>V</w:t>
      </w:r>
      <w:r>
        <w:rPr>
          <w:rFonts w:asciiTheme="majorHAnsi" w:hAnsiTheme="majorHAnsi" w:cstheme="majorHAnsi"/>
          <w:i/>
          <w:lang w:val="ro-RO"/>
        </w:rPr>
        <w:t>)</w:t>
      </w:r>
      <w:r w:rsidRPr="00700B20">
        <w:rPr>
          <w:rFonts w:asciiTheme="majorHAnsi" w:hAnsiTheme="majorHAnsi" w:cstheme="majorHAnsi"/>
          <w:i/>
          <w:noProof/>
          <w:lang w:val="ro-RO"/>
        </w:rPr>
        <w:t>;</w:t>
      </w:r>
    </w:p>
    <w:p w14:paraId="30C4BDDD" w14:textId="2873165C" w:rsidR="00BA5928" w:rsidRPr="005A4496" w:rsidRDefault="00BA5928" w:rsidP="00BA5928">
      <w:pPr>
        <w:pStyle w:val="NormalWeb"/>
        <w:numPr>
          <w:ilvl w:val="0"/>
          <w:numId w:val="15"/>
        </w:numPr>
        <w:spacing w:line="276" w:lineRule="auto"/>
        <w:rPr>
          <w:rFonts w:asciiTheme="majorHAnsi" w:hAnsiTheme="majorHAnsi" w:cs="Calibri"/>
          <w:i/>
          <w:color w:val="000000"/>
          <w:lang w:val="ro-RO"/>
        </w:rPr>
      </w:pPr>
      <w:r w:rsidRPr="005A4496">
        <w:rPr>
          <w:rFonts w:ascii="Calibri Light" w:hAnsi="Calibri Light" w:cs="Calibri Light"/>
          <w:i/>
          <w:iCs/>
          <w:color w:val="000000"/>
          <w:lang w:val="ro-RO"/>
        </w:rPr>
        <w:t xml:space="preserve">Să evalueze și să eficientizeze, de comun cu părțile implicate, procesele aferente formării și schimbului de date privind decesul beneficiarilor, în scopul excluderii cheltuielilor </w:t>
      </w:r>
      <w:r w:rsidRPr="00BA5928">
        <w:rPr>
          <w:rFonts w:ascii="Calibri Light" w:hAnsi="Calibri Light" w:cs="Calibri Light"/>
          <w:i/>
          <w:iCs/>
          <w:color w:val="000000"/>
          <w:lang w:val="ro-RO"/>
        </w:rPr>
        <w:t xml:space="preserve">nejustificate </w:t>
      </w:r>
      <w:r w:rsidRPr="00BA5928">
        <w:rPr>
          <w:rFonts w:asciiTheme="majorHAnsi" w:hAnsiTheme="majorHAnsi" w:cstheme="majorHAnsi"/>
          <w:i/>
          <w:lang w:val="ro-RO"/>
        </w:rPr>
        <w:t>(</w:t>
      </w:r>
      <w:r w:rsidRPr="005A4496">
        <w:rPr>
          <w:rFonts w:asciiTheme="majorHAnsi" w:hAnsiTheme="majorHAnsi" w:cstheme="majorHAnsi"/>
          <w:i/>
          <w:lang w:val="ro-RO"/>
        </w:rPr>
        <w:t>Observația 5.1. – Secțiunea V)</w:t>
      </w:r>
      <w:r w:rsidR="003D63C5">
        <w:rPr>
          <w:rFonts w:asciiTheme="majorHAnsi" w:hAnsiTheme="majorHAnsi" w:cs="Calibri"/>
          <w:i/>
          <w:color w:val="000000"/>
          <w:lang w:val="ro-RO"/>
        </w:rPr>
        <w:t>;</w:t>
      </w:r>
    </w:p>
    <w:p w14:paraId="327DA205" w14:textId="77777777" w:rsidR="00E21171" w:rsidRPr="00700B20" w:rsidRDefault="00E21171" w:rsidP="00E21171">
      <w:pPr>
        <w:pStyle w:val="NormalWeb"/>
        <w:spacing w:before="240" w:line="276" w:lineRule="auto"/>
        <w:ind w:firstLine="0"/>
        <w:rPr>
          <w:rFonts w:asciiTheme="majorHAnsi" w:hAnsiTheme="majorHAnsi" w:cstheme="majorHAnsi"/>
          <w:b/>
          <w:noProof/>
          <w:u w:val="single"/>
          <w:lang w:val="ro-RO"/>
        </w:rPr>
      </w:pPr>
      <w:r w:rsidRPr="00700B20">
        <w:rPr>
          <w:rFonts w:asciiTheme="majorHAnsi" w:hAnsiTheme="majorHAnsi" w:cstheme="majorHAnsi"/>
          <w:b/>
          <w:noProof/>
          <w:u w:val="single"/>
          <w:lang w:val="ro-RO"/>
        </w:rPr>
        <w:t>Recomandare Agenției Naționale pentru Ocuparea Forței de Muncă:</w:t>
      </w:r>
    </w:p>
    <w:p w14:paraId="18BD5D8E" w14:textId="101E0F76" w:rsidR="00E21171" w:rsidRDefault="00E21171" w:rsidP="00BC458C">
      <w:pPr>
        <w:pStyle w:val="NormalWeb"/>
        <w:numPr>
          <w:ilvl w:val="0"/>
          <w:numId w:val="15"/>
        </w:numPr>
        <w:spacing w:line="276" w:lineRule="auto"/>
        <w:rPr>
          <w:rFonts w:asciiTheme="majorHAnsi" w:hAnsiTheme="majorHAnsi" w:cs="Calibri"/>
          <w:i/>
          <w:color w:val="000000"/>
          <w:lang w:val="ro-RO"/>
        </w:rPr>
      </w:pPr>
      <w:r w:rsidRPr="00700B20">
        <w:rPr>
          <w:rFonts w:asciiTheme="majorHAnsi" w:hAnsiTheme="majorHAnsi" w:cs="Calibri"/>
          <w:i/>
          <w:color w:val="000000"/>
          <w:lang w:val="ro-RO"/>
        </w:rPr>
        <w:t>Să eficientizeze activitățile de control intern în scopul introducerii informației corecte și veridice cu privire la deciziile de stabilire a dreptului la ajutor de șomaj și a datelor privind beneficiarii de ajutor de șomaj</w:t>
      </w:r>
      <w:r w:rsidRPr="001A7A76">
        <w:rPr>
          <w:rFonts w:asciiTheme="majorHAnsi" w:hAnsiTheme="majorHAnsi" w:cs="Calibri"/>
          <w:i/>
          <w:color w:val="000000"/>
          <w:lang w:val="ro-RO"/>
        </w:rPr>
        <w:t xml:space="preserve"> </w:t>
      </w:r>
      <w:r>
        <w:rPr>
          <w:rFonts w:asciiTheme="majorHAnsi" w:hAnsiTheme="majorHAnsi" w:cs="Calibri"/>
          <w:i/>
          <w:color w:val="000000"/>
          <w:lang w:val="ro-RO"/>
        </w:rPr>
        <w:t xml:space="preserve">și să monitorizeze termenul de acordare a dreptului acestei prestații </w:t>
      </w:r>
      <w:r>
        <w:rPr>
          <w:rFonts w:asciiTheme="majorHAnsi" w:hAnsiTheme="majorHAnsi" w:cstheme="majorHAnsi"/>
          <w:i/>
          <w:lang w:val="ro-RO"/>
        </w:rPr>
        <w:t>(Observația 6.7., 6.10.3.</w:t>
      </w:r>
      <w:r w:rsidR="00AA740E">
        <w:rPr>
          <w:rFonts w:asciiTheme="majorHAnsi" w:hAnsiTheme="majorHAnsi" w:cstheme="majorHAnsi"/>
          <w:i/>
          <w:lang w:val="ro-RO"/>
        </w:rPr>
        <w:t xml:space="preserve"> </w:t>
      </w:r>
      <w:r w:rsidR="00AA740E" w:rsidRPr="00883673">
        <w:rPr>
          <w:rFonts w:asciiTheme="majorHAnsi" w:hAnsiTheme="majorHAnsi" w:cstheme="majorHAnsi"/>
          <w:i/>
          <w:lang w:val="ro-RO"/>
        </w:rPr>
        <w:t>–</w:t>
      </w:r>
      <w:r w:rsidR="00AA740E">
        <w:rPr>
          <w:rFonts w:asciiTheme="majorHAnsi" w:hAnsiTheme="majorHAnsi" w:cstheme="majorHAnsi"/>
          <w:i/>
          <w:lang w:val="ro-RO"/>
        </w:rPr>
        <w:t xml:space="preserve"> </w:t>
      </w:r>
      <w:r w:rsidR="00AA740E" w:rsidRPr="00883673">
        <w:rPr>
          <w:rFonts w:asciiTheme="majorHAnsi" w:hAnsiTheme="majorHAnsi" w:cstheme="majorHAnsi"/>
          <w:i/>
          <w:lang w:val="ro-RO"/>
        </w:rPr>
        <w:t xml:space="preserve">Secțiunea </w:t>
      </w:r>
      <w:r w:rsidR="00AA740E">
        <w:rPr>
          <w:rFonts w:asciiTheme="majorHAnsi" w:hAnsiTheme="majorHAnsi" w:cstheme="majorHAnsi"/>
          <w:i/>
          <w:lang w:val="ro-RO"/>
        </w:rPr>
        <w:t>VI</w:t>
      </w:r>
      <w:r>
        <w:rPr>
          <w:rFonts w:asciiTheme="majorHAnsi" w:hAnsiTheme="majorHAnsi" w:cstheme="majorHAnsi"/>
          <w:i/>
          <w:lang w:val="ro-RO"/>
        </w:rPr>
        <w:t>)</w:t>
      </w:r>
      <w:r>
        <w:rPr>
          <w:rFonts w:asciiTheme="majorHAnsi" w:hAnsiTheme="majorHAnsi" w:cs="Calibri"/>
          <w:i/>
          <w:color w:val="000000"/>
          <w:lang w:val="ro-RO"/>
        </w:rPr>
        <w:t>.</w:t>
      </w:r>
    </w:p>
    <w:p w14:paraId="59CD64B9" w14:textId="77777777" w:rsidR="00E21171" w:rsidRPr="001A7A76" w:rsidRDefault="00E21171" w:rsidP="00E21171">
      <w:pPr>
        <w:pStyle w:val="NormalWeb"/>
        <w:spacing w:line="276" w:lineRule="auto"/>
        <w:ind w:left="720" w:firstLine="0"/>
        <w:rPr>
          <w:rFonts w:asciiTheme="majorHAnsi" w:hAnsiTheme="majorHAnsi" w:cs="Calibri"/>
          <w:i/>
          <w:color w:val="000000"/>
          <w:lang w:val="ro-RO"/>
        </w:rPr>
      </w:pPr>
    </w:p>
    <w:p w14:paraId="73B7084A" w14:textId="1861ED28" w:rsidR="001A455D" w:rsidRPr="00341E6C" w:rsidRDefault="00C75E87" w:rsidP="007B54F0">
      <w:pPr>
        <w:pStyle w:val="Heading1"/>
        <w:spacing w:before="0"/>
        <w:ind w:left="1189" w:hanging="1189"/>
        <w:jc w:val="left"/>
        <w:rPr>
          <w:rFonts w:asciiTheme="majorHAnsi" w:hAnsiTheme="majorHAnsi" w:cstheme="majorHAnsi"/>
          <w:sz w:val="28"/>
          <w:szCs w:val="28"/>
          <w:lang w:val="ro-RO"/>
        </w:rPr>
      </w:pPr>
      <w:r w:rsidRPr="00341E6C">
        <w:rPr>
          <w:rFonts w:asciiTheme="majorHAnsi" w:hAnsiTheme="majorHAnsi" w:cstheme="majorHAnsi"/>
          <w:sz w:val="28"/>
          <w:szCs w:val="28"/>
          <w:lang w:val="ro-RO"/>
        </w:rPr>
        <w:t>R</w:t>
      </w:r>
      <w:r w:rsidR="00AE03C9" w:rsidRPr="00341E6C">
        <w:rPr>
          <w:rFonts w:asciiTheme="majorHAnsi" w:hAnsiTheme="majorHAnsi" w:cstheme="majorHAnsi"/>
          <w:sz w:val="28"/>
          <w:szCs w:val="28"/>
          <w:lang w:val="ro-RO"/>
        </w:rPr>
        <w:t>ESPONSABILITĂȚILE CELOR ÎNSĂRCINAȚI CU GUVERNANȚA PENTRU RAPOARTELE GUVERNULUI</w:t>
      </w:r>
      <w:bookmarkEnd w:id="8"/>
    </w:p>
    <w:p w14:paraId="4FC5FE2F" w14:textId="77777777" w:rsidR="006C6C9D" w:rsidRPr="00341E6C" w:rsidRDefault="006C6C9D" w:rsidP="00930B4E">
      <w:pPr>
        <w:spacing w:after="0" w:line="276" w:lineRule="auto"/>
        <w:jc w:val="both"/>
        <w:rPr>
          <w:rFonts w:asciiTheme="majorHAnsi" w:eastAsia="Times New Roman" w:hAnsiTheme="majorHAnsi" w:cstheme="majorHAnsi"/>
          <w:b/>
          <w:sz w:val="24"/>
          <w:szCs w:val="24"/>
          <w:lang w:val="ro-RO"/>
        </w:rPr>
      </w:pPr>
      <w:r w:rsidRPr="00341E6C">
        <w:rPr>
          <w:rFonts w:asciiTheme="majorHAnsi" w:eastAsia="Times New Roman" w:hAnsiTheme="majorHAnsi" w:cstheme="majorHAnsi"/>
          <w:b/>
          <w:sz w:val="24"/>
          <w:szCs w:val="24"/>
          <w:lang w:val="ro-RO"/>
        </w:rPr>
        <w:t>Responsabilitatea Guvernului</w:t>
      </w:r>
      <w:r w:rsidRPr="00341E6C">
        <w:rPr>
          <w:rFonts w:asciiTheme="majorHAnsi" w:eastAsia="Times New Roman" w:hAnsiTheme="majorHAnsi" w:cstheme="majorHAnsi"/>
          <w:sz w:val="24"/>
          <w:szCs w:val="24"/>
          <w:lang w:val="ro-RO"/>
        </w:rPr>
        <w:t>, în domeniul finanțelor publice, este de a exercita conducerea generală a activității executive în domeniul gestionării finanțelor publice, în conformitate cu principiile şi regulile stabilite</w:t>
      </w:r>
      <w:r w:rsidRPr="00341E6C">
        <w:rPr>
          <w:rStyle w:val="FootnoteReference"/>
          <w:rFonts w:asciiTheme="majorHAnsi" w:eastAsia="Times New Roman" w:hAnsiTheme="majorHAnsi" w:cstheme="majorHAnsi"/>
          <w:sz w:val="24"/>
          <w:szCs w:val="24"/>
          <w:lang w:val="ro-RO"/>
        </w:rPr>
        <w:footnoteReference w:id="74"/>
      </w:r>
      <w:r w:rsidRPr="00341E6C">
        <w:rPr>
          <w:rFonts w:asciiTheme="majorHAnsi" w:eastAsia="Times New Roman" w:hAnsiTheme="majorHAnsi" w:cstheme="majorHAnsi"/>
          <w:sz w:val="24"/>
          <w:szCs w:val="24"/>
          <w:lang w:val="ro-RO"/>
        </w:rPr>
        <w:t>.</w:t>
      </w:r>
    </w:p>
    <w:p w14:paraId="39BCFC55" w14:textId="1102236A" w:rsidR="006C6C9D" w:rsidRPr="00341E6C" w:rsidRDefault="006C6C9D" w:rsidP="00930B4E">
      <w:pPr>
        <w:spacing w:after="0" w:line="276" w:lineRule="auto"/>
        <w:jc w:val="both"/>
        <w:rPr>
          <w:rFonts w:asciiTheme="majorHAnsi" w:eastAsia="Times New Roman" w:hAnsiTheme="majorHAnsi" w:cstheme="majorHAnsi"/>
          <w:sz w:val="24"/>
          <w:szCs w:val="24"/>
          <w:lang w:val="ro-RO"/>
        </w:rPr>
      </w:pPr>
      <w:r w:rsidRPr="00341E6C">
        <w:rPr>
          <w:rFonts w:asciiTheme="majorHAnsi" w:eastAsia="Times New Roman" w:hAnsiTheme="majorHAnsi" w:cstheme="majorHAnsi"/>
          <w:b/>
          <w:bCs/>
          <w:iCs/>
          <w:sz w:val="24"/>
          <w:szCs w:val="24"/>
          <w:lang w:val="ro-RO"/>
        </w:rPr>
        <w:t xml:space="preserve">Responsabilitatea Ministerului Sănătății, Muncii şi Protecției Sociale </w:t>
      </w:r>
      <w:r w:rsidRPr="00341E6C">
        <w:rPr>
          <w:rFonts w:asciiTheme="majorHAnsi" w:eastAsia="Times New Roman" w:hAnsiTheme="majorHAnsi" w:cstheme="majorHAnsi"/>
          <w:sz w:val="24"/>
          <w:szCs w:val="24"/>
          <w:lang w:val="ro-RO"/>
        </w:rPr>
        <w:t>a constat în monitorizarea şi analiza executării BASS</w:t>
      </w:r>
      <w:r w:rsidRPr="00341E6C">
        <w:rPr>
          <w:rStyle w:val="FootnoteReference"/>
          <w:rFonts w:asciiTheme="majorHAnsi" w:eastAsia="Times New Roman" w:hAnsiTheme="majorHAnsi" w:cstheme="majorHAnsi"/>
          <w:sz w:val="24"/>
          <w:szCs w:val="24"/>
          <w:lang w:val="ro-RO"/>
        </w:rPr>
        <w:footnoteReference w:id="75"/>
      </w:r>
      <w:r w:rsidRPr="00341E6C">
        <w:rPr>
          <w:rFonts w:asciiTheme="majorHAnsi" w:eastAsia="Times New Roman" w:hAnsiTheme="majorHAnsi" w:cstheme="majorHAnsi"/>
          <w:sz w:val="24"/>
          <w:szCs w:val="24"/>
          <w:lang w:val="ro-RO"/>
        </w:rPr>
        <w:t>.</w:t>
      </w:r>
    </w:p>
    <w:p w14:paraId="22290EA4" w14:textId="3112EFE6" w:rsidR="006C6C9D" w:rsidRPr="00341E6C" w:rsidRDefault="006C6C9D" w:rsidP="00930B4E">
      <w:pPr>
        <w:spacing w:after="0" w:line="276" w:lineRule="auto"/>
        <w:jc w:val="both"/>
        <w:rPr>
          <w:rFonts w:asciiTheme="majorHAnsi" w:eastAsia="Times New Roman" w:hAnsiTheme="majorHAnsi" w:cstheme="majorHAnsi"/>
          <w:sz w:val="24"/>
          <w:szCs w:val="24"/>
          <w:lang w:val="ro-RO"/>
        </w:rPr>
      </w:pPr>
      <w:r w:rsidRPr="00341E6C">
        <w:rPr>
          <w:rFonts w:asciiTheme="majorHAnsi" w:eastAsia="Times New Roman" w:hAnsiTheme="majorHAnsi" w:cstheme="majorHAnsi"/>
          <w:b/>
          <w:bCs/>
          <w:iCs/>
          <w:sz w:val="24"/>
          <w:szCs w:val="24"/>
          <w:lang w:val="ro-RO"/>
        </w:rPr>
        <w:lastRenderedPageBreak/>
        <w:t xml:space="preserve">Responsabilitatea Ministerului Finanțelor </w:t>
      </w:r>
      <w:r w:rsidRPr="00341E6C">
        <w:rPr>
          <w:rFonts w:asciiTheme="majorHAnsi" w:eastAsia="Times New Roman" w:hAnsiTheme="majorHAnsi" w:cstheme="majorHAnsi"/>
          <w:bCs/>
          <w:iCs/>
          <w:sz w:val="24"/>
          <w:szCs w:val="24"/>
          <w:lang w:val="ro-RO"/>
        </w:rPr>
        <w:t>ține de</w:t>
      </w:r>
      <w:r w:rsidRPr="00341E6C">
        <w:rPr>
          <w:rStyle w:val="FootnoteReference"/>
          <w:rFonts w:asciiTheme="majorHAnsi" w:eastAsia="Times New Roman" w:hAnsiTheme="majorHAnsi" w:cstheme="majorHAnsi"/>
          <w:sz w:val="24"/>
          <w:szCs w:val="24"/>
          <w:lang w:val="ro-RO"/>
        </w:rPr>
        <w:footnoteReference w:id="76"/>
      </w:r>
      <w:r w:rsidRPr="00341E6C">
        <w:rPr>
          <w:rFonts w:asciiTheme="majorHAnsi" w:eastAsia="Times New Roman" w:hAnsiTheme="majorHAnsi" w:cstheme="majorHAnsi"/>
          <w:bCs/>
          <w:iCs/>
          <w:sz w:val="24"/>
          <w:szCs w:val="24"/>
          <w:lang w:val="ro-RO"/>
        </w:rPr>
        <w:t>:</w:t>
      </w:r>
    </w:p>
    <w:p w14:paraId="1C23612D" w14:textId="77777777" w:rsidR="006C6C9D" w:rsidRPr="00341E6C" w:rsidRDefault="006C6C9D" w:rsidP="00930B4E">
      <w:pPr>
        <w:spacing w:after="0" w:line="276" w:lineRule="auto"/>
        <w:ind w:firstLine="720"/>
        <w:jc w:val="both"/>
        <w:rPr>
          <w:rFonts w:asciiTheme="majorHAnsi" w:eastAsia="Times New Roman" w:hAnsiTheme="majorHAnsi" w:cstheme="majorHAnsi"/>
          <w:sz w:val="24"/>
          <w:szCs w:val="24"/>
          <w:lang w:val="ro-RO"/>
        </w:rPr>
      </w:pPr>
      <w:r w:rsidRPr="00341E6C">
        <w:rPr>
          <w:rFonts w:asciiTheme="majorHAnsi" w:eastAsia="Times New Roman" w:hAnsiTheme="majorHAnsi" w:cstheme="majorHAnsi"/>
          <w:sz w:val="24"/>
          <w:szCs w:val="24"/>
          <w:lang w:val="ro-RO"/>
        </w:rPr>
        <w:t>- elaborarea şi aprobarea, în baza Legii contabilității şi în conformitate cu Planul de conturi contabile, a metodologiei privind evidența contabilă în sistemul bugetar, inclusiv privind contabilitatea executării BASS;</w:t>
      </w:r>
    </w:p>
    <w:p w14:paraId="1453CCA6" w14:textId="77777777" w:rsidR="006C6C9D" w:rsidRPr="00341E6C" w:rsidRDefault="006C6C9D" w:rsidP="00930B4E">
      <w:pPr>
        <w:spacing w:after="0" w:line="276" w:lineRule="auto"/>
        <w:ind w:firstLine="720"/>
        <w:jc w:val="both"/>
        <w:rPr>
          <w:rFonts w:asciiTheme="majorHAnsi" w:hAnsiTheme="majorHAnsi" w:cstheme="majorHAnsi"/>
          <w:sz w:val="24"/>
          <w:szCs w:val="24"/>
          <w:lang w:val="ro-RO"/>
        </w:rPr>
      </w:pPr>
      <w:r w:rsidRPr="00341E6C">
        <w:rPr>
          <w:rFonts w:asciiTheme="majorHAnsi" w:eastAsia="Times New Roman" w:hAnsiTheme="majorHAnsi" w:cstheme="majorHAnsi"/>
          <w:sz w:val="24"/>
          <w:szCs w:val="24"/>
          <w:lang w:val="ro-RO"/>
        </w:rPr>
        <w:t>- elaborarea şi aprobarea metodologiei privind implementarea cadrului normativ-legal în domeniul finanțelor publice, inclusiv privind evidența contabilă și raportarea bugetelor componente ale bugetului public național, precum și acordarea asistenței metodologice în procesul bugetar.</w:t>
      </w:r>
      <w:r w:rsidRPr="00341E6C">
        <w:rPr>
          <w:rFonts w:asciiTheme="majorHAnsi" w:hAnsiTheme="majorHAnsi" w:cstheme="majorHAnsi"/>
          <w:sz w:val="24"/>
          <w:szCs w:val="24"/>
          <w:lang w:val="ro-RO"/>
        </w:rPr>
        <w:t xml:space="preserve"> </w:t>
      </w:r>
    </w:p>
    <w:p w14:paraId="24A31E06" w14:textId="77777777" w:rsidR="00761AA6" w:rsidRPr="00341E6C" w:rsidRDefault="00761AA6" w:rsidP="00930B4E">
      <w:pPr>
        <w:spacing w:after="0" w:line="276" w:lineRule="auto"/>
        <w:jc w:val="both"/>
        <w:rPr>
          <w:rFonts w:asciiTheme="majorHAnsi" w:hAnsiTheme="majorHAnsi" w:cstheme="majorHAnsi"/>
          <w:sz w:val="24"/>
          <w:szCs w:val="24"/>
          <w:lang w:val="ro-RO"/>
        </w:rPr>
      </w:pPr>
      <w:r w:rsidRPr="00341E6C">
        <w:rPr>
          <w:rFonts w:asciiTheme="majorHAnsi" w:eastAsia="Times New Roman" w:hAnsiTheme="majorHAnsi" w:cstheme="majorHAnsi"/>
          <w:b/>
          <w:sz w:val="24"/>
          <w:szCs w:val="24"/>
          <w:lang w:val="ro-RO"/>
        </w:rPr>
        <w:t xml:space="preserve">Responsabilitatea Casei Naționale de Asigurări Sociale </w:t>
      </w:r>
      <w:r w:rsidRPr="00341E6C">
        <w:rPr>
          <w:rFonts w:asciiTheme="majorHAnsi" w:eastAsia="Times New Roman" w:hAnsiTheme="majorHAnsi" w:cstheme="majorHAnsi"/>
          <w:sz w:val="24"/>
          <w:szCs w:val="24"/>
          <w:lang w:val="ro-RO"/>
        </w:rPr>
        <w:t xml:space="preserve">a constat în pregătirea și prezentarea fidelă către Guvern, Ministerul Sănătății, Muncii şi Protecției Sociale și Ministerul Finanțelor a </w:t>
      </w:r>
      <w:r w:rsidRPr="00341E6C">
        <w:rPr>
          <w:rFonts w:asciiTheme="majorHAnsi" w:hAnsiTheme="majorHAnsi" w:cstheme="majorHAnsi"/>
          <w:sz w:val="24"/>
          <w:szCs w:val="24"/>
          <w:lang w:val="ro-RO"/>
        </w:rPr>
        <w:t>rapoartelor privind executarea bugetului asigurărilor sociale de stat în conformitate cu cadrul de raportare aplicabil şi asigurarea publicării acestora</w:t>
      </w:r>
      <w:r w:rsidRPr="00341E6C">
        <w:rPr>
          <w:rStyle w:val="FootnoteReference"/>
          <w:rFonts w:asciiTheme="majorHAnsi" w:eastAsia="Times New Roman" w:hAnsiTheme="majorHAnsi" w:cstheme="majorHAnsi"/>
          <w:sz w:val="24"/>
          <w:szCs w:val="24"/>
          <w:lang w:val="ro-RO" w:eastAsia="ro-RO"/>
        </w:rPr>
        <w:footnoteReference w:id="77"/>
      </w:r>
      <w:r w:rsidRPr="00341E6C">
        <w:rPr>
          <w:rFonts w:asciiTheme="majorHAnsi" w:eastAsia="Times New Roman" w:hAnsiTheme="majorHAnsi" w:cstheme="majorHAnsi"/>
          <w:sz w:val="24"/>
          <w:szCs w:val="24"/>
          <w:lang w:val="ro-RO"/>
        </w:rPr>
        <w:t xml:space="preserve">. Totodată, conducătorul Casei Naționale </w:t>
      </w:r>
      <w:r w:rsidRPr="00341E6C">
        <w:rPr>
          <w:rFonts w:asciiTheme="majorHAnsi" w:hAnsiTheme="majorHAnsi" w:cstheme="majorHAnsi"/>
          <w:sz w:val="24"/>
          <w:szCs w:val="24"/>
          <w:lang w:val="ro-RO"/>
        </w:rPr>
        <w:t>este responsabil de implementarea unui sistem de control intern, care asigură întocmirea rapoartelor ce nu conțin denaturări semnificative, cauzate de fraudă sau de eroare.</w:t>
      </w:r>
    </w:p>
    <w:p w14:paraId="10176867" w14:textId="189D08C5" w:rsidR="0002324C" w:rsidRPr="00341E6C" w:rsidRDefault="00B05C12" w:rsidP="00930B4E">
      <w:pPr>
        <w:pStyle w:val="CommentText"/>
        <w:spacing w:after="0" w:line="276" w:lineRule="auto"/>
        <w:jc w:val="both"/>
        <w:rPr>
          <w:rFonts w:asciiTheme="majorHAnsi" w:hAnsiTheme="majorHAnsi" w:cstheme="majorHAnsi"/>
          <w:sz w:val="24"/>
          <w:szCs w:val="24"/>
          <w:lang w:val="ro-RO"/>
        </w:rPr>
      </w:pPr>
      <w:r w:rsidRPr="00341E6C">
        <w:rPr>
          <w:rFonts w:asciiTheme="majorHAnsi" w:hAnsiTheme="majorHAnsi" w:cstheme="majorHAnsi"/>
          <w:b/>
          <w:sz w:val="24"/>
          <w:szCs w:val="24"/>
          <w:lang w:val="ro-RO"/>
        </w:rPr>
        <w:t>Directorul general al Casei Naționale de Asigurări Sociale</w:t>
      </w:r>
      <w:r w:rsidRPr="00341E6C">
        <w:rPr>
          <w:rFonts w:asciiTheme="majorHAnsi" w:hAnsiTheme="majorHAnsi" w:cstheme="majorHAnsi"/>
          <w:sz w:val="24"/>
          <w:szCs w:val="24"/>
          <w:lang w:val="ro-RO"/>
        </w:rPr>
        <w:t xml:space="preserve"> este responsabil de pregătirea şi prezentarea fidelă a Raportului Guvernului privind</w:t>
      </w:r>
      <w:r w:rsidR="00CF676A" w:rsidRPr="00341E6C">
        <w:rPr>
          <w:rFonts w:asciiTheme="majorHAnsi" w:hAnsiTheme="majorHAnsi" w:cstheme="majorHAnsi"/>
          <w:sz w:val="24"/>
          <w:szCs w:val="24"/>
          <w:lang w:val="ro-RO"/>
        </w:rPr>
        <w:t xml:space="preserve"> executarea BASS pentru anul 2020</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în conformitate cu cadrul de raportare aplicabil</w:t>
      </w:r>
      <w:r w:rsidRPr="00341E6C">
        <w:rPr>
          <w:rStyle w:val="FootnoteReference"/>
          <w:rFonts w:asciiTheme="majorHAnsi" w:hAnsiTheme="majorHAnsi" w:cstheme="majorHAnsi"/>
          <w:sz w:val="24"/>
          <w:szCs w:val="24"/>
          <w:lang w:val="ro-RO"/>
        </w:rPr>
        <w:footnoteReference w:id="78"/>
      </w:r>
      <w:r w:rsidRPr="00341E6C">
        <w:rPr>
          <w:rFonts w:asciiTheme="majorHAnsi" w:hAnsiTheme="majorHAnsi" w:cstheme="majorHAnsi"/>
          <w:sz w:val="24"/>
          <w:szCs w:val="24"/>
          <w:lang w:val="ro-RO"/>
        </w:rPr>
        <w:t xml:space="preserve">. De asemenea, responsabilitatea managementului este de a organiza și </w:t>
      </w:r>
      <w:r w:rsidR="006001A2" w:rsidRPr="00341E6C">
        <w:rPr>
          <w:rFonts w:asciiTheme="majorHAnsi" w:hAnsiTheme="majorHAnsi" w:cstheme="majorHAnsi"/>
          <w:sz w:val="24"/>
          <w:szCs w:val="24"/>
          <w:lang w:val="ro-RO"/>
        </w:rPr>
        <w:t xml:space="preserve">a </w:t>
      </w:r>
      <w:r w:rsidRPr="00341E6C">
        <w:rPr>
          <w:rFonts w:asciiTheme="majorHAnsi" w:hAnsiTheme="majorHAnsi" w:cstheme="majorHAnsi"/>
          <w:sz w:val="24"/>
          <w:szCs w:val="24"/>
          <w:lang w:val="ro-RO"/>
        </w:rPr>
        <w:t>implementa sistemul de control intern</w:t>
      </w:r>
      <w:r w:rsidRPr="00341E6C">
        <w:rPr>
          <w:rStyle w:val="FootnoteReference"/>
          <w:rFonts w:asciiTheme="majorHAnsi" w:hAnsiTheme="majorHAnsi" w:cstheme="majorHAnsi"/>
          <w:sz w:val="24"/>
          <w:szCs w:val="24"/>
          <w:lang w:val="ro-RO"/>
        </w:rPr>
        <w:footnoteReference w:id="79"/>
      </w:r>
      <w:r w:rsidRPr="00341E6C">
        <w:rPr>
          <w:rFonts w:asciiTheme="majorHAnsi" w:hAnsiTheme="majorHAnsi" w:cstheme="majorHAnsi"/>
          <w:sz w:val="24"/>
          <w:szCs w:val="24"/>
          <w:lang w:val="ro-RO"/>
        </w:rPr>
        <w:t>, în scopul de a asigura desfășurarea și organizarea eficientă a activității entității, inclusiv respectarea strictă a integrității activelor, prevenirea și descoperirea cauzelor de fraudă și eroare, exactitatea și plenitudinea datelor raportate</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 xml:space="preserve"> precum şi pregătirea oportună a informaţiilor financiare credibile. Totodată, la întocmirea situațiilor financiare, conducerea este responsabilă de evaluarea capacității autorității de a-și continua activitatea în baza principiului continuității activității. </w:t>
      </w:r>
    </w:p>
    <w:p w14:paraId="2A0564D9" w14:textId="77777777" w:rsidR="00945841" w:rsidRPr="00341E6C" w:rsidRDefault="00945841" w:rsidP="00930B4E">
      <w:pPr>
        <w:pStyle w:val="CommentText"/>
        <w:spacing w:after="0" w:line="276" w:lineRule="auto"/>
        <w:jc w:val="both"/>
        <w:rPr>
          <w:rFonts w:asciiTheme="majorHAnsi" w:hAnsiTheme="majorHAnsi" w:cstheme="majorHAnsi"/>
          <w:sz w:val="24"/>
          <w:szCs w:val="24"/>
          <w:lang w:val="ro-RO"/>
        </w:rPr>
      </w:pPr>
    </w:p>
    <w:p w14:paraId="3DEEA2B1" w14:textId="287F5675" w:rsidR="00C75E87" w:rsidRPr="00341E6C" w:rsidRDefault="00C75E87" w:rsidP="007B54F0">
      <w:pPr>
        <w:pStyle w:val="Heading1"/>
        <w:spacing w:before="0"/>
        <w:ind w:left="0" w:firstLine="0"/>
        <w:jc w:val="both"/>
        <w:rPr>
          <w:rFonts w:asciiTheme="majorHAnsi" w:hAnsiTheme="majorHAnsi" w:cstheme="majorHAnsi"/>
          <w:sz w:val="28"/>
          <w:szCs w:val="28"/>
          <w:lang w:val="ro-RO"/>
        </w:rPr>
      </w:pPr>
      <w:bookmarkStart w:id="9" w:name="_Toc35000690"/>
      <w:r w:rsidRPr="00341E6C">
        <w:rPr>
          <w:rFonts w:asciiTheme="majorHAnsi" w:hAnsiTheme="majorHAnsi" w:cstheme="majorHAnsi"/>
          <w:sz w:val="28"/>
          <w:szCs w:val="28"/>
          <w:lang w:val="ro-RO"/>
        </w:rPr>
        <w:t>R</w:t>
      </w:r>
      <w:r w:rsidR="00AE03C9" w:rsidRPr="00341E6C">
        <w:rPr>
          <w:rFonts w:asciiTheme="majorHAnsi" w:hAnsiTheme="majorHAnsi" w:cstheme="majorHAnsi"/>
          <w:sz w:val="28"/>
          <w:szCs w:val="28"/>
          <w:lang w:val="ro-RO"/>
        </w:rPr>
        <w:t xml:space="preserve">ESPONSABILITĂȚILE AUDITORULUI ÎNTR-UN AUDIT AL RAPOARTELOR </w:t>
      </w:r>
      <w:bookmarkEnd w:id="9"/>
      <w:r w:rsidR="008C540E" w:rsidRPr="00341E6C">
        <w:rPr>
          <w:rFonts w:asciiTheme="majorHAnsi" w:hAnsiTheme="majorHAnsi" w:cstheme="majorHAnsi"/>
          <w:sz w:val="28"/>
          <w:szCs w:val="28"/>
          <w:lang w:val="ro-RO"/>
        </w:rPr>
        <w:t>FINACIARE</w:t>
      </w:r>
    </w:p>
    <w:p w14:paraId="3F02C134" w14:textId="57076C94" w:rsidR="00B51BAB" w:rsidRPr="00341E6C" w:rsidRDefault="00B51BAB" w:rsidP="00930B4E">
      <w:pPr>
        <w:autoSpaceDE w:val="0"/>
        <w:autoSpaceDN w:val="0"/>
        <w:adjustRightInd w:val="0"/>
        <w:spacing w:after="0" w:line="276" w:lineRule="auto"/>
        <w:ind w:right="-23"/>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Responsabilitatea noastră este de a planifica și a realiza misiunea de audit, cu obținerea probelor suficiente și adecvate în vederea susținerii bazei pentru opinia de audit. Obiectivele noastre sunt: obținerea unei asigurări rezonabile că rapoartele financiare</w:t>
      </w:r>
      <w:r w:rsidR="00261C90" w:rsidRPr="00341E6C">
        <w:rPr>
          <w:rFonts w:asciiTheme="majorHAnsi" w:hAnsiTheme="majorHAnsi" w:cstheme="majorHAnsi"/>
          <w:sz w:val="24"/>
          <w:szCs w:val="24"/>
          <w:lang w:val="ro-RO"/>
        </w:rPr>
        <w:t xml:space="preserve"> </w:t>
      </w:r>
      <w:r w:rsidRPr="00341E6C">
        <w:rPr>
          <w:rFonts w:asciiTheme="majorHAnsi" w:hAnsiTheme="majorHAnsi" w:cstheme="majorHAnsi"/>
          <w:sz w:val="24"/>
          <w:szCs w:val="24"/>
          <w:lang w:val="ro-RO"/>
        </w:rPr>
        <w:t>nu sunt afectate de denaturări semnificative, cauzate de fraude sau erori, precum și emiterea unei opinii.</w:t>
      </w:r>
    </w:p>
    <w:p w14:paraId="30E001AE" w14:textId="6DE2F4DC" w:rsidR="00B51BAB" w:rsidRPr="00341E6C" w:rsidRDefault="00B51BAB" w:rsidP="00930B4E">
      <w:pPr>
        <w:autoSpaceDE w:val="0"/>
        <w:autoSpaceDN w:val="0"/>
        <w:adjustRightInd w:val="0"/>
        <w:spacing w:after="0" w:line="276" w:lineRule="auto"/>
        <w:ind w:right="-23"/>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Asigurarea rezonabilă este un nivel ridicat de asigurare, dar nu este o garanție că un audit efectuat în conformitate cu Standardele Internaționale va detecta întotdeauna o denaturare semnificativă atunci când ea există. Denaturările pot fi </w:t>
      </w:r>
      <w:r w:rsidR="00261955">
        <w:rPr>
          <w:rFonts w:asciiTheme="majorHAnsi" w:hAnsiTheme="majorHAnsi" w:cstheme="majorHAnsi"/>
          <w:sz w:val="24"/>
          <w:szCs w:val="24"/>
          <w:lang w:val="ro-RO"/>
        </w:rPr>
        <w:t xml:space="preserve">ca </w:t>
      </w:r>
      <w:r w:rsidRPr="00341E6C">
        <w:rPr>
          <w:rFonts w:asciiTheme="majorHAnsi" w:hAnsiTheme="majorHAnsi" w:cstheme="majorHAnsi"/>
          <w:sz w:val="24"/>
          <w:szCs w:val="24"/>
          <w:lang w:val="ro-RO"/>
        </w:rPr>
        <w:t xml:space="preserve">urmare a fraudelor sau erorilor. Totodată, denaturările pot fi considerate semnificative dacă, în mod individual sau în ansamblu, pot influența deciziile economice ale utilizatorilor acestor rapoarte financiare consolidate. </w:t>
      </w:r>
    </w:p>
    <w:p w14:paraId="047B7F87" w14:textId="15AEAB10" w:rsidR="00B51BAB" w:rsidRPr="00341E6C" w:rsidRDefault="00B51BAB" w:rsidP="00930B4E">
      <w:pPr>
        <w:autoSpaceDE w:val="0"/>
        <w:autoSpaceDN w:val="0"/>
        <w:adjustRightInd w:val="0"/>
        <w:spacing w:after="0" w:line="276" w:lineRule="auto"/>
        <w:ind w:right="-23"/>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O descriere suplimentară a responsabilităților auditorului într-un audit al rapoartelor financ</w:t>
      </w:r>
      <w:r w:rsidR="00CE217F" w:rsidRPr="00341E6C">
        <w:rPr>
          <w:rFonts w:asciiTheme="majorHAnsi" w:hAnsiTheme="majorHAnsi" w:cstheme="majorHAnsi"/>
          <w:sz w:val="24"/>
          <w:szCs w:val="24"/>
          <w:lang w:val="ro-RO"/>
        </w:rPr>
        <w:t>iare este plasată pe site-ul Curții de Conturi, la adresa:</w:t>
      </w:r>
      <w:r w:rsidR="00CE217F" w:rsidRPr="00341E6C">
        <w:rPr>
          <w:rFonts w:asciiTheme="majorHAnsi" w:hAnsiTheme="majorHAnsi" w:cstheme="majorHAnsi"/>
          <w:i/>
          <w:sz w:val="24"/>
          <w:szCs w:val="24"/>
          <w:lang w:val="ro-RO"/>
        </w:rPr>
        <w:t xml:space="preserve"> </w:t>
      </w:r>
      <w:hyperlink r:id="rId26" w:history="1">
        <w:r w:rsidR="00CE217F" w:rsidRPr="00341E6C">
          <w:rPr>
            <w:rStyle w:val="Hyperlink"/>
            <w:rFonts w:asciiTheme="majorHAnsi" w:hAnsiTheme="majorHAnsi" w:cstheme="majorHAnsi"/>
            <w:i/>
            <w:sz w:val="24"/>
            <w:szCs w:val="24"/>
            <w:lang w:val="ro-RO"/>
          </w:rPr>
          <w:t>http://www.ccrm.md/activitatea-curtii-de-conturi-1-25</w:t>
        </w:r>
      </w:hyperlink>
      <w:r w:rsidRPr="00341E6C">
        <w:rPr>
          <w:rFonts w:asciiTheme="majorHAnsi" w:hAnsiTheme="majorHAnsi" w:cstheme="majorHAnsi"/>
          <w:i/>
          <w:sz w:val="24"/>
          <w:szCs w:val="24"/>
          <w:lang w:val="ro-RO"/>
        </w:rPr>
        <w:t>.</w:t>
      </w:r>
      <w:r w:rsidRPr="00341E6C">
        <w:rPr>
          <w:rFonts w:asciiTheme="majorHAnsi" w:hAnsiTheme="majorHAnsi" w:cstheme="majorHAnsi"/>
          <w:sz w:val="24"/>
          <w:szCs w:val="24"/>
          <w:lang w:val="ro-RO"/>
        </w:rPr>
        <w:t xml:space="preserve"> Această descriere face parte din Raportul nostru de audit.</w:t>
      </w:r>
    </w:p>
    <w:p w14:paraId="21E87EF2" w14:textId="77777777" w:rsidR="001A455D" w:rsidRPr="00341E6C" w:rsidRDefault="001A455D" w:rsidP="00930B4E">
      <w:pPr>
        <w:spacing w:after="0" w:line="276" w:lineRule="auto"/>
        <w:rPr>
          <w:rFonts w:asciiTheme="majorHAnsi" w:hAnsiTheme="majorHAnsi" w:cstheme="majorHAnsi"/>
          <w:b/>
          <w:color w:val="000000" w:themeColor="text1"/>
          <w:sz w:val="24"/>
          <w:szCs w:val="24"/>
          <w:lang w:val="ro-RO"/>
        </w:rPr>
      </w:pPr>
    </w:p>
    <w:p w14:paraId="6F5ABFA3" w14:textId="77777777" w:rsidR="00C75E87" w:rsidRPr="00341E6C" w:rsidRDefault="00C75E87" w:rsidP="00930B4E">
      <w:pPr>
        <w:spacing w:after="0" w:line="276" w:lineRule="auto"/>
        <w:rPr>
          <w:rFonts w:asciiTheme="majorHAnsi" w:hAnsiTheme="majorHAnsi" w:cstheme="majorHAnsi"/>
          <w:b/>
          <w:color w:val="000000" w:themeColor="text1"/>
          <w:sz w:val="24"/>
          <w:szCs w:val="24"/>
          <w:lang w:val="ro-RO"/>
        </w:rPr>
      </w:pPr>
      <w:r w:rsidRPr="00341E6C">
        <w:rPr>
          <w:rFonts w:asciiTheme="majorHAnsi" w:hAnsiTheme="majorHAnsi" w:cstheme="majorHAnsi"/>
          <w:b/>
          <w:color w:val="000000" w:themeColor="text1"/>
          <w:sz w:val="24"/>
          <w:szCs w:val="24"/>
          <w:lang w:val="ro-RO"/>
        </w:rPr>
        <w:lastRenderedPageBreak/>
        <w:t>Semnătura auditorului</w:t>
      </w:r>
      <w:r w:rsidR="00652D50" w:rsidRPr="00341E6C">
        <w:rPr>
          <w:rFonts w:asciiTheme="majorHAnsi" w:hAnsiTheme="majorHAnsi" w:cstheme="majorHAnsi"/>
          <w:b/>
          <w:color w:val="000000" w:themeColor="text1"/>
          <w:sz w:val="24"/>
          <w:szCs w:val="24"/>
          <w:lang w:val="ro-RO"/>
        </w:rPr>
        <w:t>:</w:t>
      </w:r>
    </w:p>
    <w:p w14:paraId="0776B320" w14:textId="77777777" w:rsidR="00652D50" w:rsidRPr="00341E6C" w:rsidRDefault="00652D50" w:rsidP="00930B4E">
      <w:pPr>
        <w:spacing w:after="0" w:line="276" w:lineRule="auto"/>
        <w:jc w:val="both"/>
        <w:rPr>
          <w:rFonts w:asciiTheme="majorHAnsi" w:hAnsiTheme="majorHAnsi" w:cstheme="majorHAnsi"/>
          <w:b/>
          <w:bCs/>
          <w:iCs/>
          <w:sz w:val="24"/>
          <w:szCs w:val="24"/>
          <w:lang w:val="ro-RO"/>
        </w:rPr>
      </w:pPr>
      <w:r w:rsidRPr="00341E6C">
        <w:rPr>
          <w:rFonts w:asciiTheme="majorHAnsi" w:hAnsiTheme="majorHAnsi" w:cstheme="majorHAnsi"/>
          <w:b/>
          <w:bCs/>
          <w:iCs/>
          <w:sz w:val="24"/>
          <w:szCs w:val="24"/>
          <w:lang w:val="ro-RO"/>
        </w:rPr>
        <w:t>Echipa de audit:</w:t>
      </w:r>
    </w:p>
    <w:p w14:paraId="6FC27D1B" w14:textId="77777777" w:rsidR="00652D50" w:rsidRPr="00341E6C" w:rsidRDefault="00652D50" w:rsidP="00930B4E">
      <w:pPr>
        <w:tabs>
          <w:tab w:val="left" w:pos="1080"/>
        </w:tabs>
        <w:spacing w:after="0" w:line="276" w:lineRule="auto"/>
        <w:contextualSpacing/>
        <w:jc w:val="both"/>
        <w:rPr>
          <w:rFonts w:asciiTheme="majorHAnsi" w:hAnsiTheme="majorHAnsi" w:cstheme="majorHAnsi"/>
          <w:bCs/>
          <w:iCs/>
          <w:sz w:val="24"/>
          <w:szCs w:val="24"/>
          <w:lang w:val="ro-RO"/>
        </w:rPr>
      </w:pPr>
      <w:r w:rsidRPr="00341E6C">
        <w:rPr>
          <w:rFonts w:asciiTheme="majorHAnsi" w:hAnsiTheme="majorHAnsi" w:cstheme="majorHAnsi"/>
          <w:bCs/>
          <w:iCs/>
          <w:sz w:val="24"/>
          <w:szCs w:val="24"/>
          <w:lang w:val="ro-RO"/>
        </w:rPr>
        <w:t xml:space="preserve">Șeful echipei de audit, </w:t>
      </w:r>
    </w:p>
    <w:p w14:paraId="318DCA78" w14:textId="1721E517" w:rsidR="005E19F1" w:rsidRPr="00341E6C" w:rsidRDefault="005E19F1" w:rsidP="00930B4E">
      <w:pPr>
        <w:tabs>
          <w:tab w:val="left" w:pos="1080"/>
        </w:tabs>
        <w:spacing w:after="0" w:line="276" w:lineRule="auto"/>
        <w:contextualSpacing/>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Șef interimar</w:t>
      </w:r>
      <w:r w:rsidR="00261955">
        <w:rPr>
          <w:rFonts w:asciiTheme="majorHAnsi" w:hAnsiTheme="majorHAnsi" w:cstheme="majorHAnsi"/>
          <w:sz w:val="24"/>
          <w:szCs w:val="24"/>
          <w:lang w:val="ro-RO"/>
        </w:rPr>
        <w:t xml:space="preserve"> al</w:t>
      </w:r>
      <w:r w:rsidRPr="00341E6C">
        <w:rPr>
          <w:rFonts w:asciiTheme="majorHAnsi" w:hAnsiTheme="majorHAnsi" w:cstheme="majorHAnsi"/>
          <w:sz w:val="24"/>
          <w:szCs w:val="24"/>
          <w:lang w:val="ro-RO"/>
        </w:rPr>
        <w:t xml:space="preserve"> Direcți</w:t>
      </w:r>
      <w:r w:rsidR="00261955">
        <w:rPr>
          <w:rFonts w:asciiTheme="majorHAnsi" w:hAnsiTheme="majorHAnsi" w:cstheme="majorHAnsi"/>
          <w:sz w:val="24"/>
          <w:szCs w:val="24"/>
          <w:lang w:val="ro-RO"/>
        </w:rPr>
        <w:t>ei</w:t>
      </w:r>
      <w:r w:rsidRPr="00341E6C">
        <w:rPr>
          <w:rFonts w:asciiTheme="majorHAnsi" w:hAnsiTheme="majorHAnsi" w:cstheme="majorHAnsi"/>
          <w:sz w:val="24"/>
          <w:szCs w:val="24"/>
          <w:lang w:val="ro-RO"/>
        </w:rPr>
        <w:t xml:space="preserve"> de audit I </w:t>
      </w:r>
    </w:p>
    <w:p w14:paraId="316C5185" w14:textId="3E1BD861" w:rsidR="00652D50" w:rsidRPr="00341E6C" w:rsidRDefault="005E19F1" w:rsidP="00930B4E">
      <w:pPr>
        <w:tabs>
          <w:tab w:val="left" w:pos="1080"/>
        </w:tabs>
        <w:spacing w:after="0" w:line="276" w:lineRule="auto"/>
        <w:contextualSpacing/>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în cadrul Direcției generale de audit II</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00652D50" w:rsidRPr="00341E6C">
        <w:rPr>
          <w:rFonts w:asciiTheme="majorHAnsi" w:hAnsiTheme="majorHAnsi" w:cstheme="majorHAnsi"/>
          <w:sz w:val="24"/>
          <w:szCs w:val="24"/>
          <w:lang w:val="ro-RO"/>
        </w:rPr>
        <w:tab/>
      </w:r>
      <w:r w:rsidR="00652D50" w:rsidRPr="00341E6C">
        <w:rPr>
          <w:rFonts w:asciiTheme="majorHAnsi" w:hAnsiTheme="majorHAnsi" w:cstheme="majorHAnsi"/>
          <w:sz w:val="24"/>
          <w:szCs w:val="24"/>
          <w:lang w:val="ro-RO"/>
        </w:rPr>
        <w:tab/>
        <w:t>Irina Rogaciov</w:t>
      </w:r>
      <w:r w:rsidR="00652D50" w:rsidRPr="00341E6C">
        <w:rPr>
          <w:rFonts w:asciiTheme="majorHAnsi" w:hAnsiTheme="majorHAnsi" w:cstheme="majorHAnsi"/>
          <w:sz w:val="24"/>
          <w:szCs w:val="24"/>
          <w:lang w:val="ro-RO"/>
        </w:rPr>
        <w:tab/>
      </w:r>
    </w:p>
    <w:p w14:paraId="78C91945" w14:textId="77777777" w:rsidR="00F61F5F" w:rsidRPr="00341E6C" w:rsidRDefault="00F61F5F" w:rsidP="00930B4E">
      <w:pPr>
        <w:tabs>
          <w:tab w:val="left" w:pos="1080"/>
        </w:tabs>
        <w:spacing w:after="0" w:line="276" w:lineRule="auto"/>
        <w:contextualSpacing/>
        <w:jc w:val="both"/>
        <w:rPr>
          <w:rFonts w:asciiTheme="majorHAnsi" w:hAnsiTheme="majorHAnsi" w:cstheme="majorHAnsi"/>
          <w:sz w:val="24"/>
          <w:szCs w:val="24"/>
          <w:lang w:val="ro-RO"/>
        </w:rPr>
      </w:pPr>
    </w:p>
    <w:p w14:paraId="23801F6E" w14:textId="700E89CB" w:rsidR="00652D50" w:rsidRPr="00341E6C" w:rsidRDefault="00652D50" w:rsidP="00930B4E">
      <w:pPr>
        <w:tabs>
          <w:tab w:val="left" w:pos="1080"/>
        </w:tabs>
        <w:spacing w:after="0" w:line="276" w:lineRule="auto"/>
        <w:contextualSpacing/>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Auditor public principal</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t>Elena Cebotari</w:t>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t xml:space="preserve"> </w:t>
      </w:r>
    </w:p>
    <w:p w14:paraId="054276B6" w14:textId="1E6273D7" w:rsidR="00652D50" w:rsidRPr="00341E6C" w:rsidRDefault="00652D50" w:rsidP="00930B4E">
      <w:pPr>
        <w:tabs>
          <w:tab w:val="left" w:pos="1080"/>
        </w:tabs>
        <w:spacing w:after="0" w:line="276" w:lineRule="auto"/>
        <w:contextualSpacing/>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Auditor public superior</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t>Elena Mirciu</w:t>
      </w:r>
    </w:p>
    <w:p w14:paraId="61D0DCFC" w14:textId="19CECBA9" w:rsidR="00652D50" w:rsidRPr="00341E6C" w:rsidRDefault="00652D50" w:rsidP="00930B4E">
      <w:pPr>
        <w:tabs>
          <w:tab w:val="left" w:pos="1080"/>
        </w:tabs>
        <w:spacing w:after="0" w:line="276" w:lineRule="auto"/>
        <w:contextualSpacing/>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Auditor public</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t>Ana Miron</w:t>
      </w:r>
    </w:p>
    <w:p w14:paraId="24BAAA95" w14:textId="77777777" w:rsidR="00652D50" w:rsidRPr="00341E6C" w:rsidRDefault="00652D50" w:rsidP="00930B4E">
      <w:pPr>
        <w:spacing w:after="0" w:line="276" w:lineRule="auto"/>
        <w:rPr>
          <w:rFonts w:asciiTheme="majorHAnsi" w:hAnsiTheme="majorHAnsi" w:cstheme="majorHAnsi"/>
          <w:b/>
          <w:bCs/>
          <w:iCs/>
          <w:sz w:val="24"/>
          <w:szCs w:val="24"/>
          <w:lang w:val="ro-RO"/>
        </w:rPr>
      </w:pPr>
    </w:p>
    <w:p w14:paraId="282ED359" w14:textId="77777777" w:rsidR="00652D50" w:rsidRPr="00341E6C" w:rsidRDefault="00652D50" w:rsidP="00930B4E">
      <w:pPr>
        <w:spacing w:after="0" w:line="276" w:lineRule="auto"/>
        <w:rPr>
          <w:rFonts w:asciiTheme="majorHAnsi" w:hAnsiTheme="majorHAnsi" w:cstheme="majorHAnsi"/>
          <w:b/>
          <w:bCs/>
          <w:iCs/>
          <w:sz w:val="24"/>
          <w:szCs w:val="24"/>
          <w:lang w:val="ro-RO"/>
        </w:rPr>
      </w:pPr>
      <w:r w:rsidRPr="00341E6C">
        <w:rPr>
          <w:rFonts w:asciiTheme="majorHAnsi" w:hAnsiTheme="majorHAnsi" w:cstheme="majorHAnsi"/>
          <w:b/>
          <w:bCs/>
          <w:iCs/>
          <w:sz w:val="24"/>
          <w:szCs w:val="24"/>
          <w:lang w:val="ro-RO"/>
        </w:rPr>
        <w:t xml:space="preserve">Responsabil de monitorizarea și asigurarea calității auditului: </w:t>
      </w:r>
    </w:p>
    <w:p w14:paraId="30CA45E6" w14:textId="681D6499" w:rsidR="0087760E" w:rsidRPr="00856C81" w:rsidRDefault="00652D50" w:rsidP="00856C81">
      <w:pPr>
        <w:tabs>
          <w:tab w:val="left" w:pos="1080"/>
        </w:tabs>
        <w:spacing w:after="0" w:line="276" w:lineRule="auto"/>
        <w:contextualSpacing/>
        <w:jc w:val="both"/>
        <w:rPr>
          <w:rFonts w:asciiTheme="majorHAnsi" w:hAnsiTheme="majorHAnsi" w:cstheme="majorHAnsi"/>
          <w:sz w:val="24"/>
          <w:szCs w:val="24"/>
          <w:lang w:val="ro-RO"/>
        </w:rPr>
      </w:pPr>
      <w:r w:rsidRPr="00341E6C">
        <w:rPr>
          <w:rFonts w:asciiTheme="majorHAnsi" w:hAnsiTheme="majorHAnsi" w:cstheme="majorHAnsi"/>
          <w:sz w:val="24"/>
          <w:szCs w:val="24"/>
          <w:lang w:val="ro-RO"/>
        </w:rPr>
        <w:t>Șeful Direcției generale de audit II</w:t>
      </w:r>
      <w:r w:rsidR="006001A2" w:rsidRPr="00341E6C">
        <w:rPr>
          <w:rFonts w:asciiTheme="majorHAnsi" w:hAnsiTheme="majorHAnsi" w:cstheme="majorHAnsi"/>
          <w:sz w:val="24"/>
          <w:szCs w:val="24"/>
          <w:lang w:val="ro-RO"/>
        </w:rPr>
        <w:t>,</w:t>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r>
      <w:r w:rsidRPr="00341E6C">
        <w:rPr>
          <w:rFonts w:asciiTheme="majorHAnsi" w:hAnsiTheme="majorHAnsi" w:cstheme="majorHAnsi"/>
          <w:sz w:val="24"/>
          <w:szCs w:val="24"/>
          <w:lang w:val="ro-RO"/>
        </w:rPr>
        <w:tab/>
        <w:t>Sofia Ciuvalschi</w:t>
      </w:r>
      <w:r w:rsidR="00EE50E1" w:rsidRPr="00341E6C">
        <w:rPr>
          <w:rFonts w:asciiTheme="majorHAnsi" w:hAnsiTheme="majorHAnsi" w:cstheme="majorHAnsi"/>
          <w:sz w:val="24"/>
          <w:szCs w:val="24"/>
          <w:lang w:val="ro-RO"/>
        </w:rPr>
        <w:t xml:space="preserve"> </w:t>
      </w:r>
    </w:p>
    <w:p w14:paraId="23033D52" w14:textId="71DBD71D" w:rsidR="00C32938" w:rsidRDefault="00C32938" w:rsidP="00FE2C3F">
      <w:pPr>
        <w:spacing w:after="0" w:line="240" w:lineRule="auto"/>
        <w:rPr>
          <w:rFonts w:ascii="Calibri Light" w:eastAsia="Times New Roman" w:hAnsi="Calibri Light" w:cs="Calibri Light"/>
          <w:b/>
          <w:bCs/>
          <w:color w:val="000000"/>
          <w:sz w:val="20"/>
          <w:szCs w:val="20"/>
          <w:lang w:val="ro-RO"/>
        </w:rPr>
      </w:pPr>
    </w:p>
    <w:p w14:paraId="19D862F5" w14:textId="27311F71" w:rsidR="00A74781" w:rsidRDefault="00A74781" w:rsidP="00FE2C3F">
      <w:pPr>
        <w:spacing w:after="0" w:line="240" w:lineRule="auto"/>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o-RO"/>
        </w:rPr>
        <w:br w:type="page"/>
      </w:r>
    </w:p>
    <w:p w14:paraId="2126F5C5" w14:textId="77777777" w:rsidR="00A74781" w:rsidRPr="00341E6C" w:rsidRDefault="00A74781" w:rsidP="00A74781">
      <w:pPr>
        <w:pStyle w:val="NormalWeb"/>
        <w:tabs>
          <w:tab w:val="left" w:pos="162"/>
        </w:tabs>
        <w:spacing w:line="276" w:lineRule="auto"/>
        <w:ind w:left="567" w:firstLine="0"/>
        <w:jc w:val="right"/>
        <w:outlineLvl w:val="1"/>
        <w:rPr>
          <w:rFonts w:asciiTheme="majorHAnsi" w:hAnsiTheme="majorHAnsi" w:cstheme="majorHAnsi"/>
          <w:b/>
          <w:lang w:val="ro-RO"/>
        </w:rPr>
      </w:pPr>
      <w:r w:rsidRPr="00341E6C">
        <w:rPr>
          <w:rFonts w:asciiTheme="majorHAnsi" w:hAnsiTheme="majorHAnsi" w:cstheme="majorHAnsi"/>
          <w:b/>
          <w:lang w:val="ro-RO"/>
        </w:rPr>
        <w:lastRenderedPageBreak/>
        <w:t>Anexa nr. 1</w:t>
      </w:r>
    </w:p>
    <w:p w14:paraId="00A4D9AF" w14:textId="521085A5" w:rsidR="00A74781" w:rsidRPr="00341E6C" w:rsidRDefault="00A74781" w:rsidP="00A74781">
      <w:pPr>
        <w:spacing w:after="0" w:line="276" w:lineRule="auto"/>
        <w:jc w:val="center"/>
        <w:rPr>
          <w:rFonts w:asciiTheme="majorHAnsi" w:hAnsiTheme="majorHAnsi" w:cstheme="majorHAnsi"/>
          <w:b/>
          <w:sz w:val="24"/>
          <w:szCs w:val="24"/>
          <w:lang w:val="ro-RO"/>
        </w:rPr>
      </w:pPr>
      <w:r w:rsidRPr="00341E6C">
        <w:rPr>
          <w:rFonts w:asciiTheme="majorHAnsi" w:hAnsiTheme="majorHAnsi" w:cstheme="majorHAnsi"/>
          <w:b/>
          <w:sz w:val="24"/>
          <w:szCs w:val="24"/>
          <w:lang w:val="ro-RO"/>
        </w:rPr>
        <w:t>Prezentarea indicatorilor de venituri</w:t>
      </w:r>
      <w:r>
        <w:rPr>
          <w:rFonts w:asciiTheme="majorHAnsi" w:hAnsiTheme="majorHAnsi" w:cstheme="majorHAnsi"/>
          <w:b/>
          <w:sz w:val="24"/>
          <w:szCs w:val="24"/>
          <w:lang w:val="ro-RO"/>
        </w:rPr>
        <w:t xml:space="preserve"> pentru anul 2020</w:t>
      </w:r>
      <w:r w:rsidRPr="00341E6C">
        <w:rPr>
          <w:rFonts w:asciiTheme="majorHAnsi" w:hAnsiTheme="majorHAnsi" w:cstheme="majorHAnsi"/>
          <w:b/>
          <w:sz w:val="24"/>
          <w:szCs w:val="24"/>
          <w:lang w:val="ro-RO"/>
        </w:rPr>
        <w:t xml:space="preserve"> (mii lei)</w:t>
      </w:r>
    </w:p>
    <w:tbl>
      <w:tblPr>
        <w:tblW w:w="9900" w:type="dxa"/>
        <w:tblInd w:w="-275" w:type="dxa"/>
        <w:tblLayout w:type="fixed"/>
        <w:tblLook w:val="04A0" w:firstRow="1" w:lastRow="0" w:firstColumn="1" w:lastColumn="0" w:noHBand="0" w:noVBand="1"/>
      </w:tblPr>
      <w:tblGrid>
        <w:gridCol w:w="2610"/>
        <w:gridCol w:w="720"/>
        <w:gridCol w:w="1085"/>
        <w:gridCol w:w="1170"/>
        <w:gridCol w:w="990"/>
        <w:gridCol w:w="1170"/>
        <w:gridCol w:w="1080"/>
        <w:gridCol w:w="1075"/>
      </w:tblGrid>
      <w:tr w:rsidR="00A74781" w:rsidRPr="00341E6C" w14:paraId="1584712C" w14:textId="77777777" w:rsidTr="00E91E50">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F3FCBA4"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Indicator</w:t>
            </w:r>
          </w:p>
        </w:tc>
        <w:tc>
          <w:tcPr>
            <w:tcW w:w="720" w:type="dxa"/>
            <w:tcBorders>
              <w:top w:val="single" w:sz="4" w:space="0" w:color="auto"/>
              <w:left w:val="nil"/>
              <w:bottom w:val="single" w:sz="4" w:space="0" w:color="auto"/>
              <w:right w:val="single" w:sz="4" w:space="0" w:color="auto"/>
            </w:tcBorders>
            <w:shd w:val="clear" w:color="auto" w:fill="92D050"/>
            <w:noWrap/>
            <w:vAlign w:val="center"/>
          </w:tcPr>
          <w:p w14:paraId="5D742DD7"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ECO</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14:paraId="4D0F7F8D"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Calculat pe parcursul perioadei de gestiune</w:t>
            </w:r>
          </w:p>
        </w:tc>
        <w:tc>
          <w:tcPr>
            <w:tcW w:w="117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69D1405"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Executat</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3315EED1"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Soldul BASS,</w:t>
            </w:r>
          </w:p>
          <w:p w14:paraId="6B778A16" w14:textId="30EAC85B" w:rsidR="00A74781" w:rsidRPr="00341E6C" w:rsidRDefault="00A74781" w:rsidP="00261955">
            <w:pPr>
              <w:spacing w:after="0" w:line="240" w:lineRule="auto"/>
              <w:jc w:val="center"/>
              <w:rPr>
                <w:rFonts w:asciiTheme="majorHAnsi" w:eastAsia="Times New Roman" w:hAnsiTheme="majorHAnsi" w:cstheme="majorHAnsi"/>
                <w:b/>
                <w:bCs/>
                <w:sz w:val="16"/>
                <w:szCs w:val="16"/>
                <w:lang w:val="ro-RO"/>
              </w:rPr>
            </w:pPr>
            <w:r>
              <w:rPr>
                <w:rFonts w:asciiTheme="majorHAnsi" w:eastAsia="Times New Roman" w:hAnsiTheme="majorHAnsi" w:cstheme="majorHAnsi"/>
                <w:b/>
                <w:bCs/>
                <w:sz w:val="16"/>
                <w:szCs w:val="16"/>
                <w:lang w:val="ro-RO"/>
              </w:rPr>
              <w:t>Datorii la sfârș</w:t>
            </w:r>
            <w:r w:rsidRPr="00341E6C">
              <w:rPr>
                <w:rFonts w:asciiTheme="majorHAnsi" w:eastAsia="Times New Roman" w:hAnsiTheme="majorHAnsi" w:cstheme="majorHAnsi"/>
                <w:b/>
                <w:bCs/>
                <w:sz w:val="16"/>
                <w:szCs w:val="16"/>
                <w:lang w:val="ro-RO"/>
              </w:rPr>
              <w:t>itul p</w:t>
            </w:r>
            <w:r>
              <w:rPr>
                <w:rFonts w:asciiTheme="majorHAnsi" w:eastAsia="Times New Roman" w:hAnsiTheme="majorHAnsi" w:cstheme="majorHAnsi"/>
                <w:b/>
                <w:bCs/>
                <w:sz w:val="16"/>
                <w:szCs w:val="16"/>
                <w:lang w:val="ro-RO"/>
              </w:rPr>
              <w:t>e</w:t>
            </w:r>
            <w:r w:rsidRPr="00341E6C">
              <w:rPr>
                <w:rFonts w:asciiTheme="majorHAnsi" w:eastAsia="Times New Roman" w:hAnsiTheme="majorHAnsi" w:cstheme="majorHAnsi"/>
                <w:b/>
                <w:bCs/>
                <w:sz w:val="16"/>
                <w:szCs w:val="16"/>
                <w:lang w:val="ro-RO"/>
              </w:rPr>
              <w:t>rioadei de gestiune</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14:paraId="63F956BD"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Soldul plătitorilor,</w:t>
            </w:r>
          </w:p>
          <w:p w14:paraId="6F818E76"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Pr>
                <w:rFonts w:asciiTheme="majorHAnsi" w:eastAsia="Times New Roman" w:hAnsiTheme="majorHAnsi" w:cstheme="majorHAnsi"/>
                <w:b/>
                <w:bCs/>
                <w:sz w:val="16"/>
                <w:szCs w:val="16"/>
                <w:lang w:val="ro-RO"/>
              </w:rPr>
              <w:t>Creanțe la sfârș</w:t>
            </w:r>
            <w:r w:rsidRPr="00341E6C">
              <w:rPr>
                <w:rFonts w:asciiTheme="majorHAnsi" w:eastAsia="Times New Roman" w:hAnsiTheme="majorHAnsi" w:cstheme="majorHAnsi"/>
                <w:b/>
                <w:bCs/>
                <w:sz w:val="16"/>
                <w:szCs w:val="16"/>
                <w:lang w:val="ro-RO"/>
              </w:rPr>
              <w:t>itul perioadei de gestiune</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8434418"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*Restanțe</w:t>
            </w:r>
          </w:p>
        </w:tc>
        <w:tc>
          <w:tcPr>
            <w:tcW w:w="1075" w:type="dxa"/>
            <w:tcBorders>
              <w:top w:val="single" w:sz="4" w:space="0" w:color="auto"/>
              <w:left w:val="single" w:sz="4" w:space="0" w:color="auto"/>
              <w:bottom w:val="single" w:sz="4" w:space="0" w:color="auto"/>
              <w:right w:val="single" w:sz="4" w:space="0" w:color="auto"/>
            </w:tcBorders>
            <w:shd w:val="clear" w:color="auto" w:fill="92D050"/>
            <w:vAlign w:val="center"/>
          </w:tcPr>
          <w:p w14:paraId="2798370B"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 xml:space="preserve">**Suma plătită în </w:t>
            </w:r>
            <w:r>
              <w:rPr>
                <w:rFonts w:asciiTheme="majorHAnsi" w:eastAsia="Times New Roman" w:hAnsiTheme="majorHAnsi" w:cstheme="majorHAnsi"/>
                <w:b/>
                <w:bCs/>
                <w:sz w:val="16"/>
                <w:szCs w:val="16"/>
                <w:lang w:val="ro-RO"/>
              </w:rPr>
              <w:t>prealabil</w:t>
            </w:r>
          </w:p>
        </w:tc>
      </w:tr>
      <w:tr w:rsidR="00A74781" w:rsidRPr="00341E6C" w14:paraId="46400FEF" w14:textId="77777777" w:rsidTr="00E91E50">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661A"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VENITURI</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BB7A100"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1</w:t>
            </w:r>
          </w:p>
        </w:tc>
        <w:tc>
          <w:tcPr>
            <w:tcW w:w="1085" w:type="dxa"/>
            <w:tcBorders>
              <w:top w:val="single" w:sz="4" w:space="0" w:color="auto"/>
              <w:left w:val="single" w:sz="4" w:space="0" w:color="auto"/>
              <w:bottom w:val="single" w:sz="4" w:space="0" w:color="auto"/>
              <w:right w:val="single" w:sz="4" w:space="0" w:color="auto"/>
            </w:tcBorders>
            <w:vAlign w:val="center"/>
          </w:tcPr>
          <w:p w14:paraId="5EA8679F"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2ACE"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p>
        </w:tc>
        <w:tc>
          <w:tcPr>
            <w:tcW w:w="990" w:type="dxa"/>
            <w:tcBorders>
              <w:top w:val="single" w:sz="4" w:space="0" w:color="auto"/>
              <w:left w:val="single" w:sz="4" w:space="0" w:color="auto"/>
              <w:bottom w:val="single" w:sz="4" w:space="0" w:color="auto"/>
              <w:right w:val="single" w:sz="4" w:space="0" w:color="auto"/>
            </w:tcBorders>
            <w:vAlign w:val="center"/>
          </w:tcPr>
          <w:p w14:paraId="6B231E30"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p>
        </w:tc>
        <w:tc>
          <w:tcPr>
            <w:tcW w:w="1170" w:type="dxa"/>
            <w:tcBorders>
              <w:top w:val="single" w:sz="4" w:space="0" w:color="auto"/>
              <w:left w:val="single" w:sz="4" w:space="0" w:color="auto"/>
              <w:bottom w:val="single" w:sz="4" w:space="0" w:color="auto"/>
              <w:right w:val="single" w:sz="4" w:space="0" w:color="auto"/>
            </w:tcBorders>
            <w:vAlign w:val="center"/>
          </w:tcPr>
          <w:p w14:paraId="3D4A134B"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p>
        </w:tc>
        <w:tc>
          <w:tcPr>
            <w:tcW w:w="1080" w:type="dxa"/>
            <w:tcBorders>
              <w:top w:val="single" w:sz="4" w:space="0" w:color="auto"/>
              <w:left w:val="single" w:sz="4" w:space="0" w:color="auto"/>
              <w:bottom w:val="single" w:sz="4" w:space="0" w:color="auto"/>
              <w:right w:val="single" w:sz="4" w:space="0" w:color="auto"/>
            </w:tcBorders>
            <w:vAlign w:val="center"/>
          </w:tcPr>
          <w:p w14:paraId="5DD307D3"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p>
        </w:tc>
        <w:tc>
          <w:tcPr>
            <w:tcW w:w="1075" w:type="dxa"/>
            <w:tcBorders>
              <w:top w:val="single" w:sz="4" w:space="0" w:color="auto"/>
              <w:left w:val="single" w:sz="4" w:space="0" w:color="auto"/>
              <w:bottom w:val="single" w:sz="4" w:space="0" w:color="auto"/>
              <w:right w:val="single" w:sz="4" w:space="0" w:color="auto"/>
            </w:tcBorders>
            <w:vAlign w:val="center"/>
          </w:tcPr>
          <w:p w14:paraId="03E012DB"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p>
        </w:tc>
      </w:tr>
      <w:tr w:rsidR="00A74781" w:rsidRPr="00341E6C" w14:paraId="1FC399C7"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22B01C64" w14:textId="77777777" w:rsidR="00A74781" w:rsidRPr="00341E6C" w:rsidRDefault="00A74781" w:rsidP="00E91E50">
            <w:pPr>
              <w:spacing w:after="0" w:line="240" w:lineRule="auto"/>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CONTRIBUŢII DE ASIGURĂRI SOCIALE DE STAT OBLIGATORII</w:t>
            </w:r>
          </w:p>
        </w:tc>
        <w:tc>
          <w:tcPr>
            <w:tcW w:w="720" w:type="dxa"/>
            <w:tcBorders>
              <w:top w:val="nil"/>
              <w:left w:val="nil"/>
              <w:bottom w:val="single" w:sz="4" w:space="0" w:color="auto"/>
              <w:right w:val="single" w:sz="4" w:space="0" w:color="auto"/>
            </w:tcBorders>
            <w:shd w:val="clear" w:color="auto" w:fill="auto"/>
            <w:noWrap/>
            <w:vAlign w:val="center"/>
            <w:hideMark/>
          </w:tcPr>
          <w:p w14:paraId="593DF6A1" w14:textId="77777777" w:rsidR="00A74781" w:rsidRPr="00341E6C" w:rsidRDefault="00A74781" w:rsidP="00E91E50">
            <w:pPr>
              <w:spacing w:after="0" w:line="240" w:lineRule="auto"/>
              <w:jc w:val="center"/>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121</w:t>
            </w:r>
          </w:p>
        </w:tc>
        <w:tc>
          <w:tcPr>
            <w:tcW w:w="1085" w:type="dxa"/>
            <w:tcBorders>
              <w:top w:val="single" w:sz="4" w:space="0" w:color="auto"/>
              <w:left w:val="single" w:sz="4" w:space="0" w:color="auto"/>
              <w:bottom w:val="single" w:sz="4" w:space="0" w:color="auto"/>
              <w:right w:val="single" w:sz="4" w:space="0" w:color="auto"/>
            </w:tcBorders>
            <w:vAlign w:val="center"/>
          </w:tcPr>
          <w:p w14:paraId="392B5136" w14:textId="77777777" w:rsidR="00A74781" w:rsidRPr="00341E6C" w:rsidRDefault="00A74781" w:rsidP="00E91E50">
            <w:pPr>
              <w:spacing w:after="0" w:line="240" w:lineRule="auto"/>
              <w:jc w:val="right"/>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14434131.8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4C79" w14:textId="77777777" w:rsidR="00A74781" w:rsidRPr="00341E6C" w:rsidRDefault="00A74781" w:rsidP="00E91E50">
            <w:pPr>
              <w:spacing w:after="0" w:line="240" w:lineRule="auto"/>
              <w:jc w:val="right"/>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14295392.1</w:t>
            </w:r>
          </w:p>
        </w:tc>
        <w:tc>
          <w:tcPr>
            <w:tcW w:w="990" w:type="dxa"/>
            <w:tcBorders>
              <w:top w:val="single" w:sz="4" w:space="0" w:color="auto"/>
              <w:left w:val="single" w:sz="4" w:space="0" w:color="auto"/>
              <w:bottom w:val="single" w:sz="4" w:space="0" w:color="auto"/>
              <w:right w:val="single" w:sz="4" w:space="0" w:color="auto"/>
            </w:tcBorders>
            <w:vAlign w:val="center"/>
          </w:tcPr>
          <w:p w14:paraId="579D9F36" w14:textId="77777777" w:rsidR="00A74781" w:rsidRPr="00341E6C" w:rsidRDefault="00A74781" w:rsidP="00E91E50">
            <w:pPr>
              <w:spacing w:after="0" w:line="240" w:lineRule="auto"/>
              <w:jc w:val="right"/>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172378.5</w:t>
            </w:r>
          </w:p>
        </w:tc>
        <w:tc>
          <w:tcPr>
            <w:tcW w:w="1170" w:type="dxa"/>
            <w:tcBorders>
              <w:top w:val="single" w:sz="4" w:space="0" w:color="auto"/>
              <w:left w:val="single" w:sz="4" w:space="0" w:color="auto"/>
              <w:bottom w:val="single" w:sz="4" w:space="0" w:color="auto"/>
              <w:right w:val="single" w:sz="4" w:space="0" w:color="auto"/>
            </w:tcBorders>
            <w:vAlign w:val="center"/>
          </w:tcPr>
          <w:p w14:paraId="54F1D1FA" w14:textId="77777777" w:rsidR="00A74781" w:rsidRPr="00341E6C" w:rsidRDefault="00A74781" w:rsidP="00E91E50">
            <w:pPr>
              <w:spacing w:after="0" w:line="240" w:lineRule="auto"/>
              <w:jc w:val="right"/>
              <w:rPr>
                <w:rFonts w:asciiTheme="majorHAnsi" w:eastAsia="Times New Roman" w:hAnsiTheme="majorHAnsi" w:cstheme="majorHAnsi"/>
                <w:b/>
                <w:bCs/>
                <w:sz w:val="16"/>
                <w:szCs w:val="16"/>
                <w:lang w:val="ro-RO"/>
              </w:rPr>
            </w:pPr>
            <w:r w:rsidRPr="00341E6C">
              <w:rPr>
                <w:rFonts w:asciiTheme="majorHAnsi" w:eastAsia="Times New Roman" w:hAnsiTheme="majorHAnsi" w:cstheme="majorHAnsi"/>
                <w:b/>
                <w:bCs/>
                <w:sz w:val="16"/>
                <w:szCs w:val="16"/>
                <w:lang w:val="ro-RO"/>
              </w:rPr>
              <w:t>1716850.8</w:t>
            </w:r>
          </w:p>
        </w:tc>
        <w:tc>
          <w:tcPr>
            <w:tcW w:w="1080" w:type="dxa"/>
            <w:tcBorders>
              <w:top w:val="single" w:sz="4" w:space="0" w:color="auto"/>
              <w:left w:val="single" w:sz="4" w:space="0" w:color="auto"/>
              <w:bottom w:val="single" w:sz="4" w:space="0" w:color="auto"/>
              <w:right w:val="single" w:sz="4" w:space="0" w:color="auto"/>
            </w:tcBorders>
            <w:vAlign w:val="center"/>
          </w:tcPr>
          <w:p w14:paraId="5C114B38" w14:textId="77777777" w:rsidR="00A74781" w:rsidRPr="00341E6C" w:rsidRDefault="00A74781" w:rsidP="00E91E50">
            <w:pPr>
              <w:spacing w:after="0" w:line="240" w:lineRule="auto"/>
              <w:jc w:val="right"/>
              <w:rPr>
                <w:rFonts w:asciiTheme="majorHAnsi" w:eastAsia="Times New Roman" w:hAnsiTheme="majorHAnsi" w:cstheme="majorHAnsi"/>
                <w:b/>
                <w:sz w:val="16"/>
                <w:szCs w:val="16"/>
                <w:lang w:val="ro-RO"/>
              </w:rPr>
            </w:pPr>
            <w:r w:rsidRPr="00341E6C">
              <w:rPr>
                <w:rFonts w:asciiTheme="majorHAnsi" w:eastAsia="Times New Roman" w:hAnsiTheme="majorHAnsi" w:cstheme="majorHAnsi"/>
                <w:b/>
                <w:sz w:val="16"/>
                <w:szCs w:val="16"/>
                <w:lang w:val="ro-RO"/>
              </w:rPr>
              <w:t>384,892.2</w:t>
            </w:r>
          </w:p>
        </w:tc>
        <w:tc>
          <w:tcPr>
            <w:tcW w:w="1075" w:type="dxa"/>
            <w:tcBorders>
              <w:top w:val="single" w:sz="4" w:space="0" w:color="auto"/>
              <w:left w:val="single" w:sz="4" w:space="0" w:color="auto"/>
              <w:bottom w:val="single" w:sz="4" w:space="0" w:color="auto"/>
              <w:right w:val="single" w:sz="4" w:space="0" w:color="auto"/>
            </w:tcBorders>
            <w:vAlign w:val="center"/>
          </w:tcPr>
          <w:p w14:paraId="1E7F96A9" w14:textId="77777777" w:rsidR="00A74781" w:rsidRPr="00341E6C" w:rsidRDefault="00A74781" w:rsidP="00E91E50">
            <w:pPr>
              <w:spacing w:after="0" w:line="240" w:lineRule="auto"/>
              <w:jc w:val="right"/>
              <w:rPr>
                <w:rFonts w:asciiTheme="majorHAnsi" w:eastAsia="Times New Roman" w:hAnsiTheme="majorHAnsi" w:cstheme="majorHAnsi"/>
                <w:b/>
                <w:sz w:val="16"/>
                <w:szCs w:val="16"/>
                <w:lang w:val="ro-RO"/>
              </w:rPr>
            </w:pPr>
            <w:r w:rsidRPr="00341E6C">
              <w:rPr>
                <w:rFonts w:asciiTheme="majorHAnsi" w:eastAsia="Times New Roman" w:hAnsiTheme="majorHAnsi" w:cstheme="majorHAnsi"/>
                <w:b/>
                <w:sz w:val="16"/>
                <w:szCs w:val="16"/>
                <w:lang w:val="ro-RO"/>
              </w:rPr>
              <w:t>723,740.3</w:t>
            </w:r>
          </w:p>
        </w:tc>
      </w:tr>
      <w:tr w:rsidR="00A74781" w:rsidRPr="00341E6C" w14:paraId="5FDB81AA"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DEF2C9A" w14:textId="77777777" w:rsidR="00A74781" w:rsidRPr="00341E6C" w:rsidRDefault="00A74781" w:rsidP="00E91E50">
            <w:pPr>
              <w:spacing w:after="0" w:line="240" w:lineRule="auto"/>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Contribuţii de asigurări sociale de stat obligatorii virate de angajatori</w:t>
            </w:r>
          </w:p>
        </w:tc>
        <w:tc>
          <w:tcPr>
            <w:tcW w:w="720" w:type="dxa"/>
            <w:tcBorders>
              <w:top w:val="nil"/>
              <w:left w:val="nil"/>
              <w:bottom w:val="single" w:sz="4" w:space="0" w:color="auto"/>
              <w:right w:val="single" w:sz="4" w:space="0" w:color="auto"/>
            </w:tcBorders>
            <w:shd w:val="clear" w:color="auto" w:fill="auto"/>
            <w:noWrap/>
            <w:vAlign w:val="center"/>
            <w:hideMark/>
          </w:tcPr>
          <w:p w14:paraId="4B8EEA75"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121100</w:t>
            </w:r>
          </w:p>
        </w:tc>
        <w:tc>
          <w:tcPr>
            <w:tcW w:w="1085" w:type="dxa"/>
            <w:tcBorders>
              <w:top w:val="single" w:sz="4" w:space="0" w:color="auto"/>
              <w:left w:val="single" w:sz="4" w:space="0" w:color="auto"/>
              <w:bottom w:val="single" w:sz="4" w:space="0" w:color="auto"/>
              <w:right w:val="single" w:sz="4" w:space="0" w:color="auto"/>
            </w:tcBorders>
            <w:vAlign w:val="center"/>
          </w:tcPr>
          <w:p w14:paraId="44C57487"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10832055.7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439B4"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10762265.2</w:t>
            </w:r>
          </w:p>
        </w:tc>
        <w:tc>
          <w:tcPr>
            <w:tcW w:w="990" w:type="dxa"/>
            <w:tcBorders>
              <w:top w:val="single" w:sz="4" w:space="0" w:color="auto"/>
              <w:left w:val="single" w:sz="4" w:space="0" w:color="auto"/>
              <w:bottom w:val="single" w:sz="4" w:space="0" w:color="auto"/>
              <w:right w:val="single" w:sz="4" w:space="0" w:color="auto"/>
            </w:tcBorders>
            <w:vAlign w:val="center"/>
          </w:tcPr>
          <w:p w14:paraId="30F6A65A"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106699.5</w:t>
            </w:r>
          </w:p>
        </w:tc>
        <w:tc>
          <w:tcPr>
            <w:tcW w:w="1170" w:type="dxa"/>
            <w:tcBorders>
              <w:top w:val="single" w:sz="4" w:space="0" w:color="auto"/>
              <w:left w:val="single" w:sz="4" w:space="0" w:color="auto"/>
              <w:bottom w:val="single" w:sz="4" w:space="0" w:color="auto"/>
              <w:right w:val="single" w:sz="4" w:space="0" w:color="auto"/>
            </w:tcBorders>
            <w:vAlign w:val="center"/>
          </w:tcPr>
          <w:p w14:paraId="01589D1F"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1064236.7</w:t>
            </w:r>
          </w:p>
        </w:tc>
        <w:tc>
          <w:tcPr>
            <w:tcW w:w="1080" w:type="dxa"/>
            <w:tcBorders>
              <w:top w:val="single" w:sz="4" w:space="0" w:color="auto"/>
              <w:left w:val="single" w:sz="4" w:space="0" w:color="auto"/>
              <w:bottom w:val="single" w:sz="4" w:space="0" w:color="auto"/>
              <w:right w:val="single" w:sz="4" w:space="0" w:color="auto"/>
            </w:tcBorders>
            <w:vAlign w:val="center"/>
          </w:tcPr>
          <w:p w14:paraId="3F905A3F"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185,938.6</w:t>
            </w:r>
          </w:p>
        </w:tc>
        <w:tc>
          <w:tcPr>
            <w:tcW w:w="1075" w:type="dxa"/>
            <w:tcBorders>
              <w:top w:val="single" w:sz="4" w:space="0" w:color="auto"/>
              <w:left w:val="single" w:sz="4" w:space="0" w:color="auto"/>
              <w:bottom w:val="single" w:sz="4" w:space="0" w:color="auto"/>
              <w:right w:val="single" w:sz="4" w:space="0" w:color="auto"/>
            </w:tcBorders>
            <w:vAlign w:val="center"/>
          </w:tcPr>
          <w:p w14:paraId="1FE2EE45"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500,294.7</w:t>
            </w:r>
          </w:p>
        </w:tc>
      </w:tr>
      <w:tr w:rsidR="00A74781" w:rsidRPr="00341E6C" w14:paraId="1E5AD7F5"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30A443B" w14:textId="77777777" w:rsidR="00A74781" w:rsidRPr="00341E6C" w:rsidRDefault="00A74781" w:rsidP="00E91E50">
            <w:pPr>
              <w:spacing w:after="0" w:line="240" w:lineRule="auto"/>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Contribuţii individuale de asigurări sociale de stat obligatorii</w:t>
            </w:r>
          </w:p>
        </w:tc>
        <w:tc>
          <w:tcPr>
            <w:tcW w:w="720" w:type="dxa"/>
            <w:tcBorders>
              <w:top w:val="nil"/>
              <w:left w:val="nil"/>
              <w:bottom w:val="single" w:sz="4" w:space="0" w:color="auto"/>
              <w:right w:val="single" w:sz="4" w:space="0" w:color="auto"/>
            </w:tcBorders>
            <w:shd w:val="clear" w:color="auto" w:fill="auto"/>
            <w:noWrap/>
            <w:vAlign w:val="center"/>
            <w:hideMark/>
          </w:tcPr>
          <w:p w14:paraId="3BE84D5F"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121200</w:t>
            </w:r>
          </w:p>
        </w:tc>
        <w:tc>
          <w:tcPr>
            <w:tcW w:w="1085" w:type="dxa"/>
            <w:tcBorders>
              <w:top w:val="single" w:sz="4" w:space="0" w:color="auto"/>
              <w:left w:val="single" w:sz="4" w:space="0" w:color="auto"/>
              <w:bottom w:val="single" w:sz="4" w:space="0" w:color="auto"/>
              <w:right w:val="single" w:sz="4" w:space="0" w:color="auto"/>
            </w:tcBorders>
            <w:vAlign w:val="center"/>
          </w:tcPr>
          <w:p w14:paraId="59ED095C"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3401392.4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CE2B7"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3375783.0</w:t>
            </w:r>
          </w:p>
        </w:tc>
        <w:tc>
          <w:tcPr>
            <w:tcW w:w="990" w:type="dxa"/>
            <w:tcBorders>
              <w:top w:val="single" w:sz="4" w:space="0" w:color="auto"/>
              <w:left w:val="single" w:sz="4" w:space="0" w:color="auto"/>
              <w:bottom w:val="single" w:sz="4" w:space="0" w:color="auto"/>
              <w:right w:val="single" w:sz="4" w:space="0" w:color="auto"/>
            </w:tcBorders>
            <w:vAlign w:val="center"/>
          </w:tcPr>
          <w:p w14:paraId="38E26D95"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35782.2</w:t>
            </w:r>
          </w:p>
        </w:tc>
        <w:tc>
          <w:tcPr>
            <w:tcW w:w="1170" w:type="dxa"/>
            <w:tcBorders>
              <w:top w:val="single" w:sz="4" w:space="0" w:color="auto"/>
              <w:left w:val="single" w:sz="4" w:space="0" w:color="auto"/>
              <w:bottom w:val="single" w:sz="4" w:space="0" w:color="auto"/>
              <w:right w:val="single" w:sz="4" w:space="0" w:color="auto"/>
            </w:tcBorders>
            <w:vAlign w:val="center"/>
          </w:tcPr>
          <w:p w14:paraId="6192C492"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322281.5</w:t>
            </w:r>
          </w:p>
        </w:tc>
        <w:tc>
          <w:tcPr>
            <w:tcW w:w="1080" w:type="dxa"/>
            <w:tcBorders>
              <w:top w:val="single" w:sz="4" w:space="0" w:color="auto"/>
              <w:left w:val="single" w:sz="4" w:space="0" w:color="auto"/>
              <w:bottom w:val="single" w:sz="4" w:space="0" w:color="auto"/>
              <w:right w:val="single" w:sz="4" w:space="0" w:color="auto"/>
            </w:tcBorders>
            <w:vAlign w:val="center"/>
          </w:tcPr>
          <w:p w14:paraId="568BEDE7"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61,463.5</w:t>
            </w:r>
          </w:p>
        </w:tc>
        <w:tc>
          <w:tcPr>
            <w:tcW w:w="1075" w:type="dxa"/>
            <w:tcBorders>
              <w:top w:val="single" w:sz="4" w:space="0" w:color="auto"/>
              <w:left w:val="single" w:sz="4" w:space="0" w:color="auto"/>
              <w:bottom w:val="single" w:sz="4" w:space="0" w:color="auto"/>
              <w:right w:val="single" w:sz="4" w:space="0" w:color="auto"/>
            </w:tcBorders>
            <w:vAlign w:val="center"/>
          </w:tcPr>
          <w:p w14:paraId="5132A117"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161,684.3</w:t>
            </w:r>
          </w:p>
        </w:tc>
      </w:tr>
      <w:tr w:rsidR="00A74781" w:rsidRPr="00341E6C" w14:paraId="3004ABB1"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1E1B9B5C" w14:textId="76AA4F79" w:rsidR="00A74781" w:rsidRPr="00341E6C" w:rsidRDefault="00A74781" w:rsidP="00E91E50">
            <w:pPr>
              <w:spacing w:after="0" w:line="240" w:lineRule="auto"/>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Contribuţii de asigurari sociale de stat obligatorii, virate de persoanele fizice ce îşi desfăşoară activitate</w:t>
            </w:r>
            <w:r w:rsidR="00261955">
              <w:rPr>
                <w:rFonts w:asciiTheme="majorHAnsi" w:eastAsia="Times New Roman" w:hAnsiTheme="majorHAnsi" w:cstheme="majorHAnsi"/>
                <w:sz w:val="16"/>
                <w:szCs w:val="16"/>
                <w:lang w:val="ro-RO"/>
              </w:rPr>
              <w:t>a</w:t>
            </w:r>
            <w:r w:rsidRPr="00341E6C">
              <w:rPr>
                <w:rFonts w:asciiTheme="majorHAnsi" w:eastAsia="Times New Roman" w:hAnsiTheme="majorHAnsi" w:cstheme="majorHAnsi"/>
                <w:sz w:val="16"/>
                <w:szCs w:val="16"/>
                <w:lang w:val="ro-RO"/>
              </w:rPr>
              <w:t xml:space="preserve"> pe cont propriu</w:t>
            </w:r>
          </w:p>
        </w:tc>
        <w:tc>
          <w:tcPr>
            <w:tcW w:w="720" w:type="dxa"/>
            <w:tcBorders>
              <w:top w:val="nil"/>
              <w:left w:val="nil"/>
              <w:bottom w:val="single" w:sz="4" w:space="0" w:color="auto"/>
              <w:right w:val="single" w:sz="4" w:space="0" w:color="auto"/>
            </w:tcBorders>
            <w:shd w:val="clear" w:color="auto" w:fill="auto"/>
            <w:vAlign w:val="center"/>
            <w:hideMark/>
          </w:tcPr>
          <w:p w14:paraId="2423EB98"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121310</w:t>
            </w:r>
          </w:p>
        </w:tc>
        <w:tc>
          <w:tcPr>
            <w:tcW w:w="1085" w:type="dxa"/>
            <w:tcBorders>
              <w:top w:val="single" w:sz="4" w:space="0" w:color="auto"/>
              <w:left w:val="single" w:sz="4" w:space="0" w:color="auto"/>
              <w:bottom w:val="single" w:sz="4" w:space="0" w:color="auto"/>
              <w:right w:val="single" w:sz="4" w:space="0" w:color="auto"/>
            </w:tcBorders>
            <w:vAlign w:val="center"/>
          </w:tcPr>
          <w:p w14:paraId="1111F186"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89260.1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6B6A35"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85815.2</w:t>
            </w:r>
          </w:p>
        </w:tc>
        <w:tc>
          <w:tcPr>
            <w:tcW w:w="990" w:type="dxa"/>
            <w:tcBorders>
              <w:top w:val="single" w:sz="4" w:space="0" w:color="auto"/>
              <w:left w:val="single" w:sz="4" w:space="0" w:color="auto"/>
              <w:bottom w:val="single" w:sz="4" w:space="0" w:color="auto"/>
              <w:right w:val="single" w:sz="4" w:space="0" w:color="auto"/>
            </w:tcBorders>
            <w:vAlign w:val="center"/>
          </w:tcPr>
          <w:p w14:paraId="4BD66CDD"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14167.1</w:t>
            </w:r>
          </w:p>
        </w:tc>
        <w:tc>
          <w:tcPr>
            <w:tcW w:w="1170" w:type="dxa"/>
            <w:tcBorders>
              <w:top w:val="single" w:sz="4" w:space="0" w:color="auto"/>
              <w:left w:val="single" w:sz="4" w:space="0" w:color="auto"/>
              <w:bottom w:val="single" w:sz="4" w:space="0" w:color="auto"/>
              <w:right w:val="single" w:sz="4" w:space="0" w:color="auto"/>
            </w:tcBorders>
            <w:vAlign w:val="center"/>
          </w:tcPr>
          <w:p w14:paraId="7C1B2CA1"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20053.0</w:t>
            </w:r>
          </w:p>
        </w:tc>
        <w:tc>
          <w:tcPr>
            <w:tcW w:w="1080" w:type="dxa"/>
            <w:tcBorders>
              <w:top w:val="single" w:sz="4" w:space="0" w:color="auto"/>
              <w:left w:val="single" w:sz="4" w:space="0" w:color="auto"/>
              <w:bottom w:val="single" w:sz="4" w:space="0" w:color="auto"/>
              <w:right w:val="single" w:sz="4" w:space="0" w:color="auto"/>
            </w:tcBorders>
            <w:vAlign w:val="center"/>
          </w:tcPr>
          <w:p w14:paraId="398C0E3B"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5,614.8</w:t>
            </w:r>
          </w:p>
        </w:tc>
        <w:tc>
          <w:tcPr>
            <w:tcW w:w="1075" w:type="dxa"/>
            <w:tcBorders>
              <w:top w:val="single" w:sz="4" w:space="0" w:color="auto"/>
              <w:left w:val="single" w:sz="4" w:space="0" w:color="auto"/>
              <w:bottom w:val="single" w:sz="4" w:space="0" w:color="auto"/>
              <w:right w:val="single" w:sz="4" w:space="0" w:color="auto"/>
            </w:tcBorders>
            <w:vAlign w:val="center"/>
          </w:tcPr>
          <w:p w14:paraId="4D0ABD15"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43,709.0</w:t>
            </w:r>
          </w:p>
        </w:tc>
      </w:tr>
      <w:tr w:rsidR="00A74781" w:rsidRPr="00341E6C" w14:paraId="46C3BE52"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E3B6FB4" w14:textId="77777777" w:rsidR="00A74781" w:rsidRPr="00341E6C" w:rsidRDefault="00A74781" w:rsidP="00E91E50">
            <w:pPr>
              <w:spacing w:after="0" w:line="240" w:lineRule="auto"/>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Contribuţii de asigurări sociale de stat individuale virate de persoanele fizice care au încheiat contract individual</w:t>
            </w:r>
          </w:p>
        </w:tc>
        <w:tc>
          <w:tcPr>
            <w:tcW w:w="720" w:type="dxa"/>
            <w:tcBorders>
              <w:top w:val="nil"/>
              <w:left w:val="nil"/>
              <w:bottom w:val="single" w:sz="4" w:space="0" w:color="auto"/>
              <w:right w:val="single" w:sz="4" w:space="0" w:color="auto"/>
            </w:tcBorders>
            <w:shd w:val="clear" w:color="auto" w:fill="auto"/>
            <w:noWrap/>
            <w:vAlign w:val="center"/>
            <w:hideMark/>
          </w:tcPr>
          <w:p w14:paraId="09393465"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121320</w:t>
            </w:r>
          </w:p>
        </w:tc>
        <w:tc>
          <w:tcPr>
            <w:tcW w:w="1085" w:type="dxa"/>
            <w:tcBorders>
              <w:top w:val="single" w:sz="4" w:space="0" w:color="auto"/>
              <w:left w:val="single" w:sz="4" w:space="0" w:color="auto"/>
              <w:bottom w:val="single" w:sz="4" w:space="0" w:color="auto"/>
              <w:right w:val="single" w:sz="4" w:space="0" w:color="auto"/>
            </w:tcBorders>
            <w:vAlign w:val="center"/>
          </w:tcPr>
          <w:p w14:paraId="729BBEA9"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4839.4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4D88"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4458.7</w:t>
            </w:r>
          </w:p>
        </w:tc>
        <w:tc>
          <w:tcPr>
            <w:tcW w:w="990" w:type="dxa"/>
            <w:tcBorders>
              <w:top w:val="single" w:sz="4" w:space="0" w:color="auto"/>
              <w:left w:val="single" w:sz="4" w:space="0" w:color="auto"/>
              <w:bottom w:val="single" w:sz="4" w:space="0" w:color="auto"/>
              <w:right w:val="single" w:sz="4" w:space="0" w:color="auto"/>
            </w:tcBorders>
            <w:vAlign w:val="center"/>
          </w:tcPr>
          <w:p w14:paraId="60214939"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1490.7</w:t>
            </w:r>
          </w:p>
        </w:tc>
        <w:tc>
          <w:tcPr>
            <w:tcW w:w="1170" w:type="dxa"/>
            <w:tcBorders>
              <w:top w:val="single" w:sz="4" w:space="0" w:color="auto"/>
              <w:left w:val="single" w:sz="4" w:space="0" w:color="auto"/>
              <w:bottom w:val="single" w:sz="4" w:space="0" w:color="auto"/>
              <w:right w:val="single" w:sz="4" w:space="0" w:color="auto"/>
            </w:tcBorders>
            <w:vAlign w:val="center"/>
          </w:tcPr>
          <w:p w14:paraId="78030258"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158.3</w:t>
            </w:r>
          </w:p>
        </w:tc>
        <w:tc>
          <w:tcPr>
            <w:tcW w:w="1080" w:type="dxa"/>
            <w:tcBorders>
              <w:top w:val="single" w:sz="4" w:space="0" w:color="auto"/>
              <w:left w:val="single" w:sz="4" w:space="0" w:color="auto"/>
              <w:bottom w:val="single" w:sz="4" w:space="0" w:color="auto"/>
              <w:right w:val="single" w:sz="4" w:space="0" w:color="auto"/>
            </w:tcBorders>
            <w:vAlign w:val="center"/>
          </w:tcPr>
          <w:p w14:paraId="267DE6BA"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138.9</w:t>
            </w:r>
          </w:p>
        </w:tc>
        <w:tc>
          <w:tcPr>
            <w:tcW w:w="1075" w:type="dxa"/>
            <w:tcBorders>
              <w:top w:val="single" w:sz="4" w:space="0" w:color="auto"/>
              <w:left w:val="single" w:sz="4" w:space="0" w:color="auto"/>
              <w:bottom w:val="single" w:sz="4" w:space="0" w:color="auto"/>
              <w:right w:val="single" w:sz="4" w:space="0" w:color="auto"/>
            </w:tcBorders>
            <w:vAlign w:val="center"/>
          </w:tcPr>
          <w:p w14:paraId="470931AE"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1865.5</w:t>
            </w:r>
          </w:p>
        </w:tc>
      </w:tr>
      <w:tr w:rsidR="00A74781" w:rsidRPr="00341E6C" w14:paraId="37F43FE7"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5E692F05" w14:textId="77777777" w:rsidR="00A74781" w:rsidRPr="00341E6C" w:rsidRDefault="00A74781" w:rsidP="00E91E50">
            <w:pPr>
              <w:spacing w:after="0" w:line="240" w:lineRule="auto"/>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Contribuţii  de asigurări sociale de stat obligatorii, virate de titularii de patentă de întreprinzător</w:t>
            </w:r>
          </w:p>
        </w:tc>
        <w:tc>
          <w:tcPr>
            <w:tcW w:w="720" w:type="dxa"/>
            <w:tcBorders>
              <w:top w:val="nil"/>
              <w:left w:val="nil"/>
              <w:bottom w:val="single" w:sz="4" w:space="0" w:color="auto"/>
              <w:right w:val="single" w:sz="4" w:space="0" w:color="auto"/>
            </w:tcBorders>
            <w:shd w:val="clear" w:color="auto" w:fill="auto"/>
            <w:vAlign w:val="center"/>
            <w:hideMark/>
          </w:tcPr>
          <w:p w14:paraId="043DCDDA"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121330</w:t>
            </w:r>
          </w:p>
        </w:tc>
        <w:tc>
          <w:tcPr>
            <w:tcW w:w="1085" w:type="dxa"/>
            <w:tcBorders>
              <w:top w:val="single" w:sz="4" w:space="0" w:color="auto"/>
              <w:left w:val="single" w:sz="4" w:space="0" w:color="auto"/>
              <w:bottom w:val="single" w:sz="4" w:space="0" w:color="auto"/>
              <w:right w:val="single" w:sz="4" w:space="0" w:color="auto"/>
            </w:tcBorders>
            <w:vAlign w:val="center"/>
          </w:tcPr>
          <w:p w14:paraId="520EE169"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40708.8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EA6259"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35341.6</w:t>
            </w:r>
          </w:p>
        </w:tc>
        <w:tc>
          <w:tcPr>
            <w:tcW w:w="990" w:type="dxa"/>
            <w:tcBorders>
              <w:top w:val="single" w:sz="4" w:space="0" w:color="auto"/>
              <w:left w:val="single" w:sz="4" w:space="0" w:color="auto"/>
              <w:bottom w:val="single" w:sz="4" w:space="0" w:color="auto"/>
              <w:right w:val="single" w:sz="4" w:space="0" w:color="auto"/>
            </w:tcBorders>
            <w:vAlign w:val="center"/>
          </w:tcPr>
          <w:p w14:paraId="7DCBA4B4"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11262.9</w:t>
            </w:r>
          </w:p>
        </w:tc>
        <w:tc>
          <w:tcPr>
            <w:tcW w:w="1170" w:type="dxa"/>
            <w:tcBorders>
              <w:top w:val="single" w:sz="4" w:space="0" w:color="auto"/>
              <w:left w:val="single" w:sz="4" w:space="0" w:color="auto"/>
              <w:bottom w:val="single" w:sz="4" w:space="0" w:color="auto"/>
              <w:right w:val="single" w:sz="4" w:space="0" w:color="auto"/>
            </w:tcBorders>
            <w:vAlign w:val="center"/>
          </w:tcPr>
          <w:p w14:paraId="087A8C53"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2505.5</w:t>
            </w:r>
          </w:p>
        </w:tc>
        <w:tc>
          <w:tcPr>
            <w:tcW w:w="1080" w:type="dxa"/>
            <w:tcBorders>
              <w:top w:val="single" w:sz="4" w:space="0" w:color="auto"/>
              <w:left w:val="single" w:sz="4" w:space="0" w:color="auto"/>
              <w:bottom w:val="single" w:sz="4" w:space="0" w:color="auto"/>
              <w:right w:val="single" w:sz="4" w:space="0" w:color="auto"/>
            </w:tcBorders>
            <w:vAlign w:val="center"/>
          </w:tcPr>
          <w:p w14:paraId="6065F43D"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352.3</w:t>
            </w:r>
          </w:p>
        </w:tc>
        <w:tc>
          <w:tcPr>
            <w:tcW w:w="1075" w:type="dxa"/>
            <w:tcBorders>
              <w:top w:val="single" w:sz="4" w:space="0" w:color="auto"/>
              <w:left w:val="single" w:sz="4" w:space="0" w:color="auto"/>
              <w:bottom w:val="single" w:sz="4" w:space="0" w:color="auto"/>
              <w:right w:val="single" w:sz="4" w:space="0" w:color="auto"/>
            </w:tcBorders>
            <w:vAlign w:val="center"/>
          </w:tcPr>
          <w:p w14:paraId="4257A8D1"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12609.6</w:t>
            </w:r>
          </w:p>
        </w:tc>
      </w:tr>
      <w:tr w:rsidR="00A74781" w:rsidRPr="00341E6C" w14:paraId="609B6065"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304462ED" w14:textId="77777777" w:rsidR="00A74781" w:rsidRPr="00341E6C" w:rsidRDefault="00A74781" w:rsidP="00E91E50">
            <w:pPr>
              <w:spacing w:after="0" w:line="240" w:lineRule="auto"/>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Contribuţii de asigurări sociale de stat obligatorii, virate de persoanele fizice, proprietarii de terenuri agricole</w:t>
            </w:r>
          </w:p>
        </w:tc>
        <w:tc>
          <w:tcPr>
            <w:tcW w:w="720" w:type="dxa"/>
            <w:tcBorders>
              <w:top w:val="nil"/>
              <w:left w:val="nil"/>
              <w:bottom w:val="single" w:sz="4" w:space="0" w:color="auto"/>
              <w:right w:val="single" w:sz="4" w:space="0" w:color="auto"/>
            </w:tcBorders>
            <w:shd w:val="clear" w:color="auto" w:fill="auto"/>
            <w:vAlign w:val="center"/>
            <w:hideMark/>
          </w:tcPr>
          <w:p w14:paraId="4A93E80D"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121340</w:t>
            </w:r>
          </w:p>
        </w:tc>
        <w:tc>
          <w:tcPr>
            <w:tcW w:w="1085" w:type="dxa"/>
            <w:tcBorders>
              <w:top w:val="single" w:sz="4" w:space="0" w:color="auto"/>
              <w:left w:val="single" w:sz="4" w:space="0" w:color="auto"/>
              <w:bottom w:val="single" w:sz="4" w:space="0" w:color="auto"/>
              <w:right w:val="single" w:sz="4" w:space="0" w:color="auto"/>
            </w:tcBorders>
            <w:vAlign w:val="center"/>
          </w:tcPr>
          <w:p w14:paraId="273A1F47"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B77D"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91.0</w:t>
            </w:r>
          </w:p>
        </w:tc>
        <w:tc>
          <w:tcPr>
            <w:tcW w:w="990" w:type="dxa"/>
            <w:tcBorders>
              <w:top w:val="single" w:sz="4" w:space="0" w:color="auto"/>
              <w:left w:val="single" w:sz="4" w:space="0" w:color="auto"/>
              <w:bottom w:val="single" w:sz="4" w:space="0" w:color="auto"/>
              <w:right w:val="single" w:sz="4" w:space="0" w:color="auto"/>
            </w:tcBorders>
            <w:vAlign w:val="center"/>
          </w:tcPr>
          <w:p w14:paraId="4462284D"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813.2</w:t>
            </w:r>
          </w:p>
        </w:tc>
        <w:tc>
          <w:tcPr>
            <w:tcW w:w="1170" w:type="dxa"/>
            <w:tcBorders>
              <w:top w:val="single" w:sz="4" w:space="0" w:color="auto"/>
              <w:left w:val="single" w:sz="4" w:space="0" w:color="auto"/>
              <w:bottom w:val="single" w:sz="4" w:space="0" w:color="auto"/>
              <w:right w:val="single" w:sz="4" w:space="0" w:color="auto"/>
            </w:tcBorders>
            <w:vAlign w:val="center"/>
          </w:tcPr>
          <w:p w14:paraId="04B0EF6A"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1.6</w:t>
            </w:r>
          </w:p>
        </w:tc>
        <w:tc>
          <w:tcPr>
            <w:tcW w:w="1080" w:type="dxa"/>
            <w:tcBorders>
              <w:top w:val="single" w:sz="4" w:space="0" w:color="auto"/>
              <w:left w:val="single" w:sz="4" w:space="0" w:color="auto"/>
              <w:bottom w:val="single" w:sz="4" w:space="0" w:color="auto"/>
              <w:right w:val="single" w:sz="4" w:space="0" w:color="auto"/>
            </w:tcBorders>
            <w:vAlign w:val="center"/>
          </w:tcPr>
          <w:p w14:paraId="12DD5608"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1.7</w:t>
            </w:r>
          </w:p>
        </w:tc>
        <w:tc>
          <w:tcPr>
            <w:tcW w:w="1075" w:type="dxa"/>
            <w:tcBorders>
              <w:top w:val="single" w:sz="4" w:space="0" w:color="auto"/>
              <w:left w:val="single" w:sz="4" w:space="0" w:color="auto"/>
              <w:bottom w:val="single" w:sz="4" w:space="0" w:color="auto"/>
              <w:right w:val="single" w:sz="4" w:space="0" w:color="auto"/>
            </w:tcBorders>
            <w:vAlign w:val="center"/>
          </w:tcPr>
          <w:p w14:paraId="503A1DF0"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813.2</w:t>
            </w:r>
          </w:p>
        </w:tc>
      </w:tr>
      <w:tr w:rsidR="00A74781" w:rsidRPr="00341E6C" w14:paraId="71F55680"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43CDE539" w14:textId="3813BE0C" w:rsidR="00A74781" w:rsidRPr="00341E6C" w:rsidRDefault="00A74781" w:rsidP="00E91E50">
            <w:pPr>
              <w:spacing w:after="0" w:line="240" w:lineRule="auto"/>
              <w:rPr>
                <w:rFonts w:asciiTheme="majorHAnsi" w:eastAsia="Times New Roman" w:hAnsiTheme="majorHAnsi" w:cstheme="majorHAnsi"/>
                <w:sz w:val="16"/>
                <w:szCs w:val="16"/>
                <w:lang w:val="ro-RO"/>
              </w:rPr>
            </w:pPr>
            <w:r>
              <w:rPr>
                <w:rFonts w:asciiTheme="majorHAnsi" w:eastAsia="Times New Roman" w:hAnsiTheme="majorHAnsi" w:cstheme="majorHAnsi"/>
                <w:sz w:val="16"/>
                <w:szCs w:val="16"/>
                <w:lang w:val="ro-RO"/>
              </w:rPr>
              <w:t>Majorarea de întâ</w:t>
            </w:r>
            <w:r w:rsidRPr="00341E6C">
              <w:rPr>
                <w:rFonts w:asciiTheme="majorHAnsi" w:eastAsia="Times New Roman" w:hAnsiTheme="majorHAnsi" w:cstheme="majorHAnsi"/>
                <w:sz w:val="16"/>
                <w:szCs w:val="16"/>
                <w:lang w:val="ro-RO"/>
              </w:rPr>
              <w:t>rziere (penalitatea)</w:t>
            </w:r>
            <w:r w:rsidR="00261955">
              <w:rPr>
                <w:rFonts w:asciiTheme="majorHAnsi" w:eastAsia="Times New Roman" w:hAnsiTheme="majorHAnsi" w:cstheme="majorHAnsi"/>
                <w:sz w:val="16"/>
                <w:szCs w:val="16"/>
                <w:lang w:val="ro-RO"/>
              </w:rPr>
              <w:t xml:space="preserve"> </w:t>
            </w:r>
            <w:r w:rsidRPr="00341E6C">
              <w:rPr>
                <w:rFonts w:asciiTheme="majorHAnsi" w:eastAsia="Times New Roman" w:hAnsiTheme="majorHAnsi" w:cstheme="majorHAnsi"/>
                <w:sz w:val="16"/>
                <w:szCs w:val="16"/>
                <w:lang w:val="ro-RO"/>
              </w:rPr>
              <w:t>calculată pentru neachitarea în termen de către angajatori a contribuţiilor de asigurări sociale de stat obligatorii</w:t>
            </w:r>
          </w:p>
        </w:tc>
        <w:tc>
          <w:tcPr>
            <w:tcW w:w="720" w:type="dxa"/>
            <w:tcBorders>
              <w:top w:val="nil"/>
              <w:left w:val="nil"/>
              <w:bottom w:val="single" w:sz="4" w:space="0" w:color="auto"/>
              <w:right w:val="single" w:sz="4" w:space="0" w:color="auto"/>
            </w:tcBorders>
            <w:shd w:val="clear" w:color="auto" w:fill="auto"/>
            <w:vAlign w:val="center"/>
            <w:hideMark/>
          </w:tcPr>
          <w:p w14:paraId="4CDF9013"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121410</w:t>
            </w:r>
          </w:p>
        </w:tc>
        <w:tc>
          <w:tcPr>
            <w:tcW w:w="1085" w:type="dxa"/>
            <w:tcBorders>
              <w:top w:val="single" w:sz="4" w:space="0" w:color="auto"/>
              <w:left w:val="single" w:sz="4" w:space="0" w:color="auto"/>
              <w:bottom w:val="single" w:sz="4" w:space="0" w:color="auto"/>
              <w:right w:val="single" w:sz="4" w:space="0" w:color="auto"/>
            </w:tcBorders>
            <w:vAlign w:val="center"/>
          </w:tcPr>
          <w:p w14:paraId="37A716F9"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47962.0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21C8"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23708.3</w:t>
            </w:r>
          </w:p>
        </w:tc>
        <w:tc>
          <w:tcPr>
            <w:tcW w:w="990" w:type="dxa"/>
            <w:tcBorders>
              <w:top w:val="single" w:sz="4" w:space="0" w:color="auto"/>
              <w:left w:val="single" w:sz="4" w:space="0" w:color="auto"/>
              <w:bottom w:val="single" w:sz="4" w:space="0" w:color="auto"/>
              <w:right w:val="single" w:sz="4" w:space="0" w:color="auto"/>
            </w:tcBorders>
            <w:vAlign w:val="center"/>
          </w:tcPr>
          <w:p w14:paraId="6501A888"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1351.8</w:t>
            </w:r>
          </w:p>
        </w:tc>
        <w:tc>
          <w:tcPr>
            <w:tcW w:w="1170" w:type="dxa"/>
            <w:tcBorders>
              <w:top w:val="single" w:sz="4" w:space="0" w:color="auto"/>
              <w:left w:val="single" w:sz="4" w:space="0" w:color="auto"/>
              <w:bottom w:val="single" w:sz="4" w:space="0" w:color="auto"/>
              <w:right w:val="single" w:sz="4" w:space="0" w:color="auto"/>
            </w:tcBorders>
            <w:vAlign w:val="center"/>
          </w:tcPr>
          <w:p w14:paraId="0BAB5010"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236193.3</w:t>
            </w:r>
          </w:p>
        </w:tc>
        <w:tc>
          <w:tcPr>
            <w:tcW w:w="1080" w:type="dxa"/>
            <w:tcBorders>
              <w:top w:val="single" w:sz="4" w:space="0" w:color="auto"/>
              <w:left w:val="single" w:sz="4" w:space="0" w:color="auto"/>
              <w:bottom w:val="single" w:sz="4" w:space="0" w:color="auto"/>
              <w:right w:val="single" w:sz="4" w:space="0" w:color="auto"/>
            </w:tcBorders>
            <w:vAlign w:val="center"/>
          </w:tcPr>
          <w:p w14:paraId="462B2372"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96,605.0</w:t>
            </w:r>
          </w:p>
        </w:tc>
        <w:tc>
          <w:tcPr>
            <w:tcW w:w="1075" w:type="dxa"/>
            <w:tcBorders>
              <w:top w:val="single" w:sz="4" w:space="0" w:color="auto"/>
              <w:left w:val="single" w:sz="4" w:space="0" w:color="auto"/>
              <w:bottom w:val="single" w:sz="4" w:space="0" w:color="auto"/>
              <w:right w:val="single" w:sz="4" w:space="0" w:color="auto"/>
            </w:tcBorders>
            <w:vAlign w:val="center"/>
          </w:tcPr>
          <w:p w14:paraId="7FFB97A3"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1,721.6</w:t>
            </w:r>
          </w:p>
        </w:tc>
      </w:tr>
      <w:tr w:rsidR="00A74781" w:rsidRPr="00341E6C" w14:paraId="66600D09"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6C046A4D" w14:textId="2AAF3064" w:rsidR="00A74781" w:rsidRPr="00341E6C" w:rsidRDefault="00A74781" w:rsidP="00E91E50">
            <w:pPr>
              <w:spacing w:after="0" w:line="240" w:lineRule="auto"/>
              <w:rPr>
                <w:rFonts w:asciiTheme="majorHAnsi" w:eastAsia="Times New Roman" w:hAnsiTheme="majorHAnsi" w:cstheme="majorHAnsi"/>
                <w:sz w:val="16"/>
                <w:szCs w:val="16"/>
                <w:lang w:val="ro-RO"/>
              </w:rPr>
            </w:pPr>
            <w:r>
              <w:rPr>
                <w:rFonts w:asciiTheme="majorHAnsi" w:eastAsia="Times New Roman" w:hAnsiTheme="majorHAnsi" w:cstheme="majorHAnsi"/>
                <w:sz w:val="16"/>
                <w:szCs w:val="16"/>
                <w:lang w:val="ro-RO"/>
              </w:rPr>
              <w:t>Majorarea de întâ</w:t>
            </w:r>
            <w:r w:rsidRPr="00341E6C">
              <w:rPr>
                <w:rFonts w:asciiTheme="majorHAnsi" w:eastAsia="Times New Roman" w:hAnsiTheme="majorHAnsi" w:cstheme="majorHAnsi"/>
                <w:sz w:val="16"/>
                <w:szCs w:val="16"/>
                <w:lang w:val="ro-RO"/>
              </w:rPr>
              <w:t>rziere (penalitatea)</w:t>
            </w:r>
            <w:r w:rsidR="00261955">
              <w:rPr>
                <w:rFonts w:asciiTheme="majorHAnsi" w:eastAsia="Times New Roman" w:hAnsiTheme="majorHAnsi" w:cstheme="majorHAnsi"/>
                <w:sz w:val="16"/>
                <w:szCs w:val="16"/>
                <w:lang w:val="ro-RO"/>
              </w:rPr>
              <w:t xml:space="preserve"> </w:t>
            </w:r>
            <w:r w:rsidRPr="00341E6C">
              <w:rPr>
                <w:rFonts w:asciiTheme="majorHAnsi" w:eastAsia="Times New Roman" w:hAnsiTheme="majorHAnsi" w:cstheme="majorHAnsi"/>
                <w:sz w:val="16"/>
                <w:szCs w:val="16"/>
                <w:lang w:val="ro-RO"/>
              </w:rPr>
              <w:t>calculată pentru neachitarea în termen a contribuţiilor individuale de asigurări sociale de stat obligatorii</w:t>
            </w:r>
          </w:p>
        </w:tc>
        <w:tc>
          <w:tcPr>
            <w:tcW w:w="720" w:type="dxa"/>
            <w:tcBorders>
              <w:top w:val="nil"/>
              <w:left w:val="nil"/>
              <w:bottom w:val="single" w:sz="4" w:space="0" w:color="auto"/>
              <w:right w:val="single" w:sz="4" w:space="0" w:color="auto"/>
            </w:tcBorders>
            <w:shd w:val="clear" w:color="auto" w:fill="auto"/>
            <w:vAlign w:val="center"/>
            <w:hideMark/>
          </w:tcPr>
          <w:p w14:paraId="006F0B48" w14:textId="77777777" w:rsidR="00A74781" w:rsidRPr="00341E6C" w:rsidRDefault="00A74781" w:rsidP="00E91E50">
            <w:pPr>
              <w:spacing w:after="0" w:line="240" w:lineRule="auto"/>
              <w:jc w:val="center"/>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121420</w:t>
            </w:r>
          </w:p>
        </w:tc>
        <w:tc>
          <w:tcPr>
            <w:tcW w:w="1085" w:type="dxa"/>
            <w:tcBorders>
              <w:top w:val="single" w:sz="4" w:space="0" w:color="auto"/>
              <w:left w:val="single" w:sz="4" w:space="0" w:color="auto"/>
              <w:bottom w:val="single" w:sz="4" w:space="0" w:color="auto"/>
              <w:right w:val="single" w:sz="4" w:space="0" w:color="auto"/>
            </w:tcBorders>
            <w:vAlign w:val="center"/>
          </w:tcPr>
          <w:p w14:paraId="3F106DA6"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17901.5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3E63"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7929.1</w:t>
            </w:r>
          </w:p>
        </w:tc>
        <w:tc>
          <w:tcPr>
            <w:tcW w:w="990" w:type="dxa"/>
            <w:tcBorders>
              <w:top w:val="single" w:sz="4" w:space="0" w:color="auto"/>
              <w:left w:val="single" w:sz="4" w:space="0" w:color="auto"/>
              <w:bottom w:val="single" w:sz="4" w:space="0" w:color="auto"/>
              <w:right w:val="single" w:sz="4" w:space="0" w:color="auto"/>
            </w:tcBorders>
            <w:vAlign w:val="center"/>
          </w:tcPr>
          <w:p w14:paraId="05A55368"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811.1</w:t>
            </w:r>
          </w:p>
        </w:tc>
        <w:tc>
          <w:tcPr>
            <w:tcW w:w="1170" w:type="dxa"/>
            <w:tcBorders>
              <w:top w:val="single" w:sz="4" w:space="0" w:color="auto"/>
              <w:left w:val="single" w:sz="4" w:space="0" w:color="auto"/>
              <w:bottom w:val="single" w:sz="4" w:space="0" w:color="auto"/>
              <w:right w:val="single" w:sz="4" w:space="0" w:color="auto"/>
            </w:tcBorders>
            <w:vAlign w:val="center"/>
          </w:tcPr>
          <w:p w14:paraId="327D5E93"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71420.9</w:t>
            </w:r>
          </w:p>
        </w:tc>
        <w:tc>
          <w:tcPr>
            <w:tcW w:w="1080" w:type="dxa"/>
            <w:tcBorders>
              <w:top w:val="single" w:sz="4" w:space="0" w:color="auto"/>
              <w:left w:val="single" w:sz="4" w:space="0" w:color="auto"/>
              <w:bottom w:val="single" w:sz="4" w:space="0" w:color="auto"/>
              <w:right w:val="single" w:sz="4" w:space="0" w:color="auto"/>
            </w:tcBorders>
            <w:vAlign w:val="center"/>
          </w:tcPr>
          <w:p w14:paraId="0EA2042C"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34,777.4</w:t>
            </w:r>
          </w:p>
        </w:tc>
        <w:tc>
          <w:tcPr>
            <w:tcW w:w="1075" w:type="dxa"/>
            <w:tcBorders>
              <w:top w:val="single" w:sz="4" w:space="0" w:color="auto"/>
              <w:left w:val="single" w:sz="4" w:space="0" w:color="auto"/>
              <w:bottom w:val="single" w:sz="4" w:space="0" w:color="auto"/>
              <w:right w:val="single" w:sz="4" w:space="0" w:color="auto"/>
            </w:tcBorders>
            <w:vAlign w:val="center"/>
          </w:tcPr>
          <w:p w14:paraId="7886CC7F" w14:textId="77777777" w:rsidR="00A74781" w:rsidRPr="00341E6C" w:rsidRDefault="00A74781" w:rsidP="00E91E50">
            <w:pPr>
              <w:spacing w:after="0" w:line="240" w:lineRule="auto"/>
              <w:jc w:val="right"/>
              <w:rPr>
                <w:rFonts w:asciiTheme="majorHAnsi" w:eastAsia="Times New Roman" w:hAnsiTheme="majorHAnsi" w:cstheme="majorHAnsi"/>
                <w:sz w:val="16"/>
                <w:szCs w:val="16"/>
                <w:lang w:val="ro-RO"/>
              </w:rPr>
            </w:pPr>
            <w:r w:rsidRPr="00341E6C">
              <w:rPr>
                <w:rFonts w:asciiTheme="majorHAnsi" w:eastAsia="Times New Roman" w:hAnsiTheme="majorHAnsi" w:cstheme="majorHAnsi"/>
                <w:sz w:val="16"/>
                <w:szCs w:val="16"/>
                <w:lang w:val="ro-RO"/>
              </w:rPr>
              <w:t>1,042.4</w:t>
            </w:r>
          </w:p>
        </w:tc>
      </w:tr>
    </w:tbl>
    <w:p w14:paraId="0DE0F780" w14:textId="77777777" w:rsidR="00A74781" w:rsidRPr="005A4F77" w:rsidRDefault="00A74781" w:rsidP="00A74781">
      <w:pPr>
        <w:spacing w:line="276" w:lineRule="auto"/>
        <w:jc w:val="both"/>
        <w:rPr>
          <w:rFonts w:asciiTheme="majorHAnsi" w:hAnsiTheme="majorHAnsi" w:cstheme="majorHAnsi"/>
          <w:i/>
          <w:sz w:val="20"/>
          <w:szCs w:val="20"/>
          <w:lang w:val="ro-RO"/>
        </w:rPr>
      </w:pPr>
      <w:r w:rsidRPr="005A4F77">
        <w:rPr>
          <w:rFonts w:asciiTheme="majorHAnsi" w:hAnsiTheme="majorHAnsi" w:cstheme="majorHAnsi"/>
          <w:i/>
          <w:sz w:val="20"/>
          <w:szCs w:val="20"/>
          <w:lang w:val="ro-RO"/>
        </w:rPr>
        <w:t>Sursa: Darea de seama privind calcularea, utilizarea si transferarea contribuțiilor de asigurări sociale de stat generată la 10.02.2021.</w:t>
      </w:r>
    </w:p>
    <w:p w14:paraId="0A83AC31" w14:textId="77777777" w:rsidR="00A74781" w:rsidRPr="00341E6C" w:rsidRDefault="00A74781" w:rsidP="00A74781">
      <w:pPr>
        <w:jc w:val="both"/>
        <w:rPr>
          <w:rFonts w:asciiTheme="majorHAnsi" w:hAnsiTheme="majorHAnsi" w:cstheme="majorHAnsi"/>
          <w:i/>
          <w:sz w:val="24"/>
          <w:szCs w:val="24"/>
          <w:lang w:val="ro-RO"/>
        </w:rPr>
      </w:pPr>
      <w:r w:rsidRPr="00341E6C">
        <w:rPr>
          <w:rFonts w:asciiTheme="majorHAnsi" w:hAnsiTheme="majorHAnsi" w:cstheme="majorHAnsi"/>
          <w:i/>
          <w:sz w:val="24"/>
          <w:szCs w:val="24"/>
          <w:lang w:val="ro-RO"/>
        </w:rPr>
        <w:t>*Restanțe la sfârșitul perioadei – suma pe care plătitorul era obligat să o plătească la buget, dar pe care nu a plătit-o în termen;</w:t>
      </w:r>
    </w:p>
    <w:p w14:paraId="78717A3C" w14:textId="77777777" w:rsidR="00A74781" w:rsidRPr="00341E6C" w:rsidRDefault="00A74781" w:rsidP="00A74781">
      <w:pPr>
        <w:jc w:val="both"/>
        <w:rPr>
          <w:rFonts w:asciiTheme="majorHAnsi" w:hAnsiTheme="majorHAnsi" w:cstheme="majorHAnsi"/>
          <w:i/>
          <w:sz w:val="24"/>
          <w:szCs w:val="24"/>
          <w:lang w:val="ro-RO"/>
        </w:rPr>
      </w:pPr>
      <w:r w:rsidRPr="00341E6C">
        <w:rPr>
          <w:rFonts w:asciiTheme="majorHAnsi" w:hAnsiTheme="majorHAnsi" w:cstheme="majorHAnsi"/>
          <w:i/>
          <w:sz w:val="24"/>
          <w:szCs w:val="24"/>
          <w:lang w:val="ro-RO"/>
        </w:rPr>
        <w:t>**Suma plătită în plus la sfârșitul perioadei – suma plătită prin vărsare sau încasare, inclusiv prin încasare silită, în cuantu</w:t>
      </w:r>
      <w:r>
        <w:rPr>
          <w:rFonts w:asciiTheme="majorHAnsi" w:hAnsiTheme="majorHAnsi" w:cstheme="majorHAnsi"/>
          <w:i/>
          <w:sz w:val="24"/>
          <w:szCs w:val="24"/>
          <w:lang w:val="ro-RO"/>
        </w:rPr>
        <w:t>m mai mare decât cel prevăzut, p</w:t>
      </w:r>
      <w:r w:rsidRPr="00341E6C">
        <w:rPr>
          <w:rFonts w:asciiTheme="majorHAnsi" w:hAnsiTheme="majorHAnsi" w:cstheme="majorHAnsi"/>
          <w:i/>
          <w:sz w:val="24"/>
          <w:szCs w:val="24"/>
          <w:lang w:val="ro-RO"/>
        </w:rPr>
        <w:t>recum și sumele ce reprezintă prestații de asigurări sociale plătite de angajator salariaților săi care depășesc suma contribuțiilor datorate de acesta.</w:t>
      </w:r>
    </w:p>
    <w:p w14:paraId="5A262CF6" w14:textId="77777777" w:rsidR="00D105A2" w:rsidRPr="00DE750B" w:rsidRDefault="00D105A2" w:rsidP="00D105A2">
      <w:pPr>
        <w:spacing w:after="240" w:line="276" w:lineRule="auto"/>
        <w:jc w:val="both"/>
        <w:rPr>
          <w:rFonts w:asciiTheme="majorHAnsi" w:eastAsia="Times New Roman" w:hAnsiTheme="majorHAnsi" w:cstheme="majorHAnsi"/>
          <w:bCs/>
          <w:i/>
          <w:sz w:val="16"/>
          <w:szCs w:val="16"/>
          <w:lang w:val="ro-RO"/>
        </w:rPr>
      </w:pPr>
      <w:r w:rsidRPr="00DE750B">
        <w:rPr>
          <w:rFonts w:asciiTheme="majorHAnsi" w:hAnsiTheme="majorHAnsi" w:cstheme="majorHAnsi"/>
          <w:i/>
          <w:sz w:val="24"/>
          <w:szCs w:val="24"/>
          <w:lang w:val="ro-RO"/>
        </w:rPr>
        <w:t>Potrivit Legii privind sistemul public de asigurări sociale</w:t>
      </w:r>
      <w:r w:rsidRPr="00DE750B">
        <w:rPr>
          <w:rStyle w:val="FootnoteReference"/>
          <w:rFonts w:asciiTheme="majorHAnsi" w:hAnsiTheme="majorHAnsi" w:cstheme="majorHAnsi"/>
          <w:i/>
          <w:sz w:val="24"/>
          <w:szCs w:val="24"/>
          <w:lang w:val="ro-RO"/>
        </w:rPr>
        <w:footnoteReference w:id="80"/>
      </w:r>
      <w:r w:rsidRPr="00DE750B">
        <w:rPr>
          <w:rFonts w:asciiTheme="majorHAnsi" w:hAnsiTheme="majorHAnsi" w:cstheme="majorHAnsi"/>
          <w:i/>
          <w:sz w:val="24"/>
          <w:szCs w:val="24"/>
          <w:lang w:val="ro-RO"/>
        </w:rPr>
        <w:t>, termenul de virare a contribuțiilor de asigurări sociale de stat obligatorii este lunar, până la data de 25 a lunii următoare lunii de gestiune, iar potrivit art.5 din aceeași lege, Declaraţia privind calcularea şi utilizarea contribuţiilor de asigurări sociale de stat obligatorii se prezintă de plătitorii de contribuţii la bugetul asigurărilor sociale de stat Serviciului Fiscal de Stat lunar, până la data de 25 a lunii următoare celei de gestiune.</w:t>
      </w:r>
    </w:p>
    <w:p w14:paraId="228FF20B" w14:textId="22F20C56" w:rsidR="00A74781" w:rsidRDefault="00A74781" w:rsidP="00FE2C3F">
      <w:pPr>
        <w:spacing w:after="0" w:line="240" w:lineRule="auto"/>
        <w:rPr>
          <w:rFonts w:ascii="Calibri Light" w:eastAsia="Times New Roman" w:hAnsi="Calibri Light" w:cs="Calibri Light"/>
          <w:b/>
          <w:bCs/>
          <w:color w:val="000000"/>
          <w:sz w:val="20"/>
          <w:szCs w:val="20"/>
          <w:lang w:val="ro-RO"/>
        </w:rPr>
      </w:pPr>
      <w:r>
        <w:rPr>
          <w:rFonts w:ascii="Calibri Light" w:eastAsia="Times New Roman" w:hAnsi="Calibri Light" w:cs="Calibri Light"/>
          <w:b/>
          <w:bCs/>
          <w:color w:val="000000"/>
          <w:sz w:val="20"/>
          <w:szCs w:val="20"/>
          <w:lang w:val="ro-RO"/>
        </w:rPr>
        <w:br w:type="page"/>
      </w:r>
    </w:p>
    <w:p w14:paraId="3ACFF411" w14:textId="77777777" w:rsidR="00A74781" w:rsidRPr="00341E6C" w:rsidRDefault="00A74781" w:rsidP="00FE2C3F">
      <w:pPr>
        <w:spacing w:after="0" w:line="240" w:lineRule="auto"/>
        <w:rPr>
          <w:rFonts w:ascii="Calibri Light" w:eastAsia="Times New Roman" w:hAnsi="Calibri Light" w:cs="Calibri Light"/>
          <w:b/>
          <w:bCs/>
          <w:color w:val="000000"/>
          <w:sz w:val="20"/>
          <w:szCs w:val="20"/>
          <w:lang w:val="ro-RO"/>
        </w:rPr>
        <w:sectPr w:rsidR="00A74781" w:rsidRPr="00341E6C" w:rsidSect="00EC60AC">
          <w:headerReference w:type="default" r:id="rId27"/>
          <w:footerReference w:type="default" r:id="rId28"/>
          <w:pgSz w:w="11909" w:h="16834" w:code="9"/>
          <w:pgMar w:top="851" w:right="851" w:bottom="851" w:left="1701" w:header="709" w:footer="709" w:gutter="0"/>
          <w:cols w:space="708"/>
          <w:titlePg/>
          <w:docGrid w:linePitch="360"/>
        </w:sectPr>
      </w:pPr>
    </w:p>
    <w:p w14:paraId="56ED71DF" w14:textId="57CC0DE9" w:rsidR="00FE2C3F" w:rsidRPr="00341E6C" w:rsidRDefault="00FE2C3F" w:rsidP="005D4B1B">
      <w:pPr>
        <w:pStyle w:val="NormalWeb"/>
        <w:tabs>
          <w:tab w:val="left" w:pos="162"/>
        </w:tabs>
        <w:spacing w:line="276" w:lineRule="auto"/>
        <w:ind w:left="567" w:firstLine="0"/>
        <w:jc w:val="right"/>
        <w:outlineLvl w:val="1"/>
        <w:rPr>
          <w:rFonts w:asciiTheme="majorHAnsi" w:hAnsiTheme="majorHAnsi" w:cstheme="majorHAnsi"/>
          <w:b/>
          <w:lang w:val="ro-RO"/>
        </w:rPr>
      </w:pPr>
      <w:r w:rsidRPr="00341E6C">
        <w:rPr>
          <w:rFonts w:asciiTheme="majorHAnsi" w:hAnsiTheme="majorHAnsi" w:cstheme="majorHAnsi"/>
          <w:b/>
          <w:lang w:val="ro-RO"/>
        </w:rPr>
        <w:lastRenderedPageBreak/>
        <w:t xml:space="preserve">Anexa nr. </w:t>
      </w:r>
      <w:r w:rsidR="00A74781">
        <w:rPr>
          <w:rFonts w:asciiTheme="majorHAnsi" w:hAnsiTheme="majorHAnsi" w:cstheme="majorHAnsi"/>
          <w:b/>
          <w:lang w:val="ro-RO"/>
        </w:rPr>
        <w:t>2</w:t>
      </w:r>
    </w:p>
    <w:p w14:paraId="3517280F" w14:textId="5A61229D" w:rsidR="00FE2C3F" w:rsidRPr="00341E6C" w:rsidRDefault="00FE2C3F" w:rsidP="005A4F77">
      <w:pPr>
        <w:spacing w:after="0" w:line="240" w:lineRule="auto"/>
        <w:jc w:val="center"/>
        <w:rPr>
          <w:rFonts w:ascii="Calibri Light" w:eastAsia="Times New Roman" w:hAnsi="Calibri Light" w:cs="Calibri Light"/>
          <w:b/>
          <w:bCs/>
          <w:color w:val="000000"/>
          <w:sz w:val="20"/>
          <w:szCs w:val="20"/>
          <w:lang w:val="ro-RO"/>
        </w:rPr>
      </w:pPr>
      <w:r w:rsidRPr="00341E6C">
        <w:rPr>
          <w:rFonts w:ascii="Calibri Light" w:eastAsia="Times New Roman" w:hAnsi="Calibri Light" w:cs="Calibri Light"/>
          <w:b/>
          <w:bCs/>
          <w:color w:val="000000"/>
          <w:sz w:val="24"/>
          <w:szCs w:val="20"/>
          <w:lang w:val="ro-RO"/>
        </w:rPr>
        <w:t>Analiza modificărilor operate la Legea bugetului asigurărilor sociale de stat pe anul 2020</w:t>
      </w:r>
      <w:r w:rsidR="00CE720A">
        <w:rPr>
          <w:rFonts w:ascii="Calibri Light" w:eastAsia="Times New Roman" w:hAnsi="Calibri Light" w:cs="Calibri Light"/>
          <w:b/>
          <w:bCs/>
          <w:color w:val="000000"/>
          <w:sz w:val="20"/>
          <w:szCs w:val="20"/>
          <w:lang w:val="ro-RO"/>
        </w:rPr>
        <w:t>(</w:t>
      </w:r>
      <w:r w:rsidRPr="00341E6C">
        <w:rPr>
          <w:rFonts w:ascii="Calibri Light" w:eastAsia="Times New Roman" w:hAnsi="Calibri Light" w:cs="Calibri Light"/>
          <w:b/>
          <w:bCs/>
          <w:color w:val="000000"/>
          <w:sz w:val="20"/>
          <w:szCs w:val="20"/>
          <w:lang w:val="ro-RO"/>
        </w:rPr>
        <w:t>mii lei</w:t>
      </w:r>
      <w:r w:rsidR="00CE720A">
        <w:rPr>
          <w:rFonts w:ascii="Calibri Light" w:eastAsia="Times New Roman" w:hAnsi="Calibri Light" w:cs="Calibri Light"/>
          <w:b/>
          <w:bCs/>
          <w:color w:val="000000"/>
          <w:sz w:val="20"/>
          <w:szCs w:val="20"/>
          <w:lang w:val="ro-RO"/>
        </w:rPr>
        <w:t>)</w:t>
      </w:r>
    </w:p>
    <w:tbl>
      <w:tblPr>
        <w:tblW w:w="15199" w:type="dxa"/>
        <w:tblInd w:w="-5" w:type="dxa"/>
        <w:tblLook w:val="04A0" w:firstRow="1" w:lastRow="0" w:firstColumn="1" w:lastColumn="0" w:noHBand="0" w:noVBand="1"/>
      </w:tblPr>
      <w:tblGrid>
        <w:gridCol w:w="4352"/>
        <w:gridCol w:w="1787"/>
        <w:gridCol w:w="1747"/>
        <w:gridCol w:w="1509"/>
        <w:gridCol w:w="1727"/>
        <w:gridCol w:w="1710"/>
        <w:gridCol w:w="2367"/>
      </w:tblGrid>
      <w:tr w:rsidR="00FE2C3F" w:rsidRPr="00341E6C" w14:paraId="0B06A8B3" w14:textId="77777777" w:rsidTr="00F20408">
        <w:trPr>
          <w:trHeight w:val="20"/>
        </w:trPr>
        <w:tc>
          <w:tcPr>
            <w:tcW w:w="435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4688D82" w14:textId="77777777" w:rsidR="00FE2C3F" w:rsidRPr="00341E6C" w:rsidRDefault="00FE2C3F" w:rsidP="002912F6">
            <w:pPr>
              <w:spacing w:after="0" w:line="240" w:lineRule="auto"/>
              <w:jc w:val="center"/>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Indicatori</w:t>
            </w:r>
          </w:p>
        </w:tc>
        <w:tc>
          <w:tcPr>
            <w:tcW w:w="1787" w:type="dxa"/>
            <w:tcBorders>
              <w:top w:val="single" w:sz="4" w:space="0" w:color="auto"/>
              <w:left w:val="nil"/>
              <w:bottom w:val="single" w:sz="4" w:space="0" w:color="auto"/>
              <w:right w:val="single" w:sz="4" w:space="0" w:color="auto"/>
            </w:tcBorders>
            <w:shd w:val="clear" w:color="auto" w:fill="92D050"/>
            <w:noWrap/>
            <w:vAlign w:val="center"/>
            <w:hideMark/>
          </w:tcPr>
          <w:p w14:paraId="4A0987B2" w14:textId="77777777" w:rsidR="00FE2C3F" w:rsidRPr="00341E6C" w:rsidRDefault="00FE2C3F" w:rsidP="002912F6">
            <w:pPr>
              <w:spacing w:after="0" w:line="240" w:lineRule="auto"/>
              <w:jc w:val="center"/>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Aprobat</w:t>
            </w:r>
          </w:p>
        </w:tc>
        <w:tc>
          <w:tcPr>
            <w:tcW w:w="6693" w:type="dxa"/>
            <w:gridSpan w:val="4"/>
            <w:tcBorders>
              <w:top w:val="single" w:sz="4" w:space="0" w:color="auto"/>
              <w:left w:val="nil"/>
              <w:bottom w:val="single" w:sz="4" w:space="0" w:color="auto"/>
              <w:right w:val="single" w:sz="4" w:space="0" w:color="auto"/>
            </w:tcBorders>
            <w:shd w:val="clear" w:color="auto" w:fill="92D050"/>
            <w:noWrap/>
            <w:vAlign w:val="center"/>
            <w:hideMark/>
          </w:tcPr>
          <w:p w14:paraId="6AA79ED7" w14:textId="77777777" w:rsidR="00FE2C3F" w:rsidRPr="00341E6C" w:rsidRDefault="00FE2C3F" w:rsidP="002912F6">
            <w:pPr>
              <w:spacing w:after="0" w:line="240" w:lineRule="auto"/>
              <w:jc w:val="center"/>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Modificări operate de Parlament</w:t>
            </w:r>
          </w:p>
        </w:tc>
        <w:tc>
          <w:tcPr>
            <w:tcW w:w="2367" w:type="dxa"/>
            <w:tcBorders>
              <w:top w:val="single" w:sz="4" w:space="0" w:color="auto"/>
              <w:left w:val="nil"/>
              <w:bottom w:val="single" w:sz="4" w:space="0" w:color="auto"/>
              <w:right w:val="single" w:sz="4" w:space="0" w:color="auto"/>
            </w:tcBorders>
            <w:shd w:val="clear" w:color="auto" w:fill="92D050"/>
            <w:noWrap/>
            <w:vAlign w:val="center"/>
            <w:hideMark/>
          </w:tcPr>
          <w:p w14:paraId="3B857C84" w14:textId="77777777" w:rsidR="00FE2C3F" w:rsidRPr="00341E6C" w:rsidRDefault="00FE2C3F" w:rsidP="002912F6">
            <w:pPr>
              <w:spacing w:after="0" w:line="240" w:lineRule="auto"/>
              <w:jc w:val="center"/>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Devieri (+/-)</w:t>
            </w:r>
          </w:p>
        </w:tc>
      </w:tr>
      <w:tr w:rsidR="00FE2C3F" w:rsidRPr="00341E6C" w14:paraId="07C74ED8" w14:textId="77777777" w:rsidTr="00F20408">
        <w:trPr>
          <w:trHeight w:val="20"/>
        </w:trPr>
        <w:tc>
          <w:tcPr>
            <w:tcW w:w="4352"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9829F37"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p>
        </w:tc>
        <w:tc>
          <w:tcPr>
            <w:tcW w:w="1787" w:type="dxa"/>
            <w:tcBorders>
              <w:top w:val="nil"/>
              <w:left w:val="nil"/>
              <w:bottom w:val="single" w:sz="4" w:space="0" w:color="auto"/>
              <w:right w:val="single" w:sz="4" w:space="0" w:color="auto"/>
            </w:tcBorders>
            <w:shd w:val="clear" w:color="auto" w:fill="92D050"/>
            <w:vAlign w:val="center"/>
            <w:hideMark/>
          </w:tcPr>
          <w:p w14:paraId="4322BFB2"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Legea nr.173 din 19.12.2019</w:t>
            </w:r>
          </w:p>
        </w:tc>
        <w:tc>
          <w:tcPr>
            <w:tcW w:w="1747" w:type="dxa"/>
            <w:tcBorders>
              <w:top w:val="nil"/>
              <w:left w:val="nil"/>
              <w:bottom w:val="single" w:sz="4" w:space="0" w:color="auto"/>
              <w:right w:val="single" w:sz="4" w:space="0" w:color="auto"/>
            </w:tcBorders>
            <w:shd w:val="clear" w:color="auto" w:fill="92D050"/>
            <w:vAlign w:val="center"/>
            <w:hideMark/>
          </w:tcPr>
          <w:p w14:paraId="2720EAC7"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Legea nr.63 din 23.04.2020</w:t>
            </w:r>
          </w:p>
        </w:tc>
        <w:tc>
          <w:tcPr>
            <w:tcW w:w="1509" w:type="dxa"/>
            <w:tcBorders>
              <w:top w:val="nil"/>
              <w:left w:val="nil"/>
              <w:bottom w:val="single" w:sz="4" w:space="0" w:color="auto"/>
              <w:right w:val="single" w:sz="4" w:space="0" w:color="auto"/>
            </w:tcBorders>
            <w:shd w:val="clear" w:color="auto" w:fill="92D050"/>
            <w:vAlign w:val="center"/>
            <w:hideMark/>
          </w:tcPr>
          <w:p w14:paraId="34DBA956"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Legea nr.69 din 21.05.2020</w:t>
            </w:r>
          </w:p>
        </w:tc>
        <w:tc>
          <w:tcPr>
            <w:tcW w:w="1727" w:type="dxa"/>
            <w:tcBorders>
              <w:top w:val="nil"/>
              <w:left w:val="nil"/>
              <w:bottom w:val="single" w:sz="4" w:space="0" w:color="auto"/>
              <w:right w:val="single" w:sz="4" w:space="0" w:color="auto"/>
            </w:tcBorders>
            <w:shd w:val="clear" w:color="auto" w:fill="92D050"/>
            <w:vAlign w:val="center"/>
            <w:hideMark/>
          </w:tcPr>
          <w:p w14:paraId="69FC284C"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 xml:space="preserve"> Legea nr.132 din 12.07.2020</w:t>
            </w:r>
          </w:p>
        </w:tc>
        <w:tc>
          <w:tcPr>
            <w:tcW w:w="1710" w:type="dxa"/>
            <w:tcBorders>
              <w:top w:val="nil"/>
              <w:left w:val="nil"/>
              <w:bottom w:val="single" w:sz="4" w:space="0" w:color="auto"/>
              <w:right w:val="single" w:sz="4" w:space="0" w:color="auto"/>
            </w:tcBorders>
            <w:shd w:val="clear" w:color="auto" w:fill="92D050"/>
            <w:vAlign w:val="center"/>
            <w:hideMark/>
          </w:tcPr>
          <w:p w14:paraId="09A2E692"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Legea nr.174 din 18.09.2020</w:t>
            </w:r>
          </w:p>
        </w:tc>
        <w:tc>
          <w:tcPr>
            <w:tcW w:w="2367" w:type="dxa"/>
            <w:tcBorders>
              <w:top w:val="nil"/>
              <w:left w:val="nil"/>
              <w:bottom w:val="single" w:sz="4" w:space="0" w:color="auto"/>
              <w:right w:val="single" w:sz="4" w:space="0" w:color="auto"/>
            </w:tcBorders>
            <w:shd w:val="clear" w:color="auto" w:fill="92D050"/>
            <w:vAlign w:val="center"/>
            <w:hideMark/>
          </w:tcPr>
          <w:p w14:paraId="49742549" w14:textId="77777777" w:rsidR="00FE2C3F" w:rsidRPr="00341E6C" w:rsidRDefault="00FE2C3F" w:rsidP="002912F6">
            <w:pPr>
              <w:spacing w:after="0" w:line="240" w:lineRule="auto"/>
              <w:jc w:val="center"/>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Ultima modificare/aprobat</w:t>
            </w:r>
          </w:p>
        </w:tc>
      </w:tr>
      <w:tr w:rsidR="00FE2C3F" w:rsidRPr="00341E6C" w14:paraId="71C21CB7" w14:textId="77777777" w:rsidTr="0097561C">
        <w:trPr>
          <w:trHeight w:val="20"/>
        </w:trPr>
        <w:tc>
          <w:tcPr>
            <w:tcW w:w="4352"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286879"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1</w:t>
            </w:r>
          </w:p>
        </w:tc>
        <w:tc>
          <w:tcPr>
            <w:tcW w:w="1787" w:type="dxa"/>
            <w:tcBorders>
              <w:top w:val="nil"/>
              <w:left w:val="nil"/>
              <w:bottom w:val="single" w:sz="4" w:space="0" w:color="auto"/>
              <w:right w:val="single" w:sz="4" w:space="0" w:color="auto"/>
            </w:tcBorders>
            <w:shd w:val="clear" w:color="auto" w:fill="FFE599" w:themeFill="accent4" w:themeFillTint="66"/>
            <w:vAlign w:val="center"/>
            <w:hideMark/>
          </w:tcPr>
          <w:p w14:paraId="1D3C9FAF"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2</w:t>
            </w:r>
          </w:p>
        </w:tc>
        <w:tc>
          <w:tcPr>
            <w:tcW w:w="1747" w:type="dxa"/>
            <w:tcBorders>
              <w:top w:val="nil"/>
              <w:left w:val="nil"/>
              <w:bottom w:val="single" w:sz="4" w:space="0" w:color="auto"/>
              <w:right w:val="single" w:sz="4" w:space="0" w:color="auto"/>
            </w:tcBorders>
            <w:shd w:val="clear" w:color="auto" w:fill="FFE599" w:themeFill="accent4" w:themeFillTint="66"/>
            <w:vAlign w:val="center"/>
            <w:hideMark/>
          </w:tcPr>
          <w:p w14:paraId="39C6B91E"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3</w:t>
            </w:r>
          </w:p>
        </w:tc>
        <w:tc>
          <w:tcPr>
            <w:tcW w:w="1509" w:type="dxa"/>
            <w:tcBorders>
              <w:top w:val="nil"/>
              <w:left w:val="nil"/>
              <w:bottom w:val="single" w:sz="4" w:space="0" w:color="auto"/>
              <w:right w:val="single" w:sz="4" w:space="0" w:color="auto"/>
            </w:tcBorders>
            <w:shd w:val="clear" w:color="auto" w:fill="FFE599" w:themeFill="accent4" w:themeFillTint="66"/>
            <w:vAlign w:val="center"/>
            <w:hideMark/>
          </w:tcPr>
          <w:p w14:paraId="17B884C0"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4</w:t>
            </w:r>
          </w:p>
        </w:tc>
        <w:tc>
          <w:tcPr>
            <w:tcW w:w="1727" w:type="dxa"/>
            <w:tcBorders>
              <w:top w:val="nil"/>
              <w:left w:val="nil"/>
              <w:bottom w:val="single" w:sz="4" w:space="0" w:color="auto"/>
              <w:right w:val="single" w:sz="4" w:space="0" w:color="auto"/>
            </w:tcBorders>
            <w:shd w:val="clear" w:color="auto" w:fill="FFE599" w:themeFill="accent4" w:themeFillTint="66"/>
            <w:vAlign w:val="center"/>
            <w:hideMark/>
          </w:tcPr>
          <w:p w14:paraId="1CC96CDB"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5</w:t>
            </w:r>
          </w:p>
        </w:tc>
        <w:tc>
          <w:tcPr>
            <w:tcW w:w="1710" w:type="dxa"/>
            <w:tcBorders>
              <w:top w:val="nil"/>
              <w:left w:val="nil"/>
              <w:bottom w:val="single" w:sz="4" w:space="0" w:color="auto"/>
              <w:right w:val="single" w:sz="4" w:space="0" w:color="auto"/>
            </w:tcBorders>
            <w:shd w:val="clear" w:color="auto" w:fill="FFE599" w:themeFill="accent4" w:themeFillTint="66"/>
            <w:vAlign w:val="center"/>
            <w:hideMark/>
          </w:tcPr>
          <w:p w14:paraId="7661BC63"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6</w:t>
            </w:r>
          </w:p>
        </w:tc>
        <w:tc>
          <w:tcPr>
            <w:tcW w:w="2367" w:type="dxa"/>
            <w:tcBorders>
              <w:top w:val="nil"/>
              <w:left w:val="nil"/>
              <w:bottom w:val="single" w:sz="4" w:space="0" w:color="auto"/>
              <w:right w:val="single" w:sz="4" w:space="0" w:color="auto"/>
            </w:tcBorders>
            <w:shd w:val="clear" w:color="auto" w:fill="FFE599" w:themeFill="accent4" w:themeFillTint="66"/>
            <w:noWrap/>
            <w:vAlign w:val="center"/>
            <w:hideMark/>
          </w:tcPr>
          <w:p w14:paraId="1E850FF6" w14:textId="77777777" w:rsidR="00FE2C3F" w:rsidRPr="00341E6C" w:rsidRDefault="00FE2C3F" w:rsidP="002912F6">
            <w:pPr>
              <w:spacing w:after="0" w:line="240" w:lineRule="auto"/>
              <w:jc w:val="center"/>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8=6-2</w:t>
            </w:r>
          </w:p>
        </w:tc>
      </w:tr>
      <w:tr w:rsidR="00FE2C3F" w:rsidRPr="00341E6C" w14:paraId="464AA332"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ED49C34"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I. Venituri, total</w:t>
            </w:r>
          </w:p>
        </w:tc>
        <w:tc>
          <w:tcPr>
            <w:tcW w:w="1787" w:type="dxa"/>
            <w:tcBorders>
              <w:top w:val="nil"/>
              <w:left w:val="nil"/>
              <w:bottom w:val="single" w:sz="4" w:space="0" w:color="auto"/>
              <w:right w:val="single" w:sz="4" w:space="0" w:color="auto"/>
            </w:tcBorders>
            <w:shd w:val="clear" w:color="auto" w:fill="auto"/>
            <w:vAlign w:val="center"/>
            <w:hideMark/>
          </w:tcPr>
          <w:p w14:paraId="7D795D5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23491016.1</w:t>
            </w:r>
          </w:p>
        </w:tc>
        <w:tc>
          <w:tcPr>
            <w:tcW w:w="1747" w:type="dxa"/>
            <w:tcBorders>
              <w:top w:val="nil"/>
              <w:left w:val="nil"/>
              <w:bottom w:val="single" w:sz="4" w:space="0" w:color="auto"/>
              <w:right w:val="single" w:sz="4" w:space="0" w:color="auto"/>
            </w:tcBorders>
            <w:shd w:val="clear" w:color="auto" w:fill="auto"/>
            <w:noWrap/>
            <w:vAlign w:val="center"/>
            <w:hideMark/>
          </w:tcPr>
          <w:p w14:paraId="33FDD1E1"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23869815.4</w:t>
            </w:r>
          </w:p>
        </w:tc>
        <w:tc>
          <w:tcPr>
            <w:tcW w:w="1509" w:type="dxa"/>
            <w:tcBorders>
              <w:top w:val="nil"/>
              <w:left w:val="nil"/>
              <w:bottom w:val="single" w:sz="4" w:space="0" w:color="auto"/>
              <w:right w:val="single" w:sz="4" w:space="0" w:color="auto"/>
            </w:tcBorders>
            <w:shd w:val="clear" w:color="auto" w:fill="auto"/>
            <w:noWrap/>
            <w:vAlign w:val="center"/>
            <w:hideMark/>
          </w:tcPr>
          <w:p w14:paraId="2B697C7B"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08D9491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24339399.4</w:t>
            </w:r>
          </w:p>
        </w:tc>
        <w:tc>
          <w:tcPr>
            <w:tcW w:w="1710" w:type="dxa"/>
            <w:tcBorders>
              <w:top w:val="nil"/>
              <w:left w:val="nil"/>
              <w:bottom w:val="single" w:sz="4" w:space="0" w:color="auto"/>
              <w:right w:val="single" w:sz="4" w:space="0" w:color="auto"/>
            </w:tcBorders>
            <w:shd w:val="clear" w:color="auto" w:fill="auto"/>
            <w:noWrap/>
            <w:vAlign w:val="center"/>
            <w:hideMark/>
          </w:tcPr>
          <w:p w14:paraId="12D49E24"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24572113.4</w:t>
            </w:r>
          </w:p>
        </w:tc>
        <w:tc>
          <w:tcPr>
            <w:tcW w:w="2367" w:type="dxa"/>
            <w:tcBorders>
              <w:top w:val="nil"/>
              <w:left w:val="nil"/>
              <w:bottom w:val="single" w:sz="4" w:space="0" w:color="auto"/>
              <w:right w:val="single" w:sz="4" w:space="0" w:color="auto"/>
            </w:tcBorders>
            <w:shd w:val="clear" w:color="auto" w:fill="auto"/>
            <w:noWrap/>
            <w:vAlign w:val="center"/>
            <w:hideMark/>
          </w:tcPr>
          <w:p w14:paraId="01C38ED1"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1081097.3</w:t>
            </w:r>
          </w:p>
        </w:tc>
      </w:tr>
      <w:tr w:rsidR="00FE2C3F" w:rsidRPr="00341E6C" w14:paraId="158432A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86382A5" w14:textId="77777777" w:rsidR="00FE2C3F" w:rsidRPr="00341E6C" w:rsidRDefault="00FE2C3F" w:rsidP="002912F6">
            <w:pPr>
              <w:spacing w:after="0" w:line="240" w:lineRule="auto"/>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inclusiv transferuri de la bugetul de stat</w:t>
            </w:r>
          </w:p>
        </w:tc>
        <w:tc>
          <w:tcPr>
            <w:tcW w:w="1787" w:type="dxa"/>
            <w:tcBorders>
              <w:top w:val="nil"/>
              <w:left w:val="nil"/>
              <w:bottom w:val="single" w:sz="4" w:space="0" w:color="auto"/>
              <w:right w:val="single" w:sz="4" w:space="0" w:color="auto"/>
            </w:tcBorders>
            <w:shd w:val="clear" w:color="auto" w:fill="auto"/>
            <w:vAlign w:val="center"/>
            <w:hideMark/>
          </w:tcPr>
          <w:p w14:paraId="5C97B760" w14:textId="77777777" w:rsidR="00FE2C3F" w:rsidRPr="00341E6C" w:rsidRDefault="00FE2C3F" w:rsidP="002912F6">
            <w:pPr>
              <w:spacing w:after="0" w:line="240" w:lineRule="auto"/>
              <w:jc w:val="right"/>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8560479.0</w:t>
            </w:r>
          </w:p>
        </w:tc>
        <w:tc>
          <w:tcPr>
            <w:tcW w:w="1747" w:type="dxa"/>
            <w:tcBorders>
              <w:top w:val="nil"/>
              <w:left w:val="nil"/>
              <w:bottom w:val="single" w:sz="4" w:space="0" w:color="auto"/>
              <w:right w:val="single" w:sz="4" w:space="0" w:color="auto"/>
            </w:tcBorders>
            <w:shd w:val="clear" w:color="auto" w:fill="auto"/>
            <w:noWrap/>
            <w:vAlign w:val="center"/>
            <w:hideMark/>
          </w:tcPr>
          <w:p w14:paraId="4362C9FF" w14:textId="77777777" w:rsidR="00FE2C3F" w:rsidRPr="00341E6C" w:rsidRDefault="00FE2C3F" w:rsidP="002912F6">
            <w:pPr>
              <w:spacing w:after="0" w:line="240" w:lineRule="auto"/>
              <w:jc w:val="right"/>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9621578.3</w:t>
            </w:r>
          </w:p>
        </w:tc>
        <w:tc>
          <w:tcPr>
            <w:tcW w:w="1509" w:type="dxa"/>
            <w:tcBorders>
              <w:top w:val="nil"/>
              <w:left w:val="nil"/>
              <w:bottom w:val="single" w:sz="4" w:space="0" w:color="auto"/>
              <w:right w:val="single" w:sz="4" w:space="0" w:color="auto"/>
            </w:tcBorders>
            <w:shd w:val="clear" w:color="auto" w:fill="auto"/>
            <w:noWrap/>
            <w:vAlign w:val="center"/>
            <w:hideMark/>
          </w:tcPr>
          <w:p w14:paraId="3FEC1999"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5F9ED3E1" w14:textId="77777777" w:rsidR="00FE2C3F" w:rsidRPr="00341E6C" w:rsidRDefault="00FE2C3F" w:rsidP="002912F6">
            <w:pPr>
              <w:spacing w:after="0" w:line="240" w:lineRule="auto"/>
              <w:jc w:val="right"/>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10091162.3</w:t>
            </w:r>
          </w:p>
        </w:tc>
        <w:tc>
          <w:tcPr>
            <w:tcW w:w="1710" w:type="dxa"/>
            <w:tcBorders>
              <w:top w:val="nil"/>
              <w:left w:val="nil"/>
              <w:bottom w:val="single" w:sz="4" w:space="0" w:color="auto"/>
              <w:right w:val="single" w:sz="4" w:space="0" w:color="auto"/>
            </w:tcBorders>
            <w:shd w:val="clear" w:color="auto" w:fill="auto"/>
            <w:noWrap/>
            <w:vAlign w:val="center"/>
            <w:hideMark/>
          </w:tcPr>
          <w:p w14:paraId="6B333BA6" w14:textId="77777777" w:rsidR="00FE2C3F" w:rsidRPr="00341E6C" w:rsidRDefault="00FE2C3F" w:rsidP="002912F6">
            <w:pPr>
              <w:spacing w:after="0" w:line="240" w:lineRule="auto"/>
              <w:jc w:val="right"/>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10323876.3</w:t>
            </w:r>
          </w:p>
        </w:tc>
        <w:tc>
          <w:tcPr>
            <w:tcW w:w="2367" w:type="dxa"/>
            <w:tcBorders>
              <w:top w:val="nil"/>
              <w:left w:val="nil"/>
              <w:bottom w:val="single" w:sz="4" w:space="0" w:color="auto"/>
              <w:right w:val="single" w:sz="4" w:space="0" w:color="auto"/>
            </w:tcBorders>
            <w:shd w:val="clear" w:color="auto" w:fill="auto"/>
            <w:noWrap/>
            <w:vAlign w:val="center"/>
            <w:hideMark/>
          </w:tcPr>
          <w:p w14:paraId="27843223"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1763397.3</w:t>
            </w:r>
          </w:p>
        </w:tc>
      </w:tr>
      <w:tr w:rsidR="00FE2C3F" w:rsidRPr="00341E6C" w14:paraId="36D02297"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B98AEAE"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II. Cheltuieli, total</w:t>
            </w:r>
          </w:p>
        </w:tc>
        <w:tc>
          <w:tcPr>
            <w:tcW w:w="1787" w:type="dxa"/>
            <w:tcBorders>
              <w:top w:val="nil"/>
              <w:left w:val="nil"/>
              <w:bottom w:val="single" w:sz="4" w:space="0" w:color="auto"/>
              <w:right w:val="single" w:sz="4" w:space="0" w:color="auto"/>
            </w:tcBorders>
            <w:shd w:val="clear" w:color="auto" w:fill="auto"/>
            <w:vAlign w:val="center"/>
            <w:hideMark/>
          </w:tcPr>
          <w:p w14:paraId="7B71F38B"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23491016.1</w:t>
            </w:r>
          </w:p>
        </w:tc>
        <w:tc>
          <w:tcPr>
            <w:tcW w:w="1747" w:type="dxa"/>
            <w:tcBorders>
              <w:top w:val="nil"/>
              <w:left w:val="nil"/>
              <w:bottom w:val="single" w:sz="4" w:space="0" w:color="auto"/>
              <w:right w:val="single" w:sz="4" w:space="0" w:color="auto"/>
            </w:tcBorders>
            <w:shd w:val="clear" w:color="auto" w:fill="auto"/>
            <w:noWrap/>
            <w:vAlign w:val="center"/>
            <w:hideMark/>
          </w:tcPr>
          <w:p w14:paraId="5D990D63"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23869815.4</w:t>
            </w:r>
          </w:p>
        </w:tc>
        <w:tc>
          <w:tcPr>
            <w:tcW w:w="1509" w:type="dxa"/>
            <w:tcBorders>
              <w:top w:val="nil"/>
              <w:left w:val="nil"/>
              <w:bottom w:val="single" w:sz="4" w:space="0" w:color="auto"/>
              <w:right w:val="single" w:sz="4" w:space="0" w:color="auto"/>
            </w:tcBorders>
            <w:shd w:val="clear" w:color="auto" w:fill="auto"/>
            <w:noWrap/>
            <w:vAlign w:val="center"/>
            <w:hideMark/>
          </w:tcPr>
          <w:p w14:paraId="53A36C6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3F82724D"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24339399.4</w:t>
            </w:r>
          </w:p>
        </w:tc>
        <w:tc>
          <w:tcPr>
            <w:tcW w:w="1710" w:type="dxa"/>
            <w:tcBorders>
              <w:top w:val="nil"/>
              <w:left w:val="nil"/>
              <w:bottom w:val="single" w:sz="4" w:space="0" w:color="auto"/>
              <w:right w:val="single" w:sz="4" w:space="0" w:color="auto"/>
            </w:tcBorders>
            <w:shd w:val="clear" w:color="auto" w:fill="auto"/>
            <w:noWrap/>
            <w:vAlign w:val="center"/>
            <w:hideMark/>
          </w:tcPr>
          <w:p w14:paraId="0A67C75F"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24572113.4</w:t>
            </w:r>
          </w:p>
        </w:tc>
        <w:tc>
          <w:tcPr>
            <w:tcW w:w="2367" w:type="dxa"/>
            <w:tcBorders>
              <w:top w:val="nil"/>
              <w:left w:val="nil"/>
              <w:bottom w:val="single" w:sz="4" w:space="0" w:color="auto"/>
              <w:right w:val="single" w:sz="4" w:space="0" w:color="auto"/>
            </w:tcBorders>
            <w:shd w:val="clear" w:color="auto" w:fill="auto"/>
            <w:noWrap/>
            <w:vAlign w:val="center"/>
            <w:hideMark/>
          </w:tcPr>
          <w:p w14:paraId="4A58415B"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1081097.3</w:t>
            </w:r>
          </w:p>
        </w:tc>
      </w:tr>
      <w:tr w:rsidR="00FE2C3F" w:rsidRPr="00341E6C" w14:paraId="61D33E9E"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69CBCF39" w14:textId="77777777" w:rsidR="00FE2C3F" w:rsidRPr="00341E6C" w:rsidRDefault="00FE2C3F" w:rsidP="002912F6">
            <w:pPr>
              <w:spacing w:after="0" w:line="240" w:lineRule="auto"/>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inclusiv cheltuieli de personal</w:t>
            </w:r>
          </w:p>
        </w:tc>
        <w:tc>
          <w:tcPr>
            <w:tcW w:w="1787" w:type="dxa"/>
            <w:tcBorders>
              <w:top w:val="nil"/>
              <w:left w:val="nil"/>
              <w:bottom w:val="single" w:sz="4" w:space="0" w:color="auto"/>
              <w:right w:val="single" w:sz="4" w:space="0" w:color="auto"/>
            </w:tcBorders>
            <w:shd w:val="clear" w:color="auto" w:fill="auto"/>
            <w:vAlign w:val="center"/>
            <w:hideMark/>
          </w:tcPr>
          <w:p w14:paraId="4AD9ABC7" w14:textId="77777777" w:rsidR="00FE2C3F" w:rsidRPr="00341E6C" w:rsidRDefault="00FE2C3F" w:rsidP="002912F6">
            <w:pPr>
              <w:spacing w:after="0" w:line="240" w:lineRule="auto"/>
              <w:jc w:val="right"/>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158606.8</w:t>
            </w:r>
          </w:p>
        </w:tc>
        <w:tc>
          <w:tcPr>
            <w:tcW w:w="1747" w:type="dxa"/>
            <w:tcBorders>
              <w:top w:val="nil"/>
              <w:left w:val="nil"/>
              <w:bottom w:val="single" w:sz="4" w:space="0" w:color="auto"/>
              <w:right w:val="single" w:sz="4" w:space="0" w:color="auto"/>
            </w:tcBorders>
            <w:shd w:val="clear" w:color="auto" w:fill="auto"/>
            <w:noWrap/>
            <w:vAlign w:val="center"/>
            <w:hideMark/>
          </w:tcPr>
          <w:p w14:paraId="1B9FC49E" w14:textId="77777777" w:rsidR="00FE2C3F" w:rsidRPr="00341E6C" w:rsidRDefault="00FE2C3F" w:rsidP="002912F6">
            <w:pPr>
              <w:spacing w:after="0" w:line="240" w:lineRule="auto"/>
              <w:jc w:val="right"/>
              <w:rPr>
                <w:rFonts w:asciiTheme="majorHAnsi" w:eastAsia="Times New Roman" w:hAnsiTheme="majorHAnsi" w:cstheme="majorHAnsi"/>
                <w:i/>
                <w:iCs/>
                <w:color w:val="000000"/>
                <w:sz w:val="20"/>
                <w:szCs w:val="20"/>
                <w:lang w:val="ro-RO"/>
              </w:rPr>
            </w:pPr>
            <w:r w:rsidRPr="00341E6C">
              <w:rPr>
                <w:rFonts w:asciiTheme="majorHAnsi" w:eastAsia="Times New Roman" w:hAnsiTheme="majorHAnsi" w:cstheme="majorHAnsi"/>
                <w:i/>
                <w:iCs/>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5B469446"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3DB32815"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1D1581A0"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2367" w:type="dxa"/>
            <w:tcBorders>
              <w:top w:val="nil"/>
              <w:left w:val="nil"/>
              <w:bottom w:val="single" w:sz="4" w:space="0" w:color="auto"/>
              <w:right w:val="single" w:sz="4" w:space="0" w:color="auto"/>
            </w:tcBorders>
            <w:shd w:val="clear" w:color="auto" w:fill="auto"/>
            <w:noWrap/>
            <w:vAlign w:val="center"/>
            <w:hideMark/>
          </w:tcPr>
          <w:p w14:paraId="5D1AA25A"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r>
      <w:tr w:rsidR="00FE2C3F" w:rsidRPr="00341E6C" w14:paraId="46B6E8C5"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noWrap/>
            <w:vAlign w:val="bottom"/>
            <w:hideMark/>
          </w:tcPr>
          <w:p w14:paraId="00163122"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Protecția socială</w:t>
            </w:r>
          </w:p>
        </w:tc>
        <w:tc>
          <w:tcPr>
            <w:tcW w:w="1787" w:type="dxa"/>
            <w:tcBorders>
              <w:top w:val="nil"/>
              <w:left w:val="nil"/>
              <w:bottom w:val="single" w:sz="4" w:space="0" w:color="auto"/>
              <w:right w:val="single" w:sz="4" w:space="0" w:color="auto"/>
            </w:tcBorders>
            <w:shd w:val="clear" w:color="auto" w:fill="auto"/>
            <w:vAlign w:val="center"/>
            <w:hideMark/>
          </w:tcPr>
          <w:p w14:paraId="6E6790E2"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23491016.1</w:t>
            </w:r>
          </w:p>
        </w:tc>
        <w:tc>
          <w:tcPr>
            <w:tcW w:w="1747" w:type="dxa"/>
            <w:tcBorders>
              <w:top w:val="nil"/>
              <w:left w:val="nil"/>
              <w:bottom w:val="single" w:sz="4" w:space="0" w:color="auto"/>
              <w:right w:val="single" w:sz="4" w:space="0" w:color="auto"/>
            </w:tcBorders>
            <w:shd w:val="clear" w:color="auto" w:fill="auto"/>
            <w:noWrap/>
            <w:vAlign w:val="center"/>
            <w:hideMark/>
          </w:tcPr>
          <w:p w14:paraId="162E1C6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23869815.4</w:t>
            </w:r>
          </w:p>
        </w:tc>
        <w:tc>
          <w:tcPr>
            <w:tcW w:w="1509" w:type="dxa"/>
            <w:tcBorders>
              <w:top w:val="nil"/>
              <w:left w:val="nil"/>
              <w:bottom w:val="single" w:sz="4" w:space="0" w:color="auto"/>
              <w:right w:val="single" w:sz="4" w:space="0" w:color="auto"/>
            </w:tcBorders>
            <w:shd w:val="clear" w:color="auto" w:fill="auto"/>
            <w:noWrap/>
            <w:vAlign w:val="center"/>
            <w:hideMark/>
          </w:tcPr>
          <w:p w14:paraId="020444B5"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78CC8A73"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24339399.4</w:t>
            </w:r>
          </w:p>
        </w:tc>
        <w:tc>
          <w:tcPr>
            <w:tcW w:w="1710" w:type="dxa"/>
            <w:tcBorders>
              <w:top w:val="nil"/>
              <w:left w:val="nil"/>
              <w:bottom w:val="single" w:sz="4" w:space="0" w:color="auto"/>
              <w:right w:val="single" w:sz="4" w:space="0" w:color="auto"/>
            </w:tcBorders>
            <w:shd w:val="clear" w:color="auto" w:fill="auto"/>
            <w:noWrap/>
            <w:vAlign w:val="center"/>
            <w:hideMark/>
          </w:tcPr>
          <w:p w14:paraId="59E84E8C"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24572113.4</w:t>
            </w:r>
          </w:p>
        </w:tc>
        <w:tc>
          <w:tcPr>
            <w:tcW w:w="2367" w:type="dxa"/>
            <w:tcBorders>
              <w:top w:val="nil"/>
              <w:left w:val="nil"/>
              <w:bottom w:val="single" w:sz="4" w:space="0" w:color="auto"/>
              <w:right w:val="single" w:sz="4" w:space="0" w:color="auto"/>
            </w:tcBorders>
            <w:shd w:val="clear" w:color="auto" w:fill="auto"/>
            <w:noWrap/>
            <w:vAlign w:val="center"/>
            <w:hideMark/>
          </w:tcPr>
          <w:p w14:paraId="401A298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1081097.3</w:t>
            </w:r>
          </w:p>
        </w:tc>
      </w:tr>
      <w:tr w:rsidR="00FE2C3F" w:rsidRPr="00341E6C" w14:paraId="7D73AE78"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720C9C2A"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Administrarea sistemului public de asigurări sociale</w:t>
            </w:r>
          </w:p>
        </w:tc>
        <w:tc>
          <w:tcPr>
            <w:tcW w:w="1787" w:type="dxa"/>
            <w:tcBorders>
              <w:top w:val="nil"/>
              <w:left w:val="nil"/>
              <w:bottom w:val="single" w:sz="4" w:space="0" w:color="auto"/>
              <w:right w:val="single" w:sz="4" w:space="0" w:color="auto"/>
            </w:tcBorders>
            <w:shd w:val="clear" w:color="auto" w:fill="auto"/>
            <w:vAlign w:val="center"/>
            <w:hideMark/>
          </w:tcPr>
          <w:p w14:paraId="68CFE5DA"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217718.4</w:t>
            </w:r>
          </w:p>
        </w:tc>
        <w:tc>
          <w:tcPr>
            <w:tcW w:w="1747" w:type="dxa"/>
            <w:tcBorders>
              <w:top w:val="nil"/>
              <w:left w:val="nil"/>
              <w:bottom w:val="single" w:sz="4" w:space="0" w:color="auto"/>
              <w:right w:val="single" w:sz="4" w:space="0" w:color="auto"/>
            </w:tcBorders>
            <w:shd w:val="clear" w:color="auto" w:fill="auto"/>
            <w:noWrap/>
            <w:vAlign w:val="center"/>
            <w:hideMark/>
          </w:tcPr>
          <w:p w14:paraId="0AB1B9EF"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225074.9</w:t>
            </w:r>
          </w:p>
        </w:tc>
        <w:tc>
          <w:tcPr>
            <w:tcW w:w="1509" w:type="dxa"/>
            <w:tcBorders>
              <w:top w:val="nil"/>
              <w:left w:val="nil"/>
              <w:bottom w:val="single" w:sz="4" w:space="0" w:color="auto"/>
              <w:right w:val="single" w:sz="4" w:space="0" w:color="auto"/>
            </w:tcBorders>
            <w:shd w:val="clear" w:color="auto" w:fill="auto"/>
            <w:noWrap/>
            <w:vAlign w:val="center"/>
            <w:hideMark/>
          </w:tcPr>
          <w:p w14:paraId="5F36C237"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52C5A141"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02C81C53"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225074.9</w:t>
            </w:r>
          </w:p>
        </w:tc>
        <w:tc>
          <w:tcPr>
            <w:tcW w:w="2367" w:type="dxa"/>
            <w:tcBorders>
              <w:top w:val="nil"/>
              <w:left w:val="nil"/>
              <w:bottom w:val="single" w:sz="4" w:space="0" w:color="auto"/>
              <w:right w:val="single" w:sz="4" w:space="0" w:color="auto"/>
            </w:tcBorders>
            <w:shd w:val="clear" w:color="auto" w:fill="auto"/>
            <w:noWrap/>
            <w:vAlign w:val="center"/>
            <w:hideMark/>
          </w:tcPr>
          <w:p w14:paraId="51F34A3C"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7356.5</w:t>
            </w:r>
          </w:p>
        </w:tc>
      </w:tr>
      <w:tr w:rsidR="00FE2C3F" w:rsidRPr="00341E6C" w14:paraId="184C23D4"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59F93E28"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în caz de incapacitate temporară de muncă</w:t>
            </w:r>
          </w:p>
        </w:tc>
        <w:tc>
          <w:tcPr>
            <w:tcW w:w="1787" w:type="dxa"/>
            <w:tcBorders>
              <w:top w:val="nil"/>
              <w:left w:val="nil"/>
              <w:bottom w:val="single" w:sz="4" w:space="0" w:color="auto"/>
              <w:right w:val="single" w:sz="4" w:space="0" w:color="auto"/>
            </w:tcBorders>
            <w:shd w:val="clear" w:color="auto" w:fill="auto"/>
            <w:vAlign w:val="center"/>
            <w:hideMark/>
          </w:tcPr>
          <w:p w14:paraId="49D27B71"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608920.8</w:t>
            </w:r>
          </w:p>
        </w:tc>
        <w:tc>
          <w:tcPr>
            <w:tcW w:w="1747" w:type="dxa"/>
            <w:tcBorders>
              <w:top w:val="nil"/>
              <w:left w:val="nil"/>
              <w:bottom w:val="single" w:sz="4" w:space="0" w:color="auto"/>
              <w:right w:val="single" w:sz="4" w:space="0" w:color="auto"/>
            </w:tcBorders>
            <w:shd w:val="clear" w:color="auto" w:fill="auto"/>
            <w:noWrap/>
            <w:vAlign w:val="center"/>
            <w:hideMark/>
          </w:tcPr>
          <w:p w14:paraId="2AD68202"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0246460C"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5CF9DA21"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7831FE6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783317.1</w:t>
            </w:r>
          </w:p>
        </w:tc>
        <w:tc>
          <w:tcPr>
            <w:tcW w:w="2367" w:type="dxa"/>
            <w:tcBorders>
              <w:top w:val="nil"/>
              <w:left w:val="nil"/>
              <w:bottom w:val="single" w:sz="4" w:space="0" w:color="auto"/>
              <w:right w:val="single" w:sz="4" w:space="0" w:color="auto"/>
            </w:tcBorders>
            <w:shd w:val="clear" w:color="auto" w:fill="auto"/>
            <w:noWrap/>
            <w:vAlign w:val="center"/>
            <w:hideMark/>
          </w:tcPr>
          <w:p w14:paraId="30FA95A8"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174396.3</w:t>
            </w:r>
          </w:p>
        </w:tc>
      </w:tr>
      <w:tr w:rsidR="00FE2C3F" w:rsidRPr="00341E6C" w14:paraId="42108587"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C072EAB"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persoanelor în etate</w:t>
            </w:r>
          </w:p>
        </w:tc>
        <w:tc>
          <w:tcPr>
            <w:tcW w:w="1787" w:type="dxa"/>
            <w:tcBorders>
              <w:top w:val="nil"/>
              <w:left w:val="nil"/>
              <w:bottom w:val="single" w:sz="4" w:space="0" w:color="auto"/>
              <w:right w:val="single" w:sz="4" w:space="0" w:color="auto"/>
            </w:tcBorders>
            <w:shd w:val="clear" w:color="auto" w:fill="auto"/>
            <w:vAlign w:val="center"/>
            <w:hideMark/>
          </w:tcPr>
          <w:p w14:paraId="7A9627D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14504979.5</w:t>
            </w:r>
          </w:p>
        </w:tc>
        <w:tc>
          <w:tcPr>
            <w:tcW w:w="1747" w:type="dxa"/>
            <w:tcBorders>
              <w:top w:val="nil"/>
              <w:left w:val="nil"/>
              <w:bottom w:val="single" w:sz="4" w:space="0" w:color="auto"/>
              <w:right w:val="single" w:sz="4" w:space="0" w:color="auto"/>
            </w:tcBorders>
            <w:shd w:val="clear" w:color="auto" w:fill="auto"/>
            <w:noWrap/>
            <w:vAlign w:val="center"/>
            <w:hideMark/>
          </w:tcPr>
          <w:p w14:paraId="6D845001"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07FE26FC"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3C2A4553"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3CB24856"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14629975.9</w:t>
            </w:r>
          </w:p>
        </w:tc>
        <w:tc>
          <w:tcPr>
            <w:tcW w:w="2367" w:type="dxa"/>
            <w:tcBorders>
              <w:top w:val="nil"/>
              <w:left w:val="nil"/>
              <w:bottom w:val="single" w:sz="4" w:space="0" w:color="auto"/>
              <w:right w:val="single" w:sz="4" w:space="0" w:color="auto"/>
            </w:tcBorders>
            <w:shd w:val="clear" w:color="auto" w:fill="auto"/>
            <w:noWrap/>
            <w:vAlign w:val="center"/>
            <w:hideMark/>
          </w:tcPr>
          <w:p w14:paraId="1E8DD42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124996.4</w:t>
            </w:r>
          </w:p>
        </w:tc>
      </w:tr>
      <w:tr w:rsidR="00FE2C3F" w:rsidRPr="00341E6C" w14:paraId="744E8E60"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EDF7013"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în legătură cu pierderea întreținătorului</w:t>
            </w:r>
          </w:p>
        </w:tc>
        <w:tc>
          <w:tcPr>
            <w:tcW w:w="1787" w:type="dxa"/>
            <w:tcBorders>
              <w:top w:val="nil"/>
              <w:left w:val="nil"/>
              <w:bottom w:val="single" w:sz="4" w:space="0" w:color="auto"/>
              <w:right w:val="single" w:sz="4" w:space="0" w:color="auto"/>
            </w:tcBorders>
            <w:shd w:val="clear" w:color="auto" w:fill="auto"/>
            <w:vAlign w:val="center"/>
            <w:hideMark/>
          </w:tcPr>
          <w:p w14:paraId="2CDB4F30"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289053.1</w:t>
            </w:r>
          </w:p>
        </w:tc>
        <w:tc>
          <w:tcPr>
            <w:tcW w:w="1747" w:type="dxa"/>
            <w:tcBorders>
              <w:top w:val="nil"/>
              <w:left w:val="nil"/>
              <w:bottom w:val="single" w:sz="4" w:space="0" w:color="auto"/>
              <w:right w:val="single" w:sz="4" w:space="0" w:color="auto"/>
            </w:tcBorders>
            <w:shd w:val="clear" w:color="auto" w:fill="auto"/>
            <w:noWrap/>
            <w:vAlign w:val="center"/>
            <w:hideMark/>
          </w:tcPr>
          <w:p w14:paraId="7479A672"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79F36496"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 </w:t>
            </w:r>
          </w:p>
        </w:tc>
        <w:tc>
          <w:tcPr>
            <w:tcW w:w="1727" w:type="dxa"/>
            <w:tcBorders>
              <w:top w:val="nil"/>
              <w:left w:val="nil"/>
              <w:bottom w:val="single" w:sz="4" w:space="0" w:color="auto"/>
              <w:right w:val="single" w:sz="4" w:space="0" w:color="auto"/>
            </w:tcBorders>
            <w:shd w:val="clear" w:color="auto" w:fill="auto"/>
            <w:noWrap/>
            <w:vAlign w:val="center"/>
            <w:hideMark/>
          </w:tcPr>
          <w:p w14:paraId="0966D465"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292328.7</w:t>
            </w:r>
          </w:p>
        </w:tc>
        <w:tc>
          <w:tcPr>
            <w:tcW w:w="1710" w:type="dxa"/>
            <w:tcBorders>
              <w:top w:val="nil"/>
              <w:left w:val="nil"/>
              <w:bottom w:val="single" w:sz="4" w:space="0" w:color="auto"/>
              <w:right w:val="single" w:sz="4" w:space="0" w:color="auto"/>
            </w:tcBorders>
            <w:shd w:val="clear" w:color="auto" w:fill="auto"/>
            <w:noWrap/>
            <w:vAlign w:val="center"/>
            <w:hideMark/>
          </w:tcPr>
          <w:p w14:paraId="48EECA95"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276339.1</w:t>
            </w:r>
          </w:p>
        </w:tc>
        <w:tc>
          <w:tcPr>
            <w:tcW w:w="2367" w:type="dxa"/>
            <w:tcBorders>
              <w:top w:val="nil"/>
              <w:left w:val="nil"/>
              <w:bottom w:val="single" w:sz="4" w:space="0" w:color="auto"/>
              <w:right w:val="single" w:sz="4" w:space="0" w:color="auto"/>
            </w:tcBorders>
            <w:shd w:val="clear" w:color="auto" w:fill="auto"/>
            <w:noWrap/>
            <w:vAlign w:val="center"/>
            <w:hideMark/>
          </w:tcPr>
          <w:p w14:paraId="0BDE9032"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-12714</w:t>
            </w:r>
          </w:p>
        </w:tc>
      </w:tr>
      <w:tr w:rsidR="00FE2C3F" w:rsidRPr="00341E6C" w14:paraId="6C814632"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4B8EC45"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familiei și copilului</w:t>
            </w:r>
          </w:p>
        </w:tc>
        <w:tc>
          <w:tcPr>
            <w:tcW w:w="1787" w:type="dxa"/>
            <w:tcBorders>
              <w:top w:val="nil"/>
              <w:left w:val="nil"/>
              <w:bottom w:val="single" w:sz="4" w:space="0" w:color="auto"/>
              <w:right w:val="single" w:sz="4" w:space="0" w:color="auto"/>
            </w:tcBorders>
            <w:shd w:val="clear" w:color="auto" w:fill="auto"/>
            <w:vAlign w:val="center"/>
            <w:hideMark/>
          </w:tcPr>
          <w:p w14:paraId="454CBC0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2473412.0</w:t>
            </w:r>
          </w:p>
        </w:tc>
        <w:tc>
          <w:tcPr>
            <w:tcW w:w="1747" w:type="dxa"/>
            <w:tcBorders>
              <w:top w:val="nil"/>
              <w:left w:val="nil"/>
              <w:bottom w:val="single" w:sz="4" w:space="0" w:color="auto"/>
              <w:right w:val="single" w:sz="4" w:space="0" w:color="auto"/>
            </w:tcBorders>
            <w:shd w:val="clear" w:color="auto" w:fill="auto"/>
            <w:noWrap/>
            <w:vAlign w:val="center"/>
            <w:hideMark/>
          </w:tcPr>
          <w:p w14:paraId="2BD72646"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77E42651"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069ED7EE"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16CE8B86"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2489646.8</w:t>
            </w:r>
          </w:p>
        </w:tc>
        <w:tc>
          <w:tcPr>
            <w:tcW w:w="2367" w:type="dxa"/>
            <w:tcBorders>
              <w:top w:val="nil"/>
              <w:left w:val="nil"/>
              <w:bottom w:val="single" w:sz="4" w:space="0" w:color="auto"/>
              <w:right w:val="single" w:sz="4" w:space="0" w:color="auto"/>
            </w:tcBorders>
            <w:shd w:val="clear" w:color="auto" w:fill="auto"/>
            <w:noWrap/>
            <w:vAlign w:val="center"/>
            <w:hideMark/>
          </w:tcPr>
          <w:p w14:paraId="0CCB40CA"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16234.8</w:t>
            </w:r>
          </w:p>
        </w:tc>
      </w:tr>
      <w:tr w:rsidR="00FE2C3F" w:rsidRPr="00341E6C" w14:paraId="0C5CEECD"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66ECA93"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șomerilor</w:t>
            </w:r>
          </w:p>
        </w:tc>
        <w:tc>
          <w:tcPr>
            <w:tcW w:w="1787" w:type="dxa"/>
            <w:tcBorders>
              <w:top w:val="nil"/>
              <w:left w:val="nil"/>
              <w:bottom w:val="single" w:sz="4" w:space="0" w:color="auto"/>
              <w:right w:val="single" w:sz="4" w:space="0" w:color="auto"/>
            </w:tcBorders>
            <w:shd w:val="clear" w:color="auto" w:fill="auto"/>
            <w:vAlign w:val="center"/>
            <w:hideMark/>
          </w:tcPr>
          <w:p w14:paraId="535E3E25"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32048.7</w:t>
            </w:r>
          </w:p>
        </w:tc>
        <w:tc>
          <w:tcPr>
            <w:tcW w:w="1747" w:type="dxa"/>
            <w:tcBorders>
              <w:top w:val="nil"/>
              <w:left w:val="nil"/>
              <w:bottom w:val="single" w:sz="4" w:space="0" w:color="auto"/>
              <w:right w:val="single" w:sz="4" w:space="0" w:color="auto"/>
            </w:tcBorders>
            <w:shd w:val="clear" w:color="auto" w:fill="auto"/>
            <w:noWrap/>
            <w:vAlign w:val="center"/>
            <w:hideMark/>
          </w:tcPr>
          <w:p w14:paraId="6182FBF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200027.3</w:t>
            </w:r>
          </w:p>
        </w:tc>
        <w:tc>
          <w:tcPr>
            <w:tcW w:w="1509" w:type="dxa"/>
            <w:tcBorders>
              <w:top w:val="nil"/>
              <w:left w:val="nil"/>
              <w:bottom w:val="single" w:sz="4" w:space="0" w:color="auto"/>
              <w:right w:val="single" w:sz="4" w:space="0" w:color="auto"/>
            </w:tcBorders>
            <w:shd w:val="clear" w:color="auto" w:fill="auto"/>
            <w:noWrap/>
            <w:vAlign w:val="center"/>
            <w:hideMark/>
          </w:tcPr>
          <w:p w14:paraId="7909FDFC"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0F61AE07"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315DF139"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156159.1</w:t>
            </w:r>
          </w:p>
        </w:tc>
        <w:tc>
          <w:tcPr>
            <w:tcW w:w="2367" w:type="dxa"/>
            <w:tcBorders>
              <w:top w:val="nil"/>
              <w:left w:val="nil"/>
              <w:bottom w:val="single" w:sz="4" w:space="0" w:color="auto"/>
              <w:right w:val="single" w:sz="4" w:space="0" w:color="auto"/>
            </w:tcBorders>
            <w:shd w:val="clear" w:color="auto" w:fill="auto"/>
            <w:noWrap/>
            <w:vAlign w:val="center"/>
            <w:hideMark/>
          </w:tcPr>
          <w:p w14:paraId="7BFBF7C3"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124110.4</w:t>
            </w:r>
          </w:p>
        </w:tc>
      </w:tr>
      <w:tr w:rsidR="00FE2C3F" w:rsidRPr="00341E6C" w14:paraId="70E55E6A"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6441E4CB"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socială a persoanelor cu dizabilități</w:t>
            </w:r>
          </w:p>
        </w:tc>
        <w:tc>
          <w:tcPr>
            <w:tcW w:w="1787" w:type="dxa"/>
            <w:tcBorders>
              <w:top w:val="nil"/>
              <w:left w:val="nil"/>
              <w:bottom w:val="single" w:sz="4" w:space="0" w:color="auto"/>
              <w:right w:val="single" w:sz="4" w:space="0" w:color="auto"/>
            </w:tcBorders>
            <w:shd w:val="clear" w:color="auto" w:fill="auto"/>
            <w:vAlign w:val="center"/>
            <w:hideMark/>
          </w:tcPr>
          <w:p w14:paraId="4EF33409"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2941308.9</w:t>
            </w:r>
          </w:p>
        </w:tc>
        <w:tc>
          <w:tcPr>
            <w:tcW w:w="1747" w:type="dxa"/>
            <w:tcBorders>
              <w:top w:val="nil"/>
              <w:left w:val="nil"/>
              <w:bottom w:val="single" w:sz="4" w:space="0" w:color="auto"/>
              <w:right w:val="single" w:sz="4" w:space="0" w:color="auto"/>
            </w:tcBorders>
            <w:shd w:val="clear" w:color="auto" w:fill="auto"/>
            <w:noWrap/>
            <w:vAlign w:val="center"/>
            <w:hideMark/>
          </w:tcPr>
          <w:p w14:paraId="63201383"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6099650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77C6831A"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15A0856B"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2935376.9</w:t>
            </w:r>
          </w:p>
        </w:tc>
        <w:tc>
          <w:tcPr>
            <w:tcW w:w="2367" w:type="dxa"/>
            <w:tcBorders>
              <w:top w:val="nil"/>
              <w:left w:val="nil"/>
              <w:bottom w:val="single" w:sz="4" w:space="0" w:color="auto"/>
              <w:right w:val="single" w:sz="4" w:space="0" w:color="auto"/>
            </w:tcBorders>
            <w:shd w:val="clear" w:color="auto" w:fill="auto"/>
            <w:noWrap/>
            <w:vAlign w:val="center"/>
            <w:hideMark/>
          </w:tcPr>
          <w:p w14:paraId="4A2B0ED8"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-5932</w:t>
            </w:r>
          </w:p>
        </w:tc>
      </w:tr>
      <w:tr w:rsidR="00FE2C3F" w:rsidRPr="00341E6C" w14:paraId="23E46AC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A640291"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Susținerea suplimentară a unor categorii de populație</w:t>
            </w:r>
          </w:p>
        </w:tc>
        <w:tc>
          <w:tcPr>
            <w:tcW w:w="1787" w:type="dxa"/>
            <w:tcBorders>
              <w:top w:val="nil"/>
              <w:left w:val="nil"/>
              <w:bottom w:val="single" w:sz="4" w:space="0" w:color="auto"/>
              <w:right w:val="single" w:sz="4" w:space="0" w:color="auto"/>
            </w:tcBorders>
            <w:shd w:val="clear" w:color="auto" w:fill="auto"/>
            <w:vAlign w:val="center"/>
            <w:hideMark/>
          </w:tcPr>
          <w:p w14:paraId="59C34A78"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1012373.2</w:t>
            </w:r>
          </w:p>
        </w:tc>
        <w:tc>
          <w:tcPr>
            <w:tcW w:w="1747" w:type="dxa"/>
            <w:tcBorders>
              <w:top w:val="nil"/>
              <w:left w:val="nil"/>
              <w:bottom w:val="single" w:sz="4" w:space="0" w:color="auto"/>
              <w:right w:val="single" w:sz="4" w:space="0" w:color="auto"/>
            </w:tcBorders>
            <w:shd w:val="clear" w:color="auto" w:fill="auto"/>
            <w:noWrap/>
            <w:vAlign w:val="center"/>
            <w:hideMark/>
          </w:tcPr>
          <w:p w14:paraId="340CB69C"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66C6506B"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6107F93A"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1478681.6</w:t>
            </w:r>
          </w:p>
        </w:tc>
        <w:tc>
          <w:tcPr>
            <w:tcW w:w="1710" w:type="dxa"/>
            <w:tcBorders>
              <w:top w:val="nil"/>
              <w:left w:val="nil"/>
              <w:bottom w:val="single" w:sz="4" w:space="0" w:color="auto"/>
              <w:right w:val="single" w:sz="4" w:space="0" w:color="auto"/>
            </w:tcBorders>
            <w:shd w:val="clear" w:color="auto" w:fill="auto"/>
            <w:noWrap/>
            <w:vAlign w:val="center"/>
            <w:hideMark/>
          </w:tcPr>
          <w:p w14:paraId="09F1168B"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1594417.7</w:t>
            </w:r>
          </w:p>
        </w:tc>
        <w:tc>
          <w:tcPr>
            <w:tcW w:w="2367" w:type="dxa"/>
            <w:tcBorders>
              <w:top w:val="nil"/>
              <w:left w:val="nil"/>
              <w:bottom w:val="single" w:sz="4" w:space="0" w:color="auto"/>
              <w:right w:val="single" w:sz="4" w:space="0" w:color="auto"/>
            </w:tcBorders>
            <w:shd w:val="clear" w:color="auto" w:fill="auto"/>
            <w:noWrap/>
            <w:vAlign w:val="center"/>
            <w:hideMark/>
          </w:tcPr>
          <w:p w14:paraId="00FA7844"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582044.5</w:t>
            </w:r>
          </w:p>
        </w:tc>
      </w:tr>
      <w:tr w:rsidR="00FE2C3F" w:rsidRPr="00341E6C" w14:paraId="3CF23848"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CE1E064"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socială în cazuri excepționale</w:t>
            </w:r>
          </w:p>
        </w:tc>
        <w:tc>
          <w:tcPr>
            <w:tcW w:w="1787" w:type="dxa"/>
            <w:tcBorders>
              <w:top w:val="nil"/>
              <w:left w:val="nil"/>
              <w:bottom w:val="single" w:sz="4" w:space="0" w:color="auto"/>
              <w:right w:val="single" w:sz="4" w:space="0" w:color="auto"/>
            </w:tcBorders>
            <w:shd w:val="clear" w:color="auto" w:fill="auto"/>
            <w:vAlign w:val="center"/>
            <w:hideMark/>
          </w:tcPr>
          <w:p w14:paraId="506A17DC"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1006552.3</w:t>
            </w:r>
          </w:p>
        </w:tc>
        <w:tc>
          <w:tcPr>
            <w:tcW w:w="1747" w:type="dxa"/>
            <w:tcBorders>
              <w:top w:val="nil"/>
              <w:left w:val="nil"/>
              <w:bottom w:val="single" w:sz="4" w:space="0" w:color="auto"/>
              <w:right w:val="single" w:sz="4" w:space="0" w:color="auto"/>
            </w:tcBorders>
            <w:shd w:val="clear" w:color="auto" w:fill="auto"/>
            <w:noWrap/>
            <w:vAlign w:val="center"/>
            <w:hideMark/>
          </w:tcPr>
          <w:p w14:paraId="1122259C"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660982D3"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15ECB87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1208452.3</w:t>
            </w:r>
          </w:p>
        </w:tc>
        <w:tc>
          <w:tcPr>
            <w:tcW w:w="1710" w:type="dxa"/>
            <w:tcBorders>
              <w:top w:val="nil"/>
              <w:left w:val="nil"/>
              <w:bottom w:val="single" w:sz="4" w:space="0" w:color="auto"/>
              <w:right w:val="single" w:sz="4" w:space="0" w:color="auto"/>
            </w:tcBorders>
            <w:shd w:val="clear" w:color="auto" w:fill="auto"/>
            <w:noWrap/>
            <w:vAlign w:val="center"/>
            <w:hideMark/>
          </w:tcPr>
          <w:p w14:paraId="356E531A"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1137992.3</w:t>
            </w:r>
          </w:p>
        </w:tc>
        <w:tc>
          <w:tcPr>
            <w:tcW w:w="2367" w:type="dxa"/>
            <w:tcBorders>
              <w:top w:val="nil"/>
              <w:left w:val="nil"/>
              <w:bottom w:val="single" w:sz="4" w:space="0" w:color="auto"/>
              <w:right w:val="single" w:sz="4" w:space="0" w:color="auto"/>
            </w:tcBorders>
            <w:shd w:val="clear" w:color="auto" w:fill="auto"/>
            <w:noWrap/>
            <w:vAlign w:val="center"/>
            <w:hideMark/>
          </w:tcPr>
          <w:p w14:paraId="6476CF0E"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131440</w:t>
            </w:r>
          </w:p>
        </w:tc>
      </w:tr>
      <w:tr w:rsidR="00FE2C3F" w:rsidRPr="00341E6C" w14:paraId="4C425A50"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3660716" w14:textId="77777777" w:rsidR="00FE2C3F" w:rsidRPr="00341E6C" w:rsidRDefault="00FE2C3F" w:rsidP="002912F6">
            <w:pPr>
              <w:spacing w:after="0" w:line="240" w:lineRule="auto"/>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Protecția socială a unor categorii de cetățeni</w:t>
            </w:r>
          </w:p>
        </w:tc>
        <w:tc>
          <w:tcPr>
            <w:tcW w:w="1787" w:type="dxa"/>
            <w:tcBorders>
              <w:top w:val="nil"/>
              <w:left w:val="nil"/>
              <w:bottom w:val="single" w:sz="4" w:space="0" w:color="auto"/>
              <w:right w:val="single" w:sz="4" w:space="0" w:color="auto"/>
            </w:tcBorders>
            <w:shd w:val="clear" w:color="auto" w:fill="auto"/>
            <w:vAlign w:val="center"/>
            <w:hideMark/>
          </w:tcPr>
          <w:p w14:paraId="6C2AA42A"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404649.2</w:t>
            </w:r>
          </w:p>
        </w:tc>
        <w:tc>
          <w:tcPr>
            <w:tcW w:w="1747" w:type="dxa"/>
            <w:tcBorders>
              <w:top w:val="nil"/>
              <w:left w:val="nil"/>
              <w:bottom w:val="single" w:sz="4" w:space="0" w:color="auto"/>
              <w:right w:val="single" w:sz="4" w:space="0" w:color="auto"/>
            </w:tcBorders>
            <w:shd w:val="clear" w:color="auto" w:fill="auto"/>
            <w:noWrap/>
            <w:vAlign w:val="center"/>
            <w:hideMark/>
          </w:tcPr>
          <w:p w14:paraId="3AE8E2E8"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406213.4</w:t>
            </w:r>
          </w:p>
        </w:tc>
        <w:tc>
          <w:tcPr>
            <w:tcW w:w="1509" w:type="dxa"/>
            <w:tcBorders>
              <w:top w:val="nil"/>
              <w:left w:val="nil"/>
              <w:bottom w:val="single" w:sz="4" w:space="0" w:color="auto"/>
              <w:right w:val="single" w:sz="4" w:space="0" w:color="auto"/>
            </w:tcBorders>
            <w:shd w:val="clear" w:color="auto" w:fill="auto"/>
            <w:noWrap/>
            <w:vAlign w:val="center"/>
            <w:hideMark/>
          </w:tcPr>
          <w:p w14:paraId="1355BDAB"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5B5A055D"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278C9C20" w14:textId="77777777" w:rsidR="00FE2C3F" w:rsidRPr="00341E6C" w:rsidRDefault="00FE2C3F" w:rsidP="002912F6">
            <w:pPr>
              <w:spacing w:after="0" w:line="240" w:lineRule="auto"/>
              <w:jc w:val="right"/>
              <w:rPr>
                <w:rFonts w:asciiTheme="majorHAnsi" w:eastAsia="Times New Roman" w:hAnsiTheme="majorHAnsi" w:cstheme="majorHAnsi"/>
                <w:color w:val="000000"/>
                <w:sz w:val="20"/>
                <w:szCs w:val="20"/>
                <w:lang w:val="ro-RO"/>
              </w:rPr>
            </w:pPr>
            <w:r w:rsidRPr="00341E6C">
              <w:rPr>
                <w:rFonts w:asciiTheme="majorHAnsi" w:eastAsia="Times New Roman" w:hAnsiTheme="majorHAnsi" w:cstheme="majorHAnsi"/>
                <w:color w:val="000000"/>
                <w:sz w:val="20"/>
                <w:szCs w:val="20"/>
                <w:lang w:val="ro-RO"/>
              </w:rPr>
              <w:t>343813.6</w:t>
            </w:r>
          </w:p>
        </w:tc>
        <w:tc>
          <w:tcPr>
            <w:tcW w:w="2367" w:type="dxa"/>
            <w:tcBorders>
              <w:top w:val="nil"/>
              <w:left w:val="nil"/>
              <w:bottom w:val="single" w:sz="4" w:space="0" w:color="auto"/>
              <w:right w:val="single" w:sz="4" w:space="0" w:color="auto"/>
            </w:tcBorders>
            <w:shd w:val="clear" w:color="auto" w:fill="auto"/>
            <w:noWrap/>
            <w:vAlign w:val="center"/>
            <w:hideMark/>
          </w:tcPr>
          <w:p w14:paraId="584E3B3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-60835.6</w:t>
            </w:r>
          </w:p>
        </w:tc>
      </w:tr>
      <w:tr w:rsidR="00FE2C3F" w:rsidRPr="00341E6C" w14:paraId="4B178AB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88F84C8"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III. Sold bugetar</w:t>
            </w:r>
          </w:p>
        </w:tc>
        <w:tc>
          <w:tcPr>
            <w:tcW w:w="1787" w:type="dxa"/>
            <w:tcBorders>
              <w:top w:val="nil"/>
              <w:left w:val="nil"/>
              <w:bottom w:val="single" w:sz="4" w:space="0" w:color="auto"/>
              <w:right w:val="single" w:sz="4" w:space="0" w:color="auto"/>
            </w:tcBorders>
            <w:shd w:val="clear" w:color="auto" w:fill="auto"/>
            <w:vAlign w:val="center"/>
            <w:hideMark/>
          </w:tcPr>
          <w:p w14:paraId="24E5BEB4"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vAlign w:val="center"/>
            <w:hideMark/>
          </w:tcPr>
          <w:p w14:paraId="1CD1D543"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38EF24F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4969BEFE"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78D0F701"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2367" w:type="dxa"/>
            <w:tcBorders>
              <w:top w:val="nil"/>
              <w:left w:val="nil"/>
              <w:bottom w:val="single" w:sz="4" w:space="0" w:color="auto"/>
              <w:right w:val="single" w:sz="4" w:space="0" w:color="auto"/>
            </w:tcBorders>
            <w:shd w:val="clear" w:color="auto" w:fill="auto"/>
            <w:noWrap/>
            <w:vAlign w:val="center"/>
            <w:hideMark/>
          </w:tcPr>
          <w:p w14:paraId="03A0CE5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r>
      <w:tr w:rsidR="00FE2C3F" w:rsidRPr="00341E6C" w14:paraId="51A9F5C3"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61322690"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IV. Surse de finanțare, total</w:t>
            </w:r>
          </w:p>
        </w:tc>
        <w:tc>
          <w:tcPr>
            <w:tcW w:w="1787" w:type="dxa"/>
            <w:tcBorders>
              <w:top w:val="nil"/>
              <w:left w:val="nil"/>
              <w:bottom w:val="single" w:sz="4" w:space="0" w:color="auto"/>
              <w:right w:val="single" w:sz="4" w:space="0" w:color="auto"/>
            </w:tcBorders>
            <w:shd w:val="clear" w:color="auto" w:fill="auto"/>
            <w:vAlign w:val="center"/>
            <w:hideMark/>
          </w:tcPr>
          <w:p w14:paraId="5BFE3B1A"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vAlign w:val="center"/>
            <w:hideMark/>
          </w:tcPr>
          <w:p w14:paraId="432E37A7"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5F19C80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7B1B7D85"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68AB545F"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2367" w:type="dxa"/>
            <w:tcBorders>
              <w:top w:val="nil"/>
              <w:left w:val="nil"/>
              <w:bottom w:val="single" w:sz="4" w:space="0" w:color="auto"/>
              <w:right w:val="single" w:sz="4" w:space="0" w:color="auto"/>
            </w:tcBorders>
            <w:shd w:val="clear" w:color="auto" w:fill="auto"/>
            <w:noWrap/>
            <w:vAlign w:val="center"/>
            <w:hideMark/>
          </w:tcPr>
          <w:p w14:paraId="0FD0A08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r>
      <w:tr w:rsidR="00FE2C3F" w:rsidRPr="00341E6C" w14:paraId="27062874"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0461A94"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Active financiare</w:t>
            </w:r>
          </w:p>
        </w:tc>
        <w:tc>
          <w:tcPr>
            <w:tcW w:w="1787" w:type="dxa"/>
            <w:tcBorders>
              <w:top w:val="nil"/>
              <w:left w:val="nil"/>
              <w:bottom w:val="single" w:sz="4" w:space="0" w:color="auto"/>
              <w:right w:val="single" w:sz="4" w:space="0" w:color="auto"/>
            </w:tcBorders>
            <w:shd w:val="clear" w:color="auto" w:fill="auto"/>
            <w:vAlign w:val="center"/>
            <w:hideMark/>
          </w:tcPr>
          <w:p w14:paraId="1C763FFD"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noWrap/>
            <w:vAlign w:val="center"/>
            <w:hideMark/>
          </w:tcPr>
          <w:p w14:paraId="7F81846E" w14:textId="77777777" w:rsidR="00FE2C3F" w:rsidRPr="00341E6C" w:rsidRDefault="00FE2C3F" w:rsidP="002912F6">
            <w:pPr>
              <w:spacing w:after="0" w:line="240" w:lineRule="auto"/>
              <w:jc w:val="right"/>
              <w:rPr>
                <w:rFonts w:asciiTheme="majorHAnsi" w:eastAsia="Times New Roman" w:hAnsiTheme="majorHAnsi" w:cstheme="majorHAnsi"/>
                <w:b/>
                <w:bCs/>
                <w:color w:val="333333"/>
                <w:sz w:val="20"/>
                <w:szCs w:val="20"/>
                <w:lang w:val="ro-RO"/>
              </w:rPr>
            </w:pPr>
            <w:r w:rsidRPr="00341E6C">
              <w:rPr>
                <w:rFonts w:asciiTheme="majorHAnsi" w:eastAsia="Times New Roman" w:hAnsiTheme="majorHAnsi" w:cstheme="majorHAnsi"/>
                <w:b/>
                <w:bCs/>
                <w:color w:val="333333"/>
                <w:sz w:val="20"/>
                <w:szCs w:val="20"/>
                <w:lang w:val="ro-RO"/>
              </w:rPr>
              <w:t>-163043.7</w:t>
            </w:r>
          </w:p>
        </w:tc>
        <w:tc>
          <w:tcPr>
            <w:tcW w:w="1509" w:type="dxa"/>
            <w:tcBorders>
              <w:top w:val="nil"/>
              <w:left w:val="nil"/>
              <w:bottom w:val="single" w:sz="4" w:space="0" w:color="auto"/>
              <w:right w:val="single" w:sz="4" w:space="0" w:color="auto"/>
            </w:tcBorders>
            <w:shd w:val="clear" w:color="000000" w:fill="FFFFFF"/>
            <w:noWrap/>
            <w:vAlign w:val="center"/>
            <w:hideMark/>
          </w:tcPr>
          <w:p w14:paraId="26C26F0B"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000000" w:fill="FFFFFF"/>
            <w:noWrap/>
            <w:vAlign w:val="center"/>
            <w:hideMark/>
          </w:tcPr>
          <w:p w14:paraId="0C2AAEDF"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5C836B7D" w14:textId="77777777" w:rsidR="00FE2C3F" w:rsidRPr="00341E6C" w:rsidRDefault="00FE2C3F" w:rsidP="002912F6">
            <w:pPr>
              <w:spacing w:after="0" w:line="240" w:lineRule="auto"/>
              <w:jc w:val="right"/>
              <w:rPr>
                <w:rFonts w:asciiTheme="majorHAnsi" w:eastAsia="Times New Roman" w:hAnsiTheme="majorHAnsi" w:cstheme="majorHAnsi"/>
                <w:b/>
                <w:bCs/>
                <w:color w:val="333333"/>
                <w:sz w:val="20"/>
                <w:szCs w:val="20"/>
                <w:lang w:val="ro-RO"/>
              </w:rPr>
            </w:pPr>
            <w:r w:rsidRPr="00341E6C">
              <w:rPr>
                <w:rFonts w:asciiTheme="majorHAnsi" w:eastAsia="Times New Roman" w:hAnsiTheme="majorHAnsi" w:cstheme="majorHAnsi"/>
                <w:b/>
                <w:bCs/>
                <w:color w:val="333333"/>
                <w:sz w:val="20"/>
                <w:szCs w:val="20"/>
                <w:lang w:val="ro-RO"/>
              </w:rPr>
              <w:t>-163043.7</w:t>
            </w:r>
          </w:p>
        </w:tc>
        <w:tc>
          <w:tcPr>
            <w:tcW w:w="2367" w:type="dxa"/>
            <w:tcBorders>
              <w:top w:val="nil"/>
              <w:left w:val="nil"/>
              <w:bottom w:val="single" w:sz="4" w:space="0" w:color="auto"/>
              <w:right w:val="single" w:sz="4" w:space="0" w:color="auto"/>
            </w:tcBorders>
            <w:shd w:val="clear" w:color="auto" w:fill="auto"/>
            <w:noWrap/>
            <w:vAlign w:val="center"/>
            <w:hideMark/>
          </w:tcPr>
          <w:p w14:paraId="38BF8961"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-163043.7</w:t>
            </w:r>
          </w:p>
        </w:tc>
      </w:tr>
      <w:tr w:rsidR="00FE2C3F" w:rsidRPr="00341E6C" w14:paraId="096C7D91"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24AB84B"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Datorii</w:t>
            </w:r>
          </w:p>
        </w:tc>
        <w:tc>
          <w:tcPr>
            <w:tcW w:w="1787" w:type="dxa"/>
            <w:tcBorders>
              <w:top w:val="nil"/>
              <w:left w:val="nil"/>
              <w:bottom w:val="single" w:sz="4" w:space="0" w:color="auto"/>
              <w:right w:val="single" w:sz="4" w:space="0" w:color="auto"/>
            </w:tcBorders>
            <w:shd w:val="clear" w:color="auto" w:fill="auto"/>
            <w:vAlign w:val="center"/>
            <w:hideMark/>
          </w:tcPr>
          <w:p w14:paraId="778CDA07"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vAlign w:val="center"/>
            <w:hideMark/>
          </w:tcPr>
          <w:p w14:paraId="7195350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509" w:type="dxa"/>
            <w:tcBorders>
              <w:top w:val="nil"/>
              <w:left w:val="nil"/>
              <w:bottom w:val="single" w:sz="4" w:space="0" w:color="auto"/>
              <w:right w:val="single" w:sz="4" w:space="0" w:color="auto"/>
            </w:tcBorders>
            <w:shd w:val="clear" w:color="000000" w:fill="FFFFFF"/>
            <w:noWrap/>
            <w:vAlign w:val="center"/>
            <w:hideMark/>
          </w:tcPr>
          <w:p w14:paraId="041F47F3"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000000" w:fill="FFFFFF"/>
            <w:noWrap/>
            <w:vAlign w:val="center"/>
            <w:hideMark/>
          </w:tcPr>
          <w:p w14:paraId="3F17EE00"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000000" w:fill="FFFFFF"/>
            <w:noWrap/>
            <w:vAlign w:val="center"/>
            <w:hideMark/>
          </w:tcPr>
          <w:p w14:paraId="14123CBC"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2367" w:type="dxa"/>
            <w:tcBorders>
              <w:top w:val="nil"/>
              <w:left w:val="nil"/>
              <w:bottom w:val="single" w:sz="4" w:space="0" w:color="auto"/>
              <w:right w:val="single" w:sz="4" w:space="0" w:color="auto"/>
            </w:tcBorders>
            <w:shd w:val="clear" w:color="auto" w:fill="auto"/>
            <w:noWrap/>
            <w:vAlign w:val="center"/>
            <w:hideMark/>
          </w:tcPr>
          <w:p w14:paraId="1AB0BDC2"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r>
      <w:tr w:rsidR="00FE2C3F" w:rsidRPr="00341E6C" w14:paraId="06717675"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219DF19"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Modificarea soldului de mijloace bănești</w:t>
            </w:r>
          </w:p>
        </w:tc>
        <w:tc>
          <w:tcPr>
            <w:tcW w:w="1787" w:type="dxa"/>
            <w:tcBorders>
              <w:top w:val="nil"/>
              <w:left w:val="nil"/>
              <w:bottom w:val="single" w:sz="4" w:space="0" w:color="auto"/>
              <w:right w:val="single" w:sz="4" w:space="0" w:color="auto"/>
            </w:tcBorders>
            <w:shd w:val="clear" w:color="auto" w:fill="auto"/>
            <w:vAlign w:val="center"/>
            <w:hideMark/>
          </w:tcPr>
          <w:p w14:paraId="55907721"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noWrap/>
            <w:vAlign w:val="center"/>
            <w:hideMark/>
          </w:tcPr>
          <w:p w14:paraId="22371DE8" w14:textId="77777777" w:rsidR="00FE2C3F" w:rsidRPr="00341E6C" w:rsidRDefault="00FE2C3F" w:rsidP="002912F6">
            <w:pPr>
              <w:spacing w:after="0" w:line="240" w:lineRule="auto"/>
              <w:jc w:val="right"/>
              <w:rPr>
                <w:rFonts w:asciiTheme="majorHAnsi" w:eastAsia="Times New Roman" w:hAnsiTheme="majorHAnsi" w:cstheme="majorHAnsi"/>
                <w:b/>
                <w:bCs/>
                <w:color w:val="333333"/>
                <w:sz w:val="20"/>
                <w:szCs w:val="20"/>
                <w:lang w:val="ro-RO"/>
              </w:rPr>
            </w:pPr>
            <w:r w:rsidRPr="00341E6C">
              <w:rPr>
                <w:rFonts w:asciiTheme="majorHAnsi" w:eastAsia="Times New Roman" w:hAnsiTheme="majorHAnsi" w:cstheme="majorHAnsi"/>
                <w:b/>
                <w:bCs/>
                <w:color w:val="333333"/>
                <w:sz w:val="20"/>
                <w:szCs w:val="20"/>
                <w:lang w:val="ro-RO"/>
              </w:rPr>
              <w:t>163043.7</w:t>
            </w:r>
          </w:p>
        </w:tc>
        <w:tc>
          <w:tcPr>
            <w:tcW w:w="1509" w:type="dxa"/>
            <w:tcBorders>
              <w:top w:val="nil"/>
              <w:left w:val="nil"/>
              <w:bottom w:val="single" w:sz="4" w:space="0" w:color="auto"/>
              <w:right w:val="single" w:sz="4" w:space="0" w:color="auto"/>
            </w:tcBorders>
            <w:shd w:val="clear" w:color="000000" w:fill="FFFFFF"/>
            <w:noWrap/>
            <w:vAlign w:val="center"/>
            <w:hideMark/>
          </w:tcPr>
          <w:p w14:paraId="37831CDB"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000000" w:fill="FFFFFF"/>
            <w:noWrap/>
            <w:vAlign w:val="center"/>
            <w:hideMark/>
          </w:tcPr>
          <w:p w14:paraId="3BF6D3A7"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07227C32" w14:textId="77777777" w:rsidR="00FE2C3F" w:rsidRPr="00341E6C" w:rsidRDefault="00FE2C3F" w:rsidP="002912F6">
            <w:pPr>
              <w:spacing w:after="0" w:line="240" w:lineRule="auto"/>
              <w:jc w:val="right"/>
              <w:rPr>
                <w:rFonts w:asciiTheme="majorHAnsi" w:eastAsia="Times New Roman" w:hAnsiTheme="majorHAnsi" w:cstheme="majorHAnsi"/>
                <w:b/>
                <w:bCs/>
                <w:color w:val="333333"/>
                <w:sz w:val="20"/>
                <w:szCs w:val="20"/>
                <w:lang w:val="ro-RO"/>
              </w:rPr>
            </w:pPr>
            <w:r w:rsidRPr="00341E6C">
              <w:rPr>
                <w:rFonts w:asciiTheme="majorHAnsi" w:eastAsia="Times New Roman" w:hAnsiTheme="majorHAnsi" w:cstheme="majorHAnsi"/>
                <w:b/>
                <w:bCs/>
                <w:color w:val="333333"/>
                <w:sz w:val="20"/>
                <w:szCs w:val="20"/>
                <w:lang w:val="ro-RO"/>
              </w:rPr>
              <w:t>163043.7</w:t>
            </w:r>
          </w:p>
        </w:tc>
        <w:tc>
          <w:tcPr>
            <w:tcW w:w="2367" w:type="dxa"/>
            <w:tcBorders>
              <w:top w:val="nil"/>
              <w:left w:val="nil"/>
              <w:bottom w:val="single" w:sz="4" w:space="0" w:color="auto"/>
              <w:right w:val="single" w:sz="4" w:space="0" w:color="auto"/>
            </w:tcBorders>
            <w:shd w:val="clear" w:color="auto" w:fill="auto"/>
            <w:noWrap/>
            <w:vAlign w:val="center"/>
            <w:hideMark/>
          </w:tcPr>
          <w:p w14:paraId="51034B6D"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163043.7</w:t>
            </w:r>
          </w:p>
        </w:tc>
      </w:tr>
      <w:tr w:rsidR="00FE2C3F" w:rsidRPr="00341E6C" w14:paraId="5453C53B"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49DA2285"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Sold de mijloace bănești la începutul perioadei</w:t>
            </w:r>
          </w:p>
        </w:tc>
        <w:tc>
          <w:tcPr>
            <w:tcW w:w="1787" w:type="dxa"/>
            <w:tcBorders>
              <w:top w:val="nil"/>
              <w:left w:val="nil"/>
              <w:bottom w:val="single" w:sz="4" w:space="0" w:color="auto"/>
              <w:right w:val="single" w:sz="4" w:space="0" w:color="auto"/>
            </w:tcBorders>
            <w:shd w:val="clear" w:color="auto" w:fill="auto"/>
            <w:vAlign w:val="center"/>
            <w:hideMark/>
          </w:tcPr>
          <w:p w14:paraId="506B351D"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noWrap/>
            <w:vAlign w:val="center"/>
            <w:hideMark/>
          </w:tcPr>
          <w:p w14:paraId="3BE1697C" w14:textId="77777777" w:rsidR="00FE2C3F" w:rsidRPr="00341E6C" w:rsidRDefault="00FE2C3F" w:rsidP="002912F6">
            <w:pPr>
              <w:spacing w:after="0" w:line="240" w:lineRule="auto"/>
              <w:jc w:val="right"/>
              <w:rPr>
                <w:rFonts w:asciiTheme="majorHAnsi" w:eastAsia="Times New Roman" w:hAnsiTheme="majorHAnsi" w:cstheme="majorHAnsi"/>
                <w:b/>
                <w:bCs/>
                <w:color w:val="333333"/>
                <w:sz w:val="20"/>
                <w:szCs w:val="20"/>
                <w:lang w:val="ro-RO"/>
              </w:rPr>
            </w:pPr>
            <w:r w:rsidRPr="00341E6C">
              <w:rPr>
                <w:rFonts w:asciiTheme="majorHAnsi" w:eastAsia="Times New Roman" w:hAnsiTheme="majorHAnsi" w:cstheme="majorHAnsi"/>
                <w:b/>
                <w:bCs/>
                <w:color w:val="333333"/>
                <w:sz w:val="20"/>
                <w:szCs w:val="20"/>
                <w:lang w:val="ro-RO"/>
              </w:rPr>
              <w:t>163043.7</w:t>
            </w:r>
          </w:p>
        </w:tc>
        <w:tc>
          <w:tcPr>
            <w:tcW w:w="1509" w:type="dxa"/>
            <w:tcBorders>
              <w:top w:val="nil"/>
              <w:left w:val="nil"/>
              <w:bottom w:val="single" w:sz="4" w:space="0" w:color="auto"/>
              <w:right w:val="single" w:sz="4" w:space="0" w:color="auto"/>
            </w:tcBorders>
            <w:shd w:val="clear" w:color="auto" w:fill="auto"/>
            <w:noWrap/>
            <w:vAlign w:val="center"/>
            <w:hideMark/>
          </w:tcPr>
          <w:p w14:paraId="51988C9E"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645769AE"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087E21B7" w14:textId="77777777" w:rsidR="00FE2C3F" w:rsidRPr="00341E6C" w:rsidRDefault="00FE2C3F" w:rsidP="002912F6">
            <w:pPr>
              <w:spacing w:after="0" w:line="240" w:lineRule="auto"/>
              <w:jc w:val="right"/>
              <w:rPr>
                <w:rFonts w:asciiTheme="majorHAnsi" w:eastAsia="Times New Roman" w:hAnsiTheme="majorHAnsi" w:cstheme="majorHAnsi"/>
                <w:b/>
                <w:bCs/>
                <w:color w:val="333333"/>
                <w:sz w:val="20"/>
                <w:szCs w:val="20"/>
                <w:lang w:val="ro-RO"/>
              </w:rPr>
            </w:pPr>
            <w:r w:rsidRPr="00341E6C">
              <w:rPr>
                <w:rFonts w:asciiTheme="majorHAnsi" w:eastAsia="Times New Roman" w:hAnsiTheme="majorHAnsi" w:cstheme="majorHAnsi"/>
                <w:b/>
                <w:bCs/>
                <w:color w:val="333333"/>
                <w:sz w:val="20"/>
                <w:szCs w:val="20"/>
                <w:lang w:val="ro-RO"/>
              </w:rPr>
              <w:t>163043.7</w:t>
            </w:r>
          </w:p>
        </w:tc>
        <w:tc>
          <w:tcPr>
            <w:tcW w:w="2367" w:type="dxa"/>
            <w:tcBorders>
              <w:top w:val="nil"/>
              <w:left w:val="nil"/>
              <w:bottom w:val="single" w:sz="4" w:space="0" w:color="auto"/>
              <w:right w:val="single" w:sz="4" w:space="0" w:color="auto"/>
            </w:tcBorders>
            <w:shd w:val="clear" w:color="auto" w:fill="auto"/>
            <w:noWrap/>
            <w:vAlign w:val="center"/>
            <w:hideMark/>
          </w:tcPr>
          <w:p w14:paraId="69E0135D"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163043.7</w:t>
            </w:r>
          </w:p>
        </w:tc>
      </w:tr>
      <w:tr w:rsidR="00FE2C3F" w:rsidRPr="00341E6C" w14:paraId="0DB753D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CC2383C" w14:textId="77777777" w:rsidR="00FE2C3F" w:rsidRPr="00341E6C" w:rsidRDefault="00FE2C3F" w:rsidP="002912F6">
            <w:pPr>
              <w:spacing w:after="0" w:line="240" w:lineRule="auto"/>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Sold de mijloace bănești la sfârșitul perioadei</w:t>
            </w:r>
          </w:p>
        </w:tc>
        <w:tc>
          <w:tcPr>
            <w:tcW w:w="1787" w:type="dxa"/>
            <w:tcBorders>
              <w:top w:val="nil"/>
              <w:left w:val="nil"/>
              <w:bottom w:val="single" w:sz="4" w:space="0" w:color="auto"/>
              <w:right w:val="single" w:sz="4" w:space="0" w:color="auto"/>
            </w:tcBorders>
            <w:shd w:val="clear" w:color="auto" w:fill="auto"/>
            <w:vAlign w:val="center"/>
            <w:hideMark/>
          </w:tcPr>
          <w:p w14:paraId="31F41A6F"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0.00</w:t>
            </w:r>
          </w:p>
        </w:tc>
        <w:tc>
          <w:tcPr>
            <w:tcW w:w="1747" w:type="dxa"/>
            <w:tcBorders>
              <w:top w:val="nil"/>
              <w:left w:val="nil"/>
              <w:bottom w:val="single" w:sz="4" w:space="0" w:color="auto"/>
              <w:right w:val="single" w:sz="4" w:space="0" w:color="auto"/>
            </w:tcBorders>
            <w:shd w:val="clear" w:color="auto" w:fill="auto"/>
            <w:vAlign w:val="center"/>
            <w:hideMark/>
          </w:tcPr>
          <w:p w14:paraId="7CA6D67C"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509" w:type="dxa"/>
            <w:tcBorders>
              <w:top w:val="nil"/>
              <w:left w:val="nil"/>
              <w:bottom w:val="single" w:sz="4" w:space="0" w:color="auto"/>
              <w:right w:val="single" w:sz="4" w:space="0" w:color="auto"/>
            </w:tcBorders>
            <w:shd w:val="clear" w:color="auto" w:fill="auto"/>
            <w:noWrap/>
            <w:vAlign w:val="center"/>
            <w:hideMark/>
          </w:tcPr>
          <w:p w14:paraId="277F3BCC"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27" w:type="dxa"/>
            <w:tcBorders>
              <w:top w:val="nil"/>
              <w:left w:val="nil"/>
              <w:bottom w:val="single" w:sz="4" w:space="0" w:color="auto"/>
              <w:right w:val="single" w:sz="4" w:space="0" w:color="auto"/>
            </w:tcBorders>
            <w:shd w:val="clear" w:color="auto" w:fill="auto"/>
            <w:noWrap/>
            <w:vAlign w:val="center"/>
            <w:hideMark/>
          </w:tcPr>
          <w:p w14:paraId="5725D88D"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1710" w:type="dxa"/>
            <w:tcBorders>
              <w:top w:val="nil"/>
              <w:left w:val="nil"/>
              <w:bottom w:val="single" w:sz="4" w:space="0" w:color="auto"/>
              <w:right w:val="single" w:sz="4" w:space="0" w:color="auto"/>
            </w:tcBorders>
            <w:shd w:val="clear" w:color="auto" w:fill="auto"/>
            <w:noWrap/>
            <w:vAlign w:val="center"/>
            <w:hideMark/>
          </w:tcPr>
          <w:p w14:paraId="61F17216"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c>
          <w:tcPr>
            <w:tcW w:w="2367" w:type="dxa"/>
            <w:tcBorders>
              <w:top w:val="nil"/>
              <w:left w:val="nil"/>
              <w:bottom w:val="single" w:sz="4" w:space="0" w:color="auto"/>
              <w:right w:val="single" w:sz="4" w:space="0" w:color="auto"/>
            </w:tcBorders>
            <w:shd w:val="clear" w:color="auto" w:fill="auto"/>
            <w:noWrap/>
            <w:vAlign w:val="center"/>
            <w:hideMark/>
          </w:tcPr>
          <w:p w14:paraId="06B2A02B" w14:textId="77777777" w:rsidR="00FE2C3F" w:rsidRPr="00341E6C" w:rsidRDefault="00FE2C3F" w:rsidP="002912F6">
            <w:pPr>
              <w:spacing w:after="0" w:line="240" w:lineRule="auto"/>
              <w:jc w:val="right"/>
              <w:rPr>
                <w:rFonts w:asciiTheme="majorHAnsi" w:eastAsia="Times New Roman" w:hAnsiTheme="majorHAnsi" w:cstheme="majorHAnsi"/>
                <w:b/>
                <w:bCs/>
                <w:color w:val="000000"/>
                <w:sz w:val="20"/>
                <w:szCs w:val="20"/>
                <w:lang w:val="ro-RO"/>
              </w:rPr>
            </w:pPr>
            <w:r w:rsidRPr="00341E6C">
              <w:rPr>
                <w:rFonts w:asciiTheme="majorHAnsi" w:eastAsia="Times New Roman" w:hAnsiTheme="majorHAnsi" w:cstheme="majorHAnsi"/>
                <w:b/>
                <w:bCs/>
                <w:color w:val="000000"/>
                <w:sz w:val="20"/>
                <w:szCs w:val="20"/>
                <w:lang w:val="ro-RO"/>
              </w:rPr>
              <w:t>x</w:t>
            </w:r>
          </w:p>
        </w:tc>
      </w:tr>
      <w:tr w:rsidR="00FE2C3F" w:rsidRPr="00341E6C" w14:paraId="7211D508" w14:textId="77777777" w:rsidTr="002912F6">
        <w:trPr>
          <w:trHeight w:val="20"/>
        </w:trPr>
        <w:tc>
          <w:tcPr>
            <w:tcW w:w="15199" w:type="dxa"/>
            <w:gridSpan w:val="7"/>
            <w:tcBorders>
              <w:top w:val="nil"/>
              <w:left w:val="nil"/>
              <w:bottom w:val="nil"/>
              <w:right w:val="nil"/>
            </w:tcBorders>
            <w:shd w:val="clear" w:color="auto" w:fill="auto"/>
            <w:noWrap/>
            <w:vAlign w:val="center"/>
            <w:hideMark/>
          </w:tcPr>
          <w:p w14:paraId="4D18E847" w14:textId="77777777" w:rsidR="00FE2C3F" w:rsidRPr="00341E6C" w:rsidRDefault="00FE2C3F" w:rsidP="002912F6">
            <w:pPr>
              <w:spacing w:after="0" w:line="240" w:lineRule="auto"/>
              <w:rPr>
                <w:rFonts w:asciiTheme="majorHAnsi" w:eastAsia="Times New Roman" w:hAnsiTheme="majorHAnsi" w:cstheme="majorHAnsi"/>
                <w:b/>
                <w:bCs/>
                <w:i/>
                <w:iCs/>
                <w:color w:val="000000"/>
                <w:sz w:val="20"/>
                <w:szCs w:val="20"/>
                <w:lang w:val="ro-RO"/>
              </w:rPr>
            </w:pPr>
          </w:p>
          <w:p w14:paraId="4F93BEF6" w14:textId="77777777" w:rsidR="00FE2C3F" w:rsidRPr="00341E6C" w:rsidRDefault="00FE2C3F" w:rsidP="002912F6">
            <w:pPr>
              <w:spacing w:after="0" w:line="240" w:lineRule="auto"/>
              <w:rPr>
                <w:rFonts w:asciiTheme="majorHAnsi" w:eastAsia="Times New Roman" w:hAnsiTheme="majorHAnsi" w:cstheme="majorHAnsi"/>
                <w:b/>
                <w:bCs/>
                <w:i/>
                <w:iCs/>
                <w:color w:val="000000"/>
                <w:sz w:val="20"/>
                <w:szCs w:val="20"/>
                <w:lang w:val="ro-RO"/>
              </w:rPr>
            </w:pPr>
            <w:r w:rsidRPr="00341E6C">
              <w:rPr>
                <w:rFonts w:asciiTheme="majorHAnsi" w:eastAsia="Times New Roman" w:hAnsiTheme="majorHAnsi" w:cstheme="majorHAnsi"/>
                <w:b/>
                <w:bCs/>
                <w:i/>
                <w:iCs/>
                <w:color w:val="000000"/>
                <w:sz w:val="20"/>
                <w:szCs w:val="20"/>
                <w:lang w:val="ro-RO"/>
              </w:rPr>
              <w:t>Sursă:</w:t>
            </w:r>
            <w:r w:rsidRPr="00341E6C">
              <w:rPr>
                <w:rFonts w:asciiTheme="majorHAnsi" w:eastAsia="Times New Roman" w:hAnsiTheme="majorHAnsi" w:cstheme="majorHAnsi"/>
                <w:i/>
                <w:iCs/>
                <w:color w:val="000000"/>
                <w:sz w:val="20"/>
                <w:szCs w:val="20"/>
                <w:lang w:val="ro-RO"/>
              </w:rPr>
              <w:t xml:space="preserve"> Legea bugetului asigurărilor sociale de stat pentru anul 2020</w:t>
            </w:r>
          </w:p>
        </w:tc>
      </w:tr>
    </w:tbl>
    <w:p w14:paraId="312682CD" w14:textId="77777777" w:rsidR="00FE2C3F" w:rsidRPr="00341E6C" w:rsidRDefault="00FE2C3F" w:rsidP="00FE2C3F">
      <w:pPr>
        <w:spacing w:after="0" w:line="240" w:lineRule="auto"/>
        <w:jc w:val="center"/>
        <w:rPr>
          <w:rFonts w:ascii="Calibri Light" w:eastAsia="Times New Roman" w:hAnsi="Calibri Light" w:cs="Calibri Light"/>
          <w:b/>
          <w:bCs/>
          <w:color w:val="000000"/>
          <w:sz w:val="20"/>
          <w:szCs w:val="20"/>
          <w:lang w:val="ro-RO"/>
        </w:rPr>
        <w:sectPr w:rsidR="00FE2C3F" w:rsidRPr="00341E6C" w:rsidSect="00C32938">
          <w:pgSz w:w="16834" w:h="11909" w:orient="landscape" w:code="9"/>
          <w:pgMar w:top="1440" w:right="850" w:bottom="850" w:left="850" w:header="706" w:footer="706" w:gutter="0"/>
          <w:cols w:space="708"/>
          <w:titlePg/>
          <w:docGrid w:linePitch="360"/>
        </w:sectPr>
      </w:pPr>
    </w:p>
    <w:p w14:paraId="65D97742" w14:textId="4BA75BC2" w:rsidR="00C32938" w:rsidRPr="00341E6C" w:rsidRDefault="00C32938" w:rsidP="005D4B1B">
      <w:pPr>
        <w:pStyle w:val="NormalWeb"/>
        <w:tabs>
          <w:tab w:val="left" w:pos="162"/>
        </w:tabs>
        <w:spacing w:line="276" w:lineRule="auto"/>
        <w:ind w:left="567" w:firstLine="0"/>
        <w:jc w:val="right"/>
        <w:outlineLvl w:val="1"/>
        <w:rPr>
          <w:rFonts w:asciiTheme="majorHAnsi" w:hAnsiTheme="majorHAnsi" w:cstheme="majorHAnsi"/>
          <w:b/>
          <w:lang w:val="ro-RO"/>
        </w:rPr>
      </w:pPr>
      <w:r w:rsidRPr="00341E6C">
        <w:rPr>
          <w:rFonts w:asciiTheme="majorHAnsi" w:hAnsiTheme="majorHAnsi" w:cstheme="majorHAnsi"/>
          <w:b/>
          <w:lang w:val="ro-RO"/>
        </w:rPr>
        <w:lastRenderedPageBreak/>
        <w:t xml:space="preserve">Anexa nr. </w:t>
      </w:r>
      <w:r w:rsidR="00EE3574">
        <w:rPr>
          <w:rFonts w:asciiTheme="majorHAnsi" w:hAnsiTheme="majorHAnsi" w:cstheme="majorHAnsi"/>
          <w:b/>
          <w:lang w:val="ro-RO"/>
        </w:rPr>
        <w:t>3</w:t>
      </w:r>
    </w:p>
    <w:p w14:paraId="62C11B5B" w14:textId="77777777" w:rsidR="00C32938" w:rsidRPr="00341E6C" w:rsidRDefault="00C32938" w:rsidP="00C32938">
      <w:pPr>
        <w:pStyle w:val="NormalWeb"/>
        <w:tabs>
          <w:tab w:val="left" w:pos="162"/>
        </w:tabs>
        <w:spacing w:line="276" w:lineRule="auto"/>
        <w:jc w:val="center"/>
        <w:rPr>
          <w:rFonts w:asciiTheme="majorHAnsi" w:hAnsiTheme="majorHAnsi" w:cstheme="majorHAnsi"/>
          <w:b/>
          <w:lang w:val="ro-RO"/>
        </w:rPr>
      </w:pPr>
      <w:r w:rsidRPr="00341E6C">
        <w:rPr>
          <w:rFonts w:asciiTheme="majorHAnsi" w:hAnsiTheme="majorHAnsi" w:cstheme="majorHAnsi"/>
          <w:b/>
          <w:lang w:val="ro-RO"/>
        </w:rPr>
        <w:t>Executarea veniturilor bugetului asigurărilor sociale de stat în anii 2019-2020 (mil. lei)</w:t>
      </w:r>
    </w:p>
    <w:tbl>
      <w:tblPr>
        <w:tblW w:w="14521" w:type="dxa"/>
        <w:tblInd w:w="805" w:type="dxa"/>
        <w:tblLayout w:type="fixed"/>
        <w:tblCellMar>
          <w:left w:w="10" w:type="dxa"/>
          <w:right w:w="10" w:type="dxa"/>
        </w:tblCellMar>
        <w:tblLook w:val="0000" w:firstRow="0" w:lastRow="0" w:firstColumn="0" w:lastColumn="0" w:noHBand="0" w:noVBand="0"/>
      </w:tblPr>
      <w:tblGrid>
        <w:gridCol w:w="5130"/>
        <w:gridCol w:w="992"/>
        <w:gridCol w:w="1180"/>
        <w:gridCol w:w="1205"/>
        <w:gridCol w:w="1213"/>
        <w:gridCol w:w="1132"/>
        <w:gridCol w:w="1122"/>
        <w:gridCol w:w="752"/>
        <w:gridCol w:w="1064"/>
        <w:gridCol w:w="731"/>
      </w:tblGrid>
      <w:tr w:rsidR="00C32938" w:rsidRPr="00341E6C" w14:paraId="66EA7217" w14:textId="77777777" w:rsidTr="000A1E32">
        <w:trPr>
          <w:trHeight w:val="395"/>
        </w:trPr>
        <w:tc>
          <w:tcPr>
            <w:tcW w:w="5130" w:type="dxa"/>
            <w:vMerge w:val="restart"/>
            <w:tcBorders>
              <w:top w:val="single" w:sz="4" w:space="0" w:color="auto"/>
              <w:left w:val="single" w:sz="4" w:space="0" w:color="auto"/>
            </w:tcBorders>
            <w:shd w:val="clear" w:color="auto" w:fill="92D050"/>
            <w:vAlign w:val="center"/>
          </w:tcPr>
          <w:p w14:paraId="25435FFB" w14:textId="77777777" w:rsidR="00C32938" w:rsidRPr="000A1E32" w:rsidRDefault="00C32938" w:rsidP="00F20408">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Indicatorii</w:t>
            </w:r>
          </w:p>
        </w:tc>
        <w:tc>
          <w:tcPr>
            <w:tcW w:w="992" w:type="dxa"/>
            <w:vMerge w:val="restart"/>
            <w:tcBorders>
              <w:top w:val="single" w:sz="4" w:space="0" w:color="auto"/>
              <w:left w:val="single" w:sz="4" w:space="0" w:color="auto"/>
            </w:tcBorders>
            <w:shd w:val="clear" w:color="auto" w:fill="92D050"/>
            <w:vAlign w:val="center"/>
          </w:tcPr>
          <w:p w14:paraId="24C5E592"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Anul</w:t>
            </w:r>
          </w:p>
          <w:p w14:paraId="5704CD28"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2019,</w:t>
            </w:r>
          </w:p>
          <w:p w14:paraId="6E3F5D6E"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executat</w:t>
            </w:r>
          </w:p>
        </w:tc>
        <w:tc>
          <w:tcPr>
            <w:tcW w:w="3598" w:type="dxa"/>
            <w:gridSpan w:val="3"/>
            <w:tcBorders>
              <w:top w:val="single" w:sz="4" w:space="0" w:color="auto"/>
              <w:left w:val="single" w:sz="4" w:space="0" w:color="auto"/>
            </w:tcBorders>
            <w:shd w:val="clear" w:color="auto" w:fill="92D050"/>
            <w:vAlign w:val="center"/>
          </w:tcPr>
          <w:p w14:paraId="0FF0465E"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2020</w:t>
            </w:r>
          </w:p>
        </w:tc>
        <w:tc>
          <w:tcPr>
            <w:tcW w:w="1132" w:type="dxa"/>
            <w:vMerge w:val="restart"/>
            <w:tcBorders>
              <w:top w:val="single" w:sz="4" w:space="0" w:color="auto"/>
              <w:left w:val="single" w:sz="4" w:space="0" w:color="auto"/>
            </w:tcBorders>
            <w:shd w:val="clear" w:color="auto" w:fill="92D050"/>
            <w:vAlign w:val="center"/>
          </w:tcPr>
          <w:p w14:paraId="0FC82BF0" w14:textId="61CF09F3"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Ponderea</w:t>
            </w:r>
            <w:r w:rsidR="004B68DE">
              <w:rPr>
                <w:rStyle w:val="295pt"/>
                <w:rFonts w:asciiTheme="majorHAnsi" w:eastAsiaTheme="majorEastAsia" w:hAnsiTheme="majorHAnsi" w:cstheme="majorHAnsi"/>
                <w:shd w:val="clear" w:color="auto" w:fill="92D050"/>
              </w:rPr>
              <w:t>,</w:t>
            </w:r>
            <w:r w:rsidRPr="000A1E32">
              <w:rPr>
                <w:rStyle w:val="295pt"/>
                <w:rFonts w:asciiTheme="majorHAnsi" w:eastAsiaTheme="majorEastAsia" w:hAnsiTheme="majorHAnsi" w:cstheme="majorHAnsi"/>
                <w:shd w:val="clear" w:color="auto" w:fill="92D050"/>
              </w:rPr>
              <w:t xml:space="preserve"> executat în suma totală</w:t>
            </w:r>
          </w:p>
          <w:p w14:paraId="0D4A5AFA"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w:t>
            </w:r>
          </w:p>
        </w:tc>
        <w:tc>
          <w:tcPr>
            <w:tcW w:w="3669" w:type="dxa"/>
            <w:gridSpan w:val="4"/>
            <w:tcBorders>
              <w:top w:val="single" w:sz="4" w:space="0" w:color="auto"/>
              <w:left w:val="single" w:sz="4" w:space="0" w:color="auto"/>
              <w:right w:val="single" w:sz="4" w:space="0" w:color="auto"/>
            </w:tcBorders>
            <w:shd w:val="clear" w:color="auto" w:fill="92D050"/>
            <w:vAlign w:val="center"/>
          </w:tcPr>
          <w:p w14:paraId="7890D28D"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Executat 2020, faţă de:</w:t>
            </w:r>
          </w:p>
        </w:tc>
      </w:tr>
      <w:tr w:rsidR="00C32938" w:rsidRPr="00341E6C" w14:paraId="0A369737" w14:textId="77777777" w:rsidTr="00F20408">
        <w:trPr>
          <w:trHeight w:val="144"/>
        </w:trPr>
        <w:tc>
          <w:tcPr>
            <w:tcW w:w="5130" w:type="dxa"/>
            <w:vMerge/>
            <w:tcBorders>
              <w:left w:val="single" w:sz="4" w:space="0" w:color="auto"/>
            </w:tcBorders>
            <w:shd w:val="clear" w:color="auto" w:fill="92D050"/>
            <w:vAlign w:val="center"/>
          </w:tcPr>
          <w:p w14:paraId="4B27DAC2" w14:textId="77777777" w:rsidR="00C32938" w:rsidRPr="00341E6C" w:rsidRDefault="00C32938" w:rsidP="00F20408">
            <w:pPr>
              <w:spacing w:after="0" w:line="240" w:lineRule="auto"/>
              <w:contextualSpacing/>
              <w:jc w:val="center"/>
              <w:rPr>
                <w:rFonts w:asciiTheme="majorHAnsi" w:hAnsiTheme="majorHAnsi" w:cstheme="majorHAnsi"/>
                <w:sz w:val="18"/>
                <w:szCs w:val="18"/>
                <w:lang w:val="ro-RO"/>
              </w:rPr>
            </w:pPr>
          </w:p>
        </w:tc>
        <w:tc>
          <w:tcPr>
            <w:tcW w:w="992" w:type="dxa"/>
            <w:vMerge/>
            <w:tcBorders>
              <w:left w:val="single" w:sz="4" w:space="0" w:color="auto"/>
            </w:tcBorders>
            <w:shd w:val="clear" w:color="auto" w:fill="92D050"/>
            <w:vAlign w:val="center"/>
          </w:tcPr>
          <w:p w14:paraId="53002EB9"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180" w:type="dxa"/>
            <w:vMerge w:val="restart"/>
            <w:tcBorders>
              <w:top w:val="single" w:sz="4" w:space="0" w:color="auto"/>
              <w:left w:val="single" w:sz="4" w:space="0" w:color="auto"/>
            </w:tcBorders>
            <w:shd w:val="clear" w:color="auto" w:fill="92D050"/>
            <w:vAlign w:val="center"/>
          </w:tcPr>
          <w:p w14:paraId="490D5EC6"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aprobat</w:t>
            </w:r>
          </w:p>
        </w:tc>
        <w:tc>
          <w:tcPr>
            <w:tcW w:w="1205" w:type="dxa"/>
            <w:vMerge w:val="restart"/>
            <w:tcBorders>
              <w:top w:val="single" w:sz="4" w:space="0" w:color="auto"/>
              <w:left w:val="single" w:sz="4" w:space="0" w:color="auto"/>
            </w:tcBorders>
            <w:shd w:val="clear" w:color="auto" w:fill="92D050"/>
            <w:vAlign w:val="center"/>
          </w:tcPr>
          <w:p w14:paraId="20F9BD87"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precizat</w:t>
            </w:r>
          </w:p>
        </w:tc>
        <w:tc>
          <w:tcPr>
            <w:tcW w:w="1213" w:type="dxa"/>
            <w:vMerge w:val="restart"/>
            <w:tcBorders>
              <w:top w:val="single" w:sz="4" w:space="0" w:color="auto"/>
              <w:left w:val="single" w:sz="4" w:space="0" w:color="auto"/>
            </w:tcBorders>
            <w:shd w:val="clear" w:color="auto" w:fill="92D050"/>
            <w:vAlign w:val="center"/>
          </w:tcPr>
          <w:p w14:paraId="27E8B797"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executat</w:t>
            </w:r>
          </w:p>
        </w:tc>
        <w:tc>
          <w:tcPr>
            <w:tcW w:w="1132" w:type="dxa"/>
            <w:vMerge/>
            <w:tcBorders>
              <w:left w:val="single" w:sz="4" w:space="0" w:color="auto"/>
            </w:tcBorders>
            <w:shd w:val="clear" w:color="auto" w:fill="92D050"/>
            <w:vAlign w:val="center"/>
          </w:tcPr>
          <w:p w14:paraId="25D7E3A4"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874" w:type="dxa"/>
            <w:gridSpan w:val="2"/>
            <w:tcBorders>
              <w:top w:val="single" w:sz="4" w:space="0" w:color="auto"/>
              <w:left w:val="single" w:sz="4" w:space="0" w:color="auto"/>
            </w:tcBorders>
            <w:shd w:val="clear" w:color="auto" w:fill="92D050"/>
            <w:vAlign w:val="bottom"/>
          </w:tcPr>
          <w:p w14:paraId="6644BE80"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executat 2019</w:t>
            </w:r>
          </w:p>
        </w:tc>
        <w:tc>
          <w:tcPr>
            <w:tcW w:w="1795" w:type="dxa"/>
            <w:gridSpan w:val="2"/>
            <w:tcBorders>
              <w:top w:val="single" w:sz="4" w:space="0" w:color="auto"/>
              <w:left w:val="single" w:sz="4" w:space="0" w:color="auto"/>
              <w:right w:val="single" w:sz="4" w:space="0" w:color="auto"/>
            </w:tcBorders>
            <w:shd w:val="clear" w:color="auto" w:fill="92D050"/>
            <w:vAlign w:val="bottom"/>
          </w:tcPr>
          <w:p w14:paraId="764D2FFB"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precizat 2020</w:t>
            </w:r>
          </w:p>
        </w:tc>
      </w:tr>
      <w:tr w:rsidR="00C32938" w:rsidRPr="00341E6C" w14:paraId="2967E4A9" w14:textId="77777777" w:rsidTr="00F20408">
        <w:trPr>
          <w:trHeight w:val="144"/>
        </w:trPr>
        <w:tc>
          <w:tcPr>
            <w:tcW w:w="5130" w:type="dxa"/>
            <w:vMerge/>
            <w:tcBorders>
              <w:left w:val="single" w:sz="4" w:space="0" w:color="auto"/>
            </w:tcBorders>
            <w:shd w:val="clear" w:color="auto" w:fill="92D050"/>
            <w:vAlign w:val="center"/>
          </w:tcPr>
          <w:p w14:paraId="6B53C32A" w14:textId="77777777" w:rsidR="00C32938" w:rsidRPr="00341E6C" w:rsidRDefault="00C32938" w:rsidP="00F20408">
            <w:pPr>
              <w:spacing w:after="0" w:line="240" w:lineRule="auto"/>
              <w:contextualSpacing/>
              <w:jc w:val="center"/>
              <w:rPr>
                <w:rFonts w:asciiTheme="majorHAnsi" w:hAnsiTheme="majorHAnsi" w:cstheme="majorHAnsi"/>
                <w:sz w:val="18"/>
                <w:szCs w:val="18"/>
                <w:lang w:val="ro-RO"/>
              </w:rPr>
            </w:pPr>
          </w:p>
        </w:tc>
        <w:tc>
          <w:tcPr>
            <w:tcW w:w="992" w:type="dxa"/>
            <w:vMerge/>
            <w:tcBorders>
              <w:left w:val="single" w:sz="4" w:space="0" w:color="auto"/>
            </w:tcBorders>
            <w:shd w:val="clear" w:color="auto" w:fill="92D050"/>
            <w:vAlign w:val="center"/>
          </w:tcPr>
          <w:p w14:paraId="07730637"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180" w:type="dxa"/>
            <w:vMerge/>
            <w:tcBorders>
              <w:left w:val="single" w:sz="4" w:space="0" w:color="auto"/>
            </w:tcBorders>
            <w:shd w:val="clear" w:color="auto" w:fill="92D050"/>
            <w:vAlign w:val="center"/>
          </w:tcPr>
          <w:p w14:paraId="62C22B71"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205" w:type="dxa"/>
            <w:vMerge/>
            <w:tcBorders>
              <w:left w:val="single" w:sz="4" w:space="0" w:color="auto"/>
            </w:tcBorders>
            <w:shd w:val="clear" w:color="auto" w:fill="92D050"/>
            <w:vAlign w:val="center"/>
          </w:tcPr>
          <w:p w14:paraId="4E09887C"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213" w:type="dxa"/>
            <w:vMerge/>
            <w:tcBorders>
              <w:left w:val="single" w:sz="4" w:space="0" w:color="auto"/>
            </w:tcBorders>
            <w:shd w:val="clear" w:color="auto" w:fill="92D050"/>
            <w:vAlign w:val="center"/>
          </w:tcPr>
          <w:p w14:paraId="5EC5CF3E"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132" w:type="dxa"/>
            <w:vMerge/>
            <w:tcBorders>
              <w:left w:val="single" w:sz="4" w:space="0" w:color="auto"/>
            </w:tcBorders>
            <w:shd w:val="clear" w:color="auto" w:fill="92D050"/>
            <w:vAlign w:val="center"/>
          </w:tcPr>
          <w:p w14:paraId="65AC6153"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p>
        </w:tc>
        <w:tc>
          <w:tcPr>
            <w:tcW w:w="1122" w:type="dxa"/>
            <w:tcBorders>
              <w:top w:val="single" w:sz="4" w:space="0" w:color="auto"/>
              <w:left w:val="single" w:sz="4" w:space="0" w:color="auto"/>
            </w:tcBorders>
            <w:shd w:val="clear" w:color="auto" w:fill="92D050"/>
            <w:vAlign w:val="center"/>
          </w:tcPr>
          <w:p w14:paraId="211EAB42"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w:t>
            </w:r>
          </w:p>
        </w:tc>
        <w:tc>
          <w:tcPr>
            <w:tcW w:w="752" w:type="dxa"/>
            <w:tcBorders>
              <w:top w:val="single" w:sz="4" w:space="0" w:color="auto"/>
              <w:left w:val="single" w:sz="4" w:space="0" w:color="auto"/>
            </w:tcBorders>
            <w:shd w:val="clear" w:color="auto" w:fill="92D050"/>
            <w:vAlign w:val="center"/>
          </w:tcPr>
          <w:p w14:paraId="309CD15A"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w:t>
            </w:r>
          </w:p>
        </w:tc>
        <w:tc>
          <w:tcPr>
            <w:tcW w:w="1064" w:type="dxa"/>
            <w:tcBorders>
              <w:top w:val="single" w:sz="4" w:space="0" w:color="auto"/>
              <w:left w:val="single" w:sz="4" w:space="0" w:color="auto"/>
            </w:tcBorders>
            <w:shd w:val="clear" w:color="auto" w:fill="92D050"/>
            <w:vAlign w:val="center"/>
          </w:tcPr>
          <w:p w14:paraId="0B184363"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w:t>
            </w:r>
          </w:p>
        </w:tc>
        <w:tc>
          <w:tcPr>
            <w:tcW w:w="731" w:type="dxa"/>
            <w:tcBorders>
              <w:top w:val="single" w:sz="4" w:space="0" w:color="auto"/>
              <w:left w:val="single" w:sz="4" w:space="0" w:color="auto"/>
              <w:right w:val="single" w:sz="4" w:space="0" w:color="auto"/>
            </w:tcBorders>
            <w:shd w:val="clear" w:color="auto" w:fill="92D050"/>
            <w:vAlign w:val="center"/>
          </w:tcPr>
          <w:p w14:paraId="3CDDF0B3" w14:textId="77777777" w:rsidR="00C32938" w:rsidRPr="000A1E3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rPr>
            </w:pPr>
            <w:r w:rsidRPr="000A1E32">
              <w:rPr>
                <w:rStyle w:val="295pt"/>
                <w:rFonts w:asciiTheme="majorHAnsi" w:eastAsiaTheme="majorEastAsia" w:hAnsiTheme="majorHAnsi" w:cstheme="majorHAnsi"/>
                <w:shd w:val="clear" w:color="auto" w:fill="92D050"/>
              </w:rPr>
              <w:t>%</w:t>
            </w:r>
          </w:p>
        </w:tc>
      </w:tr>
      <w:tr w:rsidR="00C32938" w:rsidRPr="00341E6C" w14:paraId="7373626E" w14:textId="77777777" w:rsidTr="0097561C">
        <w:trPr>
          <w:trHeight w:val="144"/>
        </w:trPr>
        <w:tc>
          <w:tcPr>
            <w:tcW w:w="5130" w:type="dxa"/>
            <w:tcBorders>
              <w:top w:val="single" w:sz="4" w:space="0" w:color="auto"/>
              <w:left w:val="single" w:sz="4" w:space="0" w:color="auto"/>
            </w:tcBorders>
            <w:shd w:val="clear" w:color="auto" w:fill="FFE599" w:themeFill="accent4" w:themeFillTint="66"/>
            <w:vAlign w:val="center"/>
          </w:tcPr>
          <w:p w14:paraId="11BBF4E0" w14:textId="6D63143A"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A</w:t>
            </w:r>
          </w:p>
        </w:tc>
        <w:tc>
          <w:tcPr>
            <w:tcW w:w="992" w:type="dxa"/>
            <w:tcBorders>
              <w:top w:val="single" w:sz="4" w:space="0" w:color="auto"/>
              <w:left w:val="single" w:sz="4" w:space="0" w:color="auto"/>
            </w:tcBorders>
            <w:shd w:val="clear" w:color="auto" w:fill="FFE599" w:themeFill="accent4" w:themeFillTint="66"/>
            <w:vAlign w:val="bottom"/>
          </w:tcPr>
          <w:p w14:paraId="72ADE1CE"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1</w:t>
            </w:r>
          </w:p>
        </w:tc>
        <w:tc>
          <w:tcPr>
            <w:tcW w:w="1180" w:type="dxa"/>
            <w:tcBorders>
              <w:top w:val="single" w:sz="4" w:space="0" w:color="auto"/>
              <w:left w:val="single" w:sz="4" w:space="0" w:color="auto"/>
            </w:tcBorders>
            <w:shd w:val="clear" w:color="auto" w:fill="FFE599" w:themeFill="accent4" w:themeFillTint="66"/>
            <w:vAlign w:val="bottom"/>
          </w:tcPr>
          <w:p w14:paraId="13BC9107"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2</w:t>
            </w:r>
          </w:p>
        </w:tc>
        <w:tc>
          <w:tcPr>
            <w:tcW w:w="1205" w:type="dxa"/>
            <w:tcBorders>
              <w:top w:val="single" w:sz="4" w:space="0" w:color="auto"/>
              <w:left w:val="single" w:sz="4" w:space="0" w:color="auto"/>
            </w:tcBorders>
            <w:shd w:val="clear" w:color="auto" w:fill="FFE599" w:themeFill="accent4" w:themeFillTint="66"/>
          </w:tcPr>
          <w:p w14:paraId="44147051" w14:textId="77777777" w:rsidR="00C32938" w:rsidRPr="0097561C" w:rsidRDefault="00C32938" w:rsidP="00C32938">
            <w:pPr>
              <w:spacing w:after="0" w:line="240" w:lineRule="auto"/>
              <w:contextualSpacing/>
              <w:rPr>
                <w:rStyle w:val="275pt"/>
                <w:rFonts w:asciiTheme="majorHAnsi" w:eastAsiaTheme="majorEastAsia" w:hAnsiTheme="majorHAnsi" w:cstheme="majorHAnsi"/>
                <w:sz w:val="18"/>
                <w:shd w:val="clear" w:color="auto" w:fill="FFE599" w:themeFill="accent4" w:themeFillTint="66"/>
              </w:rPr>
            </w:pPr>
          </w:p>
        </w:tc>
        <w:tc>
          <w:tcPr>
            <w:tcW w:w="1213" w:type="dxa"/>
            <w:tcBorders>
              <w:top w:val="single" w:sz="4" w:space="0" w:color="auto"/>
              <w:left w:val="single" w:sz="4" w:space="0" w:color="auto"/>
            </w:tcBorders>
            <w:shd w:val="clear" w:color="auto" w:fill="FFE599" w:themeFill="accent4" w:themeFillTint="66"/>
            <w:vAlign w:val="center"/>
          </w:tcPr>
          <w:p w14:paraId="5F25A4CC"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4</w:t>
            </w:r>
          </w:p>
        </w:tc>
        <w:tc>
          <w:tcPr>
            <w:tcW w:w="1132" w:type="dxa"/>
            <w:tcBorders>
              <w:top w:val="single" w:sz="4" w:space="0" w:color="auto"/>
              <w:left w:val="single" w:sz="4" w:space="0" w:color="auto"/>
            </w:tcBorders>
            <w:shd w:val="clear" w:color="auto" w:fill="FFE599" w:themeFill="accent4" w:themeFillTint="66"/>
            <w:vAlign w:val="center"/>
          </w:tcPr>
          <w:p w14:paraId="423009FD"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5</w:t>
            </w:r>
          </w:p>
        </w:tc>
        <w:tc>
          <w:tcPr>
            <w:tcW w:w="1122" w:type="dxa"/>
            <w:tcBorders>
              <w:top w:val="single" w:sz="4" w:space="0" w:color="auto"/>
              <w:left w:val="single" w:sz="4" w:space="0" w:color="auto"/>
            </w:tcBorders>
            <w:shd w:val="clear" w:color="auto" w:fill="FFE599" w:themeFill="accent4" w:themeFillTint="66"/>
            <w:vAlign w:val="bottom"/>
          </w:tcPr>
          <w:p w14:paraId="47FC0D9F"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6</w:t>
            </w:r>
          </w:p>
        </w:tc>
        <w:tc>
          <w:tcPr>
            <w:tcW w:w="752" w:type="dxa"/>
            <w:tcBorders>
              <w:top w:val="single" w:sz="4" w:space="0" w:color="auto"/>
              <w:left w:val="single" w:sz="4" w:space="0" w:color="auto"/>
            </w:tcBorders>
            <w:shd w:val="clear" w:color="auto" w:fill="FFE599" w:themeFill="accent4" w:themeFillTint="66"/>
            <w:vAlign w:val="center"/>
          </w:tcPr>
          <w:p w14:paraId="2BA35704"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7</w:t>
            </w:r>
          </w:p>
        </w:tc>
        <w:tc>
          <w:tcPr>
            <w:tcW w:w="1064" w:type="dxa"/>
            <w:tcBorders>
              <w:top w:val="single" w:sz="4" w:space="0" w:color="auto"/>
              <w:left w:val="single" w:sz="4" w:space="0" w:color="auto"/>
            </w:tcBorders>
            <w:shd w:val="clear" w:color="auto" w:fill="FFE599" w:themeFill="accent4" w:themeFillTint="66"/>
            <w:vAlign w:val="bottom"/>
          </w:tcPr>
          <w:p w14:paraId="344E0E85" w14:textId="77777777" w:rsidR="00C32938" w:rsidRPr="0097561C"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8</w:t>
            </w:r>
          </w:p>
        </w:tc>
        <w:tc>
          <w:tcPr>
            <w:tcW w:w="731" w:type="dxa"/>
            <w:tcBorders>
              <w:top w:val="single" w:sz="4" w:space="0" w:color="auto"/>
              <w:left w:val="single" w:sz="4" w:space="0" w:color="auto"/>
              <w:right w:val="single" w:sz="4" w:space="0" w:color="auto"/>
            </w:tcBorders>
            <w:shd w:val="clear" w:color="auto" w:fill="FFE599" w:themeFill="accent4" w:themeFillTint="66"/>
            <w:vAlign w:val="center"/>
          </w:tcPr>
          <w:p w14:paraId="318FC488" w14:textId="77777777" w:rsidR="00C32938" w:rsidRPr="0097561C" w:rsidRDefault="00C32938" w:rsidP="00C32938">
            <w:pPr>
              <w:pStyle w:val="20"/>
              <w:shd w:val="clear" w:color="auto" w:fill="auto"/>
              <w:spacing w:before="0" w:after="0" w:line="240" w:lineRule="auto"/>
              <w:ind w:left="260"/>
              <w:contextualSpacing/>
              <w:rPr>
                <w:rStyle w:val="275pt"/>
                <w:rFonts w:asciiTheme="majorHAnsi" w:eastAsiaTheme="majorEastAsia" w:hAnsiTheme="majorHAnsi" w:cstheme="majorHAnsi"/>
                <w:sz w:val="18"/>
                <w:shd w:val="clear" w:color="auto" w:fill="FFE599" w:themeFill="accent4" w:themeFillTint="66"/>
              </w:rPr>
            </w:pPr>
            <w:r w:rsidRPr="0097561C">
              <w:rPr>
                <w:rStyle w:val="275pt"/>
                <w:rFonts w:asciiTheme="majorHAnsi" w:eastAsiaTheme="majorEastAsia" w:hAnsiTheme="majorHAnsi" w:cstheme="majorHAnsi"/>
                <w:sz w:val="18"/>
                <w:shd w:val="clear" w:color="auto" w:fill="FFE599" w:themeFill="accent4" w:themeFillTint="66"/>
              </w:rPr>
              <w:t>9</w:t>
            </w:r>
          </w:p>
        </w:tc>
      </w:tr>
      <w:tr w:rsidR="00C32938" w:rsidRPr="00341E6C" w14:paraId="19215FAE" w14:textId="77777777" w:rsidTr="00C32938">
        <w:trPr>
          <w:trHeight w:val="144"/>
        </w:trPr>
        <w:tc>
          <w:tcPr>
            <w:tcW w:w="5130" w:type="dxa"/>
            <w:tcBorders>
              <w:top w:val="single" w:sz="4" w:space="0" w:color="auto"/>
              <w:left w:val="single" w:sz="4" w:space="0" w:color="auto"/>
            </w:tcBorders>
            <w:shd w:val="clear" w:color="auto" w:fill="FFFFFF"/>
          </w:tcPr>
          <w:p w14:paraId="2C940BAD" w14:textId="77777777" w:rsidR="00C32938" w:rsidRPr="00341E6C" w:rsidRDefault="00C32938" w:rsidP="00C32938">
            <w:pPr>
              <w:pStyle w:val="20"/>
              <w:shd w:val="clear" w:color="auto" w:fill="auto"/>
              <w:spacing w:before="0" w:after="0" w:line="240" w:lineRule="auto"/>
              <w:contextualSpacing/>
              <w:rPr>
                <w:rFonts w:asciiTheme="majorHAnsi" w:hAnsiTheme="majorHAnsi" w:cstheme="majorHAnsi"/>
                <w:lang w:val="ro-RO"/>
              </w:rPr>
            </w:pPr>
            <w:r w:rsidRPr="00341E6C">
              <w:rPr>
                <w:rStyle w:val="295pt"/>
                <w:rFonts w:asciiTheme="majorHAnsi" w:eastAsiaTheme="majorEastAsia" w:hAnsiTheme="majorHAnsi" w:cstheme="majorHAnsi"/>
              </w:rPr>
              <w:t>Venituri, total</w:t>
            </w:r>
          </w:p>
        </w:tc>
        <w:tc>
          <w:tcPr>
            <w:tcW w:w="992" w:type="dxa"/>
            <w:tcBorders>
              <w:top w:val="single" w:sz="4" w:space="0" w:color="auto"/>
              <w:left w:val="single" w:sz="4" w:space="0" w:color="auto"/>
            </w:tcBorders>
            <w:shd w:val="clear" w:color="auto" w:fill="FFFFFF"/>
          </w:tcPr>
          <w:p w14:paraId="4690AD1C"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21.748,4</w:t>
            </w:r>
          </w:p>
        </w:tc>
        <w:tc>
          <w:tcPr>
            <w:tcW w:w="1180" w:type="dxa"/>
            <w:tcBorders>
              <w:top w:val="single" w:sz="4" w:space="0" w:color="auto"/>
              <w:left w:val="single" w:sz="4" w:space="0" w:color="auto"/>
            </w:tcBorders>
            <w:shd w:val="clear" w:color="auto" w:fill="FFFFFF"/>
          </w:tcPr>
          <w:p w14:paraId="374DED07"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23.491,0</w:t>
            </w:r>
          </w:p>
        </w:tc>
        <w:tc>
          <w:tcPr>
            <w:tcW w:w="1205" w:type="dxa"/>
            <w:tcBorders>
              <w:top w:val="single" w:sz="4" w:space="0" w:color="auto"/>
              <w:left w:val="single" w:sz="4" w:space="0" w:color="auto"/>
            </w:tcBorders>
            <w:shd w:val="clear" w:color="auto" w:fill="FFFFFF"/>
          </w:tcPr>
          <w:p w14:paraId="438B07ED"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24,572,1</w:t>
            </w:r>
          </w:p>
        </w:tc>
        <w:tc>
          <w:tcPr>
            <w:tcW w:w="1213" w:type="dxa"/>
            <w:tcBorders>
              <w:top w:val="single" w:sz="4" w:space="0" w:color="auto"/>
              <w:left w:val="single" w:sz="4" w:space="0" w:color="auto"/>
            </w:tcBorders>
            <w:shd w:val="clear" w:color="auto" w:fill="FFFFFF"/>
          </w:tcPr>
          <w:p w14:paraId="47BBD588"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24.285,5</w:t>
            </w:r>
          </w:p>
        </w:tc>
        <w:tc>
          <w:tcPr>
            <w:tcW w:w="1132" w:type="dxa"/>
            <w:tcBorders>
              <w:top w:val="single" w:sz="4" w:space="0" w:color="auto"/>
              <w:left w:val="single" w:sz="4" w:space="0" w:color="auto"/>
            </w:tcBorders>
            <w:shd w:val="clear" w:color="auto" w:fill="FFFFFF"/>
          </w:tcPr>
          <w:p w14:paraId="0BFB925C"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lang w:val="ro-RO"/>
              </w:rPr>
            </w:pPr>
            <w:r w:rsidRPr="00341E6C">
              <w:rPr>
                <w:rFonts w:asciiTheme="majorHAnsi" w:hAnsiTheme="majorHAnsi" w:cstheme="majorHAnsi"/>
                <w:b/>
                <w:lang w:val="ro-RO"/>
              </w:rPr>
              <w:t>100</w:t>
            </w:r>
          </w:p>
        </w:tc>
        <w:tc>
          <w:tcPr>
            <w:tcW w:w="1122" w:type="dxa"/>
            <w:tcBorders>
              <w:top w:val="single" w:sz="4" w:space="0" w:color="auto"/>
              <w:left w:val="single" w:sz="4" w:space="0" w:color="auto"/>
            </w:tcBorders>
            <w:shd w:val="clear" w:color="auto" w:fill="FFFFFF"/>
          </w:tcPr>
          <w:p w14:paraId="4D2A7FA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2.537,2</w:t>
            </w:r>
          </w:p>
        </w:tc>
        <w:tc>
          <w:tcPr>
            <w:tcW w:w="752" w:type="dxa"/>
            <w:tcBorders>
              <w:top w:val="single" w:sz="4" w:space="0" w:color="auto"/>
              <w:left w:val="single" w:sz="4" w:space="0" w:color="auto"/>
            </w:tcBorders>
            <w:shd w:val="clear" w:color="auto" w:fill="FFFFFF"/>
          </w:tcPr>
          <w:p w14:paraId="726F23C5"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111.7</w:t>
            </w:r>
          </w:p>
        </w:tc>
        <w:tc>
          <w:tcPr>
            <w:tcW w:w="1064" w:type="dxa"/>
            <w:tcBorders>
              <w:top w:val="single" w:sz="4" w:space="0" w:color="auto"/>
              <w:left w:val="single" w:sz="4" w:space="0" w:color="auto"/>
            </w:tcBorders>
            <w:shd w:val="clear" w:color="auto" w:fill="FFFFFF"/>
          </w:tcPr>
          <w:p w14:paraId="2CBC261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-286,6</w:t>
            </w:r>
          </w:p>
        </w:tc>
        <w:tc>
          <w:tcPr>
            <w:tcW w:w="731" w:type="dxa"/>
            <w:tcBorders>
              <w:top w:val="single" w:sz="4" w:space="0" w:color="auto"/>
              <w:left w:val="single" w:sz="4" w:space="0" w:color="auto"/>
              <w:right w:val="single" w:sz="4" w:space="0" w:color="auto"/>
            </w:tcBorders>
            <w:shd w:val="clear" w:color="auto" w:fill="FFFFFF"/>
          </w:tcPr>
          <w:p w14:paraId="490D2A6C" w14:textId="77777777" w:rsidR="00C32938" w:rsidRPr="00341E6C" w:rsidRDefault="00C32938" w:rsidP="00C32938">
            <w:pPr>
              <w:pStyle w:val="20"/>
              <w:shd w:val="clear" w:color="auto" w:fill="auto"/>
              <w:spacing w:before="0" w:after="0" w:line="240" w:lineRule="auto"/>
              <w:ind w:left="260"/>
              <w:contextualSpacing/>
              <w:jc w:val="right"/>
              <w:rPr>
                <w:rFonts w:asciiTheme="majorHAnsi" w:hAnsiTheme="majorHAnsi" w:cstheme="majorHAnsi"/>
                <w:lang w:val="ro-RO"/>
              </w:rPr>
            </w:pPr>
            <w:r w:rsidRPr="00341E6C">
              <w:rPr>
                <w:rStyle w:val="295pt"/>
                <w:rFonts w:asciiTheme="majorHAnsi" w:eastAsiaTheme="majorEastAsia" w:hAnsiTheme="majorHAnsi" w:cstheme="majorHAnsi"/>
              </w:rPr>
              <w:t>98.8</w:t>
            </w:r>
          </w:p>
        </w:tc>
      </w:tr>
      <w:tr w:rsidR="00C32938" w:rsidRPr="00341E6C" w14:paraId="577A6D02" w14:textId="77777777" w:rsidTr="00C32938">
        <w:trPr>
          <w:trHeight w:val="144"/>
        </w:trPr>
        <w:tc>
          <w:tcPr>
            <w:tcW w:w="5130" w:type="dxa"/>
            <w:tcBorders>
              <w:top w:val="single" w:sz="4" w:space="0" w:color="auto"/>
              <w:left w:val="single" w:sz="4" w:space="0" w:color="auto"/>
            </w:tcBorders>
            <w:shd w:val="clear" w:color="auto" w:fill="FFFFFF"/>
          </w:tcPr>
          <w:p w14:paraId="30606603" w14:textId="77777777" w:rsidR="00C32938" w:rsidRPr="00341E6C" w:rsidRDefault="00C32938" w:rsidP="009B59B6">
            <w:pPr>
              <w:pStyle w:val="20"/>
              <w:numPr>
                <w:ilvl w:val="0"/>
                <w:numId w:val="5"/>
              </w:numPr>
              <w:shd w:val="clear" w:color="auto" w:fill="auto"/>
              <w:spacing w:before="0" w:after="0" w:line="240" w:lineRule="auto"/>
              <w:ind w:left="122" w:firstLine="0"/>
              <w:contextualSpacing/>
              <w:rPr>
                <w:rFonts w:asciiTheme="majorHAnsi" w:hAnsiTheme="majorHAnsi" w:cstheme="majorHAnsi"/>
                <w:lang w:val="ro-RO"/>
              </w:rPr>
            </w:pPr>
            <w:r w:rsidRPr="00341E6C">
              <w:rPr>
                <w:rStyle w:val="295pt"/>
                <w:rFonts w:asciiTheme="majorHAnsi" w:eastAsiaTheme="majorEastAsia" w:hAnsiTheme="majorHAnsi" w:cstheme="majorHAnsi"/>
              </w:rPr>
              <w:t>Resurse proprii ale BASS</w:t>
            </w:r>
          </w:p>
        </w:tc>
        <w:tc>
          <w:tcPr>
            <w:tcW w:w="992" w:type="dxa"/>
            <w:tcBorders>
              <w:top w:val="single" w:sz="4" w:space="0" w:color="auto"/>
              <w:left w:val="single" w:sz="4" w:space="0" w:color="auto"/>
            </w:tcBorders>
            <w:shd w:val="clear" w:color="auto" w:fill="FFFFFF"/>
          </w:tcPr>
          <w:p w14:paraId="7D3645B9"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13.791,2</w:t>
            </w:r>
          </w:p>
        </w:tc>
        <w:tc>
          <w:tcPr>
            <w:tcW w:w="1180" w:type="dxa"/>
            <w:tcBorders>
              <w:top w:val="single" w:sz="4" w:space="0" w:color="auto"/>
              <w:left w:val="single" w:sz="4" w:space="0" w:color="auto"/>
            </w:tcBorders>
            <w:shd w:val="clear" w:color="auto" w:fill="FFFFFF"/>
          </w:tcPr>
          <w:p w14:paraId="261DB2BC" w14:textId="77777777" w:rsidR="00C32938" w:rsidRPr="00341E6C" w:rsidRDefault="00C32938" w:rsidP="00C32938">
            <w:pPr>
              <w:pStyle w:val="20"/>
              <w:shd w:val="clear" w:color="auto" w:fill="auto"/>
              <w:spacing w:before="0" w:after="0" w:line="240" w:lineRule="auto"/>
              <w:ind w:left="140"/>
              <w:contextualSpacing/>
              <w:jc w:val="right"/>
              <w:rPr>
                <w:rFonts w:asciiTheme="majorHAnsi" w:hAnsiTheme="majorHAnsi" w:cstheme="majorHAnsi"/>
                <w:b/>
                <w:i/>
                <w:lang w:val="ro-RO"/>
              </w:rPr>
            </w:pPr>
            <w:r w:rsidRPr="00341E6C">
              <w:rPr>
                <w:rFonts w:asciiTheme="majorHAnsi" w:hAnsiTheme="majorHAnsi" w:cstheme="majorHAnsi"/>
                <w:b/>
                <w:i/>
                <w:lang w:val="ro-RO"/>
              </w:rPr>
              <w:t>14.930,5</w:t>
            </w:r>
          </w:p>
        </w:tc>
        <w:tc>
          <w:tcPr>
            <w:tcW w:w="1205" w:type="dxa"/>
            <w:tcBorders>
              <w:top w:val="single" w:sz="4" w:space="0" w:color="auto"/>
              <w:left w:val="single" w:sz="4" w:space="0" w:color="auto"/>
            </w:tcBorders>
            <w:shd w:val="clear" w:color="auto" w:fill="FFFFFF"/>
          </w:tcPr>
          <w:p w14:paraId="5C5E98C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14.248,2</w:t>
            </w:r>
          </w:p>
        </w:tc>
        <w:tc>
          <w:tcPr>
            <w:tcW w:w="1213" w:type="dxa"/>
            <w:tcBorders>
              <w:top w:val="single" w:sz="4" w:space="0" w:color="auto"/>
              <w:left w:val="single" w:sz="4" w:space="0" w:color="auto"/>
            </w:tcBorders>
            <w:shd w:val="clear" w:color="auto" w:fill="FFFFFF"/>
          </w:tcPr>
          <w:p w14:paraId="341728BD" w14:textId="77777777" w:rsidR="00C32938" w:rsidRPr="00341E6C" w:rsidRDefault="00C32938" w:rsidP="00C32938">
            <w:pPr>
              <w:pStyle w:val="20"/>
              <w:shd w:val="clear" w:color="auto" w:fill="auto"/>
              <w:spacing w:before="0" w:after="0" w:line="240" w:lineRule="auto"/>
              <w:ind w:left="160"/>
              <w:contextualSpacing/>
              <w:jc w:val="right"/>
              <w:rPr>
                <w:rFonts w:asciiTheme="majorHAnsi" w:hAnsiTheme="majorHAnsi" w:cstheme="majorHAnsi"/>
                <w:b/>
                <w:i/>
                <w:lang w:val="ro-RO"/>
              </w:rPr>
            </w:pPr>
            <w:r w:rsidRPr="00341E6C">
              <w:rPr>
                <w:rFonts w:asciiTheme="majorHAnsi" w:hAnsiTheme="majorHAnsi" w:cstheme="majorHAnsi"/>
                <w:b/>
                <w:i/>
                <w:lang w:val="ro-RO"/>
              </w:rPr>
              <w:t>14 516,2</w:t>
            </w:r>
          </w:p>
        </w:tc>
        <w:tc>
          <w:tcPr>
            <w:tcW w:w="1132" w:type="dxa"/>
            <w:tcBorders>
              <w:top w:val="single" w:sz="4" w:space="0" w:color="auto"/>
              <w:left w:val="single" w:sz="4" w:space="0" w:color="auto"/>
            </w:tcBorders>
            <w:shd w:val="clear" w:color="auto" w:fill="FFFFFF"/>
          </w:tcPr>
          <w:p w14:paraId="7782A177"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59,8</w:t>
            </w:r>
          </w:p>
        </w:tc>
        <w:tc>
          <w:tcPr>
            <w:tcW w:w="1122" w:type="dxa"/>
            <w:tcBorders>
              <w:top w:val="single" w:sz="4" w:space="0" w:color="auto"/>
              <w:left w:val="single" w:sz="4" w:space="0" w:color="auto"/>
            </w:tcBorders>
            <w:shd w:val="clear" w:color="auto" w:fill="FFFFFF"/>
          </w:tcPr>
          <w:p w14:paraId="69794505"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725,0</w:t>
            </w:r>
          </w:p>
        </w:tc>
        <w:tc>
          <w:tcPr>
            <w:tcW w:w="752" w:type="dxa"/>
            <w:tcBorders>
              <w:top w:val="single" w:sz="4" w:space="0" w:color="auto"/>
              <w:left w:val="single" w:sz="4" w:space="0" w:color="auto"/>
            </w:tcBorders>
            <w:shd w:val="clear" w:color="auto" w:fill="FFFFFF"/>
          </w:tcPr>
          <w:p w14:paraId="6C59B525"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b/>
                <w:i/>
                <w:lang w:val="ro-RO"/>
              </w:rPr>
            </w:pPr>
            <w:r w:rsidRPr="00341E6C">
              <w:rPr>
                <w:rFonts w:asciiTheme="majorHAnsi" w:hAnsiTheme="majorHAnsi" w:cstheme="majorHAnsi"/>
                <w:b/>
                <w:i/>
                <w:lang w:val="ro-RO"/>
              </w:rPr>
              <w:t>105,3</w:t>
            </w:r>
          </w:p>
        </w:tc>
        <w:tc>
          <w:tcPr>
            <w:tcW w:w="1064" w:type="dxa"/>
            <w:tcBorders>
              <w:top w:val="single" w:sz="4" w:space="0" w:color="auto"/>
              <w:left w:val="single" w:sz="4" w:space="0" w:color="auto"/>
            </w:tcBorders>
            <w:shd w:val="clear" w:color="auto" w:fill="FFFFFF"/>
          </w:tcPr>
          <w:p w14:paraId="48872E99" w14:textId="77777777" w:rsidR="00C32938" w:rsidRPr="00341E6C" w:rsidRDefault="00C32938" w:rsidP="00C32938">
            <w:pPr>
              <w:pStyle w:val="20"/>
              <w:shd w:val="clear" w:color="auto" w:fill="auto"/>
              <w:spacing w:before="0" w:after="0" w:line="240" w:lineRule="auto"/>
              <w:ind w:left="280"/>
              <w:contextualSpacing/>
              <w:jc w:val="right"/>
              <w:rPr>
                <w:rFonts w:asciiTheme="majorHAnsi" w:hAnsiTheme="majorHAnsi" w:cstheme="majorHAnsi"/>
                <w:b/>
                <w:i/>
                <w:lang w:val="ro-RO"/>
              </w:rPr>
            </w:pPr>
            <w:r w:rsidRPr="00341E6C">
              <w:rPr>
                <w:rFonts w:asciiTheme="majorHAnsi" w:hAnsiTheme="majorHAnsi" w:cstheme="majorHAnsi"/>
                <w:b/>
                <w:i/>
                <w:lang w:val="ro-RO"/>
              </w:rPr>
              <w:t>268,0</w:t>
            </w:r>
          </w:p>
        </w:tc>
        <w:tc>
          <w:tcPr>
            <w:tcW w:w="731" w:type="dxa"/>
            <w:tcBorders>
              <w:top w:val="single" w:sz="4" w:space="0" w:color="auto"/>
              <w:left w:val="single" w:sz="4" w:space="0" w:color="auto"/>
              <w:right w:val="single" w:sz="4" w:space="0" w:color="auto"/>
            </w:tcBorders>
            <w:shd w:val="clear" w:color="auto" w:fill="FFFFFF"/>
          </w:tcPr>
          <w:p w14:paraId="05137BA0" w14:textId="77777777" w:rsidR="00C32938" w:rsidRPr="00341E6C" w:rsidRDefault="00C32938" w:rsidP="00C32938">
            <w:pPr>
              <w:pStyle w:val="20"/>
              <w:shd w:val="clear" w:color="auto" w:fill="auto"/>
              <w:spacing w:before="0" w:after="0" w:line="240" w:lineRule="auto"/>
              <w:ind w:left="160"/>
              <w:contextualSpacing/>
              <w:jc w:val="right"/>
              <w:rPr>
                <w:rFonts w:asciiTheme="majorHAnsi" w:hAnsiTheme="majorHAnsi" w:cstheme="majorHAnsi"/>
                <w:b/>
                <w:i/>
                <w:lang w:val="ro-RO"/>
              </w:rPr>
            </w:pPr>
            <w:r w:rsidRPr="00341E6C">
              <w:rPr>
                <w:rFonts w:asciiTheme="majorHAnsi" w:hAnsiTheme="majorHAnsi" w:cstheme="majorHAnsi"/>
                <w:b/>
                <w:i/>
                <w:lang w:val="ro-RO"/>
              </w:rPr>
              <w:t>101,9</w:t>
            </w:r>
          </w:p>
        </w:tc>
      </w:tr>
      <w:tr w:rsidR="00C32938" w:rsidRPr="00341E6C" w14:paraId="7743BAAA" w14:textId="77777777" w:rsidTr="00C32938">
        <w:trPr>
          <w:trHeight w:val="144"/>
        </w:trPr>
        <w:tc>
          <w:tcPr>
            <w:tcW w:w="5130" w:type="dxa"/>
            <w:tcBorders>
              <w:top w:val="single" w:sz="4" w:space="0" w:color="auto"/>
              <w:left w:val="single" w:sz="4" w:space="0" w:color="auto"/>
            </w:tcBorders>
            <w:shd w:val="clear" w:color="auto" w:fill="FFFFFF"/>
          </w:tcPr>
          <w:p w14:paraId="0EB4D54C" w14:textId="77777777" w:rsidR="00C32938" w:rsidRPr="004B68DE" w:rsidRDefault="00C32938" w:rsidP="00C32938">
            <w:pPr>
              <w:pStyle w:val="20"/>
              <w:shd w:val="clear" w:color="auto" w:fill="auto"/>
              <w:spacing w:before="0" w:after="0" w:line="240" w:lineRule="auto"/>
              <w:jc w:val="both"/>
              <w:rPr>
                <w:rFonts w:asciiTheme="majorHAnsi" w:hAnsiTheme="majorHAnsi" w:cstheme="majorHAnsi"/>
                <w:i/>
                <w:lang w:val="ro-RO"/>
              </w:rPr>
            </w:pPr>
            <w:r w:rsidRPr="005A4F77">
              <w:rPr>
                <w:rStyle w:val="275pt"/>
                <w:rFonts w:asciiTheme="majorHAnsi" w:eastAsiaTheme="majorEastAsia" w:hAnsiTheme="majorHAnsi" w:cstheme="majorHAnsi"/>
                <w:sz w:val="18"/>
                <w:szCs w:val="18"/>
              </w:rPr>
              <w:t>1.1. Contribuţii şi prime de asigurări sociale de stat obligatorii, inclusiv</w:t>
            </w:r>
          </w:p>
        </w:tc>
        <w:tc>
          <w:tcPr>
            <w:tcW w:w="992" w:type="dxa"/>
            <w:tcBorders>
              <w:top w:val="single" w:sz="4" w:space="0" w:color="auto"/>
              <w:left w:val="single" w:sz="4" w:space="0" w:color="auto"/>
            </w:tcBorders>
            <w:shd w:val="clear" w:color="auto" w:fill="FFFFFF"/>
          </w:tcPr>
          <w:p w14:paraId="4A6789D8"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13.635,6</w:t>
            </w:r>
          </w:p>
        </w:tc>
        <w:tc>
          <w:tcPr>
            <w:tcW w:w="1180" w:type="dxa"/>
            <w:tcBorders>
              <w:top w:val="single" w:sz="4" w:space="0" w:color="auto"/>
              <w:left w:val="single" w:sz="4" w:space="0" w:color="auto"/>
            </w:tcBorders>
            <w:shd w:val="clear" w:color="auto" w:fill="FFFFFF"/>
          </w:tcPr>
          <w:p w14:paraId="011FF705" w14:textId="77777777" w:rsidR="00C32938" w:rsidRPr="00341E6C" w:rsidRDefault="00C32938" w:rsidP="00C32938">
            <w:pPr>
              <w:pStyle w:val="20"/>
              <w:shd w:val="clear" w:color="auto" w:fill="auto"/>
              <w:spacing w:before="0" w:after="0" w:line="240" w:lineRule="auto"/>
              <w:ind w:left="140"/>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14.779,3</w:t>
            </w:r>
          </w:p>
        </w:tc>
        <w:tc>
          <w:tcPr>
            <w:tcW w:w="1205" w:type="dxa"/>
            <w:tcBorders>
              <w:top w:val="single" w:sz="4" w:space="0" w:color="auto"/>
              <w:left w:val="single" w:sz="4" w:space="0" w:color="auto"/>
            </w:tcBorders>
            <w:shd w:val="clear" w:color="auto" w:fill="FFFFFF"/>
          </w:tcPr>
          <w:p w14:paraId="42541C3C"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14.023,8</w:t>
            </w:r>
          </w:p>
        </w:tc>
        <w:tc>
          <w:tcPr>
            <w:tcW w:w="1213" w:type="dxa"/>
            <w:tcBorders>
              <w:top w:val="single" w:sz="4" w:space="0" w:color="auto"/>
              <w:left w:val="single" w:sz="4" w:space="0" w:color="auto"/>
            </w:tcBorders>
            <w:shd w:val="clear" w:color="auto" w:fill="FFFFFF"/>
          </w:tcPr>
          <w:p w14:paraId="2FCC0417"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14.295,4</w:t>
            </w:r>
          </w:p>
        </w:tc>
        <w:tc>
          <w:tcPr>
            <w:tcW w:w="1132" w:type="dxa"/>
            <w:tcBorders>
              <w:top w:val="single" w:sz="4" w:space="0" w:color="auto"/>
              <w:left w:val="single" w:sz="4" w:space="0" w:color="auto"/>
            </w:tcBorders>
            <w:shd w:val="clear" w:color="auto" w:fill="FFFFFF"/>
          </w:tcPr>
          <w:p w14:paraId="40C5A093"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98,5</w:t>
            </w:r>
          </w:p>
        </w:tc>
        <w:tc>
          <w:tcPr>
            <w:tcW w:w="1122" w:type="dxa"/>
            <w:tcBorders>
              <w:top w:val="single" w:sz="4" w:space="0" w:color="auto"/>
              <w:left w:val="single" w:sz="4" w:space="0" w:color="auto"/>
            </w:tcBorders>
            <w:shd w:val="clear" w:color="auto" w:fill="FFFFFF"/>
          </w:tcPr>
          <w:p w14:paraId="78AE0669"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659,6</w:t>
            </w:r>
          </w:p>
        </w:tc>
        <w:tc>
          <w:tcPr>
            <w:tcW w:w="752" w:type="dxa"/>
            <w:tcBorders>
              <w:top w:val="single" w:sz="4" w:space="0" w:color="auto"/>
              <w:left w:val="single" w:sz="4" w:space="0" w:color="auto"/>
            </w:tcBorders>
            <w:shd w:val="clear" w:color="auto" w:fill="FFFFFF"/>
          </w:tcPr>
          <w:p w14:paraId="4738D046"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104.8</w:t>
            </w:r>
          </w:p>
        </w:tc>
        <w:tc>
          <w:tcPr>
            <w:tcW w:w="1064" w:type="dxa"/>
            <w:tcBorders>
              <w:top w:val="single" w:sz="4" w:space="0" w:color="auto"/>
              <w:left w:val="single" w:sz="4" w:space="0" w:color="auto"/>
            </w:tcBorders>
            <w:shd w:val="clear" w:color="auto" w:fill="FFFFFF"/>
          </w:tcPr>
          <w:p w14:paraId="699AD715" w14:textId="77777777" w:rsidR="00C32938" w:rsidRPr="00341E6C" w:rsidRDefault="00C32938" w:rsidP="00C32938">
            <w:pPr>
              <w:pStyle w:val="20"/>
              <w:shd w:val="clear" w:color="auto" w:fill="auto"/>
              <w:spacing w:before="0" w:after="0" w:line="240" w:lineRule="auto"/>
              <w:ind w:left="280"/>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271,6</w:t>
            </w:r>
          </w:p>
        </w:tc>
        <w:tc>
          <w:tcPr>
            <w:tcW w:w="731" w:type="dxa"/>
            <w:tcBorders>
              <w:top w:val="single" w:sz="4" w:space="0" w:color="auto"/>
              <w:left w:val="single" w:sz="4" w:space="0" w:color="auto"/>
              <w:right w:val="single" w:sz="4" w:space="0" w:color="auto"/>
            </w:tcBorders>
            <w:shd w:val="clear" w:color="auto" w:fill="FFFFFF"/>
          </w:tcPr>
          <w:p w14:paraId="743A2FAB" w14:textId="77777777" w:rsidR="00C32938" w:rsidRPr="00341E6C" w:rsidRDefault="00C32938" w:rsidP="00C32938">
            <w:pPr>
              <w:pStyle w:val="20"/>
              <w:shd w:val="clear" w:color="auto" w:fill="auto"/>
              <w:spacing w:before="0" w:after="0" w:line="240" w:lineRule="auto"/>
              <w:ind w:left="160"/>
              <w:contextualSpacing/>
              <w:jc w:val="right"/>
              <w:rPr>
                <w:rFonts w:asciiTheme="majorHAnsi" w:hAnsiTheme="majorHAnsi" w:cstheme="majorHAnsi"/>
                <w:i/>
                <w:lang w:val="ro-RO"/>
              </w:rPr>
            </w:pPr>
            <w:r w:rsidRPr="00341E6C">
              <w:rPr>
                <w:rStyle w:val="275pt"/>
                <w:rFonts w:asciiTheme="majorHAnsi" w:eastAsiaTheme="majorEastAsia" w:hAnsiTheme="majorHAnsi" w:cstheme="majorHAnsi"/>
              </w:rPr>
              <w:t>101.9</w:t>
            </w:r>
          </w:p>
        </w:tc>
      </w:tr>
      <w:tr w:rsidR="00C32938" w:rsidRPr="00341E6C" w14:paraId="3B092FEF" w14:textId="77777777" w:rsidTr="00C32938">
        <w:trPr>
          <w:trHeight w:val="144"/>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7C5CFC39" w14:textId="77777777" w:rsidR="00C32938" w:rsidRPr="00341E6C" w:rsidRDefault="00C32938" w:rsidP="009B59B6">
            <w:pPr>
              <w:pStyle w:val="ListParagraph"/>
              <w:numPr>
                <w:ilvl w:val="0"/>
                <w:numId w:val="6"/>
              </w:numPr>
              <w:spacing w:after="0" w:line="240" w:lineRule="auto"/>
              <w:ind w:left="122" w:firstLine="142"/>
              <w:contextualSpacing w:val="0"/>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contribuţii de asigurări sociale de stat obligatorii virate de angajatori</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50946"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10.244,6</w:t>
            </w:r>
          </w:p>
        </w:tc>
        <w:tc>
          <w:tcPr>
            <w:tcW w:w="1180" w:type="dxa"/>
            <w:tcBorders>
              <w:top w:val="single" w:sz="4" w:space="0" w:color="auto"/>
              <w:left w:val="single" w:sz="4" w:space="0" w:color="auto"/>
            </w:tcBorders>
            <w:shd w:val="clear" w:color="auto" w:fill="FFFFFF"/>
          </w:tcPr>
          <w:p w14:paraId="718191ED"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11.121,3</w:t>
            </w:r>
          </w:p>
        </w:tc>
        <w:tc>
          <w:tcPr>
            <w:tcW w:w="1205" w:type="dxa"/>
            <w:tcBorders>
              <w:top w:val="single" w:sz="4" w:space="0" w:color="auto"/>
              <w:left w:val="single" w:sz="4" w:space="0" w:color="auto"/>
            </w:tcBorders>
            <w:shd w:val="clear" w:color="auto" w:fill="FFFFFF"/>
          </w:tcPr>
          <w:p w14:paraId="12C82697" w14:textId="77777777" w:rsidR="00C32938" w:rsidRPr="00341E6C" w:rsidRDefault="00C32938" w:rsidP="00C32938">
            <w:pPr>
              <w:spacing w:after="0" w:line="240" w:lineRule="auto"/>
              <w:contextualSpacing/>
              <w:jc w:val="center"/>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10.522,8</w:t>
            </w:r>
          </w:p>
        </w:tc>
        <w:tc>
          <w:tcPr>
            <w:tcW w:w="1213" w:type="dxa"/>
            <w:tcBorders>
              <w:top w:val="single" w:sz="4" w:space="0" w:color="auto"/>
              <w:left w:val="single" w:sz="4" w:space="0" w:color="auto"/>
            </w:tcBorders>
            <w:shd w:val="clear" w:color="auto" w:fill="FFFFFF"/>
          </w:tcPr>
          <w:p w14:paraId="237D1B2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10.762,3</w:t>
            </w:r>
          </w:p>
        </w:tc>
        <w:tc>
          <w:tcPr>
            <w:tcW w:w="1132" w:type="dxa"/>
            <w:tcBorders>
              <w:top w:val="single" w:sz="4" w:space="0" w:color="auto"/>
              <w:left w:val="single" w:sz="4" w:space="0" w:color="auto"/>
            </w:tcBorders>
            <w:shd w:val="clear" w:color="auto" w:fill="FFFFFF"/>
          </w:tcPr>
          <w:p w14:paraId="1186F4F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74,1</w:t>
            </w:r>
          </w:p>
        </w:tc>
        <w:tc>
          <w:tcPr>
            <w:tcW w:w="1122" w:type="dxa"/>
            <w:tcBorders>
              <w:top w:val="single" w:sz="4" w:space="0" w:color="auto"/>
              <w:left w:val="single" w:sz="4" w:space="0" w:color="auto"/>
            </w:tcBorders>
            <w:shd w:val="clear" w:color="auto" w:fill="FFFFFF"/>
          </w:tcPr>
          <w:p w14:paraId="01708D1D"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517,6</w:t>
            </w:r>
          </w:p>
        </w:tc>
        <w:tc>
          <w:tcPr>
            <w:tcW w:w="752" w:type="dxa"/>
            <w:tcBorders>
              <w:top w:val="single" w:sz="4" w:space="0" w:color="auto"/>
              <w:left w:val="single" w:sz="4" w:space="0" w:color="auto"/>
            </w:tcBorders>
            <w:shd w:val="clear" w:color="auto" w:fill="FFFFFF"/>
          </w:tcPr>
          <w:p w14:paraId="55E23BC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105,1</w:t>
            </w:r>
          </w:p>
        </w:tc>
        <w:tc>
          <w:tcPr>
            <w:tcW w:w="1064" w:type="dxa"/>
            <w:tcBorders>
              <w:top w:val="single" w:sz="4" w:space="0" w:color="auto"/>
              <w:left w:val="single" w:sz="4" w:space="0" w:color="auto"/>
            </w:tcBorders>
            <w:shd w:val="clear" w:color="auto" w:fill="FFFFFF"/>
          </w:tcPr>
          <w:p w14:paraId="631CC5A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239,4</w:t>
            </w:r>
          </w:p>
        </w:tc>
        <w:tc>
          <w:tcPr>
            <w:tcW w:w="731" w:type="dxa"/>
            <w:tcBorders>
              <w:top w:val="single" w:sz="4" w:space="0" w:color="auto"/>
              <w:left w:val="single" w:sz="4" w:space="0" w:color="auto"/>
              <w:right w:val="single" w:sz="4" w:space="0" w:color="auto"/>
            </w:tcBorders>
            <w:shd w:val="clear" w:color="auto" w:fill="FFFFFF"/>
          </w:tcPr>
          <w:p w14:paraId="61D81E2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102,3</w:t>
            </w:r>
          </w:p>
        </w:tc>
      </w:tr>
      <w:tr w:rsidR="00C32938" w:rsidRPr="00341E6C" w14:paraId="3D522C77"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6A80AA08" w14:textId="77777777" w:rsidR="00C32938" w:rsidRPr="00341E6C" w:rsidRDefault="00C32938" w:rsidP="009B59B6">
            <w:pPr>
              <w:pStyle w:val="ListParagraph"/>
              <w:numPr>
                <w:ilvl w:val="0"/>
                <w:numId w:val="6"/>
              </w:numPr>
              <w:spacing w:after="0" w:line="240" w:lineRule="auto"/>
              <w:ind w:left="122" w:firstLine="238"/>
              <w:contextualSpacing w:val="0"/>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 xml:space="preserve">contribuţii individuale de asigurări sociale de stat obligatorii </w:t>
            </w:r>
          </w:p>
        </w:tc>
        <w:tc>
          <w:tcPr>
            <w:tcW w:w="992" w:type="dxa"/>
            <w:tcBorders>
              <w:top w:val="nil"/>
              <w:left w:val="single" w:sz="4" w:space="0" w:color="auto"/>
              <w:bottom w:val="single" w:sz="4" w:space="0" w:color="auto"/>
              <w:right w:val="single" w:sz="4" w:space="0" w:color="auto"/>
            </w:tcBorders>
            <w:shd w:val="clear" w:color="auto" w:fill="auto"/>
          </w:tcPr>
          <w:p w14:paraId="6507D650"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3.239,01</w:t>
            </w:r>
          </w:p>
        </w:tc>
        <w:tc>
          <w:tcPr>
            <w:tcW w:w="1180" w:type="dxa"/>
            <w:tcBorders>
              <w:top w:val="single" w:sz="4" w:space="0" w:color="auto"/>
              <w:left w:val="single" w:sz="4" w:space="0" w:color="auto"/>
            </w:tcBorders>
            <w:shd w:val="clear" w:color="auto" w:fill="FFFFFF"/>
          </w:tcPr>
          <w:p w14:paraId="78B599FE"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3.512,7</w:t>
            </w:r>
          </w:p>
        </w:tc>
        <w:tc>
          <w:tcPr>
            <w:tcW w:w="1205" w:type="dxa"/>
            <w:tcBorders>
              <w:top w:val="single" w:sz="4" w:space="0" w:color="auto"/>
              <w:left w:val="single" w:sz="4" w:space="0" w:color="auto"/>
            </w:tcBorders>
            <w:shd w:val="clear" w:color="auto" w:fill="FFFFFF"/>
          </w:tcPr>
          <w:p w14:paraId="69E1AAC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3.356,7</w:t>
            </w:r>
          </w:p>
        </w:tc>
        <w:tc>
          <w:tcPr>
            <w:tcW w:w="1213" w:type="dxa"/>
            <w:tcBorders>
              <w:top w:val="single" w:sz="4" w:space="0" w:color="auto"/>
              <w:left w:val="single" w:sz="4" w:space="0" w:color="auto"/>
            </w:tcBorders>
            <w:shd w:val="clear" w:color="auto" w:fill="FFFFFF"/>
          </w:tcPr>
          <w:p w14:paraId="116221F7"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3.375,8</w:t>
            </w:r>
          </w:p>
        </w:tc>
        <w:tc>
          <w:tcPr>
            <w:tcW w:w="1132" w:type="dxa"/>
            <w:tcBorders>
              <w:top w:val="single" w:sz="4" w:space="0" w:color="auto"/>
              <w:left w:val="single" w:sz="4" w:space="0" w:color="auto"/>
            </w:tcBorders>
            <w:shd w:val="clear" w:color="auto" w:fill="FFFFFF"/>
          </w:tcPr>
          <w:p w14:paraId="7CBDA9A3"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23,25</w:t>
            </w:r>
          </w:p>
        </w:tc>
        <w:tc>
          <w:tcPr>
            <w:tcW w:w="1122" w:type="dxa"/>
            <w:tcBorders>
              <w:top w:val="single" w:sz="4" w:space="0" w:color="auto"/>
              <w:left w:val="single" w:sz="4" w:space="0" w:color="auto"/>
            </w:tcBorders>
            <w:shd w:val="clear" w:color="auto" w:fill="FFFFFF"/>
          </w:tcPr>
          <w:p w14:paraId="1321D92A"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136,7</w:t>
            </w:r>
          </w:p>
        </w:tc>
        <w:tc>
          <w:tcPr>
            <w:tcW w:w="752" w:type="dxa"/>
            <w:tcBorders>
              <w:top w:val="single" w:sz="4" w:space="0" w:color="auto"/>
              <w:left w:val="single" w:sz="4" w:space="0" w:color="auto"/>
            </w:tcBorders>
            <w:shd w:val="clear" w:color="auto" w:fill="FFFFFF"/>
          </w:tcPr>
          <w:p w14:paraId="1494D8F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104,2</w:t>
            </w:r>
          </w:p>
        </w:tc>
        <w:tc>
          <w:tcPr>
            <w:tcW w:w="1064" w:type="dxa"/>
            <w:tcBorders>
              <w:top w:val="single" w:sz="4" w:space="0" w:color="auto"/>
              <w:left w:val="single" w:sz="4" w:space="0" w:color="auto"/>
            </w:tcBorders>
            <w:shd w:val="clear" w:color="auto" w:fill="FFFFFF"/>
          </w:tcPr>
          <w:p w14:paraId="2D54DBEB" w14:textId="77777777" w:rsidR="00C32938" w:rsidRPr="00341E6C" w:rsidRDefault="00C32938" w:rsidP="00C32938">
            <w:pPr>
              <w:spacing w:after="0" w:line="240" w:lineRule="auto"/>
              <w:contextualSpacing/>
              <w:jc w:val="center"/>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19,03</w:t>
            </w:r>
          </w:p>
        </w:tc>
        <w:tc>
          <w:tcPr>
            <w:tcW w:w="731" w:type="dxa"/>
            <w:tcBorders>
              <w:top w:val="single" w:sz="4" w:space="0" w:color="auto"/>
              <w:left w:val="single" w:sz="4" w:space="0" w:color="auto"/>
              <w:right w:val="single" w:sz="4" w:space="0" w:color="auto"/>
            </w:tcBorders>
            <w:shd w:val="clear" w:color="auto" w:fill="FFFFFF"/>
          </w:tcPr>
          <w:p w14:paraId="2B858BD5"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100,6</w:t>
            </w:r>
          </w:p>
        </w:tc>
      </w:tr>
      <w:tr w:rsidR="00C32938" w:rsidRPr="00341E6C" w14:paraId="62C58025"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1480B304" w14:textId="77777777" w:rsidR="00C32938" w:rsidRPr="00341E6C" w:rsidRDefault="00C32938" w:rsidP="009B59B6">
            <w:pPr>
              <w:pStyle w:val="ListParagraph"/>
              <w:numPr>
                <w:ilvl w:val="0"/>
                <w:numId w:val="6"/>
              </w:numPr>
              <w:spacing w:after="0" w:line="240" w:lineRule="auto"/>
              <w:ind w:left="122" w:firstLine="284"/>
              <w:contextualSpacing w:val="0"/>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contribuţii de asigurări sociale de stat obligatorii, virate de persoanele fizice ce îşi desfăşoară activitatea pe cont propriu</w:t>
            </w:r>
          </w:p>
        </w:tc>
        <w:tc>
          <w:tcPr>
            <w:tcW w:w="992" w:type="dxa"/>
            <w:tcBorders>
              <w:top w:val="nil"/>
              <w:left w:val="single" w:sz="4" w:space="0" w:color="auto"/>
              <w:bottom w:val="single" w:sz="4" w:space="0" w:color="auto"/>
              <w:right w:val="single" w:sz="4" w:space="0" w:color="auto"/>
            </w:tcBorders>
            <w:shd w:val="clear" w:color="auto" w:fill="auto"/>
          </w:tcPr>
          <w:p w14:paraId="28605581"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81,3</w:t>
            </w:r>
          </w:p>
        </w:tc>
        <w:tc>
          <w:tcPr>
            <w:tcW w:w="1180" w:type="dxa"/>
            <w:tcBorders>
              <w:top w:val="single" w:sz="4" w:space="0" w:color="auto"/>
              <w:left w:val="single" w:sz="4" w:space="0" w:color="auto"/>
            </w:tcBorders>
            <w:shd w:val="clear" w:color="auto" w:fill="FFFFFF"/>
          </w:tcPr>
          <w:p w14:paraId="12BD006C"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90,8</w:t>
            </w:r>
          </w:p>
        </w:tc>
        <w:tc>
          <w:tcPr>
            <w:tcW w:w="1205" w:type="dxa"/>
            <w:tcBorders>
              <w:top w:val="single" w:sz="4" w:space="0" w:color="auto"/>
              <w:left w:val="single" w:sz="4" w:space="0" w:color="auto"/>
            </w:tcBorders>
            <w:shd w:val="clear" w:color="auto" w:fill="FFFFFF"/>
          </w:tcPr>
          <w:p w14:paraId="77C5D871"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75,8</w:t>
            </w:r>
          </w:p>
        </w:tc>
        <w:tc>
          <w:tcPr>
            <w:tcW w:w="1213" w:type="dxa"/>
            <w:tcBorders>
              <w:top w:val="single" w:sz="4" w:space="0" w:color="auto"/>
              <w:left w:val="single" w:sz="4" w:space="0" w:color="auto"/>
            </w:tcBorders>
            <w:shd w:val="clear" w:color="auto" w:fill="FFFFFF"/>
          </w:tcPr>
          <w:p w14:paraId="7C0D6381"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85,8</w:t>
            </w:r>
          </w:p>
        </w:tc>
        <w:tc>
          <w:tcPr>
            <w:tcW w:w="1132" w:type="dxa"/>
            <w:tcBorders>
              <w:top w:val="single" w:sz="4" w:space="0" w:color="auto"/>
              <w:left w:val="single" w:sz="4" w:space="0" w:color="auto"/>
            </w:tcBorders>
            <w:shd w:val="clear" w:color="auto" w:fill="FFFFFF"/>
          </w:tcPr>
          <w:p w14:paraId="28AF40D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0,6</w:t>
            </w:r>
          </w:p>
        </w:tc>
        <w:tc>
          <w:tcPr>
            <w:tcW w:w="1122" w:type="dxa"/>
            <w:tcBorders>
              <w:top w:val="single" w:sz="4" w:space="0" w:color="auto"/>
              <w:left w:val="single" w:sz="4" w:space="0" w:color="auto"/>
            </w:tcBorders>
            <w:shd w:val="clear" w:color="auto" w:fill="FFFFFF"/>
          </w:tcPr>
          <w:p w14:paraId="6656CD52"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4,5</w:t>
            </w:r>
          </w:p>
        </w:tc>
        <w:tc>
          <w:tcPr>
            <w:tcW w:w="752" w:type="dxa"/>
            <w:tcBorders>
              <w:top w:val="single" w:sz="4" w:space="0" w:color="auto"/>
              <w:left w:val="single" w:sz="4" w:space="0" w:color="auto"/>
            </w:tcBorders>
            <w:shd w:val="clear" w:color="auto" w:fill="FFFFFF"/>
          </w:tcPr>
          <w:p w14:paraId="2B0FA77F"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105,6</w:t>
            </w:r>
          </w:p>
        </w:tc>
        <w:tc>
          <w:tcPr>
            <w:tcW w:w="1064" w:type="dxa"/>
            <w:tcBorders>
              <w:top w:val="single" w:sz="4" w:space="0" w:color="auto"/>
              <w:left w:val="single" w:sz="4" w:space="0" w:color="auto"/>
            </w:tcBorders>
            <w:shd w:val="clear" w:color="auto" w:fill="FFFFFF"/>
          </w:tcPr>
          <w:p w14:paraId="12996B69"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10,03</w:t>
            </w:r>
          </w:p>
        </w:tc>
        <w:tc>
          <w:tcPr>
            <w:tcW w:w="731" w:type="dxa"/>
            <w:tcBorders>
              <w:top w:val="single" w:sz="4" w:space="0" w:color="auto"/>
              <w:left w:val="single" w:sz="4" w:space="0" w:color="auto"/>
              <w:right w:val="single" w:sz="4" w:space="0" w:color="auto"/>
            </w:tcBorders>
            <w:shd w:val="clear" w:color="auto" w:fill="FFFFFF"/>
          </w:tcPr>
          <w:p w14:paraId="22BA5E6F"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113,2</w:t>
            </w:r>
          </w:p>
        </w:tc>
      </w:tr>
      <w:tr w:rsidR="00C32938" w:rsidRPr="00341E6C" w14:paraId="5E4ACB89"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4DD1F1A5" w14:textId="77777777" w:rsidR="00C32938" w:rsidRPr="00341E6C" w:rsidRDefault="00C32938" w:rsidP="00C32938">
            <w:pPr>
              <w:spacing w:after="0" w:line="240" w:lineRule="auto"/>
              <w:ind w:left="122" w:firstLine="264"/>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 contribuţii de asigurări sociale de stat individuale virate de persoanele fizice care au încheiat contract individual</w:t>
            </w:r>
          </w:p>
        </w:tc>
        <w:tc>
          <w:tcPr>
            <w:tcW w:w="992" w:type="dxa"/>
            <w:tcBorders>
              <w:top w:val="nil"/>
              <w:left w:val="single" w:sz="4" w:space="0" w:color="auto"/>
              <w:bottom w:val="single" w:sz="4" w:space="0" w:color="auto"/>
              <w:right w:val="single" w:sz="4" w:space="0" w:color="auto"/>
            </w:tcBorders>
            <w:shd w:val="clear" w:color="auto" w:fill="auto"/>
          </w:tcPr>
          <w:p w14:paraId="0A30177E"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6,07</w:t>
            </w:r>
          </w:p>
        </w:tc>
        <w:tc>
          <w:tcPr>
            <w:tcW w:w="1180" w:type="dxa"/>
            <w:tcBorders>
              <w:top w:val="single" w:sz="4" w:space="0" w:color="auto"/>
              <w:left w:val="single" w:sz="4" w:space="0" w:color="auto"/>
            </w:tcBorders>
            <w:shd w:val="clear" w:color="auto" w:fill="FFFFFF"/>
          </w:tcPr>
          <w:p w14:paraId="7201FA5D"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5,4</w:t>
            </w:r>
          </w:p>
        </w:tc>
        <w:tc>
          <w:tcPr>
            <w:tcW w:w="1205" w:type="dxa"/>
            <w:tcBorders>
              <w:top w:val="single" w:sz="4" w:space="0" w:color="auto"/>
              <w:left w:val="single" w:sz="4" w:space="0" w:color="auto"/>
            </w:tcBorders>
            <w:shd w:val="clear" w:color="auto" w:fill="FFFFFF"/>
          </w:tcPr>
          <w:p w14:paraId="50EEA776"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3,4</w:t>
            </w:r>
          </w:p>
        </w:tc>
        <w:tc>
          <w:tcPr>
            <w:tcW w:w="1213" w:type="dxa"/>
            <w:tcBorders>
              <w:top w:val="single" w:sz="4" w:space="0" w:color="auto"/>
              <w:left w:val="single" w:sz="4" w:space="0" w:color="auto"/>
            </w:tcBorders>
            <w:shd w:val="clear" w:color="auto" w:fill="FFFFFF"/>
          </w:tcPr>
          <w:p w14:paraId="6E9B4670"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4,5</w:t>
            </w:r>
          </w:p>
        </w:tc>
        <w:tc>
          <w:tcPr>
            <w:tcW w:w="1132" w:type="dxa"/>
            <w:tcBorders>
              <w:top w:val="single" w:sz="4" w:space="0" w:color="auto"/>
              <w:left w:val="single" w:sz="4" w:space="0" w:color="auto"/>
            </w:tcBorders>
            <w:shd w:val="clear" w:color="auto" w:fill="FFFFFF"/>
          </w:tcPr>
          <w:p w14:paraId="55EA181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0,03</w:t>
            </w:r>
          </w:p>
        </w:tc>
        <w:tc>
          <w:tcPr>
            <w:tcW w:w="1122" w:type="dxa"/>
            <w:tcBorders>
              <w:top w:val="single" w:sz="4" w:space="0" w:color="auto"/>
              <w:left w:val="single" w:sz="4" w:space="0" w:color="auto"/>
            </w:tcBorders>
            <w:shd w:val="clear" w:color="auto" w:fill="FFFFFF"/>
          </w:tcPr>
          <w:p w14:paraId="10AB2FA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-1,6</w:t>
            </w:r>
          </w:p>
        </w:tc>
        <w:tc>
          <w:tcPr>
            <w:tcW w:w="752" w:type="dxa"/>
            <w:tcBorders>
              <w:top w:val="single" w:sz="4" w:space="0" w:color="auto"/>
              <w:left w:val="single" w:sz="4" w:space="0" w:color="auto"/>
            </w:tcBorders>
            <w:shd w:val="clear" w:color="auto" w:fill="FFFFFF"/>
          </w:tcPr>
          <w:p w14:paraId="124FF8D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73,4</w:t>
            </w:r>
          </w:p>
        </w:tc>
        <w:tc>
          <w:tcPr>
            <w:tcW w:w="1064" w:type="dxa"/>
            <w:tcBorders>
              <w:top w:val="single" w:sz="4" w:space="0" w:color="auto"/>
              <w:left w:val="single" w:sz="4" w:space="0" w:color="auto"/>
            </w:tcBorders>
            <w:shd w:val="clear" w:color="auto" w:fill="FFFFFF"/>
          </w:tcPr>
          <w:p w14:paraId="2109AAB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1,06</w:t>
            </w:r>
          </w:p>
        </w:tc>
        <w:tc>
          <w:tcPr>
            <w:tcW w:w="731" w:type="dxa"/>
            <w:tcBorders>
              <w:top w:val="single" w:sz="4" w:space="0" w:color="auto"/>
              <w:left w:val="single" w:sz="4" w:space="0" w:color="auto"/>
              <w:right w:val="single" w:sz="4" w:space="0" w:color="auto"/>
            </w:tcBorders>
            <w:shd w:val="clear" w:color="auto" w:fill="FFFFFF"/>
          </w:tcPr>
          <w:p w14:paraId="0AE7162F"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131,5</w:t>
            </w:r>
          </w:p>
        </w:tc>
      </w:tr>
      <w:tr w:rsidR="00C32938" w:rsidRPr="00341E6C" w14:paraId="3D054242" w14:textId="77777777" w:rsidTr="00C32938">
        <w:trPr>
          <w:trHeight w:val="20"/>
        </w:trPr>
        <w:tc>
          <w:tcPr>
            <w:tcW w:w="5130" w:type="dxa"/>
            <w:tcBorders>
              <w:top w:val="nil"/>
              <w:left w:val="single" w:sz="4" w:space="0" w:color="auto"/>
              <w:bottom w:val="single" w:sz="4" w:space="0" w:color="auto"/>
              <w:right w:val="single" w:sz="4" w:space="0" w:color="auto"/>
            </w:tcBorders>
            <w:shd w:val="clear" w:color="auto" w:fill="auto"/>
          </w:tcPr>
          <w:p w14:paraId="766F2507" w14:textId="77777777" w:rsidR="00C32938" w:rsidRPr="00341E6C" w:rsidRDefault="00C32938" w:rsidP="009B59B6">
            <w:pPr>
              <w:pStyle w:val="ListParagraph"/>
              <w:numPr>
                <w:ilvl w:val="0"/>
                <w:numId w:val="6"/>
              </w:numPr>
              <w:spacing w:after="0" w:line="240" w:lineRule="auto"/>
              <w:ind w:left="122" w:firstLine="238"/>
              <w:contextualSpacing w:val="0"/>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contribuţii de asigurări sociale de stat obligatorii, virate de titularii de patentă de întreprinzător</w:t>
            </w:r>
          </w:p>
        </w:tc>
        <w:tc>
          <w:tcPr>
            <w:tcW w:w="992" w:type="dxa"/>
            <w:tcBorders>
              <w:top w:val="nil"/>
              <w:left w:val="single" w:sz="4" w:space="0" w:color="auto"/>
              <w:bottom w:val="single" w:sz="4" w:space="0" w:color="auto"/>
              <w:right w:val="single" w:sz="4" w:space="0" w:color="auto"/>
            </w:tcBorders>
            <w:shd w:val="clear" w:color="auto" w:fill="auto"/>
          </w:tcPr>
          <w:p w14:paraId="20EC6AB7"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42,9</w:t>
            </w:r>
          </w:p>
        </w:tc>
        <w:tc>
          <w:tcPr>
            <w:tcW w:w="1180" w:type="dxa"/>
            <w:tcBorders>
              <w:top w:val="single" w:sz="4" w:space="0" w:color="auto"/>
              <w:left w:val="single" w:sz="4" w:space="0" w:color="auto"/>
            </w:tcBorders>
            <w:shd w:val="clear" w:color="auto" w:fill="FFFFFF"/>
          </w:tcPr>
          <w:p w14:paraId="28C6BAFC"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49,08</w:t>
            </w:r>
          </w:p>
        </w:tc>
        <w:tc>
          <w:tcPr>
            <w:tcW w:w="1205" w:type="dxa"/>
            <w:tcBorders>
              <w:top w:val="single" w:sz="4" w:space="0" w:color="auto"/>
              <w:left w:val="single" w:sz="4" w:space="0" w:color="auto"/>
            </w:tcBorders>
            <w:shd w:val="clear" w:color="auto" w:fill="FFFFFF"/>
          </w:tcPr>
          <w:p w14:paraId="6B001A7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41,08</w:t>
            </w:r>
          </w:p>
        </w:tc>
        <w:tc>
          <w:tcPr>
            <w:tcW w:w="1213" w:type="dxa"/>
            <w:tcBorders>
              <w:top w:val="single" w:sz="4" w:space="0" w:color="auto"/>
              <w:left w:val="single" w:sz="4" w:space="0" w:color="auto"/>
            </w:tcBorders>
            <w:shd w:val="clear" w:color="auto" w:fill="FFFFFF"/>
          </w:tcPr>
          <w:p w14:paraId="7E04BEB7"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35,3</w:t>
            </w:r>
          </w:p>
        </w:tc>
        <w:tc>
          <w:tcPr>
            <w:tcW w:w="1132" w:type="dxa"/>
            <w:tcBorders>
              <w:top w:val="single" w:sz="4" w:space="0" w:color="auto"/>
              <w:left w:val="single" w:sz="4" w:space="0" w:color="auto"/>
            </w:tcBorders>
            <w:shd w:val="clear" w:color="auto" w:fill="FFFFFF"/>
          </w:tcPr>
          <w:p w14:paraId="17157130"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0,24</w:t>
            </w:r>
          </w:p>
        </w:tc>
        <w:tc>
          <w:tcPr>
            <w:tcW w:w="1122" w:type="dxa"/>
            <w:tcBorders>
              <w:top w:val="single" w:sz="4" w:space="0" w:color="auto"/>
              <w:left w:val="single" w:sz="4" w:space="0" w:color="auto"/>
            </w:tcBorders>
            <w:shd w:val="clear" w:color="auto" w:fill="FFFFFF"/>
          </w:tcPr>
          <w:p w14:paraId="2CA3F7E9"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-7,6</w:t>
            </w:r>
          </w:p>
        </w:tc>
        <w:tc>
          <w:tcPr>
            <w:tcW w:w="752" w:type="dxa"/>
            <w:tcBorders>
              <w:top w:val="single" w:sz="4" w:space="0" w:color="auto"/>
              <w:left w:val="single" w:sz="4" w:space="0" w:color="auto"/>
            </w:tcBorders>
            <w:shd w:val="clear" w:color="auto" w:fill="FFFFFF"/>
          </w:tcPr>
          <w:p w14:paraId="296A6556"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82,3</w:t>
            </w:r>
          </w:p>
        </w:tc>
        <w:tc>
          <w:tcPr>
            <w:tcW w:w="1064" w:type="dxa"/>
            <w:tcBorders>
              <w:top w:val="single" w:sz="4" w:space="0" w:color="auto"/>
              <w:left w:val="single" w:sz="4" w:space="0" w:color="auto"/>
            </w:tcBorders>
            <w:shd w:val="clear" w:color="auto" w:fill="FFFFFF"/>
          </w:tcPr>
          <w:p w14:paraId="71BE56DA"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-5,7</w:t>
            </w:r>
          </w:p>
        </w:tc>
        <w:tc>
          <w:tcPr>
            <w:tcW w:w="731" w:type="dxa"/>
            <w:tcBorders>
              <w:top w:val="single" w:sz="4" w:space="0" w:color="auto"/>
              <w:left w:val="single" w:sz="4" w:space="0" w:color="auto"/>
              <w:right w:val="single" w:sz="4" w:space="0" w:color="auto"/>
            </w:tcBorders>
            <w:shd w:val="clear" w:color="auto" w:fill="FFFFFF"/>
          </w:tcPr>
          <w:p w14:paraId="2E16D565"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86,0</w:t>
            </w:r>
          </w:p>
        </w:tc>
      </w:tr>
      <w:tr w:rsidR="00C32938" w:rsidRPr="00341E6C" w14:paraId="1A820F9F"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0DCBAB28" w14:textId="77777777" w:rsidR="00C32938" w:rsidRPr="00341E6C" w:rsidRDefault="00C32938" w:rsidP="00C32938">
            <w:pPr>
              <w:spacing w:after="0" w:line="240" w:lineRule="auto"/>
              <w:ind w:left="122" w:firstLine="142"/>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 contribuţii de asigurări sociale de stat obligatorii, virate de persoanele fizice, proprietarii de terenuri agricole</w:t>
            </w:r>
          </w:p>
        </w:tc>
        <w:tc>
          <w:tcPr>
            <w:tcW w:w="992" w:type="dxa"/>
            <w:tcBorders>
              <w:top w:val="nil"/>
              <w:left w:val="single" w:sz="4" w:space="0" w:color="auto"/>
              <w:bottom w:val="single" w:sz="4" w:space="0" w:color="auto"/>
              <w:right w:val="single" w:sz="4" w:space="0" w:color="auto"/>
            </w:tcBorders>
            <w:shd w:val="clear" w:color="auto" w:fill="auto"/>
          </w:tcPr>
          <w:p w14:paraId="5971D47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0,05</w:t>
            </w:r>
          </w:p>
        </w:tc>
        <w:tc>
          <w:tcPr>
            <w:tcW w:w="1180" w:type="dxa"/>
            <w:tcBorders>
              <w:top w:val="single" w:sz="4" w:space="0" w:color="auto"/>
              <w:left w:val="single" w:sz="4" w:space="0" w:color="auto"/>
            </w:tcBorders>
            <w:shd w:val="clear" w:color="auto" w:fill="FFFFFF"/>
          </w:tcPr>
          <w:p w14:paraId="7EF04572"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w:t>
            </w:r>
          </w:p>
        </w:tc>
        <w:tc>
          <w:tcPr>
            <w:tcW w:w="1205" w:type="dxa"/>
            <w:tcBorders>
              <w:top w:val="single" w:sz="4" w:space="0" w:color="auto"/>
              <w:left w:val="single" w:sz="4" w:space="0" w:color="auto"/>
            </w:tcBorders>
            <w:shd w:val="clear" w:color="auto" w:fill="FFFFFF"/>
          </w:tcPr>
          <w:p w14:paraId="62A5286A"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w:t>
            </w:r>
          </w:p>
        </w:tc>
        <w:tc>
          <w:tcPr>
            <w:tcW w:w="1213" w:type="dxa"/>
            <w:tcBorders>
              <w:top w:val="single" w:sz="4" w:space="0" w:color="auto"/>
              <w:left w:val="single" w:sz="4" w:space="0" w:color="auto"/>
            </w:tcBorders>
            <w:shd w:val="clear" w:color="auto" w:fill="FFFFFF"/>
          </w:tcPr>
          <w:p w14:paraId="750C4A0A"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0,09</w:t>
            </w:r>
          </w:p>
        </w:tc>
        <w:tc>
          <w:tcPr>
            <w:tcW w:w="1132" w:type="dxa"/>
            <w:tcBorders>
              <w:top w:val="single" w:sz="4" w:space="0" w:color="auto"/>
              <w:left w:val="single" w:sz="4" w:space="0" w:color="auto"/>
            </w:tcBorders>
            <w:shd w:val="clear" w:color="auto" w:fill="FFFFFF"/>
          </w:tcPr>
          <w:p w14:paraId="7381522C"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w:t>
            </w:r>
          </w:p>
        </w:tc>
        <w:tc>
          <w:tcPr>
            <w:tcW w:w="1122" w:type="dxa"/>
            <w:tcBorders>
              <w:top w:val="single" w:sz="4" w:space="0" w:color="auto"/>
              <w:left w:val="single" w:sz="4" w:space="0" w:color="auto"/>
            </w:tcBorders>
            <w:shd w:val="clear" w:color="auto" w:fill="FFFFFF"/>
          </w:tcPr>
          <w:p w14:paraId="433A5B9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0,04</w:t>
            </w:r>
          </w:p>
        </w:tc>
        <w:tc>
          <w:tcPr>
            <w:tcW w:w="752" w:type="dxa"/>
            <w:tcBorders>
              <w:top w:val="single" w:sz="4" w:space="0" w:color="auto"/>
              <w:left w:val="single" w:sz="4" w:space="0" w:color="auto"/>
            </w:tcBorders>
            <w:shd w:val="clear" w:color="auto" w:fill="FFFFFF"/>
          </w:tcPr>
          <w:p w14:paraId="30D8A891"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0,2</w:t>
            </w:r>
          </w:p>
        </w:tc>
        <w:tc>
          <w:tcPr>
            <w:tcW w:w="1064" w:type="dxa"/>
            <w:tcBorders>
              <w:top w:val="single" w:sz="4" w:space="0" w:color="auto"/>
              <w:left w:val="single" w:sz="4" w:space="0" w:color="auto"/>
            </w:tcBorders>
            <w:shd w:val="clear" w:color="auto" w:fill="FFFFFF"/>
          </w:tcPr>
          <w:p w14:paraId="02C78E0F"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0,09</w:t>
            </w:r>
          </w:p>
        </w:tc>
        <w:tc>
          <w:tcPr>
            <w:tcW w:w="731" w:type="dxa"/>
            <w:tcBorders>
              <w:top w:val="single" w:sz="4" w:space="0" w:color="auto"/>
              <w:left w:val="single" w:sz="4" w:space="0" w:color="auto"/>
              <w:right w:val="single" w:sz="4" w:space="0" w:color="auto"/>
            </w:tcBorders>
            <w:shd w:val="clear" w:color="auto" w:fill="FFFFFF"/>
          </w:tcPr>
          <w:p w14:paraId="3CA17E96"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x</w:t>
            </w:r>
          </w:p>
        </w:tc>
      </w:tr>
      <w:tr w:rsidR="00C32938" w:rsidRPr="00341E6C" w14:paraId="346E58BA"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0A9E0A0D" w14:textId="77777777" w:rsidR="00C32938" w:rsidRPr="00341E6C" w:rsidRDefault="00C32938" w:rsidP="009B59B6">
            <w:pPr>
              <w:pStyle w:val="ListParagraph"/>
              <w:numPr>
                <w:ilvl w:val="0"/>
                <w:numId w:val="6"/>
              </w:numPr>
              <w:spacing w:after="0" w:line="240" w:lineRule="auto"/>
              <w:ind w:left="122" w:firstLine="142"/>
              <w:contextualSpacing w:val="0"/>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majorarea de întârziere (penalitatea) calculată pentru neachitarea în termen de către angajatori a contribuţiilor de asigurări sociale de stat obligatorii</w:t>
            </w:r>
          </w:p>
        </w:tc>
        <w:tc>
          <w:tcPr>
            <w:tcW w:w="992" w:type="dxa"/>
            <w:tcBorders>
              <w:top w:val="nil"/>
              <w:left w:val="single" w:sz="4" w:space="0" w:color="auto"/>
              <w:bottom w:val="single" w:sz="4" w:space="0" w:color="auto"/>
              <w:right w:val="single" w:sz="4" w:space="0" w:color="auto"/>
            </w:tcBorders>
            <w:shd w:val="clear" w:color="auto" w:fill="auto"/>
          </w:tcPr>
          <w:p w14:paraId="6BF44C8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15,6</w:t>
            </w:r>
          </w:p>
        </w:tc>
        <w:tc>
          <w:tcPr>
            <w:tcW w:w="1180" w:type="dxa"/>
            <w:tcBorders>
              <w:top w:val="single" w:sz="4" w:space="0" w:color="auto"/>
              <w:left w:val="single" w:sz="4" w:space="0" w:color="auto"/>
            </w:tcBorders>
            <w:shd w:val="clear" w:color="auto" w:fill="FFFFFF"/>
          </w:tcPr>
          <w:p w14:paraId="162956B3"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w:t>
            </w:r>
          </w:p>
        </w:tc>
        <w:tc>
          <w:tcPr>
            <w:tcW w:w="1205" w:type="dxa"/>
            <w:tcBorders>
              <w:top w:val="single" w:sz="4" w:space="0" w:color="auto"/>
              <w:left w:val="single" w:sz="4" w:space="0" w:color="auto"/>
            </w:tcBorders>
            <w:shd w:val="clear" w:color="auto" w:fill="FFFFFF"/>
          </w:tcPr>
          <w:p w14:paraId="4AEFE193"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18,0</w:t>
            </w:r>
          </w:p>
        </w:tc>
        <w:tc>
          <w:tcPr>
            <w:tcW w:w="1213" w:type="dxa"/>
            <w:tcBorders>
              <w:top w:val="single" w:sz="4" w:space="0" w:color="auto"/>
              <w:left w:val="single" w:sz="4" w:space="0" w:color="auto"/>
            </w:tcBorders>
            <w:shd w:val="clear" w:color="auto" w:fill="FFFFFF"/>
          </w:tcPr>
          <w:p w14:paraId="6FADA85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23,7</w:t>
            </w:r>
          </w:p>
        </w:tc>
        <w:tc>
          <w:tcPr>
            <w:tcW w:w="1132" w:type="dxa"/>
            <w:tcBorders>
              <w:top w:val="single" w:sz="4" w:space="0" w:color="auto"/>
              <w:left w:val="single" w:sz="4" w:space="0" w:color="auto"/>
            </w:tcBorders>
            <w:shd w:val="clear" w:color="auto" w:fill="FFFFFF"/>
          </w:tcPr>
          <w:p w14:paraId="742090BC"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0.2</w:t>
            </w:r>
          </w:p>
        </w:tc>
        <w:tc>
          <w:tcPr>
            <w:tcW w:w="1122" w:type="dxa"/>
            <w:tcBorders>
              <w:top w:val="single" w:sz="4" w:space="0" w:color="auto"/>
              <w:left w:val="single" w:sz="4" w:space="0" w:color="auto"/>
            </w:tcBorders>
            <w:shd w:val="clear" w:color="auto" w:fill="FFFFFF"/>
          </w:tcPr>
          <w:p w14:paraId="205D68DF"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8,06</w:t>
            </w:r>
          </w:p>
        </w:tc>
        <w:tc>
          <w:tcPr>
            <w:tcW w:w="752" w:type="dxa"/>
            <w:tcBorders>
              <w:top w:val="single" w:sz="4" w:space="0" w:color="auto"/>
              <w:left w:val="single" w:sz="4" w:space="0" w:color="auto"/>
            </w:tcBorders>
            <w:shd w:val="clear" w:color="auto" w:fill="FFFFFF"/>
          </w:tcPr>
          <w:p w14:paraId="3A8CEE21"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151,5</w:t>
            </w:r>
          </w:p>
        </w:tc>
        <w:tc>
          <w:tcPr>
            <w:tcW w:w="1064" w:type="dxa"/>
            <w:tcBorders>
              <w:top w:val="single" w:sz="4" w:space="0" w:color="auto"/>
              <w:left w:val="single" w:sz="4" w:space="0" w:color="auto"/>
            </w:tcBorders>
            <w:shd w:val="clear" w:color="auto" w:fill="FFFFFF"/>
          </w:tcPr>
          <w:p w14:paraId="4B984DE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5,7</w:t>
            </w:r>
          </w:p>
        </w:tc>
        <w:tc>
          <w:tcPr>
            <w:tcW w:w="731" w:type="dxa"/>
            <w:tcBorders>
              <w:top w:val="single" w:sz="4" w:space="0" w:color="auto"/>
              <w:left w:val="single" w:sz="4" w:space="0" w:color="auto"/>
              <w:right w:val="single" w:sz="4" w:space="0" w:color="auto"/>
            </w:tcBorders>
            <w:shd w:val="clear" w:color="auto" w:fill="FFFFFF"/>
          </w:tcPr>
          <w:p w14:paraId="2CF0FEDE"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131,7</w:t>
            </w:r>
          </w:p>
        </w:tc>
      </w:tr>
      <w:tr w:rsidR="00C32938" w:rsidRPr="00341E6C" w14:paraId="74318562"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084E9564" w14:textId="77777777" w:rsidR="00C32938" w:rsidRPr="00341E6C" w:rsidRDefault="00C32938" w:rsidP="00C32938">
            <w:pPr>
              <w:spacing w:after="0" w:line="240" w:lineRule="auto"/>
              <w:ind w:left="122" w:firstLine="264"/>
              <w:jc w:val="both"/>
              <w:rPr>
                <w:rFonts w:asciiTheme="majorHAnsi" w:hAnsiTheme="majorHAnsi" w:cstheme="majorHAnsi"/>
                <w:i/>
                <w:sz w:val="18"/>
                <w:szCs w:val="18"/>
                <w:lang w:val="ro-RO"/>
              </w:rPr>
            </w:pPr>
            <w:r w:rsidRPr="00341E6C">
              <w:rPr>
                <w:rFonts w:asciiTheme="majorHAnsi" w:hAnsiTheme="majorHAnsi" w:cstheme="majorHAnsi"/>
                <w:i/>
                <w:sz w:val="18"/>
                <w:szCs w:val="18"/>
                <w:lang w:val="ro-RO"/>
              </w:rPr>
              <w:t>- majorarea de întârziere (penalitatea) calculată pentru neachitarea în termen a contribuţiilor individuale de asigurări sociale de stat obligatorii</w:t>
            </w:r>
          </w:p>
        </w:tc>
        <w:tc>
          <w:tcPr>
            <w:tcW w:w="992" w:type="dxa"/>
            <w:tcBorders>
              <w:top w:val="nil"/>
              <w:left w:val="single" w:sz="4" w:space="0" w:color="auto"/>
              <w:bottom w:val="single" w:sz="4" w:space="0" w:color="auto"/>
              <w:right w:val="single" w:sz="4" w:space="0" w:color="auto"/>
            </w:tcBorders>
            <w:shd w:val="clear" w:color="auto" w:fill="auto"/>
          </w:tcPr>
          <w:p w14:paraId="49C5CB2F"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6,09</w:t>
            </w:r>
          </w:p>
        </w:tc>
        <w:tc>
          <w:tcPr>
            <w:tcW w:w="1180" w:type="dxa"/>
            <w:tcBorders>
              <w:top w:val="single" w:sz="4" w:space="0" w:color="auto"/>
              <w:left w:val="single" w:sz="4" w:space="0" w:color="auto"/>
            </w:tcBorders>
            <w:shd w:val="clear" w:color="auto" w:fill="FFFFFF"/>
          </w:tcPr>
          <w:p w14:paraId="4410AA35"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w:t>
            </w:r>
          </w:p>
        </w:tc>
        <w:tc>
          <w:tcPr>
            <w:tcW w:w="1205" w:type="dxa"/>
            <w:tcBorders>
              <w:top w:val="single" w:sz="4" w:space="0" w:color="auto"/>
              <w:left w:val="single" w:sz="4" w:space="0" w:color="auto"/>
            </w:tcBorders>
            <w:shd w:val="clear" w:color="auto" w:fill="FFFFFF"/>
          </w:tcPr>
          <w:p w14:paraId="4E5E8ED1"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6,0</w:t>
            </w:r>
          </w:p>
        </w:tc>
        <w:tc>
          <w:tcPr>
            <w:tcW w:w="1213" w:type="dxa"/>
            <w:tcBorders>
              <w:top w:val="single" w:sz="4" w:space="0" w:color="auto"/>
              <w:left w:val="single" w:sz="4" w:space="0" w:color="auto"/>
            </w:tcBorders>
            <w:shd w:val="clear" w:color="auto" w:fill="FFFFFF"/>
          </w:tcPr>
          <w:p w14:paraId="1C99C06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7,9</w:t>
            </w:r>
          </w:p>
        </w:tc>
        <w:tc>
          <w:tcPr>
            <w:tcW w:w="1132" w:type="dxa"/>
            <w:tcBorders>
              <w:top w:val="single" w:sz="4" w:space="0" w:color="auto"/>
              <w:left w:val="single" w:sz="4" w:space="0" w:color="auto"/>
            </w:tcBorders>
            <w:shd w:val="clear" w:color="auto" w:fill="FFFFFF"/>
          </w:tcPr>
          <w:p w14:paraId="51779034"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0.05</w:t>
            </w:r>
          </w:p>
        </w:tc>
        <w:tc>
          <w:tcPr>
            <w:tcW w:w="1122" w:type="dxa"/>
            <w:tcBorders>
              <w:top w:val="single" w:sz="4" w:space="0" w:color="auto"/>
              <w:left w:val="single" w:sz="4" w:space="0" w:color="auto"/>
            </w:tcBorders>
            <w:shd w:val="clear" w:color="auto" w:fill="FFFFFF"/>
          </w:tcPr>
          <w:p w14:paraId="72E3F1BB"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1,8</w:t>
            </w:r>
          </w:p>
        </w:tc>
        <w:tc>
          <w:tcPr>
            <w:tcW w:w="752" w:type="dxa"/>
            <w:tcBorders>
              <w:top w:val="single" w:sz="4" w:space="0" w:color="auto"/>
              <w:left w:val="single" w:sz="4" w:space="0" w:color="auto"/>
            </w:tcBorders>
            <w:shd w:val="clear" w:color="auto" w:fill="FFFFFF"/>
          </w:tcPr>
          <w:p w14:paraId="2DBD80C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130,2</w:t>
            </w:r>
          </w:p>
        </w:tc>
        <w:tc>
          <w:tcPr>
            <w:tcW w:w="1064" w:type="dxa"/>
            <w:tcBorders>
              <w:top w:val="single" w:sz="4" w:space="0" w:color="auto"/>
              <w:left w:val="single" w:sz="4" w:space="0" w:color="auto"/>
            </w:tcBorders>
            <w:shd w:val="clear" w:color="auto" w:fill="FFFFFF"/>
          </w:tcPr>
          <w:p w14:paraId="5A023738"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1,9</w:t>
            </w:r>
          </w:p>
        </w:tc>
        <w:tc>
          <w:tcPr>
            <w:tcW w:w="731" w:type="dxa"/>
            <w:tcBorders>
              <w:top w:val="single" w:sz="4" w:space="0" w:color="auto"/>
              <w:left w:val="single" w:sz="4" w:space="0" w:color="auto"/>
              <w:right w:val="single" w:sz="4" w:space="0" w:color="auto"/>
            </w:tcBorders>
            <w:shd w:val="clear" w:color="auto" w:fill="FFFFFF"/>
          </w:tcPr>
          <w:p w14:paraId="220D52E3" w14:textId="77777777" w:rsidR="00C32938" w:rsidRPr="00341E6C" w:rsidRDefault="00C32938" w:rsidP="00C32938">
            <w:pPr>
              <w:spacing w:after="0" w:line="240" w:lineRule="auto"/>
              <w:contextualSpacing/>
              <w:jc w:val="right"/>
              <w:rPr>
                <w:rStyle w:val="275pt"/>
                <w:rFonts w:asciiTheme="majorHAnsi" w:eastAsiaTheme="minorHAnsi" w:hAnsiTheme="majorHAnsi" w:cstheme="majorHAnsi"/>
                <w:sz w:val="18"/>
                <w:szCs w:val="18"/>
              </w:rPr>
            </w:pPr>
            <w:r w:rsidRPr="00341E6C">
              <w:rPr>
                <w:rStyle w:val="275pt"/>
                <w:rFonts w:asciiTheme="majorHAnsi" w:eastAsiaTheme="minorHAnsi" w:hAnsiTheme="majorHAnsi" w:cstheme="majorHAnsi"/>
                <w:sz w:val="18"/>
                <w:szCs w:val="18"/>
              </w:rPr>
              <w:t>132,2</w:t>
            </w:r>
          </w:p>
        </w:tc>
      </w:tr>
      <w:tr w:rsidR="00C32938" w:rsidRPr="00341E6C" w14:paraId="6E8AA1C7" w14:textId="77777777" w:rsidTr="00C32938">
        <w:trPr>
          <w:trHeight w:val="144"/>
        </w:trPr>
        <w:tc>
          <w:tcPr>
            <w:tcW w:w="5130" w:type="dxa"/>
            <w:tcBorders>
              <w:top w:val="single" w:sz="4" w:space="0" w:color="auto"/>
              <w:left w:val="single" w:sz="4" w:space="0" w:color="auto"/>
            </w:tcBorders>
            <w:shd w:val="clear" w:color="auto" w:fill="FFFFFF"/>
          </w:tcPr>
          <w:p w14:paraId="2AD70646" w14:textId="77777777" w:rsidR="00C32938" w:rsidRPr="00341E6C" w:rsidRDefault="00C32938" w:rsidP="00C32938">
            <w:pPr>
              <w:pStyle w:val="20"/>
              <w:shd w:val="clear" w:color="auto" w:fill="auto"/>
              <w:spacing w:before="0" w:after="0" w:line="240" w:lineRule="auto"/>
              <w:contextualSpacing/>
              <w:rPr>
                <w:rFonts w:asciiTheme="majorHAnsi" w:hAnsiTheme="majorHAnsi" w:cstheme="majorHAnsi"/>
                <w:i/>
                <w:lang w:val="ro-RO"/>
              </w:rPr>
            </w:pPr>
            <w:r w:rsidRPr="00341E6C">
              <w:rPr>
                <w:rStyle w:val="275pt"/>
                <w:rFonts w:asciiTheme="majorHAnsi" w:eastAsiaTheme="majorEastAsia" w:hAnsiTheme="majorHAnsi" w:cstheme="majorHAnsi"/>
              </w:rPr>
              <w:t>1.2. Alte venituri</w:t>
            </w:r>
          </w:p>
        </w:tc>
        <w:tc>
          <w:tcPr>
            <w:tcW w:w="992" w:type="dxa"/>
            <w:tcBorders>
              <w:top w:val="single" w:sz="4" w:space="0" w:color="auto"/>
              <w:left w:val="single" w:sz="4" w:space="0" w:color="auto"/>
            </w:tcBorders>
            <w:shd w:val="clear" w:color="auto" w:fill="FFFFFF"/>
          </w:tcPr>
          <w:p w14:paraId="1618871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155,6</w:t>
            </w:r>
          </w:p>
        </w:tc>
        <w:tc>
          <w:tcPr>
            <w:tcW w:w="1180" w:type="dxa"/>
            <w:tcBorders>
              <w:top w:val="single" w:sz="4" w:space="0" w:color="auto"/>
              <w:left w:val="single" w:sz="4" w:space="0" w:color="auto"/>
            </w:tcBorders>
            <w:shd w:val="clear" w:color="auto" w:fill="FFFFFF"/>
          </w:tcPr>
          <w:p w14:paraId="460276A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151,2</w:t>
            </w:r>
          </w:p>
        </w:tc>
        <w:tc>
          <w:tcPr>
            <w:tcW w:w="1205" w:type="dxa"/>
            <w:tcBorders>
              <w:top w:val="single" w:sz="4" w:space="0" w:color="auto"/>
              <w:left w:val="single" w:sz="4" w:space="0" w:color="auto"/>
            </w:tcBorders>
            <w:shd w:val="clear" w:color="auto" w:fill="FFFFFF"/>
          </w:tcPr>
          <w:p w14:paraId="678E0E6C"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224,4</w:t>
            </w:r>
          </w:p>
        </w:tc>
        <w:tc>
          <w:tcPr>
            <w:tcW w:w="1213" w:type="dxa"/>
            <w:tcBorders>
              <w:top w:val="single" w:sz="4" w:space="0" w:color="auto"/>
              <w:left w:val="single" w:sz="4" w:space="0" w:color="auto"/>
            </w:tcBorders>
            <w:shd w:val="clear" w:color="auto" w:fill="FFFFFF"/>
          </w:tcPr>
          <w:p w14:paraId="4FCC42D0"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220,8</w:t>
            </w:r>
          </w:p>
        </w:tc>
        <w:tc>
          <w:tcPr>
            <w:tcW w:w="1132" w:type="dxa"/>
            <w:tcBorders>
              <w:top w:val="single" w:sz="4" w:space="0" w:color="auto"/>
              <w:left w:val="single" w:sz="4" w:space="0" w:color="auto"/>
            </w:tcBorders>
            <w:shd w:val="clear" w:color="auto" w:fill="FFFFFF"/>
          </w:tcPr>
          <w:p w14:paraId="6A2C0FE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1.5</w:t>
            </w:r>
          </w:p>
        </w:tc>
        <w:tc>
          <w:tcPr>
            <w:tcW w:w="1122" w:type="dxa"/>
            <w:tcBorders>
              <w:top w:val="single" w:sz="4" w:space="0" w:color="auto"/>
              <w:left w:val="single" w:sz="4" w:space="0" w:color="auto"/>
            </w:tcBorders>
            <w:shd w:val="clear" w:color="auto" w:fill="FFFFFF"/>
          </w:tcPr>
          <w:p w14:paraId="376A47A4"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65,2</w:t>
            </w:r>
          </w:p>
        </w:tc>
        <w:tc>
          <w:tcPr>
            <w:tcW w:w="752" w:type="dxa"/>
            <w:tcBorders>
              <w:top w:val="single" w:sz="4" w:space="0" w:color="auto"/>
              <w:left w:val="single" w:sz="4" w:space="0" w:color="auto"/>
            </w:tcBorders>
            <w:shd w:val="clear" w:color="auto" w:fill="FFFFFF"/>
          </w:tcPr>
          <w:p w14:paraId="034B1FB2"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o-RO"/>
              </w:rPr>
            </w:pPr>
            <w:r w:rsidRPr="00341E6C">
              <w:rPr>
                <w:rFonts w:asciiTheme="majorHAnsi" w:hAnsiTheme="majorHAnsi" w:cstheme="majorHAnsi"/>
                <w:i/>
                <w:lang w:val="ro-RO"/>
              </w:rPr>
              <w:t>141,9</w:t>
            </w:r>
          </w:p>
        </w:tc>
        <w:tc>
          <w:tcPr>
            <w:tcW w:w="1064" w:type="dxa"/>
            <w:tcBorders>
              <w:top w:val="single" w:sz="4" w:space="0" w:color="auto"/>
              <w:left w:val="single" w:sz="4" w:space="0" w:color="auto"/>
            </w:tcBorders>
            <w:shd w:val="clear" w:color="auto" w:fill="FFFFFF"/>
          </w:tcPr>
          <w:p w14:paraId="740B9D38" w14:textId="77777777" w:rsidR="00C32938" w:rsidRPr="00341E6C" w:rsidRDefault="00C32938" w:rsidP="00C32938">
            <w:pPr>
              <w:pStyle w:val="20"/>
              <w:shd w:val="clear" w:color="auto" w:fill="auto"/>
              <w:spacing w:before="0" w:after="0" w:line="240" w:lineRule="auto"/>
              <w:ind w:left="280"/>
              <w:contextualSpacing/>
              <w:jc w:val="right"/>
              <w:rPr>
                <w:rFonts w:asciiTheme="majorHAnsi" w:hAnsiTheme="majorHAnsi" w:cstheme="majorHAnsi"/>
                <w:i/>
                <w:lang w:val="ro-RO"/>
              </w:rPr>
            </w:pPr>
            <w:r w:rsidRPr="00341E6C">
              <w:rPr>
                <w:rFonts w:asciiTheme="majorHAnsi" w:hAnsiTheme="majorHAnsi" w:cstheme="majorHAnsi"/>
                <w:i/>
                <w:lang w:val="ro-RO"/>
              </w:rPr>
              <w:t>-3,6</w:t>
            </w:r>
          </w:p>
        </w:tc>
        <w:tc>
          <w:tcPr>
            <w:tcW w:w="731" w:type="dxa"/>
            <w:tcBorders>
              <w:top w:val="single" w:sz="4" w:space="0" w:color="auto"/>
              <w:left w:val="single" w:sz="4" w:space="0" w:color="auto"/>
              <w:right w:val="single" w:sz="4" w:space="0" w:color="auto"/>
            </w:tcBorders>
            <w:shd w:val="clear" w:color="auto" w:fill="FFFFFF"/>
          </w:tcPr>
          <w:p w14:paraId="7C9B57F7" w14:textId="77777777" w:rsidR="00C32938" w:rsidRPr="00341E6C" w:rsidRDefault="00C32938" w:rsidP="00C32938">
            <w:pPr>
              <w:pStyle w:val="20"/>
              <w:shd w:val="clear" w:color="auto" w:fill="auto"/>
              <w:spacing w:before="0" w:after="0" w:line="240" w:lineRule="auto"/>
              <w:ind w:left="160"/>
              <w:contextualSpacing/>
              <w:jc w:val="right"/>
              <w:rPr>
                <w:rFonts w:asciiTheme="majorHAnsi" w:hAnsiTheme="majorHAnsi" w:cstheme="majorHAnsi"/>
                <w:i/>
                <w:lang w:val="ro-RO"/>
              </w:rPr>
            </w:pPr>
            <w:r w:rsidRPr="00341E6C">
              <w:rPr>
                <w:rFonts w:asciiTheme="majorHAnsi" w:hAnsiTheme="majorHAnsi" w:cstheme="majorHAnsi"/>
                <w:i/>
                <w:lang w:val="ro-RO"/>
              </w:rPr>
              <w:t>98,4</w:t>
            </w:r>
          </w:p>
        </w:tc>
      </w:tr>
      <w:tr w:rsidR="00C32938" w:rsidRPr="00341E6C" w14:paraId="702507AB" w14:textId="77777777" w:rsidTr="00C32938">
        <w:trPr>
          <w:trHeight w:val="144"/>
        </w:trPr>
        <w:tc>
          <w:tcPr>
            <w:tcW w:w="5130" w:type="dxa"/>
            <w:tcBorders>
              <w:top w:val="single" w:sz="4" w:space="0" w:color="auto"/>
              <w:left w:val="single" w:sz="4" w:space="0" w:color="auto"/>
            </w:tcBorders>
            <w:shd w:val="clear" w:color="auto" w:fill="FFFFFF"/>
          </w:tcPr>
          <w:p w14:paraId="576D43A8" w14:textId="77777777" w:rsidR="00C32938" w:rsidRPr="00341E6C" w:rsidRDefault="00C32938" w:rsidP="009B59B6">
            <w:pPr>
              <w:pStyle w:val="20"/>
              <w:numPr>
                <w:ilvl w:val="0"/>
                <w:numId w:val="5"/>
              </w:numPr>
              <w:shd w:val="clear" w:color="auto" w:fill="auto"/>
              <w:spacing w:before="0" w:after="0" w:line="240" w:lineRule="auto"/>
              <w:ind w:left="122" w:firstLine="122"/>
              <w:contextualSpacing/>
              <w:rPr>
                <w:rFonts w:asciiTheme="majorHAnsi" w:hAnsiTheme="majorHAnsi" w:cstheme="majorHAnsi"/>
                <w:lang w:val="ro-RO"/>
              </w:rPr>
            </w:pPr>
            <w:r w:rsidRPr="00341E6C">
              <w:rPr>
                <w:rStyle w:val="295pt"/>
                <w:rFonts w:asciiTheme="majorHAnsi" w:eastAsiaTheme="majorEastAsia" w:hAnsiTheme="majorHAnsi" w:cstheme="majorHAnsi"/>
              </w:rPr>
              <w:t>Transferuri primite în cadrul bugetului public naţional</w:t>
            </w:r>
          </w:p>
        </w:tc>
        <w:tc>
          <w:tcPr>
            <w:tcW w:w="992" w:type="dxa"/>
            <w:tcBorders>
              <w:top w:val="single" w:sz="4" w:space="0" w:color="auto"/>
              <w:left w:val="single" w:sz="4" w:space="0" w:color="auto"/>
            </w:tcBorders>
            <w:shd w:val="clear" w:color="auto" w:fill="FFFFFF"/>
          </w:tcPr>
          <w:p w14:paraId="15C9615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7.957,0</w:t>
            </w:r>
          </w:p>
        </w:tc>
        <w:tc>
          <w:tcPr>
            <w:tcW w:w="1180" w:type="dxa"/>
            <w:tcBorders>
              <w:top w:val="single" w:sz="4" w:space="0" w:color="auto"/>
              <w:left w:val="single" w:sz="4" w:space="0" w:color="auto"/>
            </w:tcBorders>
            <w:shd w:val="clear" w:color="auto" w:fill="FFFFFF"/>
          </w:tcPr>
          <w:p w14:paraId="69A73FBB" w14:textId="77777777" w:rsidR="00C32938" w:rsidRPr="00341E6C" w:rsidRDefault="00C32938" w:rsidP="00C32938">
            <w:pPr>
              <w:pStyle w:val="20"/>
              <w:shd w:val="clear" w:color="auto" w:fill="auto"/>
              <w:spacing w:before="0" w:after="0" w:line="240" w:lineRule="auto"/>
              <w:ind w:left="200"/>
              <w:contextualSpacing/>
              <w:jc w:val="right"/>
              <w:rPr>
                <w:rFonts w:asciiTheme="majorHAnsi" w:hAnsiTheme="majorHAnsi" w:cstheme="majorHAnsi"/>
                <w:b/>
                <w:i/>
                <w:lang w:val="ro-RO"/>
              </w:rPr>
            </w:pPr>
            <w:r w:rsidRPr="00341E6C">
              <w:rPr>
                <w:rFonts w:asciiTheme="majorHAnsi" w:hAnsiTheme="majorHAnsi" w:cstheme="majorHAnsi"/>
                <w:b/>
                <w:i/>
                <w:lang w:val="ro-RO"/>
              </w:rPr>
              <w:t>8.560,5</w:t>
            </w:r>
          </w:p>
        </w:tc>
        <w:tc>
          <w:tcPr>
            <w:tcW w:w="1205" w:type="dxa"/>
            <w:tcBorders>
              <w:top w:val="single" w:sz="4" w:space="0" w:color="auto"/>
              <w:left w:val="single" w:sz="4" w:space="0" w:color="auto"/>
            </w:tcBorders>
            <w:shd w:val="clear" w:color="auto" w:fill="FFFFFF"/>
          </w:tcPr>
          <w:p w14:paraId="5044EAEF"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10.323,9</w:t>
            </w:r>
          </w:p>
        </w:tc>
        <w:tc>
          <w:tcPr>
            <w:tcW w:w="1213" w:type="dxa"/>
            <w:tcBorders>
              <w:top w:val="single" w:sz="4" w:space="0" w:color="auto"/>
              <w:left w:val="single" w:sz="4" w:space="0" w:color="auto"/>
            </w:tcBorders>
            <w:shd w:val="clear" w:color="auto" w:fill="FFFFFF"/>
          </w:tcPr>
          <w:p w14:paraId="7EF5B248" w14:textId="77777777" w:rsidR="00C32938" w:rsidRPr="00341E6C" w:rsidRDefault="00C32938" w:rsidP="00C32938">
            <w:pPr>
              <w:pStyle w:val="20"/>
              <w:shd w:val="clear" w:color="auto" w:fill="auto"/>
              <w:spacing w:before="0" w:after="0" w:line="240" w:lineRule="auto"/>
              <w:ind w:left="240"/>
              <w:contextualSpacing/>
              <w:jc w:val="right"/>
              <w:rPr>
                <w:rFonts w:asciiTheme="majorHAnsi" w:hAnsiTheme="majorHAnsi" w:cstheme="majorHAnsi"/>
                <w:b/>
                <w:i/>
                <w:lang w:val="ro-RO"/>
              </w:rPr>
            </w:pPr>
            <w:r w:rsidRPr="00341E6C">
              <w:rPr>
                <w:rFonts w:asciiTheme="majorHAnsi" w:hAnsiTheme="majorHAnsi" w:cstheme="majorHAnsi"/>
                <w:b/>
                <w:i/>
                <w:lang w:val="ro-RO"/>
              </w:rPr>
              <w:t>9.769,4</w:t>
            </w:r>
          </w:p>
        </w:tc>
        <w:tc>
          <w:tcPr>
            <w:tcW w:w="1132" w:type="dxa"/>
            <w:tcBorders>
              <w:top w:val="single" w:sz="4" w:space="0" w:color="auto"/>
              <w:left w:val="single" w:sz="4" w:space="0" w:color="auto"/>
            </w:tcBorders>
            <w:shd w:val="clear" w:color="auto" w:fill="FFFFFF"/>
          </w:tcPr>
          <w:p w14:paraId="32C55DBB"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40,2</w:t>
            </w:r>
          </w:p>
        </w:tc>
        <w:tc>
          <w:tcPr>
            <w:tcW w:w="1122" w:type="dxa"/>
            <w:tcBorders>
              <w:top w:val="single" w:sz="4" w:space="0" w:color="auto"/>
              <w:left w:val="single" w:sz="4" w:space="0" w:color="auto"/>
            </w:tcBorders>
            <w:shd w:val="clear" w:color="auto" w:fill="FFFFFF"/>
          </w:tcPr>
          <w:p w14:paraId="58A9A639"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1.812,4</w:t>
            </w:r>
          </w:p>
        </w:tc>
        <w:tc>
          <w:tcPr>
            <w:tcW w:w="752" w:type="dxa"/>
            <w:tcBorders>
              <w:top w:val="single" w:sz="4" w:space="0" w:color="auto"/>
              <w:left w:val="single" w:sz="4" w:space="0" w:color="auto"/>
            </w:tcBorders>
            <w:shd w:val="clear" w:color="auto" w:fill="FFFFFF"/>
          </w:tcPr>
          <w:p w14:paraId="7F5AC9FF"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b/>
                <w:i/>
                <w:lang w:val="ro-RO"/>
              </w:rPr>
            </w:pPr>
            <w:r w:rsidRPr="00341E6C">
              <w:rPr>
                <w:rFonts w:asciiTheme="majorHAnsi" w:hAnsiTheme="majorHAnsi" w:cstheme="majorHAnsi"/>
                <w:b/>
                <w:i/>
                <w:lang w:val="ro-RO"/>
              </w:rPr>
              <w:t>122,8</w:t>
            </w:r>
          </w:p>
        </w:tc>
        <w:tc>
          <w:tcPr>
            <w:tcW w:w="1064" w:type="dxa"/>
            <w:tcBorders>
              <w:top w:val="single" w:sz="4" w:space="0" w:color="auto"/>
              <w:left w:val="single" w:sz="4" w:space="0" w:color="auto"/>
            </w:tcBorders>
            <w:shd w:val="clear" w:color="auto" w:fill="FFFFFF"/>
          </w:tcPr>
          <w:p w14:paraId="59042E0D"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b/>
                <w:i/>
                <w:lang w:val="ro-RO"/>
              </w:rPr>
            </w:pPr>
            <w:r w:rsidRPr="00341E6C">
              <w:rPr>
                <w:rFonts w:asciiTheme="majorHAnsi" w:hAnsiTheme="majorHAnsi" w:cstheme="majorHAnsi"/>
                <w:b/>
                <w:i/>
                <w:lang w:val="ro-RO"/>
              </w:rPr>
              <w:t>-554,5</w:t>
            </w:r>
          </w:p>
        </w:tc>
        <w:tc>
          <w:tcPr>
            <w:tcW w:w="731" w:type="dxa"/>
            <w:tcBorders>
              <w:top w:val="single" w:sz="4" w:space="0" w:color="auto"/>
              <w:left w:val="single" w:sz="4" w:space="0" w:color="auto"/>
              <w:right w:val="single" w:sz="4" w:space="0" w:color="auto"/>
            </w:tcBorders>
            <w:shd w:val="clear" w:color="auto" w:fill="FFFFFF"/>
          </w:tcPr>
          <w:p w14:paraId="106790A7" w14:textId="77777777" w:rsidR="00C32938" w:rsidRPr="00341E6C" w:rsidRDefault="00C32938" w:rsidP="00C32938">
            <w:pPr>
              <w:pStyle w:val="20"/>
              <w:shd w:val="clear" w:color="auto" w:fill="auto"/>
              <w:spacing w:before="0" w:after="0" w:line="240" w:lineRule="auto"/>
              <w:ind w:left="260"/>
              <w:contextualSpacing/>
              <w:jc w:val="right"/>
              <w:rPr>
                <w:rFonts w:asciiTheme="majorHAnsi" w:hAnsiTheme="majorHAnsi" w:cstheme="majorHAnsi"/>
                <w:b/>
                <w:i/>
                <w:lang w:val="ro-RO"/>
              </w:rPr>
            </w:pPr>
            <w:r w:rsidRPr="00341E6C">
              <w:rPr>
                <w:rFonts w:asciiTheme="majorHAnsi" w:hAnsiTheme="majorHAnsi" w:cstheme="majorHAnsi"/>
                <w:b/>
                <w:i/>
                <w:lang w:val="ro-RO"/>
              </w:rPr>
              <w:t>94,6</w:t>
            </w:r>
          </w:p>
        </w:tc>
      </w:tr>
      <w:tr w:rsidR="00C32938" w:rsidRPr="00341E6C" w14:paraId="2BC65085" w14:textId="77777777" w:rsidTr="00C32938">
        <w:trPr>
          <w:trHeight w:val="144"/>
        </w:trPr>
        <w:tc>
          <w:tcPr>
            <w:tcW w:w="5130" w:type="dxa"/>
            <w:tcBorders>
              <w:top w:val="single" w:sz="4" w:space="0" w:color="auto"/>
              <w:left w:val="single" w:sz="4" w:space="0" w:color="auto"/>
            </w:tcBorders>
            <w:shd w:val="clear" w:color="auto" w:fill="FFFFFF"/>
          </w:tcPr>
          <w:p w14:paraId="57A42361" w14:textId="77777777" w:rsidR="00C32938" w:rsidRPr="00341E6C" w:rsidRDefault="00C32938" w:rsidP="00C32938">
            <w:pPr>
              <w:pStyle w:val="20"/>
              <w:shd w:val="clear" w:color="auto" w:fill="auto"/>
              <w:spacing w:before="0" w:after="0" w:line="240" w:lineRule="auto"/>
              <w:contextualSpacing/>
              <w:jc w:val="both"/>
              <w:rPr>
                <w:rFonts w:asciiTheme="majorHAnsi" w:hAnsiTheme="majorHAnsi" w:cstheme="majorHAnsi"/>
                <w:i/>
                <w:lang w:val="ro-RO"/>
              </w:rPr>
            </w:pPr>
            <w:r w:rsidRPr="00341E6C">
              <w:rPr>
                <w:rStyle w:val="275pt"/>
                <w:rFonts w:asciiTheme="majorHAnsi" w:eastAsiaTheme="majorEastAsia" w:hAnsiTheme="majorHAnsi" w:cstheme="majorHAnsi"/>
              </w:rPr>
              <w:t>2.1. Transferuri curente primite cu destinaţie specială între bugetul de stat şi bugetul asigurărilor sociale de stat</w:t>
            </w:r>
          </w:p>
        </w:tc>
        <w:tc>
          <w:tcPr>
            <w:tcW w:w="992" w:type="dxa"/>
            <w:tcBorders>
              <w:top w:val="single" w:sz="4" w:space="0" w:color="auto"/>
              <w:left w:val="single" w:sz="4" w:space="0" w:color="auto"/>
            </w:tcBorders>
            <w:shd w:val="clear" w:color="auto" w:fill="FFFFFF"/>
          </w:tcPr>
          <w:p w14:paraId="4EEE2E9B"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5.969,3</w:t>
            </w:r>
          </w:p>
        </w:tc>
        <w:tc>
          <w:tcPr>
            <w:tcW w:w="1180" w:type="dxa"/>
            <w:tcBorders>
              <w:top w:val="single" w:sz="4" w:space="0" w:color="auto"/>
              <w:left w:val="single" w:sz="4" w:space="0" w:color="auto"/>
            </w:tcBorders>
            <w:shd w:val="clear" w:color="auto" w:fill="FFFFFF"/>
          </w:tcPr>
          <w:p w14:paraId="227EDF8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6.684,5</w:t>
            </w:r>
          </w:p>
        </w:tc>
        <w:tc>
          <w:tcPr>
            <w:tcW w:w="1205" w:type="dxa"/>
            <w:tcBorders>
              <w:top w:val="single" w:sz="4" w:space="0" w:color="auto"/>
              <w:left w:val="single" w:sz="4" w:space="0" w:color="auto"/>
            </w:tcBorders>
            <w:shd w:val="clear" w:color="auto" w:fill="FFFFFF"/>
          </w:tcPr>
          <w:p w14:paraId="7851209E"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7.358,7</w:t>
            </w:r>
          </w:p>
        </w:tc>
        <w:tc>
          <w:tcPr>
            <w:tcW w:w="1213" w:type="dxa"/>
            <w:tcBorders>
              <w:top w:val="single" w:sz="4" w:space="0" w:color="auto"/>
              <w:left w:val="single" w:sz="4" w:space="0" w:color="auto"/>
            </w:tcBorders>
            <w:shd w:val="clear" w:color="auto" w:fill="FFFFFF"/>
          </w:tcPr>
          <w:p w14:paraId="5B5D358C"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7.214,8</w:t>
            </w:r>
          </w:p>
        </w:tc>
        <w:tc>
          <w:tcPr>
            <w:tcW w:w="1132" w:type="dxa"/>
            <w:tcBorders>
              <w:top w:val="single" w:sz="4" w:space="0" w:color="auto"/>
              <w:left w:val="single" w:sz="4" w:space="0" w:color="auto"/>
            </w:tcBorders>
            <w:shd w:val="clear" w:color="auto" w:fill="FFFFFF"/>
          </w:tcPr>
          <w:p w14:paraId="21DC2848"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73,85</w:t>
            </w:r>
          </w:p>
        </w:tc>
        <w:tc>
          <w:tcPr>
            <w:tcW w:w="1122" w:type="dxa"/>
            <w:tcBorders>
              <w:top w:val="single" w:sz="4" w:space="0" w:color="auto"/>
              <w:left w:val="single" w:sz="4" w:space="0" w:color="auto"/>
            </w:tcBorders>
            <w:shd w:val="clear" w:color="auto" w:fill="FFFFFF"/>
          </w:tcPr>
          <w:p w14:paraId="160225A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1.245,5</w:t>
            </w:r>
          </w:p>
        </w:tc>
        <w:tc>
          <w:tcPr>
            <w:tcW w:w="752" w:type="dxa"/>
            <w:tcBorders>
              <w:top w:val="single" w:sz="4" w:space="0" w:color="auto"/>
              <w:left w:val="single" w:sz="4" w:space="0" w:color="auto"/>
            </w:tcBorders>
            <w:shd w:val="clear" w:color="auto" w:fill="FFFFFF"/>
          </w:tcPr>
          <w:p w14:paraId="6B6A524D"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o-RO"/>
              </w:rPr>
            </w:pPr>
            <w:r w:rsidRPr="00341E6C">
              <w:rPr>
                <w:rFonts w:asciiTheme="majorHAnsi" w:hAnsiTheme="majorHAnsi" w:cstheme="majorHAnsi"/>
                <w:i/>
                <w:lang w:val="ro-RO"/>
              </w:rPr>
              <w:t>120,9</w:t>
            </w:r>
          </w:p>
        </w:tc>
        <w:tc>
          <w:tcPr>
            <w:tcW w:w="1064" w:type="dxa"/>
            <w:tcBorders>
              <w:top w:val="single" w:sz="4" w:space="0" w:color="auto"/>
              <w:left w:val="single" w:sz="4" w:space="0" w:color="auto"/>
            </w:tcBorders>
            <w:shd w:val="clear" w:color="auto" w:fill="FFFFFF"/>
          </w:tcPr>
          <w:p w14:paraId="68E4326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-144,0</w:t>
            </w:r>
          </w:p>
        </w:tc>
        <w:tc>
          <w:tcPr>
            <w:tcW w:w="731" w:type="dxa"/>
            <w:tcBorders>
              <w:top w:val="single" w:sz="4" w:space="0" w:color="auto"/>
              <w:left w:val="single" w:sz="4" w:space="0" w:color="auto"/>
              <w:right w:val="single" w:sz="4" w:space="0" w:color="auto"/>
            </w:tcBorders>
            <w:shd w:val="clear" w:color="auto" w:fill="FFFFFF"/>
          </w:tcPr>
          <w:p w14:paraId="156DAE59" w14:textId="77777777" w:rsidR="00C32938" w:rsidRPr="00341E6C" w:rsidRDefault="00C32938" w:rsidP="00C32938">
            <w:pPr>
              <w:pStyle w:val="20"/>
              <w:shd w:val="clear" w:color="auto" w:fill="auto"/>
              <w:spacing w:before="0" w:after="0" w:line="240" w:lineRule="auto"/>
              <w:ind w:left="260"/>
              <w:contextualSpacing/>
              <w:jc w:val="right"/>
              <w:rPr>
                <w:rFonts w:asciiTheme="majorHAnsi" w:hAnsiTheme="majorHAnsi" w:cstheme="majorHAnsi"/>
                <w:i/>
                <w:lang w:val="ro-RO"/>
              </w:rPr>
            </w:pPr>
            <w:r w:rsidRPr="00341E6C">
              <w:rPr>
                <w:rFonts w:asciiTheme="majorHAnsi" w:hAnsiTheme="majorHAnsi" w:cstheme="majorHAnsi"/>
                <w:i/>
                <w:lang w:val="ro-RO"/>
              </w:rPr>
              <w:t>98,0</w:t>
            </w:r>
          </w:p>
        </w:tc>
      </w:tr>
      <w:tr w:rsidR="00C32938" w:rsidRPr="00341E6C" w14:paraId="62D10F05" w14:textId="77777777" w:rsidTr="00C32938">
        <w:trPr>
          <w:trHeight w:val="144"/>
        </w:trPr>
        <w:tc>
          <w:tcPr>
            <w:tcW w:w="5130" w:type="dxa"/>
            <w:tcBorders>
              <w:top w:val="single" w:sz="4" w:space="0" w:color="auto"/>
              <w:left w:val="single" w:sz="4" w:space="0" w:color="auto"/>
            </w:tcBorders>
            <w:shd w:val="clear" w:color="auto" w:fill="FFFFFF"/>
          </w:tcPr>
          <w:p w14:paraId="720BBD07"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inclusiv:</w:t>
            </w:r>
          </w:p>
        </w:tc>
        <w:tc>
          <w:tcPr>
            <w:tcW w:w="992" w:type="dxa"/>
            <w:tcBorders>
              <w:top w:val="single" w:sz="4" w:space="0" w:color="auto"/>
              <w:left w:val="single" w:sz="4" w:space="0" w:color="auto"/>
            </w:tcBorders>
            <w:shd w:val="clear" w:color="auto" w:fill="FFFFFF"/>
          </w:tcPr>
          <w:p w14:paraId="475FB705"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1180" w:type="dxa"/>
            <w:tcBorders>
              <w:top w:val="single" w:sz="4" w:space="0" w:color="auto"/>
              <w:left w:val="single" w:sz="4" w:space="0" w:color="auto"/>
            </w:tcBorders>
            <w:shd w:val="clear" w:color="auto" w:fill="FFFFFF"/>
          </w:tcPr>
          <w:p w14:paraId="3DFD0FDC"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1205" w:type="dxa"/>
            <w:tcBorders>
              <w:top w:val="single" w:sz="4" w:space="0" w:color="auto"/>
              <w:left w:val="single" w:sz="4" w:space="0" w:color="auto"/>
            </w:tcBorders>
            <w:shd w:val="clear" w:color="auto" w:fill="FFFFFF"/>
          </w:tcPr>
          <w:p w14:paraId="30564AFB"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1213" w:type="dxa"/>
            <w:tcBorders>
              <w:top w:val="single" w:sz="4" w:space="0" w:color="auto"/>
              <w:left w:val="single" w:sz="4" w:space="0" w:color="auto"/>
            </w:tcBorders>
            <w:shd w:val="clear" w:color="auto" w:fill="FFFFFF"/>
          </w:tcPr>
          <w:p w14:paraId="798753C6"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1132" w:type="dxa"/>
            <w:tcBorders>
              <w:top w:val="single" w:sz="4" w:space="0" w:color="auto"/>
              <w:left w:val="single" w:sz="4" w:space="0" w:color="auto"/>
            </w:tcBorders>
            <w:shd w:val="clear" w:color="auto" w:fill="FFFFFF"/>
          </w:tcPr>
          <w:p w14:paraId="57A5D5E7"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1122" w:type="dxa"/>
            <w:tcBorders>
              <w:top w:val="single" w:sz="4" w:space="0" w:color="auto"/>
              <w:left w:val="single" w:sz="4" w:space="0" w:color="auto"/>
            </w:tcBorders>
            <w:shd w:val="clear" w:color="auto" w:fill="FFFFFF"/>
          </w:tcPr>
          <w:p w14:paraId="100BEC3E"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752" w:type="dxa"/>
            <w:tcBorders>
              <w:top w:val="single" w:sz="4" w:space="0" w:color="auto"/>
              <w:left w:val="single" w:sz="4" w:space="0" w:color="auto"/>
            </w:tcBorders>
            <w:shd w:val="clear" w:color="auto" w:fill="FFFFFF"/>
          </w:tcPr>
          <w:p w14:paraId="3472BA86"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1064" w:type="dxa"/>
            <w:tcBorders>
              <w:top w:val="single" w:sz="4" w:space="0" w:color="auto"/>
              <w:left w:val="single" w:sz="4" w:space="0" w:color="auto"/>
            </w:tcBorders>
            <w:shd w:val="clear" w:color="auto" w:fill="FFFFFF"/>
          </w:tcPr>
          <w:p w14:paraId="306A82C5"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c>
          <w:tcPr>
            <w:tcW w:w="731" w:type="dxa"/>
            <w:tcBorders>
              <w:top w:val="single" w:sz="4" w:space="0" w:color="auto"/>
              <w:left w:val="single" w:sz="4" w:space="0" w:color="auto"/>
              <w:right w:val="single" w:sz="4" w:space="0" w:color="auto"/>
            </w:tcBorders>
            <w:shd w:val="clear" w:color="auto" w:fill="FFFFFF"/>
          </w:tcPr>
          <w:p w14:paraId="01277C1D" w14:textId="77777777" w:rsidR="00C32938" w:rsidRPr="00341E6C" w:rsidRDefault="00C32938" w:rsidP="00C32938">
            <w:pPr>
              <w:spacing w:after="0" w:line="240" w:lineRule="auto"/>
              <w:contextualSpacing/>
              <w:jc w:val="right"/>
              <w:rPr>
                <w:rFonts w:asciiTheme="majorHAnsi" w:hAnsiTheme="majorHAnsi" w:cstheme="majorHAnsi"/>
                <w:sz w:val="18"/>
                <w:szCs w:val="18"/>
                <w:lang w:val="ro-RO"/>
              </w:rPr>
            </w:pPr>
          </w:p>
        </w:tc>
      </w:tr>
      <w:tr w:rsidR="00C32938" w:rsidRPr="00341E6C" w14:paraId="5D30FB0F" w14:textId="77777777" w:rsidTr="00C32938">
        <w:trPr>
          <w:trHeight w:val="144"/>
        </w:trPr>
        <w:tc>
          <w:tcPr>
            <w:tcW w:w="5130" w:type="dxa"/>
            <w:tcBorders>
              <w:top w:val="single" w:sz="4" w:space="0" w:color="auto"/>
              <w:left w:val="single" w:sz="4" w:space="0" w:color="auto"/>
            </w:tcBorders>
            <w:shd w:val="clear" w:color="auto" w:fill="FFFFFF"/>
          </w:tcPr>
          <w:p w14:paraId="093A0C49" w14:textId="77777777" w:rsidR="00C32938" w:rsidRPr="00341E6C" w:rsidRDefault="00C32938" w:rsidP="00C32938">
            <w:pPr>
              <w:pStyle w:val="20"/>
              <w:shd w:val="clear" w:color="auto" w:fill="auto"/>
              <w:spacing w:before="0" w:after="0" w:line="240" w:lineRule="auto"/>
              <w:contextualSpacing/>
              <w:rPr>
                <w:rFonts w:asciiTheme="majorHAnsi" w:hAnsiTheme="majorHAnsi" w:cstheme="majorHAnsi"/>
                <w:lang w:val="ro-RO"/>
              </w:rPr>
            </w:pPr>
            <w:r w:rsidRPr="00341E6C">
              <w:rPr>
                <w:rStyle w:val="275pt"/>
                <w:rFonts w:asciiTheme="majorHAnsi" w:eastAsiaTheme="majorEastAsia" w:hAnsiTheme="majorHAnsi" w:cstheme="majorHAnsi"/>
              </w:rPr>
              <w:t>- transferuri pentru</w:t>
            </w:r>
          </w:p>
          <w:p w14:paraId="12F606D1" w14:textId="77777777" w:rsidR="00C32938" w:rsidRPr="00341E6C" w:rsidRDefault="00C32938" w:rsidP="00C32938">
            <w:pPr>
              <w:pStyle w:val="20"/>
              <w:shd w:val="clear" w:color="auto" w:fill="auto"/>
              <w:spacing w:before="0" w:after="0" w:line="240" w:lineRule="auto"/>
              <w:contextualSpacing/>
              <w:jc w:val="both"/>
              <w:rPr>
                <w:rFonts w:asciiTheme="majorHAnsi" w:hAnsiTheme="majorHAnsi" w:cstheme="majorHAnsi"/>
                <w:lang w:val="ro-RO"/>
              </w:rPr>
            </w:pPr>
            <w:r w:rsidRPr="00341E6C">
              <w:rPr>
                <w:rStyle w:val="275pt"/>
                <w:rFonts w:asciiTheme="majorHAnsi" w:eastAsiaTheme="majorEastAsia" w:hAnsiTheme="majorHAnsi" w:cstheme="majorHAnsi"/>
              </w:rPr>
              <w:t>compensarea diferenţei de tarife de asigurări sociale de stat obligatorii în sectorul agrar</w:t>
            </w:r>
          </w:p>
        </w:tc>
        <w:tc>
          <w:tcPr>
            <w:tcW w:w="992" w:type="dxa"/>
            <w:tcBorders>
              <w:top w:val="single" w:sz="4" w:space="0" w:color="auto"/>
              <w:left w:val="single" w:sz="4" w:space="0" w:color="auto"/>
            </w:tcBorders>
            <w:shd w:val="clear" w:color="auto" w:fill="FFFFFF"/>
          </w:tcPr>
          <w:p w14:paraId="03703F8B"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75,8</w:t>
            </w:r>
          </w:p>
        </w:tc>
        <w:tc>
          <w:tcPr>
            <w:tcW w:w="1180" w:type="dxa"/>
            <w:tcBorders>
              <w:top w:val="single" w:sz="4" w:space="0" w:color="auto"/>
              <w:left w:val="single" w:sz="4" w:space="0" w:color="auto"/>
            </w:tcBorders>
            <w:shd w:val="clear" w:color="auto" w:fill="FFFFFF"/>
          </w:tcPr>
          <w:p w14:paraId="04427325"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82,5</w:t>
            </w:r>
          </w:p>
        </w:tc>
        <w:tc>
          <w:tcPr>
            <w:tcW w:w="1205" w:type="dxa"/>
            <w:tcBorders>
              <w:top w:val="single" w:sz="4" w:space="0" w:color="auto"/>
              <w:left w:val="single" w:sz="4" w:space="0" w:color="auto"/>
            </w:tcBorders>
            <w:shd w:val="clear" w:color="auto" w:fill="FFFFFF"/>
          </w:tcPr>
          <w:p w14:paraId="0447F609"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82,5</w:t>
            </w:r>
          </w:p>
        </w:tc>
        <w:tc>
          <w:tcPr>
            <w:tcW w:w="1213" w:type="dxa"/>
            <w:tcBorders>
              <w:top w:val="single" w:sz="4" w:space="0" w:color="auto"/>
              <w:left w:val="single" w:sz="4" w:space="0" w:color="auto"/>
            </w:tcBorders>
            <w:shd w:val="clear" w:color="auto" w:fill="FFFFFF"/>
          </w:tcPr>
          <w:p w14:paraId="57B67575"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60,3</w:t>
            </w:r>
          </w:p>
        </w:tc>
        <w:tc>
          <w:tcPr>
            <w:tcW w:w="1132" w:type="dxa"/>
            <w:tcBorders>
              <w:top w:val="single" w:sz="4" w:space="0" w:color="auto"/>
              <w:left w:val="single" w:sz="4" w:space="0" w:color="auto"/>
            </w:tcBorders>
            <w:shd w:val="clear" w:color="auto" w:fill="FFFFFF"/>
          </w:tcPr>
          <w:p w14:paraId="0DC5009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0,8</w:t>
            </w:r>
          </w:p>
        </w:tc>
        <w:tc>
          <w:tcPr>
            <w:tcW w:w="1122" w:type="dxa"/>
            <w:tcBorders>
              <w:top w:val="single" w:sz="4" w:space="0" w:color="auto"/>
              <w:left w:val="single" w:sz="4" w:space="0" w:color="auto"/>
            </w:tcBorders>
            <w:shd w:val="clear" w:color="auto" w:fill="FFFFFF"/>
          </w:tcPr>
          <w:p w14:paraId="59B38634"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-15,5</w:t>
            </w:r>
          </w:p>
        </w:tc>
        <w:tc>
          <w:tcPr>
            <w:tcW w:w="752" w:type="dxa"/>
            <w:tcBorders>
              <w:top w:val="single" w:sz="4" w:space="0" w:color="auto"/>
              <w:left w:val="single" w:sz="4" w:space="0" w:color="auto"/>
            </w:tcBorders>
            <w:shd w:val="clear" w:color="auto" w:fill="FFFFFF"/>
          </w:tcPr>
          <w:p w14:paraId="57305653"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lang w:val="ro-RO"/>
              </w:rPr>
            </w:pPr>
            <w:r w:rsidRPr="00341E6C">
              <w:rPr>
                <w:rFonts w:asciiTheme="majorHAnsi" w:hAnsiTheme="majorHAnsi" w:cstheme="majorHAnsi"/>
                <w:lang w:val="ro-RO"/>
              </w:rPr>
              <w:t>79,5</w:t>
            </w:r>
          </w:p>
        </w:tc>
        <w:tc>
          <w:tcPr>
            <w:tcW w:w="1064" w:type="dxa"/>
            <w:tcBorders>
              <w:top w:val="single" w:sz="4" w:space="0" w:color="auto"/>
              <w:left w:val="single" w:sz="4" w:space="0" w:color="auto"/>
            </w:tcBorders>
            <w:shd w:val="clear" w:color="auto" w:fill="FFFFFF"/>
          </w:tcPr>
          <w:p w14:paraId="746C9B65"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-22,2</w:t>
            </w:r>
          </w:p>
        </w:tc>
        <w:tc>
          <w:tcPr>
            <w:tcW w:w="731" w:type="dxa"/>
            <w:tcBorders>
              <w:top w:val="single" w:sz="4" w:space="0" w:color="auto"/>
              <w:left w:val="single" w:sz="4" w:space="0" w:color="auto"/>
              <w:right w:val="single" w:sz="4" w:space="0" w:color="auto"/>
            </w:tcBorders>
            <w:shd w:val="clear" w:color="auto" w:fill="FFFFFF"/>
          </w:tcPr>
          <w:p w14:paraId="05926B74" w14:textId="77777777" w:rsidR="00C32938" w:rsidRPr="00341E6C" w:rsidRDefault="00C32938" w:rsidP="00C32938">
            <w:pPr>
              <w:pStyle w:val="20"/>
              <w:shd w:val="clear" w:color="auto" w:fill="auto"/>
              <w:spacing w:before="0" w:after="0" w:line="240" w:lineRule="auto"/>
              <w:ind w:left="160"/>
              <w:contextualSpacing/>
              <w:jc w:val="right"/>
              <w:rPr>
                <w:rFonts w:asciiTheme="majorHAnsi" w:hAnsiTheme="majorHAnsi" w:cstheme="majorHAnsi"/>
                <w:lang w:val="ro-RO"/>
              </w:rPr>
            </w:pPr>
            <w:r w:rsidRPr="00341E6C">
              <w:rPr>
                <w:rFonts w:asciiTheme="majorHAnsi" w:hAnsiTheme="majorHAnsi" w:cstheme="majorHAnsi"/>
                <w:lang w:val="ro-RO"/>
              </w:rPr>
              <w:t>73,01</w:t>
            </w:r>
          </w:p>
        </w:tc>
      </w:tr>
      <w:tr w:rsidR="00C32938" w:rsidRPr="00341E6C" w14:paraId="34FD435D" w14:textId="77777777" w:rsidTr="00C32938">
        <w:trPr>
          <w:trHeight w:val="144"/>
        </w:trPr>
        <w:tc>
          <w:tcPr>
            <w:tcW w:w="5130" w:type="dxa"/>
            <w:tcBorders>
              <w:top w:val="single" w:sz="4" w:space="0" w:color="auto"/>
              <w:left w:val="single" w:sz="4" w:space="0" w:color="auto"/>
            </w:tcBorders>
            <w:shd w:val="clear" w:color="auto" w:fill="FFFFFF"/>
          </w:tcPr>
          <w:p w14:paraId="3B1C57F3" w14:textId="77777777" w:rsidR="00C32938" w:rsidRPr="00341E6C" w:rsidRDefault="00C32938" w:rsidP="00C32938">
            <w:pPr>
              <w:pStyle w:val="20"/>
              <w:shd w:val="clear" w:color="auto" w:fill="auto"/>
              <w:spacing w:before="0" w:after="0" w:line="240" w:lineRule="auto"/>
              <w:contextualSpacing/>
              <w:jc w:val="both"/>
              <w:rPr>
                <w:rFonts w:asciiTheme="majorHAnsi" w:hAnsiTheme="majorHAnsi" w:cstheme="majorHAnsi"/>
                <w:lang w:val="ro-RO"/>
              </w:rPr>
            </w:pPr>
            <w:r w:rsidRPr="00341E6C">
              <w:rPr>
                <w:rStyle w:val="275pt"/>
                <w:rFonts w:asciiTheme="majorHAnsi" w:eastAsiaTheme="majorEastAsia" w:hAnsiTheme="majorHAnsi" w:cstheme="majorHAnsi"/>
              </w:rPr>
              <w:t xml:space="preserve">- transferuri pentru sumele anulate ale contribuţiilor de asigurări sociale de stat obligatorii </w:t>
            </w:r>
          </w:p>
        </w:tc>
        <w:tc>
          <w:tcPr>
            <w:tcW w:w="992" w:type="dxa"/>
            <w:tcBorders>
              <w:top w:val="single" w:sz="4" w:space="0" w:color="auto"/>
              <w:left w:val="single" w:sz="4" w:space="0" w:color="auto"/>
            </w:tcBorders>
            <w:shd w:val="clear" w:color="auto" w:fill="FFFFFF"/>
          </w:tcPr>
          <w:p w14:paraId="4966D586"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0,4</w:t>
            </w:r>
          </w:p>
        </w:tc>
        <w:tc>
          <w:tcPr>
            <w:tcW w:w="1180" w:type="dxa"/>
            <w:tcBorders>
              <w:top w:val="single" w:sz="4" w:space="0" w:color="auto"/>
              <w:left w:val="single" w:sz="4" w:space="0" w:color="auto"/>
            </w:tcBorders>
            <w:shd w:val="clear" w:color="auto" w:fill="FFFFFF"/>
          </w:tcPr>
          <w:p w14:paraId="091A642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0,2</w:t>
            </w:r>
          </w:p>
        </w:tc>
        <w:tc>
          <w:tcPr>
            <w:tcW w:w="1205" w:type="dxa"/>
            <w:tcBorders>
              <w:top w:val="single" w:sz="4" w:space="0" w:color="auto"/>
              <w:left w:val="single" w:sz="4" w:space="0" w:color="auto"/>
            </w:tcBorders>
            <w:shd w:val="clear" w:color="auto" w:fill="FFFFFF"/>
          </w:tcPr>
          <w:p w14:paraId="547FEF6C"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0,4</w:t>
            </w:r>
          </w:p>
        </w:tc>
        <w:tc>
          <w:tcPr>
            <w:tcW w:w="1213" w:type="dxa"/>
            <w:tcBorders>
              <w:top w:val="single" w:sz="4" w:space="0" w:color="auto"/>
              <w:left w:val="single" w:sz="4" w:space="0" w:color="auto"/>
            </w:tcBorders>
            <w:shd w:val="clear" w:color="auto" w:fill="FFFFFF"/>
          </w:tcPr>
          <w:p w14:paraId="4B10ED3B"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0,3</w:t>
            </w:r>
          </w:p>
        </w:tc>
        <w:tc>
          <w:tcPr>
            <w:tcW w:w="1132" w:type="dxa"/>
            <w:tcBorders>
              <w:top w:val="single" w:sz="4" w:space="0" w:color="auto"/>
              <w:left w:val="single" w:sz="4" w:space="0" w:color="auto"/>
            </w:tcBorders>
            <w:shd w:val="clear" w:color="auto" w:fill="FFFFFF"/>
          </w:tcPr>
          <w:p w14:paraId="6369D8F5"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0,0</w:t>
            </w:r>
          </w:p>
        </w:tc>
        <w:tc>
          <w:tcPr>
            <w:tcW w:w="1122" w:type="dxa"/>
            <w:tcBorders>
              <w:top w:val="single" w:sz="4" w:space="0" w:color="auto"/>
              <w:left w:val="single" w:sz="4" w:space="0" w:color="auto"/>
            </w:tcBorders>
            <w:shd w:val="clear" w:color="auto" w:fill="FFFFFF"/>
          </w:tcPr>
          <w:p w14:paraId="6EB517C0"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Style w:val="275pt"/>
                <w:rFonts w:asciiTheme="majorHAnsi" w:eastAsiaTheme="majorEastAsia" w:hAnsiTheme="majorHAnsi" w:cstheme="majorHAnsi"/>
              </w:rPr>
              <w:t>-0,1</w:t>
            </w:r>
          </w:p>
        </w:tc>
        <w:tc>
          <w:tcPr>
            <w:tcW w:w="752" w:type="dxa"/>
            <w:tcBorders>
              <w:top w:val="single" w:sz="4" w:space="0" w:color="auto"/>
              <w:left w:val="single" w:sz="4" w:space="0" w:color="auto"/>
            </w:tcBorders>
            <w:shd w:val="clear" w:color="auto" w:fill="FFFFFF"/>
          </w:tcPr>
          <w:p w14:paraId="345D1E68"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lang w:val="ro-RO"/>
              </w:rPr>
            </w:pPr>
            <w:r w:rsidRPr="00341E6C">
              <w:rPr>
                <w:rFonts w:asciiTheme="majorHAnsi" w:hAnsiTheme="majorHAnsi" w:cstheme="majorHAnsi"/>
                <w:lang w:val="ro-RO"/>
              </w:rPr>
              <w:t>75</w:t>
            </w:r>
          </w:p>
        </w:tc>
        <w:tc>
          <w:tcPr>
            <w:tcW w:w="1064" w:type="dxa"/>
            <w:tcBorders>
              <w:top w:val="single" w:sz="4" w:space="0" w:color="auto"/>
              <w:left w:val="single" w:sz="4" w:space="0" w:color="auto"/>
            </w:tcBorders>
            <w:shd w:val="clear" w:color="auto" w:fill="FFFFFF"/>
          </w:tcPr>
          <w:p w14:paraId="736446C8"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lang w:val="ro-RO"/>
              </w:rPr>
            </w:pPr>
            <w:r w:rsidRPr="00341E6C">
              <w:rPr>
                <w:rFonts w:asciiTheme="majorHAnsi" w:hAnsiTheme="majorHAnsi" w:cstheme="majorHAnsi"/>
                <w:lang w:val="ro-RO"/>
              </w:rPr>
              <w:t>-0,1</w:t>
            </w:r>
          </w:p>
        </w:tc>
        <w:tc>
          <w:tcPr>
            <w:tcW w:w="731" w:type="dxa"/>
            <w:tcBorders>
              <w:top w:val="single" w:sz="4" w:space="0" w:color="auto"/>
              <w:left w:val="single" w:sz="4" w:space="0" w:color="auto"/>
              <w:right w:val="single" w:sz="4" w:space="0" w:color="auto"/>
            </w:tcBorders>
            <w:shd w:val="clear" w:color="auto" w:fill="FFFFFF"/>
          </w:tcPr>
          <w:p w14:paraId="68FC600A" w14:textId="77777777" w:rsidR="00C32938" w:rsidRPr="00341E6C" w:rsidRDefault="00C32938" w:rsidP="00C32938">
            <w:pPr>
              <w:pStyle w:val="20"/>
              <w:shd w:val="clear" w:color="auto" w:fill="auto"/>
              <w:spacing w:before="0" w:after="0" w:line="240" w:lineRule="auto"/>
              <w:ind w:left="160"/>
              <w:contextualSpacing/>
              <w:jc w:val="right"/>
              <w:rPr>
                <w:rFonts w:asciiTheme="majorHAnsi" w:hAnsiTheme="majorHAnsi" w:cstheme="majorHAnsi"/>
                <w:lang w:val="ro-RO"/>
              </w:rPr>
            </w:pPr>
            <w:r w:rsidRPr="00341E6C">
              <w:rPr>
                <w:rFonts w:asciiTheme="majorHAnsi" w:hAnsiTheme="majorHAnsi" w:cstheme="majorHAnsi"/>
                <w:lang w:val="ro-RO"/>
              </w:rPr>
              <w:t>75</w:t>
            </w:r>
          </w:p>
        </w:tc>
      </w:tr>
      <w:tr w:rsidR="00C32938" w:rsidRPr="00341E6C" w14:paraId="5BA9E7DE" w14:textId="77777777" w:rsidTr="00C32938">
        <w:trPr>
          <w:trHeight w:val="144"/>
        </w:trPr>
        <w:tc>
          <w:tcPr>
            <w:tcW w:w="5130" w:type="dxa"/>
            <w:tcBorders>
              <w:top w:val="single" w:sz="4" w:space="0" w:color="auto"/>
              <w:left w:val="single" w:sz="4" w:space="0" w:color="auto"/>
              <w:bottom w:val="single" w:sz="4" w:space="0" w:color="auto"/>
            </w:tcBorders>
            <w:shd w:val="clear" w:color="auto" w:fill="FFFFFF"/>
          </w:tcPr>
          <w:p w14:paraId="730E178E" w14:textId="77777777" w:rsidR="00C32938" w:rsidRPr="00341E6C" w:rsidRDefault="00C32938" w:rsidP="00C32938">
            <w:pPr>
              <w:pStyle w:val="20"/>
              <w:shd w:val="clear" w:color="auto" w:fill="auto"/>
              <w:spacing w:before="0" w:after="0" w:line="240" w:lineRule="auto"/>
              <w:contextualSpacing/>
              <w:jc w:val="both"/>
              <w:rPr>
                <w:rStyle w:val="275pt"/>
                <w:rFonts w:asciiTheme="majorHAnsi" w:eastAsiaTheme="majorEastAsia" w:hAnsiTheme="majorHAnsi" w:cstheme="majorHAnsi"/>
              </w:rPr>
            </w:pPr>
            <w:r w:rsidRPr="00341E6C">
              <w:rPr>
                <w:rStyle w:val="275pt"/>
                <w:rFonts w:asciiTheme="majorHAnsi" w:eastAsiaTheme="majorEastAsia" w:hAnsiTheme="majorHAnsi" w:cstheme="majorHAnsi"/>
              </w:rPr>
              <w:t>2.2. Transferuri curente primite cu destinație generală între bugetul de stat şi bugetul asigurărilor sociale de stat</w:t>
            </w:r>
          </w:p>
        </w:tc>
        <w:tc>
          <w:tcPr>
            <w:tcW w:w="992" w:type="dxa"/>
            <w:tcBorders>
              <w:top w:val="single" w:sz="4" w:space="0" w:color="auto"/>
              <w:left w:val="single" w:sz="4" w:space="0" w:color="auto"/>
              <w:bottom w:val="single" w:sz="4" w:space="0" w:color="auto"/>
            </w:tcBorders>
            <w:shd w:val="clear" w:color="auto" w:fill="FFFFFF"/>
          </w:tcPr>
          <w:p w14:paraId="7EAA9B71"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1.987,7</w:t>
            </w:r>
          </w:p>
        </w:tc>
        <w:tc>
          <w:tcPr>
            <w:tcW w:w="1180" w:type="dxa"/>
            <w:tcBorders>
              <w:top w:val="single" w:sz="4" w:space="0" w:color="auto"/>
              <w:left w:val="single" w:sz="4" w:space="0" w:color="auto"/>
              <w:bottom w:val="single" w:sz="4" w:space="0" w:color="auto"/>
            </w:tcBorders>
            <w:shd w:val="clear" w:color="auto" w:fill="FFFFFF"/>
          </w:tcPr>
          <w:p w14:paraId="721A3DCD"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1.876,0</w:t>
            </w:r>
          </w:p>
        </w:tc>
        <w:tc>
          <w:tcPr>
            <w:tcW w:w="1205" w:type="dxa"/>
            <w:tcBorders>
              <w:top w:val="single" w:sz="4" w:space="0" w:color="auto"/>
              <w:left w:val="single" w:sz="4" w:space="0" w:color="auto"/>
              <w:bottom w:val="single" w:sz="4" w:space="0" w:color="auto"/>
            </w:tcBorders>
            <w:shd w:val="clear" w:color="auto" w:fill="FFFFFF"/>
          </w:tcPr>
          <w:p w14:paraId="73C1D62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2.965,1</w:t>
            </w:r>
          </w:p>
        </w:tc>
        <w:tc>
          <w:tcPr>
            <w:tcW w:w="1213" w:type="dxa"/>
            <w:tcBorders>
              <w:top w:val="single" w:sz="4" w:space="0" w:color="auto"/>
              <w:left w:val="single" w:sz="4" w:space="0" w:color="auto"/>
              <w:bottom w:val="single" w:sz="4" w:space="0" w:color="auto"/>
            </w:tcBorders>
            <w:shd w:val="clear" w:color="auto" w:fill="FFFFFF"/>
          </w:tcPr>
          <w:p w14:paraId="6E40CF82"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2.554,6</w:t>
            </w:r>
          </w:p>
        </w:tc>
        <w:tc>
          <w:tcPr>
            <w:tcW w:w="1132" w:type="dxa"/>
            <w:tcBorders>
              <w:top w:val="single" w:sz="4" w:space="0" w:color="auto"/>
              <w:left w:val="single" w:sz="4" w:space="0" w:color="auto"/>
              <w:bottom w:val="single" w:sz="4" w:space="0" w:color="auto"/>
            </w:tcBorders>
            <w:shd w:val="clear" w:color="auto" w:fill="FFFFFF"/>
          </w:tcPr>
          <w:p w14:paraId="4765A37D"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26,15</w:t>
            </w:r>
          </w:p>
        </w:tc>
        <w:tc>
          <w:tcPr>
            <w:tcW w:w="1122" w:type="dxa"/>
            <w:tcBorders>
              <w:top w:val="single" w:sz="4" w:space="0" w:color="auto"/>
              <w:left w:val="single" w:sz="4" w:space="0" w:color="auto"/>
              <w:bottom w:val="single" w:sz="4" w:space="0" w:color="auto"/>
            </w:tcBorders>
            <w:shd w:val="clear" w:color="auto" w:fill="FFFFFF"/>
          </w:tcPr>
          <w:p w14:paraId="213DD697"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566,9</w:t>
            </w:r>
          </w:p>
        </w:tc>
        <w:tc>
          <w:tcPr>
            <w:tcW w:w="752" w:type="dxa"/>
            <w:tcBorders>
              <w:top w:val="single" w:sz="4" w:space="0" w:color="auto"/>
              <w:left w:val="single" w:sz="4" w:space="0" w:color="auto"/>
              <w:bottom w:val="single" w:sz="4" w:space="0" w:color="auto"/>
            </w:tcBorders>
            <w:shd w:val="clear" w:color="auto" w:fill="FFFFFF"/>
          </w:tcPr>
          <w:p w14:paraId="5C5E3313" w14:textId="77777777" w:rsidR="00C32938" w:rsidRPr="00341E6C"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o-RO"/>
              </w:rPr>
            </w:pPr>
            <w:r w:rsidRPr="00341E6C">
              <w:rPr>
                <w:rFonts w:asciiTheme="majorHAnsi" w:hAnsiTheme="majorHAnsi" w:cstheme="majorHAnsi"/>
                <w:i/>
                <w:lang w:val="ro-RO"/>
              </w:rPr>
              <w:t>128,5</w:t>
            </w:r>
          </w:p>
        </w:tc>
        <w:tc>
          <w:tcPr>
            <w:tcW w:w="1064" w:type="dxa"/>
            <w:tcBorders>
              <w:top w:val="single" w:sz="4" w:space="0" w:color="auto"/>
              <w:left w:val="single" w:sz="4" w:space="0" w:color="auto"/>
              <w:bottom w:val="single" w:sz="4" w:space="0" w:color="auto"/>
            </w:tcBorders>
            <w:shd w:val="clear" w:color="auto" w:fill="FFFFFF"/>
          </w:tcPr>
          <w:p w14:paraId="24DA400A" w14:textId="77777777" w:rsidR="00C32938" w:rsidRPr="00341E6C" w:rsidRDefault="00C32938" w:rsidP="00C32938">
            <w:pPr>
              <w:pStyle w:val="20"/>
              <w:shd w:val="clear" w:color="auto" w:fill="auto"/>
              <w:spacing w:before="0" w:after="0" w:line="240" w:lineRule="auto"/>
              <w:contextualSpacing/>
              <w:jc w:val="right"/>
              <w:rPr>
                <w:rFonts w:asciiTheme="majorHAnsi" w:hAnsiTheme="majorHAnsi" w:cstheme="majorHAnsi"/>
                <w:i/>
                <w:lang w:val="ro-RO"/>
              </w:rPr>
            </w:pPr>
            <w:r w:rsidRPr="00341E6C">
              <w:rPr>
                <w:rFonts w:asciiTheme="majorHAnsi" w:hAnsiTheme="majorHAnsi" w:cstheme="majorHAnsi"/>
                <w:i/>
                <w:lang w:val="ro-RO"/>
              </w:rPr>
              <w:t>-410,5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63D774D4" w14:textId="77777777" w:rsidR="00C32938" w:rsidRPr="00341E6C" w:rsidRDefault="00C32938" w:rsidP="00C32938">
            <w:pPr>
              <w:pStyle w:val="20"/>
              <w:shd w:val="clear" w:color="auto" w:fill="auto"/>
              <w:spacing w:before="0" w:after="0" w:line="240" w:lineRule="auto"/>
              <w:ind w:left="260"/>
              <w:contextualSpacing/>
              <w:jc w:val="right"/>
              <w:rPr>
                <w:rFonts w:asciiTheme="majorHAnsi" w:hAnsiTheme="majorHAnsi" w:cstheme="majorHAnsi"/>
                <w:i/>
                <w:lang w:val="ro-RO"/>
              </w:rPr>
            </w:pPr>
            <w:r w:rsidRPr="00341E6C">
              <w:rPr>
                <w:rFonts w:asciiTheme="majorHAnsi" w:hAnsiTheme="majorHAnsi" w:cstheme="majorHAnsi"/>
                <w:i/>
                <w:lang w:val="ro-RO"/>
              </w:rPr>
              <w:t>86,2</w:t>
            </w:r>
          </w:p>
        </w:tc>
      </w:tr>
    </w:tbl>
    <w:p w14:paraId="20311D59" w14:textId="6BB9AC6A" w:rsidR="00C32938" w:rsidRPr="005A4F77" w:rsidRDefault="00C32938" w:rsidP="00C32938">
      <w:pPr>
        <w:spacing w:after="0" w:line="276" w:lineRule="auto"/>
        <w:ind w:firstLine="720"/>
        <w:jc w:val="both"/>
        <w:rPr>
          <w:rFonts w:asciiTheme="majorHAnsi" w:hAnsiTheme="majorHAnsi" w:cstheme="majorHAnsi"/>
          <w:i/>
          <w:sz w:val="16"/>
          <w:szCs w:val="16"/>
          <w:lang w:val="ro-RO"/>
        </w:rPr>
      </w:pPr>
      <w:r w:rsidRPr="005A4F77">
        <w:rPr>
          <w:rFonts w:asciiTheme="majorHAnsi" w:hAnsiTheme="majorHAnsi" w:cstheme="majorHAnsi"/>
          <w:b/>
          <w:bCs/>
          <w:i/>
          <w:sz w:val="16"/>
          <w:szCs w:val="16"/>
          <w:lang w:val="ro-RO"/>
        </w:rPr>
        <w:t>Sursă:</w:t>
      </w:r>
      <w:r w:rsidRPr="005A4F77">
        <w:rPr>
          <w:rFonts w:asciiTheme="majorHAnsi" w:hAnsiTheme="majorHAnsi" w:cstheme="majorHAnsi"/>
          <w:i/>
          <w:sz w:val="16"/>
          <w:szCs w:val="16"/>
          <w:lang w:val="ro-RO"/>
        </w:rPr>
        <w:t xml:space="preserve"> Raportul privind executarea bugetului asigurărilor sociale de stat pentru anii 2019</w:t>
      </w:r>
      <w:r w:rsidR="004B68DE">
        <w:rPr>
          <w:rFonts w:asciiTheme="majorHAnsi" w:hAnsiTheme="majorHAnsi" w:cstheme="majorHAnsi"/>
          <w:i/>
          <w:sz w:val="16"/>
          <w:szCs w:val="16"/>
          <w:lang w:val="ro-RO"/>
        </w:rPr>
        <w:t xml:space="preserve"> și</w:t>
      </w:r>
      <w:r w:rsidRPr="005A4F77">
        <w:rPr>
          <w:rFonts w:asciiTheme="majorHAnsi" w:hAnsiTheme="majorHAnsi" w:cstheme="majorHAnsi"/>
          <w:i/>
          <w:sz w:val="16"/>
          <w:szCs w:val="16"/>
          <w:lang w:val="ro-RO"/>
        </w:rPr>
        <w:t xml:space="preserve"> 2020 (Formularul nr.4 CNAS).</w:t>
      </w:r>
    </w:p>
    <w:p w14:paraId="4F601613" w14:textId="3016D793" w:rsidR="00C32938" w:rsidRPr="00341E6C" w:rsidRDefault="00C32938" w:rsidP="002A6F9B">
      <w:pPr>
        <w:spacing w:after="0" w:line="240" w:lineRule="auto"/>
        <w:jc w:val="center"/>
        <w:rPr>
          <w:rFonts w:ascii="Calibri Light" w:eastAsia="Times New Roman" w:hAnsi="Calibri Light" w:cs="Calibri Light"/>
          <w:b/>
          <w:bCs/>
          <w:color w:val="000000"/>
          <w:sz w:val="20"/>
          <w:szCs w:val="20"/>
          <w:lang w:val="ro-RO"/>
        </w:rPr>
      </w:pPr>
    </w:p>
    <w:p w14:paraId="4F472C01" w14:textId="0C0990D8" w:rsidR="0079098F" w:rsidRPr="00341E6C" w:rsidRDefault="0079098F" w:rsidP="0079098F">
      <w:pPr>
        <w:spacing w:after="0" w:line="240" w:lineRule="auto"/>
        <w:rPr>
          <w:rFonts w:ascii="Calibri Light" w:eastAsia="Times New Roman" w:hAnsi="Calibri Light" w:cs="Calibri Light"/>
          <w:b/>
          <w:bCs/>
          <w:color w:val="000000"/>
          <w:sz w:val="20"/>
          <w:szCs w:val="20"/>
          <w:lang w:val="ro-RO"/>
        </w:rPr>
        <w:sectPr w:rsidR="0079098F" w:rsidRPr="00341E6C" w:rsidSect="00C32938">
          <w:pgSz w:w="16834" w:h="11909" w:orient="landscape" w:code="9"/>
          <w:pgMar w:top="1440" w:right="850" w:bottom="850" w:left="850" w:header="706" w:footer="706" w:gutter="0"/>
          <w:cols w:space="708"/>
          <w:titlePg/>
          <w:docGrid w:linePitch="360"/>
        </w:sectPr>
      </w:pPr>
    </w:p>
    <w:p w14:paraId="0BB3D782" w14:textId="0337DBB7" w:rsidR="0079098F" w:rsidRPr="00341E6C" w:rsidRDefault="0079098F" w:rsidP="005D4B1B">
      <w:pPr>
        <w:pStyle w:val="NormalWeb"/>
        <w:tabs>
          <w:tab w:val="left" w:pos="162"/>
        </w:tabs>
        <w:spacing w:line="276" w:lineRule="auto"/>
        <w:ind w:left="567" w:firstLine="0"/>
        <w:jc w:val="right"/>
        <w:outlineLvl w:val="1"/>
        <w:rPr>
          <w:rFonts w:asciiTheme="majorHAnsi" w:hAnsiTheme="majorHAnsi" w:cstheme="majorHAnsi"/>
          <w:b/>
          <w:lang w:val="ro-RO"/>
        </w:rPr>
      </w:pPr>
      <w:r w:rsidRPr="00341E6C">
        <w:rPr>
          <w:rFonts w:asciiTheme="majorHAnsi" w:hAnsiTheme="majorHAnsi" w:cstheme="majorHAnsi"/>
          <w:b/>
          <w:lang w:val="ro-RO"/>
        </w:rPr>
        <w:lastRenderedPageBreak/>
        <w:t>Anexa nr.</w:t>
      </w:r>
      <w:r w:rsidR="005D4B1B" w:rsidRPr="00341E6C">
        <w:rPr>
          <w:rFonts w:asciiTheme="majorHAnsi" w:hAnsiTheme="majorHAnsi" w:cstheme="majorHAnsi"/>
          <w:b/>
          <w:lang w:val="ro-RO"/>
        </w:rPr>
        <w:t xml:space="preserve"> </w:t>
      </w:r>
      <w:r w:rsidR="00EE3574">
        <w:rPr>
          <w:rFonts w:asciiTheme="majorHAnsi" w:hAnsiTheme="majorHAnsi" w:cstheme="majorHAnsi"/>
          <w:b/>
          <w:lang w:val="ro-RO"/>
        </w:rPr>
        <w:t>4</w:t>
      </w:r>
      <w:r w:rsidRPr="00341E6C">
        <w:rPr>
          <w:rFonts w:asciiTheme="majorHAnsi" w:hAnsiTheme="majorHAnsi" w:cstheme="majorHAnsi"/>
          <w:b/>
          <w:lang w:val="ro-RO"/>
        </w:rPr>
        <w:t xml:space="preserve"> </w:t>
      </w:r>
    </w:p>
    <w:p w14:paraId="3EC7295E" w14:textId="642A410D" w:rsidR="0079098F" w:rsidRPr="00341E6C" w:rsidRDefault="0079098F" w:rsidP="0079098F">
      <w:pPr>
        <w:spacing w:after="0" w:line="276" w:lineRule="auto"/>
        <w:jc w:val="center"/>
        <w:rPr>
          <w:rFonts w:asciiTheme="majorHAnsi" w:hAnsiTheme="majorHAnsi" w:cstheme="majorHAnsi"/>
          <w:b/>
          <w:bCs/>
          <w:sz w:val="24"/>
          <w:szCs w:val="24"/>
          <w:lang w:val="ro-RO"/>
        </w:rPr>
      </w:pPr>
      <w:r w:rsidRPr="00341E6C">
        <w:rPr>
          <w:rFonts w:asciiTheme="majorHAnsi" w:hAnsiTheme="majorHAnsi" w:cstheme="majorHAnsi"/>
          <w:b/>
          <w:bCs/>
          <w:sz w:val="24"/>
          <w:szCs w:val="24"/>
          <w:lang w:val="ro-RO"/>
        </w:rPr>
        <w:t>Structura veniturilor BASS în anul 2020</w:t>
      </w:r>
      <w:r w:rsidR="004B68DE">
        <w:rPr>
          <w:rFonts w:asciiTheme="majorHAnsi" w:hAnsiTheme="majorHAnsi" w:cstheme="majorHAnsi"/>
          <w:b/>
          <w:bCs/>
          <w:sz w:val="24"/>
          <w:szCs w:val="24"/>
          <w:lang w:val="ro-RO"/>
        </w:rPr>
        <w:t xml:space="preserve"> (</w:t>
      </w:r>
      <w:r w:rsidRPr="00341E6C">
        <w:rPr>
          <w:rFonts w:asciiTheme="majorHAnsi" w:hAnsiTheme="majorHAnsi" w:cstheme="majorHAnsi"/>
          <w:b/>
          <w:bCs/>
          <w:sz w:val="24"/>
          <w:szCs w:val="24"/>
          <w:lang w:val="ro-RO"/>
        </w:rPr>
        <w:t>mil.lei</w:t>
      </w:r>
      <w:r w:rsidR="004B68DE">
        <w:rPr>
          <w:rFonts w:asciiTheme="majorHAnsi" w:hAnsiTheme="majorHAnsi" w:cstheme="majorHAnsi"/>
          <w:b/>
          <w:bCs/>
          <w:sz w:val="24"/>
          <w:szCs w:val="24"/>
          <w:lang w:val="ro-RO"/>
        </w:rPr>
        <w:t>)</w:t>
      </w:r>
    </w:p>
    <w:p w14:paraId="5F4D51BE" w14:textId="07D61D23" w:rsidR="0079098F" w:rsidRPr="00341E6C" w:rsidRDefault="00AC3902" w:rsidP="0079098F">
      <w:pPr>
        <w:spacing w:after="0" w:line="276" w:lineRule="auto"/>
        <w:jc w:val="center"/>
        <w:rPr>
          <w:rFonts w:asciiTheme="majorHAnsi" w:hAnsiTheme="majorHAnsi" w:cstheme="majorHAnsi"/>
          <w:b/>
          <w:bCs/>
          <w:sz w:val="24"/>
          <w:szCs w:val="24"/>
          <w:lang w:val="ro-RO"/>
        </w:rPr>
      </w:pPr>
      <w:r w:rsidRPr="00341E6C">
        <w:rPr>
          <w:rFonts w:asciiTheme="majorHAnsi" w:hAnsiTheme="majorHAnsi" w:cstheme="majorHAnsi"/>
          <w:noProof/>
          <w:sz w:val="24"/>
          <w:szCs w:val="24"/>
        </w:rPr>
        <w:drawing>
          <wp:anchor distT="0" distB="0" distL="114300" distR="114300" simplePos="0" relativeHeight="251661312" behindDoc="0" locked="0" layoutInCell="1" allowOverlap="1" wp14:anchorId="242D8543" wp14:editId="4E8ED7A1">
            <wp:simplePos x="0" y="0"/>
            <wp:positionH relativeFrom="column">
              <wp:posOffset>0</wp:posOffset>
            </wp:positionH>
            <wp:positionV relativeFrom="paragraph">
              <wp:posOffset>213360</wp:posOffset>
            </wp:positionV>
            <wp:extent cx="5950585" cy="2948940"/>
            <wp:effectExtent l="0" t="0" r="12065"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2308B289" w14:textId="3F00414E" w:rsidR="0079098F" w:rsidRPr="00341E6C" w:rsidRDefault="0079098F" w:rsidP="0079098F">
      <w:pPr>
        <w:spacing w:after="0" w:line="276" w:lineRule="auto"/>
        <w:rPr>
          <w:rFonts w:asciiTheme="majorHAnsi" w:hAnsiTheme="majorHAnsi" w:cstheme="majorHAnsi"/>
          <w:b/>
          <w:bCs/>
          <w:i/>
          <w:sz w:val="24"/>
          <w:szCs w:val="24"/>
          <w:lang w:val="ro-RO"/>
        </w:rPr>
      </w:pPr>
      <w:r w:rsidRPr="00341E6C">
        <w:rPr>
          <w:rFonts w:asciiTheme="majorHAnsi" w:hAnsiTheme="majorHAnsi" w:cstheme="majorHAnsi"/>
          <w:b/>
          <w:bCs/>
          <w:sz w:val="24"/>
          <w:szCs w:val="24"/>
          <w:lang w:val="ro-RO"/>
        </w:rPr>
        <w:t xml:space="preserve"> </w:t>
      </w:r>
    </w:p>
    <w:p w14:paraId="1FB60012" w14:textId="77AB1FCE" w:rsidR="0079098F" w:rsidRPr="00341E6C" w:rsidRDefault="0079098F" w:rsidP="0079098F">
      <w:pPr>
        <w:spacing w:after="0" w:line="276" w:lineRule="auto"/>
        <w:jc w:val="both"/>
        <w:rPr>
          <w:rFonts w:asciiTheme="majorHAnsi" w:hAnsiTheme="majorHAnsi" w:cstheme="majorHAnsi"/>
          <w:i/>
          <w:sz w:val="20"/>
          <w:szCs w:val="20"/>
          <w:lang w:val="ro-RO"/>
        </w:rPr>
      </w:pPr>
      <w:r w:rsidRPr="00341E6C">
        <w:rPr>
          <w:rFonts w:asciiTheme="majorHAnsi" w:hAnsiTheme="majorHAnsi" w:cstheme="majorHAnsi"/>
          <w:b/>
          <w:bCs/>
          <w:i/>
          <w:sz w:val="20"/>
          <w:szCs w:val="20"/>
          <w:lang w:val="ro-RO"/>
        </w:rPr>
        <w:t>Sursă:</w:t>
      </w:r>
      <w:r w:rsidRPr="00341E6C">
        <w:rPr>
          <w:rFonts w:asciiTheme="majorHAnsi" w:hAnsiTheme="majorHAnsi" w:cstheme="majorHAnsi"/>
          <w:i/>
          <w:sz w:val="20"/>
          <w:szCs w:val="20"/>
          <w:lang w:val="ro-RO"/>
        </w:rPr>
        <w:t xml:space="preserve"> Raportul privind executarea bugetului asigurărilor sociale de stat pentru anul 2020 (Formularul nr.4 CNAS).</w:t>
      </w:r>
    </w:p>
    <w:p w14:paraId="21C764C5" w14:textId="31131B98" w:rsidR="0079098F" w:rsidRPr="00341E6C" w:rsidRDefault="0079098F" w:rsidP="002A6F9B">
      <w:pPr>
        <w:spacing w:after="0" w:line="240" w:lineRule="auto"/>
        <w:jc w:val="center"/>
        <w:rPr>
          <w:rFonts w:ascii="Calibri Light" w:eastAsia="Times New Roman" w:hAnsi="Calibri Light" w:cs="Calibri Light"/>
          <w:b/>
          <w:bCs/>
          <w:color w:val="000000"/>
          <w:sz w:val="24"/>
          <w:szCs w:val="20"/>
          <w:lang w:val="ro-RO"/>
        </w:rPr>
      </w:pPr>
    </w:p>
    <w:p w14:paraId="119284A2" w14:textId="77777777" w:rsidR="0079098F" w:rsidRPr="00341E6C" w:rsidRDefault="0079098F" w:rsidP="0079098F">
      <w:pPr>
        <w:pStyle w:val="NormalWeb"/>
        <w:tabs>
          <w:tab w:val="left" w:pos="162"/>
        </w:tabs>
        <w:spacing w:line="276" w:lineRule="auto"/>
        <w:ind w:left="567" w:firstLine="0"/>
        <w:jc w:val="right"/>
        <w:rPr>
          <w:rFonts w:asciiTheme="majorHAnsi" w:hAnsiTheme="majorHAnsi" w:cstheme="majorHAnsi"/>
          <w:b/>
          <w:lang w:val="ro-RO"/>
        </w:rPr>
      </w:pPr>
    </w:p>
    <w:p w14:paraId="66B0D800" w14:textId="15F2E8F9" w:rsidR="0079098F" w:rsidRPr="00341E6C" w:rsidRDefault="0079098F" w:rsidP="005D4B1B">
      <w:pPr>
        <w:pStyle w:val="NormalWeb"/>
        <w:tabs>
          <w:tab w:val="left" w:pos="162"/>
        </w:tabs>
        <w:spacing w:line="276" w:lineRule="auto"/>
        <w:ind w:left="567" w:firstLine="0"/>
        <w:jc w:val="right"/>
        <w:outlineLvl w:val="1"/>
        <w:rPr>
          <w:rFonts w:asciiTheme="majorHAnsi" w:hAnsiTheme="majorHAnsi" w:cstheme="majorHAnsi"/>
          <w:b/>
          <w:lang w:val="ro-RO"/>
        </w:rPr>
      </w:pPr>
      <w:r w:rsidRPr="00341E6C">
        <w:rPr>
          <w:rFonts w:asciiTheme="majorHAnsi" w:hAnsiTheme="majorHAnsi" w:cstheme="majorHAnsi"/>
          <w:b/>
          <w:lang w:val="ro-RO"/>
        </w:rPr>
        <w:t>Anexa nr.</w:t>
      </w:r>
      <w:r w:rsidR="005D4B1B" w:rsidRPr="00341E6C">
        <w:rPr>
          <w:rFonts w:asciiTheme="majorHAnsi" w:hAnsiTheme="majorHAnsi" w:cstheme="majorHAnsi"/>
          <w:b/>
          <w:lang w:val="ro-RO"/>
        </w:rPr>
        <w:t xml:space="preserve"> </w:t>
      </w:r>
      <w:r w:rsidR="00EE3574">
        <w:rPr>
          <w:rFonts w:asciiTheme="majorHAnsi" w:hAnsiTheme="majorHAnsi" w:cstheme="majorHAnsi"/>
          <w:b/>
          <w:lang w:val="ro-RO"/>
        </w:rPr>
        <w:t>5</w:t>
      </w:r>
      <w:r w:rsidRPr="00341E6C">
        <w:rPr>
          <w:rFonts w:asciiTheme="majorHAnsi" w:hAnsiTheme="majorHAnsi" w:cstheme="majorHAnsi"/>
          <w:b/>
          <w:lang w:val="ro-RO"/>
        </w:rPr>
        <w:t xml:space="preserve"> </w:t>
      </w:r>
    </w:p>
    <w:p w14:paraId="45165A67" w14:textId="5386E0F4" w:rsidR="0079098F" w:rsidRPr="00341E6C" w:rsidRDefault="0079098F" w:rsidP="002A6F9B">
      <w:pPr>
        <w:spacing w:after="0" w:line="240" w:lineRule="auto"/>
        <w:jc w:val="center"/>
        <w:rPr>
          <w:rFonts w:ascii="Calibri Light" w:eastAsia="Times New Roman" w:hAnsi="Calibri Light" w:cs="Calibri Light"/>
          <w:b/>
          <w:bCs/>
          <w:color w:val="000000"/>
          <w:sz w:val="24"/>
          <w:szCs w:val="20"/>
          <w:lang w:val="ro-RO"/>
        </w:rPr>
      </w:pPr>
    </w:p>
    <w:p w14:paraId="752ED1A3" w14:textId="2E5A1A1F" w:rsidR="0079098F" w:rsidRPr="00341E6C" w:rsidRDefault="00AC3902" w:rsidP="0079098F">
      <w:pPr>
        <w:pStyle w:val="20"/>
        <w:shd w:val="clear" w:color="auto" w:fill="auto"/>
        <w:spacing w:before="0" w:after="0" w:line="276" w:lineRule="auto"/>
        <w:jc w:val="center"/>
        <w:rPr>
          <w:rFonts w:asciiTheme="majorHAnsi" w:hAnsiTheme="majorHAnsi" w:cstheme="majorHAnsi"/>
          <w:b/>
          <w:sz w:val="24"/>
          <w:szCs w:val="24"/>
          <w:lang w:val="ro-RO"/>
        </w:rPr>
      </w:pPr>
      <w:r w:rsidRPr="005A4F77">
        <w:rPr>
          <w:rFonts w:asciiTheme="majorHAnsi" w:hAnsiTheme="majorHAnsi" w:cstheme="majorHAnsi"/>
          <w:b/>
          <w:sz w:val="24"/>
          <w:szCs w:val="24"/>
          <w:lang w:val="ro-RO"/>
        </w:rPr>
        <w:t>Dinamica v</w:t>
      </w:r>
      <w:r w:rsidR="0079098F" w:rsidRPr="005A4F77">
        <w:rPr>
          <w:rFonts w:asciiTheme="majorHAnsi" w:hAnsiTheme="majorHAnsi" w:cstheme="majorHAnsi"/>
          <w:b/>
          <w:sz w:val="24"/>
          <w:szCs w:val="24"/>
          <w:lang w:val="ro-RO"/>
        </w:rPr>
        <w:t>enituri</w:t>
      </w:r>
      <w:r w:rsidRPr="005A4F77">
        <w:rPr>
          <w:rFonts w:asciiTheme="majorHAnsi" w:hAnsiTheme="majorHAnsi" w:cstheme="majorHAnsi"/>
          <w:b/>
          <w:sz w:val="24"/>
          <w:szCs w:val="24"/>
          <w:lang w:val="ro-RO"/>
        </w:rPr>
        <w:t>lor</w:t>
      </w:r>
      <w:r w:rsidR="0079098F" w:rsidRPr="005A4F77">
        <w:rPr>
          <w:rFonts w:asciiTheme="majorHAnsi" w:hAnsiTheme="majorHAnsi" w:cstheme="majorHAnsi"/>
          <w:b/>
          <w:sz w:val="24"/>
          <w:szCs w:val="24"/>
          <w:lang w:val="ro-RO"/>
        </w:rPr>
        <w:t xml:space="preserve"> proprii acumulate și </w:t>
      </w:r>
      <w:r w:rsidR="004B68DE" w:rsidRPr="005A4F77">
        <w:rPr>
          <w:rFonts w:asciiTheme="majorHAnsi" w:hAnsiTheme="majorHAnsi" w:cstheme="majorHAnsi"/>
          <w:b/>
          <w:sz w:val="24"/>
          <w:szCs w:val="24"/>
          <w:lang w:val="ro-RO"/>
        </w:rPr>
        <w:t xml:space="preserve">a </w:t>
      </w:r>
      <w:r w:rsidR="0079098F" w:rsidRPr="005A4F77">
        <w:rPr>
          <w:rFonts w:asciiTheme="majorHAnsi" w:hAnsiTheme="majorHAnsi" w:cstheme="majorHAnsi"/>
          <w:b/>
          <w:sz w:val="24"/>
          <w:szCs w:val="24"/>
          <w:lang w:val="ro-RO"/>
        </w:rPr>
        <w:t>transferuril</w:t>
      </w:r>
      <w:r w:rsidRPr="005A4F77">
        <w:rPr>
          <w:rFonts w:asciiTheme="majorHAnsi" w:hAnsiTheme="majorHAnsi" w:cstheme="majorHAnsi"/>
          <w:b/>
          <w:sz w:val="24"/>
          <w:szCs w:val="24"/>
          <w:lang w:val="ro-RO"/>
        </w:rPr>
        <w:t>or</w:t>
      </w:r>
      <w:r w:rsidR="0079098F" w:rsidRPr="005A4F77">
        <w:rPr>
          <w:rFonts w:asciiTheme="majorHAnsi" w:hAnsiTheme="majorHAnsi" w:cstheme="majorHAnsi"/>
          <w:b/>
          <w:sz w:val="24"/>
          <w:szCs w:val="24"/>
          <w:lang w:val="ro-RO"/>
        </w:rPr>
        <w:t xml:space="preserve"> la BASS în anii 2018-2020</w:t>
      </w:r>
      <w:r w:rsidR="004B68DE" w:rsidRPr="005A4F77">
        <w:rPr>
          <w:rFonts w:asciiTheme="majorHAnsi" w:hAnsiTheme="majorHAnsi" w:cstheme="majorHAnsi"/>
          <w:b/>
          <w:sz w:val="24"/>
          <w:szCs w:val="24"/>
          <w:lang w:val="ro-RO"/>
        </w:rPr>
        <w:t xml:space="preserve"> </w:t>
      </w:r>
      <w:r w:rsidR="005A4F77" w:rsidRPr="005A4F77">
        <w:rPr>
          <w:rFonts w:asciiTheme="majorHAnsi" w:hAnsiTheme="majorHAnsi" w:cstheme="majorHAnsi"/>
          <w:b/>
          <w:sz w:val="24"/>
          <w:szCs w:val="24"/>
          <w:lang w:val="ro-RO"/>
        </w:rPr>
        <w:t>(mii lei</w:t>
      </w:r>
      <w:r w:rsidR="004B68DE" w:rsidRPr="005A4F77">
        <w:rPr>
          <w:rFonts w:asciiTheme="majorHAnsi" w:hAnsiTheme="majorHAnsi" w:cstheme="majorHAnsi"/>
          <w:b/>
          <w:sz w:val="24"/>
          <w:szCs w:val="24"/>
          <w:lang w:val="ro-RO"/>
        </w:rPr>
        <w:t>)</w:t>
      </w:r>
    </w:p>
    <w:p w14:paraId="202D5B52" w14:textId="77777777" w:rsidR="0079098F" w:rsidRPr="00341E6C" w:rsidRDefault="0079098F" w:rsidP="0079098F">
      <w:pPr>
        <w:pStyle w:val="20"/>
        <w:shd w:val="clear" w:color="auto" w:fill="auto"/>
        <w:spacing w:before="0" w:after="0" w:line="276" w:lineRule="auto"/>
        <w:jc w:val="both"/>
        <w:rPr>
          <w:rFonts w:asciiTheme="majorHAnsi" w:hAnsiTheme="majorHAnsi" w:cstheme="majorHAnsi"/>
          <w:sz w:val="24"/>
          <w:szCs w:val="24"/>
          <w:lang w:val="ro-RO"/>
        </w:rPr>
      </w:pPr>
      <w:r w:rsidRPr="00F20408">
        <w:rPr>
          <w:rFonts w:asciiTheme="majorHAnsi" w:hAnsiTheme="majorHAnsi" w:cstheme="majorHAnsi"/>
          <w:i/>
          <w:noProof/>
          <w:color w:val="444444"/>
          <w:sz w:val="28"/>
          <w:szCs w:val="28"/>
        </w:rPr>
        <w:drawing>
          <wp:inline distT="0" distB="0" distL="0" distR="0" wp14:anchorId="05BEC405" wp14:editId="17579BA6">
            <wp:extent cx="5867400" cy="3596640"/>
            <wp:effectExtent l="0" t="0" r="0" b="381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566072" w14:textId="77777777" w:rsidR="0079098F" w:rsidRPr="00341E6C" w:rsidRDefault="0079098F" w:rsidP="0079098F">
      <w:pPr>
        <w:pStyle w:val="NormalWeb"/>
        <w:tabs>
          <w:tab w:val="left" w:pos="162"/>
        </w:tabs>
        <w:spacing w:line="276" w:lineRule="auto"/>
        <w:ind w:left="1287" w:firstLine="0"/>
        <w:rPr>
          <w:rFonts w:asciiTheme="majorHAnsi" w:hAnsiTheme="majorHAnsi" w:cstheme="majorHAnsi"/>
          <w:i/>
          <w:sz w:val="20"/>
          <w:szCs w:val="20"/>
          <w:lang w:val="ro-RO"/>
        </w:rPr>
      </w:pPr>
      <w:r w:rsidRPr="00341E6C">
        <w:rPr>
          <w:rFonts w:asciiTheme="majorHAnsi" w:hAnsiTheme="majorHAnsi" w:cstheme="majorHAnsi"/>
          <w:b/>
          <w:bCs/>
          <w:i/>
          <w:sz w:val="20"/>
          <w:szCs w:val="20"/>
          <w:lang w:val="ro-RO"/>
        </w:rPr>
        <w:t>Sursă:</w:t>
      </w:r>
      <w:r w:rsidRPr="00341E6C">
        <w:rPr>
          <w:rFonts w:asciiTheme="majorHAnsi" w:hAnsiTheme="majorHAnsi" w:cstheme="majorHAnsi"/>
          <w:i/>
          <w:sz w:val="20"/>
          <w:szCs w:val="20"/>
          <w:lang w:val="ro-RO"/>
        </w:rPr>
        <w:t xml:space="preserve"> Raportul privind executarea bugetului asigurărilor sociale de stat pentru anii 2018-2020.</w:t>
      </w:r>
    </w:p>
    <w:p w14:paraId="7870D005" w14:textId="6F69BF13" w:rsidR="0079098F" w:rsidRPr="00341E6C" w:rsidRDefault="0079098F" w:rsidP="002A6F9B">
      <w:pPr>
        <w:spacing w:after="0" w:line="240" w:lineRule="auto"/>
        <w:jc w:val="center"/>
        <w:rPr>
          <w:rFonts w:ascii="Calibri Light" w:eastAsia="Times New Roman" w:hAnsi="Calibri Light" w:cs="Calibri Light"/>
          <w:b/>
          <w:bCs/>
          <w:color w:val="000000"/>
          <w:sz w:val="24"/>
          <w:szCs w:val="20"/>
          <w:lang w:val="ro-RO"/>
        </w:rPr>
      </w:pPr>
    </w:p>
    <w:p w14:paraId="46D43D87" w14:textId="6C2E8E81" w:rsidR="00812123" w:rsidRPr="00341E6C" w:rsidRDefault="00812123" w:rsidP="002A6F9B">
      <w:pPr>
        <w:spacing w:after="0" w:line="240" w:lineRule="auto"/>
        <w:jc w:val="center"/>
        <w:rPr>
          <w:rFonts w:ascii="Calibri Light" w:eastAsia="Times New Roman" w:hAnsi="Calibri Light" w:cs="Calibri Light"/>
          <w:b/>
          <w:bCs/>
          <w:color w:val="000000"/>
          <w:sz w:val="24"/>
          <w:szCs w:val="20"/>
          <w:lang w:val="ro-RO"/>
        </w:rPr>
      </w:pPr>
    </w:p>
    <w:p w14:paraId="511DD1AA" w14:textId="27E63E9C" w:rsidR="00812123" w:rsidRPr="00341E6C" w:rsidRDefault="00812123" w:rsidP="002A6F9B">
      <w:pPr>
        <w:spacing w:after="0" w:line="240" w:lineRule="auto"/>
        <w:jc w:val="center"/>
        <w:rPr>
          <w:rFonts w:ascii="Calibri Light" w:eastAsia="Times New Roman" w:hAnsi="Calibri Light" w:cs="Calibri Light"/>
          <w:b/>
          <w:bCs/>
          <w:color w:val="000000"/>
          <w:sz w:val="24"/>
          <w:szCs w:val="20"/>
          <w:lang w:val="ro-RO"/>
        </w:rPr>
      </w:pPr>
    </w:p>
    <w:p w14:paraId="46FCBE30" w14:textId="69191745" w:rsidR="00812123" w:rsidRPr="00341E6C" w:rsidRDefault="00812123" w:rsidP="002A6F9B">
      <w:pPr>
        <w:spacing w:after="0" w:line="240" w:lineRule="auto"/>
        <w:jc w:val="center"/>
        <w:rPr>
          <w:rFonts w:ascii="Calibri Light" w:eastAsia="Times New Roman" w:hAnsi="Calibri Light" w:cs="Calibri Light"/>
          <w:b/>
          <w:bCs/>
          <w:color w:val="000000"/>
          <w:sz w:val="24"/>
          <w:szCs w:val="20"/>
          <w:lang w:val="ro-RO"/>
        </w:rPr>
      </w:pPr>
    </w:p>
    <w:p w14:paraId="333B4D06" w14:textId="359143AF" w:rsidR="00812123" w:rsidRPr="00341E6C" w:rsidRDefault="00812123" w:rsidP="005D4B1B">
      <w:pPr>
        <w:pStyle w:val="Heading2"/>
        <w:jc w:val="right"/>
        <w:rPr>
          <w:rFonts w:ascii="Calibri Light" w:hAnsi="Calibri Light" w:cs="Calibri Light"/>
          <w:bCs w:val="0"/>
          <w:color w:val="000000"/>
          <w:sz w:val="24"/>
          <w:szCs w:val="20"/>
          <w:lang w:val="ro-RO"/>
        </w:rPr>
      </w:pPr>
      <w:r w:rsidRPr="00341E6C">
        <w:rPr>
          <w:rFonts w:ascii="Calibri Light" w:hAnsi="Calibri Light" w:cs="Calibri Light"/>
          <w:bCs w:val="0"/>
          <w:color w:val="000000"/>
          <w:sz w:val="24"/>
          <w:szCs w:val="20"/>
          <w:lang w:val="ro-RO"/>
        </w:rPr>
        <w:lastRenderedPageBreak/>
        <w:t>Anexa nr.</w:t>
      </w:r>
      <w:r w:rsidR="005D4B1B" w:rsidRPr="00341E6C">
        <w:rPr>
          <w:rFonts w:ascii="Calibri Light" w:hAnsi="Calibri Light" w:cs="Calibri Light"/>
          <w:bCs w:val="0"/>
          <w:color w:val="000000"/>
          <w:sz w:val="24"/>
          <w:szCs w:val="20"/>
          <w:lang w:val="ro-RO"/>
        </w:rPr>
        <w:t xml:space="preserve"> </w:t>
      </w:r>
      <w:r w:rsidR="00EE3574">
        <w:rPr>
          <w:rFonts w:ascii="Calibri Light" w:hAnsi="Calibri Light" w:cs="Calibri Light"/>
          <w:bCs w:val="0"/>
          <w:color w:val="000000"/>
          <w:sz w:val="24"/>
          <w:szCs w:val="20"/>
          <w:lang w:val="ro-RO"/>
        </w:rPr>
        <w:t>6</w:t>
      </w:r>
    </w:p>
    <w:p w14:paraId="0506B37A" w14:textId="77777777" w:rsidR="00812123" w:rsidRPr="00341E6C" w:rsidRDefault="00812123" w:rsidP="00812123">
      <w:pPr>
        <w:spacing w:after="0" w:line="240" w:lineRule="auto"/>
        <w:jc w:val="center"/>
        <w:rPr>
          <w:rFonts w:ascii="Calibri Light" w:eastAsia="Times New Roman" w:hAnsi="Calibri Light" w:cs="Calibri Light"/>
          <w:b/>
          <w:bCs/>
          <w:color w:val="000000"/>
          <w:sz w:val="20"/>
          <w:szCs w:val="20"/>
          <w:lang w:val="ro-RO"/>
        </w:rPr>
      </w:pPr>
    </w:p>
    <w:p w14:paraId="6D20100E" w14:textId="77777777" w:rsidR="00812123" w:rsidRPr="00341E6C" w:rsidRDefault="00812123" w:rsidP="00812123">
      <w:pPr>
        <w:spacing w:after="0" w:line="240" w:lineRule="auto"/>
        <w:jc w:val="center"/>
        <w:rPr>
          <w:rFonts w:ascii="Calibri Light" w:eastAsia="Times New Roman" w:hAnsi="Calibri Light" w:cs="Calibri Light"/>
          <w:b/>
          <w:bCs/>
          <w:color w:val="000000"/>
          <w:sz w:val="24"/>
          <w:szCs w:val="20"/>
          <w:lang w:val="ro-RO"/>
        </w:rPr>
      </w:pPr>
      <w:r w:rsidRPr="00341E6C">
        <w:rPr>
          <w:rFonts w:ascii="Calibri Light" w:eastAsia="Times New Roman" w:hAnsi="Calibri Light" w:cs="Calibri Light"/>
          <w:b/>
          <w:bCs/>
          <w:color w:val="000000"/>
          <w:sz w:val="24"/>
          <w:szCs w:val="20"/>
          <w:lang w:val="ro-RO"/>
        </w:rPr>
        <w:t>Analiza transferurilor la Bugetul Asigurărilor Sociale de Stat</w:t>
      </w:r>
    </w:p>
    <w:p w14:paraId="0214E6E5" w14:textId="2EE68AE8" w:rsidR="00812123" w:rsidRPr="00341E6C" w:rsidRDefault="004B68DE" w:rsidP="00812123">
      <w:pPr>
        <w:spacing w:after="0"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w:t>
      </w:r>
      <w:r w:rsidR="00812123" w:rsidRPr="00341E6C">
        <w:rPr>
          <w:rFonts w:asciiTheme="majorHAnsi" w:hAnsiTheme="majorHAnsi" w:cstheme="majorHAnsi"/>
          <w:b/>
          <w:sz w:val="24"/>
          <w:szCs w:val="24"/>
          <w:lang w:val="ro-RO"/>
        </w:rPr>
        <w:t>mii lei</w:t>
      </w:r>
      <w:r>
        <w:rPr>
          <w:rFonts w:asciiTheme="majorHAnsi" w:hAnsiTheme="majorHAnsi" w:cstheme="majorHAnsi"/>
          <w:b/>
          <w:sz w:val="24"/>
          <w:szCs w:val="24"/>
          <w:lang w:val="ro-RO"/>
        </w:rPr>
        <w:t>)</w:t>
      </w:r>
      <w:r w:rsidR="00812123" w:rsidRPr="00341E6C">
        <w:rPr>
          <w:rFonts w:asciiTheme="majorHAnsi" w:hAnsiTheme="majorHAnsi" w:cstheme="majorHAnsi"/>
          <w:b/>
          <w:sz w:val="24"/>
          <w:szCs w:val="24"/>
          <w:lang w:val="ro-RO"/>
        </w:rPr>
        <w:t xml:space="preserve"> </w:t>
      </w:r>
    </w:p>
    <w:tbl>
      <w:tblPr>
        <w:tblW w:w="9503" w:type="dxa"/>
        <w:tblLook w:val="04A0" w:firstRow="1" w:lastRow="0" w:firstColumn="1" w:lastColumn="0" w:noHBand="0" w:noVBand="1"/>
      </w:tblPr>
      <w:tblGrid>
        <w:gridCol w:w="2257"/>
        <w:gridCol w:w="810"/>
        <w:gridCol w:w="1136"/>
        <w:gridCol w:w="1137"/>
        <w:gridCol w:w="1136"/>
        <w:gridCol w:w="1136"/>
        <w:gridCol w:w="1219"/>
        <w:gridCol w:w="672"/>
      </w:tblGrid>
      <w:tr w:rsidR="00CB7361" w:rsidRPr="00341E6C" w14:paraId="0B4766BF" w14:textId="77777777" w:rsidTr="00BF00CA">
        <w:trPr>
          <w:trHeight w:val="20"/>
        </w:trPr>
        <w:tc>
          <w:tcPr>
            <w:tcW w:w="2257" w:type="dxa"/>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14:paraId="76EA91C4"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Denumirea</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FE6FD59"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ECO</w:t>
            </w:r>
          </w:p>
        </w:tc>
        <w:tc>
          <w:tcPr>
            <w:tcW w:w="2273"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7B921486"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Plan</w:t>
            </w:r>
          </w:p>
        </w:tc>
        <w:tc>
          <w:tcPr>
            <w:tcW w:w="1136" w:type="dxa"/>
            <w:vMerge w:val="restart"/>
            <w:tcBorders>
              <w:top w:val="single" w:sz="4" w:space="0" w:color="auto"/>
              <w:left w:val="single" w:sz="4" w:space="0" w:color="auto"/>
              <w:right w:val="single" w:sz="4" w:space="0" w:color="auto"/>
            </w:tcBorders>
            <w:shd w:val="clear" w:color="auto" w:fill="92D050"/>
            <w:vAlign w:val="center"/>
            <w:hideMark/>
          </w:tcPr>
          <w:p w14:paraId="2E2A46AD"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Executat anul curent</w:t>
            </w:r>
          </w:p>
        </w:tc>
        <w:tc>
          <w:tcPr>
            <w:tcW w:w="1136" w:type="dxa"/>
            <w:vMerge w:val="restart"/>
            <w:tcBorders>
              <w:top w:val="single" w:sz="4" w:space="0" w:color="auto"/>
              <w:left w:val="single" w:sz="4" w:space="0" w:color="auto"/>
              <w:right w:val="single" w:sz="4" w:space="0" w:color="auto"/>
            </w:tcBorders>
            <w:shd w:val="clear" w:color="auto" w:fill="92D050"/>
            <w:vAlign w:val="center"/>
            <w:hideMark/>
          </w:tcPr>
          <w:p w14:paraId="26E62734"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Executat anul precedent</w:t>
            </w:r>
          </w:p>
        </w:tc>
        <w:tc>
          <w:tcPr>
            <w:tcW w:w="1891" w:type="dxa"/>
            <w:gridSpan w:val="2"/>
            <w:tcBorders>
              <w:top w:val="single" w:sz="4" w:space="0" w:color="auto"/>
              <w:left w:val="nil"/>
              <w:bottom w:val="single" w:sz="4" w:space="0" w:color="auto"/>
              <w:right w:val="single" w:sz="4" w:space="0" w:color="auto"/>
            </w:tcBorders>
            <w:shd w:val="clear" w:color="auto" w:fill="92D050"/>
            <w:vAlign w:val="center"/>
            <w:hideMark/>
          </w:tcPr>
          <w:p w14:paraId="667AACE3" w14:textId="77777777" w:rsidR="00CB7361" w:rsidRPr="00341E6C" w:rsidRDefault="00CB7361" w:rsidP="002912F6">
            <w:pPr>
              <w:jc w:val="center"/>
              <w:rPr>
                <w:rFonts w:asciiTheme="majorHAnsi" w:eastAsia="Times New Roman" w:hAnsiTheme="majorHAnsi" w:cstheme="majorHAnsi"/>
                <w:sz w:val="16"/>
                <w:szCs w:val="20"/>
                <w:lang w:val="ro-RO"/>
              </w:rPr>
            </w:pPr>
            <w:r w:rsidRPr="00341E6C">
              <w:rPr>
                <w:rFonts w:asciiTheme="majorHAnsi" w:eastAsia="Times New Roman" w:hAnsiTheme="majorHAnsi" w:cstheme="majorHAnsi"/>
                <w:b/>
                <w:bCs/>
                <w:sz w:val="16"/>
                <w:szCs w:val="20"/>
                <w:lang w:val="ro-RO"/>
              </w:rPr>
              <w:t>Executat</w:t>
            </w:r>
            <w:r w:rsidRPr="00341E6C">
              <w:rPr>
                <w:rFonts w:asciiTheme="majorHAnsi" w:eastAsia="Times New Roman" w:hAnsiTheme="majorHAnsi" w:cstheme="majorHAnsi"/>
                <w:b/>
                <w:bCs/>
                <w:sz w:val="16"/>
                <w:szCs w:val="20"/>
                <w:lang w:val="ro-RO"/>
              </w:rPr>
              <w:br/>
              <w:t>anul curent faţă de anul precedent</w:t>
            </w:r>
          </w:p>
        </w:tc>
      </w:tr>
      <w:tr w:rsidR="00CB7361" w:rsidRPr="00341E6C" w14:paraId="47F453AE" w14:textId="77777777" w:rsidTr="00BF00CA">
        <w:trPr>
          <w:trHeight w:val="20"/>
        </w:trPr>
        <w:tc>
          <w:tcPr>
            <w:tcW w:w="2257" w:type="dxa"/>
            <w:vMerge/>
            <w:tcBorders>
              <w:top w:val="single" w:sz="4" w:space="0" w:color="auto"/>
              <w:left w:val="single" w:sz="4" w:space="0" w:color="auto"/>
              <w:bottom w:val="single" w:sz="4" w:space="0" w:color="000000"/>
              <w:right w:val="single" w:sz="4" w:space="0" w:color="auto"/>
            </w:tcBorders>
            <w:shd w:val="clear" w:color="auto" w:fill="92D050"/>
            <w:vAlign w:val="center"/>
            <w:hideMark/>
          </w:tcPr>
          <w:p w14:paraId="4D3D5E8A" w14:textId="77777777" w:rsidR="00CB7361" w:rsidRPr="00341E6C" w:rsidRDefault="00CB7361" w:rsidP="002912F6">
            <w:pPr>
              <w:spacing w:after="0" w:line="240" w:lineRule="auto"/>
              <w:rPr>
                <w:rFonts w:asciiTheme="majorHAnsi" w:eastAsia="Times New Roman" w:hAnsiTheme="majorHAnsi" w:cstheme="majorHAnsi"/>
                <w:b/>
                <w:bCs/>
                <w:sz w:val="16"/>
                <w:szCs w:val="20"/>
                <w:lang w:val="ro-RO"/>
              </w:rPr>
            </w:pPr>
          </w:p>
        </w:tc>
        <w:tc>
          <w:tcPr>
            <w:tcW w:w="81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660B3F7" w14:textId="77777777" w:rsidR="00CB7361" w:rsidRPr="00341E6C" w:rsidRDefault="00CB7361" w:rsidP="002912F6">
            <w:pPr>
              <w:spacing w:after="0" w:line="240" w:lineRule="auto"/>
              <w:rPr>
                <w:rFonts w:asciiTheme="majorHAnsi" w:eastAsia="Times New Roman" w:hAnsiTheme="majorHAnsi" w:cstheme="majorHAnsi"/>
                <w:b/>
                <w:bCs/>
                <w:sz w:val="16"/>
                <w:szCs w:val="20"/>
                <w:lang w:val="ro-RO"/>
              </w:rPr>
            </w:pPr>
          </w:p>
        </w:tc>
        <w:tc>
          <w:tcPr>
            <w:tcW w:w="1136" w:type="dxa"/>
            <w:tcBorders>
              <w:top w:val="single" w:sz="4" w:space="0" w:color="auto"/>
              <w:left w:val="nil"/>
              <w:bottom w:val="single" w:sz="4" w:space="0" w:color="auto"/>
              <w:right w:val="single" w:sz="4" w:space="0" w:color="auto"/>
            </w:tcBorders>
            <w:shd w:val="clear" w:color="auto" w:fill="92D050"/>
            <w:vAlign w:val="center"/>
            <w:hideMark/>
          </w:tcPr>
          <w:p w14:paraId="06E4F0C9" w14:textId="3FE064BB" w:rsidR="00CB7361" w:rsidRPr="00341E6C" w:rsidRDefault="004B68DE" w:rsidP="002912F6">
            <w:pPr>
              <w:spacing w:after="0" w:line="240" w:lineRule="auto"/>
              <w:jc w:val="center"/>
              <w:rPr>
                <w:rFonts w:asciiTheme="majorHAnsi" w:eastAsia="Times New Roman" w:hAnsiTheme="majorHAnsi" w:cstheme="majorHAnsi"/>
                <w:b/>
                <w:bCs/>
                <w:sz w:val="16"/>
                <w:szCs w:val="20"/>
                <w:lang w:val="ro-RO"/>
              </w:rPr>
            </w:pPr>
            <w:r>
              <w:rPr>
                <w:rFonts w:asciiTheme="majorHAnsi" w:eastAsia="Times New Roman" w:hAnsiTheme="majorHAnsi" w:cstheme="majorHAnsi"/>
                <w:b/>
                <w:bCs/>
                <w:sz w:val="16"/>
                <w:szCs w:val="20"/>
                <w:lang w:val="ro-RO"/>
              </w:rPr>
              <w:t>a</w:t>
            </w:r>
            <w:r w:rsidR="00CB7361" w:rsidRPr="00341E6C">
              <w:rPr>
                <w:rFonts w:asciiTheme="majorHAnsi" w:eastAsia="Times New Roman" w:hAnsiTheme="majorHAnsi" w:cstheme="majorHAnsi"/>
                <w:b/>
                <w:bCs/>
                <w:sz w:val="16"/>
                <w:szCs w:val="20"/>
                <w:lang w:val="ro-RO"/>
              </w:rPr>
              <w:t xml:space="preserve">probat </w:t>
            </w:r>
            <w:r w:rsidR="00CB7361" w:rsidRPr="00341E6C">
              <w:rPr>
                <w:rFonts w:asciiTheme="majorHAnsi" w:eastAsia="Times New Roman" w:hAnsiTheme="majorHAnsi" w:cstheme="majorHAnsi"/>
                <w:b/>
                <w:bCs/>
                <w:sz w:val="16"/>
                <w:szCs w:val="20"/>
                <w:lang w:val="ro-RO"/>
              </w:rPr>
              <w:br/>
              <w:t xml:space="preserve">pe an </w:t>
            </w:r>
          </w:p>
        </w:tc>
        <w:tc>
          <w:tcPr>
            <w:tcW w:w="1137" w:type="dxa"/>
            <w:tcBorders>
              <w:top w:val="single" w:sz="4" w:space="0" w:color="auto"/>
              <w:left w:val="nil"/>
              <w:bottom w:val="single" w:sz="4" w:space="0" w:color="auto"/>
              <w:right w:val="single" w:sz="4" w:space="0" w:color="auto"/>
            </w:tcBorders>
            <w:shd w:val="clear" w:color="auto" w:fill="92D050"/>
            <w:vAlign w:val="center"/>
            <w:hideMark/>
          </w:tcPr>
          <w:p w14:paraId="17F611A2" w14:textId="65632B74" w:rsidR="00CB7361" w:rsidRPr="00341E6C" w:rsidRDefault="004B68DE" w:rsidP="002912F6">
            <w:pPr>
              <w:spacing w:after="0" w:line="240" w:lineRule="auto"/>
              <w:jc w:val="center"/>
              <w:rPr>
                <w:rFonts w:asciiTheme="majorHAnsi" w:eastAsia="Times New Roman" w:hAnsiTheme="majorHAnsi" w:cstheme="majorHAnsi"/>
                <w:b/>
                <w:bCs/>
                <w:sz w:val="16"/>
                <w:szCs w:val="20"/>
                <w:lang w:val="ro-RO"/>
              </w:rPr>
            </w:pPr>
            <w:r>
              <w:rPr>
                <w:rFonts w:asciiTheme="majorHAnsi" w:eastAsia="Times New Roman" w:hAnsiTheme="majorHAnsi" w:cstheme="majorHAnsi"/>
                <w:b/>
                <w:bCs/>
                <w:sz w:val="16"/>
                <w:szCs w:val="20"/>
                <w:lang w:val="ro-RO"/>
              </w:rPr>
              <w:t>p</w:t>
            </w:r>
            <w:r w:rsidR="00CB7361" w:rsidRPr="00341E6C">
              <w:rPr>
                <w:rFonts w:asciiTheme="majorHAnsi" w:eastAsia="Times New Roman" w:hAnsiTheme="majorHAnsi" w:cstheme="majorHAnsi"/>
                <w:b/>
                <w:bCs/>
                <w:sz w:val="16"/>
                <w:szCs w:val="20"/>
                <w:lang w:val="ro-RO"/>
              </w:rPr>
              <w:t>recizat</w:t>
            </w:r>
            <w:r w:rsidR="00CB7361" w:rsidRPr="00341E6C">
              <w:rPr>
                <w:rFonts w:asciiTheme="majorHAnsi" w:eastAsia="Times New Roman" w:hAnsiTheme="majorHAnsi" w:cstheme="majorHAnsi"/>
                <w:b/>
                <w:bCs/>
                <w:sz w:val="16"/>
                <w:szCs w:val="20"/>
                <w:lang w:val="ro-RO"/>
              </w:rPr>
              <w:br/>
              <w:t xml:space="preserve">pe an </w:t>
            </w:r>
          </w:p>
        </w:tc>
        <w:tc>
          <w:tcPr>
            <w:tcW w:w="1136" w:type="dxa"/>
            <w:vMerge/>
            <w:tcBorders>
              <w:left w:val="single" w:sz="4" w:space="0" w:color="auto"/>
              <w:bottom w:val="single" w:sz="4" w:space="0" w:color="000000"/>
              <w:right w:val="single" w:sz="4" w:space="0" w:color="auto"/>
            </w:tcBorders>
            <w:shd w:val="clear" w:color="auto" w:fill="92D050"/>
            <w:vAlign w:val="center"/>
            <w:hideMark/>
          </w:tcPr>
          <w:p w14:paraId="560F39AF" w14:textId="77777777" w:rsidR="00CB7361" w:rsidRPr="00341E6C" w:rsidRDefault="00CB7361" w:rsidP="002912F6">
            <w:pPr>
              <w:spacing w:after="0" w:line="240" w:lineRule="auto"/>
              <w:rPr>
                <w:rFonts w:asciiTheme="majorHAnsi" w:eastAsia="Times New Roman" w:hAnsiTheme="majorHAnsi" w:cstheme="majorHAnsi"/>
                <w:b/>
                <w:bCs/>
                <w:sz w:val="16"/>
                <w:szCs w:val="20"/>
                <w:lang w:val="ro-RO"/>
              </w:rPr>
            </w:pPr>
          </w:p>
        </w:tc>
        <w:tc>
          <w:tcPr>
            <w:tcW w:w="1136" w:type="dxa"/>
            <w:vMerge/>
            <w:tcBorders>
              <w:left w:val="single" w:sz="4" w:space="0" w:color="auto"/>
              <w:bottom w:val="single" w:sz="4" w:space="0" w:color="000000"/>
              <w:right w:val="single" w:sz="4" w:space="0" w:color="auto"/>
            </w:tcBorders>
            <w:shd w:val="clear" w:color="auto" w:fill="92D050"/>
            <w:vAlign w:val="center"/>
            <w:hideMark/>
          </w:tcPr>
          <w:p w14:paraId="2124D381" w14:textId="77777777" w:rsidR="00CB7361" w:rsidRPr="00341E6C" w:rsidRDefault="00CB7361" w:rsidP="002912F6">
            <w:pPr>
              <w:spacing w:after="0" w:line="240" w:lineRule="auto"/>
              <w:rPr>
                <w:rFonts w:asciiTheme="majorHAnsi" w:eastAsia="Times New Roman" w:hAnsiTheme="majorHAnsi" w:cstheme="majorHAnsi"/>
                <w:b/>
                <w:bCs/>
                <w:sz w:val="16"/>
                <w:szCs w:val="20"/>
                <w:lang w:val="ro-RO"/>
              </w:rPr>
            </w:pPr>
          </w:p>
        </w:tc>
        <w:tc>
          <w:tcPr>
            <w:tcW w:w="1219" w:type="dxa"/>
            <w:tcBorders>
              <w:top w:val="nil"/>
              <w:left w:val="nil"/>
              <w:bottom w:val="single" w:sz="4" w:space="0" w:color="auto"/>
              <w:right w:val="single" w:sz="4" w:space="0" w:color="auto"/>
            </w:tcBorders>
            <w:shd w:val="clear" w:color="auto" w:fill="92D050"/>
            <w:vAlign w:val="center"/>
            <w:hideMark/>
          </w:tcPr>
          <w:p w14:paraId="1CD2C90B"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devieri</w:t>
            </w:r>
            <w:r w:rsidRPr="00341E6C">
              <w:rPr>
                <w:rFonts w:asciiTheme="majorHAnsi" w:eastAsia="Times New Roman" w:hAnsiTheme="majorHAnsi" w:cstheme="majorHAnsi"/>
                <w:b/>
                <w:bCs/>
                <w:sz w:val="16"/>
                <w:szCs w:val="20"/>
                <w:lang w:val="ro-RO"/>
              </w:rPr>
              <w:br/>
              <w:t>(+/-)</w:t>
            </w:r>
          </w:p>
        </w:tc>
        <w:tc>
          <w:tcPr>
            <w:tcW w:w="672" w:type="dxa"/>
            <w:tcBorders>
              <w:top w:val="single" w:sz="4" w:space="0" w:color="auto"/>
              <w:left w:val="nil"/>
              <w:bottom w:val="single" w:sz="4" w:space="0" w:color="auto"/>
              <w:right w:val="single" w:sz="4" w:space="0" w:color="auto"/>
            </w:tcBorders>
            <w:shd w:val="clear" w:color="auto" w:fill="92D050"/>
            <w:vAlign w:val="center"/>
            <w:hideMark/>
          </w:tcPr>
          <w:p w14:paraId="5D7761EB" w14:textId="77777777" w:rsidR="00CB7361" w:rsidRPr="00341E6C" w:rsidRDefault="00CB7361" w:rsidP="002912F6">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în</w:t>
            </w:r>
            <w:r w:rsidRPr="00341E6C">
              <w:rPr>
                <w:rFonts w:asciiTheme="majorHAnsi" w:eastAsia="Times New Roman" w:hAnsiTheme="majorHAnsi" w:cstheme="majorHAnsi"/>
                <w:b/>
                <w:bCs/>
                <w:sz w:val="16"/>
                <w:szCs w:val="20"/>
                <w:lang w:val="ro-RO"/>
              </w:rPr>
              <w:br/>
              <w:t xml:space="preserve"> %%</w:t>
            </w:r>
          </w:p>
        </w:tc>
      </w:tr>
      <w:tr w:rsidR="00812123" w:rsidRPr="00341E6C" w14:paraId="0EE99BC9" w14:textId="77777777" w:rsidTr="001340CF">
        <w:trPr>
          <w:trHeight w:val="20"/>
        </w:trPr>
        <w:tc>
          <w:tcPr>
            <w:tcW w:w="225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33B15DA"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1</w:t>
            </w:r>
          </w:p>
        </w:tc>
        <w:tc>
          <w:tcPr>
            <w:tcW w:w="81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CC2054B"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2</w:t>
            </w:r>
          </w:p>
        </w:tc>
        <w:tc>
          <w:tcPr>
            <w:tcW w:w="113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A51D176"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3</w:t>
            </w:r>
          </w:p>
        </w:tc>
        <w:tc>
          <w:tcPr>
            <w:tcW w:w="113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FDD63B6"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4</w:t>
            </w:r>
          </w:p>
        </w:tc>
        <w:tc>
          <w:tcPr>
            <w:tcW w:w="1136" w:type="dxa"/>
            <w:tcBorders>
              <w:top w:val="nil"/>
              <w:left w:val="nil"/>
              <w:bottom w:val="single" w:sz="4" w:space="0" w:color="auto"/>
              <w:right w:val="single" w:sz="4" w:space="0" w:color="auto"/>
            </w:tcBorders>
            <w:shd w:val="clear" w:color="auto" w:fill="E7E6E6" w:themeFill="background2"/>
            <w:noWrap/>
            <w:vAlign w:val="center"/>
            <w:hideMark/>
          </w:tcPr>
          <w:p w14:paraId="6B47357A"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5</w:t>
            </w:r>
          </w:p>
        </w:tc>
        <w:tc>
          <w:tcPr>
            <w:tcW w:w="1136" w:type="dxa"/>
            <w:tcBorders>
              <w:top w:val="nil"/>
              <w:left w:val="nil"/>
              <w:bottom w:val="single" w:sz="4" w:space="0" w:color="auto"/>
              <w:right w:val="single" w:sz="4" w:space="0" w:color="auto"/>
            </w:tcBorders>
            <w:shd w:val="clear" w:color="auto" w:fill="E7E6E6" w:themeFill="background2"/>
            <w:noWrap/>
            <w:vAlign w:val="center"/>
            <w:hideMark/>
          </w:tcPr>
          <w:p w14:paraId="25DB8614"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8</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71B3715F"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9</w:t>
            </w:r>
          </w:p>
        </w:tc>
        <w:tc>
          <w:tcPr>
            <w:tcW w:w="672" w:type="dxa"/>
            <w:tcBorders>
              <w:top w:val="nil"/>
              <w:left w:val="nil"/>
              <w:bottom w:val="single" w:sz="4" w:space="0" w:color="auto"/>
              <w:right w:val="single" w:sz="4" w:space="0" w:color="auto"/>
            </w:tcBorders>
            <w:shd w:val="clear" w:color="auto" w:fill="E7E6E6" w:themeFill="background2"/>
            <w:noWrap/>
            <w:vAlign w:val="center"/>
            <w:hideMark/>
          </w:tcPr>
          <w:p w14:paraId="0C114DFD" w14:textId="77777777" w:rsidR="00812123" w:rsidRPr="001340CF" w:rsidRDefault="00812123" w:rsidP="002912F6">
            <w:pPr>
              <w:spacing w:after="0" w:line="240" w:lineRule="auto"/>
              <w:jc w:val="center"/>
              <w:rPr>
                <w:rFonts w:asciiTheme="majorHAnsi" w:eastAsia="Times New Roman" w:hAnsiTheme="majorHAnsi" w:cstheme="majorHAnsi"/>
                <w:b/>
                <w:bCs/>
                <w:sz w:val="18"/>
                <w:szCs w:val="20"/>
                <w:lang w:val="ro-RO"/>
              </w:rPr>
            </w:pPr>
            <w:r w:rsidRPr="001340CF">
              <w:rPr>
                <w:rFonts w:asciiTheme="majorHAnsi" w:eastAsia="Times New Roman" w:hAnsiTheme="majorHAnsi" w:cstheme="majorHAnsi"/>
                <w:b/>
                <w:bCs/>
                <w:sz w:val="18"/>
                <w:szCs w:val="20"/>
                <w:lang w:val="ro-RO"/>
              </w:rPr>
              <w:t>10</w:t>
            </w:r>
          </w:p>
        </w:tc>
      </w:tr>
      <w:tr w:rsidR="00812123" w:rsidRPr="00341E6C" w14:paraId="7DA9178A"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330A1C54" w14:textId="77777777" w:rsidR="00812123" w:rsidRPr="00341E6C" w:rsidRDefault="00812123" w:rsidP="002912F6">
            <w:pPr>
              <w:spacing w:after="0" w:line="240" w:lineRule="auto"/>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I.  VENITURI</w:t>
            </w:r>
          </w:p>
        </w:tc>
        <w:tc>
          <w:tcPr>
            <w:tcW w:w="810" w:type="dxa"/>
            <w:tcBorders>
              <w:top w:val="nil"/>
              <w:left w:val="nil"/>
              <w:bottom w:val="single" w:sz="4" w:space="0" w:color="auto"/>
              <w:right w:val="single" w:sz="4" w:space="0" w:color="auto"/>
            </w:tcBorders>
            <w:shd w:val="clear" w:color="auto" w:fill="auto"/>
            <w:noWrap/>
            <w:vAlign w:val="center"/>
            <w:hideMark/>
          </w:tcPr>
          <w:p w14:paraId="25ED7FBC" w14:textId="77777777" w:rsidR="00812123" w:rsidRPr="00341E6C" w:rsidRDefault="00812123" w:rsidP="002912F6">
            <w:pPr>
              <w:spacing w:after="0" w:line="240" w:lineRule="auto"/>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1</w:t>
            </w:r>
          </w:p>
        </w:tc>
        <w:tc>
          <w:tcPr>
            <w:tcW w:w="1136" w:type="dxa"/>
            <w:tcBorders>
              <w:top w:val="nil"/>
              <w:left w:val="nil"/>
              <w:bottom w:val="single" w:sz="4" w:space="0" w:color="auto"/>
              <w:right w:val="single" w:sz="4" w:space="0" w:color="auto"/>
            </w:tcBorders>
            <w:shd w:val="clear" w:color="auto" w:fill="auto"/>
            <w:noWrap/>
            <w:vAlign w:val="center"/>
            <w:hideMark/>
          </w:tcPr>
          <w:p w14:paraId="234A1223"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23491016.1</w:t>
            </w:r>
          </w:p>
        </w:tc>
        <w:tc>
          <w:tcPr>
            <w:tcW w:w="1137" w:type="dxa"/>
            <w:tcBorders>
              <w:top w:val="nil"/>
              <w:left w:val="nil"/>
              <w:bottom w:val="single" w:sz="4" w:space="0" w:color="auto"/>
              <w:right w:val="single" w:sz="4" w:space="0" w:color="auto"/>
            </w:tcBorders>
            <w:shd w:val="clear" w:color="auto" w:fill="auto"/>
            <w:noWrap/>
            <w:vAlign w:val="center"/>
            <w:hideMark/>
          </w:tcPr>
          <w:p w14:paraId="6BA67D16"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24572113.4</w:t>
            </w:r>
          </w:p>
        </w:tc>
        <w:tc>
          <w:tcPr>
            <w:tcW w:w="1136" w:type="dxa"/>
            <w:tcBorders>
              <w:top w:val="nil"/>
              <w:left w:val="nil"/>
              <w:bottom w:val="single" w:sz="4" w:space="0" w:color="auto"/>
              <w:right w:val="single" w:sz="4" w:space="0" w:color="auto"/>
            </w:tcBorders>
            <w:shd w:val="clear" w:color="auto" w:fill="auto"/>
            <w:noWrap/>
            <w:vAlign w:val="center"/>
            <w:hideMark/>
          </w:tcPr>
          <w:p w14:paraId="6D19B3EB"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24285552.9</w:t>
            </w:r>
          </w:p>
        </w:tc>
        <w:tc>
          <w:tcPr>
            <w:tcW w:w="1136" w:type="dxa"/>
            <w:tcBorders>
              <w:top w:val="nil"/>
              <w:left w:val="nil"/>
              <w:bottom w:val="single" w:sz="4" w:space="0" w:color="auto"/>
              <w:right w:val="single" w:sz="4" w:space="0" w:color="auto"/>
            </w:tcBorders>
            <w:shd w:val="clear" w:color="auto" w:fill="auto"/>
            <w:noWrap/>
            <w:vAlign w:val="center"/>
            <w:hideMark/>
          </w:tcPr>
          <w:p w14:paraId="0E183330"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21748348.6</w:t>
            </w:r>
          </w:p>
        </w:tc>
        <w:tc>
          <w:tcPr>
            <w:tcW w:w="1219" w:type="dxa"/>
            <w:tcBorders>
              <w:top w:val="nil"/>
              <w:left w:val="nil"/>
              <w:bottom w:val="single" w:sz="4" w:space="0" w:color="auto"/>
              <w:right w:val="single" w:sz="4" w:space="0" w:color="auto"/>
            </w:tcBorders>
            <w:shd w:val="clear" w:color="auto" w:fill="auto"/>
            <w:noWrap/>
            <w:vAlign w:val="center"/>
            <w:hideMark/>
          </w:tcPr>
          <w:p w14:paraId="517072CE"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2537204.3</w:t>
            </w:r>
          </w:p>
        </w:tc>
        <w:tc>
          <w:tcPr>
            <w:tcW w:w="672" w:type="dxa"/>
            <w:tcBorders>
              <w:top w:val="nil"/>
              <w:left w:val="nil"/>
              <w:bottom w:val="single" w:sz="4" w:space="0" w:color="auto"/>
              <w:right w:val="single" w:sz="4" w:space="0" w:color="auto"/>
            </w:tcBorders>
            <w:shd w:val="clear" w:color="auto" w:fill="auto"/>
            <w:noWrap/>
            <w:vAlign w:val="center"/>
            <w:hideMark/>
          </w:tcPr>
          <w:p w14:paraId="61F135C8"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111.7</w:t>
            </w:r>
          </w:p>
        </w:tc>
      </w:tr>
      <w:tr w:rsidR="00812123" w:rsidRPr="00341E6C" w14:paraId="3A52635C"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5AF8F9D3" w14:textId="77777777" w:rsidR="00812123" w:rsidRPr="00341E6C" w:rsidRDefault="00812123" w:rsidP="002912F6">
            <w:pPr>
              <w:spacing w:after="0" w:line="240" w:lineRule="auto"/>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TRANSFERURI PRIMITE ÎN CADRUL BUGETULUI PUBLIC NAŢIONAL</w:t>
            </w:r>
          </w:p>
        </w:tc>
        <w:tc>
          <w:tcPr>
            <w:tcW w:w="810" w:type="dxa"/>
            <w:tcBorders>
              <w:top w:val="nil"/>
              <w:left w:val="nil"/>
              <w:bottom w:val="single" w:sz="4" w:space="0" w:color="auto"/>
              <w:right w:val="single" w:sz="4" w:space="0" w:color="auto"/>
            </w:tcBorders>
            <w:shd w:val="clear" w:color="auto" w:fill="auto"/>
            <w:noWrap/>
            <w:vAlign w:val="center"/>
            <w:hideMark/>
          </w:tcPr>
          <w:p w14:paraId="1C94F4B0" w14:textId="77777777" w:rsidR="00812123" w:rsidRPr="00341E6C" w:rsidRDefault="00812123" w:rsidP="002912F6">
            <w:pPr>
              <w:spacing w:after="0" w:line="240" w:lineRule="auto"/>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19</w:t>
            </w:r>
          </w:p>
        </w:tc>
        <w:tc>
          <w:tcPr>
            <w:tcW w:w="1136" w:type="dxa"/>
            <w:tcBorders>
              <w:top w:val="nil"/>
              <w:left w:val="nil"/>
              <w:bottom w:val="single" w:sz="4" w:space="0" w:color="auto"/>
              <w:right w:val="single" w:sz="4" w:space="0" w:color="auto"/>
            </w:tcBorders>
            <w:shd w:val="clear" w:color="auto" w:fill="auto"/>
            <w:noWrap/>
            <w:vAlign w:val="center"/>
            <w:hideMark/>
          </w:tcPr>
          <w:p w14:paraId="197BC008"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8560479.0</w:t>
            </w:r>
          </w:p>
        </w:tc>
        <w:tc>
          <w:tcPr>
            <w:tcW w:w="1137" w:type="dxa"/>
            <w:tcBorders>
              <w:top w:val="nil"/>
              <w:left w:val="nil"/>
              <w:bottom w:val="single" w:sz="4" w:space="0" w:color="auto"/>
              <w:right w:val="single" w:sz="4" w:space="0" w:color="auto"/>
            </w:tcBorders>
            <w:shd w:val="clear" w:color="auto" w:fill="auto"/>
            <w:noWrap/>
            <w:vAlign w:val="center"/>
            <w:hideMark/>
          </w:tcPr>
          <w:p w14:paraId="3B82C04F"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10323876.3</w:t>
            </w:r>
          </w:p>
        </w:tc>
        <w:tc>
          <w:tcPr>
            <w:tcW w:w="1136" w:type="dxa"/>
            <w:tcBorders>
              <w:top w:val="nil"/>
              <w:left w:val="nil"/>
              <w:bottom w:val="single" w:sz="4" w:space="0" w:color="auto"/>
              <w:right w:val="single" w:sz="4" w:space="0" w:color="auto"/>
            </w:tcBorders>
            <w:shd w:val="clear" w:color="auto" w:fill="auto"/>
            <w:noWrap/>
            <w:vAlign w:val="center"/>
            <w:hideMark/>
          </w:tcPr>
          <w:p w14:paraId="22186287"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9769402.7</w:t>
            </w:r>
          </w:p>
        </w:tc>
        <w:tc>
          <w:tcPr>
            <w:tcW w:w="1136" w:type="dxa"/>
            <w:tcBorders>
              <w:top w:val="nil"/>
              <w:left w:val="nil"/>
              <w:bottom w:val="single" w:sz="4" w:space="0" w:color="auto"/>
              <w:right w:val="single" w:sz="4" w:space="0" w:color="auto"/>
            </w:tcBorders>
            <w:shd w:val="clear" w:color="auto" w:fill="auto"/>
            <w:noWrap/>
            <w:vAlign w:val="center"/>
            <w:hideMark/>
          </w:tcPr>
          <w:p w14:paraId="1C88A7FE"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7956991.1</w:t>
            </w:r>
          </w:p>
        </w:tc>
        <w:tc>
          <w:tcPr>
            <w:tcW w:w="1219" w:type="dxa"/>
            <w:tcBorders>
              <w:top w:val="nil"/>
              <w:left w:val="nil"/>
              <w:bottom w:val="single" w:sz="4" w:space="0" w:color="auto"/>
              <w:right w:val="single" w:sz="4" w:space="0" w:color="auto"/>
            </w:tcBorders>
            <w:shd w:val="clear" w:color="auto" w:fill="auto"/>
            <w:noWrap/>
            <w:vAlign w:val="center"/>
            <w:hideMark/>
          </w:tcPr>
          <w:p w14:paraId="41A171AC"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1812411.6</w:t>
            </w:r>
          </w:p>
        </w:tc>
        <w:tc>
          <w:tcPr>
            <w:tcW w:w="672" w:type="dxa"/>
            <w:tcBorders>
              <w:top w:val="nil"/>
              <w:left w:val="nil"/>
              <w:bottom w:val="single" w:sz="4" w:space="0" w:color="auto"/>
              <w:right w:val="single" w:sz="4" w:space="0" w:color="auto"/>
            </w:tcBorders>
            <w:shd w:val="clear" w:color="auto" w:fill="auto"/>
            <w:noWrap/>
            <w:vAlign w:val="center"/>
            <w:hideMark/>
          </w:tcPr>
          <w:p w14:paraId="6992A860" w14:textId="77777777" w:rsidR="00812123" w:rsidRPr="00341E6C" w:rsidRDefault="00812123" w:rsidP="002912F6">
            <w:pPr>
              <w:spacing w:after="0" w:line="240" w:lineRule="auto"/>
              <w:jc w:val="right"/>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122.8</w:t>
            </w:r>
          </w:p>
        </w:tc>
      </w:tr>
      <w:tr w:rsidR="00812123" w:rsidRPr="00341E6C" w14:paraId="075D387A" w14:textId="77777777" w:rsidTr="00D37B10">
        <w:trPr>
          <w:trHeight w:val="20"/>
        </w:trPr>
        <w:tc>
          <w:tcPr>
            <w:tcW w:w="2257"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14:paraId="05BA9D43" w14:textId="77777777" w:rsidR="00812123" w:rsidRPr="00341E6C" w:rsidRDefault="00812123" w:rsidP="002912F6">
            <w:pPr>
              <w:spacing w:after="0" w:line="240" w:lineRule="auto"/>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Ponderea transferurilor în total venituri</w:t>
            </w:r>
          </w:p>
        </w:tc>
        <w:tc>
          <w:tcPr>
            <w:tcW w:w="810" w:type="dxa"/>
            <w:tcBorders>
              <w:top w:val="nil"/>
              <w:left w:val="nil"/>
              <w:bottom w:val="single" w:sz="4" w:space="0" w:color="auto"/>
              <w:right w:val="single" w:sz="4" w:space="0" w:color="auto"/>
            </w:tcBorders>
            <w:shd w:val="clear" w:color="auto" w:fill="FFE599" w:themeFill="accent4" w:themeFillTint="66"/>
            <w:noWrap/>
            <w:vAlign w:val="center"/>
            <w:hideMark/>
          </w:tcPr>
          <w:p w14:paraId="632FC8D6" w14:textId="77777777" w:rsidR="00812123" w:rsidRPr="00341E6C" w:rsidRDefault="00812123" w:rsidP="002912F6">
            <w:pPr>
              <w:spacing w:after="0" w:line="240" w:lineRule="auto"/>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 </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3B38AE1B" w14:textId="77777777" w:rsidR="00812123" w:rsidRPr="00341E6C" w:rsidRDefault="00812123" w:rsidP="00D37B10">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36.4%</w:t>
            </w:r>
          </w:p>
        </w:tc>
        <w:tc>
          <w:tcPr>
            <w:tcW w:w="1137" w:type="dxa"/>
            <w:tcBorders>
              <w:top w:val="nil"/>
              <w:left w:val="nil"/>
              <w:bottom w:val="single" w:sz="4" w:space="0" w:color="auto"/>
              <w:right w:val="single" w:sz="4" w:space="0" w:color="auto"/>
            </w:tcBorders>
            <w:shd w:val="clear" w:color="auto" w:fill="FFE599" w:themeFill="accent4" w:themeFillTint="66"/>
            <w:noWrap/>
            <w:vAlign w:val="center"/>
            <w:hideMark/>
          </w:tcPr>
          <w:p w14:paraId="087C1F06" w14:textId="77777777" w:rsidR="00812123" w:rsidRPr="00341E6C" w:rsidRDefault="00812123" w:rsidP="00D37B10">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42.0%</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1CBEDB29" w14:textId="77777777" w:rsidR="00812123" w:rsidRPr="00341E6C" w:rsidRDefault="00812123" w:rsidP="00D37B10">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40.2%</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60EA6D4A" w14:textId="77777777" w:rsidR="00812123" w:rsidRPr="00341E6C" w:rsidRDefault="00812123" w:rsidP="00D37B10">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36.6%</w:t>
            </w:r>
          </w:p>
        </w:tc>
        <w:tc>
          <w:tcPr>
            <w:tcW w:w="1219" w:type="dxa"/>
            <w:tcBorders>
              <w:top w:val="nil"/>
              <w:left w:val="nil"/>
              <w:bottom w:val="single" w:sz="4" w:space="0" w:color="auto"/>
              <w:right w:val="single" w:sz="4" w:space="0" w:color="auto"/>
            </w:tcBorders>
            <w:shd w:val="clear" w:color="auto" w:fill="FFE599" w:themeFill="accent4" w:themeFillTint="66"/>
            <w:noWrap/>
            <w:vAlign w:val="center"/>
            <w:hideMark/>
          </w:tcPr>
          <w:p w14:paraId="1C6F8EF8" w14:textId="77777777" w:rsidR="00812123" w:rsidRPr="00341E6C" w:rsidRDefault="00812123" w:rsidP="00D37B10">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71.4%</w:t>
            </w:r>
          </w:p>
        </w:tc>
        <w:tc>
          <w:tcPr>
            <w:tcW w:w="672" w:type="dxa"/>
            <w:tcBorders>
              <w:top w:val="nil"/>
              <w:left w:val="nil"/>
              <w:bottom w:val="single" w:sz="4" w:space="0" w:color="auto"/>
              <w:right w:val="single" w:sz="4" w:space="0" w:color="auto"/>
            </w:tcBorders>
            <w:shd w:val="clear" w:color="auto" w:fill="FFE599" w:themeFill="accent4" w:themeFillTint="66"/>
            <w:noWrap/>
            <w:vAlign w:val="center"/>
            <w:hideMark/>
          </w:tcPr>
          <w:p w14:paraId="7ECC86D3" w14:textId="706B2CF8" w:rsidR="00812123" w:rsidRPr="00341E6C" w:rsidRDefault="00810555" w:rsidP="00D37B10">
            <w:pPr>
              <w:spacing w:after="0" w:line="240" w:lineRule="auto"/>
              <w:jc w:val="center"/>
              <w:rPr>
                <w:rFonts w:asciiTheme="majorHAnsi" w:eastAsia="Times New Roman" w:hAnsiTheme="majorHAnsi" w:cstheme="majorHAnsi"/>
                <w:b/>
                <w:bCs/>
                <w:sz w:val="16"/>
                <w:szCs w:val="20"/>
                <w:lang w:val="ro-RO"/>
              </w:rPr>
            </w:pPr>
            <w:r w:rsidRPr="00341E6C">
              <w:rPr>
                <w:rFonts w:asciiTheme="majorHAnsi" w:eastAsia="Times New Roman" w:hAnsiTheme="majorHAnsi" w:cstheme="majorHAnsi"/>
                <w:b/>
                <w:bCs/>
                <w:sz w:val="16"/>
                <w:szCs w:val="20"/>
                <w:lang w:val="ro-RO"/>
              </w:rPr>
              <w:t>x</w:t>
            </w:r>
          </w:p>
        </w:tc>
      </w:tr>
      <w:tr w:rsidR="00812123" w:rsidRPr="00341E6C" w14:paraId="2831CB14"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1E4C627C" w14:textId="620AF39C" w:rsidR="00812123" w:rsidRPr="00341E6C" w:rsidRDefault="00812123" w:rsidP="004B68DE">
            <w:pPr>
              <w:spacing w:after="0" w:line="240" w:lineRule="auto"/>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Transferuri curente primite cu destinație special</w:t>
            </w:r>
            <w:r w:rsidR="004B68DE">
              <w:rPr>
                <w:rFonts w:asciiTheme="majorHAnsi" w:eastAsia="Times New Roman" w:hAnsiTheme="majorHAnsi" w:cstheme="majorHAnsi"/>
                <w:sz w:val="16"/>
                <w:szCs w:val="20"/>
                <w:lang w:val="ro-RO"/>
              </w:rPr>
              <w:t>ă</w:t>
            </w:r>
            <w:r w:rsidRPr="00341E6C">
              <w:rPr>
                <w:rFonts w:asciiTheme="majorHAnsi" w:eastAsia="Times New Roman" w:hAnsiTheme="majorHAnsi" w:cstheme="majorHAnsi"/>
                <w:sz w:val="16"/>
                <w:szCs w:val="20"/>
                <w:lang w:val="ro-RO"/>
              </w:rPr>
              <w:t xml:space="preserve"> între bugetul de stat </w:t>
            </w:r>
            <w:r w:rsidR="004B68DE">
              <w:rPr>
                <w:rFonts w:asciiTheme="majorHAnsi" w:eastAsia="Times New Roman" w:hAnsiTheme="majorHAnsi" w:cstheme="majorHAnsi"/>
                <w:sz w:val="16"/>
                <w:szCs w:val="20"/>
                <w:lang w:val="ro-RO"/>
              </w:rPr>
              <w:t>ș</w:t>
            </w:r>
            <w:r w:rsidRPr="00341E6C">
              <w:rPr>
                <w:rFonts w:asciiTheme="majorHAnsi" w:eastAsia="Times New Roman" w:hAnsiTheme="majorHAnsi" w:cstheme="majorHAnsi"/>
                <w:sz w:val="16"/>
                <w:szCs w:val="20"/>
                <w:lang w:val="ro-RO"/>
              </w:rPr>
              <w:t>i bugetul asigurărilor sociale de stat</w:t>
            </w:r>
          </w:p>
        </w:tc>
        <w:tc>
          <w:tcPr>
            <w:tcW w:w="810" w:type="dxa"/>
            <w:tcBorders>
              <w:top w:val="nil"/>
              <w:left w:val="nil"/>
              <w:bottom w:val="single" w:sz="4" w:space="0" w:color="auto"/>
              <w:right w:val="single" w:sz="4" w:space="0" w:color="auto"/>
            </w:tcBorders>
            <w:shd w:val="clear" w:color="auto" w:fill="auto"/>
            <w:vAlign w:val="center"/>
            <w:hideMark/>
          </w:tcPr>
          <w:p w14:paraId="736AF16E" w14:textId="77777777" w:rsidR="00812123" w:rsidRPr="00341E6C" w:rsidRDefault="00812123" w:rsidP="002912F6">
            <w:pPr>
              <w:spacing w:after="0" w:line="240" w:lineRule="auto"/>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192110</w:t>
            </w:r>
          </w:p>
        </w:tc>
        <w:tc>
          <w:tcPr>
            <w:tcW w:w="1136" w:type="dxa"/>
            <w:tcBorders>
              <w:top w:val="nil"/>
              <w:left w:val="nil"/>
              <w:bottom w:val="single" w:sz="4" w:space="0" w:color="auto"/>
              <w:right w:val="single" w:sz="4" w:space="0" w:color="auto"/>
            </w:tcBorders>
            <w:shd w:val="clear" w:color="auto" w:fill="auto"/>
            <w:vAlign w:val="center"/>
            <w:hideMark/>
          </w:tcPr>
          <w:p w14:paraId="68BD069D"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6684512.6</w:t>
            </w:r>
          </w:p>
        </w:tc>
        <w:tc>
          <w:tcPr>
            <w:tcW w:w="1137" w:type="dxa"/>
            <w:tcBorders>
              <w:top w:val="nil"/>
              <w:left w:val="nil"/>
              <w:bottom w:val="single" w:sz="4" w:space="0" w:color="auto"/>
              <w:right w:val="single" w:sz="4" w:space="0" w:color="auto"/>
            </w:tcBorders>
            <w:shd w:val="clear" w:color="auto" w:fill="auto"/>
            <w:vAlign w:val="center"/>
            <w:hideMark/>
          </w:tcPr>
          <w:p w14:paraId="36B3A667"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7358728.5</w:t>
            </w:r>
          </w:p>
        </w:tc>
        <w:tc>
          <w:tcPr>
            <w:tcW w:w="1136" w:type="dxa"/>
            <w:tcBorders>
              <w:top w:val="nil"/>
              <w:left w:val="nil"/>
              <w:bottom w:val="single" w:sz="4" w:space="0" w:color="auto"/>
              <w:right w:val="single" w:sz="4" w:space="0" w:color="auto"/>
            </w:tcBorders>
            <w:shd w:val="clear" w:color="auto" w:fill="auto"/>
            <w:vAlign w:val="center"/>
            <w:hideMark/>
          </w:tcPr>
          <w:p w14:paraId="25039071"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7214754.9</w:t>
            </w:r>
          </w:p>
        </w:tc>
        <w:tc>
          <w:tcPr>
            <w:tcW w:w="1136" w:type="dxa"/>
            <w:tcBorders>
              <w:top w:val="nil"/>
              <w:left w:val="nil"/>
              <w:bottom w:val="single" w:sz="4" w:space="0" w:color="auto"/>
              <w:right w:val="single" w:sz="4" w:space="0" w:color="auto"/>
            </w:tcBorders>
            <w:shd w:val="clear" w:color="auto" w:fill="auto"/>
            <w:vAlign w:val="center"/>
            <w:hideMark/>
          </w:tcPr>
          <w:p w14:paraId="14C8FC6C"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5969269.2</w:t>
            </w:r>
          </w:p>
        </w:tc>
        <w:tc>
          <w:tcPr>
            <w:tcW w:w="1219" w:type="dxa"/>
            <w:tcBorders>
              <w:top w:val="nil"/>
              <w:left w:val="nil"/>
              <w:bottom w:val="single" w:sz="4" w:space="0" w:color="auto"/>
              <w:right w:val="single" w:sz="4" w:space="0" w:color="auto"/>
            </w:tcBorders>
            <w:shd w:val="clear" w:color="auto" w:fill="auto"/>
            <w:noWrap/>
            <w:vAlign w:val="center"/>
            <w:hideMark/>
          </w:tcPr>
          <w:p w14:paraId="7D8865A4"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1245485.7</w:t>
            </w:r>
          </w:p>
        </w:tc>
        <w:tc>
          <w:tcPr>
            <w:tcW w:w="672" w:type="dxa"/>
            <w:tcBorders>
              <w:top w:val="nil"/>
              <w:left w:val="nil"/>
              <w:bottom w:val="single" w:sz="4" w:space="0" w:color="auto"/>
              <w:right w:val="single" w:sz="4" w:space="0" w:color="auto"/>
            </w:tcBorders>
            <w:shd w:val="clear" w:color="auto" w:fill="auto"/>
            <w:noWrap/>
            <w:vAlign w:val="center"/>
            <w:hideMark/>
          </w:tcPr>
          <w:p w14:paraId="74B03D6F"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120.9</w:t>
            </w:r>
          </w:p>
        </w:tc>
      </w:tr>
      <w:tr w:rsidR="00812123" w:rsidRPr="00341E6C" w14:paraId="20CBA748" w14:textId="77777777" w:rsidTr="00D37B10">
        <w:trPr>
          <w:trHeight w:val="20"/>
        </w:trPr>
        <w:tc>
          <w:tcPr>
            <w:tcW w:w="2257"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14:paraId="19488C92" w14:textId="77777777" w:rsidR="00812123" w:rsidRPr="00D37B10" w:rsidRDefault="00812123" w:rsidP="002912F6">
            <w:pPr>
              <w:spacing w:after="0" w:line="240" w:lineRule="auto"/>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 xml:space="preserve">Ponderea transferurilor cu destinație specială în total transferuri </w:t>
            </w:r>
          </w:p>
        </w:tc>
        <w:tc>
          <w:tcPr>
            <w:tcW w:w="810" w:type="dxa"/>
            <w:tcBorders>
              <w:top w:val="nil"/>
              <w:left w:val="nil"/>
              <w:bottom w:val="single" w:sz="4" w:space="0" w:color="auto"/>
              <w:right w:val="single" w:sz="4" w:space="0" w:color="auto"/>
            </w:tcBorders>
            <w:shd w:val="clear" w:color="auto" w:fill="FFE599" w:themeFill="accent4" w:themeFillTint="66"/>
            <w:vAlign w:val="center"/>
            <w:hideMark/>
          </w:tcPr>
          <w:p w14:paraId="0F456966" w14:textId="77777777" w:rsidR="00812123" w:rsidRPr="00D37B10" w:rsidRDefault="00812123" w:rsidP="002912F6">
            <w:pPr>
              <w:spacing w:after="0" w:line="240" w:lineRule="auto"/>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 </w:t>
            </w:r>
          </w:p>
        </w:tc>
        <w:tc>
          <w:tcPr>
            <w:tcW w:w="1136" w:type="dxa"/>
            <w:tcBorders>
              <w:top w:val="nil"/>
              <w:left w:val="nil"/>
              <w:bottom w:val="single" w:sz="4" w:space="0" w:color="auto"/>
              <w:right w:val="single" w:sz="4" w:space="0" w:color="auto"/>
            </w:tcBorders>
            <w:shd w:val="clear" w:color="auto" w:fill="FFE599" w:themeFill="accent4" w:themeFillTint="66"/>
            <w:vAlign w:val="center"/>
            <w:hideMark/>
          </w:tcPr>
          <w:p w14:paraId="74E935E8" w14:textId="77777777" w:rsidR="00812123" w:rsidRPr="00D37B10" w:rsidRDefault="00812123" w:rsidP="00D37B10">
            <w:pPr>
              <w:spacing w:after="0" w:line="240" w:lineRule="auto"/>
              <w:jc w:val="center"/>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78.1%</w:t>
            </w:r>
          </w:p>
        </w:tc>
        <w:tc>
          <w:tcPr>
            <w:tcW w:w="1137" w:type="dxa"/>
            <w:tcBorders>
              <w:top w:val="nil"/>
              <w:left w:val="nil"/>
              <w:bottom w:val="single" w:sz="4" w:space="0" w:color="auto"/>
              <w:right w:val="single" w:sz="4" w:space="0" w:color="auto"/>
            </w:tcBorders>
            <w:shd w:val="clear" w:color="auto" w:fill="FFE599" w:themeFill="accent4" w:themeFillTint="66"/>
            <w:vAlign w:val="center"/>
            <w:hideMark/>
          </w:tcPr>
          <w:p w14:paraId="31C60CE7" w14:textId="77777777" w:rsidR="00812123" w:rsidRPr="00D37B10" w:rsidRDefault="00812123" w:rsidP="00D37B10">
            <w:pPr>
              <w:spacing w:after="0" w:line="240" w:lineRule="auto"/>
              <w:jc w:val="center"/>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71.3%</w:t>
            </w:r>
          </w:p>
        </w:tc>
        <w:tc>
          <w:tcPr>
            <w:tcW w:w="1136" w:type="dxa"/>
            <w:tcBorders>
              <w:top w:val="nil"/>
              <w:left w:val="nil"/>
              <w:bottom w:val="single" w:sz="4" w:space="0" w:color="auto"/>
              <w:right w:val="single" w:sz="4" w:space="0" w:color="auto"/>
            </w:tcBorders>
            <w:shd w:val="clear" w:color="auto" w:fill="FFE599" w:themeFill="accent4" w:themeFillTint="66"/>
            <w:vAlign w:val="center"/>
            <w:hideMark/>
          </w:tcPr>
          <w:p w14:paraId="15E9CB11" w14:textId="77777777" w:rsidR="00812123" w:rsidRPr="00D37B10" w:rsidRDefault="00812123" w:rsidP="00D37B10">
            <w:pPr>
              <w:spacing w:after="0" w:line="240" w:lineRule="auto"/>
              <w:jc w:val="center"/>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73.9%</w:t>
            </w:r>
          </w:p>
        </w:tc>
        <w:tc>
          <w:tcPr>
            <w:tcW w:w="1136" w:type="dxa"/>
            <w:tcBorders>
              <w:top w:val="nil"/>
              <w:left w:val="nil"/>
              <w:bottom w:val="single" w:sz="4" w:space="0" w:color="auto"/>
              <w:right w:val="single" w:sz="4" w:space="0" w:color="auto"/>
            </w:tcBorders>
            <w:shd w:val="clear" w:color="auto" w:fill="FFE599" w:themeFill="accent4" w:themeFillTint="66"/>
            <w:vAlign w:val="center"/>
            <w:hideMark/>
          </w:tcPr>
          <w:p w14:paraId="45201A26" w14:textId="77777777" w:rsidR="00812123" w:rsidRPr="00D37B10" w:rsidRDefault="00812123" w:rsidP="00D37B10">
            <w:pPr>
              <w:spacing w:after="0" w:line="240" w:lineRule="auto"/>
              <w:jc w:val="center"/>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75.0%</w:t>
            </w:r>
          </w:p>
        </w:tc>
        <w:tc>
          <w:tcPr>
            <w:tcW w:w="1219" w:type="dxa"/>
            <w:tcBorders>
              <w:top w:val="nil"/>
              <w:left w:val="nil"/>
              <w:bottom w:val="single" w:sz="4" w:space="0" w:color="auto"/>
              <w:right w:val="single" w:sz="4" w:space="0" w:color="auto"/>
            </w:tcBorders>
            <w:shd w:val="clear" w:color="auto" w:fill="FFE599" w:themeFill="accent4" w:themeFillTint="66"/>
            <w:vAlign w:val="center"/>
            <w:hideMark/>
          </w:tcPr>
          <w:p w14:paraId="7B980EE0" w14:textId="77777777" w:rsidR="00812123" w:rsidRPr="00D37B10" w:rsidRDefault="00812123" w:rsidP="00D37B10">
            <w:pPr>
              <w:spacing w:after="0" w:line="240" w:lineRule="auto"/>
              <w:jc w:val="center"/>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68.7%</w:t>
            </w:r>
          </w:p>
        </w:tc>
        <w:tc>
          <w:tcPr>
            <w:tcW w:w="672" w:type="dxa"/>
            <w:tcBorders>
              <w:top w:val="nil"/>
              <w:left w:val="nil"/>
              <w:bottom w:val="single" w:sz="4" w:space="0" w:color="auto"/>
              <w:right w:val="single" w:sz="4" w:space="0" w:color="auto"/>
            </w:tcBorders>
            <w:shd w:val="clear" w:color="auto" w:fill="FFE599" w:themeFill="accent4" w:themeFillTint="66"/>
            <w:vAlign w:val="center"/>
            <w:hideMark/>
          </w:tcPr>
          <w:p w14:paraId="137F96DF" w14:textId="58CBBBC8" w:rsidR="00812123" w:rsidRPr="00D37B10" w:rsidRDefault="00810555" w:rsidP="00D37B10">
            <w:pPr>
              <w:spacing w:after="0" w:line="240" w:lineRule="auto"/>
              <w:jc w:val="center"/>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x</w:t>
            </w:r>
          </w:p>
        </w:tc>
      </w:tr>
      <w:tr w:rsidR="00812123" w:rsidRPr="00341E6C" w14:paraId="2E35FA2C"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3FDD2676" w14:textId="422F18F3" w:rsidR="00812123" w:rsidRPr="00341E6C" w:rsidRDefault="00812123" w:rsidP="004B68DE">
            <w:pPr>
              <w:spacing w:after="0" w:line="240" w:lineRule="auto"/>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 xml:space="preserve">Transferuri curente primite cu destinație generală între bugetul de stat </w:t>
            </w:r>
            <w:r w:rsidR="004B68DE">
              <w:rPr>
                <w:rFonts w:asciiTheme="majorHAnsi" w:eastAsia="Times New Roman" w:hAnsiTheme="majorHAnsi" w:cstheme="majorHAnsi"/>
                <w:sz w:val="16"/>
                <w:szCs w:val="20"/>
                <w:lang w:val="ro-RO"/>
              </w:rPr>
              <w:t>ș</w:t>
            </w:r>
            <w:r w:rsidRPr="00341E6C">
              <w:rPr>
                <w:rFonts w:asciiTheme="majorHAnsi" w:eastAsia="Times New Roman" w:hAnsiTheme="majorHAnsi" w:cstheme="majorHAnsi"/>
                <w:sz w:val="16"/>
                <w:szCs w:val="20"/>
                <w:lang w:val="ro-RO"/>
              </w:rPr>
              <w:t>i bugetul asigurărilor sociale de stat</w:t>
            </w:r>
          </w:p>
        </w:tc>
        <w:tc>
          <w:tcPr>
            <w:tcW w:w="810" w:type="dxa"/>
            <w:tcBorders>
              <w:top w:val="nil"/>
              <w:left w:val="nil"/>
              <w:bottom w:val="single" w:sz="4" w:space="0" w:color="auto"/>
              <w:right w:val="single" w:sz="4" w:space="0" w:color="auto"/>
            </w:tcBorders>
            <w:shd w:val="clear" w:color="auto" w:fill="auto"/>
            <w:vAlign w:val="center"/>
            <w:hideMark/>
          </w:tcPr>
          <w:p w14:paraId="22194447" w14:textId="77777777" w:rsidR="00812123" w:rsidRPr="00341E6C" w:rsidRDefault="00812123" w:rsidP="002912F6">
            <w:pPr>
              <w:spacing w:after="0" w:line="240" w:lineRule="auto"/>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192130</w:t>
            </w:r>
          </w:p>
        </w:tc>
        <w:tc>
          <w:tcPr>
            <w:tcW w:w="1136" w:type="dxa"/>
            <w:tcBorders>
              <w:top w:val="nil"/>
              <w:left w:val="nil"/>
              <w:bottom w:val="single" w:sz="4" w:space="0" w:color="auto"/>
              <w:right w:val="single" w:sz="4" w:space="0" w:color="auto"/>
            </w:tcBorders>
            <w:shd w:val="clear" w:color="auto" w:fill="auto"/>
            <w:vAlign w:val="center"/>
            <w:hideMark/>
          </w:tcPr>
          <w:p w14:paraId="3E5D0F3E"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1875966.4</w:t>
            </w:r>
          </w:p>
        </w:tc>
        <w:tc>
          <w:tcPr>
            <w:tcW w:w="1137" w:type="dxa"/>
            <w:tcBorders>
              <w:top w:val="nil"/>
              <w:left w:val="nil"/>
              <w:bottom w:val="single" w:sz="4" w:space="0" w:color="auto"/>
              <w:right w:val="single" w:sz="4" w:space="0" w:color="auto"/>
            </w:tcBorders>
            <w:shd w:val="clear" w:color="auto" w:fill="auto"/>
            <w:vAlign w:val="center"/>
            <w:hideMark/>
          </w:tcPr>
          <w:p w14:paraId="131E80E3"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2965147.8</w:t>
            </w:r>
          </w:p>
        </w:tc>
        <w:tc>
          <w:tcPr>
            <w:tcW w:w="1136" w:type="dxa"/>
            <w:tcBorders>
              <w:top w:val="nil"/>
              <w:left w:val="nil"/>
              <w:bottom w:val="single" w:sz="4" w:space="0" w:color="auto"/>
              <w:right w:val="single" w:sz="4" w:space="0" w:color="auto"/>
            </w:tcBorders>
            <w:shd w:val="clear" w:color="auto" w:fill="auto"/>
            <w:vAlign w:val="center"/>
            <w:hideMark/>
          </w:tcPr>
          <w:p w14:paraId="14434342"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2554647.8</w:t>
            </w:r>
          </w:p>
        </w:tc>
        <w:tc>
          <w:tcPr>
            <w:tcW w:w="1136" w:type="dxa"/>
            <w:tcBorders>
              <w:top w:val="nil"/>
              <w:left w:val="nil"/>
              <w:bottom w:val="single" w:sz="4" w:space="0" w:color="auto"/>
              <w:right w:val="single" w:sz="4" w:space="0" w:color="auto"/>
            </w:tcBorders>
            <w:shd w:val="clear" w:color="auto" w:fill="auto"/>
            <w:vAlign w:val="center"/>
            <w:hideMark/>
          </w:tcPr>
          <w:p w14:paraId="7377F6B1"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1987721.9</w:t>
            </w:r>
          </w:p>
        </w:tc>
        <w:tc>
          <w:tcPr>
            <w:tcW w:w="1219" w:type="dxa"/>
            <w:tcBorders>
              <w:top w:val="nil"/>
              <w:left w:val="nil"/>
              <w:bottom w:val="single" w:sz="4" w:space="0" w:color="auto"/>
              <w:right w:val="single" w:sz="4" w:space="0" w:color="auto"/>
            </w:tcBorders>
            <w:shd w:val="clear" w:color="auto" w:fill="auto"/>
            <w:noWrap/>
            <w:vAlign w:val="center"/>
            <w:hideMark/>
          </w:tcPr>
          <w:p w14:paraId="5C3FDB96"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566925.9</w:t>
            </w:r>
          </w:p>
        </w:tc>
        <w:tc>
          <w:tcPr>
            <w:tcW w:w="672" w:type="dxa"/>
            <w:tcBorders>
              <w:top w:val="nil"/>
              <w:left w:val="nil"/>
              <w:bottom w:val="single" w:sz="4" w:space="0" w:color="auto"/>
              <w:right w:val="single" w:sz="4" w:space="0" w:color="auto"/>
            </w:tcBorders>
            <w:shd w:val="clear" w:color="auto" w:fill="auto"/>
            <w:noWrap/>
            <w:vAlign w:val="center"/>
            <w:hideMark/>
          </w:tcPr>
          <w:p w14:paraId="18D7E9ED" w14:textId="77777777" w:rsidR="00812123" w:rsidRPr="00341E6C" w:rsidRDefault="00812123" w:rsidP="002912F6">
            <w:pPr>
              <w:spacing w:after="0" w:line="240" w:lineRule="auto"/>
              <w:jc w:val="right"/>
              <w:rPr>
                <w:rFonts w:asciiTheme="majorHAnsi" w:eastAsia="Times New Roman" w:hAnsiTheme="majorHAnsi" w:cstheme="majorHAnsi"/>
                <w:sz w:val="16"/>
                <w:szCs w:val="20"/>
                <w:lang w:val="ro-RO"/>
              </w:rPr>
            </w:pPr>
            <w:r w:rsidRPr="00341E6C">
              <w:rPr>
                <w:rFonts w:asciiTheme="majorHAnsi" w:eastAsia="Times New Roman" w:hAnsiTheme="majorHAnsi" w:cstheme="majorHAnsi"/>
                <w:sz w:val="16"/>
                <w:szCs w:val="20"/>
                <w:lang w:val="ro-RO"/>
              </w:rPr>
              <w:t>128.5</w:t>
            </w:r>
          </w:p>
        </w:tc>
      </w:tr>
      <w:tr w:rsidR="00812123" w:rsidRPr="00341E6C" w14:paraId="797E1338" w14:textId="77777777" w:rsidTr="00D37B10">
        <w:trPr>
          <w:trHeight w:val="409"/>
        </w:trPr>
        <w:tc>
          <w:tcPr>
            <w:tcW w:w="2257"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67CB31FD" w14:textId="22E3868D" w:rsidR="00812123" w:rsidRPr="00D37B10" w:rsidRDefault="00812123" w:rsidP="004B68DE">
            <w:pPr>
              <w:spacing w:after="0" w:line="240" w:lineRule="auto"/>
              <w:rPr>
                <w:rFonts w:asciiTheme="majorHAnsi" w:eastAsia="Times New Roman" w:hAnsiTheme="majorHAnsi" w:cstheme="majorHAnsi"/>
                <w:b/>
                <w:sz w:val="16"/>
                <w:szCs w:val="20"/>
                <w:lang w:val="ro-RO"/>
              </w:rPr>
            </w:pPr>
            <w:r w:rsidRPr="00D37B10">
              <w:rPr>
                <w:rFonts w:asciiTheme="majorHAnsi" w:eastAsia="Times New Roman" w:hAnsiTheme="majorHAnsi" w:cstheme="majorHAnsi"/>
                <w:b/>
                <w:sz w:val="16"/>
                <w:szCs w:val="20"/>
                <w:lang w:val="ro-RO"/>
              </w:rPr>
              <w:t xml:space="preserve">Ponderea transferurilor cu destinație </w:t>
            </w:r>
            <w:r w:rsidR="00763C23">
              <w:rPr>
                <w:rFonts w:asciiTheme="majorHAnsi" w:eastAsia="Times New Roman" w:hAnsiTheme="majorHAnsi" w:cstheme="majorHAnsi"/>
                <w:b/>
                <w:sz w:val="16"/>
                <w:szCs w:val="20"/>
                <w:lang w:val="ro-RO"/>
              </w:rPr>
              <w:t>generală</w:t>
            </w:r>
            <w:r w:rsidRPr="00D37B10">
              <w:rPr>
                <w:rFonts w:asciiTheme="majorHAnsi" w:eastAsia="Times New Roman" w:hAnsiTheme="majorHAnsi" w:cstheme="majorHAnsi"/>
                <w:b/>
                <w:sz w:val="16"/>
                <w:szCs w:val="20"/>
                <w:lang w:val="ro-RO"/>
              </w:rPr>
              <w:t xml:space="preserve"> în total transferuri</w:t>
            </w:r>
          </w:p>
        </w:tc>
        <w:tc>
          <w:tcPr>
            <w:tcW w:w="810" w:type="dxa"/>
            <w:tcBorders>
              <w:top w:val="nil"/>
              <w:left w:val="nil"/>
              <w:bottom w:val="single" w:sz="4" w:space="0" w:color="auto"/>
              <w:right w:val="single" w:sz="4" w:space="0" w:color="auto"/>
            </w:tcBorders>
            <w:shd w:val="clear" w:color="auto" w:fill="FFE599" w:themeFill="accent4" w:themeFillTint="66"/>
            <w:noWrap/>
            <w:vAlign w:val="center"/>
            <w:hideMark/>
          </w:tcPr>
          <w:p w14:paraId="7949A61A" w14:textId="16D09622" w:rsidR="00812123" w:rsidRPr="00D37B10" w:rsidRDefault="00812123" w:rsidP="00D37B10">
            <w:pPr>
              <w:spacing w:after="0" w:line="240" w:lineRule="auto"/>
              <w:jc w:val="center"/>
              <w:rPr>
                <w:rFonts w:asciiTheme="majorHAnsi" w:eastAsia="Times New Roman" w:hAnsiTheme="majorHAnsi" w:cstheme="majorHAnsi"/>
                <w:b/>
                <w:bCs/>
                <w:sz w:val="16"/>
                <w:szCs w:val="20"/>
                <w:lang w:val="ro-RO"/>
              </w:rPr>
            </w:pP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19762291" w14:textId="77777777" w:rsidR="00812123" w:rsidRPr="00D37B10" w:rsidRDefault="00812123" w:rsidP="00D37B10">
            <w:pPr>
              <w:spacing w:after="0" w:line="240" w:lineRule="auto"/>
              <w:jc w:val="center"/>
              <w:rPr>
                <w:rFonts w:asciiTheme="majorHAnsi" w:eastAsia="Times New Roman" w:hAnsiTheme="majorHAnsi" w:cstheme="majorHAnsi"/>
                <w:b/>
                <w:bCs/>
                <w:sz w:val="16"/>
                <w:szCs w:val="20"/>
                <w:lang w:val="ro-RO"/>
              </w:rPr>
            </w:pPr>
            <w:r w:rsidRPr="00D37B10">
              <w:rPr>
                <w:rFonts w:asciiTheme="majorHAnsi" w:eastAsia="Times New Roman" w:hAnsiTheme="majorHAnsi" w:cstheme="majorHAnsi"/>
                <w:b/>
                <w:bCs/>
                <w:sz w:val="16"/>
                <w:szCs w:val="20"/>
                <w:lang w:val="ro-RO"/>
              </w:rPr>
              <w:t>21.9%</w:t>
            </w:r>
          </w:p>
        </w:tc>
        <w:tc>
          <w:tcPr>
            <w:tcW w:w="1137" w:type="dxa"/>
            <w:tcBorders>
              <w:top w:val="nil"/>
              <w:left w:val="nil"/>
              <w:bottom w:val="single" w:sz="4" w:space="0" w:color="auto"/>
              <w:right w:val="single" w:sz="4" w:space="0" w:color="auto"/>
            </w:tcBorders>
            <w:shd w:val="clear" w:color="auto" w:fill="FFE599" w:themeFill="accent4" w:themeFillTint="66"/>
            <w:noWrap/>
            <w:vAlign w:val="center"/>
            <w:hideMark/>
          </w:tcPr>
          <w:p w14:paraId="6418D689" w14:textId="77777777" w:rsidR="00812123" w:rsidRPr="00D37B10" w:rsidRDefault="00812123" w:rsidP="00D37B10">
            <w:pPr>
              <w:spacing w:after="0" w:line="240" w:lineRule="auto"/>
              <w:jc w:val="center"/>
              <w:rPr>
                <w:rFonts w:asciiTheme="majorHAnsi" w:eastAsia="Times New Roman" w:hAnsiTheme="majorHAnsi" w:cstheme="majorHAnsi"/>
                <w:b/>
                <w:bCs/>
                <w:sz w:val="16"/>
                <w:szCs w:val="20"/>
                <w:lang w:val="ro-RO"/>
              </w:rPr>
            </w:pPr>
            <w:r w:rsidRPr="00D37B10">
              <w:rPr>
                <w:rFonts w:asciiTheme="majorHAnsi" w:eastAsia="Times New Roman" w:hAnsiTheme="majorHAnsi" w:cstheme="majorHAnsi"/>
                <w:b/>
                <w:bCs/>
                <w:sz w:val="16"/>
                <w:szCs w:val="20"/>
                <w:lang w:val="ro-RO"/>
              </w:rPr>
              <w:t>28.7%</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27EB3903" w14:textId="77777777" w:rsidR="00812123" w:rsidRPr="00D37B10" w:rsidRDefault="00812123" w:rsidP="00D37B10">
            <w:pPr>
              <w:spacing w:after="0" w:line="240" w:lineRule="auto"/>
              <w:jc w:val="center"/>
              <w:rPr>
                <w:rFonts w:asciiTheme="majorHAnsi" w:eastAsia="Times New Roman" w:hAnsiTheme="majorHAnsi" w:cstheme="majorHAnsi"/>
                <w:b/>
                <w:bCs/>
                <w:sz w:val="16"/>
                <w:szCs w:val="20"/>
                <w:lang w:val="ro-RO"/>
              </w:rPr>
            </w:pPr>
            <w:r w:rsidRPr="00D37B10">
              <w:rPr>
                <w:rFonts w:asciiTheme="majorHAnsi" w:eastAsia="Times New Roman" w:hAnsiTheme="majorHAnsi" w:cstheme="majorHAnsi"/>
                <w:b/>
                <w:bCs/>
                <w:sz w:val="16"/>
                <w:szCs w:val="20"/>
                <w:lang w:val="ro-RO"/>
              </w:rPr>
              <w:t>26.1%</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05F6E982" w14:textId="77777777" w:rsidR="00812123" w:rsidRPr="00D37B10" w:rsidRDefault="00812123" w:rsidP="00D37B10">
            <w:pPr>
              <w:spacing w:after="0" w:line="240" w:lineRule="auto"/>
              <w:jc w:val="center"/>
              <w:rPr>
                <w:rFonts w:asciiTheme="majorHAnsi" w:eastAsia="Times New Roman" w:hAnsiTheme="majorHAnsi" w:cstheme="majorHAnsi"/>
                <w:b/>
                <w:bCs/>
                <w:sz w:val="16"/>
                <w:szCs w:val="20"/>
                <w:lang w:val="ro-RO"/>
              </w:rPr>
            </w:pPr>
            <w:r w:rsidRPr="00D37B10">
              <w:rPr>
                <w:rFonts w:asciiTheme="majorHAnsi" w:eastAsia="Times New Roman" w:hAnsiTheme="majorHAnsi" w:cstheme="majorHAnsi"/>
                <w:b/>
                <w:bCs/>
                <w:sz w:val="16"/>
                <w:szCs w:val="20"/>
                <w:lang w:val="ro-RO"/>
              </w:rPr>
              <w:t>25.0%</w:t>
            </w:r>
          </w:p>
        </w:tc>
        <w:tc>
          <w:tcPr>
            <w:tcW w:w="1219" w:type="dxa"/>
            <w:tcBorders>
              <w:top w:val="nil"/>
              <w:left w:val="nil"/>
              <w:bottom w:val="single" w:sz="4" w:space="0" w:color="auto"/>
              <w:right w:val="single" w:sz="4" w:space="0" w:color="auto"/>
            </w:tcBorders>
            <w:shd w:val="clear" w:color="auto" w:fill="FFE599" w:themeFill="accent4" w:themeFillTint="66"/>
            <w:noWrap/>
            <w:vAlign w:val="center"/>
            <w:hideMark/>
          </w:tcPr>
          <w:p w14:paraId="6C68C34A" w14:textId="77777777" w:rsidR="00812123" w:rsidRPr="00D37B10" w:rsidRDefault="00812123" w:rsidP="00D37B10">
            <w:pPr>
              <w:spacing w:after="0" w:line="240" w:lineRule="auto"/>
              <w:jc w:val="center"/>
              <w:rPr>
                <w:rFonts w:asciiTheme="majorHAnsi" w:eastAsia="Times New Roman" w:hAnsiTheme="majorHAnsi" w:cstheme="majorHAnsi"/>
                <w:b/>
                <w:bCs/>
                <w:sz w:val="16"/>
                <w:szCs w:val="20"/>
                <w:lang w:val="ro-RO"/>
              </w:rPr>
            </w:pPr>
            <w:r w:rsidRPr="00D37B10">
              <w:rPr>
                <w:rFonts w:asciiTheme="majorHAnsi" w:eastAsia="Times New Roman" w:hAnsiTheme="majorHAnsi" w:cstheme="majorHAnsi"/>
                <w:b/>
                <w:bCs/>
                <w:sz w:val="16"/>
                <w:szCs w:val="20"/>
                <w:lang w:val="ro-RO"/>
              </w:rPr>
              <w:t>31.3%</w:t>
            </w:r>
          </w:p>
        </w:tc>
        <w:tc>
          <w:tcPr>
            <w:tcW w:w="672" w:type="dxa"/>
            <w:tcBorders>
              <w:top w:val="nil"/>
              <w:left w:val="nil"/>
              <w:bottom w:val="single" w:sz="4" w:space="0" w:color="auto"/>
              <w:right w:val="single" w:sz="4" w:space="0" w:color="auto"/>
            </w:tcBorders>
            <w:shd w:val="clear" w:color="auto" w:fill="FFE599" w:themeFill="accent4" w:themeFillTint="66"/>
            <w:noWrap/>
            <w:vAlign w:val="center"/>
            <w:hideMark/>
          </w:tcPr>
          <w:p w14:paraId="0A18EE63" w14:textId="5B1C58A9" w:rsidR="00812123" w:rsidRPr="00D37B10" w:rsidRDefault="00810555" w:rsidP="00D37B10">
            <w:pPr>
              <w:spacing w:after="0" w:line="240" w:lineRule="auto"/>
              <w:jc w:val="center"/>
              <w:rPr>
                <w:rFonts w:asciiTheme="majorHAnsi" w:eastAsia="Times New Roman" w:hAnsiTheme="majorHAnsi" w:cstheme="majorHAnsi"/>
                <w:b/>
                <w:bCs/>
                <w:sz w:val="16"/>
                <w:szCs w:val="20"/>
                <w:lang w:val="ro-RO"/>
              </w:rPr>
            </w:pPr>
            <w:r w:rsidRPr="00D37B10">
              <w:rPr>
                <w:rFonts w:asciiTheme="majorHAnsi" w:eastAsia="Times New Roman" w:hAnsiTheme="majorHAnsi" w:cstheme="majorHAnsi"/>
                <w:b/>
                <w:bCs/>
                <w:sz w:val="16"/>
                <w:szCs w:val="20"/>
                <w:lang w:val="ro-RO"/>
              </w:rPr>
              <w:t>x</w:t>
            </w:r>
          </w:p>
        </w:tc>
      </w:tr>
    </w:tbl>
    <w:p w14:paraId="716CBD97" w14:textId="2AD0AFD5" w:rsidR="00FD22E9" w:rsidRPr="00341E6C" w:rsidRDefault="00FD22E9" w:rsidP="00FD22E9">
      <w:pPr>
        <w:spacing w:after="0" w:line="240" w:lineRule="auto"/>
        <w:rPr>
          <w:rFonts w:ascii="Calibri Light" w:eastAsia="Times New Roman" w:hAnsi="Calibri Light" w:cs="Calibri Light"/>
          <w:b/>
          <w:bCs/>
          <w:color w:val="000000"/>
          <w:sz w:val="24"/>
          <w:szCs w:val="20"/>
          <w:lang w:val="ro-RO"/>
        </w:rPr>
        <w:sectPr w:rsidR="00FD22E9" w:rsidRPr="00341E6C" w:rsidSect="0079098F">
          <w:pgSz w:w="11909" w:h="16834" w:code="9"/>
          <w:pgMar w:top="850" w:right="850" w:bottom="850" w:left="1440" w:header="706" w:footer="706" w:gutter="0"/>
          <w:cols w:space="708"/>
          <w:titlePg/>
          <w:docGrid w:linePitch="360"/>
        </w:sectPr>
      </w:pPr>
      <w:r w:rsidRPr="00341E6C">
        <w:rPr>
          <w:rFonts w:asciiTheme="majorHAnsi" w:hAnsiTheme="majorHAnsi" w:cstheme="majorHAnsi"/>
          <w:b/>
          <w:i/>
          <w:sz w:val="20"/>
          <w:szCs w:val="20"/>
          <w:lang w:val="ro-RO"/>
        </w:rPr>
        <w:t>Sursa:</w:t>
      </w:r>
      <w:r w:rsidRPr="00341E6C">
        <w:rPr>
          <w:rFonts w:asciiTheme="majorHAnsi" w:hAnsiTheme="majorHAnsi" w:cstheme="majorHAnsi"/>
          <w:i/>
          <w:sz w:val="20"/>
          <w:szCs w:val="20"/>
          <w:lang w:val="ro-RO"/>
        </w:rPr>
        <w:t xml:space="preserve"> Raportul privind executarea bugetului asigurărilor sociale de stat pentru anii 2018-2020.</w:t>
      </w:r>
    </w:p>
    <w:p w14:paraId="48CA8348" w14:textId="3A9F206D" w:rsidR="00F20EBD" w:rsidRPr="00341E6C" w:rsidRDefault="001A4228" w:rsidP="005D4B1B">
      <w:pPr>
        <w:pStyle w:val="NormalWeb"/>
        <w:tabs>
          <w:tab w:val="left" w:pos="162"/>
        </w:tabs>
        <w:spacing w:line="276" w:lineRule="auto"/>
        <w:ind w:firstLine="0"/>
        <w:jc w:val="right"/>
        <w:outlineLvl w:val="1"/>
        <w:rPr>
          <w:rFonts w:asciiTheme="majorHAnsi" w:hAnsiTheme="majorHAnsi" w:cstheme="majorHAnsi"/>
          <w:b/>
          <w:lang w:val="ro-RO"/>
        </w:rPr>
      </w:pPr>
      <w:r w:rsidRPr="00341E6C">
        <w:rPr>
          <w:rFonts w:asciiTheme="majorHAnsi" w:hAnsiTheme="majorHAnsi" w:cstheme="majorHAnsi"/>
          <w:b/>
          <w:lang w:val="ro-RO"/>
        </w:rPr>
        <w:lastRenderedPageBreak/>
        <w:t>Anexa nr.</w:t>
      </w:r>
      <w:r w:rsidR="005D4B1B" w:rsidRPr="00341E6C">
        <w:rPr>
          <w:rFonts w:asciiTheme="majorHAnsi" w:hAnsiTheme="majorHAnsi" w:cstheme="majorHAnsi"/>
          <w:b/>
          <w:lang w:val="ro-RO"/>
        </w:rPr>
        <w:t xml:space="preserve"> </w:t>
      </w:r>
      <w:r w:rsidR="00EE3574">
        <w:rPr>
          <w:rFonts w:asciiTheme="majorHAnsi" w:hAnsiTheme="majorHAnsi" w:cstheme="majorHAnsi"/>
          <w:b/>
          <w:lang w:val="ro-RO"/>
        </w:rPr>
        <w:t>7</w:t>
      </w:r>
    </w:p>
    <w:p w14:paraId="1C1B36BA" w14:textId="77777777" w:rsidR="00F20EBD" w:rsidRPr="00341E6C" w:rsidRDefault="00F20EBD" w:rsidP="00F20EBD">
      <w:pPr>
        <w:pStyle w:val="30"/>
        <w:shd w:val="clear" w:color="auto" w:fill="auto"/>
        <w:spacing w:line="276" w:lineRule="auto"/>
        <w:rPr>
          <w:rFonts w:asciiTheme="majorHAnsi" w:hAnsiTheme="majorHAnsi" w:cstheme="majorHAnsi"/>
          <w:bCs w:val="0"/>
          <w:sz w:val="24"/>
          <w:szCs w:val="24"/>
          <w:lang w:val="ro-RO"/>
        </w:rPr>
      </w:pPr>
      <w:r w:rsidRPr="00341E6C">
        <w:rPr>
          <w:rFonts w:asciiTheme="majorHAnsi" w:hAnsiTheme="majorHAnsi" w:cstheme="majorHAnsi"/>
          <w:bCs w:val="0"/>
          <w:sz w:val="24"/>
          <w:szCs w:val="24"/>
          <w:lang w:val="ro-RO"/>
        </w:rPr>
        <w:t>Cheltuielile bugetului asigurărilor sociale de stat în anul 2020 (mil. lei</w:t>
      </w:r>
      <w:r w:rsidRPr="00341E6C">
        <w:rPr>
          <w:rFonts w:asciiTheme="majorHAnsi" w:hAnsiTheme="majorHAnsi" w:cstheme="majorHAnsi"/>
          <w:bCs w:val="0"/>
          <w:sz w:val="22"/>
          <w:szCs w:val="24"/>
          <w:lang w:val="ro-RO"/>
        </w:rPr>
        <w:t>)</w:t>
      </w:r>
    </w:p>
    <w:tbl>
      <w:tblPr>
        <w:tblW w:w="15179" w:type="dxa"/>
        <w:tblLayout w:type="fixed"/>
        <w:tblCellMar>
          <w:left w:w="10" w:type="dxa"/>
          <w:right w:w="10" w:type="dxa"/>
        </w:tblCellMar>
        <w:tblLook w:val="0000" w:firstRow="0" w:lastRow="0" w:firstColumn="0" w:lastColumn="0" w:noHBand="0" w:noVBand="0"/>
      </w:tblPr>
      <w:tblGrid>
        <w:gridCol w:w="3524"/>
        <w:gridCol w:w="660"/>
        <w:gridCol w:w="1318"/>
        <w:gridCol w:w="1305"/>
        <w:gridCol w:w="1318"/>
        <w:gridCol w:w="1318"/>
        <w:gridCol w:w="946"/>
        <w:gridCol w:w="1283"/>
        <w:gridCol w:w="962"/>
        <w:gridCol w:w="1237"/>
        <w:gridCol w:w="1308"/>
      </w:tblGrid>
      <w:tr w:rsidR="00F20EBD" w:rsidRPr="00341E6C" w14:paraId="6B8DA7B2" w14:textId="77777777" w:rsidTr="007D0C4A">
        <w:trPr>
          <w:trHeight w:val="22"/>
        </w:trPr>
        <w:tc>
          <w:tcPr>
            <w:tcW w:w="3524" w:type="dxa"/>
            <w:vMerge w:val="restart"/>
            <w:tcBorders>
              <w:top w:val="single" w:sz="4" w:space="0" w:color="auto"/>
              <w:left w:val="single" w:sz="4" w:space="0" w:color="auto"/>
            </w:tcBorders>
            <w:shd w:val="clear" w:color="auto" w:fill="92D050"/>
            <w:vAlign w:val="center"/>
          </w:tcPr>
          <w:p w14:paraId="5B0F41AE"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Indicatorii</w:t>
            </w:r>
          </w:p>
        </w:tc>
        <w:tc>
          <w:tcPr>
            <w:tcW w:w="660" w:type="dxa"/>
            <w:vMerge w:val="restart"/>
            <w:tcBorders>
              <w:top w:val="single" w:sz="4" w:space="0" w:color="auto"/>
              <w:left w:val="single" w:sz="4" w:space="0" w:color="auto"/>
            </w:tcBorders>
            <w:shd w:val="clear" w:color="auto" w:fill="92D050"/>
            <w:vAlign w:val="center"/>
          </w:tcPr>
          <w:p w14:paraId="73578E51" w14:textId="77777777"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Cod</w:t>
            </w:r>
          </w:p>
          <w:p w14:paraId="00FBBF07" w14:textId="77777777"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Eco</w:t>
            </w:r>
          </w:p>
        </w:tc>
        <w:tc>
          <w:tcPr>
            <w:tcW w:w="6205" w:type="dxa"/>
            <w:gridSpan w:val="5"/>
            <w:tcBorders>
              <w:top w:val="single" w:sz="4" w:space="0" w:color="auto"/>
              <w:left w:val="single" w:sz="4" w:space="0" w:color="auto"/>
            </w:tcBorders>
            <w:shd w:val="clear" w:color="auto" w:fill="92D050"/>
            <w:vAlign w:val="center"/>
          </w:tcPr>
          <w:p w14:paraId="54DC1DEC"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2020</w:t>
            </w:r>
          </w:p>
        </w:tc>
        <w:tc>
          <w:tcPr>
            <w:tcW w:w="4790" w:type="dxa"/>
            <w:gridSpan w:val="4"/>
            <w:tcBorders>
              <w:top w:val="single" w:sz="4" w:space="0" w:color="auto"/>
              <w:left w:val="single" w:sz="4" w:space="0" w:color="auto"/>
              <w:right w:val="single" w:sz="4" w:space="0" w:color="auto"/>
            </w:tcBorders>
            <w:shd w:val="clear" w:color="auto" w:fill="92D050"/>
            <w:vAlign w:val="center"/>
          </w:tcPr>
          <w:p w14:paraId="1B74D149"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Devieri</w:t>
            </w:r>
          </w:p>
        </w:tc>
      </w:tr>
      <w:tr w:rsidR="00F20EBD" w:rsidRPr="00341E6C" w14:paraId="1A0A8AD0" w14:textId="77777777" w:rsidTr="007D0C4A">
        <w:trPr>
          <w:trHeight w:val="22"/>
        </w:trPr>
        <w:tc>
          <w:tcPr>
            <w:tcW w:w="3524" w:type="dxa"/>
            <w:vMerge/>
            <w:tcBorders>
              <w:left w:val="single" w:sz="4" w:space="0" w:color="auto"/>
            </w:tcBorders>
            <w:shd w:val="clear" w:color="auto" w:fill="92D050"/>
            <w:vAlign w:val="center"/>
          </w:tcPr>
          <w:p w14:paraId="34675120" w14:textId="77777777" w:rsidR="00F20EBD" w:rsidRPr="00341E6C" w:rsidRDefault="00F20EBD" w:rsidP="001A4228">
            <w:pPr>
              <w:spacing w:line="240" w:lineRule="auto"/>
              <w:rPr>
                <w:rFonts w:asciiTheme="majorHAnsi" w:hAnsiTheme="majorHAnsi" w:cstheme="majorHAnsi"/>
                <w:lang w:val="ro-RO"/>
              </w:rPr>
            </w:pPr>
          </w:p>
        </w:tc>
        <w:tc>
          <w:tcPr>
            <w:tcW w:w="660" w:type="dxa"/>
            <w:vMerge/>
            <w:tcBorders>
              <w:left w:val="single" w:sz="4" w:space="0" w:color="auto"/>
            </w:tcBorders>
            <w:shd w:val="clear" w:color="auto" w:fill="92D050"/>
            <w:vAlign w:val="center"/>
          </w:tcPr>
          <w:p w14:paraId="7A9FFD08" w14:textId="77777777" w:rsidR="00F20EBD" w:rsidRPr="00341E6C" w:rsidRDefault="00F20EBD" w:rsidP="001A4228">
            <w:pPr>
              <w:spacing w:line="240" w:lineRule="auto"/>
              <w:rPr>
                <w:rFonts w:asciiTheme="majorHAnsi" w:hAnsiTheme="majorHAnsi" w:cstheme="majorHAnsi"/>
                <w:lang w:val="ro-RO"/>
              </w:rPr>
            </w:pPr>
          </w:p>
        </w:tc>
        <w:tc>
          <w:tcPr>
            <w:tcW w:w="1318" w:type="dxa"/>
            <w:vMerge w:val="restart"/>
            <w:tcBorders>
              <w:top w:val="single" w:sz="4" w:space="0" w:color="auto"/>
              <w:left w:val="single" w:sz="4" w:space="0" w:color="auto"/>
            </w:tcBorders>
            <w:shd w:val="clear" w:color="auto" w:fill="92D050"/>
            <w:vAlign w:val="center"/>
          </w:tcPr>
          <w:p w14:paraId="66BB15E3" w14:textId="77777777" w:rsidR="00F20EBD" w:rsidRPr="00341E6C" w:rsidRDefault="00F20EBD" w:rsidP="001A4228">
            <w:pPr>
              <w:pStyle w:val="20"/>
              <w:shd w:val="clear" w:color="auto" w:fill="auto"/>
              <w:spacing w:before="0" w:after="0" w:line="240" w:lineRule="auto"/>
              <w:ind w:left="220"/>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aprobat</w:t>
            </w:r>
          </w:p>
        </w:tc>
        <w:tc>
          <w:tcPr>
            <w:tcW w:w="1305" w:type="dxa"/>
            <w:vMerge w:val="restart"/>
            <w:tcBorders>
              <w:top w:val="single" w:sz="4" w:space="0" w:color="auto"/>
              <w:left w:val="single" w:sz="4" w:space="0" w:color="auto"/>
            </w:tcBorders>
            <w:shd w:val="clear" w:color="auto" w:fill="92D050"/>
            <w:vAlign w:val="center"/>
          </w:tcPr>
          <w:p w14:paraId="32439A94" w14:textId="77777777" w:rsidR="00F20EBD" w:rsidRPr="00341E6C" w:rsidRDefault="00F20EBD" w:rsidP="001A4228">
            <w:pPr>
              <w:pStyle w:val="20"/>
              <w:shd w:val="clear" w:color="auto" w:fill="auto"/>
              <w:spacing w:before="0" w:after="0" w:line="240" w:lineRule="auto"/>
              <w:ind w:left="220"/>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precizat</w:t>
            </w:r>
          </w:p>
        </w:tc>
        <w:tc>
          <w:tcPr>
            <w:tcW w:w="1318" w:type="dxa"/>
            <w:vMerge w:val="restart"/>
            <w:tcBorders>
              <w:top w:val="single" w:sz="4" w:space="0" w:color="auto"/>
              <w:left w:val="single" w:sz="4" w:space="0" w:color="auto"/>
            </w:tcBorders>
            <w:shd w:val="clear" w:color="auto" w:fill="92D050"/>
            <w:vAlign w:val="center"/>
          </w:tcPr>
          <w:p w14:paraId="668DF5EE" w14:textId="77777777" w:rsidR="00F20EBD" w:rsidRPr="00341E6C" w:rsidRDefault="00F20EBD" w:rsidP="001A4228">
            <w:pPr>
              <w:pStyle w:val="20"/>
              <w:shd w:val="clear" w:color="auto" w:fill="auto"/>
              <w:spacing w:before="0" w:after="0" w:line="240" w:lineRule="auto"/>
              <w:ind w:left="220"/>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executat</w:t>
            </w:r>
          </w:p>
        </w:tc>
        <w:tc>
          <w:tcPr>
            <w:tcW w:w="1318" w:type="dxa"/>
            <w:vMerge w:val="restart"/>
            <w:tcBorders>
              <w:top w:val="single" w:sz="4" w:space="0" w:color="auto"/>
              <w:left w:val="single" w:sz="4" w:space="0" w:color="auto"/>
            </w:tcBorders>
            <w:shd w:val="clear" w:color="auto" w:fill="92D050"/>
            <w:vAlign w:val="center"/>
          </w:tcPr>
          <w:p w14:paraId="6F20A751"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efectiv</w:t>
            </w:r>
          </w:p>
        </w:tc>
        <w:tc>
          <w:tcPr>
            <w:tcW w:w="943" w:type="dxa"/>
            <w:vMerge w:val="restart"/>
            <w:tcBorders>
              <w:top w:val="single" w:sz="4" w:space="0" w:color="auto"/>
              <w:left w:val="single" w:sz="4" w:space="0" w:color="auto"/>
            </w:tcBorders>
            <w:shd w:val="clear" w:color="auto" w:fill="92D050"/>
            <w:vAlign w:val="bottom"/>
          </w:tcPr>
          <w:p w14:paraId="1F19D9B2" w14:textId="29772BCE"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Ponderea</w:t>
            </w:r>
            <w:r w:rsidRPr="00341E6C">
              <w:rPr>
                <w:rStyle w:val="295pt"/>
                <w:rFonts w:asciiTheme="majorHAnsi" w:eastAsiaTheme="majorEastAsia" w:hAnsiTheme="majorHAnsi" w:cstheme="majorHAnsi"/>
                <w:sz w:val="22"/>
                <w:szCs w:val="22"/>
              </w:rPr>
              <w:t xml:space="preserve"> </w:t>
            </w:r>
            <w:r w:rsidRPr="007D0C4A">
              <w:rPr>
                <w:rStyle w:val="295pt"/>
                <w:rFonts w:asciiTheme="majorHAnsi" w:eastAsiaTheme="majorEastAsia" w:hAnsiTheme="majorHAnsi" w:cstheme="majorHAnsi"/>
                <w:sz w:val="22"/>
                <w:szCs w:val="22"/>
                <w:shd w:val="clear" w:color="auto" w:fill="92D050"/>
              </w:rPr>
              <w:t>în suma</w:t>
            </w:r>
          </w:p>
          <w:p w14:paraId="3DC13A29"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totală</w:t>
            </w:r>
          </w:p>
          <w:p w14:paraId="38E10F16" w14:textId="77777777" w:rsidR="00F20EBD" w:rsidRPr="00341E6C" w:rsidRDefault="00F20EBD" w:rsidP="001A4228">
            <w:pPr>
              <w:pStyle w:val="20"/>
              <w:shd w:val="clear" w:color="auto" w:fill="auto"/>
              <w:spacing w:before="0" w:after="0" w:line="240" w:lineRule="auto"/>
              <w:ind w:left="280"/>
              <w:rPr>
                <w:rFonts w:asciiTheme="majorHAnsi" w:hAnsiTheme="majorHAnsi" w:cstheme="majorHAnsi"/>
                <w:sz w:val="22"/>
                <w:szCs w:val="22"/>
                <w:lang w:val="ro-RO"/>
              </w:rPr>
            </w:pPr>
            <w:r w:rsidRPr="007D0C4A">
              <w:rPr>
                <w:rStyle w:val="295pt"/>
                <w:rFonts w:asciiTheme="majorHAnsi" w:eastAsiaTheme="majorEastAsia" w:hAnsiTheme="majorHAnsi" w:cstheme="majorHAnsi"/>
                <w:sz w:val="22"/>
                <w:szCs w:val="22"/>
                <w:shd w:val="clear" w:color="auto" w:fill="92D050"/>
              </w:rPr>
              <w:t>(%)</w:t>
            </w:r>
          </w:p>
        </w:tc>
        <w:tc>
          <w:tcPr>
            <w:tcW w:w="2245" w:type="dxa"/>
            <w:gridSpan w:val="2"/>
            <w:tcBorders>
              <w:top w:val="single" w:sz="4" w:space="0" w:color="auto"/>
              <w:left w:val="single" w:sz="4" w:space="0" w:color="auto"/>
            </w:tcBorders>
            <w:shd w:val="clear" w:color="auto" w:fill="92D050"/>
            <w:vAlign w:val="bottom"/>
          </w:tcPr>
          <w:p w14:paraId="2D0C90D1"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D96C12">
              <w:rPr>
                <w:rStyle w:val="295pt"/>
                <w:rFonts w:asciiTheme="majorHAnsi" w:eastAsiaTheme="majorEastAsia" w:hAnsiTheme="majorHAnsi" w:cstheme="majorHAnsi"/>
                <w:sz w:val="22"/>
                <w:szCs w:val="22"/>
                <w:shd w:val="clear" w:color="auto" w:fill="92D050"/>
              </w:rPr>
              <w:t>executat faţă de precizat</w:t>
            </w:r>
          </w:p>
        </w:tc>
        <w:tc>
          <w:tcPr>
            <w:tcW w:w="2544" w:type="dxa"/>
            <w:gridSpan w:val="2"/>
            <w:tcBorders>
              <w:top w:val="single" w:sz="4" w:space="0" w:color="auto"/>
              <w:left w:val="single" w:sz="4" w:space="0" w:color="auto"/>
              <w:right w:val="single" w:sz="4" w:space="0" w:color="auto"/>
            </w:tcBorders>
            <w:shd w:val="clear" w:color="auto" w:fill="92D050"/>
            <w:vAlign w:val="center"/>
          </w:tcPr>
          <w:p w14:paraId="561C62E3"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D96C12">
              <w:rPr>
                <w:rStyle w:val="295pt"/>
                <w:rFonts w:asciiTheme="majorHAnsi" w:eastAsiaTheme="majorEastAsia" w:hAnsiTheme="majorHAnsi" w:cstheme="majorHAnsi"/>
                <w:sz w:val="22"/>
                <w:szCs w:val="22"/>
                <w:shd w:val="clear" w:color="auto" w:fill="92D050"/>
              </w:rPr>
              <w:t>efectiv faţă de precizat</w:t>
            </w:r>
          </w:p>
        </w:tc>
      </w:tr>
      <w:tr w:rsidR="00F20EBD" w:rsidRPr="00341E6C" w14:paraId="23894FCA" w14:textId="77777777" w:rsidTr="00D96C12">
        <w:trPr>
          <w:trHeight w:val="22"/>
        </w:trPr>
        <w:tc>
          <w:tcPr>
            <w:tcW w:w="3524" w:type="dxa"/>
            <w:vMerge/>
            <w:tcBorders>
              <w:left w:val="single" w:sz="4" w:space="0" w:color="auto"/>
            </w:tcBorders>
            <w:shd w:val="clear" w:color="auto" w:fill="92D050"/>
            <w:vAlign w:val="center"/>
          </w:tcPr>
          <w:p w14:paraId="217C1A11" w14:textId="77777777" w:rsidR="00F20EBD" w:rsidRPr="00341E6C" w:rsidRDefault="00F20EBD" w:rsidP="001A4228">
            <w:pPr>
              <w:spacing w:line="240" w:lineRule="auto"/>
              <w:rPr>
                <w:rFonts w:asciiTheme="majorHAnsi" w:hAnsiTheme="majorHAnsi" w:cstheme="majorHAnsi"/>
                <w:lang w:val="ro-RO"/>
              </w:rPr>
            </w:pPr>
          </w:p>
        </w:tc>
        <w:tc>
          <w:tcPr>
            <w:tcW w:w="660" w:type="dxa"/>
            <w:vMerge/>
            <w:tcBorders>
              <w:left w:val="single" w:sz="4" w:space="0" w:color="auto"/>
            </w:tcBorders>
            <w:shd w:val="clear" w:color="auto" w:fill="92D050"/>
            <w:vAlign w:val="center"/>
          </w:tcPr>
          <w:p w14:paraId="3100C31C" w14:textId="77777777" w:rsidR="00F20EBD" w:rsidRPr="00341E6C" w:rsidRDefault="00F20EBD" w:rsidP="001A4228">
            <w:pPr>
              <w:spacing w:line="240" w:lineRule="auto"/>
              <w:rPr>
                <w:rFonts w:asciiTheme="majorHAnsi" w:hAnsiTheme="majorHAnsi" w:cstheme="majorHAnsi"/>
                <w:lang w:val="ro-RO"/>
              </w:rPr>
            </w:pPr>
          </w:p>
        </w:tc>
        <w:tc>
          <w:tcPr>
            <w:tcW w:w="1318" w:type="dxa"/>
            <w:vMerge/>
            <w:tcBorders>
              <w:left w:val="single" w:sz="4" w:space="0" w:color="auto"/>
            </w:tcBorders>
            <w:shd w:val="clear" w:color="auto" w:fill="92D050"/>
            <w:vAlign w:val="center"/>
          </w:tcPr>
          <w:p w14:paraId="0549E736" w14:textId="77777777" w:rsidR="00F20EBD" w:rsidRPr="00341E6C" w:rsidRDefault="00F20EBD" w:rsidP="001A4228">
            <w:pPr>
              <w:spacing w:line="240" w:lineRule="auto"/>
              <w:rPr>
                <w:rFonts w:asciiTheme="majorHAnsi" w:hAnsiTheme="majorHAnsi" w:cstheme="majorHAnsi"/>
                <w:lang w:val="ro-RO"/>
              </w:rPr>
            </w:pPr>
          </w:p>
        </w:tc>
        <w:tc>
          <w:tcPr>
            <w:tcW w:w="1305" w:type="dxa"/>
            <w:vMerge/>
            <w:tcBorders>
              <w:left w:val="single" w:sz="4" w:space="0" w:color="auto"/>
            </w:tcBorders>
            <w:shd w:val="clear" w:color="auto" w:fill="92D050"/>
            <w:vAlign w:val="center"/>
          </w:tcPr>
          <w:p w14:paraId="7F37B484" w14:textId="77777777" w:rsidR="00F20EBD" w:rsidRPr="00341E6C" w:rsidRDefault="00F20EBD" w:rsidP="001A4228">
            <w:pPr>
              <w:spacing w:line="240" w:lineRule="auto"/>
              <w:rPr>
                <w:rFonts w:asciiTheme="majorHAnsi" w:hAnsiTheme="majorHAnsi" w:cstheme="majorHAnsi"/>
                <w:lang w:val="ro-RO"/>
              </w:rPr>
            </w:pPr>
          </w:p>
        </w:tc>
        <w:tc>
          <w:tcPr>
            <w:tcW w:w="1318" w:type="dxa"/>
            <w:vMerge/>
            <w:tcBorders>
              <w:left w:val="single" w:sz="4" w:space="0" w:color="auto"/>
            </w:tcBorders>
            <w:shd w:val="clear" w:color="auto" w:fill="92D050"/>
            <w:vAlign w:val="center"/>
          </w:tcPr>
          <w:p w14:paraId="17152B1C" w14:textId="77777777" w:rsidR="00F20EBD" w:rsidRPr="00341E6C" w:rsidRDefault="00F20EBD" w:rsidP="001A4228">
            <w:pPr>
              <w:spacing w:line="240" w:lineRule="auto"/>
              <w:rPr>
                <w:rFonts w:asciiTheme="majorHAnsi" w:hAnsiTheme="majorHAnsi" w:cstheme="majorHAnsi"/>
                <w:lang w:val="ro-RO"/>
              </w:rPr>
            </w:pPr>
          </w:p>
        </w:tc>
        <w:tc>
          <w:tcPr>
            <w:tcW w:w="1318" w:type="dxa"/>
            <w:vMerge/>
            <w:tcBorders>
              <w:left w:val="single" w:sz="4" w:space="0" w:color="auto"/>
            </w:tcBorders>
            <w:shd w:val="clear" w:color="auto" w:fill="92D050"/>
            <w:vAlign w:val="center"/>
          </w:tcPr>
          <w:p w14:paraId="22238E17" w14:textId="77777777" w:rsidR="00F20EBD" w:rsidRPr="00341E6C" w:rsidRDefault="00F20EBD" w:rsidP="001A4228">
            <w:pPr>
              <w:spacing w:line="240" w:lineRule="auto"/>
              <w:rPr>
                <w:rFonts w:asciiTheme="majorHAnsi" w:hAnsiTheme="majorHAnsi" w:cstheme="majorHAnsi"/>
                <w:lang w:val="ro-RO"/>
              </w:rPr>
            </w:pPr>
          </w:p>
        </w:tc>
        <w:tc>
          <w:tcPr>
            <w:tcW w:w="943" w:type="dxa"/>
            <w:vMerge/>
            <w:tcBorders>
              <w:left w:val="single" w:sz="4" w:space="0" w:color="auto"/>
            </w:tcBorders>
            <w:shd w:val="clear" w:color="auto" w:fill="92D050"/>
            <w:vAlign w:val="bottom"/>
          </w:tcPr>
          <w:p w14:paraId="490ED5AE" w14:textId="77777777" w:rsidR="00F20EBD" w:rsidRPr="00341E6C" w:rsidRDefault="00F20EBD" w:rsidP="001A4228">
            <w:pPr>
              <w:spacing w:line="240" w:lineRule="auto"/>
              <w:rPr>
                <w:rFonts w:asciiTheme="majorHAnsi" w:hAnsiTheme="majorHAnsi" w:cstheme="majorHAnsi"/>
                <w:lang w:val="ro-RO"/>
              </w:rPr>
            </w:pPr>
          </w:p>
        </w:tc>
        <w:tc>
          <w:tcPr>
            <w:tcW w:w="1283" w:type="dxa"/>
            <w:tcBorders>
              <w:top w:val="single" w:sz="4" w:space="0" w:color="auto"/>
              <w:left w:val="single" w:sz="4" w:space="0" w:color="auto"/>
            </w:tcBorders>
            <w:shd w:val="clear" w:color="auto" w:fill="92D050"/>
            <w:vAlign w:val="center"/>
          </w:tcPr>
          <w:p w14:paraId="59285F6F" w14:textId="77777777" w:rsidR="00F20EBD" w:rsidRPr="00D96C12"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D96C12">
              <w:rPr>
                <w:rStyle w:val="295pt"/>
                <w:rFonts w:asciiTheme="majorHAnsi" w:eastAsiaTheme="majorEastAsia" w:hAnsiTheme="majorHAnsi" w:cstheme="majorHAnsi"/>
                <w:sz w:val="22"/>
                <w:szCs w:val="22"/>
                <w:shd w:val="clear" w:color="auto" w:fill="92D050"/>
              </w:rPr>
              <w:t>(+/-)</w:t>
            </w:r>
          </w:p>
        </w:tc>
        <w:tc>
          <w:tcPr>
            <w:tcW w:w="961" w:type="dxa"/>
            <w:tcBorders>
              <w:top w:val="single" w:sz="4" w:space="0" w:color="auto"/>
              <w:left w:val="single" w:sz="4" w:space="0" w:color="auto"/>
            </w:tcBorders>
            <w:shd w:val="clear" w:color="auto" w:fill="92D050"/>
            <w:vAlign w:val="center"/>
          </w:tcPr>
          <w:p w14:paraId="7CE1FC63" w14:textId="77777777" w:rsidR="00F20EBD" w:rsidRPr="00D96C12"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D96C12">
              <w:rPr>
                <w:rStyle w:val="295pt"/>
                <w:rFonts w:asciiTheme="majorHAnsi" w:eastAsiaTheme="majorEastAsia" w:hAnsiTheme="majorHAnsi" w:cstheme="majorHAnsi"/>
                <w:sz w:val="22"/>
                <w:szCs w:val="22"/>
                <w:shd w:val="clear" w:color="auto" w:fill="92D050"/>
              </w:rPr>
              <w:t>%</w:t>
            </w:r>
          </w:p>
        </w:tc>
        <w:tc>
          <w:tcPr>
            <w:tcW w:w="1237" w:type="dxa"/>
            <w:tcBorders>
              <w:top w:val="single" w:sz="4" w:space="0" w:color="auto"/>
              <w:left w:val="single" w:sz="4" w:space="0" w:color="auto"/>
            </w:tcBorders>
            <w:shd w:val="clear" w:color="auto" w:fill="92D050"/>
            <w:vAlign w:val="center"/>
          </w:tcPr>
          <w:p w14:paraId="049C64B8" w14:textId="77777777" w:rsidR="00F20EBD" w:rsidRPr="00341E6C" w:rsidRDefault="00F20EBD" w:rsidP="001A4228">
            <w:pPr>
              <w:pStyle w:val="20"/>
              <w:shd w:val="clear" w:color="auto" w:fill="auto"/>
              <w:spacing w:before="0" w:after="0" w:line="240" w:lineRule="auto"/>
              <w:jc w:val="center"/>
              <w:rPr>
                <w:rFonts w:asciiTheme="majorHAnsi" w:hAnsiTheme="majorHAnsi" w:cstheme="majorHAnsi"/>
                <w:sz w:val="22"/>
                <w:szCs w:val="22"/>
                <w:lang w:val="ro-RO"/>
              </w:rPr>
            </w:pPr>
            <w:r w:rsidRPr="00D96C12">
              <w:rPr>
                <w:rStyle w:val="295pt"/>
                <w:rFonts w:asciiTheme="majorHAnsi" w:eastAsiaTheme="majorEastAsia" w:hAnsiTheme="majorHAnsi" w:cstheme="majorHAnsi"/>
                <w:sz w:val="22"/>
                <w:szCs w:val="22"/>
                <w:shd w:val="clear" w:color="auto" w:fill="92D050"/>
              </w:rPr>
              <w:t>(+/-)</w:t>
            </w:r>
          </w:p>
        </w:tc>
        <w:tc>
          <w:tcPr>
            <w:tcW w:w="1307" w:type="dxa"/>
            <w:tcBorders>
              <w:top w:val="single" w:sz="4" w:space="0" w:color="auto"/>
              <w:left w:val="single" w:sz="4" w:space="0" w:color="auto"/>
              <w:right w:val="single" w:sz="4" w:space="0" w:color="auto"/>
            </w:tcBorders>
            <w:shd w:val="clear" w:color="auto" w:fill="92D050"/>
            <w:vAlign w:val="center"/>
          </w:tcPr>
          <w:p w14:paraId="7ED098F8" w14:textId="646FC0E3" w:rsidR="00F20EBD" w:rsidRPr="00341E6C" w:rsidRDefault="00D96C12" w:rsidP="00D96C12">
            <w:pPr>
              <w:pStyle w:val="20"/>
              <w:shd w:val="clear" w:color="auto" w:fill="auto"/>
              <w:spacing w:before="0" w:after="0" w:line="240" w:lineRule="auto"/>
              <w:jc w:val="center"/>
              <w:rPr>
                <w:rFonts w:asciiTheme="majorHAnsi" w:hAnsiTheme="majorHAnsi" w:cstheme="majorHAnsi"/>
                <w:sz w:val="22"/>
                <w:szCs w:val="22"/>
                <w:lang w:val="ro-RO"/>
              </w:rPr>
            </w:pPr>
            <w:r w:rsidRPr="00D96C12">
              <w:rPr>
                <w:rStyle w:val="295pt"/>
                <w:rFonts w:asciiTheme="majorHAnsi" w:eastAsiaTheme="majorEastAsia" w:hAnsiTheme="majorHAnsi" w:cstheme="majorHAnsi"/>
                <w:sz w:val="22"/>
                <w:szCs w:val="22"/>
                <w:shd w:val="clear" w:color="auto" w:fill="92D050"/>
              </w:rPr>
              <w:t>%</w:t>
            </w:r>
          </w:p>
        </w:tc>
      </w:tr>
      <w:tr w:rsidR="00F20EBD" w:rsidRPr="00341E6C" w14:paraId="68B12BE5" w14:textId="77777777" w:rsidTr="0097561C">
        <w:trPr>
          <w:trHeight w:val="22"/>
        </w:trPr>
        <w:tc>
          <w:tcPr>
            <w:tcW w:w="3524" w:type="dxa"/>
            <w:tcBorders>
              <w:top w:val="single" w:sz="4" w:space="0" w:color="auto"/>
              <w:left w:val="single" w:sz="4" w:space="0" w:color="auto"/>
            </w:tcBorders>
            <w:shd w:val="clear" w:color="auto" w:fill="FFE599" w:themeFill="accent4" w:themeFillTint="66"/>
            <w:vAlign w:val="center"/>
          </w:tcPr>
          <w:p w14:paraId="65C6CF39" w14:textId="624EA379"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A</w:t>
            </w:r>
            <w:r w:rsidR="0097561C" w:rsidRPr="0097561C">
              <w:rPr>
                <w:rStyle w:val="275pt"/>
                <w:rFonts w:asciiTheme="majorHAnsi" w:eastAsiaTheme="majorEastAsia" w:hAnsiTheme="majorHAnsi" w:cstheme="majorHAnsi"/>
                <w:sz w:val="22"/>
                <w:szCs w:val="22"/>
                <w:shd w:val="clear" w:color="auto" w:fill="FFE599" w:themeFill="accent4" w:themeFillTint="66"/>
              </w:rPr>
              <w:t>b</w:t>
            </w:r>
          </w:p>
        </w:tc>
        <w:tc>
          <w:tcPr>
            <w:tcW w:w="660" w:type="dxa"/>
            <w:tcBorders>
              <w:top w:val="single" w:sz="4" w:space="0" w:color="auto"/>
              <w:left w:val="single" w:sz="4" w:space="0" w:color="auto"/>
            </w:tcBorders>
            <w:shd w:val="clear" w:color="auto" w:fill="FFE599" w:themeFill="accent4" w:themeFillTint="66"/>
            <w:vAlign w:val="bottom"/>
          </w:tcPr>
          <w:p w14:paraId="1708AB8E" w14:textId="77777777" w:rsidR="00F20EBD" w:rsidRPr="0097561C" w:rsidRDefault="00F20EBD" w:rsidP="001A4228">
            <w:pPr>
              <w:pStyle w:val="20"/>
              <w:shd w:val="clear" w:color="auto" w:fill="auto"/>
              <w:spacing w:before="0" w:after="0" w:line="240" w:lineRule="auto"/>
              <w:ind w:left="200"/>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1</w:t>
            </w:r>
          </w:p>
        </w:tc>
        <w:tc>
          <w:tcPr>
            <w:tcW w:w="1318" w:type="dxa"/>
            <w:tcBorders>
              <w:top w:val="single" w:sz="4" w:space="0" w:color="auto"/>
              <w:left w:val="single" w:sz="4" w:space="0" w:color="auto"/>
            </w:tcBorders>
            <w:shd w:val="clear" w:color="auto" w:fill="FFE599" w:themeFill="accent4" w:themeFillTint="66"/>
            <w:vAlign w:val="bottom"/>
          </w:tcPr>
          <w:p w14:paraId="42AA2500"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2</w:t>
            </w:r>
          </w:p>
        </w:tc>
        <w:tc>
          <w:tcPr>
            <w:tcW w:w="1305" w:type="dxa"/>
            <w:tcBorders>
              <w:top w:val="single" w:sz="4" w:space="0" w:color="auto"/>
              <w:left w:val="single" w:sz="4" w:space="0" w:color="auto"/>
            </w:tcBorders>
            <w:shd w:val="clear" w:color="auto" w:fill="FFE599" w:themeFill="accent4" w:themeFillTint="66"/>
            <w:vAlign w:val="center"/>
          </w:tcPr>
          <w:p w14:paraId="145A569B"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3</w:t>
            </w:r>
          </w:p>
        </w:tc>
        <w:tc>
          <w:tcPr>
            <w:tcW w:w="1318" w:type="dxa"/>
            <w:tcBorders>
              <w:top w:val="single" w:sz="4" w:space="0" w:color="auto"/>
              <w:left w:val="single" w:sz="4" w:space="0" w:color="auto"/>
            </w:tcBorders>
            <w:shd w:val="clear" w:color="auto" w:fill="FFE599" w:themeFill="accent4" w:themeFillTint="66"/>
            <w:vAlign w:val="center"/>
          </w:tcPr>
          <w:p w14:paraId="68B93779"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4</w:t>
            </w:r>
          </w:p>
        </w:tc>
        <w:tc>
          <w:tcPr>
            <w:tcW w:w="1318" w:type="dxa"/>
            <w:tcBorders>
              <w:top w:val="single" w:sz="4" w:space="0" w:color="auto"/>
              <w:left w:val="single" w:sz="4" w:space="0" w:color="auto"/>
            </w:tcBorders>
            <w:shd w:val="clear" w:color="auto" w:fill="FFE599" w:themeFill="accent4" w:themeFillTint="66"/>
            <w:vAlign w:val="center"/>
          </w:tcPr>
          <w:p w14:paraId="2491FB85"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5</w:t>
            </w:r>
          </w:p>
        </w:tc>
        <w:tc>
          <w:tcPr>
            <w:tcW w:w="943" w:type="dxa"/>
            <w:tcBorders>
              <w:top w:val="single" w:sz="4" w:space="0" w:color="auto"/>
              <w:left w:val="single" w:sz="4" w:space="0" w:color="auto"/>
            </w:tcBorders>
            <w:shd w:val="clear" w:color="auto" w:fill="FFE599" w:themeFill="accent4" w:themeFillTint="66"/>
            <w:vAlign w:val="bottom"/>
          </w:tcPr>
          <w:p w14:paraId="0F6AD9A3"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6</w:t>
            </w:r>
          </w:p>
        </w:tc>
        <w:tc>
          <w:tcPr>
            <w:tcW w:w="1283" w:type="dxa"/>
            <w:tcBorders>
              <w:top w:val="single" w:sz="4" w:space="0" w:color="auto"/>
              <w:left w:val="single" w:sz="4" w:space="0" w:color="auto"/>
            </w:tcBorders>
            <w:shd w:val="clear" w:color="auto" w:fill="FFE599" w:themeFill="accent4" w:themeFillTint="66"/>
            <w:vAlign w:val="center"/>
          </w:tcPr>
          <w:p w14:paraId="112BFE29"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7</w:t>
            </w:r>
          </w:p>
        </w:tc>
        <w:tc>
          <w:tcPr>
            <w:tcW w:w="961" w:type="dxa"/>
            <w:tcBorders>
              <w:top w:val="single" w:sz="4" w:space="0" w:color="auto"/>
              <w:left w:val="single" w:sz="4" w:space="0" w:color="auto"/>
            </w:tcBorders>
            <w:shd w:val="clear" w:color="auto" w:fill="FFE599" w:themeFill="accent4" w:themeFillTint="66"/>
            <w:vAlign w:val="bottom"/>
          </w:tcPr>
          <w:p w14:paraId="5FC22A5B"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8</w:t>
            </w:r>
          </w:p>
        </w:tc>
        <w:tc>
          <w:tcPr>
            <w:tcW w:w="1237" w:type="dxa"/>
            <w:tcBorders>
              <w:top w:val="single" w:sz="4" w:space="0" w:color="auto"/>
              <w:left w:val="single" w:sz="4" w:space="0" w:color="auto"/>
            </w:tcBorders>
            <w:shd w:val="clear" w:color="auto" w:fill="FFE599" w:themeFill="accent4" w:themeFillTint="66"/>
            <w:vAlign w:val="center"/>
          </w:tcPr>
          <w:p w14:paraId="36DFDF7E" w14:textId="77777777" w:rsidR="00F20EBD" w:rsidRPr="0097561C"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9</w:t>
            </w:r>
          </w:p>
        </w:tc>
        <w:tc>
          <w:tcPr>
            <w:tcW w:w="1307" w:type="dxa"/>
            <w:tcBorders>
              <w:top w:val="single" w:sz="4" w:space="0" w:color="auto"/>
              <w:left w:val="single" w:sz="4" w:space="0" w:color="auto"/>
              <w:right w:val="single" w:sz="4" w:space="0" w:color="auto"/>
            </w:tcBorders>
            <w:shd w:val="clear" w:color="auto" w:fill="FFE599" w:themeFill="accent4" w:themeFillTint="66"/>
            <w:vAlign w:val="bottom"/>
          </w:tcPr>
          <w:p w14:paraId="458DB6F8" w14:textId="77777777" w:rsidR="00F20EBD" w:rsidRPr="0097561C" w:rsidRDefault="00F20EBD" w:rsidP="001A4228">
            <w:pPr>
              <w:pStyle w:val="20"/>
              <w:shd w:val="clear" w:color="auto" w:fill="auto"/>
              <w:spacing w:before="0" w:after="0" w:line="240" w:lineRule="auto"/>
              <w:ind w:left="240"/>
              <w:rPr>
                <w:rStyle w:val="275pt"/>
                <w:rFonts w:asciiTheme="majorHAnsi" w:eastAsiaTheme="majorEastAsia" w:hAnsiTheme="majorHAnsi" w:cstheme="majorHAnsi"/>
                <w:sz w:val="22"/>
                <w:szCs w:val="22"/>
                <w:shd w:val="clear" w:color="auto" w:fill="FFE599" w:themeFill="accent4" w:themeFillTint="66"/>
              </w:rPr>
            </w:pPr>
            <w:r w:rsidRPr="0097561C">
              <w:rPr>
                <w:rStyle w:val="275pt"/>
                <w:rFonts w:asciiTheme="majorHAnsi" w:eastAsiaTheme="majorEastAsia" w:hAnsiTheme="majorHAnsi" w:cstheme="majorHAnsi"/>
                <w:sz w:val="22"/>
                <w:szCs w:val="22"/>
                <w:shd w:val="clear" w:color="auto" w:fill="FFE599" w:themeFill="accent4" w:themeFillTint="66"/>
              </w:rPr>
              <w:t>10</w:t>
            </w:r>
          </w:p>
        </w:tc>
      </w:tr>
      <w:tr w:rsidR="00F20EBD" w:rsidRPr="00341E6C" w14:paraId="6C56A15D" w14:textId="77777777" w:rsidTr="00C429AC">
        <w:trPr>
          <w:trHeight w:val="22"/>
        </w:trPr>
        <w:tc>
          <w:tcPr>
            <w:tcW w:w="3524" w:type="dxa"/>
            <w:tcBorders>
              <w:top w:val="single" w:sz="4" w:space="0" w:color="auto"/>
              <w:left w:val="single" w:sz="4" w:space="0" w:color="auto"/>
            </w:tcBorders>
            <w:shd w:val="clear" w:color="auto" w:fill="FFFFFF"/>
            <w:vAlign w:val="bottom"/>
          </w:tcPr>
          <w:p w14:paraId="15DBA7FD" w14:textId="4C9ECE36"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Cheltuieli,</w:t>
            </w:r>
            <w:r w:rsidRPr="00341E6C">
              <w:rPr>
                <w:rFonts w:asciiTheme="majorHAnsi" w:hAnsiTheme="majorHAnsi" w:cstheme="majorHAnsi"/>
                <w:sz w:val="22"/>
                <w:szCs w:val="22"/>
                <w:lang w:val="ro-RO"/>
              </w:rPr>
              <w:t xml:space="preserve"> </w:t>
            </w:r>
            <w:r w:rsidRPr="00341E6C">
              <w:rPr>
                <w:rStyle w:val="295pt"/>
                <w:rFonts w:asciiTheme="majorHAnsi" w:eastAsiaTheme="majorEastAsia" w:hAnsiTheme="majorHAnsi" w:cstheme="majorHAnsi"/>
                <w:sz w:val="22"/>
                <w:szCs w:val="22"/>
              </w:rPr>
              <w:t>total</w:t>
            </w:r>
          </w:p>
        </w:tc>
        <w:tc>
          <w:tcPr>
            <w:tcW w:w="660" w:type="dxa"/>
            <w:tcBorders>
              <w:top w:val="single" w:sz="4" w:space="0" w:color="auto"/>
              <w:left w:val="single" w:sz="4" w:space="0" w:color="auto"/>
            </w:tcBorders>
            <w:shd w:val="clear" w:color="auto" w:fill="FFFFFF"/>
            <w:vAlign w:val="center"/>
          </w:tcPr>
          <w:p w14:paraId="26C84863" w14:textId="77777777" w:rsidR="00F20EBD" w:rsidRPr="00341E6C" w:rsidRDefault="00F20EBD" w:rsidP="001A4228">
            <w:pPr>
              <w:pStyle w:val="20"/>
              <w:shd w:val="clear" w:color="auto" w:fill="auto"/>
              <w:spacing w:before="0" w:after="0" w:line="240" w:lineRule="auto"/>
              <w:rPr>
                <w:rFonts w:asciiTheme="majorHAnsi" w:hAnsiTheme="majorHAnsi" w:cstheme="majorHAnsi"/>
                <w:b/>
                <w:i/>
                <w:sz w:val="22"/>
                <w:szCs w:val="22"/>
                <w:lang w:val="ro-RO"/>
              </w:rPr>
            </w:pPr>
            <w:r w:rsidRPr="00341E6C">
              <w:rPr>
                <w:rStyle w:val="275pt"/>
                <w:rFonts w:asciiTheme="majorHAnsi" w:eastAsiaTheme="majorEastAsia" w:hAnsiTheme="majorHAnsi" w:cstheme="majorHAnsi"/>
                <w:sz w:val="22"/>
                <w:szCs w:val="22"/>
              </w:rPr>
              <w:t>2+3</w:t>
            </w:r>
          </w:p>
        </w:tc>
        <w:tc>
          <w:tcPr>
            <w:tcW w:w="1318" w:type="dxa"/>
            <w:tcBorders>
              <w:top w:val="single" w:sz="4" w:space="0" w:color="auto"/>
              <w:left w:val="single" w:sz="4" w:space="0" w:color="auto"/>
            </w:tcBorders>
            <w:shd w:val="clear" w:color="auto" w:fill="FFFFFF"/>
            <w:vAlign w:val="center"/>
          </w:tcPr>
          <w:p w14:paraId="6C8DCFA2"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23.491,0</w:t>
            </w:r>
          </w:p>
        </w:tc>
        <w:tc>
          <w:tcPr>
            <w:tcW w:w="1305" w:type="dxa"/>
            <w:tcBorders>
              <w:top w:val="single" w:sz="4" w:space="0" w:color="auto"/>
              <w:left w:val="single" w:sz="4" w:space="0" w:color="auto"/>
            </w:tcBorders>
            <w:shd w:val="clear" w:color="auto" w:fill="FFFFFF"/>
            <w:vAlign w:val="center"/>
          </w:tcPr>
          <w:p w14:paraId="1763799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24.572,1</w:t>
            </w:r>
          </w:p>
        </w:tc>
        <w:tc>
          <w:tcPr>
            <w:tcW w:w="1318" w:type="dxa"/>
            <w:tcBorders>
              <w:top w:val="single" w:sz="4" w:space="0" w:color="auto"/>
              <w:left w:val="single" w:sz="4" w:space="0" w:color="auto"/>
            </w:tcBorders>
            <w:shd w:val="clear" w:color="auto" w:fill="FFFFFF"/>
            <w:vAlign w:val="center"/>
          </w:tcPr>
          <w:p w14:paraId="5E3CFD9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24.244,4</w:t>
            </w:r>
          </w:p>
        </w:tc>
        <w:tc>
          <w:tcPr>
            <w:tcW w:w="1318" w:type="dxa"/>
            <w:tcBorders>
              <w:top w:val="single" w:sz="4" w:space="0" w:color="auto"/>
              <w:left w:val="single" w:sz="4" w:space="0" w:color="auto"/>
            </w:tcBorders>
            <w:shd w:val="clear" w:color="auto" w:fill="FFFFFF"/>
            <w:vAlign w:val="center"/>
          </w:tcPr>
          <w:p w14:paraId="64DA1C64"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24.300,6</w:t>
            </w:r>
          </w:p>
        </w:tc>
        <w:tc>
          <w:tcPr>
            <w:tcW w:w="943" w:type="dxa"/>
            <w:tcBorders>
              <w:top w:val="single" w:sz="4" w:space="0" w:color="auto"/>
              <w:left w:val="single" w:sz="4" w:space="0" w:color="auto"/>
            </w:tcBorders>
            <w:shd w:val="clear" w:color="auto" w:fill="FFFFFF"/>
            <w:vAlign w:val="center"/>
          </w:tcPr>
          <w:p w14:paraId="1E80168D"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100</w:t>
            </w:r>
          </w:p>
        </w:tc>
        <w:tc>
          <w:tcPr>
            <w:tcW w:w="1283" w:type="dxa"/>
            <w:tcBorders>
              <w:top w:val="single" w:sz="4" w:space="0" w:color="auto"/>
              <w:left w:val="single" w:sz="4" w:space="0" w:color="auto"/>
            </w:tcBorders>
            <w:shd w:val="clear" w:color="auto" w:fill="FFFFFF"/>
            <w:vAlign w:val="center"/>
          </w:tcPr>
          <w:p w14:paraId="32EDDA1E" w14:textId="77777777" w:rsidR="00F20EBD" w:rsidRPr="00341E6C" w:rsidRDefault="00F20EBD" w:rsidP="001A4228">
            <w:pPr>
              <w:pStyle w:val="20"/>
              <w:shd w:val="clear" w:color="auto" w:fill="auto"/>
              <w:spacing w:before="0" w:after="0" w:line="240" w:lineRule="auto"/>
              <w:ind w:left="18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-327,7</w:t>
            </w:r>
          </w:p>
        </w:tc>
        <w:tc>
          <w:tcPr>
            <w:tcW w:w="961" w:type="dxa"/>
            <w:tcBorders>
              <w:top w:val="single" w:sz="4" w:space="0" w:color="auto"/>
              <w:left w:val="single" w:sz="4" w:space="0" w:color="auto"/>
            </w:tcBorders>
            <w:shd w:val="clear" w:color="auto" w:fill="FFFFFF"/>
            <w:vAlign w:val="center"/>
          </w:tcPr>
          <w:p w14:paraId="69D581E5"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98,7</w:t>
            </w:r>
          </w:p>
        </w:tc>
        <w:tc>
          <w:tcPr>
            <w:tcW w:w="1237" w:type="dxa"/>
            <w:tcBorders>
              <w:top w:val="single" w:sz="4" w:space="0" w:color="auto"/>
              <w:left w:val="single" w:sz="4" w:space="0" w:color="auto"/>
            </w:tcBorders>
            <w:shd w:val="clear" w:color="auto" w:fill="FFFFFF"/>
            <w:vAlign w:val="center"/>
          </w:tcPr>
          <w:p w14:paraId="3EE51598"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-272,5</w:t>
            </w:r>
          </w:p>
        </w:tc>
        <w:tc>
          <w:tcPr>
            <w:tcW w:w="1307" w:type="dxa"/>
            <w:tcBorders>
              <w:top w:val="single" w:sz="4" w:space="0" w:color="auto"/>
              <w:left w:val="single" w:sz="4" w:space="0" w:color="auto"/>
              <w:right w:val="single" w:sz="4" w:space="0" w:color="auto"/>
            </w:tcBorders>
            <w:shd w:val="clear" w:color="auto" w:fill="FFFFFF"/>
            <w:vAlign w:val="center"/>
          </w:tcPr>
          <w:p w14:paraId="757A352B"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98,9</w:t>
            </w:r>
          </w:p>
        </w:tc>
      </w:tr>
      <w:tr w:rsidR="00F20EBD" w:rsidRPr="00341E6C" w14:paraId="69017DA0" w14:textId="77777777" w:rsidTr="00C429AC">
        <w:trPr>
          <w:trHeight w:val="22"/>
        </w:trPr>
        <w:tc>
          <w:tcPr>
            <w:tcW w:w="3524" w:type="dxa"/>
            <w:tcBorders>
              <w:top w:val="single" w:sz="4" w:space="0" w:color="auto"/>
              <w:left w:val="single" w:sz="4" w:space="0" w:color="auto"/>
            </w:tcBorders>
            <w:shd w:val="clear" w:color="auto" w:fill="FFFFFF"/>
            <w:vAlign w:val="center"/>
          </w:tcPr>
          <w:p w14:paraId="5279589B" w14:textId="77777777"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75pt"/>
                <w:rFonts w:asciiTheme="majorHAnsi" w:eastAsiaTheme="majorEastAsia" w:hAnsiTheme="majorHAnsi" w:cstheme="majorHAnsi"/>
                <w:sz w:val="22"/>
                <w:szCs w:val="22"/>
              </w:rPr>
              <w:t>Cheltuieli</w:t>
            </w:r>
          </w:p>
        </w:tc>
        <w:tc>
          <w:tcPr>
            <w:tcW w:w="660" w:type="dxa"/>
            <w:tcBorders>
              <w:top w:val="single" w:sz="4" w:space="0" w:color="auto"/>
              <w:left w:val="single" w:sz="4" w:space="0" w:color="auto"/>
            </w:tcBorders>
            <w:shd w:val="clear" w:color="auto" w:fill="FFFFFF"/>
            <w:vAlign w:val="center"/>
          </w:tcPr>
          <w:p w14:paraId="14491AD6"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sz w:val="22"/>
                <w:szCs w:val="22"/>
                <w:lang w:val="ro-RO"/>
              </w:rPr>
            </w:pPr>
            <w:r w:rsidRPr="00341E6C">
              <w:rPr>
                <w:rStyle w:val="275pt"/>
                <w:rFonts w:asciiTheme="majorHAnsi" w:eastAsiaTheme="majorEastAsia" w:hAnsiTheme="majorHAnsi" w:cstheme="majorHAnsi"/>
                <w:sz w:val="22"/>
                <w:szCs w:val="22"/>
              </w:rPr>
              <w:t>2</w:t>
            </w:r>
          </w:p>
        </w:tc>
        <w:tc>
          <w:tcPr>
            <w:tcW w:w="1318" w:type="dxa"/>
            <w:tcBorders>
              <w:top w:val="single" w:sz="4" w:space="0" w:color="auto"/>
              <w:left w:val="single" w:sz="4" w:space="0" w:color="auto"/>
            </w:tcBorders>
            <w:shd w:val="clear" w:color="auto" w:fill="FFFFFF"/>
            <w:vAlign w:val="center"/>
          </w:tcPr>
          <w:p w14:paraId="53974621"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23.473.8</w:t>
            </w:r>
          </w:p>
        </w:tc>
        <w:tc>
          <w:tcPr>
            <w:tcW w:w="1305" w:type="dxa"/>
            <w:tcBorders>
              <w:top w:val="single" w:sz="4" w:space="0" w:color="auto"/>
              <w:left w:val="single" w:sz="4" w:space="0" w:color="auto"/>
            </w:tcBorders>
            <w:shd w:val="clear" w:color="auto" w:fill="FFFFFF"/>
            <w:vAlign w:val="center"/>
          </w:tcPr>
          <w:p w14:paraId="6D6A3747"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24.549,8</w:t>
            </w:r>
          </w:p>
        </w:tc>
        <w:tc>
          <w:tcPr>
            <w:tcW w:w="1318" w:type="dxa"/>
            <w:tcBorders>
              <w:top w:val="single" w:sz="4" w:space="0" w:color="auto"/>
              <w:left w:val="single" w:sz="4" w:space="0" w:color="auto"/>
            </w:tcBorders>
            <w:shd w:val="clear" w:color="auto" w:fill="FFFFFF"/>
            <w:vAlign w:val="center"/>
          </w:tcPr>
          <w:p w14:paraId="1ED79016"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24.230,7</w:t>
            </w:r>
          </w:p>
        </w:tc>
        <w:tc>
          <w:tcPr>
            <w:tcW w:w="1318" w:type="dxa"/>
            <w:tcBorders>
              <w:top w:val="single" w:sz="4" w:space="0" w:color="auto"/>
              <w:left w:val="single" w:sz="4" w:space="0" w:color="auto"/>
            </w:tcBorders>
            <w:shd w:val="clear" w:color="auto" w:fill="FFFFFF"/>
            <w:vAlign w:val="center"/>
          </w:tcPr>
          <w:p w14:paraId="4EBF680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24.287,5</w:t>
            </w:r>
          </w:p>
        </w:tc>
        <w:tc>
          <w:tcPr>
            <w:tcW w:w="943" w:type="dxa"/>
            <w:tcBorders>
              <w:top w:val="single" w:sz="4" w:space="0" w:color="auto"/>
              <w:left w:val="single" w:sz="4" w:space="0" w:color="auto"/>
            </w:tcBorders>
            <w:shd w:val="clear" w:color="auto" w:fill="FFFFFF"/>
            <w:vAlign w:val="center"/>
          </w:tcPr>
          <w:p w14:paraId="200755D9"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99,95</w:t>
            </w:r>
          </w:p>
        </w:tc>
        <w:tc>
          <w:tcPr>
            <w:tcW w:w="1283" w:type="dxa"/>
            <w:tcBorders>
              <w:top w:val="single" w:sz="4" w:space="0" w:color="auto"/>
              <w:left w:val="single" w:sz="4" w:space="0" w:color="auto"/>
            </w:tcBorders>
            <w:shd w:val="clear" w:color="auto" w:fill="FFFFFF"/>
            <w:vAlign w:val="center"/>
          </w:tcPr>
          <w:p w14:paraId="5475363B" w14:textId="77777777" w:rsidR="00F20EBD" w:rsidRPr="00341E6C" w:rsidRDefault="00F20EBD" w:rsidP="001A4228">
            <w:pPr>
              <w:pStyle w:val="20"/>
              <w:shd w:val="clear" w:color="auto" w:fill="auto"/>
              <w:spacing w:before="0" w:after="0" w:line="240" w:lineRule="auto"/>
              <w:ind w:left="18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-319.1</w:t>
            </w:r>
          </w:p>
        </w:tc>
        <w:tc>
          <w:tcPr>
            <w:tcW w:w="961" w:type="dxa"/>
            <w:tcBorders>
              <w:top w:val="single" w:sz="4" w:space="0" w:color="auto"/>
              <w:left w:val="single" w:sz="4" w:space="0" w:color="auto"/>
            </w:tcBorders>
            <w:shd w:val="clear" w:color="auto" w:fill="FFFFFF"/>
            <w:vAlign w:val="center"/>
          </w:tcPr>
          <w:p w14:paraId="2FAE4B74"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98.7</w:t>
            </w:r>
          </w:p>
        </w:tc>
        <w:tc>
          <w:tcPr>
            <w:tcW w:w="1237" w:type="dxa"/>
            <w:tcBorders>
              <w:top w:val="single" w:sz="4" w:space="0" w:color="auto"/>
              <w:left w:val="single" w:sz="4" w:space="0" w:color="auto"/>
            </w:tcBorders>
            <w:shd w:val="clear" w:color="auto" w:fill="FFFFFF"/>
            <w:vAlign w:val="center"/>
          </w:tcPr>
          <w:p w14:paraId="4C9168B2"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-262.3</w:t>
            </w:r>
          </w:p>
        </w:tc>
        <w:tc>
          <w:tcPr>
            <w:tcW w:w="1307" w:type="dxa"/>
            <w:tcBorders>
              <w:top w:val="single" w:sz="4" w:space="0" w:color="auto"/>
              <w:left w:val="single" w:sz="4" w:space="0" w:color="auto"/>
              <w:right w:val="single" w:sz="4" w:space="0" w:color="auto"/>
            </w:tcBorders>
            <w:shd w:val="clear" w:color="auto" w:fill="FFFFFF"/>
            <w:vAlign w:val="center"/>
          </w:tcPr>
          <w:p w14:paraId="016A606A"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98,9</w:t>
            </w:r>
          </w:p>
        </w:tc>
      </w:tr>
      <w:tr w:rsidR="00F20EBD" w:rsidRPr="00341E6C" w14:paraId="6823FA9F" w14:textId="77777777" w:rsidTr="00C429AC">
        <w:trPr>
          <w:trHeight w:val="22"/>
        </w:trPr>
        <w:tc>
          <w:tcPr>
            <w:tcW w:w="3524" w:type="dxa"/>
            <w:tcBorders>
              <w:top w:val="single" w:sz="4" w:space="0" w:color="auto"/>
              <w:left w:val="single" w:sz="4" w:space="0" w:color="auto"/>
            </w:tcBorders>
            <w:shd w:val="clear" w:color="auto" w:fill="FFFFFF"/>
            <w:vAlign w:val="bottom"/>
          </w:tcPr>
          <w:p w14:paraId="793D4907" w14:textId="77777777"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Cheltuieli de personal</w:t>
            </w:r>
          </w:p>
        </w:tc>
        <w:tc>
          <w:tcPr>
            <w:tcW w:w="660" w:type="dxa"/>
            <w:tcBorders>
              <w:top w:val="single" w:sz="4" w:space="0" w:color="auto"/>
              <w:left w:val="single" w:sz="4" w:space="0" w:color="auto"/>
            </w:tcBorders>
            <w:shd w:val="clear" w:color="auto" w:fill="FFFFFF"/>
            <w:vAlign w:val="center"/>
          </w:tcPr>
          <w:p w14:paraId="3F27780C"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21</w:t>
            </w:r>
          </w:p>
        </w:tc>
        <w:tc>
          <w:tcPr>
            <w:tcW w:w="1318" w:type="dxa"/>
            <w:tcBorders>
              <w:top w:val="single" w:sz="4" w:space="0" w:color="auto"/>
              <w:left w:val="single" w:sz="4" w:space="0" w:color="auto"/>
            </w:tcBorders>
            <w:shd w:val="clear" w:color="auto" w:fill="FFFFFF"/>
            <w:vAlign w:val="center"/>
          </w:tcPr>
          <w:p w14:paraId="68352A6A"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158,6</w:t>
            </w:r>
          </w:p>
        </w:tc>
        <w:tc>
          <w:tcPr>
            <w:tcW w:w="1305" w:type="dxa"/>
            <w:tcBorders>
              <w:top w:val="single" w:sz="4" w:space="0" w:color="auto"/>
              <w:left w:val="single" w:sz="4" w:space="0" w:color="auto"/>
            </w:tcBorders>
            <w:shd w:val="clear" w:color="auto" w:fill="FFFFFF"/>
            <w:vAlign w:val="center"/>
          </w:tcPr>
          <w:p w14:paraId="5AA91E57"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158,6</w:t>
            </w:r>
          </w:p>
        </w:tc>
        <w:tc>
          <w:tcPr>
            <w:tcW w:w="1318" w:type="dxa"/>
            <w:tcBorders>
              <w:top w:val="single" w:sz="4" w:space="0" w:color="auto"/>
              <w:left w:val="single" w:sz="4" w:space="0" w:color="auto"/>
            </w:tcBorders>
            <w:shd w:val="clear" w:color="auto" w:fill="FFFFFF"/>
            <w:vAlign w:val="center"/>
          </w:tcPr>
          <w:p w14:paraId="24FDD6C9"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158,0</w:t>
            </w:r>
          </w:p>
        </w:tc>
        <w:tc>
          <w:tcPr>
            <w:tcW w:w="1318" w:type="dxa"/>
            <w:tcBorders>
              <w:top w:val="single" w:sz="4" w:space="0" w:color="auto"/>
              <w:left w:val="single" w:sz="4" w:space="0" w:color="auto"/>
            </w:tcBorders>
            <w:shd w:val="clear" w:color="auto" w:fill="FFFFFF"/>
            <w:vAlign w:val="center"/>
          </w:tcPr>
          <w:p w14:paraId="39259511"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158,6</w:t>
            </w:r>
          </w:p>
        </w:tc>
        <w:tc>
          <w:tcPr>
            <w:tcW w:w="943" w:type="dxa"/>
            <w:tcBorders>
              <w:top w:val="single" w:sz="4" w:space="0" w:color="auto"/>
              <w:left w:val="single" w:sz="4" w:space="0" w:color="auto"/>
            </w:tcBorders>
            <w:shd w:val="clear" w:color="auto" w:fill="FFFFFF"/>
            <w:vAlign w:val="center"/>
          </w:tcPr>
          <w:p w14:paraId="71D481E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0,65</w:t>
            </w:r>
          </w:p>
        </w:tc>
        <w:tc>
          <w:tcPr>
            <w:tcW w:w="1283" w:type="dxa"/>
            <w:tcBorders>
              <w:top w:val="single" w:sz="4" w:space="0" w:color="auto"/>
              <w:left w:val="single" w:sz="4" w:space="0" w:color="auto"/>
            </w:tcBorders>
            <w:shd w:val="clear" w:color="auto" w:fill="FFFFFF"/>
            <w:vAlign w:val="center"/>
          </w:tcPr>
          <w:p w14:paraId="0088FEEC"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-0,6</w:t>
            </w:r>
          </w:p>
        </w:tc>
        <w:tc>
          <w:tcPr>
            <w:tcW w:w="961" w:type="dxa"/>
            <w:tcBorders>
              <w:top w:val="single" w:sz="4" w:space="0" w:color="auto"/>
              <w:left w:val="single" w:sz="4" w:space="0" w:color="auto"/>
            </w:tcBorders>
            <w:shd w:val="clear" w:color="auto" w:fill="FFFFFF"/>
            <w:vAlign w:val="center"/>
          </w:tcPr>
          <w:p w14:paraId="22A8629A"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99,6</w:t>
            </w:r>
          </w:p>
        </w:tc>
        <w:tc>
          <w:tcPr>
            <w:tcW w:w="1237" w:type="dxa"/>
            <w:tcBorders>
              <w:top w:val="single" w:sz="4" w:space="0" w:color="auto"/>
              <w:left w:val="single" w:sz="4" w:space="0" w:color="auto"/>
            </w:tcBorders>
            <w:shd w:val="clear" w:color="auto" w:fill="FFFFFF"/>
            <w:vAlign w:val="center"/>
          </w:tcPr>
          <w:p w14:paraId="30DB70A2"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0,0</w:t>
            </w:r>
          </w:p>
        </w:tc>
        <w:tc>
          <w:tcPr>
            <w:tcW w:w="1307" w:type="dxa"/>
            <w:tcBorders>
              <w:top w:val="single" w:sz="4" w:space="0" w:color="auto"/>
              <w:left w:val="single" w:sz="4" w:space="0" w:color="auto"/>
              <w:right w:val="single" w:sz="4" w:space="0" w:color="auto"/>
            </w:tcBorders>
            <w:shd w:val="clear" w:color="auto" w:fill="FFFFFF"/>
            <w:vAlign w:val="center"/>
          </w:tcPr>
          <w:p w14:paraId="6D7CCF27"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100</w:t>
            </w:r>
          </w:p>
        </w:tc>
      </w:tr>
      <w:tr w:rsidR="00F20EBD" w:rsidRPr="00341E6C" w14:paraId="621D3623" w14:textId="77777777" w:rsidTr="00C429AC">
        <w:trPr>
          <w:trHeight w:val="22"/>
        </w:trPr>
        <w:tc>
          <w:tcPr>
            <w:tcW w:w="3524" w:type="dxa"/>
            <w:tcBorders>
              <w:top w:val="single" w:sz="4" w:space="0" w:color="auto"/>
              <w:left w:val="single" w:sz="4" w:space="0" w:color="auto"/>
            </w:tcBorders>
            <w:shd w:val="clear" w:color="auto" w:fill="FFFFFF"/>
          </w:tcPr>
          <w:p w14:paraId="47529A20" w14:textId="77777777"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Bunuri şi servicii</w:t>
            </w:r>
          </w:p>
        </w:tc>
        <w:tc>
          <w:tcPr>
            <w:tcW w:w="660" w:type="dxa"/>
            <w:tcBorders>
              <w:top w:val="single" w:sz="4" w:space="0" w:color="auto"/>
              <w:left w:val="single" w:sz="4" w:space="0" w:color="auto"/>
            </w:tcBorders>
            <w:shd w:val="clear" w:color="auto" w:fill="FFFFFF"/>
            <w:vAlign w:val="center"/>
          </w:tcPr>
          <w:p w14:paraId="46EF9AD6"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22</w:t>
            </w:r>
          </w:p>
        </w:tc>
        <w:tc>
          <w:tcPr>
            <w:tcW w:w="1318" w:type="dxa"/>
            <w:tcBorders>
              <w:top w:val="single" w:sz="4" w:space="0" w:color="auto"/>
              <w:left w:val="single" w:sz="4" w:space="0" w:color="auto"/>
            </w:tcBorders>
            <w:shd w:val="clear" w:color="auto" w:fill="FFFFFF"/>
            <w:vAlign w:val="center"/>
          </w:tcPr>
          <w:p w14:paraId="7113DC14"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253,9</w:t>
            </w:r>
          </w:p>
        </w:tc>
        <w:tc>
          <w:tcPr>
            <w:tcW w:w="1305" w:type="dxa"/>
            <w:tcBorders>
              <w:top w:val="single" w:sz="4" w:space="0" w:color="auto"/>
              <w:left w:val="single" w:sz="4" w:space="0" w:color="auto"/>
            </w:tcBorders>
            <w:shd w:val="clear" w:color="auto" w:fill="FFFFFF"/>
            <w:vAlign w:val="center"/>
          </w:tcPr>
          <w:p w14:paraId="21EEF164"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271,2</w:t>
            </w:r>
          </w:p>
        </w:tc>
        <w:tc>
          <w:tcPr>
            <w:tcW w:w="1318" w:type="dxa"/>
            <w:tcBorders>
              <w:top w:val="single" w:sz="4" w:space="0" w:color="auto"/>
              <w:left w:val="single" w:sz="4" w:space="0" w:color="auto"/>
            </w:tcBorders>
            <w:shd w:val="clear" w:color="auto" w:fill="FFFFFF"/>
            <w:vAlign w:val="center"/>
          </w:tcPr>
          <w:p w14:paraId="66AF4232"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230,3</w:t>
            </w:r>
          </w:p>
        </w:tc>
        <w:tc>
          <w:tcPr>
            <w:tcW w:w="1318" w:type="dxa"/>
            <w:tcBorders>
              <w:top w:val="single" w:sz="4" w:space="0" w:color="auto"/>
              <w:left w:val="single" w:sz="4" w:space="0" w:color="auto"/>
            </w:tcBorders>
            <w:shd w:val="clear" w:color="auto" w:fill="FFFFFF"/>
            <w:vAlign w:val="center"/>
          </w:tcPr>
          <w:p w14:paraId="6C8B7332"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228,04</w:t>
            </w:r>
          </w:p>
        </w:tc>
        <w:tc>
          <w:tcPr>
            <w:tcW w:w="943" w:type="dxa"/>
            <w:tcBorders>
              <w:top w:val="single" w:sz="4" w:space="0" w:color="auto"/>
              <w:left w:val="single" w:sz="4" w:space="0" w:color="auto"/>
            </w:tcBorders>
            <w:shd w:val="clear" w:color="auto" w:fill="FFFFFF"/>
            <w:vAlign w:val="center"/>
          </w:tcPr>
          <w:p w14:paraId="3CCF28BF"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0,94</w:t>
            </w:r>
          </w:p>
        </w:tc>
        <w:tc>
          <w:tcPr>
            <w:tcW w:w="1283" w:type="dxa"/>
            <w:tcBorders>
              <w:top w:val="single" w:sz="4" w:space="0" w:color="auto"/>
              <w:left w:val="single" w:sz="4" w:space="0" w:color="auto"/>
            </w:tcBorders>
            <w:shd w:val="clear" w:color="auto" w:fill="FFFFFF"/>
            <w:vAlign w:val="center"/>
          </w:tcPr>
          <w:p w14:paraId="725AEA4C" w14:textId="77777777" w:rsidR="00F20EBD" w:rsidRPr="00341E6C" w:rsidRDefault="00F20EBD" w:rsidP="001A4228">
            <w:pPr>
              <w:pStyle w:val="20"/>
              <w:shd w:val="clear" w:color="auto" w:fill="auto"/>
              <w:spacing w:before="0" w:after="0" w:line="240" w:lineRule="auto"/>
              <w:ind w:left="18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-40,9</w:t>
            </w:r>
          </w:p>
        </w:tc>
        <w:tc>
          <w:tcPr>
            <w:tcW w:w="961" w:type="dxa"/>
            <w:tcBorders>
              <w:top w:val="single" w:sz="4" w:space="0" w:color="auto"/>
              <w:left w:val="single" w:sz="4" w:space="0" w:color="auto"/>
            </w:tcBorders>
            <w:shd w:val="clear" w:color="auto" w:fill="FFFFFF"/>
            <w:vAlign w:val="center"/>
          </w:tcPr>
          <w:p w14:paraId="24DB4751"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84,9</w:t>
            </w:r>
          </w:p>
        </w:tc>
        <w:tc>
          <w:tcPr>
            <w:tcW w:w="1237" w:type="dxa"/>
            <w:tcBorders>
              <w:top w:val="single" w:sz="4" w:space="0" w:color="auto"/>
              <w:left w:val="single" w:sz="4" w:space="0" w:color="auto"/>
            </w:tcBorders>
            <w:shd w:val="clear" w:color="auto" w:fill="FFFFFF"/>
            <w:vAlign w:val="center"/>
          </w:tcPr>
          <w:p w14:paraId="0B4BC2E0"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-43,16</w:t>
            </w:r>
          </w:p>
        </w:tc>
        <w:tc>
          <w:tcPr>
            <w:tcW w:w="1307" w:type="dxa"/>
            <w:tcBorders>
              <w:top w:val="single" w:sz="4" w:space="0" w:color="auto"/>
              <w:left w:val="single" w:sz="4" w:space="0" w:color="auto"/>
              <w:right w:val="single" w:sz="4" w:space="0" w:color="auto"/>
            </w:tcBorders>
            <w:shd w:val="clear" w:color="auto" w:fill="FFFFFF"/>
            <w:vAlign w:val="center"/>
          </w:tcPr>
          <w:p w14:paraId="747FB3AF"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84,08</w:t>
            </w:r>
          </w:p>
        </w:tc>
      </w:tr>
      <w:tr w:rsidR="00F20EBD" w:rsidRPr="00341E6C" w14:paraId="05F92C42" w14:textId="77777777" w:rsidTr="00C429AC">
        <w:trPr>
          <w:trHeight w:val="22"/>
        </w:trPr>
        <w:tc>
          <w:tcPr>
            <w:tcW w:w="3524" w:type="dxa"/>
            <w:tcBorders>
              <w:top w:val="single" w:sz="4" w:space="0" w:color="auto"/>
              <w:left w:val="single" w:sz="4" w:space="0" w:color="auto"/>
            </w:tcBorders>
            <w:shd w:val="clear" w:color="auto" w:fill="FFFFFF"/>
          </w:tcPr>
          <w:p w14:paraId="040C7785" w14:textId="7DD4DF78"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Prestaţii</w:t>
            </w:r>
            <w:r w:rsidRPr="00341E6C">
              <w:rPr>
                <w:rFonts w:asciiTheme="majorHAnsi" w:hAnsiTheme="majorHAnsi" w:cstheme="majorHAnsi"/>
                <w:sz w:val="22"/>
                <w:szCs w:val="22"/>
                <w:lang w:val="ro-RO"/>
              </w:rPr>
              <w:t xml:space="preserve"> </w:t>
            </w:r>
            <w:r w:rsidRPr="00341E6C">
              <w:rPr>
                <w:rStyle w:val="295pt"/>
                <w:rFonts w:asciiTheme="majorHAnsi" w:eastAsiaTheme="majorEastAsia" w:hAnsiTheme="majorHAnsi" w:cstheme="majorHAnsi"/>
                <w:sz w:val="22"/>
                <w:szCs w:val="22"/>
              </w:rPr>
              <w:t>sociale</w:t>
            </w:r>
          </w:p>
        </w:tc>
        <w:tc>
          <w:tcPr>
            <w:tcW w:w="660" w:type="dxa"/>
            <w:tcBorders>
              <w:top w:val="single" w:sz="4" w:space="0" w:color="auto"/>
              <w:left w:val="single" w:sz="4" w:space="0" w:color="auto"/>
            </w:tcBorders>
            <w:shd w:val="clear" w:color="auto" w:fill="FFFFFF"/>
            <w:vAlign w:val="center"/>
          </w:tcPr>
          <w:p w14:paraId="6D51E495"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27</w:t>
            </w:r>
          </w:p>
        </w:tc>
        <w:tc>
          <w:tcPr>
            <w:tcW w:w="1318" w:type="dxa"/>
            <w:tcBorders>
              <w:top w:val="single" w:sz="4" w:space="0" w:color="auto"/>
              <w:left w:val="single" w:sz="4" w:space="0" w:color="auto"/>
            </w:tcBorders>
            <w:shd w:val="clear" w:color="auto" w:fill="FFFFFF"/>
            <w:vAlign w:val="center"/>
          </w:tcPr>
          <w:p w14:paraId="79BB1BF7"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23.056,8</w:t>
            </w:r>
          </w:p>
        </w:tc>
        <w:tc>
          <w:tcPr>
            <w:tcW w:w="1305" w:type="dxa"/>
            <w:tcBorders>
              <w:top w:val="single" w:sz="4" w:space="0" w:color="auto"/>
              <w:left w:val="single" w:sz="4" w:space="0" w:color="auto"/>
            </w:tcBorders>
            <w:shd w:val="clear" w:color="auto" w:fill="FFFFFF"/>
            <w:vAlign w:val="center"/>
          </w:tcPr>
          <w:p w14:paraId="1A2CCC0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24.115,05</w:t>
            </w:r>
          </w:p>
        </w:tc>
        <w:tc>
          <w:tcPr>
            <w:tcW w:w="1318" w:type="dxa"/>
            <w:tcBorders>
              <w:top w:val="single" w:sz="4" w:space="0" w:color="auto"/>
              <w:left w:val="single" w:sz="4" w:space="0" w:color="auto"/>
            </w:tcBorders>
            <w:shd w:val="clear" w:color="auto" w:fill="FFFFFF"/>
            <w:vAlign w:val="center"/>
          </w:tcPr>
          <w:p w14:paraId="439C7878"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23.837,8</w:t>
            </w:r>
          </w:p>
        </w:tc>
        <w:tc>
          <w:tcPr>
            <w:tcW w:w="1318" w:type="dxa"/>
            <w:tcBorders>
              <w:top w:val="single" w:sz="4" w:space="0" w:color="auto"/>
              <w:left w:val="single" w:sz="4" w:space="0" w:color="auto"/>
            </w:tcBorders>
            <w:shd w:val="clear" w:color="auto" w:fill="FFFFFF"/>
            <w:vAlign w:val="center"/>
          </w:tcPr>
          <w:p w14:paraId="64C66F74"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23.896,5</w:t>
            </w:r>
          </w:p>
        </w:tc>
        <w:tc>
          <w:tcPr>
            <w:tcW w:w="943" w:type="dxa"/>
            <w:tcBorders>
              <w:top w:val="single" w:sz="4" w:space="0" w:color="auto"/>
              <w:left w:val="single" w:sz="4" w:space="0" w:color="auto"/>
            </w:tcBorders>
            <w:shd w:val="clear" w:color="auto" w:fill="FFFFFF"/>
            <w:vAlign w:val="center"/>
          </w:tcPr>
          <w:p w14:paraId="2BAEA981"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98,34</w:t>
            </w:r>
          </w:p>
        </w:tc>
        <w:tc>
          <w:tcPr>
            <w:tcW w:w="1283" w:type="dxa"/>
            <w:tcBorders>
              <w:top w:val="single" w:sz="4" w:space="0" w:color="auto"/>
              <w:left w:val="single" w:sz="4" w:space="0" w:color="auto"/>
            </w:tcBorders>
            <w:shd w:val="clear" w:color="auto" w:fill="FFFFFF"/>
            <w:vAlign w:val="center"/>
          </w:tcPr>
          <w:p w14:paraId="66A99712" w14:textId="77777777" w:rsidR="00F20EBD" w:rsidRPr="00341E6C" w:rsidRDefault="00F20EBD" w:rsidP="001A4228">
            <w:pPr>
              <w:pStyle w:val="20"/>
              <w:shd w:val="clear" w:color="auto" w:fill="auto"/>
              <w:spacing w:before="0" w:after="0" w:line="240" w:lineRule="auto"/>
              <w:ind w:left="18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-277,25</w:t>
            </w:r>
          </w:p>
        </w:tc>
        <w:tc>
          <w:tcPr>
            <w:tcW w:w="961" w:type="dxa"/>
            <w:tcBorders>
              <w:top w:val="single" w:sz="4" w:space="0" w:color="auto"/>
              <w:left w:val="single" w:sz="4" w:space="0" w:color="auto"/>
            </w:tcBorders>
            <w:shd w:val="clear" w:color="auto" w:fill="FFFFFF"/>
            <w:vAlign w:val="center"/>
          </w:tcPr>
          <w:p w14:paraId="13158C3F"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98,8</w:t>
            </w:r>
          </w:p>
        </w:tc>
        <w:tc>
          <w:tcPr>
            <w:tcW w:w="1237" w:type="dxa"/>
            <w:tcBorders>
              <w:top w:val="single" w:sz="4" w:space="0" w:color="auto"/>
              <w:left w:val="single" w:sz="4" w:space="0" w:color="auto"/>
            </w:tcBorders>
            <w:shd w:val="clear" w:color="auto" w:fill="FFFFFF"/>
            <w:vAlign w:val="center"/>
          </w:tcPr>
          <w:p w14:paraId="3CB20648"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-218,55</w:t>
            </w:r>
          </w:p>
        </w:tc>
        <w:tc>
          <w:tcPr>
            <w:tcW w:w="1307" w:type="dxa"/>
            <w:tcBorders>
              <w:top w:val="single" w:sz="4" w:space="0" w:color="auto"/>
              <w:left w:val="single" w:sz="4" w:space="0" w:color="auto"/>
              <w:right w:val="single" w:sz="4" w:space="0" w:color="auto"/>
            </w:tcBorders>
            <w:shd w:val="clear" w:color="auto" w:fill="FFFFFF"/>
            <w:vAlign w:val="center"/>
          </w:tcPr>
          <w:p w14:paraId="14A7D73E"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99,09</w:t>
            </w:r>
          </w:p>
        </w:tc>
      </w:tr>
      <w:tr w:rsidR="00F20EBD" w:rsidRPr="00341E6C" w14:paraId="36D040F2" w14:textId="77777777" w:rsidTr="00C429AC">
        <w:trPr>
          <w:trHeight w:val="22"/>
        </w:trPr>
        <w:tc>
          <w:tcPr>
            <w:tcW w:w="3524" w:type="dxa"/>
            <w:tcBorders>
              <w:top w:val="single" w:sz="4" w:space="0" w:color="auto"/>
              <w:left w:val="single" w:sz="4" w:space="0" w:color="auto"/>
            </w:tcBorders>
            <w:shd w:val="clear" w:color="auto" w:fill="FFFFFF"/>
            <w:vAlign w:val="center"/>
          </w:tcPr>
          <w:p w14:paraId="498E7BC6" w14:textId="6F98FB93"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Alte</w:t>
            </w:r>
            <w:r w:rsidRPr="00341E6C">
              <w:rPr>
                <w:rFonts w:asciiTheme="majorHAnsi" w:hAnsiTheme="majorHAnsi" w:cstheme="majorHAnsi"/>
                <w:sz w:val="22"/>
                <w:szCs w:val="22"/>
                <w:lang w:val="ro-RO"/>
              </w:rPr>
              <w:t xml:space="preserve"> </w:t>
            </w:r>
            <w:r w:rsidRPr="00341E6C">
              <w:rPr>
                <w:rStyle w:val="295pt"/>
                <w:rFonts w:asciiTheme="majorHAnsi" w:eastAsiaTheme="majorEastAsia" w:hAnsiTheme="majorHAnsi" w:cstheme="majorHAnsi"/>
                <w:sz w:val="22"/>
                <w:szCs w:val="22"/>
              </w:rPr>
              <w:t>cheltuieli</w:t>
            </w:r>
          </w:p>
        </w:tc>
        <w:tc>
          <w:tcPr>
            <w:tcW w:w="660" w:type="dxa"/>
            <w:tcBorders>
              <w:top w:val="single" w:sz="4" w:space="0" w:color="auto"/>
              <w:left w:val="single" w:sz="4" w:space="0" w:color="auto"/>
            </w:tcBorders>
            <w:shd w:val="clear" w:color="auto" w:fill="FFFFFF"/>
            <w:vAlign w:val="center"/>
          </w:tcPr>
          <w:p w14:paraId="7A2F3CB5"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28</w:t>
            </w:r>
          </w:p>
        </w:tc>
        <w:tc>
          <w:tcPr>
            <w:tcW w:w="1318" w:type="dxa"/>
            <w:tcBorders>
              <w:top w:val="single" w:sz="4" w:space="0" w:color="auto"/>
              <w:left w:val="single" w:sz="4" w:space="0" w:color="auto"/>
            </w:tcBorders>
            <w:shd w:val="clear" w:color="auto" w:fill="FFFFFF"/>
            <w:vAlign w:val="center"/>
          </w:tcPr>
          <w:p w14:paraId="0138ED89"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4,6</w:t>
            </w:r>
          </w:p>
        </w:tc>
        <w:tc>
          <w:tcPr>
            <w:tcW w:w="1305" w:type="dxa"/>
            <w:tcBorders>
              <w:top w:val="single" w:sz="4" w:space="0" w:color="auto"/>
              <w:left w:val="single" w:sz="4" w:space="0" w:color="auto"/>
            </w:tcBorders>
            <w:shd w:val="clear" w:color="auto" w:fill="FFFFFF"/>
            <w:vAlign w:val="center"/>
          </w:tcPr>
          <w:p w14:paraId="7FFD44F5"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4,9</w:t>
            </w:r>
          </w:p>
        </w:tc>
        <w:tc>
          <w:tcPr>
            <w:tcW w:w="1318" w:type="dxa"/>
            <w:tcBorders>
              <w:top w:val="single" w:sz="4" w:space="0" w:color="auto"/>
              <w:left w:val="single" w:sz="4" w:space="0" w:color="auto"/>
            </w:tcBorders>
            <w:shd w:val="clear" w:color="auto" w:fill="FFFFFF"/>
            <w:vAlign w:val="center"/>
          </w:tcPr>
          <w:p w14:paraId="324B60F2"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4,6</w:t>
            </w:r>
          </w:p>
        </w:tc>
        <w:tc>
          <w:tcPr>
            <w:tcW w:w="1318" w:type="dxa"/>
            <w:tcBorders>
              <w:top w:val="single" w:sz="4" w:space="0" w:color="auto"/>
              <w:left w:val="single" w:sz="4" w:space="0" w:color="auto"/>
            </w:tcBorders>
            <w:shd w:val="clear" w:color="auto" w:fill="FFFFFF"/>
            <w:vAlign w:val="center"/>
          </w:tcPr>
          <w:p w14:paraId="10D2DF30"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4,4</w:t>
            </w:r>
          </w:p>
        </w:tc>
        <w:tc>
          <w:tcPr>
            <w:tcW w:w="943" w:type="dxa"/>
            <w:tcBorders>
              <w:top w:val="single" w:sz="4" w:space="0" w:color="auto"/>
              <w:left w:val="single" w:sz="4" w:space="0" w:color="auto"/>
            </w:tcBorders>
            <w:shd w:val="clear" w:color="auto" w:fill="FFFFFF"/>
            <w:vAlign w:val="center"/>
          </w:tcPr>
          <w:p w14:paraId="04C8DB8E"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0,02</w:t>
            </w:r>
          </w:p>
        </w:tc>
        <w:tc>
          <w:tcPr>
            <w:tcW w:w="1283" w:type="dxa"/>
            <w:tcBorders>
              <w:top w:val="single" w:sz="4" w:space="0" w:color="auto"/>
              <w:left w:val="single" w:sz="4" w:space="0" w:color="auto"/>
            </w:tcBorders>
            <w:shd w:val="clear" w:color="auto" w:fill="FFFFFF"/>
            <w:vAlign w:val="center"/>
          </w:tcPr>
          <w:p w14:paraId="289B8305"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-0,3</w:t>
            </w:r>
          </w:p>
        </w:tc>
        <w:tc>
          <w:tcPr>
            <w:tcW w:w="961" w:type="dxa"/>
            <w:tcBorders>
              <w:top w:val="single" w:sz="4" w:space="0" w:color="auto"/>
              <w:left w:val="single" w:sz="4" w:space="0" w:color="auto"/>
            </w:tcBorders>
            <w:shd w:val="clear" w:color="auto" w:fill="FFFFFF"/>
            <w:vAlign w:val="center"/>
          </w:tcPr>
          <w:p w14:paraId="70FE25A3"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93,8</w:t>
            </w:r>
          </w:p>
        </w:tc>
        <w:tc>
          <w:tcPr>
            <w:tcW w:w="1237" w:type="dxa"/>
            <w:tcBorders>
              <w:top w:val="single" w:sz="4" w:space="0" w:color="auto"/>
              <w:left w:val="single" w:sz="4" w:space="0" w:color="auto"/>
            </w:tcBorders>
            <w:shd w:val="clear" w:color="auto" w:fill="FFFFFF"/>
            <w:vAlign w:val="center"/>
          </w:tcPr>
          <w:p w14:paraId="60F6E1B6"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-0,5</w:t>
            </w:r>
          </w:p>
        </w:tc>
        <w:tc>
          <w:tcPr>
            <w:tcW w:w="1307" w:type="dxa"/>
            <w:tcBorders>
              <w:top w:val="single" w:sz="4" w:space="0" w:color="auto"/>
              <w:left w:val="single" w:sz="4" w:space="0" w:color="auto"/>
              <w:right w:val="single" w:sz="4" w:space="0" w:color="auto"/>
            </w:tcBorders>
            <w:shd w:val="clear" w:color="auto" w:fill="FFFFFF"/>
            <w:vAlign w:val="center"/>
          </w:tcPr>
          <w:p w14:paraId="7A3DFAED"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89,8</w:t>
            </w:r>
          </w:p>
        </w:tc>
      </w:tr>
      <w:tr w:rsidR="00F20EBD" w:rsidRPr="00341E6C" w14:paraId="5119FD67" w14:textId="77777777" w:rsidTr="00C429AC">
        <w:trPr>
          <w:trHeight w:val="22"/>
        </w:trPr>
        <w:tc>
          <w:tcPr>
            <w:tcW w:w="3524" w:type="dxa"/>
            <w:tcBorders>
              <w:top w:val="single" w:sz="4" w:space="0" w:color="auto"/>
              <w:left w:val="single" w:sz="4" w:space="0" w:color="auto"/>
            </w:tcBorders>
            <w:shd w:val="clear" w:color="auto" w:fill="FFFFFF"/>
            <w:vAlign w:val="bottom"/>
          </w:tcPr>
          <w:p w14:paraId="4F34053C" w14:textId="54E4E4B4"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75pt"/>
                <w:rFonts w:asciiTheme="majorHAnsi" w:eastAsiaTheme="majorEastAsia" w:hAnsiTheme="majorHAnsi" w:cstheme="majorHAnsi"/>
                <w:sz w:val="22"/>
                <w:szCs w:val="22"/>
              </w:rPr>
              <w:t>Active</w:t>
            </w:r>
            <w:r w:rsidRPr="00341E6C">
              <w:rPr>
                <w:rFonts w:asciiTheme="majorHAnsi" w:hAnsiTheme="majorHAnsi" w:cstheme="majorHAnsi"/>
                <w:sz w:val="22"/>
                <w:szCs w:val="22"/>
                <w:lang w:val="ro-RO"/>
              </w:rPr>
              <w:t xml:space="preserve"> </w:t>
            </w:r>
            <w:r w:rsidRPr="00341E6C">
              <w:rPr>
                <w:rStyle w:val="275pt"/>
                <w:rFonts w:asciiTheme="majorHAnsi" w:eastAsiaTheme="majorEastAsia" w:hAnsiTheme="majorHAnsi" w:cstheme="majorHAnsi"/>
                <w:sz w:val="22"/>
                <w:szCs w:val="22"/>
              </w:rPr>
              <w:t>nefinanciare</w:t>
            </w:r>
          </w:p>
        </w:tc>
        <w:tc>
          <w:tcPr>
            <w:tcW w:w="660" w:type="dxa"/>
            <w:tcBorders>
              <w:top w:val="single" w:sz="4" w:space="0" w:color="auto"/>
              <w:left w:val="single" w:sz="4" w:space="0" w:color="auto"/>
            </w:tcBorders>
            <w:shd w:val="clear" w:color="auto" w:fill="FFFFFF"/>
            <w:vAlign w:val="center"/>
          </w:tcPr>
          <w:p w14:paraId="19B99D40"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sz w:val="22"/>
                <w:szCs w:val="22"/>
                <w:lang w:val="ro-RO"/>
              </w:rPr>
            </w:pPr>
            <w:r w:rsidRPr="00341E6C">
              <w:rPr>
                <w:rStyle w:val="275pt"/>
                <w:rFonts w:asciiTheme="majorHAnsi" w:eastAsiaTheme="majorEastAsia" w:hAnsiTheme="majorHAnsi" w:cstheme="majorHAnsi"/>
                <w:sz w:val="22"/>
                <w:szCs w:val="22"/>
              </w:rPr>
              <w:t>3</w:t>
            </w:r>
          </w:p>
        </w:tc>
        <w:tc>
          <w:tcPr>
            <w:tcW w:w="1318" w:type="dxa"/>
            <w:tcBorders>
              <w:top w:val="single" w:sz="4" w:space="0" w:color="auto"/>
              <w:left w:val="single" w:sz="4" w:space="0" w:color="auto"/>
            </w:tcBorders>
            <w:shd w:val="clear" w:color="auto" w:fill="FFFFFF"/>
            <w:vAlign w:val="center"/>
          </w:tcPr>
          <w:p w14:paraId="00D25A8C"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17,1</w:t>
            </w:r>
          </w:p>
        </w:tc>
        <w:tc>
          <w:tcPr>
            <w:tcW w:w="1305" w:type="dxa"/>
            <w:tcBorders>
              <w:top w:val="single" w:sz="4" w:space="0" w:color="auto"/>
              <w:left w:val="single" w:sz="4" w:space="0" w:color="auto"/>
            </w:tcBorders>
            <w:shd w:val="clear" w:color="auto" w:fill="FFFFFF"/>
            <w:vAlign w:val="center"/>
          </w:tcPr>
          <w:p w14:paraId="20E86C7A" w14:textId="77777777" w:rsidR="00F20EBD" w:rsidRPr="00341E6C" w:rsidRDefault="00F20EBD" w:rsidP="001A4228">
            <w:pPr>
              <w:pStyle w:val="20"/>
              <w:shd w:val="clear" w:color="auto" w:fill="auto"/>
              <w:spacing w:before="0" w:after="0" w:line="240" w:lineRule="auto"/>
              <w:ind w:left="22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22,2</w:t>
            </w:r>
          </w:p>
        </w:tc>
        <w:tc>
          <w:tcPr>
            <w:tcW w:w="1318" w:type="dxa"/>
            <w:tcBorders>
              <w:top w:val="single" w:sz="4" w:space="0" w:color="auto"/>
              <w:left w:val="single" w:sz="4" w:space="0" w:color="auto"/>
            </w:tcBorders>
            <w:shd w:val="clear" w:color="auto" w:fill="FFFFFF"/>
            <w:vAlign w:val="center"/>
          </w:tcPr>
          <w:p w14:paraId="0F963FF8"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13,6</w:t>
            </w:r>
          </w:p>
        </w:tc>
        <w:tc>
          <w:tcPr>
            <w:tcW w:w="1318" w:type="dxa"/>
            <w:tcBorders>
              <w:top w:val="single" w:sz="4" w:space="0" w:color="auto"/>
              <w:left w:val="single" w:sz="4" w:space="0" w:color="auto"/>
            </w:tcBorders>
            <w:shd w:val="clear" w:color="auto" w:fill="FFFFFF"/>
            <w:vAlign w:val="center"/>
          </w:tcPr>
          <w:p w14:paraId="1220BC30"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13,03</w:t>
            </w:r>
          </w:p>
        </w:tc>
        <w:tc>
          <w:tcPr>
            <w:tcW w:w="943" w:type="dxa"/>
            <w:tcBorders>
              <w:top w:val="single" w:sz="4" w:space="0" w:color="auto"/>
              <w:left w:val="single" w:sz="4" w:space="0" w:color="auto"/>
            </w:tcBorders>
            <w:shd w:val="clear" w:color="auto" w:fill="FFFFFF"/>
            <w:vAlign w:val="center"/>
          </w:tcPr>
          <w:p w14:paraId="0CE04A48"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0,05</w:t>
            </w:r>
          </w:p>
        </w:tc>
        <w:tc>
          <w:tcPr>
            <w:tcW w:w="1283" w:type="dxa"/>
            <w:tcBorders>
              <w:top w:val="single" w:sz="4" w:space="0" w:color="auto"/>
              <w:left w:val="single" w:sz="4" w:space="0" w:color="auto"/>
            </w:tcBorders>
            <w:shd w:val="clear" w:color="auto" w:fill="FFFFFF"/>
            <w:vAlign w:val="center"/>
          </w:tcPr>
          <w:p w14:paraId="138E56E8"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-8,6</w:t>
            </w:r>
          </w:p>
        </w:tc>
        <w:tc>
          <w:tcPr>
            <w:tcW w:w="961" w:type="dxa"/>
            <w:tcBorders>
              <w:top w:val="single" w:sz="4" w:space="0" w:color="auto"/>
              <w:left w:val="single" w:sz="4" w:space="0" w:color="auto"/>
            </w:tcBorders>
            <w:shd w:val="clear" w:color="auto" w:fill="FFFFFF"/>
            <w:vAlign w:val="center"/>
          </w:tcPr>
          <w:p w14:paraId="56A8BA97"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61,2</w:t>
            </w:r>
          </w:p>
        </w:tc>
        <w:tc>
          <w:tcPr>
            <w:tcW w:w="1237" w:type="dxa"/>
            <w:tcBorders>
              <w:top w:val="single" w:sz="4" w:space="0" w:color="auto"/>
              <w:left w:val="single" w:sz="4" w:space="0" w:color="auto"/>
            </w:tcBorders>
            <w:shd w:val="clear" w:color="auto" w:fill="FFFFFF"/>
            <w:vAlign w:val="center"/>
          </w:tcPr>
          <w:p w14:paraId="220B0CCF"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-9,17</w:t>
            </w:r>
          </w:p>
        </w:tc>
        <w:tc>
          <w:tcPr>
            <w:tcW w:w="1307" w:type="dxa"/>
            <w:tcBorders>
              <w:top w:val="single" w:sz="4" w:space="0" w:color="auto"/>
              <w:left w:val="single" w:sz="4" w:space="0" w:color="auto"/>
              <w:right w:val="single" w:sz="4" w:space="0" w:color="auto"/>
            </w:tcBorders>
            <w:shd w:val="clear" w:color="auto" w:fill="FFFFFF"/>
            <w:vAlign w:val="center"/>
          </w:tcPr>
          <w:p w14:paraId="1CF72A2F"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sz w:val="22"/>
                <w:szCs w:val="22"/>
                <w:lang w:val="ro-RO"/>
              </w:rPr>
            </w:pPr>
            <w:r w:rsidRPr="00341E6C">
              <w:rPr>
                <w:rFonts w:asciiTheme="majorHAnsi" w:hAnsiTheme="majorHAnsi" w:cstheme="majorHAnsi"/>
                <w:sz w:val="22"/>
                <w:szCs w:val="22"/>
                <w:lang w:val="ro-RO"/>
              </w:rPr>
              <w:t>58,7</w:t>
            </w:r>
          </w:p>
        </w:tc>
      </w:tr>
      <w:tr w:rsidR="00F20EBD" w:rsidRPr="00341E6C" w14:paraId="37213191" w14:textId="77777777" w:rsidTr="00C429AC">
        <w:trPr>
          <w:trHeight w:val="22"/>
        </w:trPr>
        <w:tc>
          <w:tcPr>
            <w:tcW w:w="3524" w:type="dxa"/>
            <w:tcBorders>
              <w:top w:val="single" w:sz="4" w:space="0" w:color="auto"/>
              <w:left w:val="single" w:sz="4" w:space="0" w:color="auto"/>
            </w:tcBorders>
            <w:shd w:val="clear" w:color="auto" w:fill="FFFFFF"/>
          </w:tcPr>
          <w:p w14:paraId="484CB52C" w14:textId="5E371329"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Mijloace</w:t>
            </w:r>
            <w:r w:rsidRPr="00341E6C">
              <w:rPr>
                <w:rFonts w:asciiTheme="majorHAnsi" w:hAnsiTheme="majorHAnsi" w:cstheme="majorHAnsi"/>
                <w:sz w:val="22"/>
                <w:szCs w:val="22"/>
                <w:lang w:val="ro-RO"/>
              </w:rPr>
              <w:t xml:space="preserve"> </w:t>
            </w:r>
            <w:r w:rsidRPr="00341E6C">
              <w:rPr>
                <w:rStyle w:val="295pt"/>
                <w:rFonts w:asciiTheme="majorHAnsi" w:eastAsiaTheme="majorEastAsia" w:hAnsiTheme="majorHAnsi" w:cstheme="majorHAnsi"/>
                <w:sz w:val="22"/>
                <w:szCs w:val="22"/>
              </w:rPr>
              <w:t>fixe</w:t>
            </w:r>
          </w:p>
        </w:tc>
        <w:tc>
          <w:tcPr>
            <w:tcW w:w="660" w:type="dxa"/>
            <w:tcBorders>
              <w:top w:val="single" w:sz="4" w:space="0" w:color="auto"/>
              <w:left w:val="single" w:sz="4" w:space="0" w:color="auto"/>
            </w:tcBorders>
            <w:shd w:val="clear" w:color="auto" w:fill="FFFFFF"/>
            <w:vAlign w:val="center"/>
          </w:tcPr>
          <w:p w14:paraId="41CF3DEA"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31</w:t>
            </w:r>
          </w:p>
        </w:tc>
        <w:tc>
          <w:tcPr>
            <w:tcW w:w="1318" w:type="dxa"/>
            <w:tcBorders>
              <w:top w:val="single" w:sz="4" w:space="0" w:color="auto"/>
              <w:left w:val="single" w:sz="4" w:space="0" w:color="auto"/>
            </w:tcBorders>
            <w:shd w:val="clear" w:color="auto" w:fill="FFFFFF"/>
            <w:vAlign w:val="center"/>
          </w:tcPr>
          <w:p w14:paraId="4687072F"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13,4</w:t>
            </w:r>
          </w:p>
        </w:tc>
        <w:tc>
          <w:tcPr>
            <w:tcW w:w="1305" w:type="dxa"/>
            <w:tcBorders>
              <w:top w:val="single" w:sz="4" w:space="0" w:color="auto"/>
              <w:left w:val="single" w:sz="4" w:space="0" w:color="auto"/>
            </w:tcBorders>
            <w:shd w:val="clear" w:color="auto" w:fill="FFFFFF"/>
            <w:vAlign w:val="center"/>
          </w:tcPr>
          <w:p w14:paraId="452B735C"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16,1</w:t>
            </w:r>
          </w:p>
        </w:tc>
        <w:tc>
          <w:tcPr>
            <w:tcW w:w="1318" w:type="dxa"/>
            <w:tcBorders>
              <w:top w:val="single" w:sz="4" w:space="0" w:color="auto"/>
              <w:left w:val="single" w:sz="4" w:space="0" w:color="auto"/>
            </w:tcBorders>
            <w:shd w:val="clear" w:color="auto" w:fill="FFFFFF"/>
            <w:vAlign w:val="center"/>
          </w:tcPr>
          <w:p w14:paraId="2EF56FB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9,3</w:t>
            </w:r>
          </w:p>
        </w:tc>
        <w:tc>
          <w:tcPr>
            <w:tcW w:w="1318" w:type="dxa"/>
            <w:tcBorders>
              <w:top w:val="single" w:sz="4" w:space="0" w:color="auto"/>
              <w:left w:val="single" w:sz="4" w:space="0" w:color="auto"/>
            </w:tcBorders>
            <w:shd w:val="clear" w:color="auto" w:fill="FFFFFF"/>
            <w:vAlign w:val="center"/>
          </w:tcPr>
          <w:p w14:paraId="18CC3493"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9,3</w:t>
            </w:r>
          </w:p>
        </w:tc>
        <w:tc>
          <w:tcPr>
            <w:tcW w:w="943" w:type="dxa"/>
            <w:tcBorders>
              <w:top w:val="single" w:sz="4" w:space="0" w:color="auto"/>
              <w:left w:val="single" w:sz="4" w:space="0" w:color="auto"/>
            </w:tcBorders>
            <w:shd w:val="clear" w:color="auto" w:fill="FFFFFF"/>
            <w:vAlign w:val="center"/>
          </w:tcPr>
          <w:p w14:paraId="6D09A47F"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71,4</w:t>
            </w:r>
          </w:p>
        </w:tc>
        <w:tc>
          <w:tcPr>
            <w:tcW w:w="1283" w:type="dxa"/>
            <w:tcBorders>
              <w:top w:val="single" w:sz="4" w:space="0" w:color="auto"/>
              <w:left w:val="single" w:sz="4" w:space="0" w:color="auto"/>
            </w:tcBorders>
            <w:shd w:val="clear" w:color="auto" w:fill="FFFFFF"/>
            <w:vAlign w:val="center"/>
          </w:tcPr>
          <w:p w14:paraId="25F885B6"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-6,8</w:t>
            </w:r>
          </w:p>
        </w:tc>
        <w:tc>
          <w:tcPr>
            <w:tcW w:w="961" w:type="dxa"/>
            <w:tcBorders>
              <w:top w:val="single" w:sz="4" w:space="0" w:color="auto"/>
              <w:left w:val="single" w:sz="4" w:space="0" w:color="auto"/>
            </w:tcBorders>
            <w:shd w:val="clear" w:color="auto" w:fill="FFFFFF"/>
            <w:vAlign w:val="center"/>
          </w:tcPr>
          <w:p w14:paraId="4A2E6E69"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57,8</w:t>
            </w:r>
          </w:p>
        </w:tc>
        <w:tc>
          <w:tcPr>
            <w:tcW w:w="1237" w:type="dxa"/>
            <w:tcBorders>
              <w:top w:val="single" w:sz="4" w:space="0" w:color="auto"/>
              <w:left w:val="single" w:sz="4" w:space="0" w:color="auto"/>
            </w:tcBorders>
            <w:shd w:val="clear" w:color="auto" w:fill="FFFFFF"/>
            <w:vAlign w:val="center"/>
          </w:tcPr>
          <w:p w14:paraId="724E7D12"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-6,8</w:t>
            </w:r>
          </w:p>
        </w:tc>
        <w:tc>
          <w:tcPr>
            <w:tcW w:w="1307" w:type="dxa"/>
            <w:tcBorders>
              <w:top w:val="single" w:sz="4" w:space="0" w:color="auto"/>
              <w:left w:val="single" w:sz="4" w:space="0" w:color="auto"/>
              <w:right w:val="single" w:sz="4" w:space="0" w:color="auto"/>
            </w:tcBorders>
            <w:shd w:val="clear" w:color="auto" w:fill="FFFFFF"/>
            <w:vAlign w:val="center"/>
          </w:tcPr>
          <w:p w14:paraId="48210DF4"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57,8</w:t>
            </w:r>
          </w:p>
        </w:tc>
      </w:tr>
      <w:tr w:rsidR="00F20EBD" w:rsidRPr="00341E6C" w14:paraId="7BD9D2AD" w14:textId="77777777" w:rsidTr="00C429AC">
        <w:trPr>
          <w:trHeight w:val="22"/>
        </w:trPr>
        <w:tc>
          <w:tcPr>
            <w:tcW w:w="3524" w:type="dxa"/>
            <w:tcBorders>
              <w:top w:val="single" w:sz="4" w:space="0" w:color="auto"/>
              <w:left w:val="single" w:sz="4" w:space="0" w:color="auto"/>
            </w:tcBorders>
            <w:shd w:val="clear" w:color="auto" w:fill="FFFFFF"/>
          </w:tcPr>
          <w:p w14:paraId="3BF6EB20" w14:textId="0972305F"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Stocuri de</w:t>
            </w:r>
            <w:r w:rsidRPr="00341E6C">
              <w:rPr>
                <w:rFonts w:asciiTheme="majorHAnsi" w:hAnsiTheme="majorHAnsi" w:cstheme="majorHAnsi"/>
                <w:sz w:val="22"/>
                <w:szCs w:val="22"/>
                <w:lang w:val="ro-RO"/>
              </w:rPr>
              <w:t xml:space="preserve"> </w:t>
            </w:r>
            <w:r w:rsidRPr="00341E6C">
              <w:rPr>
                <w:rStyle w:val="295pt"/>
                <w:rFonts w:asciiTheme="majorHAnsi" w:eastAsiaTheme="majorEastAsia" w:hAnsiTheme="majorHAnsi" w:cstheme="majorHAnsi"/>
                <w:sz w:val="22"/>
                <w:szCs w:val="22"/>
              </w:rPr>
              <w:t>materiale</w:t>
            </w:r>
            <w:r w:rsidRPr="00341E6C">
              <w:rPr>
                <w:rFonts w:asciiTheme="majorHAnsi" w:hAnsiTheme="majorHAnsi" w:cstheme="majorHAnsi"/>
                <w:sz w:val="22"/>
                <w:szCs w:val="22"/>
                <w:lang w:val="ro-RO"/>
              </w:rPr>
              <w:t xml:space="preserve"> </w:t>
            </w:r>
            <w:r w:rsidRPr="00341E6C">
              <w:rPr>
                <w:rStyle w:val="295pt"/>
                <w:rFonts w:asciiTheme="majorHAnsi" w:eastAsiaTheme="majorEastAsia" w:hAnsiTheme="majorHAnsi" w:cstheme="majorHAnsi"/>
                <w:sz w:val="22"/>
                <w:szCs w:val="22"/>
              </w:rPr>
              <w:t>circulante</w:t>
            </w:r>
          </w:p>
        </w:tc>
        <w:tc>
          <w:tcPr>
            <w:tcW w:w="660" w:type="dxa"/>
            <w:tcBorders>
              <w:top w:val="single" w:sz="4" w:space="0" w:color="auto"/>
              <w:left w:val="single" w:sz="4" w:space="0" w:color="auto"/>
            </w:tcBorders>
            <w:shd w:val="clear" w:color="auto" w:fill="FFFFFF"/>
            <w:vAlign w:val="center"/>
          </w:tcPr>
          <w:p w14:paraId="0AA6EC7E"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33</w:t>
            </w:r>
          </w:p>
        </w:tc>
        <w:tc>
          <w:tcPr>
            <w:tcW w:w="1318" w:type="dxa"/>
            <w:tcBorders>
              <w:top w:val="single" w:sz="4" w:space="0" w:color="auto"/>
              <w:left w:val="single" w:sz="4" w:space="0" w:color="auto"/>
            </w:tcBorders>
            <w:shd w:val="clear" w:color="auto" w:fill="FFFFFF"/>
            <w:vAlign w:val="center"/>
          </w:tcPr>
          <w:p w14:paraId="40CB4449"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2,9</w:t>
            </w:r>
          </w:p>
        </w:tc>
        <w:tc>
          <w:tcPr>
            <w:tcW w:w="1305" w:type="dxa"/>
            <w:tcBorders>
              <w:top w:val="single" w:sz="4" w:space="0" w:color="auto"/>
              <w:left w:val="single" w:sz="4" w:space="0" w:color="auto"/>
            </w:tcBorders>
            <w:shd w:val="clear" w:color="auto" w:fill="FFFFFF"/>
            <w:vAlign w:val="center"/>
          </w:tcPr>
          <w:p w14:paraId="51078C4B"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5,0</w:t>
            </w:r>
          </w:p>
        </w:tc>
        <w:tc>
          <w:tcPr>
            <w:tcW w:w="1318" w:type="dxa"/>
            <w:tcBorders>
              <w:top w:val="single" w:sz="4" w:space="0" w:color="auto"/>
              <w:left w:val="single" w:sz="4" w:space="0" w:color="auto"/>
            </w:tcBorders>
            <w:shd w:val="clear" w:color="auto" w:fill="FFFFFF"/>
            <w:vAlign w:val="center"/>
          </w:tcPr>
          <w:p w14:paraId="299E090A"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3,4</w:t>
            </w:r>
          </w:p>
        </w:tc>
        <w:tc>
          <w:tcPr>
            <w:tcW w:w="1318" w:type="dxa"/>
            <w:tcBorders>
              <w:top w:val="single" w:sz="4" w:space="0" w:color="auto"/>
              <w:left w:val="single" w:sz="4" w:space="0" w:color="auto"/>
            </w:tcBorders>
            <w:shd w:val="clear" w:color="auto" w:fill="FFFFFF"/>
            <w:vAlign w:val="center"/>
          </w:tcPr>
          <w:p w14:paraId="2ECD9EC6"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2,8</w:t>
            </w:r>
          </w:p>
        </w:tc>
        <w:tc>
          <w:tcPr>
            <w:tcW w:w="943" w:type="dxa"/>
            <w:tcBorders>
              <w:top w:val="single" w:sz="4" w:space="0" w:color="auto"/>
              <w:left w:val="single" w:sz="4" w:space="0" w:color="auto"/>
            </w:tcBorders>
            <w:shd w:val="clear" w:color="auto" w:fill="FFFFFF"/>
            <w:vAlign w:val="center"/>
          </w:tcPr>
          <w:p w14:paraId="2150D91D"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21,5</w:t>
            </w:r>
          </w:p>
        </w:tc>
        <w:tc>
          <w:tcPr>
            <w:tcW w:w="1283" w:type="dxa"/>
            <w:tcBorders>
              <w:top w:val="single" w:sz="4" w:space="0" w:color="auto"/>
              <w:left w:val="single" w:sz="4" w:space="0" w:color="auto"/>
            </w:tcBorders>
            <w:shd w:val="clear" w:color="auto" w:fill="FFFFFF"/>
            <w:vAlign w:val="center"/>
          </w:tcPr>
          <w:p w14:paraId="35A5F671"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-1,6</w:t>
            </w:r>
          </w:p>
        </w:tc>
        <w:tc>
          <w:tcPr>
            <w:tcW w:w="961" w:type="dxa"/>
            <w:tcBorders>
              <w:top w:val="single" w:sz="4" w:space="0" w:color="auto"/>
              <w:left w:val="single" w:sz="4" w:space="0" w:color="auto"/>
            </w:tcBorders>
            <w:shd w:val="clear" w:color="auto" w:fill="FFFFFF"/>
            <w:vAlign w:val="center"/>
          </w:tcPr>
          <w:p w14:paraId="3AEC1CC6"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68,0</w:t>
            </w:r>
          </w:p>
        </w:tc>
        <w:tc>
          <w:tcPr>
            <w:tcW w:w="1237" w:type="dxa"/>
            <w:tcBorders>
              <w:top w:val="single" w:sz="4" w:space="0" w:color="auto"/>
              <w:left w:val="single" w:sz="4" w:space="0" w:color="auto"/>
            </w:tcBorders>
            <w:shd w:val="clear" w:color="auto" w:fill="FFFFFF"/>
            <w:vAlign w:val="center"/>
          </w:tcPr>
          <w:p w14:paraId="0F18BBF6"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-2,2</w:t>
            </w:r>
          </w:p>
        </w:tc>
        <w:tc>
          <w:tcPr>
            <w:tcW w:w="1307" w:type="dxa"/>
            <w:tcBorders>
              <w:top w:val="single" w:sz="4" w:space="0" w:color="auto"/>
              <w:left w:val="single" w:sz="4" w:space="0" w:color="auto"/>
              <w:right w:val="single" w:sz="4" w:space="0" w:color="auto"/>
            </w:tcBorders>
            <w:shd w:val="clear" w:color="auto" w:fill="FFFFFF"/>
            <w:vAlign w:val="center"/>
          </w:tcPr>
          <w:p w14:paraId="42EF92A6"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56,0</w:t>
            </w:r>
          </w:p>
        </w:tc>
      </w:tr>
      <w:tr w:rsidR="00F20EBD" w:rsidRPr="00341E6C" w14:paraId="79FEC5D7" w14:textId="77777777" w:rsidTr="00C429AC">
        <w:trPr>
          <w:trHeight w:val="22"/>
        </w:trPr>
        <w:tc>
          <w:tcPr>
            <w:tcW w:w="3524" w:type="dxa"/>
            <w:tcBorders>
              <w:top w:val="single" w:sz="4" w:space="0" w:color="auto"/>
              <w:left w:val="single" w:sz="4" w:space="0" w:color="auto"/>
              <w:bottom w:val="single" w:sz="4" w:space="0" w:color="auto"/>
            </w:tcBorders>
            <w:shd w:val="clear" w:color="auto" w:fill="FFFFFF"/>
            <w:vAlign w:val="center"/>
          </w:tcPr>
          <w:p w14:paraId="6E743806" w14:textId="77777777" w:rsidR="00F20EBD" w:rsidRPr="00341E6C" w:rsidRDefault="00F20EBD" w:rsidP="001A4228">
            <w:pPr>
              <w:pStyle w:val="20"/>
              <w:shd w:val="clear" w:color="auto" w:fill="auto"/>
              <w:spacing w:before="0" w:after="0" w:line="240" w:lineRule="auto"/>
              <w:rPr>
                <w:rFonts w:asciiTheme="majorHAnsi" w:hAnsiTheme="majorHAnsi" w:cstheme="majorHAnsi"/>
                <w:sz w:val="22"/>
                <w:szCs w:val="22"/>
                <w:lang w:val="ro-RO"/>
              </w:rPr>
            </w:pPr>
            <w:r w:rsidRPr="00341E6C">
              <w:rPr>
                <w:rStyle w:val="295pt"/>
                <w:rFonts w:asciiTheme="majorHAnsi" w:eastAsiaTheme="majorEastAsia" w:hAnsiTheme="majorHAnsi" w:cstheme="majorHAnsi"/>
                <w:sz w:val="22"/>
                <w:szCs w:val="22"/>
              </w:rPr>
              <w:t>Mărfuri</w:t>
            </w:r>
          </w:p>
        </w:tc>
        <w:tc>
          <w:tcPr>
            <w:tcW w:w="660" w:type="dxa"/>
            <w:tcBorders>
              <w:top w:val="single" w:sz="4" w:space="0" w:color="auto"/>
              <w:left w:val="single" w:sz="4" w:space="0" w:color="auto"/>
              <w:bottom w:val="single" w:sz="4" w:space="0" w:color="auto"/>
            </w:tcBorders>
            <w:shd w:val="clear" w:color="auto" w:fill="FFFFFF"/>
            <w:vAlign w:val="center"/>
          </w:tcPr>
          <w:p w14:paraId="7B961DB6" w14:textId="77777777" w:rsidR="00F20EBD" w:rsidRPr="00341E6C" w:rsidRDefault="00F20EBD" w:rsidP="001A4228">
            <w:pPr>
              <w:pStyle w:val="20"/>
              <w:shd w:val="clear" w:color="auto" w:fill="auto"/>
              <w:spacing w:before="0" w:after="0" w:line="240" w:lineRule="auto"/>
              <w:ind w:left="200"/>
              <w:rPr>
                <w:rFonts w:asciiTheme="majorHAnsi" w:hAnsiTheme="majorHAnsi" w:cstheme="majorHAnsi"/>
                <w:b/>
                <w:sz w:val="22"/>
                <w:szCs w:val="22"/>
                <w:lang w:val="ro-RO"/>
              </w:rPr>
            </w:pPr>
            <w:r w:rsidRPr="00341E6C">
              <w:rPr>
                <w:rStyle w:val="275pt"/>
                <w:rFonts w:asciiTheme="majorHAnsi" w:eastAsiaTheme="majorEastAsia" w:hAnsiTheme="majorHAnsi" w:cstheme="majorHAnsi"/>
                <w:sz w:val="22"/>
                <w:szCs w:val="22"/>
              </w:rPr>
              <w:t>35</w:t>
            </w:r>
          </w:p>
        </w:tc>
        <w:tc>
          <w:tcPr>
            <w:tcW w:w="1318" w:type="dxa"/>
            <w:tcBorders>
              <w:top w:val="single" w:sz="4" w:space="0" w:color="auto"/>
              <w:left w:val="single" w:sz="4" w:space="0" w:color="auto"/>
              <w:bottom w:val="single" w:sz="4" w:space="0" w:color="auto"/>
            </w:tcBorders>
            <w:shd w:val="clear" w:color="auto" w:fill="FFFFFF"/>
            <w:vAlign w:val="center"/>
          </w:tcPr>
          <w:p w14:paraId="48FEBFBC"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0,8</w:t>
            </w:r>
          </w:p>
        </w:tc>
        <w:tc>
          <w:tcPr>
            <w:tcW w:w="1305" w:type="dxa"/>
            <w:tcBorders>
              <w:top w:val="single" w:sz="4" w:space="0" w:color="auto"/>
              <w:left w:val="single" w:sz="4" w:space="0" w:color="auto"/>
              <w:bottom w:val="single" w:sz="4" w:space="0" w:color="auto"/>
            </w:tcBorders>
            <w:shd w:val="clear" w:color="auto" w:fill="FFFFFF"/>
            <w:vAlign w:val="center"/>
          </w:tcPr>
          <w:p w14:paraId="700E696F"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1,0</w:t>
            </w:r>
          </w:p>
        </w:tc>
        <w:tc>
          <w:tcPr>
            <w:tcW w:w="1318" w:type="dxa"/>
            <w:tcBorders>
              <w:top w:val="single" w:sz="4" w:space="0" w:color="auto"/>
              <w:left w:val="single" w:sz="4" w:space="0" w:color="auto"/>
              <w:bottom w:val="single" w:sz="4" w:space="0" w:color="auto"/>
            </w:tcBorders>
            <w:shd w:val="clear" w:color="auto" w:fill="FFFFFF"/>
            <w:vAlign w:val="center"/>
          </w:tcPr>
          <w:p w14:paraId="73EFB4DE"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0,9</w:t>
            </w:r>
          </w:p>
        </w:tc>
        <w:tc>
          <w:tcPr>
            <w:tcW w:w="1318" w:type="dxa"/>
            <w:tcBorders>
              <w:top w:val="single" w:sz="4" w:space="0" w:color="auto"/>
              <w:left w:val="single" w:sz="4" w:space="0" w:color="auto"/>
              <w:bottom w:val="single" w:sz="4" w:space="0" w:color="auto"/>
            </w:tcBorders>
            <w:shd w:val="clear" w:color="auto" w:fill="FFFFFF"/>
            <w:vAlign w:val="center"/>
          </w:tcPr>
          <w:p w14:paraId="4DFA9811"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0,9</w:t>
            </w:r>
          </w:p>
        </w:tc>
        <w:tc>
          <w:tcPr>
            <w:tcW w:w="943" w:type="dxa"/>
            <w:tcBorders>
              <w:top w:val="single" w:sz="4" w:space="0" w:color="auto"/>
              <w:left w:val="single" w:sz="4" w:space="0" w:color="auto"/>
              <w:bottom w:val="single" w:sz="4" w:space="0" w:color="auto"/>
            </w:tcBorders>
            <w:shd w:val="clear" w:color="auto" w:fill="FFFFFF"/>
            <w:vAlign w:val="center"/>
          </w:tcPr>
          <w:p w14:paraId="21A8A1EA"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6,9</w:t>
            </w:r>
          </w:p>
        </w:tc>
        <w:tc>
          <w:tcPr>
            <w:tcW w:w="1283" w:type="dxa"/>
            <w:tcBorders>
              <w:top w:val="single" w:sz="4" w:space="0" w:color="auto"/>
              <w:left w:val="single" w:sz="4" w:space="0" w:color="auto"/>
              <w:bottom w:val="single" w:sz="4" w:space="0" w:color="auto"/>
            </w:tcBorders>
            <w:shd w:val="clear" w:color="auto" w:fill="FFFFFF"/>
            <w:vAlign w:val="center"/>
          </w:tcPr>
          <w:p w14:paraId="5D584A66"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-0,1</w:t>
            </w:r>
          </w:p>
        </w:tc>
        <w:tc>
          <w:tcPr>
            <w:tcW w:w="961" w:type="dxa"/>
            <w:tcBorders>
              <w:top w:val="single" w:sz="4" w:space="0" w:color="auto"/>
              <w:left w:val="single" w:sz="4" w:space="0" w:color="auto"/>
              <w:bottom w:val="single" w:sz="4" w:space="0" w:color="auto"/>
            </w:tcBorders>
            <w:shd w:val="clear" w:color="auto" w:fill="FFFFFF"/>
            <w:vAlign w:val="center"/>
          </w:tcPr>
          <w:p w14:paraId="1F2B1455" w14:textId="77777777" w:rsidR="00F20EBD" w:rsidRPr="00341E6C"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90,0</w:t>
            </w:r>
          </w:p>
        </w:tc>
        <w:tc>
          <w:tcPr>
            <w:tcW w:w="1237" w:type="dxa"/>
            <w:tcBorders>
              <w:top w:val="single" w:sz="4" w:space="0" w:color="auto"/>
              <w:left w:val="single" w:sz="4" w:space="0" w:color="auto"/>
              <w:bottom w:val="single" w:sz="4" w:space="0" w:color="auto"/>
            </w:tcBorders>
            <w:shd w:val="clear" w:color="auto" w:fill="FFFFFF"/>
            <w:vAlign w:val="center"/>
          </w:tcPr>
          <w:p w14:paraId="52B7BC39" w14:textId="77777777" w:rsidR="00F20EBD" w:rsidRPr="00341E6C" w:rsidRDefault="00F20EBD" w:rsidP="001A4228">
            <w:pPr>
              <w:pStyle w:val="20"/>
              <w:shd w:val="clear" w:color="auto" w:fill="auto"/>
              <w:spacing w:before="0" w:after="0" w:line="240" w:lineRule="auto"/>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-0,1</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14:paraId="6DBCAB26" w14:textId="77777777" w:rsidR="00F20EBD" w:rsidRPr="00341E6C"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o-RO"/>
              </w:rPr>
            </w:pPr>
            <w:r w:rsidRPr="00341E6C">
              <w:rPr>
                <w:rFonts w:asciiTheme="majorHAnsi" w:hAnsiTheme="majorHAnsi" w:cstheme="majorHAnsi"/>
                <w:b/>
                <w:sz w:val="22"/>
                <w:szCs w:val="22"/>
                <w:lang w:val="ro-RO"/>
              </w:rPr>
              <w:t>90,0</w:t>
            </w:r>
          </w:p>
        </w:tc>
      </w:tr>
    </w:tbl>
    <w:p w14:paraId="3DF8BED1" w14:textId="77777777" w:rsidR="00F20EBD" w:rsidRPr="00341E6C" w:rsidRDefault="00F20EBD" w:rsidP="00F20EBD">
      <w:pPr>
        <w:spacing w:after="0" w:line="276" w:lineRule="auto"/>
        <w:jc w:val="both"/>
        <w:rPr>
          <w:rFonts w:asciiTheme="majorHAnsi" w:hAnsiTheme="majorHAnsi" w:cstheme="majorHAnsi"/>
          <w:i/>
          <w:sz w:val="20"/>
          <w:szCs w:val="20"/>
          <w:lang w:val="ro-RO"/>
        </w:rPr>
      </w:pPr>
      <w:r w:rsidRPr="00341E6C">
        <w:rPr>
          <w:rFonts w:asciiTheme="majorHAnsi" w:hAnsiTheme="majorHAnsi" w:cstheme="majorHAnsi"/>
          <w:b/>
          <w:bCs/>
          <w:i/>
          <w:sz w:val="20"/>
          <w:szCs w:val="20"/>
          <w:lang w:val="ro-RO"/>
        </w:rPr>
        <w:t>Sursă:</w:t>
      </w:r>
      <w:r w:rsidRPr="00341E6C">
        <w:rPr>
          <w:rFonts w:asciiTheme="majorHAnsi" w:hAnsiTheme="majorHAnsi" w:cstheme="majorHAnsi"/>
          <w:i/>
          <w:sz w:val="20"/>
          <w:szCs w:val="20"/>
          <w:lang w:val="ro-RO"/>
        </w:rPr>
        <w:t xml:space="preserve"> Raportul privind executarea bugetului asigurărilor sociale de stat pentru anul 2020.</w:t>
      </w:r>
    </w:p>
    <w:p w14:paraId="7A92CD5C" w14:textId="23E172C7" w:rsidR="002A6F9B" w:rsidRPr="00341E6C" w:rsidRDefault="002A6F9B" w:rsidP="00930B4E">
      <w:pPr>
        <w:tabs>
          <w:tab w:val="left" w:pos="1080"/>
        </w:tabs>
        <w:spacing w:after="0" w:line="276" w:lineRule="auto"/>
        <w:contextualSpacing/>
        <w:jc w:val="both"/>
        <w:rPr>
          <w:rFonts w:asciiTheme="majorHAnsi" w:hAnsiTheme="majorHAnsi" w:cstheme="majorHAnsi"/>
          <w:sz w:val="24"/>
          <w:szCs w:val="24"/>
          <w:lang w:val="ro-RO"/>
        </w:rPr>
      </w:pPr>
    </w:p>
    <w:p w14:paraId="1AFD08DF" w14:textId="77777777" w:rsidR="00AC3902" w:rsidRPr="00341E6C" w:rsidRDefault="00AC3902" w:rsidP="00930B4E">
      <w:pPr>
        <w:tabs>
          <w:tab w:val="left" w:pos="1080"/>
        </w:tabs>
        <w:spacing w:after="0" w:line="276" w:lineRule="auto"/>
        <w:contextualSpacing/>
        <w:jc w:val="both"/>
        <w:rPr>
          <w:rFonts w:asciiTheme="majorHAnsi" w:hAnsiTheme="majorHAnsi" w:cstheme="majorHAnsi"/>
          <w:sz w:val="24"/>
          <w:szCs w:val="24"/>
          <w:lang w:val="ro-RO"/>
        </w:rPr>
        <w:sectPr w:rsidR="00AC3902" w:rsidRPr="00341E6C" w:rsidSect="00F20EBD">
          <w:pgSz w:w="16834" w:h="11909" w:orient="landscape" w:code="9"/>
          <w:pgMar w:top="1350" w:right="850" w:bottom="850" w:left="850" w:header="706" w:footer="706" w:gutter="0"/>
          <w:cols w:space="708"/>
          <w:titlePg/>
          <w:docGrid w:linePitch="360"/>
        </w:sectPr>
      </w:pPr>
    </w:p>
    <w:p w14:paraId="4D7906D3" w14:textId="55475CF0" w:rsidR="00AC3902" w:rsidRPr="00341E6C" w:rsidRDefault="00AC3902" w:rsidP="005D4B1B">
      <w:pPr>
        <w:pStyle w:val="NormalWeb"/>
        <w:tabs>
          <w:tab w:val="left" w:pos="162"/>
        </w:tabs>
        <w:spacing w:line="276" w:lineRule="auto"/>
        <w:ind w:firstLine="0"/>
        <w:jc w:val="right"/>
        <w:outlineLvl w:val="1"/>
        <w:rPr>
          <w:rFonts w:asciiTheme="majorHAnsi" w:hAnsiTheme="majorHAnsi" w:cstheme="majorHAnsi"/>
          <w:b/>
          <w:lang w:val="ro-RO"/>
        </w:rPr>
      </w:pPr>
      <w:r w:rsidRPr="00341E6C">
        <w:rPr>
          <w:rFonts w:asciiTheme="majorHAnsi" w:hAnsiTheme="majorHAnsi" w:cstheme="majorHAnsi"/>
          <w:b/>
          <w:lang w:val="ro-RO"/>
        </w:rPr>
        <w:lastRenderedPageBreak/>
        <w:t>Anexa nr.</w:t>
      </w:r>
      <w:r w:rsidR="005D4B1B" w:rsidRPr="00341E6C">
        <w:rPr>
          <w:rFonts w:asciiTheme="majorHAnsi" w:hAnsiTheme="majorHAnsi" w:cstheme="majorHAnsi"/>
          <w:b/>
          <w:lang w:val="ro-RO"/>
        </w:rPr>
        <w:t xml:space="preserve"> </w:t>
      </w:r>
      <w:r w:rsidR="00EE3574">
        <w:rPr>
          <w:rFonts w:asciiTheme="majorHAnsi" w:hAnsiTheme="majorHAnsi" w:cstheme="majorHAnsi"/>
          <w:b/>
          <w:lang w:val="ro-RO"/>
        </w:rPr>
        <w:t>8</w:t>
      </w:r>
    </w:p>
    <w:p w14:paraId="42A43A45" w14:textId="31D3B28C" w:rsidR="00AC3902" w:rsidRPr="00341E6C" w:rsidRDefault="00AC3902" w:rsidP="00AC3902">
      <w:pPr>
        <w:pStyle w:val="NormalWeb"/>
        <w:tabs>
          <w:tab w:val="left" w:pos="162"/>
        </w:tabs>
        <w:spacing w:line="276" w:lineRule="auto"/>
        <w:ind w:firstLine="0"/>
        <w:jc w:val="center"/>
        <w:rPr>
          <w:rFonts w:asciiTheme="majorHAnsi" w:eastAsiaTheme="minorHAnsi" w:hAnsiTheme="majorHAnsi" w:cstheme="majorHAnsi"/>
          <w:b/>
          <w:bCs/>
          <w:lang w:val="ro-RO"/>
        </w:rPr>
      </w:pPr>
      <w:r w:rsidRPr="00341E6C">
        <w:rPr>
          <w:rFonts w:asciiTheme="majorHAnsi" w:eastAsiaTheme="minorHAnsi" w:hAnsiTheme="majorHAnsi" w:cstheme="majorHAnsi"/>
          <w:b/>
          <w:bCs/>
          <w:lang w:val="ro-RO"/>
        </w:rPr>
        <w:t>Dinamica cheltuielilor efective ale bugetului asigurărilor sociale de stat în anii 2017-2020</w:t>
      </w:r>
    </w:p>
    <w:p w14:paraId="36B861F5" w14:textId="77777777" w:rsidR="00AC3902" w:rsidRPr="00341E6C" w:rsidRDefault="00AC3902" w:rsidP="00AC3902">
      <w:pPr>
        <w:pStyle w:val="NormalWeb"/>
        <w:tabs>
          <w:tab w:val="left" w:pos="162"/>
        </w:tabs>
        <w:spacing w:line="276" w:lineRule="auto"/>
        <w:ind w:firstLine="0"/>
        <w:rPr>
          <w:rFonts w:asciiTheme="majorHAnsi" w:hAnsiTheme="majorHAnsi" w:cstheme="majorHAnsi"/>
          <w:lang w:val="ro-RO"/>
        </w:rPr>
      </w:pPr>
    </w:p>
    <w:p w14:paraId="4F1BE0F0" w14:textId="138A2BA0" w:rsidR="00AC3902" w:rsidRPr="00341E6C" w:rsidRDefault="00AC3902" w:rsidP="00AC3902">
      <w:pPr>
        <w:pStyle w:val="NormalWeb"/>
        <w:tabs>
          <w:tab w:val="left" w:pos="162"/>
        </w:tabs>
        <w:spacing w:line="276" w:lineRule="auto"/>
        <w:ind w:firstLine="0"/>
        <w:rPr>
          <w:rFonts w:asciiTheme="majorHAnsi" w:hAnsiTheme="majorHAnsi" w:cstheme="majorHAnsi"/>
          <w:lang w:val="ro-RO"/>
        </w:rPr>
      </w:pPr>
      <w:r w:rsidRPr="00341E6C">
        <w:rPr>
          <w:rFonts w:asciiTheme="majorHAnsi" w:hAnsiTheme="majorHAnsi" w:cstheme="majorHAnsi"/>
          <w:noProof/>
        </w:rPr>
        <w:drawing>
          <wp:inline distT="0" distB="0" distL="0" distR="0" wp14:anchorId="1CBC7451" wp14:editId="0D3A3B02">
            <wp:extent cx="5692140" cy="3299460"/>
            <wp:effectExtent l="0" t="0" r="381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032C05" w14:textId="77777777" w:rsidR="00AC3902" w:rsidRPr="00341E6C" w:rsidRDefault="00AC3902" w:rsidP="00AC3902">
      <w:pPr>
        <w:pStyle w:val="NormalWeb"/>
        <w:tabs>
          <w:tab w:val="left" w:pos="162"/>
        </w:tabs>
        <w:spacing w:line="276" w:lineRule="auto"/>
        <w:ind w:left="1287" w:firstLine="0"/>
        <w:rPr>
          <w:rFonts w:asciiTheme="majorHAnsi" w:hAnsiTheme="majorHAnsi" w:cstheme="majorHAnsi"/>
          <w:i/>
          <w:sz w:val="20"/>
          <w:szCs w:val="20"/>
          <w:lang w:val="ro-RO"/>
        </w:rPr>
      </w:pPr>
      <w:r w:rsidRPr="00341E6C">
        <w:rPr>
          <w:rFonts w:asciiTheme="majorHAnsi" w:hAnsiTheme="majorHAnsi" w:cstheme="majorHAnsi"/>
          <w:b/>
          <w:bCs/>
          <w:i/>
          <w:sz w:val="20"/>
          <w:szCs w:val="20"/>
          <w:lang w:val="ro-RO"/>
        </w:rPr>
        <w:t>Sursă:</w:t>
      </w:r>
      <w:r w:rsidRPr="00341E6C">
        <w:rPr>
          <w:rFonts w:asciiTheme="majorHAnsi" w:hAnsiTheme="majorHAnsi" w:cstheme="majorHAnsi"/>
          <w:i/>
          <w:sz w:val="20"/>
          <w:szCs w:val="20"/>
          <w:lang w:val="ro-RO"/>
        </w:rPr>
        <w:t xml:space="preserve"> Raportul privind executarea bugetului asigurărilor sociale de stat pentru anii 2017-2020.</w:t>
      </w:r>
    </w:p>
    <w:p w14:paraId="41E5CE4E" w14:textId="27B7EE86" w:rsidR="002A6F9B" w:rsidRPr="00341E6C" w:rsidRDefault="002A6F9B" w:rsidP="00930B4E">
      <w:pPr>
        <w:tabs>
          <w:tab w:val="left" w:pos="1080"/>
        </w:tabs>
        <w:spacing w:after="0" w:line="276" w:lineRule="auto"/>
        <w:contextualSpacing/>
        <w:jc w:val="both"/>
        <w:rPr>
          <w:rFonts w:asciiTheme="majorHAnsi" w:hAnsiTheme="majorHAnsi" w:cstheme="majorHAnsi"/>
          <w:sz w:val="24"/>
          <w:szCs w:val="24"/>
          <w:lang w:val="ro-RO"/>
        </w:rPr>
      </w:pPr>
    </w:p>
    <w:p w14:paraId="422B4A77" w14:textId="77777777" w:rsidR="00AC3902" w:rsidRPr="00341E6C" w:rsidRDefault="00AC3902" w:rsidP="00AC3902">
      <w:pPr>
        <w:spacing w:after="0" w:line="276" w:lineRule="auto"/>
        <w:jc w:val="right"/>
        <w:rPr>
          <w:rFonts w:asciiTheme="majorHAnsi" w:hAnsiTheme="majorHAnsi" w:cstheme="majorHAnsi"/>
          <w:b/>
          <w:bCs/>
          <w:sz w:val="24"/>
          <w:szCs w:val="24"/>
          <w:lang w:val="ro-RO"/>
        </w:rPr>
      </w:pPr>
    </w:p>
    <w:p w14:paraId="1AA776BE" w14:textId="7C199B90" w:rsidR="00AC3902" w:rsidRPr="00341E6C" w:rsidRDefault="00AC3902" w:rsidP="005D4B1B">
      <w:pPr>
        <w:pStyle w:val="Heading2"/>
        <w:jc w:val="right"/>
        <w:rPr>
          <w:rFonts w:asciiTheme="majorHAnsi" w:hAnsiTheme="majorHAnsi" w:cstheme="majorHAnsi"/>
          <w:bCs w:val="0"/>
          <w:sz w:val="24"/>
          <w:szCs w:val="24"/>
          <w:lang w:val="ro-RO"/>
        </w:rPr>
      </w:pPr>
      <w:r w:rsidRPr="00341E6C">
        <w:rPr>
          <w:rFonts w:asciiTheme="majorHAnsi" w:hAnsiTheme="majorHAnsi" w:cstheme="majorHAnsi"/>
          <w:bCs w:val="0"/>
          <w:sz w:val="24"/>
          <w:szCs w:val="24"/>
          <w:lang w:val="ro-RO"/>
        </w:rPr>
        <w:t>Anexa nr.</w:t>
      </w:r>
      <w:r w:rsidR="005D4B1B" w:rsidRPr="00341E6C">
        <w:rPr>
          <w:rFonts w:asciiTheme="majorHAnsi" w:hAnsiTheme="majorHAnsi" w:cstheme="majorHAnsi"/>
          <w:bCs w:val="0"/>
          <w:sz w:val="24"/>
          <w:szCs w:val="24"/>
          <w:lang w:val="ro-RO"/>
        </w:rPr>
        <w:t xml:space="preserve"> </w:t>
      </w:r>
      <w:r w:rsidR="00EE3574">
        <w:rPr>
          <w:rFonts w:asciiTheme="majorHAnsi" w:hAnsiTheme="majorHAnsi" w:cstheme="majorHAnsi"/>
          <w:bCs w:val="0"/>
          <w:sz w:val="24"/>
          <w:szCs w:val="24"/>
          <w:lang w:val="ro-RO"/>
        </w:rPr>
        <w:t>9</w:t>
      </w:r>
    </w:p>
    <w:p w14:paraId="56465AB4" w14:textId="3409B30F" w:rsidR="00AC3902" w:rsidRPr="00341E6C" w:rsidRDefault="00AC3902" w:rsidP="00AC3902">
      <w:pPr>
        <w:spacing w:after="0" w:line="276" w:lineRule="auto"/>
        <w:jc w:val="center"/>
        <w:rPr>
          <w:rFonts w:asciiTheme="majorHAnsi" w:hAnsiTheme="majorHAnsi" w:cstheme="majorHAnsi"/>
          <w:sz w:val="24"/>
          <w:szCs w:val="24"/>
          <w:lang w:val="ro-RO"/>
        </w:rPr>
      </w:pPr>
      <w:r w:rsidRPr="00341E6C">
        <w:rPr>
          <w:rFonts w:asciiTheme="majorHAnsi" w:hAnsiTheme="majorHAnsi" w:cstheme="majorHAnsi"/>
          <w:b/>
          <w:bCs/>
          <w:sz w:val="24"/>
          <w:szCs w:val="24"/>
          <w:lang w:val="ro-RO"/>
        </w:rPr>
        <w:t>Ponderea cheltuielilor pe programe, în totalul cheltuielilor BASS executate</w:t>
      </w:r>
      <w:r w:rsidR="007C1ED7">
        <w:rPr>
          <w:rFonts w:asciiTheme="majorHAnsi" w:hAnsiTheme="majorHAnsi" w:cstheme="majorHAnsi"/>
          <w:b/>
          <w:bCs/>
          <w:sz w:val="24"/>
          <w:szCs w:val="24"/>
          <w:lang w:val="ro-RO"/>
        </w:rPr>
        <w:t xml:space="preserve"> în anul 2020</w:t>
      </w:r>
    </w:p>
    <w:p w14:paraId="0734062D" w14:textId="77777777" w:rsidR="00AC3902" w:rsidRPr="00341E6C" w:rsidRDefault="00AC3902" w:rsidP="00AC3902">
      <w:pPr>
        <w:spacing w:after="0" w:line="276" w:lineRule="auto"/>
        <w:jc w:val="both"/>
        <w:rPr>
          <w:rFonts w:asciiTheme="majorHAnsi" w:hAnsiTheme="majorHAnsi" w:cstheme="majorHAnsi"/>
          <w:sz w:val="24"/>
          <w:szCs w:val="24"/>
          <w:lang w:val="ro-RO"/>
        </w:rPr>
      </w:pPr>
      <w:r w:rsidRPr="00341E6C">
        <w:rPr>
          <w:rFonts w:asciiTheme="majorHAnsi" w:hAnsiTheme="majorHAnsi" w:cstheme="majorHAnsi"/>
          <w:noProof/>
          <w:sz w:val="20"/>
          <w:szCs w:val="20"/>
        </w:rPr>
        <w:drawing>
          <wp:inline distT="0" distB="0" distL="0" distR="0" wp14:anchorId="11C3A222" wp14:editId="232BA50A">
            <wp:extent cx="5941695" cy="3771900"/>
            <wp:effectExtent l="0" t="0" r="190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F5AB90" w14:textId="7E2E7939" w:rsidR="00AC3902" w:rsidRPr="00341E6C" w:rsidRDefault="00AC3902" w:rsidP="00AC3902">
      <w:pPr>
        <w:spacing w:after="0" w:line="276" w:lineRule="auto"/>
        <w:ind w:right="-634"/>
        <w:rPr>
          <w:rFonts w:asciiTheme="majorHAnsi" w:hAnsiTheme="majorHAnsi" w:cstheme="majorHAnsi"/>
          <w:i/>
          <w:sz w:val="20"/>
          <w:szCs w:val="20"/>
          <w:lang w:val="ro-RO"/>
        </w:rPr>
      </w:pPr>
      <w:r w:rsidRPr="00341E6C">
        <w:rPr>
          <w:rFonts w:asciiTheme="majorHAnsi" w:hAnsiTheme="majorHAnsi" w:cstheme="majorHAnsi"/>
          <w:b/>
          <w:i/>
          <w:sz w:val="20"/>
          <w:szCs w:val="20"/>
          <w:lang w:val="ro-RO"/>
        </w:rPr>
        <w:t>Sursă:</w:t>
      </w:r>
      <w:r w:rsidRPr="00341E6C">
        <w:rPr>
          <w:rFonts w:asciiTheme="majorHAnsi" w:hAnsiTheme="majorHAnsi" w:cstheme="majorHAnsi"/>
          <w:i/>
          <w:sz w:val="20"/>
          <w:szCs w:val="20"/>
          <w:lang w:val="ro-RO"/>
        </w:rPr>
        <w:t xml:space="preserve"> Date calculate de audit în baza informațiilor din Raportul privind executarea bugetului asigurărilor sociale de stat pentru anul 2020 (Formularul nr.2</w:t>
      </w:r>
      <w:r w:rsidR="00164828">
        <w:rPr>
          <w:rFonts w:asciiTheme="majorHAnsi" w:hAnsiTheme="majorHAnsi" w:cstheme="majorHAnsi"/>
          <w:i/>
          <w:sz w:val="20"/>
          <w:szCs w:val="20"/>
          <w:lang w:val="ro-RO"/>
        </w:rPr>
        <w:t xml:space="preserve"> </w:t>
      </w:r>
      <w:r w:rsidRPr="00341E6C">
        <w:rPr>
          <w:rFonts w:asciiTheme="majorHAnsi" w:hAnsiTheme="majorHAnsi" w:cstheme="majorHAnsi"/>
          <w:i/>
          <w:sz w:val="20"/>
          <w:szCs w:val="20"/>
          <w:lang w:val="ro-RO"/>
        </w:rPr>
        <w:t xml:space="preserve">CNAS). </w:t>
      </w:r>
    </w:p>
    <w:p w14:paraId="56B215FC" w14:textId="215849DB" w:rsidR="00133E85" w:rsidRPr="00341E6C" w:rsidRDefault="00164828" w:rsidP="00930B4E">
      <w:pPr>
        <w:tabs>
          <w:tab w:val="left" w:pos="1080"/>
        </w:tabs>
        <w:spacing w:after="0" w:line="276" w:lineRule="auto"/>
        <w:contextualSpacing/>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 </w:t>
      </w:r>
    </w:p>
    <w:p w14:paraId="57C3B587" w14:textId="4EF7FAC3" w:rsidR="00133E85" w:rsidRPr="00341E6C" w:rsidRDefault="00133E85" w:rsidP="00930B4E">
      <w:pPr>
        <w:tabs>
          <w:tab w:val="left" w:pos="1080"/>
        </w:tabs>
        <w:spacing w:after="0" w:line="276" w:lineRule="auto"/>
        <w:contextualSpacing/>
        <w:jc w:val="both"/>
        <w:rPr>
          <w:rFonts w:asciiTheme="majorHAnsi" w:hAnsiTheme="majorHAnsi" w:cstheme="majorHAnsi"/>
          <w:sz w:val="24"/>
          <w:szCs w:val="24"/>
          <w:lang w:val="ro-RO"/>
        </w:rPr>
      </w:pPr>
    </w:p>
    <w:p w14:paraId="06A9D594" w14:textId="61DD3079" w:rsidR="0022180C" w:rsidRPr="00341E6C" w:rsidRDefault="0022180C" w:rsidP="005D4B1B">
      <w:pPr>
        <w:pStyle w:val="Heading2"/>
        <w:jc w:val="right"/>
        <w:rPr>
          <w:rFonts w:asciiTheme="majorHAnsi" w:hAnsiTheme="majorHAnsi" w:cstheme="majorHAnsi"/>
          <w:sz w:val="24"/>
          <w:szCs w:val="24"/>
          <w:lang w:val="ro-RO"/>
        </w:rPr>
      </w:pPr>
      <w:r w:rsidRPr="00341E6C">
        <w:rPr>
          <w:rFonts w:asciiTheme="majorHAnsi" w:hAnsiTheme="majorHAnsi" w:cstheme="majorHAnsi"/>
          <w:sz w:val="24"/>
          <w:szCs w:val="24"/>
          <w:lang w:val="ro-RO"/>
        </w:rPr>
        <w:lastRenderedPageBreak/>
        <w:t>Anexa nr.</w:t>
      </w:r>
      <w:r w:rsidR="005D4B1B" w:rsidRPr="00341E6C">
        <w:rPr>
          <w:rFonts w:asciiTheme="majorHAnsi" w:hAnsiTheme="majorHAnsi" w:cstheme="majorHAnsi"/>
          <w:sz w:val="24"/>
          <w:szCs w:val="24"/>
          <w:lang w:val="ro-RO"/>
        </w:rPr>
        <w:t xml:space="preserve"> </w:t>
      </w:r>
      <w:r w:rsidR="00EE3574">
        <w:rPr>
          <w:rFonts w:asciiTheme="majorHAnsi" w:hAnsiTheme="majorHAnsi" w:cstheme="majorHAnsi"/>
          <w:sz w:val="24"/>
          <w:szCs w:val="24"/>
          <w:lang w:val="ro-RO"/>
        </w:rPr>
        <w:t>10</w:t>
      </w:r>
    </w:p>
    <w:p w14:paraId="1A5BF5FD" w14:textId="75F9AE8A" w:rsidR="00AC3902" w:rsidRPr="00341E6C" w:rsidRDefault="0055571D" w:rsidP="0022180C">
      <w:pPr>
        <w:tabs>
          <w:tab w:val="left" w:pos="1080"/>
        </w:tabs>
        <w:spacing w:after="0" w:line="276" w:lineRule="auto"/>
        <w:contextualSpacing/>
        <w:jc w:val="center"/>
        <w:rPr>
          <w:rFonts w:asciiTheme="majorHAnsi" w:hAnsiTheme="majorHAnsi" w:cstheme="majorHAnsi"/>
          <w:sz w:val="24"/>
          <w:szCs w:val="24"/>
          <w:lang w:val="ro-RO"/>
        </w:rPr>
      </w:pPr>
      <w:r w:rsidRPr="00341E6C">
        <w:rPr>
          <w:rFonts w:asciiTheme="majorHAnsi" w:hAnsiTheme="majorHAnsi" w:cstheme="majorHAnsi"/>
          <w:b/>
          <w:sz w:val="24"/>
          <w:szCs w:val="24"/>
          <w:lang w:val="ro-RO"/>
        </w:rPr>
        <w:t>Structura cheltuielilor efective privind acordarea pensiilor de asigurări sociale</w:t>
      </w:r>
    </w:p>
    <w:p w14:paraId="423D7624" w14:textId="77777777" w:rsidR="0055571D" w:rsidRPr="00341E6C" w:rsidRDefault="0055571D" w:rsidP="0055571D">
      <w:pPr>
        <w:tabs>
          <w:tab w:val="left" w:pos="851"/>
        </w:tabs>
        <w:spacing w:after="0" w:line="276" w:lineRule="auto"/>
        <w:ind w:right="-634"/>
        <w:jc w:val="center"/>
        <w:rPr>
          <w:rFonts w:asciiTheme="majorHAnsi" w:hAnsiTheme="majorHAnsi" w:cstheme="majorHAnsi"/>
          <w:sz w:val="24"/>
          <w:szCs w:val="24"/>
          <w:lang w:val="ro-RO"/>
        </w:rPr>
      </w:pPr>
      <w:r w:rsidRPr="00341E6C">
        <w:rPr>
          <w:rFonts w:asciiTheme="majorHAnsi" w:hAnsiTheme="majorHAnsi" w:cstheme="majorHAnsi"/>
          <w:noProof/>
          <w:sz w:val="20"/>
          <w:szCs w:val="20"/>
        </w:rPr>
        <w:drawing>
          <wp:inline distT="0" distB="0" distL="0" distR="0" wp14:anchorId="41003CE7" wp14:editId="33169C68">
            <wp:extent cx="6179820" cy="3208020"/>
            <wp:effectExtent l="0" t="0" r="11430" b="1143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2221805" w14:textId="05A9EFC1" w:rsidR="0055571D" w:rsidRPr="00341E6C" w:rsidRDefault="0055571D" w:rsidP="0055571D">
      <w:pPr>
        <w:spacing w:after="0" w:line="276" w:lineRule="auto"/>
        <w:ind w:right="-634"/>
        <w:rPr>
          <w:rFonts w:asciiTheme="majorHAnsi" w:hAnsiTheme="majorHAnsi" w:cstheme="majorHAnsi"/>
          <w:i/>
          <w:sz w:val="20"/>
          <w:szCs w:val="20"/>
          <w:lang w:val="ro-RO"/>
        </w:rPr>
      </w:pPr>
      <w:r w:rsidRPr="00341E6C">
        <w:rPr>
          <w:rFonts w:asciiTheme="majorHAnsi" w:hAnsiTheme="majorHAnsi" w:cstheme="majorHAnsi"/>
          <w:b/>
          <w:i/>
          <w:sz w:val="20"/>
          <w:szCs w:val="20"/>
          <w:lang w:val="ro-RO"/>
        </w:rPr>
        <w:t>Sursă:</w:t>
      </w:r>
      <w:r w:rsidRPr="00341E6C">
        <w:rPr>
          <w:rFonts w:asciiTheme="majorHAnsi" w:hAnsiTheme="majorHAnsi" w:cstheme="majorHAnsi"/>
          <w:i/>
          <w:sz w:val="20"/>
          <w:szCs w:val="20"/>
          <w:lang w:val="ro-RO"/>
        </w:rPr>
        <w:t xml:space="preserve"> Date calculate de audit reieșind din informațiile Raportului privind executarea bugetului asigurărilor sociale de stat la partea de cheltuieli a prestațiilor sociale</w:t>
      </w:r>
      <w:r w:rsidR="00164828">
        <w:rPr>
          <w:rFonts w:asciiTheme="majorHAnsi" w:hAnsiTheme="majorHAnsi" w:cstheme="majorHAnsi"/>
          <w:i/>
          <w:sz w:val="20"/>
          <w:szCs w:val="20"/>
          <w:lang w:val="ro-RO"/>
        </w:rPr>
        <w:t>,</w:t>
      </w:r>
      <w:r w:rsidRPr="00341E6C">
        <w:rPr>
          <w:rFonts w:asciiTheme="majorHAnsi" w:hAnsiTheme="majorHAnsi" w:cstheme="majorHAnsi"/>
          <w:i/>
          <w:sz w:val="20"/>
          <w:szCs w:val="20"/>
          <w:lang w:val="ro-RO"/>
        </w:rPr>
        <w:t xml:space="preserve"> la situația din 01 ianuarie 2021 (Formularul nr.7 CNAS). </w:t>
      </w:r>
    </w:p>
    <w:p w14:paraId="4B30D96E" w14:textId="77777777" w:rsidR="0055571D" w:rsidRPr="00341E6C" w:rsidRDefault="0055571D" w:rsidP="00930B4E">
      <w:pPr>
        <w:tabs>
          <w:tab w:val="left" w:pos="1080"/>
        </w:tabs>
        <w:spacing w:after="0" w:line="276" w:lineRule="auto"/>
        <w:contextualSpacing/>
        <w:jc w:val="both"/>
        <w:rPr>
          <w:rFonts w:asciiTheme="majorHAnsi" w:hAnsiTheme="majorHAnsi" w:cstheme="majorHAnsi"/>
          <w:sz w:val="24"/>
          <w:szCs w:val="24"/>
          <w:lang w:val="ro-RO"/>
        </w:rPr>
      </w:pPr>
    </w:p>
    <w:p w14:paraId="7AC88C59" w14:textId="563A5758" w:rsidR="00E818D5" w:rsidRPr="00341E6C" w:rsidRDefault="00E818D5" w:rsidP="00930B4E">
      <w:pPr>
        <w:tabs>
          <w:tab w:val="left" w:pos="1080"/>
        </w:tabs>
        <w:spacing w:after="0" w:line="276" w:lineRule="auto"/>
        <w:contextualSpacing/>
        <w:jc w:val="both"/>
        <w:rPr>
          <w:rFonts w:asciiTheme="majorHAnsi" w:hAnsiTheme="majorHAnsi" w:cstheme="majorHAnsi"/>
          <w:sz w:val="24"/>
          <w:szCs w:val="24"/>
          <w:lang w:val="ro-RO"/>
        </w:rPr>
      </w:pPr>
    </w:p>
    <w:p w14:paraId="1735AFC0" w14:textId="46C06B18" w:rsidR="00E818D5" w:rsidRPr="00341E6C" w:rsidRDefault="00E818D5" w:rsidP="005D4B1B">
      <w:pPr>
        <w:pStyle w:val="Heading2"/>
        <w:jc w:val="right"/>
        <w:rPr>
          <w:rFonts w:asciiTheme="majorHAnsi" w:hAnsiTheme="majorHAnsi" w:cstheme="majorHAnsi"/>
          <w:sz w:val="24"/>
          <w:szCs w:val="24"/>
          <w:lang w:val="ro-RO"/>
        </w:rPr>
      </w:pPr>
      <w:r w:rsidRPr="00341E6C">
        <w:rPr>
          <w:rFonts w:asciiTheme="majorHAnsi" w:hAnsiTheme="majorHAnsi" w:cstheme="majorHAnsi"/>
          <w:sz w:val="24"/>
          <w:szCs w:val="24"/>
          <w:lang w:val="ro-RO"/>
        </w:rPr>
        <w:t>Anexa nr.</w:t>
      </w:r>
      <w:r w:rsidR="005D4B1B" w:rsidRPr="00341E6C">
        <w:rPr>
          <w:rFonts w:asciiTheme="majorHAnsi" w:hAnsiTheme="majorHAnsi" w:cstheme="majorHAnsi"/>
          <w:sz w:val="24"/>
          <w:szCs w:val="24"/>
          <w:lang w:val="ro-RO"/>
        </w:rPr>
        <w:t xml:space="preserve"> 1</w:t>
      </w:r>
      <w:r w:rsidR="00EE3574">
        <w:rPr>
          <w:rFonts w:asciiTheme="majorHAnsi" w:hAnsiTheme="majorHAnsi" w:cstheme="majorHAnsi"/>
          <w:sz w:val="24"/>
          <w:szCs w:val="24"/>
          <w:lang w:val="ro-RO"/>
        </w:rPr>
        <w:t>1</w:t>
      </w:r>
    </w:p>
    <w:p w14:paraId="130BA748" w14:textId="77777777" w:rsidR="00E818D5" w:rsidRPr="00341E6C" w:rsidRDefault="00E818D5" w:rsidP="00E818D5">
      <w:pPr>
        <w:spacing w:after="0" w:line="276" w:lineRule="auto"/>
        <w:ind w:right="-634"/>
        <w:jc w:val="center"/>
        <w:rPr>
          <w:rFonts w:asciiTheme="majorHAnsi" w:hAnsiTheme="majorHAnsi" w:cstheme="majorHAnsi"/>
          <w:b/>
          <w:sz w:val="24"/>
          <w:szCs w:val="24"/>
          <w:lang w:val="ro-RO"/>
        </w:rPr>
      </w:pPr>
      <w:r w:rsidRPr="00341E6C">
        <w:rPr>
          <w:rFonts w:asciiTheme="majorHAnsi" w:hAnsiTheme="majorHAnsi" w:cstheme="majorHAnsi"/>
          <w:b/>
          <w:sz w:val="24"/>
          <w:szCs w:val="24"/>
          <w:lang w:val="ro-RO"/>
        </w:rPr>
        <w:t>Numărul real de beneficiari cărora li se calculează plățile sociale pentru anii 2018 -2020</w:t>
      </w:r>
    </w:p>
    <w:tbl>
      <w:tblPr>
        <w:tblStyle w:val="TableGrid"/>
        <w:tblpPr w:leftFromText="180" w:rightFromText="180" w:vertAnchor="text" w:horzAnchor="margin" w:tblpX="-365" w:tblpY="24"/>
        <w:tblW w:w="10398" w:type="dxa"/>
        <w:tblLook w:val="04A0" w:firstRow="1" w:lastRow="0" w:firstColumn="1" w:lastColumn="0" w:noHBand="0" w:noVBand="1"/>
      </w:tblPr>
      <w:tblGrid>
        <w:gridCol w:w="3261"/>
        <w:gridCol w:w="1126"/>
        <w:gridCol w:w="1216"/>
        <w:gridCol w:w="1166"/>
        <w:gridCol w:w="1009"/>
        <w:gridCol w:w="923"/>
        <w:gridCol w:w="848"/>
        <w:gridCol w:w="843"/>
        <w:gridCol w:w="6"/>
      </w:tblGrid>
      <w:tr w:rsidR="001F5D47" w:rsidRPr="001F5D47" w14:paraId="40890A71" w14:textId="77777777" w:rsidTr="005A4F77">
        <w:trPr>
          <w:gridAfter w:val="1"/>
          <w:wAfter w:w="6" w:type="dxa"/>
          <w:trHeight w:val="264"/>
        </w:trPr>
        <w:tc>
          <w:tcPr>
            <w:tcW w:w="3325" w:type="dxa"/>
            <w:vMerge w:val="restart"/>
            <w:tcBorders>
              <w:top w:val="single" w:sz="4" w:space="0" w:color="auto"/>
              <w:left w:val="single" w:sz="4" w:space="0" w:color="auto"/>
              <w:right w:val="single" w:sz="4" w:space="0" w:color="auto"/>
            </w:tcBorders>
            <w:shd w:val="clear" w:color="auto" w:fill="92D050"/>
            <w:vAlign w:val="center"/>
            <w:hideMark/>
          </w:tcPr>
          <w:p w14:paraId="05857BCC" w14:textId="77777777" w:rsidR="001F5D47" w:rsidRPr="001F5D47" w:rsidRDefault="001F5D47" w:rsidP="00FB3794">
            <w:pPr>
              <w:ind w:right="-634"/>
              <w:jc w:val="center"/>
              <w:rPr>
                <w:rFonts w:asciiTheme="majorHAnsi" w:hAnsiTheme="majorHAnsi" w:cstheme="majorHAnsi"/>
                <w:b/>
                <w:sz w:val="20"/>
                <w:szCs w:val="20"/>
                <w:lang w:val="ro-RO"/>
              </w:rPr>
            </w:pPr>
            <w:r w:rsidRPr="001F5D47">
              <w:rPr>
                <w:rFonts w:asciiTheme="majorHAnsi" w:hAnsiTheme="majorHAnsi" w:cstheme="majorHAnsi"/>
                <w:b/>
                <w:sz w:val="20"/>
                <w:szCs w:val="20"/>
                <w:lang w:val="ro-RO"/>
              </w:rPr>
              <w:t>Tipul plății</w:t>
            </w:r>
          </w:p>
        </w:tc>
        <w:tc>
          <w:tcPr>
            <w:tcW w:w="1036" w:type="dxa"/>
            <w:vMerge w:val="restart"/>
            <w:tcBorders>
              <w:top w:val="single" w:sz="4" w:space="0" w:color="auto"/>
              <w:left w:val="single" w:sz="4" w:space="0" w:color="auto"/>
              <w:right w:val="single" w:sz="4" w:space="0" w:color="auto"/>
            </w:tcBorders>
            <w:shd w:val="clear" w:color="auto" w:fill="92D050"/>
            <w:hideMark/>
          </w:tcPr>
          <w:p w14:paraId="6CEAF1BC"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La data de</w:t>
            </w:r>
          </w:p>
          <w:p w14:paraId="0C48B515"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31.12.2018</w:t>
            </w:r>
          </w:p>
        </w:tc>
        <w:tc>
          <w:tcPr>
            <w:tcW w:w="1219" w:type="dxa"/>
            <w:vMerge w:val="restart"/>
            <w:tcBorders>
              <w:top w:val="single" w:sz="4" w:space="0" w:color="auto"/>
              <w:left w:val="single" w:sz="4" w:space="0" w:color="auto"/>
              <w:right w:val="single" w:sz="4" w:space="0" w:color="auto"/>
            </w:tcBorders>
            <w:shd w:val="clear" w:color="auto" w:fill="92D050"/>
            <w:hideMark/>
          </w:tcPr>
          <w:p w14:paraId="5C579CCD"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La data de</w:t>
            </w:r>
          </w:p>
          <w:p w14:paraId="28274AD4"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31.12.2019</w:t>
            </w:r>
          </w:p>
        </w:tc>
        <w:tc>
          <w:tcPr>
            <w:tcW w:w="1167" w:type="dxa"/>
            <w:vMerge w:val="restart"/>
            <w:tcBorders>
              <w:top w:val="single" w:sz="4" w:space="0" w:color="auto"/>
              <w:left w:val="single" w:sz="4" w:space="0" w:color="auto"/>
              <w:right w:val="single" w:sz="4" w:space="0" w:color="auto"/>
            </w:tcBorders>
            <w:shd w:val="clear" w:color="auto" w:fill="92D050"/>
            <w:hideMark/>
          </w:tcPr>
          <w:p w14:paraId="066E5F24"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La data de</w:t>
            </w:r>
          </w:p>
          <w:p w14:paraId="53449D6D"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31.12.2020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92D050"/>
          </w:tcPr>
          <w:p w14:paraId="0A584507" w14:textId="77777777" w:rsidR="001F5D47" w:rsidRPr="001F5D47" w:rsidRDefault="001F5D47" w:rsidP="00FB3794">
            <w:pPr>
              <w:ind w:right="-634"/>
              <w:rPr>
                <w:rFonts w:asciiTheme="majorHAnsi" w:hAnsiTheme="majorHAnsi" w:cstheme="majorHAnsi"/>
                <w:b/>
                <w:sz w:val="20"/>
                <w:szCs w:val="20"/>
                <w:lang w:val="ro-RO"/>
              </w:rPr>
            </w:pPr>
            <w:r w:rsidRPr="001F5D47">
              <w:rPr>
                <w:rFonts w:ascii="Calibri Light" w:hAnsi="Calibri Light" w:cs="Calibri Light"/>
                <w:b/>
                <w:bCs/>
                <w:color w:val="000000"/>
                <w:sz w:val="20"/>
                <w:szCs w:val="20"/>
                <w:lang w:val="ro-RO"/>
              </w:rPr>
              <w:t>Devieri 2020/2019</w:t>
            </w:r>
          </w:p>
        </w:tc>
        <w:tc>
          <w:tcPr>
            <w:tcW w:w="1698" w:type="dxa"/>
            <w:gridSpan w:val="2"/>
            <w:tcBorders>
              <w:top w:val="single" w:sz="4" w:space="0" w:color="auto"/>
              <w:left w:val="single" w:sz="4" w:space="0" w:color="auto"/>
              <w:bottom w:val="single" w:sz="4" w:space="0" w:color="auto"/>
              <w:right w:val="single" w:sz="4" w:space="0" w:color="auto"/>
            </w:tcBorders>
            <w:shd w:val="clear" w:color="auto" w:fill="92D050"/>
          </w:tcPr>
          <w:p w14:paraId="775CDCA1" w14:textId="77777777" w:rsidR="001F5D47" w:rsidRPr="001F5D47" w:rsidRDefault="001F5D47" w:rsidP="00FB3794">
            <w:pPr>
              <w:ind w:right="-634"/>
              <w:rPr>
                <w:rFonts w:asciiTheme="majorHAnsi" w:hAnsiTheme="majorHAnsi" w:cstheme="majorHAnsi"/>
                <w:b/>
                <w:sz w:val="20"/>
                <w:szCs w:val="20"/>
                <w:lang w:val="ro-RO"/>
              </w:rPr>
            </w:pPr>
            <w:r w:rsidRPr="001F5D47">
              <w:rPr>
                <w:rFonts w:ascii="Calibri Light" w:hAnsi="Calibri Light" w:cs="Calibri Light"/>
                <w:b/>
                <w:bCs/>
                <w:color w:val="000000"/>
                <w:sz w:val="20"/>
                <w:szCs w:val="20"/>
                <w:lang w:val="ro-RO"/>
              </w:rPr>
              <w:t>Devieri 2020/2018</w:t>
            </w:r>
          </w:p>
        </w:tc>
      </w:tr>
      <w:tr w:rsidR="001F5D47" w:rsidRPr="001F5D47" w14:paraId="7BCA3D5F" w14:textId="77777777" w:rsidTr="005A4F77">
        <w:trPr>
          <w:gridAfter w:val="1"/>
          <w:wAfter w:w="6" w:type="dxa"/>
          <w:trHeight w:val="252"/>
        </w:trPr>
        <w:tc>
          <w:tcPr>
            <w:tcW w:w="3325" w:type="dxa"/>
            <w:vMerge/>
            <w:tcBorders>
              <w:left w:val="single" w:sz="4" w:space="0" w:color="auto"/>
              <w:bottom w:val="single" w:sz="4" w:space="0" w:color="auto"/>
              <w:right w:val="single" w:sz="4" w:space="0" w:color="auto"/>
            </w:tcBorders>
            <w:shd w:val="clear" w:color="auto" w:fill="92D050"/>
            <w:vAlign w:val="center"/>
          </w:tcPr>
          <w:p w14:paraId="646277ED" w14:textId="77777777" w:rsidR="001F5D47" w:rsidRPr="001F5D47" w:rsidRDefault="001F5D47" w:rsidP="00FB3794">
            <w:pPr>
              <w:ind w:right="-634"/>
              <w:jc w:val="center"/>
              <w:rPr>
                <w:rFonts w:asciiTheme="majorHAnsi" w:hAnsiTheme="majorHAnsi" w:cstheme="majorHAnsi"/>
                <w:b/>
                <w:sz w:val="20"/>
                <w:szCs w:val="20"/>
                <w:lang w:val="ro-RO"/>
              </w:rPr>
            </w:pPr>
          </w:p>
        </w:tc>
        <w:tc>
          <w:tcPr>
            <w:tcW w:w="1036" w:type="dxa"/>
            <w:vMerge/>
            <w:tcBorders>
              <w:left w:val="single" w:sz="4" w:space="0" w:color="auto"/>
              <w:bottom w:val="single" w:sz="4" w:space="0" w:color="auto"/>
              <w:right w:val="single" w:sz="4" w:space="0" w:color="auto"/>
            </w:tcBorders>
            <w:shd w:val="clear" w:color="auto" w:fill="92D050"/>
          </w:tcPr>
          <w:p w14:paraId="309FA800" w14:textId="77777777" w:rsidR="001F5D47" w:rsidRPr="001F5D47" w:rsidRDefault="001F5D47" w:rsidP="00FB3794">
            <w:pPr>
              <w:ind w:right="-634"/>
              <w:jc w:val="both"/>
              <w:rPr>
                <w:rFonts w:asciiTheme="majorHAnsi" w:hAnsiTheme="majorHAnsi" w:cstheme="majorHAnsi"/>
                <w:b/>
                <w:sz w:val="20"/>
                <w:szCs w:val="20"/>
                <w:lang w:val="ro-RO"/>
              </w:rPr>
            </w:pPr>
          </w:p>
        </w:tc>
        <w:tc>
          <w:tcPr>
            <w:tcW w:w="1219" w:type="dxa"/>
            <w:vMerge/>
            <w:tcBorders>
              <w:left w:val="single" w:sz="4" w:space="0" w:color="auto"/>
              <w:bottom w:val="single" w:sz="4" w:space="0" w:color="auto"/>
              <w:right w:val="single" w:sz="4" w:space="0" w:color="auto"/>
            </w:tcBorders>
            <w:shd w:val="clear" w:color="auto" w:fill="92D050"/>
          </w:tcPr>
          <w:p w14:paraId="77FCC6DD" w14:textId="77777777" w:rsidR="001F5D47" w:rsidRPr="001F5D47" w:rsidRDefault="001F5D47" w:rsidP="00FB3794">
            <w:pPr>
              <w:ind w:right="-634"/>
              <w:jc w:val="both"/>
              <w:rPr>
                <w:rFonts w:asciiTheme="majorHAnsi" w:hAnsiTheme="majorHAnsi" w:cstheme="majorHAnsi"/>
                <w:b/>
                <w:sz w:val="20"/>
                <w:szCs w:val="20"/>
                <w:lang w:val="ro-RO"/>
              </w:rPr>
            </w:pPr>
          </w:p>
        </w:tc>
        <w:tc>
          <w:tcPr>
            <w:tcW w:w="1167" w:type="dxa"/>
            <w:vMerge/>
            <w:tcBorders>
              <w:left w:val="single" w:sz="4" w:space="0" w:color="auto"/>
              <w:bottom w:val="single" w:sz="4" w:space="0" w:color="auto"/>
              <w:right w:val="single" w:sz="4" w:space="0" w:color="auto"/>
            </w:tcBorders>
            <w:shd w:val="clear" w:color="auto" w:fill="92D050"/>
          </w:tcPr>
          <w:p w14:paraId="3765F556" w14:textId="77777777" w:rsidR="001F5D47" w:rsidRPr="001F5D47" w:rsidRDefault="001F5D47" w:rsidP="00FB3794">
            <w:pPr>
              <w:ind w:right="-634"/>
              <w:jc w:val="both"/>
              <w:rPr>
                <w:rFonts w:asciiTheme="majorHAnsi" w:hAnsiTheme="majorHAnsi" w:cstheme="majorHAnsi"/>
                <w:b/>
                <w:sz w:val="20"/>
                <w:szCs w:val="20"/>
                <w:lang w:val="ro-RO"/>
              </w:rPr>
            </w:pPr>
          </w:p>
        </w:tc>
        <w:tc>
          <w:tcPr>
            <w:tcW w:w="1015" w:type="dxa"/>
            <w:tcBorders>
              <w:top w:val="single" w:sz="4" w:space="0" w:color="auto"/>
              <w:left w:val="single" w:sz="4" w:space="0" w:color="auto"/>
              <w:bottom w:val="single" w:sz="4" w:space="0" w:color="auto"/>
              <w:right w:val="single" w:sz="4" w:space="0" w:color="auto"/>
            </w:tcBorders>
            <w:shd w:val="clear" w:color="auto" w:fill="92D050"/>
          </w:tcPr>
          <w:p w14:paraId="5D81B131" w14:textId="77777777" w:rsidR="001F5D47" w:rsidRPr="001F5D47" w:rsidRDefault="001F5D47" w:rsidP="00FB3794">
            <w:pPr>
              <w:ind w:right="-634"/>
              <w:rPr>
                <w:rFonts w:asciiTheme="majorHAnsi" w:hAnsiTheme="majorHAnsi" w:cstheme="majorHAnsi"/>
                <w:b/>
                <w:sz w:val="20"/>
                <w:szCs w:val="20"/>
                <w:lang w:val="ro-RO"/>
              </w:rPr>
            </w:pPr>
            <w:r w:rsidRPr="001F5D47">
              <w:rPr>
                <w:rFonts w:ascii="Calibri Light" w:hAnsi="Calibri Light" w:cs="Calibri Light"/>
                <w:b/>
                <w:bCs/>
                <w:color w:val="000000"/>
                <w:sz w:val="20"/>
                <w:szCs w:val="20"/>
                <w:lang w:val="ro-RO"/>
              </w:rPr>
              <w:t>(+/-)</w:t>
            </w:r>
          </w:p>
        </w:tc>
        <w:tc>
          <w:tcPr>
            <w:tcW w:w="932" w:type="dxa"/>
            <w:tcBorders>
              <w:top w:val="single" w:sz="4" w:space="0" w:color="auto"/>
              <w:left w:val="single" w:sz="4" w:space="0" w:color="auto"/>
              <w:bottom w:val="single" w:sz="4" w:space="0" w:color="auto"/>
              <w:right w:val="single" w:sz="4" w:space="0" w:color="auto"/>
            </w:tcBorders>
            <w:shd w:val="clear" w:color="auto" w:fill="92D050"/>
          </w:tcPr>
          <w:p w14:paraId="5377938B" w14:textId="77777777" w:rsidR="001F5D47" w:rsidRPr="001F5D47" w:rsidRDefault="001F5D47" w:rsidP="00FB3794">
            <w:pPr>
              <w:ind w:right="-634"/>
              <w:rPr>
                <w:rFonts w:asciiTheme="majorHAnsi" w:hAnsiTheme="majorHAnsi" w:cstheme="majorHAnsi"/>
                <w:b/>
                <w:sz w:val="20"/>
                <w:szCs w:val="20"/>
                <w:lang w:val="ro-RO"/>
              </w:rPr>
            </w:pPr>
            <w:r w:rsidRPr="001F5D47">
              <w:rPr>
                <w:rFonts w:asciiTheme="majorHAnsi" w:hAnsiTheme="majorHAnsi" w:cstheme="majorHAnsi"/>
                <w:b/>
                <w:sz w:val="20"/>
                <w:szCs w:val="20"/>
                <w:lang w:val="ro-RO"/>
              </w:rPr>
              <w:t>%</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2D64272B" w14:textId="77777777" w:rsidR="001F5D47" w:rsidRPr="001F5D47" w:rsidRDefault="001F5D47" w:rsidP="00FB3794">
            <w:pPr>
              <w:ind w:right="-634"/>
              <w:rPr>
                <w:rFonts w:asciiTheme="majorHAnsi" w:hAnsiTheme="majorHAnsi" w:cstheme="majorHAnsi"/>
                <w:b/>
                <w:sz w:val="20"/>
                <w:szCs w:val="20"/>
                <w:lang w:val="ro-RO"/>
              </w:rPr>
            </w:pPr>
            <w:r w:rsidRPr="001F5D47">
              <w:rPr>
                <w:rFonts w:ascii="Calibri Light" w:hAnsi="Calibri Light" w:cs="Calibri Light"/>
                <w:b/>
                <w:bCs/>
                <w:color w:val="000000"/>
                <w:sz w:val="20"/>
                <w:szCs w:val="20"/>
                <w:lang w:val="ro-RO"/>
              </w:rPr>
              <w:t>(+/-)</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763F7722" w14:textId="77777777" w:rsidR="001F5D47" w:rsidRPr="001F5D47" w:rsidRDefault="001F5D47" w:rsidP="00FB3794">
            <w:pPr>
              <w:ind w:right="-634"/>
              <w:rPr>
                <w:rFonts w:asciiTheme="majorHAnsi" w:hAnsiTheme="majorHAnsi" w:cstheme="majorHAnsi"/>
                <w:b/>
                <w:sz w:val="20"/>
                <w:szCs w:val="20"/>
                <w:lang w:val="ro-RO"/>
              </w:rPr>
            </w:pPr>
            <w:r w:rsidRPr="001F5D47">
              <w:rPr>
                <w:rFonts w:asciiTheme="majorHAnsi" w:hAnsiTheme="majorHAnsi" w:cstheme="majorHAnsi"/>
                <w:b/>
                <w:sz w:val="20"/>
                <w:szCs w:val="20"/>
                <w:lang w:val="ro-RO"/>
              </w:rPr>
              <w:t>%</w:t>
            </w:r>
          </w:p>
        </w:tc>
      </w:tr>
      <w:tr w:rsidR="001F5D47" w:rsidRPr="001F5D47" w14:paraId="02EA6DAE" w14:textId="77777777" w:rsidTr="0097561C">
        <w:tc>
          <w:tcPr>
            <w:tcW w:w="10398"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8A1669E" w14:textId="77777777" w:rsidR="001F5D47" w:rsidRPr="001F5D47" w:rsidRDefault="001F5D47" w:rsidP="00FB3794">
            <w:pPr>
              <w:ind w:right="-634"/>
              <w:jc w:val="both"/>
              <w:rPr>
                <w:rFonts w:asciiTheme="majorHAnsi" w:hAnsiTheme="majorHAnsi" w:cstheme="majorHAnsi"/>
                <w:b/>
                <w:sz w:val="20"/>
                <w:szCs w:val="20"/>
                <w:lang w:val="ro-RO"/>
              </w:rPr>
            </w:pPr>
            <w:r w:rsidRPr="001F5D47">
              <w:rPr>
                <w:rFonts w:asciiTheme="majorHAnsi" w:hAnsiTheme="majorHAnsi" w:cstheme="majorHAnsi"/>
                <w:b/>
                <w:sz w:val="20"/>
                <w:szCs w:val="20"/>
                <w:lang w:val="ro-RO"/>
              </w:rPr>
              <w:t>Prestații finanțate din resursele generale ale BASS</w:t>
            </w:r>
          </w:p>
        </w:tc>
      </w:tr>
      <w:tr w:rsidR="001F5D47" w:rsidRPr="001F5D47" w14:paraId="6DB134C4"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687A5C80" w14:textId="462F0A3E" w:rsidR="001F5D47" w:rsidRPr="001F5D47" w:rsidRDefault="001F5D47" w:rsidP="00FB3794">
            <w:pPr>
              <w:ind w:right="-634"/>
              <w:jc w:val="both"/>
              <w:rPr>
                <w:rFonts w:asciiTheme="majorHAnsi" w:hAnsiTheme="majorHAnsi" w:cstheme="majorHAnsi"/>
                <w:sz w:val="20"/>
                <w:szCs w:val="20"/>
                <w:lang w:val="ro-RO"/>
              </w:rPr>
            </w:pPr>
            <w:r w:rsidRPr="001F5D47">
              <w:rPr>
                <w:rFonts w:asciiTheme="majorHAnsi" w:hAnsiTheme="majorHAnsi" w:cstheme="majorHAnsi"/>
                <w:sz w:val="20"/>
                <w:szCs w:val="20"/>
                <w:lang w:val="ro-RO"/>
              </w:rPr>
              <w:t>Protecți</w:t>
            </w:r>
            <w:r>
              <w:rPr>
                <w:rFonts w:asciiTheme="majorHAnsi" w:hAnsiTheme="majorHAnsi" w:cstheme="majorHAnsi"/>
                <w:sz w:val="20"/>
                <w:szCs w:val="20"/>
                <w:lang w:val="ro-RO"/>
              </w:rPr>
              <w:t xml:space="preserve">e a persoanelor în etate pensie </w:t>
            </w:r>
            <w:r w:rsidR="00164828">
              <w:rPr>
                <w:rFonts w:asciiTheme="majorHAnsi" w:hAnsiTheme="majorHAnsi" w:cstheme="majorHAnsi"/>
                <w:sz w:val="20"/>
                <w:szCs w:val="20"/>
                <w:lang w:val="ro-RO"/>
              </w:rPr>
              <w:t>(</w:t>
            </w:r>
            <w:r w:rsidRPr="001F5D47">
              <w:rPr>
                <w:rFonts w:asciiTheme="majorHAnsi" w:hAnsiTheme="majorHAnsi" w:cstheme="majorHAnsi"/>
                <w:sz w:val="20"/>
                <w:szCs w:val="20"/>
                <w:lang w:val="ro-RO"/>
              </w:rPr>
              <w:t>pentru limit</w:t>
            </w:r>
            <w:r w:rsidR="00164828">
              <w:rPr>
                <w:rFonts w:asciiTheme="majorHAnsi" w:hAnsiTheme="majorHAnsi" w:cstheme="majorHAnsi"/>
                <w:sz w:val="20"/>
                <w:szCs w:val="20"/>
                <w:lang w:val="ro-RO"/>
              </w:rPr>
              <w:t>ă</w:t>
            </w:r>
            <w:r w:rsidRPr="001F5D47">
              <w:rPr>
                <w:rFonts w:asciiTheme="majorHAnsi" w:hAnsiTheme="majorHAnsi" w:cstheme="majorHAnsi"/>
                <w:sz w:val="20"/>
                <w:szCs w:val="20"/>
                <w:lang w:val="ro-RO"/>
              </w:rPr>
              <w:t xml:space="preserve"> de vârstă, pensie pentru </w:t>
            </w:r>
          </w:p>
          <w:p w14:paraId="393B79BC" w14:textId="1B76C5BD" w:rsidR="001F5D47" w:rsidRPr="001F5D47" w:rsidRDefault="001F5D47" w:rsidP="00FB3794">
            <w:pPr>
              <w:ind w:right="-634"/>
              <w:jc w:val="both"/>
              <w:rPr>
                <w:rFonts w:asciiTheme="majorHAnsi" w:hAnsiTheme="majorHAnsi" w:cstheme="majorHAnsi"/>
                <w:sz w:val="20"/>
                <w:szCs w:val="20"/>
                <w:lang w:val="ro-RO"/>
              </w:rPr>
            </w:pPr>
            <w:r w:rsidRPr="001F5D47">
              <w:rPr>
                <w:rFonts w:asciiTheme="majorHAnsi" w:hAnsiTheme="majorHAnsi" w:cstheme="majorHAnsi"/>
                <w:sz w:val="20"/>
                <w:szCs w:val="20"/>
                <w:lang w:val="ro-RO"/>
              </w:rPr>
              <w:t>deputați, pensie pentru procurori etc</w:t>
            </w:r>
            <w:r w:rsidR="00164828">
              <w:rPr>
                <w:rFonts w:asciiTheme="majorHAnsi" w:hAnsiTheme="majorHAnsi" w:cstheme="majorHAnsi"/>
                <w:sz w:val="20"/>
                <w:szCs w:val="20"/>
                <w:lang w:val="ro-RO"/>
              </w:rPr>
              <w:t>.</w:t>
            </w:r>
            <w:r w:rsidRPr="001F5D47">
              <w:rPr>
                <w:rFonts w:asciiTheme="majorHAnsi"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9B9F5F7"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543 418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E1DE850"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538519</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C6607E6"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532979</w:t>
            </w:r>
          </w:p>
        </w:tc>
        <w:tc>
          <w:tcPr>
            <w:tcW w:w="1015" w:type="dxa"/>
            <w:tcBorders>
              <w:top w:val="single" w:sz="4" w:space="0" w:color="auto"/>
              <w:left w:val="single" w:sz="4" w:space="0" w:color="auto"/>
              <w:bottom w:val="single" w:sz="4" w:space="0" w:color="auto"/>
              <w:right w:val="single" w:sz="4" w:space="0" w:color="auto"/>
            </w:tcBorders>
            <w:vAlign w:val="center"/>
          </w:tcPr>
          <w:p w14:paraId="0149DD4C"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-5540</w:t>
            </w:r>
          </w:p>
        </w:tc>
        <w:tc>
          <w:tcPr>
            <w:tcW w:w="932" w:type="dxa"/>
            <w:tcBorders>
              <w:top w:val="single" w:sz="4" w:space="0" w:color="auto"/>
              <w:left w:val="single" w:sz="4" w:space="0" w:color="auto"/>
              <w:bottom w:val="single" w:sz="4" w:space="0" w:color="auto"/>
              <w:right w:val="single" w:sz="4" w:space="0" w:color="auto"/>
            </w:tcBorders>
            <w:vAlign w:val="center"/>
          </w:tcPr>
          <w:p w14:paraId="09BB5ED1"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99.0</w:t>
            </w:r>
          </w:p>
        </w:tc>
        <w:tc>
          <w:tcPr>
            <w:tcW w:w="849" w:type="dxa"/>
            <w:tcBorders>
              <w:top w:val="single" w:sz="4" w:space="0" w:color="auto"/>
              <w:left w:val="single" w:sz="4" w:space="0" w:color="auto"/>
              <w:bottom w:val="single" w:sz="4" w:space="0" w:color="auto"/>
              <w:right w:val="single" w:sz="4" w:space="0" w:color="auto"/>
            </w:tcBorders>
            <w:vAlign w:val="center"/>
          </w:tcPr>
          <w:p w14:paraId="74311FDC"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-10439</w:t>
            </w:r>
          </w:p>
        </w:tc>
        <w:tc>
          <w:tcPr>
            <w:tcW w:w="849" w:type="dxa"/>
            <w:tcBorders>
              <w:top w:val="single" w:sz="4" w:space="0" w:color="auto"/>
              <w:left w:val="single" w:sz="4" w:space="0" w:color="auto"/>
              <w:bottom w:val="single" w:sz="4" w:space="0" w:color="auto"/>
              <w:right w:val="single" w:sz="4" w:space="0" w:color="auto"/>
            </w:tcBorders>
            <w:vAlign w:val="center"/>
          </w:tcPr>
          <w:p w14:paraId="1BA03F83"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98.1</w:t>
            </w:r>
          </w:p>
        </w:tc>
      </w:tr>
      <w:tr w:rsidR="001F5D47" w:rsidRPr="001F5D47" w14:paraId="1E637F6C"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42423B8A"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Protecție în legătură cu </w:t>
            </w:r>
          </w:p>
          <w:p w14:paraId="01F2EC30" w14:textId="75BD0151"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pierderea întreținătorului (pensie de</w:t>
            </w:r>
          </w:p>
          <w:p w14:paraId="5F5B92C0" w14:textId="4E42BB46"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 urmaș, ajutor de deces a șomerului 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719BB20"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43 385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12C9045"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43091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5A77224"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45798</w:t>
            </w:r>
          </w:p>
        </w:tc>
        <w:tc>
          <w:tcPr>
            <w:tcW w:w="1015" w:type="dxa"/>
            <w:tcBorders>
              <w:top w:val="single" w:sz="4" w:space="0" w:color="auto"/>
              <w:left w:val="single" w:sz="4" w:space="0" w:color="auto"/>
              <w:bottom w:val="single" w:sz="4" w:space="0" w:color="auto"/>
              <w:right w:val="single" w:sz="4" w:space="0" w:color="auto"/>
            </w:tcBorders>
            <w:vAlign w:val="center"/>
          </w:tcPr>
          <w:p w14:paraId="33D2CF6E"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2707</w:t>
            </w:r>
          </w:p>
        </w:tc>
        <w:tc>
          <w:tcPr>
            <w:tcW w:w="932" w:type="dxa"/>
            <w:tcBorders>
              <w:top w:val="single" w:sz="4" w:space="0" w:color="auto"/>
              <w:left w:val="single" w:sz="4" w:space="0" w:color="auto"/>
              <w:bottom w:val="single" w:sz="4" w:space="0" w:color="auto"/>
              <w:right w:val="single" w:sz="4" w:space="0" w:color="auto"/>
            </w:tcBorders>
            <w:vAlign w:val="center"/>
          </w:tcPr>
          <w:p w14:paraId="396C8EA5" w14:textId="77777777" w:rsidR="001F5D47" w:rsidRPr="001F5D47" w:rsidRDefault="001F5D47" w:rsidP="00FB3794">
            <w:pPr>
              <w:ind w:right="-634"/>
              <w:rPr>
                <w:rFonts w:asciiTheme="majorHAnsi" w:eastAsia="Times New Roman" w:hAnsiTheme="majorHAnsi" w:cstheme="majorHAnsi"/>
                <w:sz w:val="20"/>
                <w:szCs w:val="20"/>
              </w:rPr>
            </w:pPr>
            <w:r w:rsidRPr="001F5D47">
              <w:rPr>
                <w:rFonts w:asciiTheme="majorHAnsi" w:eastAsia="Times New Roman" w:hAnsiTheme="majorHAnsi" w:cstheme="majorHAnsi"/>
                <w:sz w:val="20"/>
                <w:szCs w:val="20"/>
              </w:rPr>
              <w:t>106.3</w:t>
            </w:r>
          </w:p>
        </w:tc>
        <w:tc>
          <w:tcPr>
            <w:tcW w:w="849" w:type="dxa"/>
            <w:tcBorders>
              <w:top w:val="single" w:sz="4" w:space="0" w:color="auto"/>
              <w:left w:val="single" w:sz="4" w:space="0" w:color="auto"/>
              <w:bottom w:val="single" w:sz="4" w:space="0" w:color="auto"/>
              <w:right w:val="single" w:sz="4" w:space="0" w:color="auto"/>
            </w:tcBorders>
            <w:vAlign w:val="center"/>
          </w:tcPr>
          <w:p w14:paraId="14A9280F"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2309</w:t>
            </w:r>
          </w:p>
        </w:tc>
        <w:tc>
          <w:tcPr>
            <w:tcW w:w="849" w:type="dxa"/>
            <w:tcBorders>
              <w:top w:val="single" w:sz="4" w:space="0" w:color="auto"/>
              <w:left w:val="single" w:sz="4" w:space="0" w:color="auto"/>
              <w:bottom w:val="single" w:sz="4" w:space="0" w:color="auto"/>
              <w:right w:val="single" w:sz="4" w:space="0" w:color="auto"/>
            </w:tcBorders>
            <w:vAlign w:val="center"/>
          </w:tcPr>
          <w:p w14:paraId="3872924E"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105.3</w:t>
            </w:r>
          </w:p>
        </w:tc>
      </w:tr>
      <w:tr w:rsidR="001F5D47" w:rsidRPr="001F5D47" w14:paraId="5C9326F5"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6A1C17D7"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Protecția persoanelor cu dizabilități</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2CB897E"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125 489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5668050"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123276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855593A"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119389</w:t>
            </w:r>
          </w:p>
        </w:tc>
        <w:tc>
          <w:tcPr>
            <w:tcW w:w="1015" w:type="dxa"/>
            <w:tcBorders>
              <w:top w:val="single" w:sz="4" w:space="0" w:color="auto"/>
              <w:left w:val="single" w:sz="4" w:space="0" w:color="auto"/>
              <w:bottom w:val="single" w:sz="4" w:space="0" w:color="auto"/>
              <w:right w:val="single" w:sz="4" w:space="0" w:color="auto"/>
            </w:tcBorders>
            <w:vAlign w:val="center"/>
          </w:tcPr>
          <w:p w14:paraId="6D4CC994"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-3887</w:t>
            </w:r>
          </w:p>
        </w:tc>
        <w:tc>
          <w:tcPr>
            <w:tcW w:w="932" w:type="dxa"/>
            <w:tcBorders>
              <w:top w:val="single" w:sz="4" w:space="0" w:color="auto"/>
              <w:left w:val="single" w:sz="4" w:space="0" w:color="auto"/>
              <w:bottom w:val="single" w:sz="4" w:space="0" w:color="auto"/>
              <w:right w:val="single" w:sz="4" w:space="0" w:color="auto"/>
            </w:tcBorders>
            <w:vAlign w:val="center"/>
          </w:tcPr>
          <w:p w14:paraId="35DE25DB"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96.8</w:t>
            </w:r>
          </w:p>
        </w:tc>
        <w:tc>
          <w:tcPr>
            <w:tcW w:w="849" w:type="dxa"/>
            <w:tcBorders>
              <w:top w:val="single" w:sz="4" w:space="0" w:color="auto"/>
              <w:left w:val="single" w:sz="4" w:space="0" w:color="auto"/>
              <w:bottom w:val="single" w:sz="4" w:space="0" w:color="auto"/>
              <w:right w:val="single" w:sz="4" w:space="0" w:color="auto"/>
            </w:tcBorders>
            <w:vAlign w:val="center"/>
          </w:tcPr>
          <w:p w14:paraId="265F1C66"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-6100</w:t>
            </w:r>
          </w:p>
        </w:tc>
        <w:tc>
          <w:tcPr>
            <w:tcW w:w="849" w:type="dxa"/>
            <w:tcBorders>
              <w:top w:val="single" w:sz="4" w:space="0" w:color="auto"/>
              <w:left w:val="single" w:sz="4" w:space="0" w:color="auto"/>
              <w:bottom w:val="single" w:sz="4" w:space="0" w:color="auto"/>
              <w:right w:val="single" w:sz="4" w:space="0" w:color="auto"/>
            </w:tcBorders>
            <w:vAlign w:val="center"/>
          </w:tcPr>
          <w:p w14:paraId="29D146BA"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95.1</w:t>
            </w:r>
          </w:p>
        </w:tc>
      </w:tr>
      <w:tr w:rsidR="001F5D47" w:rsidRPr="001F5D47" w14:paraId="55F14CC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144A7998"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Protecție în caz de incapacitate </w:t>
            </w:r>
          </w:p>
          <w:p w14:paraId="082787FA"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temporară de muncă</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F98276F"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257 804</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B2DAE35"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217997</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280FBD9"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221525</w:t>
            </w:r>
          </w:p>
        </w:tc>
        <w:tc>
          <w:tcPr>
            <w:tcW w:w="1015" w:type="dxa"/>
            <w:tcBorders>
              <w:top w:val="single" w:sz="4" w:space="0" w:color="auto"/>
              <w:left w:val="single" w:sz="4" w:space="0" w:color="auto"/>
              <w:bottom w:val="single" w:sz="4" w:space="0" w:color="auto"/>
              <w:right w:val="single" w:sz="4" w:space="0" w:color="auto"/>
            </w:tcBorders>
            <w:vAlign w:val="center"/>
          </w:tcPr>
          <w:p w14:paraId="094A9072"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3528</w:t>
            </w:r>
          </w:p>
        </w:tc>
        <w:tc>
          <w:tcPr>
            <w:tcW w:w="932" w:type="dxa"/>
            <w:tcBorders>
              <w:top w:val="single" w:sz="4" w:space="0" w:color="auto"/>
              <w:left w:val="single" w:sz="4" w:space="0" w:color="auto"/>
              <w:bottom w:val="single" w:sz="4" w:space="0" w:color="auto"/>
              <w:right w:val="single" w:sz="4" w:space="0" w:color="auto"/>
            </w:tcBorders>
            <w:vAlign w:val="center"/>
          </w:tcPr>
          <w:p w14:paraId="0C942C6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101.6</w:t>
            </w:r>
          </w:p>
        </w:tc>
        <w:tc>
          <w:tcPr>
            <w:tcW w:w="849" w:type="dxa"/>
            <w:tcBorders>
              <w:top w:val="single" w:sz="4" w:space="0" w:color="auto"/>
              <w:left w:val="single" w:sz="4" w:space="0" w:color="auto"/>
              <w:bottom w:val="single" w:sz="4" w:space="0" w:color="auto"/>
              <w:right w:val="single" w:sz="4" w:space="0" w:color="auto"/>
            </w:tcBorders>
            <w:vAlign w:val="center"/>
          </w:tcPr>
          <w:p w14:paraId="2B7712E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-36279</w:t>
            </w:r>
          </w:p>
        </w:tc>
        <w:tc>
          <w:tcPr>
            <w:tcW w:w="849" w:type="dxa"/>
            <w:tcBorders>
              <w:top w:val="single" w:sz="4" w:space="0" w:color="auto"/>
              <w:left w:val="single" w:sz="4" w:space="0" w:color="auto"/>
              <w:bottom w:val="single" w:sz="4" w:space="0" w:color="auto"/>
              <w:right w:val="single" w:sz="4" w:space="0" w:color="auto"/>
            </w:tcBorders>
            <w:vAlign w:val="center"/>
          </w:tcPr>
          <w:p w14:paraId="121BF777"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85.9</w:t>
            </w:r>
          </w:p>
        </w:tc>
      </w:tr>
      <w:tr w:rsidR="001F5D47" w:rsidRPr="001F5D47" w14:paraId="55B86AE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0EF331E3" w14:textId="77777777" w:rsidR="005A4F7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Protecție a familiei și copilului </w:t>
            </w:r>
          </w:p>
          <w:p w14:paraId="2F46C86B" w14:textId="77777777" w:rsidR="005A4F7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(indemni</w:t>
            </w:r>
            <w:r>
              <w:rPr>
                <w:rFonts w:asciiTheme="majorHAnsi" w:eastAsia="Times New Roman" w:hAnsiTheme="majorHAnsi" w:cstheme="majorHAnsi"/>
                <w:sz w:val="20"/>
                <w:szCs w:val="20"/>
                <w:lang w:val="ro-RO"/>
              </w:rPr>
              <w:t>niza</w:t>
            </w:r>
            <w:r w:rsidRPr="001F5D47">
              <w:rPr>
                <w:rFonts w:asciiTheme="majorHAnsi" w:eastAsia="Times New Roman" w:hAnsiTheme="majorHAnsi" w:cstheme="majorHAnsi"/>
                <w:sz w:val="20"/>
                <w:szCs w:val="20"/>
                <w:lang w:val="ro-RO"/>
              </w:rPr>
              <w:t xml:space="preserve"> maternitate, îngrijire a </w:t>
            </w:r>
          </w:p>
          <w:p w14:paraId="1B9263C3" w14:textId="68AC2650"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copilului </w:t>
            </w:r>
          </w:p>
          <w:p w14:paraId="5A09DEAB" w14:textId="1934BC31"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 xml:space="preserve">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7B0341E"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70 662</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DCC2F40"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72856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D3D879D"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73863</w:t>
            </w:r>
          </w:p>
        </w:tc>
        <w:tc>
          <w:tcPr>
            <w:tcW w:w="1015" w:type="dxa"/>
            <w:tcBorders>
              <w:top w:val="single" w:sz="4" w:space="0" w:color="auto"/>
              <w:left w:val="single" w:sz="4" w:space="0" w:color="auto"/>
              <w:bottom w:val="single" w:sz="4" w:space="0" w:color="auto"/>
              <w:right w:val="single" w:sz="4" w:space="0" w:color="auto"/>
            </w:tcBorders>
            <w:vAlign w:val="center"/>
          </w:tcPr>
          <w:p w14:paraId="2C8851F3"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1007</w:t>
            </w:r>
          </w:p>
        </w:tc>
        <w:tc>
          <w:tcPr>
            <w:tcW w:w="932" w:type="dxa"/>
            <w:tcBorders>
              <w:top w:val="single" w:sz="4" w:space="0" w:color="auto"/>
              <w:left w:val="single" w:sz="4" w:space="0" w:color="auto"/>
              <w:bottom w:val="single" w:sz="4" w:space="0" w:color="auto"/>
              <w:right w:val="single" w:sz="4" w:space="0" w:color="auto"/>
            </w:tcBorders>
            <w:vAlign w:val="center"/>
          </w:tcPr>
          <w:p w14:paraId="04BCAECC"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101.4</w:t>
            </w:r>
          </w:p>
        </w:tc>
        <w:tc>
          <w:tcPr>
            <w:tcW w:w="849" w:type="dxa"/>
            <w:tcBorders>
              <w:top w:val="single" w:sz="4" w:space="0" w:color="auto"/>
              <w:left w:val="single" w:sz="4" w:space="0" w:color="auto"/>
              <w:bottom w:val="single" w:sz="4" w:space="0" w:color="auto"/>
              <w:right w:val="single" w:sz="4" w:space="0" w:color="auto"/>
            </w:tcBorders>
            <w:vAlign w:val="center"/>
          </w:tcPr>
          <w:p w14:paraId="558A8194"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3201</w:t>
            </w:r>
          </w:p>
        </w:tc>
        <w:tc>
          <w:tcPr>
            <w:tcW w:w="849" w:type="dxa"/>
            <w:tcBorders>
              <w:top w:val="single" w:sz="4" w:space="0" w:color="auto"/>
              <w:left w:val="single" w:sz="4" w:space="0" w:color="auto"/>
              <w:bottom w:val="single" w:sz="4" w:space="0" w:color="auto"/>
              <w:right w:val="single" w:sz="4" w:space="0" w:color="auto"/>
            </w:tcBorders>
            <w:vAlign w:val="center"/>
          </w:tcPr>
          <w:p w14:paraId="3D99F0D2"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104.5</w:t>
            </w:r>
          </w:p>
        </w:tc>
      </w:tr>
      <w:tr w:rsidR="001F5D47" w:rsidRPr="001F5D47" w14:paraId="3A1BB2C8"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1EE9E5C1"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Protecția șomerilor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E1FDBAF"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3 368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73B6F62"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2654</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E2D064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3010</w:t>
            </w:r>
          </w:p>
        </w:tc>
        <w:tc>
          <w:tcPr>
            <w:tcW w:w="1015" w:type="dxa"/>
            <w:tcBorders>
              <w:top w:val="single" w:sz="4" w:space="0" w:color="auto"/>
              <w:left w:val="single" w:sz="4" w:space="0" w:color="auto"/>
              <w:bottom w:val="single" w:sz="4" w:space="0" w:color="auto"/>
              <w:right w:val="single" w:sz="4" w:space="0" w:color="auto"/>
            </w:tcBorders>
            <w:vAlign w:val="center"/>
          </w:tcPr>
          <w:p w14:paraId="6055A4A2"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356</w:t>
            </w:r>
          </w:p>
        </w:tc>
        <w:tc>
          <w:tcPr>
            <w:tcW w:w="932" w:type="dxa"/>
            <w:tcBorders>
              <w:top w:val="single" w:sz="4" w:space="0" w:color="auto"/>
              <w:left w:val="single" w:sz="4" w:space="0" w:color="auto"/>
              <w:bottom w:val="single" w:sz="4" w:space="0" w:color="auto"/>
              <w:right w:val="single" w:sz="4" w:space="0" w:color="auto"/>
            </w:tcBorders>
            <w:vAlign w:val="center"/>
          </w:tcPr>
          <w:p w14:paraId="5099BD75"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113.4</w:t>
            </w:r>
          </w:p>
        </w:tc>
        <w:tc>
          <w:tcPr>
            <w:tcW w:w="849" w:type="dxa"/>
            <w:tcBorders>
              <w:top w:val="single" w:sz="4" w:space="0" w:color="auto"/>
              <w:left w:val="single" w:sz="4" w:space="0" w:color="auto"/>
              <w:bottom w:val="single" w:sz="4" w:space="0" w:color="auto"/>
              <w:right w:val="single" w:sz="4" w:space="0" w:color="auto"/>
            </w:tcBorders>
            <w:vAlign w:val="center"/>
          </w:tcPr>
          <w:p w14:paraId="35060CD8"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-358</w:t>
            </w:r>
          </w:p>
        </w:tc>
        <w:tc>
          <w:tcPr>
            <w:tcW w:w="849" w:type="dxa"/>
            <w:tcBorders>
              <w:top w:val="single" w:sz="4" w:space="0" w:color="auto"/>
              <w:left w:val="single" w:sz="4" w:space="0" w:color="auto"/>
              <w:bottom w:val="single" w:sz="4" w:space="0" w:color="auto"/>
              <w:right w:val="single" w:sz="4" w:space="0" w:color="auto"/>
            </w:tcBorders>
            <w:vAlign w:val="center"/>
          </w:tcPr>
          <w:p w14:paraId="44277E0E"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89.4</w:t>
            </w:r>
          </w:p>
        </w:tc>
      </w:tr>
      <w:tr w:rsidR="001F5D47" w:rsidRPr="001F5D47" w14:paraId="2BD0988B"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53A67860"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Protecția socială a unor categorii de </w:t>
            </w:r>
          </w:p>
          <w:p w14:paraId="3464CCEC"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cetățeni (tratament balneo-sanitar)</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A164F9B"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5 623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4F8A6ED"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7092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228C616"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1725</w:t>
            </w:r>
          </w:p>
        </w:tc>
        <w:tc>
          <w:tcPr>
            <w:tcW w:w="1015" w:type="dxa"/>
            <w:tcBorders>
              <w:top w:val="single" w:sz="4" w:space="0" w:color="auto"/>
              <w:left w:val="single" w:sz="4" w:space="0" w:color="auto"/>
              <w:bottom w:val="single" w:sz="4" w:space="0" w:color="auto"/>
              <w:right w:val="single" w:sz="4" w:space="0" w:color="auto"/>
            </w:tcBorders>
            <w:vAlign w:val="center"/>
          </w:tcPr>
          <w:p w14:paraId="61441AB9"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-5367</w:t>
            </w:r>
          </w:p>
        </w:tc>
        <w:tc>
          <w:tcPr>
            <w:tcW w:w="932" w:type="dxa"/>
            <w:tcBorders>
              <w:top w:val="single" w:sz="4" w:space="0" w:color="auto"/>
              <w:left w:val="single" w:sz="4" w:space="0" w:color="auto"/>
              <w:bottom w:val="single" w:sz="4" w:space="0" w:color="auto"/>
              <w:right w:val="single" w:sz="4" w:space="0" w:color="auto"/>
            </w:tcBorders>
            <w:vAlign w:val="center"/>
          </w:tcPr>
          <w:p w14:paraId="0CC21828"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24.3</w:t>
            </w:r>
          </w:p>
        </w:tc>
        <w:tc>
          <w:tcPr>
            <w:tcW w:w="849" w:type="dxa"/>
            <w:tcBorders>
              <w:top w:val="single" w:sz="4" w:space="0" w:color="auto"/>
              <w:left w:val="single" w:sz="4" w:space="0" w:color="auto"/>
              <w:bottom w:val="single" w:sz="4" w:space="0" w:color="auto"/>
              <w:right w:val="single" w:sz="4" w:space="0" w:color="auto"/>
            </w:tcBorders>
            <w:vAlign w:val="center"/>
          </w:tcPr>
          <w:p w14:paraId="0D256E0E"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-3898</w:t>
            </w:r>
          </w:p>
        </w:tc>
        <w:tc>
          <w:tcPr>
            <w:tcW w:w="849" w:type="dxa"/>
            <w:tcBorders>
              <w:top w:val="single" w:sz="4" w:space="0" w:color="auto"/>
              <w:left w:val="single" w:sz="4" w:space="0" w:color="auto"/>
              <w:bottom w:val="single" w:sz="4" w:space="0" w:color="auto"/>
              <w:right w:val="single" w:sz="4" w:space="0" w:color="auto"/>
            </w:tcBorders>
            <w:vAlign w:val="center"/>
          </w:tcPr>
          <w:p w14:paraId="6FFBD96A"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30.7</w:t>
            </w:r>
          </w:p>
        </w:tc>
      </w:tr>
      <w:tr w:rsidR="001F5D47" w:rsidRPr="001F5D47" w14:paraId="40B6F621" w14:textId="77777777" w:rsidTr="0097561C">
        <w:tc>
          <w:tcPr>
            <w:tcW w:w="10398"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78C8A9"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Prestații finanțate  din contul transferurilor de la BS</w:t>
            </w:r>
          </w:p>
        </w:tc>
      </w:tr>
      <w:tr w:rsidR="001F5D47" w:rsidRPr="001F5D47" w14:paraId="3DBC0E8F"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460D17D8"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Protecție în legătură cu pierderea întreți-</w:t>
            </w:r>
          </w:p>
          <w:p w14:paraId="7F589AB9"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nătorului ( susținere financiară a </w:t>
            </w:r>
          </w:p>
          <w:p w14:paraId="0534A292"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persoanelor decedate neasigurate, </w:t>
            </w:r>
          </w:p>
          <w:p w14:paraId="4F4D7C27"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pensie de urmaș a pensionarilor din</w:t>
            </w:r>
          </w:p>
          <w:p w14:paraId="6AA0B816" w14:textId="51D58D4E" w:rsidR="001F5D47" w:rsidRPr="001F5D47" w:rsidRDefault="001F5D47" w:rsidP="00164828">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 r</w:t>
            </w:r>
            <w:r w:rsidR="00164828">
              <w:rPr>
                <w:rFonts w:asciiTheme="majorHAnsi" w:eastAsia="Times New Roman" w:hAnsiTheme="majorHAnsi" w:cstheme="majorHAnsi"/>
                <w:sz w:val="20"/>
                <w:szCs w:val="20"/>
                <w:lang w:val="ro-RO"/>
              </w:rPr>
              <w:t>â</w:t>
            </w:r>
            <w:r w:rsidRPr="001F5D47">
              <w:rPr>
                <w:rFonts w:asciiTheme="majorHAnsi" w:eastAsia="Times New Roman" w:hAnsiTheme="majorHAnsi" w:cstheme="majorHAnsi"/>
                <w:sz w:val="20"/>
                <w:szCs w:val="20"/>
                <w:lang w:val="ro-RO"/>
              </w:rPr>
              <w:t>ndul militarilor 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2C30E9E"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5 916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0148916"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5810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EDBC19F"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5525</w:t>
            </w:r>
          </w:p>
        </w:tc>
        <w:tc>
          <w:tcPr>
            <w:tcW w:w="1015" w:type="dxa"/>
            <w:tcBorders>
              <w:top w:val="single" w:sz="4" w:space="0" w:color="auto"/>
              <w:left w:val="single" w:sz="4" w:space="0" w:color="auto"/>
              <w:bottom w:val="single" w:sz="4" w:space="0" w:color="auto"/>
              <w:right w:val="single" w:sz="4" w:space="0" w:color="auto"/>
            </w:tcBorders>
            <w:vAlign w:val="center"/>
          </w:tcPr>
          <w:p w14:paraId="3F9FC62F"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-285</w:t>
            </w:r>
          </w:p>
        </w:tc>
        <w:tc>
          <w:tcPr>
            <w:tcW w:w="932" w:type="dxa"/>
            <w:tcBorders>
              <w:top w:val="single" w:sz="4" w:space="0" w:color="auto"/>
              <w:left w:val="single" w:sz="4" w:space="0" w:color="auto"/>
              <w:bottom w:val="single" w:sz="4" w:space="0" w:color="auto"/>
              <w:right w:val="single" w:sz="4" w:space="0" w:color="auto"/>
            </w:tcBorders>
            <w:vAlign w:val="center"/>
          </w:tcPr>
          <w:p w14:paraId="6F82BCE2"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95.1</w:t>
            </w:r>
          </w:p>
        </w:tc>
        <w:tc>
          <w:tcPr>
            <w:tcW w:w="849" w:type="dxa"/>
            <w:tcBorders>
              <w:top w:val="single" w:sz="4" w:space="0" w:color="auto"/>
              <w:left w:val="single" w:sz="4" w:space="0" w:color="auto"/>
              <w:bottom w:val="single" w:sz="4" w:space="0" w:color="auto"/>
              <w:right w:val="single" w:sz="4" w:space="0" w:color="auto"/>
            </w:tcBorders>
            <w:vAlign w:val="center"/>
          </w:tcPr>
          <w:p w14:paraId="059512B5"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-391</w:t>
            </w:r>
          </w:p>
        </w:tc>
        <w:tc>
          <w:tcPr>
            <w:tcW w:w="849" w:type="dxa"/>
            <w:tcBorders>
              <w:top w:val="single" w:sz="4" w:space="0" w:color="auto"/>
              <w:left w:val="single" w:sz="4" w:space="0" w:color="auto"/>
              <w:bottom w:val="single" w:sz="4" w:space="0" w:color="auto"/>
              <w:right w:val="single" w:sz="4" w:space="0" w:color="auto"/>
            </w:tcBorders>
            <w:vAlign w:val="center"/>
          </w:tcPr>
          <w:p w14:paraId="42FB4CBF"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93.4</w:t>
            </w:r>
          </w:p>
        </w:tc>
      </w:tr>
      <w:tr w:rsidR="001F5D47" w:rsidRPr="001F5D47" w14:paraId="7C51775D"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72874F40"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Protecție a familiei și copilului </w:t>
            </w:r>
          </w:p>
          <w:p w14:paraId="4BF83925"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(organizarea odihnei de vară,</w:t>
            </w:r>
          </w:p>
          <w:p w14:paraId="0CB513B1"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lastRenderedPageBreak/>
              <w:t xml:space="preserve">susținerea financiară a familiei la </w:t>
            </w:r>
          </w:p>
          <w:p w14:paraId="19C11936" w14:textId="41F4D6AB" w:rsidR="001F5D47" w:rsidRPr="001F5D47" w:rsidRDefault="001F5D47" w:rsidP="00164828">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nașterea copilului 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FF0F107"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lastRenderedPageBreak/>
              <w:t>81 546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95B6D29"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83265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377B302"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70089</w:t>
            </w:r>
          </w:p>
        </w:tc>
        <w:tc>
          <w:tcPr>
            <w:tcW w:w="1015" w:type="dxa"/>
            <w:tcBorders>
              <w:top w:val="single" w:sz="4" w:space="0" w:color="auto"/>
              <w:left w:val="single" w:sz="4" w:space="0" w:color="auto"/>
              <w:bottom w:val="single" w:sz="4" w:space="0" w:color="auto"/>
              <w:right w:val="single" w:sz="4" w:space="0" w:color="auto"/>
            </w:tcBorders>
            <w:vAlign w:val="center"/>
          </w:tcPr>
          <w:p w14:paraId="621B29F8"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-13176</w:t>
            </w:r>
          </w:p>
        </w:tc>
        <w:tc>
          <w:tcPr>
            <w:tcW w:w="932" w:type="dxa"/>
            <w:tcBorders>
              <w:top w:val="single" w:sz="4" w:space="0" w:color="auto"/>
              <w:left w:val="single" w:sz="4" w:space="0" w:color="auto"/>
              <w:bottom w:val="single" w:sz="4" w:space="0" w:color="auto"/>
              <w:right w:val="single" w:sz="4" w:space="0" w:color="auto"/>
            </w:tcBorders>
            <w:vAlign w:val="center"/>
          </w:tcPr>
          <w:p w14:paraId="4725EB8E"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84.2</w:t>
            </w:r>
          </w:p>
        </w:tc>
        <w:tc>
          <w:tcPr>
            <w:tcW w:w="849" w:type="dxa"/>
            <w:tcBorders>
              <w:top w:val="single" w:sz="4" w:space="0" w:color="auto"/>
              <w:left w:val="single" w:sz="4" w:space="0" w:color="auto"/>
              <w:bottom w:val="single" w:sz="4" w:space="0" w:color="auto"/>
              <w:right w:val="single" w:sz="4" w:space="0" w:color="auto"/>
            </w:tcBorders>
            <w:vAlign w:val="center"/>
          </w:tcPr>
          <w:p w14:paraId="14CA85F9"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-11457</w:t>
            </w:r>
          </w:p>
        </w:tc>
        <w:tc>
          <w:tcPr>
            <w:tcW w:w="849" w:type="dxa"/>
            <w:tcBorders>
              <w:top w:val="single" w:sz="4" w:space="0" w:color="auto"/>
              <w:left w:val="single" w:sz="4" w:space="0" w:color="auto"/>
              <w:bottom w:val="single" w:sz="4" w:space="0" w:color="auto"/>
              <w:right w:val="single" w:sz="4" w:space="0" w:color="auto"/>
            </w:tcBorders>
            <w:vAlign w:val="center"/>
          </w:tcPr>
          <w:p w14:paraId="38825DB3"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86.0</w:t>
            </w:r>
          </w:p>
        </w:tc>
      </w:tr>
      <w:tr w:rsidR="001F5D47" w:rsidRPr="001F5D47" w14:paraId="79C59AF2"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5C5D14BB"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Protecția șomerilor (alocație pentru </w:t>
            </w:r>
          </w:p>
          <w:p w14:paraId="79F14423"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integrare profesională cu statut de</w:t>
            </w:r>
          </w:p>
          <w:p w14:paraId="37CFFCBC" w14:textId="29EF6DD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 șomer 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11F8240"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0D4B5CD"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B4F7089"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16</w:t>
            </w:r>
          </w:p>
        </w:tc>
        <w:tc>
          <w:tcPr>
            <w:tcW w:w="1015" w:type="dxa"/>
            <w:tcBorders>
              <w:top w:val="single" w:sz="4" w:space="0" w:color="auto"/>
              <w:left w:val="single" w:sz="4" w:space="0" w:color="auto"/>
              <w:bottom w:val="single" w:sz="4" w:space="0" w:color="auto"/>
              <w:right w:val="single" w:sz="4" w:space="0" w:color="auto"/>
            </w:tcBorders>
            <w:vAlign w:val="center"/>
          </w:tcPr>
          <w:p w14:paraId="219D036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w:t>
            </w:r>
          </w:p>
        </w:tc>
        <w:tc>
          <w:tcPr>
            <w:tcW w:w="932" w:type="dxa"/>
            <w:tcBorders>
              <w:top w:val="single" w:sz="4" w:space="0" w:color="auto"/>
              <w:left w:val="single" w:sz="4" w:space="0" w:color="auto"/>
              <w:bottom w:val="single" w:sz="4" w:space="0" w:color="auto"/>
              <w:right w:val="single" w:sz="4" w:space="0" w:color="auto"/>
            </w:tcBorders>
            <w:vAlign w:val="center"/>
          </w:tcPr>
          <w:p w14:paraId="1F9737EB"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200.0</w:t>
            </w:r>
          </w:p>
        </w:tc>
        <w:tc>
          <w:tcPr>
            <w:tcW w:w="849" w:type="dxa"/>
            <w:tcBorders>
              <w:top w:val="single" w:sz="4" w:space="0" w:color="auto"/>
              <w:left w:val="single" w:sz="4" w:space="0" w:color="auto"/>
              <w:bottom w:val="single" w:sz="4" w:space="0" w:color="auto"/>
              <w:right w:val="single" w:sz="4" w:space="0" w:color="auto"/>
            </w:tcBorders>
            <w:vAlign w:val="center"/>
          </w:tcPr>
          <w:p w14:paraId="0748F523"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16</w:t>
            </w:r>
          </w:p>
        </w:tc>
        <w:tc>
          <w:tcPr>
            <w:tcW w:w="849" w:type="dxa"/>
            <w:tcBorders>
              <w:top w:val="single" w:sz="4" w:space="0" w:color="auto"/>
              <w:left w:val="single" w:sz="4" w:space="0" w:color="auto"/>
              <w:bottom w:val="single" w:sz="4" w:space="0" w:color="auto"/>
              <w:right w:val="single" w:sz="4" w:space="0" w:color="auto"/>
            </w:tcBorders>
            <w:vAlign w:val="center"/>
          </w:tcPr>
          <w:p w14:paraId="14F0ED2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x</w:t>
            </w:r>
          </w:p>
        </w:tc>
      </w:tr>
      <w:tr w:rsidR="001F5D47" w:rsidRPr="001F5D47" w14:paraId="2CB8012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2CD62A34"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Protecția persoanelor cu dizabilități </w:t>
            </w:r>
          </w:p>
          <w:p w14:paraId="2F1DE322"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(îngrijirea persoanelor cu dizabilitate, </w:t>
            </w:r>
          </w:p>
          <w:p w14:paraId="289F6BD1" w14:textId="2415E100"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susținerea persoanelor în caz de dizabilitate sau deces survenit în urma accidentelor de</w:t>
            </w:r>
          </w:p>
          <w:p w14:paraId="06F7E9F3" w14:textId="6168EC64" w:rsidR="001F5D47" w:rsidRPr="001F5D47" w:rsidRDefault="001F5D47" w:rsidP="00164828">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 muncă 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FD6CB84"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80 057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E4A88A8"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84639</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C6958B1"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86009</w:t>
            </w:r>
          </w:p>
        </w:tc>
        <w:tc>
          <w:tcPr>
            <w:tcW w:w="1015" w:type="dxa"/>
            <w:tcBorders>
              <w:top w:val="single" w:sz="4" w:space="0" w:color="auto"/>
              <w:left w:val="single" w:sz="4" w:space="0" w:color="auto"/>
              <w:bottom w:val="single" w:sz="4" w:space="0" w:color="auto"/>
              <w:right w:val="single" w:sz="4" w:space="0" w:color="auto"/>
            </w:tcBorders>
            <w:vAlign w:val="center"/>
          </w:tcPr>
          <w:p w14:paraId="607C58F6"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1370</w:t>
            </w:r>
          </w:p>
        </w:tc>
        <w:tc>
          <w:tcPr>
            <w:tcW w:w="932" w:type="dxa"/>
            <w:tcBorders>
              <w:top w:val="single" w:sz="4" w:space="0" w:color="auto"/>
              <w:left w:val="single" w:sz="4" w:space="0" w:color="auto"/>
              <w:bottom w:val="single" w:sz="4" w:space="0" w:color="auto"/>
              <w:right w:val="single" w:sz="4" w:space="0" w:color="auto"/>
            </w:tcBorders>
            <w:vAlign w:val="center"/>
          </w:tcPr>
          <w:p w14:paraId="1D6DCD54"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101.6</w:t>
            </w:r>
          </w:p>
        </w:tc>
        <w:tc>
          <w:tcPr>
            <w:tcW w:w="849" w:type="dxa"/>
            <w:tcBorders>
              <w:top w:val="single" w:sz="4" w:space="0" w:color="auto"/>
              <w:left w:val="single" w:sz="4" w:space="0" w:color="auto"/>
              <w:bottom w:val="single" w:sz="4" w:space="0" w:color="auto"/>
              <w:right w:val="single" w:sz="4" w:space="0" w:color="auto"/>
            </w:tcBorders>
            <w:vAlign w:val="center"/>
          </w:tcPr>
          <w:p w14:paraId="186AE1F1"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5952</w:t>
            </w:r>
          </w:p>
        </w:tc>
        <w:tc>
          <w:tcPr>
            <w:tcW w:w="849" w:type="dxa"/>
            <w:tcBorders>
              <w:top w:val="single" w:sz="4" w:space="0" w:color="auto"/>
              <w:left w:val="single" w:sz="4" w:space="0" w:color="auto"/>
              <w:bottom w:val="single" w:sz="4" w:space="0" w:color="auto"/>
              <w:right w:val="single" w:sz="4" w:space="0" w:color="auto"/>
            </w:tcBorders>
            <w:vAlign w:val="center"/>
          </w:tcPr>
          <w:p w14:paraId="576A8688"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107.4</w:t>
            </w:r>
          </w:p>
        </w:tc>
      </w:tr>
      <w:tr w:rsidR="001F5D47" w:rsidRPr="001F5D47" w14:paraId="1DB15AAB"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2A10DE4E"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Susținerea suplimentară a unor </w:t>
            </w:r>
          </w:p>
          <w:p w14:paraId="642D2575"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categorii de populație (beneficiari de </w:t>
            </w:r>
          </w:p>
          <w:p w14:paraId="3302F284" w14:textId="1BE2BF10" w:rsidR="001F5D47" w:rsidRPr="001F5D47" w:rsidRDefault="001F5D47" w:rsidP="00164828">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asigurări sociale, alocații sociale etc</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31E72D8"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1 028 533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228877D"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1070615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7E270AC"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1601128</w:t>
            </w:r>
          </w:p>
        </w:tc>
        <w:tc>
          <w:tcPr>
            <w:tcW w:w="1015" w:type="dxa"/>
            <w:tcBorders>
              <w:top w:val="single" w:sz="4" w:space="0" w:color="auto"/>
              <w:left w:val="single" w:sz="4" w:space="0" w:color="auto"/>
              <w:bottom w:val="single" w:sz="4" w:space="0" w:color="auto"/>
              <w:right w:val="single" w:sz="4" w:space="0" w:color="auto"/>
            </w:tcBorders>
            <w:vAlign w:val="center"/>
          </w:tcPr>
          <w:p w14:paraId="05093B0C"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530513</w:t>
            </w:r>
          </w:p>
        </w:tc>
        <w:tc>
          <w:tcPr>
            <w:tcW w:w="932" w:type="dxa"/>
            <w:tcBorders>
              <w:top w:val="single" w:sz="4" w:space="0" w:color="auto"/>
              <w:left w:val="single" w:sz="4" w:space="0" w:color="auto"/>
              <w:bottom w:val="single" w:sz="4" w:space="0" w:color="auto"/>
              <w:right w:val="single" w:sz="4" w:space="0" w:color="auto"/>
            </w:tcBorders>
            <w:vAlign w:val="center"/>
          </w:tcPr>
          <w:p w14:paraId="4E2AF68D"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149.6</w:t>
            </w:r>
          </w:p>
        </w:tc>
        <w:tc>
          <w:tcPr>
            <w:tcW w:w="849" w:type="dxa"/>
            <w:tcBorders>
              <w:top w:val="single" w:sz="4" w:space="0" w:color="auto"/>
              <w:left w:val="single" w:sz="4" w:space="0" w:color="auto"/>
              <w:bottom w:val="single" w:sz="4" w:space="0" w:color="auto"/>
              <w:right w:val="single" w:sz="4" w:space="0" w:color="auto"/>
            </w:tcBorders>
            <w:vAlign w:val="center"/>
          </w:tcPr>
          <w:p w14:paraId="61416C17"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572595</w:t>
            </w:r>
          </w:p>
        </w:tc>
        <w:tc>
          <w:tcPr>
            <w:tcW w:w="849" w:type="dxa"/>
            <w:tcBorders>
              <w:top w:val="single" w:sz="4" w:space="0" w:color="auto"/>
              <w:left w:val="single" w:sz="4" w:space="0" w:color="auto"/>
              <w:bottom w:val="single" w:sz="4" w:space="0" w:color="auto"/>
              <w:right w:val="single" w:sz="4" w:space="0" w:color="auto"/>
            </w:tcBorders>
            <w:vAlign w:val="center"/>
          </w:tcPr>
          <w:p w14:paraId="25DCABA3"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155.7</w:t>
            </w:r>
          </w:p>
        </w:tc>
      </w:tr>
      <w:tr w:rsidR="001F5D47" w:rsidRPr="001F5D47" w14:paraId="421897CC"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37F00C6B"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Protecție socială în cazuri excepționale</w:t>
            </w:r>
          </w:p>
          <w:p w14:paraId="0F19247D"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 (ajutor social, perioada rece a anului)</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2998B0D"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194 303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78620A"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227886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055FE31"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260933</w:t>
            </w:r>
          </w:p>
        </w:tc>
        <w:tc>
          <w:tcPr>
            <w:tcW w:w="1015" w:type="dxa"/>
            <w:tcBorders>
              <w:top w:val="single" w:sz="4" w:space="0" w:color="auto"/>
              <w:left w:val="single" w:sz="4" w:space="0" w:color="auto"/>
              <w:bottom w:val="single" w:sz="4" w:space="0" w:color="auto"/>
              <w:right w:val="single" w:sz="4" w:space="0" w:color="auto"/>
            </w:tcBorders>
            <w:vAlign w:val="center"/>
          </w:tcPr>
          <w:p w14:paraId="4E054822"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33047</w:t>
            </w:r>
          </w:p>
        </w:tc>
        <w:tc>
          <w:tcPr>
            <w:tcW w:w="932" w:type="dxa"/>
            <w:tcBorders>
              <w:top w:val="single" w:sz="4" w:space="0" w:color="auto"/>
              <w:left w:val="single" w:sz="4" w:space="0" w:color="auto"/>
              <w:bottom w:val="single" w:sz="4" w:space="0" w:color="auto"/>
              <w:right w:val="single" w:sz="4" w:space="0" w:color="auto"/>
            </w:tcBorders>
            <w:vAlign w:val="center"/>
          </w:tcPr>
          <w:p w14:paraId="3BAD323E"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114.5</w:t>
            </w:r>
          </w:p>
        </w:tc>
        <w:tc>
          <w:tcPr>
            <w:tcW w:w="849" w:type="dxa"/>
            <w:tcBorders>
              <w:top w:val="single" w:sz="4" w:space="0" w:color="auto"/>
              <w:left w:val="single" w:sz="4" w:space="0" w:color="auto"/>
              <w:bottom w:val="single" w:sz="4" w:space="0" w:color="auto"/>
              <w:right w:val="single" w:sz="4" w:space="0" w:color="auto"/>
            </w:tcBorders>
            <w:vAlign w:val="center"/>
          </w:tcPr>
          <w:p w14:paraId="7E6D51F5"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66630</w:t>
            </w:r>
          </w:p>
        </w:tc>
        <w:tc>
          <w:tcPr>
            <w:tcW w:w="849" w:type="dxa"/>
            <w:tcBorders>
              <w:top w:val="single" w:sz="4" w:space="0" w:color="auto"/>
              <w:left w:val="single" w:sz="4" w:space="0" w:color="auto"/>
              <w:bottom w:val="single" w:sz="4" w:space="0" w:color="auto"/>
              <w:right w:val="single" w:sz="4" w:space="0" w:color="auto"/>
            </w:tcBorders>
            <w:vAlign w:val="center"/>
          </w:tcPr>
          <w:p w14:paraId="42EE114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134.3</w:t>
            </w:r>
          </w:p>
        </w:tc>
      </w:tr>
      <w:tr w:rsidR="001F5D47" w:rsidRPr="001F5D47" w14:paraId="5E4FB45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448434E4"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Protecția socială a unor categorii de</w:t>
            </w:r>
          </w:p>
          <w:p w14:paraId="1EEDE91E"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 cetățeni (indemnizația viageră sportivi-</w:t>
            </w:r>
          </w:p>
          <w:p w14:paraId="2814F905" w14:textId="53A105BE"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lor de performanță care s</w:t>
            </w:r>
            <w:r w:rsidR="00164828">
              <w:rPr>
                <w:rFonts w:asciiTheme="majorHAnsi" w:eastAsia="Times New Roman" w:hAnsiTheme="majorHAnsi" w:cstheme="majorHAnsi"/>
                <w:sz w:val="20"/>
                <w:szCs w:val="20"/>
                <w:lang w:val="ro-RO"/>
              </w:rPr>
              <w:t>-</w:t>
            </w:r>
            <w:r w:rsidRPr="001F5D47">
              <w:rPr>
                <w:rFonts w:asciiTheme="majorHAnsi" w:eastAsia="Times New Roman" w:hAnsiTheme="majorHAnsi" w:cstheme="majorHAnsi"/>
                <w:sz w:val="20"/>
                <w:szCs w:val="20"/>
                <w:lang w:val="ro-RO"/>
              </w:rPr>
              <w:t xml:space="preserve">au retras din </w:t>
            </w:r>
          </w:p>
          <w:p w14:paraId="47A1F57B"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 xml:space="preserve">activitatea de sport, asigurarea </w:t>
            </w:r>
          </w:p>
          <w:p w14:paraId="2B534028" w14:textId="77777777" w:rsidR="001F5D47" w:rsidRPr="001F5D47" w:rsidRDefault="001F5D47" w:rsidP="00FB3794">
            <w:pPr>
              <w:ind w:right="-634"/>
              <w:jc w:val="both"/>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dreptului la tratament balneo-sanitar, etc)</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3D11B85" w14:textId="77777777" w:rsidR="001F5D47" w:rsidRPr="001F5D47" w:rsidRDefault="001F5D47" w:rsidP="00FB3794">
            <w:pPr>
              <w:ind w:right="-634"/>
              <w:rPr>
                <w:rFonts w:asciiTheme="majorHAnsi" w:hAnsiTheme="majorHAnsi" w:cstheme="majorHAnsi"/>
                <w:sz w:val="20"/>
                <w:szCs w:val="20"/>
                <w:lang w:val="ro-RO"/>
              </w:rPr>
            </w:pPr>
            <w:r w:rsidRPr="001F5D47">
              <w:rPr>
                <w:rFonts w:asciiTheme="majorHAnsi" w:hAnsiTheme="majorHAnsi" w:cstheme="majorHAnsi"/>
                <w:sz w:val="20"/>
                <w:szCs w:val="20"/>
                <w:lang w:val="ro-RO"/>
              </w:rPr>
              <w:t>75 847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81980C0" w14:textId="77777777" w:rsidR="001F5D47" w:rsidRPr="001F5D47" w:rsidRDefault="001F5D47" w:rsidP="00FB3794">
            <w:pPr>
              <w:ind w:right="-634"/>
              <w:rPr>
                <w:rFonts w:asciiTheme="majorHAnsi" w:eastAsia="Times New Roman" w:hAnsiTheme="majorHAnsi" w:cstheme="majorHAnsi"/>
                <w:color w:val="000000"/>
                <w:sz w:val="20"/>
                <w:szCs w:val="20"/>
                <w:lang w:val="ro-RO"/>
              </w:rPr>
            </w:pPr>
            <w:r w:rsidRPr="001F5D47">
              <w:rPr>
                <w:rFonts w:asciiTheme="majorHAnsi" w:eastAsia="Times New Roman" w:hAnsiTheme="majorHAnsi" w:cstheme="majorHAnsi"/>
                <w:color w:val="000000"/>
                <w:sz w:val="20"/>
                <w:szCs w:val="20"/>
                <w:lang w:val="ro-RO"/>
              </w:rPr>
              <w:t>74546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56D31E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67448</w:t>
            </w:r>
          </w:p>
        </w:tc>
        <w:tc>
          <w:tcPr>
            <w:tcW w:w="1015" w:type="dxa"/>
            <w:tcBorders>
              <w:top w:val="single" w:sz="4" w:space="0" w:color="auto"/>
              <w:left w:val="single" w:sz="4" w:space="0" w:color="auto"/>
              <w:bottom w:val="single" w:sz="4" w:space="0" w:color="auto"/>
              <w:right w:val="single" w:sz="4" w:space="0" w:color="auto"/>
            </w:tcBorders>
            <w:vAlign w:val="center"/>
          </w:tcPr>
          <w:p w14:paraId="491F160C"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-7399</w:t>
            </w:r>
          </w:p>
        </w:tc>
        <w:tc>
          <w:tcPr>
            <w:tcW w:w="932" w:type="dxa"/>
            <w:tcBorders>
              <w:top w:val="single" w:sz="4" w:space="0" w:color="auto"/>
              <w:left w:val="single" w:sz="4" w:space="0" w:color="auto"/>
              <w:bottom w:val="single" w:sz="4" w:space="0" w:color="auto"/>
              <w:right w:val="single" w:sz="4" w:space="0" w:color="auto"/>
            </w:tcBorders>
            <w:vAlign w:val="center"/>
          </w:tcPr>
          <w:p w14:paraId="489DA2A0"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90.1</w:t>
            </w:r>
          </w:p>
        </w:tc>
        <w:tc>
          <w:tcPr>
            <w:tcW w:w="849" w:type="dxa"/>
            <w:tcBorders>
              <w:top w:val="single" w:sz="4" w:space="0" w:color="auto"/>
              <w:left w:val="single" w:sz="4" w:space="0" w:color="auto"/>
              <w:bottom w:val="single" w:sz="4" w:space="0" w:color="auto"/>
              <w:right w:val="single" w:sz="4" w:space="0" w:color="auto"/>
            </w:tcBorders>
            <w:vAlign w:val="center"/>
          </w:tcPr>
          <w:p w14:paraId="6274ACEA"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-8399</w:t>
            </w:r>
          </w:p>
        </w:tc>
        <w:tc>
          <w:tcPr>
            <w:tcW w:w="849" w:type="dxa"/>
            <w:tcBorders>
              <w:top w:val="single" w:sz="4" w:space="0" w:color="auto"/>
              <w:left w:val="single" w:sz="4" w:space="0" w:color="auto"/>
              <w:bottom w:val="single" w:sz="4" w:space="0" w:color="auto"/>
              <w:right w:val="single" w:sz="4" w:space="0" w:color="auto"/>
            </w:tcBorders>
            <w:vAlign w:val="center"/>
          </w:tcPr>
          <w:p w14:paraId="311A7037" w14:textId="77777777" w:rsidR="001F5D47" w:rsidRPr="001F5D47" w:rsidRDefault="001F5D47" w:rsidP="00FB3794">
            <w:pPr>
              <w:ind w:right="-634"/>
              <w:rPr>
                <w:rFonts w:asciiTheme="majorHAnsi" w:eastAsia="Times New Roman" w:hAnsiTheme="majorHAnsi" w:cstheme="majorHAnsi"/>
                <w:sz w:val="20"/>
                <w:szCs w:val="20"/>
                <w:lang w:val="ro-RO"/>
              </w:rPr>
            </w:pPr>
            <w:r w:rsidRPr="001F5D47">
              <w:rPr>
                <w:rFonts w:asciiTheme="majorHAnsi" w:eastAsia="Times New Roman" w:hAnsiTheme="majorHAnsi" w:cstheme="majorHAnsi"/>
                <w:sz w:val="20"/>
                <w:szCs w:val="20"/>
                <w:lang w:val="ro-RO"/>
              </w:rPr>
              <w:t>88.9</w:t>
            </w:r>
          </w:p>
        </w:tc>
      </w:tr>
      <w:tr w:rsidR="001F5D47" w:rsidRPr="001F5D47" w14:paraId="6401EA9B"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2C63696" w14:textId="77777777" w:rsidR="001F5D47" w:rsidRPr="001F5D47" w:rsidRDefault="001F5D47" w:rsidP="00FB3794">
            <w:pPr>
              <w:ind w:right="-634"/>
              <w:jc w:val="both"/>
              <w:rPr>
                <w:rFonts w:asciiTheme="majorHAnsi" w:eastAsia="Times New Roman" w:hAnsiTheme="majorHAnsi" w:cstheme="majorHAnsi"/>
                <w:b/>
                <w:sz w:val="20"/>
                <w:szCs w:val="20"/>
                <w:lang w:val="ro-RO"/>
              </w:rPr>
            </w:pPr>
            <w:r w:rsidRPr="001F5D47">
              <w:rPr>
                <w:rFonts w:asciiTheme="majorHAnsi" w:eastAsia="Times New Roman" w:hAnsiTheme="majorHAnsi" w:cstheme="majorHAnsi"/>
                <w:b/>
                <w:sz w:val="20"/>
                <w:szCs w:val="20"/>
                <w:lang w:val="ro-RO"/>
              </w:rPr>
              <w:t>TOTAL</w:t>
            </w:r>
          </w:p>
        </w:tc>
        <w:tc>
          <w:tcPr>
            <w:tcW w:w="10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928EF2E" w14:textId="77777777" w:rsidR="001F5D47" w:rsidRPr="001F5D47" w:rsidRDefault="001F5D47" w:rsidP="00FB3794">
            <w:pPr>
              <w:ind w:right="-634"/>
              <w:rPr>
                <w:rFonts w:asciiTheme="majorHAnsi" w:hAnsiTheme="majorHAnsi" w:cstheme="majorHAnsi"/>
                <w:b/>
                <w:sz w:val="20"/>
                <w:szCs w:val="20"/>
                <w:lang w:val="ro-RO"/>
              </w:rPr>
            </w:pPr>
            <w:r w:rsidRPr="001F5D47">
              <w:rPr>
                <w:rFonts w:asciiTheme="majorHAnsi" w:hAnsiTheme="majorHAnsi" w:cstheme="majorHAnsi"/>
                <w:b/>
                <w:sz w:val="20"/>
                <w:szCs w:val="20"/>
                <w:lang w:val="ro-RO"/>
              </w:rPr>
              <w:t>2 515 951</w:t>
            </w:r>
          </w:p>
        </w:tc>
        <w:tc>
          <w:tcPr>
            <w:tcW w:w="12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6CBDFC" w14:textId="77777777" w:rsidR="001F5D47" w:rsidRPr="001F5D47" w:rsidRDefault="001F5D47" w:rsidP="00FB3794">
            <w:pPr>
              <w:ind w:right="-634"/>
              <w:rPr>
                <w:rFonts w:asciiTheme="majorHAnsi" w:eastAsia="Times New Roman" w:hAnsiTheme="majorHAnsi" w:cstheme="majorHAnsi"/>
                <w:b/>
                <w:color w:val="000000"/>
                <w:sz w:val="20"/>
                <w:szCs w:val="20"/>
                <w:lang w:val="ro-RO"/>
              </w:rPr>
            </w:pPr>
            <w:r w:rsidRPr="001F5D47">
              <w:rPr>
                <w:rFonts w:asciiTheme="majorHAnsi" w:eastAsia="Times New Roman" w:hAnsiTheme="majorHAnsi" w:cstheme="majorHAnsi"/>
                <w:b/>
                <w:color w:val="000000"/>
                <w:sz w:val="20"/>
                <w:szCs w:val="20"/>
                <w:lang w:val="ro-RO"/>
              </w:rPr>
              <w:t>2 552 254</w:t>
            </w:r>
          </w:p>
        </w:tc>
        <w:tc>
          <w:tcPr>
            <w:tcW w:w="116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0C13335" w14:textId="77777777" w:rsidR="001F5D47" w:rsidRPr="001F5D47" w:rsidRDefault="001F5D47" w:rsidP="00FB3794">
            <w:pPr>
              <w:ind w:right="-634"/>
              <w:rPr>
                <w:rFonts w:asciiTheme="majorHAnsi" w:eastAsia="Times New Roman" w:hAnsiTheme="majorHAnsi" w:cstheme="majorHAnsi"/>
                <w:b/>
                <w:sz w:val="20"/>
                <w:szCs w:val="20"/>
                <w:lang w:val="ro-RO"/>
              </w:rPr>
            </w:pPr>
            <w:r w:rsidRPr="001F5D47">
              <w:rPr>
                <w:rFonts w:asciiTheme="majorHAnsi" w:eastAsia="Times New Roman" w:hAnsiTheme="majorHAnsi" w:cstheme="majorHAnsi"/>
                <w:b/>
                <w:sz w:val="20"/>
                <w:szCs w:val="20"/>
                <w:lang w:val="ro-RO"/>
              </w:rPr>
              <w:t>3 089 437</w:t>
            </w:r>
          </w:p>
        </w:tc>
        <w:tc>
          <w:tcPr>
            <w:tcW w:w="1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D636BE" w14:textId="77777777" w:rsidR="001F5D47" w:rsidRPr="001F5D47" w:rsidRDefault="001F5D47" w:rsidP="00FB3794">
            <w:pPr>
              <w:ind w:right="-634"/>
              <w:rPr>
                <w:rFonts w:asciiTheme="majorHAnsi" w:eastAsia="Times New Roman" w:hAnsiTheme="majorHAnsi" w:cstheme="majorHAnsi"/>
                <w:b/>
                <w:sz w:val="20"/>
                <w:szCs w:val="20"/>
                <w:lang w:val="ro-RO"/>
              </w:rPr>
            </w:pPr>
            <w:r w:rsidRPr="001F5D47">
              <w:rPr>
                <w:rFonts w:asciiTheme="majorHAnsi" w:eastAsia="Times New Roman" w:hAnsiTheme="majorHAnsi" w:cstheme="majorHAnsi"/>
                <w:b/>
                <w:sz w:val="20"/>
                <w:szCs w:val="20"/>
                <w:lang w:val="ro-RO"/>
              </w:rPr>
              <w:t>537183</w:t>
            </w:r>
          </w:p>
        </w:tc>
        <w:tc>
          <w:tcPr>
            <w:tcW w:w="9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FF0398" w14:textId="77777777" w:rsidR="001F5D47" w:rsidRPr="001F5D47" w:rsidRDefault="001F5D47" w:rsidP="00FB3794">
            <w:pPr>
              <w:ind w:right="-634"/>
              <w:rPr>
                <w:rFonts w:asciiTheme="majorHAnsi" w:eastAsia="Times New Roman" w:hAnsiTheme="majorHAnsi" w:cstheme="majorHAnsi"/>
                <w:b/>
                <w:sz w:val="20"/>
                <w:szCs w:val="20"/>
                <w:lang w:val="ro-RO"/>
              </w:rPr>
            </w:pPr>
            <w:r w:rsidRPr="001F5D47">
              <w:rPr>
                <w:rFonts w:asciiTheme="majorHAnsi" w:eastAsia="Times New Roman" w:hAnsiTheme="majorHAnsi" w:cstheme="majorHAnsi"/>
                <w:b/>
                <w:sz w:val="20"/>
                <w:szCs w:val="20"/>
                <w:lang w:val="ro-RO"/>
              </w:rPr>
              <w:t>121.0</w:t>
            </w:r>
          </w:p>
        </w:tc>
        <w:tc>
          <w:tcPr>
            <w:tcW w:w="8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BFA1" w14:textId="77777777" w:rsidR="001F5D47" w:rsidRPr="001F5D47" w:rsidRDefault="001F5D47" w:rsidP="00FB3794">
            <w:pPr>
              <w:ind w:right="-634"/>
              <w:rPr>
                <w:rFonts w:asciiTheme="majorHAnsi" w:eastAsia="Times New Roman" w:hAnsiTheme="majorHAnsi" w:cstheme="majorHAnsi"/>
                <w:b/>
                <w:sz w:val="20"/>
                <w:szCs w:val="20"/>
                <w:lang w:val="ro-RO"/>
              </w:rPr>
            </w:pPr>
            <w:r w:rsidRPr="001F5D47">
              <w:rPr>
                <w:rFonts w:asciiTheme="majorHAnsi" w:eastAsia="Times New Roman" w:hAnsiTheme="majorHAnsi" w:cstheme="majorHAnsi"/>
                <w:b/>
                <w:sz w:val="20"/>
                <w:szCs w:val="20"/>
                <w:lang w:val="ro-RO"/>
              </w:rPr>
              <w:t>573486</w:t>
            </w:r>
          </w:p>
        </w:tc>
        <w:tc>
          <w:tcPr>
            <w:tcW w:w="8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793C0F" w14:textId="77777777" w:rsidR="001F5D47" w:rsidRPr="001F5D47" w:rsidRDefault="001F5D47" w:rsidP="00FB3794">
            <w:pPr>
              <w:ind w:right="-634"/>
              <w:rPr>
                <w:rFonts w:asciiTheme="majorHAnsi" w:eastAsia="Times New Roman" w:hAnsiTheme="majorHAnsi" w:cstheme="majorHAnsi"/>
                <w:b/>
                <w:sz w:val="20"/>
                <w:szCs w:val="20"/>
                <w:lang w:val="ro-RO"/>
              </w:rPr>
            </w:pPr>
            <w:r w:rsidRPr="001F5D47">
              <w:rPr>
                <w:rFonts w:asciiTheme="majorHAnsi" w:eastAsia="Times New Roman" w:hAnsiTheme="majorHAnsi" w:cstheme="majorHAnsi"/>
                <w:b/>
                <w:sz w:val="20"/>
                <w:szCs w:val="20"/>
                <w:lang w:val="ro-RO"/>
              </w:rPr>
              <w:t>122.8</w:t>
            </w:r>
          </w:p>
        </w:tc>
      </w:tr>
    </w:tbl>
    <w:p w14:paraId="584146A9" w14:textId="77777777" w:rsidR="006078BC" w:rsidRPr="00341E6C" w:rsidRDefault="006078BC" w:rsidP="00E818D5">
      <w:pPr>
        <w:spacing w:after="0" w:line="276" w:lineRule="auto"/>
        <w:jc w:val="both"/>
        <w:rPr>
          <w:rFonts w:asciiTheme="majorHAnsi" w:hAnsiTheme="majorHAnsi" w:cstheme="majorHAnsi"/>
          <w:b/>
          <w:bCs/>
          <w:i/>
          <w:sz w:val="20"/>
          <w:szCs w:val="20"/>
          <w:lang w:val="ro-RO"/>
        </w:rPr>
      </w:pPr>
    </w:p>
    <w:p w14:paraId="27C35A15" w14:textId="24A7E678" w:rsidR="00E818D5" w:rsidRPr="00341E6C" w:rsidRDefault="00E818D5" w:rsidP="00E818D5">
      <w:pPr>
        <w:spacing w:after="0" w:line="276" w:lineRule="auto"/>
        <w:jc w:val="both"/>
        <w:rPr>
          <w:rFonts w:asciiTheme="majorHAnsi" w:hAnsiTheme="majorHAnsi" w:cstheme="majorHAnsi"/>
          <w:i/>
          <w:sz w:val="20"/>
          <w:szCs w:val="20"/>
          <w:lang w:val="ro-RO"/>
        </w:rPr>
      </w:pPr>
      <w:r w:rsidRPr="00341E6C">
        <w:rPr>
          <w:rFonts w:asciiTheme="majorHAnsi" w:hAnsiTheme="majorHAnsi" w:cstheme="majorHAnsi"/>
          <w:b/>
          <w:bCs/>
          <w:i/>
          <w:sz w:val="20"/>
          <w:szCs w:val="20"/>
          <w:lang w:val="ro-RO"/>
        </w:rPr>
        <w:t>Sursă:</w:t>
      </w:r>
      <w:r w:rsidRPr="00341E6C">
        <w:rPr>
          <w:rFonts w:asciiTheme="majorHAnsi" w:hAnsiTheme="majorHAnsi" w:cstheme="majorHAnsi"/>
          <w:i/>
          <w:sz w:val="20"/>
          <w:szCs w:val="20"/>
          <w:lang w:val="ro-RO"/>
        </w:rPr>
        <w:t xml:space="preserve"> Raportul privind îndeplinirea planului de contingente, beneficiarii plăților și mărimea acestora din bugetul asigurărilor sociale de stat (Formularul nr.5 CNAS pentru anul 2018,2019 și 2020).</w:t>
      </w:r>
    </w:p>
    <w:p w14:paraId="5D5A8F39" w14:textId="172E1DB5" w:rsidR="00AC3902" w:rsidRPr="00341E6C" w:rsidRDefault="00AC3902" w:rsidP="00930B4E">
      <w:pPr>
        <w:tabs>
          <w:tab w:val="left" w:pos="1080"/>
        </w:tabs>
        <w:spacing w:after="0" w:line="276" w:lineRule="auto"/>
        <w:contextualSpacing/>
        <w:jc w:val="both"/>
        <w:rPr>
          <w:rFonts w:asciiTheme="majorHAnsi" w:hAnsiTheme="majorHAnsi" w:cstheme="majorHAnsi"/>
          <w:sz w:val="24"/>
          <w:szCs w:val="24"/>
          <w:lang w:val="ro-RO"/>
        </w:rPr>
      </w:pPr>
    </w:p>
    <w:p w14:paraId="5F36769A" w14:textId="556B512E" w:rsidR="00AC3902" w:rsidRPr="00341E6C" w:rsidRDefault="00AC3902" w:rsidP="00930B4E">
      <w:pPr>
        <w:tabs>
          <w:tab w:val="left" w:pos="1080"/>
        </w:tabs>
        <w:spacing w:after="0" w:line="276" w:lineRule="auto"/>
        <w:contextualSpacing/>
        <w:jc w:val="both"/>
        <w:rPr>
          <w:rFonts w:asciiTheme="majorHAnsi" w:hAnsiTheme="majorHAnsi" w:cstheme="majorHAnsi"/>
          <w:sz w:val="24"/>
          <w:szCs w:val="24"/>
          <w:lang w:val="ro-RO"/>
        </w:rPr>
      </w:pPr>
    </w:p>
    <w:p w14:paraId="329C108D" w14:textId="77777777" w:rsidR="00670771" w:rsidRPr="00341E6C" w:rsidRDefault="00670771" w:rsidP="00930B4E">
      <w:pPr>
        <w:tabs>
          <w:tab w:val="left" w:pos="1080"/>
        </w:tabs>
        <w:spacing w:after="0" w:line="276" w:lineRule="auto"/>
        <w:contextualSpacing/>
        <w:jc w:val="both"/>
        <w:rPr>
          <w:rFonts w:asciiTheme="majorHAnsi" w:hAnsiTheme="majorHAnsi" w:cstheme="majorHAnsi"/>
          <w:b/>
          <w:sz w:val="24"/>
          <w:szCs w:val="24"/>
          <w:lang w:val="ro-RO"/>
        </w:rPr>
        <w:sectPr w:rsidR="00670771" w:rsidRPr="00341E6C" w:rsidSect="00350075">
          <w:pgSz w:w="11909" w:h="16834" w:code="9"/>
          <w:pgMar w:top="851" w:right="851" w:bottom="851" w:left="1701" w:header="709" w:footer="709" w:gutter="0"/>
          <w:cols w:space="708"/>
          <w:titlePg/>
          <w:docGrid w:linePitch="360"/>
        </w:sectPr>
      </w:pPr>
    </w:p>
    <w:p w14:paraId="111644BB" w14:textId="35FFF983" w:rsidR="00670771" w:rsidRPr="00F62301" w:rsidRDefault="00670771" w:rsidP="00F62301">
      <w:pPr>
        <w:pStyle w:val="Heading2"/>
        <w:jc w:val="right"/>
        <w:rPr>
          <w:rFonts w:asciiTheme="majorHAnsi" w:hAnsiTheme="majorHAnsi" w:cstheme="majorHAnsi"/>
          <w:sz w:val="24"/>
          <w:szCs w:val="24"/>
          <w:lang w:val="ro-RO"/>
        </w:rPr>
      </w:pPr>
      <w:r w:rsidRPr="00F62301">
        <w:rPr>
          <w:rFonts w:asciiTheme="majorHAnsi" w:hAnsiTheme="majorHAnsi" w:cstheme="majorHAnsi"/>
          <w:sz w:val="24"/>
          <w:szCs w:val="24"/>
          <w:lang w:val="ro-RO"/>
        </w:rPr>
        <w:lastRenderedPageBreak/>
        <w:t>Anexa nr.</w:t>
      </w:r>
      <w:r w:rsidR="00F62301" w:rsidRPr="00F62301">
        <w:rPr>
          <w:rFonts w:asciiTheme="majorHAnsi" w:hAnsiTheme="majorHAnsi" w:cstheme="majorHAnsi"/>
          <w:sz w:val="24"/>
          <w:szCs w:val="24"/>
          <w:lang w:val="ro-RO"/>
        </w:rPr>
        <w:t xml:space="preserve"> 1</w:t>
      </w:r>
      <w:r w:rsidR="00EE3574">
        <w:rPr>
          <w:rFonts w:asciiTheme="majorHAnsi" w:hAnsiTheme="majorHAnsi" w:cstheme="majorHAnsi"/>
          <w:sz w:val="24"/>
          <w:szCs w:val="24"/>
          <w:lang w:val="ro-RO"/>
        </w:rPr>
        <w:t>2</w:t>
      </w:r>
    </w:p>
    <w:p w14:paraId="1684B44C" w14:textId="1F8B7BC3" w:rsidR="00A542D9" w:rsidRPr="00341E6C" w:rsidRDefault="00E673D4" w:rsidP="00A542D9">
      <w:pPr>
        <w:tabs>
          <w:tab w:val="left" w:pos="1080"/>
        </w:tabs>
        <w:spacing w:after="0" w:line="276" w:lineRule="auto"/>
        <w:contextualSpacing/>
        <w:jc w:val="center"/>
        <w:rPr>
          <w:rFonts w:asciiTheme="majorHAnsi" w:hAnsiTheme="majorHAnsi" w:cstheme="majorHAnsi"/>
          <w:b/>
          <w:sz w:val="24"/>
          <w:szCs w:val="24"/>
          <w:lang w:val="ro-RO"/>
        </w:rPr>
      </w:pPr>
      <w:r w:rsidRPr="00341E6C">
        <w:rPr>
          <w:rFonts w:asciiTheme="majorHAnsi" w:hAnsiTheme="majorHAnsi" w:cstheme="majorHAnsi"/>
          <w:b/>
          <w:sz w:val="24"/>
          <w:szCs w:val="24"/>
          <w:lang w:val="ro-RO"/>
        </w:rPr>
        <w:t>Analiza implementării celor mai importante recomandări</w:t>
      </w:r>
      <w:r w:rsidR="00A542D9">
        <w:rPr>
          <w:rFonts w:asciiTheme="majorHAnsi" w:hAnsiTheme="majorHAnsi" w:cstheme="majorHAnsi"/>
          <w:b/>
          <w:sz w:val="24"/>
          <w:szCs w:val="24"/>
          <w:lang w:val="ro-RO"/>
        </w:rPr>
        <w:t xml:space="preserve"> înaintate de Curtea de Conturi</w:t>
      </w:r>
    </w:p>
    <w:tbl>
      <w:tblPr>
        <w:tblW w:w="14946" w:type="dxa"/>
        <w:tblInd w:w="-10" w:type="dxa"/>
        <w:tblLayout w:type="fixed"/>
        <w:tblLook w:val="04A0" w:firstRow="1" w:lastRow="0" w:firstColumn="1" w:lastColumn="0" w:noHBand="0" w:noVBand="1"/>
      </w:tblPr>
      <w:tblGrid>
        <w:gridCol w:w="604"/>
        <w:gridCol w:w="2906"/>
        <w:gridCol w:w="8640"/>
        <w:gridCol w:w="897"/>
        <w:gridCol w:w="900"/>
        <w:gridCol w:w="999"/>
      </w:tblGrid>
      <w:tr w:rsidR="00A542D9" w:rsidRPr="00341E6C" w14:paraId="345EAF65" w14:textId="77777777" w:rsidTr="00A542D9">
        <w:trPr>
          <w:trHeight w:val="20"/>
        </w:trPr>
        <w:tc>
          <w:tcPr>
            <w:tcW w:w="604" w:type="dxa"/>
            <w:vMerge w:val="restart"/>
            <w:tcBorders>
              <w:top w:val="single" w:sz="8" w:space="0" w:color="auto"/>
              <w:left w:val="single" w:sz="8" w:space="0" w:color="auto"/>
              <w:right w:val="single" w:sz="8" w:space="0" w:color="auto"/>
            </w:tcBorders>
            <w:shd w:val="clear" w:color="auto" w:fill="92D050"/>
            <w:noWrap/>
            <w:vAlign w:val="center"/>
            <w:hideMark/>
          </w:tcPr>
          <w:p w14:paraId="7C05929C"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Nr.</w:t>
            </w:r>
          </w:p>
        </w:tc>
        <w:tc>
          <w:tcPr>
            <w:tcW w:w="2906" w:type="dxa"/>
            <w:vMerge w:val="restart"/>
            <w:tcBorders>
              <w:top w:val="single" w:sz="8" w:space="0" w:color="auto"/>
              <w:left w:val="nil"/>
              <w:right w:val="single" w:sz="8" w:space="0" w:color="auto"/>
            </w:tcBorders>
            <w:shd w:val="clear" w:color="auto" w:fill="92D050"/>
            <w:vAlign w:val="center"/>
            <w:hideMark/>
          </w:tcPr>
          <w:p w14:paraId="7CD6640D"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Recomandarea</w:t>
            </w:r>
          </w:p>
        </w:tc>
        <w:tc>
          <w:tcPr>
            <w:tcW w:w="8640" w:type="dxa"/>
            <w:vMerge w:val="restart"/>
            <w:tcBorders>
              <w:top w:val="single" w:sz="8" w:space="0" w:color="auto"/>
              <w:left w:val="nil"/>
              <w:right w:val="single" w:sz="8" w:space="0" w:color="auto"/>
            </w:tcBorders>
            <w:shd w:val="clear" w:color="auto" w:fill="92D050"/>
            <w:vAlign w:val="center"/>
            <w:hideMark/>
          </w:tcPr>
          <w:p w14:paraId="47C950D1"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Măsurile întreprinse</w:t>
            </w:r>
          </w:p>
        </w:tc>
        <w:tc>
          <w:tcPr>
            <w:tcW w:w="2796" w:type="dxa"/>
            <w:gridSpan w:val="3"/>
            <w:tcBorders>
              <w:top w:val="single" w:sz="8" w:space="0" w:color="auto"/>
              <w:left w:val="nil"/>
              <w:bottom w:val="single" w:sz="8" w:space="0" w:color="auto"/>
              <w:right w:val="single" w:sz="8" w:space="0" w:color="auto"/>
            </w:tcBorders>
            <w:shd w:val="clear" w:color="auto" w:fill="92D050"/>
          </w:tcPr>
          <w:p w14:paraId="112E32C7"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Statutul implementării recomandării</w:t>
            </w:r>
          </w:p>
        </w:tc>
      </w:tr>
      <w:tr w:rsidR="00A542D9" w:rsidRPr="00341E6C" w14:paraId="3E920A55" w14:textId="77777777" w:rsidTr="00A542D9">
        <w:trPr>
          <w:trHeight w:val="20"/>
        </w:trPr>
        <w:tc>
          <w:tcPr>
            <w:tcW w:w="604" w:type="dxa"/>
            <w:vMerge/>
            <w:tcBorders>
              <w:left w:val="single" w:sz="8" w:space="0" w:color="auto"/>
              <w:bottom w:val="single" w:sz="8" w:space="0" w:color="auto"/>
              <w:right w:val="single" w:sz="8" w:space="0" w:color="auto"/>
            </w:tcBorders>
            <w:shd w:val="clear" w:color="auto" w:fill="92D050"/>
            <w:noWrap/>
            <w:vAlign w:val="center"/>
          </w:tcPr>
          <w:p w14:paraId="2F7B8AE3"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p>
        </w:tc>
        <w:tc>
          <w:tcPr>
            <w:tcW w:w="2906" w:type="dxa"/>
            <w:vMerge/>
            <w:tcBorders>
              <w:left w:val="nil"/>
              <w:bottom w:val="single" w:sz="8" w:space="0" w:color="auto"/>
              <w:right w:val="single" w:sz="8" w:space="0" w:color="auto"/>
            </w:tcBorders>
            <w:shd w:val="clear" w:color="auto" w:fill="92D050"/>
          </w:tcPr>
          <w:p w14:paraId="318BEE19"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p>
        </w:tc>
        <w:tc>
          <w:tcPr>
            <w:tcW w:w="8640" w:type="dxa"/>
            <w:vMerge/>
            <w:tcBorders>
              <w:left w:val="nil"/>
              <w:bottom w:val="single" w:sz="8" w:space="0" w:color="auto"/>
              <w:right w:val="single" w:sz="8" w:space="0" w:color="auto"/>
            </w:tcBorders>
            <w:shd w:val="clear" w:color="auto" w:fill="92D050"/>
          </w:tcPr>
          <w:p w14:paraId="603A016F"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p>
        </w:tc>
        <w:tc>
          <w:tcPr>
            <w:tcW w:w="897" w:type="dxa"/>
            <w:tcBorders>
              <w:top w:val="single" w:sz="8" w:space="0" w:color="auto"/>
              <w:left w:val="nil"/>
              <w:bottom w:val="single" w:sz="8" w:space="0" w:color="auto"/>
              <w:right w:val="single" w:sz="8" w:space="0" w:color="auto"/>
            </w:tcBorders>
            <w:shd w:val="clear" w:color="auto" w:fill="92D050"/>
          </w:tcPr>
          <w:p w14:paraId="2C55DCB0"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Realizat</w:t>
            </w:r>
          </w:p>
        </w:tc>
        <w:tc>
          <w:tcPr>
            <w:tcW w:w="900" w:type="dxa"/>
            <w:tcBorders>
              <w:top w:val="single" w:sz="8" w:space="0" w:color="auto"/>
              <w:left w:val="nil"/>
              <w:bottom w:val="single" w:sz="8" w:space="0" w:color="auto"/>
              <w:right w:val="single" w:sz="8" w:space="0" w:color="auto"/>
            </w:tcBorders>
            <w:shd w:val="clear" w:color="auto" w:fill="92D050"/>
          </w:tcPr>
          <w:p w14:paraId="75000BD9"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Parțial</w:t>
            </w:r>
          </w:p>
          <w:p w14:paraId="1DD381B7"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xml:space="preserve"> realizat</w:t>
            </w:r>
          </w:p>
        </w:tc>
        <w:tc>
          <w:tcPr>
            <w:tcW w:w="999" w:type="dxa"/>
            <w:tcBorders>
              <w:top w:val="single" w:sz="8" w:space="0" w:color="auto"/>
              <w:left w:val="nil"/>
              <w:bottom w:val="single" w:sz="8" w:space="0" w:color="auto"/>
              <w:right w:val="single" w:sz="8" w:space="0" w:color="auto"/>
            </w:tcBorders>
            <w:shd w:val="clear" w:color="auto" w:fill="92D050"/>
          </w:tcPr>
          <w:p w14:paraId="562402F3"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Nerealizat</w:t>
            </w:r>
          </w:p>
        </w:tc>
      </w:tr>
      <w:tr w:rsidR="00A542D9" w:rsidRPr="00341E6C" w14:paraId="3259925A"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03A3217F"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2448A49C"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Recomandări Casei Naționale de Asigurări Sociale</w:t>
            </w:r>
          </w:p>
        </w:tc>
        <w:tc>
          <w:tcPr>
            <w:tcW w:w="897" w:type="dxa"/>
            <w:tcBorders>
              <w:top w:val="nil"/>
              <w:left w:val="nil"/>
              <w:bottom w:val="single" w:sz="8" w:space="0" w:color="auto"/>
              <w:right w:val="single" w:sz="8" w:space="0" w:color="auto"/>
            </w:tcBorders>
            <w:shd w:val="clear" w:color="auto" w:fill="FFE599" w:themeFill="accent4" w:themeFillTint="66"/>
            <w:hideMark/>
          </w:tcPr>
          <w:p w14:paraId="11DFB33D"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w:t>
            </w:r>
          </w:p>
        </w:tc>
        <w:tc>
          <w:tcPr>
            <w:tcW w:w="900" w:type="dxa"/>
            <w:tcBorders>
              <w:top w:val="nil"/>
              <w:left w:val="nil"/>
              <w:bottom w:val="single" w:sz="8" w:space="0" w:color="auto"/>
              <w:right w:val="single" w:sz="8" w:space="0" w:color="auto"/>
            </w:tcBorders>
            <w:shd w:val="clear" w:color="auto" w:fill="FFE599" w:themeFill="accent4" w:themeFillTint="66"/>
            <w:hideMark/>
          </w:tcPr>
          <w:p w14:paraId="4DEBF856"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w:t>
            </w:r>
          </w:p>
        </w:tc>
        <w:tc>
          <w:tcPr>
            <w:tcW w:w="999" w:type="dxa"/>
            <w:tcBorders>
              <w:top w:val="nil"/>
              <w:left w:val="nil"/>
              <w:bottom w:val="single" w:sz="8" w:space="0" w:color="auto"/>
              <w:right w:val="single" w:sz="8" w:space="0" w:color="auto"/>
            </w:tcBorders>
            <w:shd w:val="clear" w:color="auto" w:fill="FFE599" w:themeFill="accent4" w:themeFillTint="66"/>
          </w:tcPr>
          <w:p w14:paraId="70A2D886"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r>
      <w:tr w:rsidR="00A542D9" w:rsidRPr="00341E6C" w14:paraId="19CD836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tcPr>
          <w:p w14:paraId="31506255"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w:t>
            </w:r>
          </w:p>
        </w:tc>
        <w:tc>
          <w:tcPr>
            <w:tcW w:w="2906" w:type="dxa"/>
            <w:tcBorders>
              <w:top w:val="single" w:sz="8" w:space="0" w:color="auto"/>
              <w:left w:val="nil"/>
              <w:bottom w:val="single" w:sz="8" w:space="0" w:color="auto"/>
              <w:right w:val="single" w:sz="8" w:space="0" w:color="000000"/>
            </w:tcBorders>
            <w:shd w:val="clear" w:color="auto" w:fill="auto"/>
          </w:tcPr>
          <w:p w14:paraId="73D93656" w14:textId="77777777" w:rsidR="00A542D9" w:rsidRPr="00341E6C" w:rsidRDefault="00A542D9" w:rsidP="005A4F77">
            <w:pPr>
              <w:spacing w:after="0" w:line="240" w:lineRule="auto"/>
              <w:jc w:val="both"/>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sz w:val="18"/>
                <w:szCs w:val="18"/>
                <w:lang w:val="ro-RO"/>
              </w:rPr>
              <w:t>2.1.2. asigurarea ajustării sistemului informațional gestionat, în aspectul modului de achitare a prestațiilor sociale către populație, și întreprinderii măsurilor ce se impun în scopul achitării tuturor drepturilor acordate beneficiarilor de prestații sociale</w:t>
            </w:r>
          </w:p>
        </w:tc>
        <w:tc>
          <w:tcPr>
            <w:tcW w:w="8640" w:type="dxa"/>
            <w:tcBorders>
              <w:top w:val="single" w:sz="8" w:space="0" w:color="auto"/>
              <w:left w:val="nil"/>
              <w:bottom w:val="single" w:sz="8" w:space="0" w:color="auto"/>
              <w:right w:val="single" w:sz="8" w:space="0" w:color="000000"/>
            </w:tcBorders>
            <w:shd w:val="clear" w:color="auto" w:fill="auto"/>
          </w:tcPr>
          <w:p w14:paraId="6F066AD0" w14:textId="275ACE4B" w:rsidR="00A542D9" w:rsidRPr="00341E6C" w:rsidRDefault="00A542D9" w:rsidP="00164828">
            <w:pPr>
              <w:spacing w:after="0" w:line="240" w:lineRule="auto"/>
              <w:jc w:val="both"/>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sz w:val="18"/>
                <w:szCs w:val="18"/>
                <w:lang w:val="ro-RO"/>
              </w:rPr>
              <w:t>Scris. CNAS din 31.12.2020 nr. II-03/10-16221:</w:t>
            </w:r>
            <w:r w:rsidRPr="00341E6C">
              <w:rPr>
                <w:rFonts w:asciiTheme="majorHAnsi" w:eastAsia="Times New Roman" w:hAnsiTheme="majorHAnsi" w:cstheme="majorHAnsi"/>
                <w:sz w:val="18"/>
                <w:szCs w:val="18"/>
                <w:lang w:val="ro-RO"/>
              </w:rPr>
              <w:t xml:space="preserve"> Au fost întreprinse acţiuni ce ţin de ajustarea sistemului informațional „Protecția Socială” la prevederile Hotărârii Guvernului nr.712/2020 cu privire la serviciul guvernamental de plăți electronice (MPay) şi Hotărârii Guvernului nr.898/2020 (în vigoare 01.01.2021, cu excepţia pct.2,3 - 18.12.2020) cu privire la aprobarea modificărilor ce se operează în unele hotărâri ale Guvernului. În scopul achitării tuturor drepturilor acordate beneficiarilor de prestații sociale, sistemul informaţional a fost ajustat astfel înc</w:t>
            </w:r>
            <w:r w:rsidR="00164828">
              <w:rPr>
                <w:rFonts w:asciiTheme="majorHAnsi" w:eastAsia="Times New Roman" w:hAnsiTheme="majorHAnsi" w:cstheme="majorHAnsi"/>
                <w:sz w:val="18"/>
                <w:szCs w:val="18"/>
                <w:lang w:val="ro-RO"/>
              </w:rPr>
              <w:t>â</w:t>
            </w:r>
            <w:r w:rsidRPr="00341E6C">
              <w:rPr>
                <w:rFonts w:asciiTheme="majorHAnsi" w:eastAsia="Times New Roman" w:hAnsiTheme="majorHAnsi" w:cstheme="majorHAnsi"/>
                <w:sz w:val="18"/>
                <w:szCs w:val="18"/>
                <w:lang w:val="ro-RO"/>
              </w:rPr>
              <w:t>t plata altor prestaţii sociale să se efectueze prin intermediul prestatorului de servicii de plată care asigură plata pensiilor.</w:t>
            </w:r>
            <w:r w:rsidRPr="00341E6C">
              <w:rPr>
                <w:rFonts w:asciiTheme="majorHAnsi" w:eastAsia="Times New Roman" w:hAnsiTheme="majorHAnsi" w:cstheme="majorHAnsi"/>
                <w:sz w:val="18"/>
                <w:szCs w:val="18"/>
                <w:lang w:val="ro-RO"/>
              </w:rPr>
              <w:br w:type="page"/>
            </w:r>
            <w:r w:rsidR="00164828">
              <w:rPr>
                <w:rFonts w:asciiTheme="majorHAnsi" w:eastAsia="Times New Roman" w:hAnsiTheme="majorHAnsi" w:cstheme="majorHAnsi"/>
                <w:sz w:val="18"/>
                <w:szCs w:val="18"/>
                <w:lang w:val="ro-RO"/>
              </w:rPr>
              <w:t xml:space="preserve"> </w:t>
            </w:r>
            <w:r w:rsidRPr="00341E6C">
              <w:rPr>
                <w:rFonts w:asciiTheme="majorHAnsi" w:eastAsia="Times New Roman" w:hAnsiTheme="majorHAnsi" w:cstheme="majorHAnsi"/>
                <w:sz w:val="18"/>
                <w:szCs w:val="18"/>
                <w:lang w:val="ro-RO"/>
              </w:rPr>
              <w:t>În rezultat la data de 30.12.2020 a fost lansat procesul de transmitere către serviciul guvernamental de plăți electronice (MPay) a informației aferente prestațiilor sociale acordate beneficiarilor pentru luna ianuarie 2021, inclusiv a sumelor neachitate în luna decembrie 2020 de către prestatorii de servicii de plată</w:t>
            </w:r>
          </w:p>
        </w:tc>
        <w:tc>
          <w:tcPr>
            <w:tcW w:w="897" w:type="dxa"/>
            <w:tcBorders>
              <w:top w:val="nil"/>
              <w:left w:val="nil"/>
              <w:bottom w:val="single" w:sz="8" w:space="0" w:color="auto"/>
              <w:right w:val="single" w:sz="8" w:space="0" w:color="auto"/>
            </w:tcBorders>
            <w:shd w:val="clear" w:color="auto" w:fill="auto"/>
          </w:tcPr>
          <w:p w14:paraId="643CAB37" w14:textId="6372BB37" w:rsidR="00A542D9" w:rsidRPr="00341E6C" w:rsidRDefault="00D26C6D" w:rsidP="00480151">
            <w:pPr>
              <w:spacing w:after="0" w:line="240" w:lineRule="auto"/>
              <w:jc w:val="center"/>
              <w:rPr>
                <w:rFonts w:asciiTheme="majorHAnsi" w:eastAsia="Times New Roman" w:hAnsiTheme="majorHAnsi" w:cstheme="majorHAnsi"/>
                <w:b/>
                <w:sz w:val="18"/>
                <w:szCs w:val="18"/>
                <w:lang w:val="ro-RO"/>
              </w:rPr>
            </w:pPr>
            <w:r>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06814E5A" w14:textId="5BA06D8E" w:rsidR="00A542D9" w:rsidRPr="00341E6C" w:rsidRDefault="00A542D9" w:rsidP="00480151">
            <w:pPr>
              <w:spacing w:after="0" w:line="240" w:lineRule="auto"/>
              <w:jc w:val="center"/>
              <w:rPr>
                <w:rFonts w:asciiTheme="majorHAnsi" w:eastAsia="Times New Roman" w:hAnsiTheme="majorHAnsi" w:cstheme="majorHAnsi"/>
                <w:sz w:val="18"/>
                <w:szCs w:val="18"/>
                <w:lang w:val="ro-RO"/>
              </w:rPr>
            </w:pPr>
          </w:p>
        </w:tc>
        <w:tc>
          <w:tcPr>
            <w:tcW w:w="999" w:type="dxa"/>
            <w:tcBorders>
              <w:top w:val="nil"/>
              <w:left w:val="nil"/>
              <w:bottom w:val="single" w:sz="8" w:space="0" w:color="auto"/>
              <w:right w:val="single" w:sz="8" w:space="0" w:color="auto"/>
            </w:tcBorders>
          </w:tcPr>
          <w:p w14:paraId="29A77F5B"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6F88D75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tcPr>
          <w:p w14:paraId="7C37BD5E"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tcPr>
          <w:p w14:paraId="0168B803" w14:textId="77777777" w:rsidR="00A542D9" w:rsidRPr="00341E6C" w:rsidRDefault="00A542D9" w:rsidP="005A4F77">
            <w:pPr>
              <w:spacing w:after="0" w:line="240" w:lineRule="auto"/>
              <w:jc w:val="both"/>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Recomandări Ministerului Finanțelor</w:t>
            </w:r>
          </w:p>
        </w:tc>
        <w:tc>
          <w:tcPr>
            <w:tcW w:w="897" w:type="dxa"/>
            <w:tcBorders>
              <w:top w:val="nil"/>
              <w:left w:val="nil"/>
              <w:bottom w:val="single" w:sz="8" w:space="0" w:color="auto"/>
              <w:right w:val="single" w:sz="8" w:space="0" w:color="auto"/>
            </w:tcBorders>
            <w:shd w:val="clear" w:color="auto" w:fill="FFE599" w:themeFill="accent4" w:themeFillTint="66"/>
          </w:tcPr>
          <w:p w14:paraId="2967FE1E"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FFE599" w:themeFill="accent4" w:themeFillTint="66"/>
          </w:tcPr>
          <w:p w14:paraId="158C9321"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99" w:type="dxa"/>
            <w:tcBorders>
              <w:top w:val="nil"/>
              <w:left w:val="nil"/>
              <w:bottom w:val="single" w:sz="8" w:space="0" w:color="auto"/>
              <w:right w:val="single" w:sz="8" w:space="0" w:color="auto"/>
            </w:tcBorders>
            <w:shd w:val="clear" w:color="auto" w:fill="FFE599" w:themeFill="accent4" w:themeFillTint="66"/>
          </w:tcPr>
          <w:p w14:paraId="4CF509E1"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r>
      <w:tr w:rsidR="00A542D9" w:rsidRPr="00341E6C" w14:paraId="69B5589F"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6FBAEC0A"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2</w:t>
            </w:r>
          </w:p>
        </w:tc>
        <w:tc>
          <w:tcPr>
            <w:tcW w:w="2906" w:type="dxa"/>
            <w:tcBorders>
              <w:top w:val="nil"/>
              <w:left w:val="nil"/>
              <w:bottom w:val="single" w:sz="8" w:space="0" w:color="auto"/>
              <w:right w:val="single" w:sz="8" w:space="0" w:color="auto"/>
            </w:tcBorders>
            <w:shd w:val="clear" w:color="auto" w:fill="auto"/>
            <w:hideMark/>
          </w:tcPr>
          <w:p w14:paraId="70FE3324"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2.4.1 asigurarea, de comun cu Casa Națională de Asigurări Sociale, a completării Instrucțiunii privind evidență contabilă și a Politicii de contabilitate ale Casei Naționale de Asigurări Sociale, precum și a Normelor metodologice aferente modului de întocmire a Rapoartelor privind executarea bugetului asigurărilor sociale de stat, cu proceduri distincte de reflectare corectă a cheltuielilor efective și a datoriilor față de beneficiarii prestațiilor sociale</w:t>
            </w:r>
          </w:p>
        </w:tc>
        <w:tc>
          <w:tcPr>
            <w:tcW w:w="8640" w:type="dxa"/>
            <w:tcBorders>
              <w:top w:val="nil"/>
              <w:left w:val="nil"/>
              <w:bottom w:val="single" w:sz="8" w:space="0" w:color="auto"/>
              <w:right w:val="single" w:sz="8" w:space="0" w:color="auto"/>
            </w:tcBorders>
            <w:shd w:val="clear" w:color="auto" w:fill="auto"/>
            <w:hideMark/>
          </w:tcPr>
          <w:p w14:paraId="62FCE17D" w14:textId="71808F7A" w:rsidR="00A542D9" w:rsidRPr="00341E6C" w:rsidRDefault="00A542D9" w:rsidP="00C2265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CNAS din 05.02.2021 nr. 360:</w:t>
            </w:r>
            <w:r w:rsidRPr="00341E6C">
              <w:rPr>
                <w:rFonts w:asciiTheme="majorHAnsi" w:eastAsia="Times New Roman" w:hAnsiTheme="majorHAnsi" w:cstheme="majorHAnsi"/>
                <w:sz w:val="18"/>
                <w:szCs w:val="18"/>
                <w:lang w:val="ro-RO"/>
              </w:rPr>
              <w:t xml:space="preserve"> Modificările şi completările efectuate în Instrucțiunea privind evidența contabilă şi în Politica de contabilitate ale CNAS au fost expediate spre coordonare Ministerului Finanţelor prin scrisoarea nr.II-03/10-12440 din 16.10.2020. </w:t>
            </w:r>
            <w:r w:rsidRPr="00341E6C">
              <w:rPr>
                <w:rFonts w:asciiTheme="majorHAnsi" w:eastAsia="Times New Roman" w:hAnsiTheme="majorHAnsi" w:cstheme="majorHAnsi"/>
                <w:b/>
                <w:sz w:val="18"/>
                <w:szCs w:val="18"/>
                <w:lang w:val="ro-RO"/>
              </w:rPr>
              <w:t>Scris. Min</w:t>
            </w:r>
            <w:r w:rsidR="00C22657">
              <w:rPr>
                <w:rFonts w:asciiTheme="majorHAnsi" w:eastAsia="Times New Roman" w:hAnsiTheme="majorHAnsi" w:cstheme="majorHAnsi"/>
                <w:b/>
                <w:sz w:val="18"/>
                <w:szCs w:val="18"/>
                <w:lang w:val="ro-RO"/>
              </w:rPr>
              <w:t>.</w:t>
            </w:r>
            <w:r w:rsidRPr="00341E6C">
              <w:rPr>
                <w:rFonts w:asciiTheme="majorHAnsi" w:eastAsia="Times New Roman" w:hAnsiTheme="majorHAnsi" w:cstheme="majorHAnsi"/>
                <w:b/>
                <w:sz w:val="18"/>
                <w:szCs w:val="18"/>
                <w:lang w:val="ro-RO"/>
              </w:rPr>
              <w:t>Fin</w:t>
            </w:r>
            <w:r w:rsidR="00C22657">
              <w:rPr>
                <w:rFonts w:asciiTheme="majorHAnsi" w:eastAsia="Times New Roman" w:hAnsiTheme="majorHAnsi" w:cstheme="majorHAnsi"/>
                <w:b/>
                <w:sz w:val="18"/>
                <w:szCs w:val="18"/>
                <w:lang w:val="ro-RO"/>
              </w:rPr>
              <w:t>.</w:t>
            </w:r>
            <w:r w:rsidRPr="00341E6C">
              <w:rPr>
                <w:rFonts w:asciiTheme="majorHAnsi" w:eastAsia="Times New Roman" w:hAnsiTheme="majorHAnsi" w:cstheme="majorHAnsi"/>
                <w:b/>
                <w:sz w:val="18"/>
                <w:szCs w:val="18"/>
                <w:lang w:val="ro-RO"/>
              </w:rPr>
              <w:t xml:space="preserve"> din 02.02.2021 nr.05-10/03:</w:t>
            </w:r>
            <w:r w:rsidRPr="00341E6C">
              <w:rPr>
                <w:rFonts w:asciiTheme="majorHAnsi" w:eastAsia="Times New Roman" w:hAnsiTheme="majorHAnsi" w:cstheme="majorHAnsi"/>
                <w:sz w:val="18"/>
                <w:szCs w:val="18"/>
                <w:lang w:val="ro-RO"/>
              </w:rPr>
              <w:t xml:space="preserve"> Ministerul Finanțelor a avizat modificările și completările efectuate la Politica de contabilitate și Instrucțiunea privind evidența contabilă a Casei Naționale de Asigurări Sociale, prin scr. nr.12/3-4-221 din 24.12.2020</w:t>
            </w:r>
          </w:p>
        </w:tc>
        <w:tc>
          <w:tcPr>
            <w:tcW w:w="897" w:type="dxa"/>
            <w:tcBorders>
              <w:top w:val="nil"/>
              <w:left w:val="nil"/>
              <w:bottom w:val="single" w:sz="8" w:space="0" w:color="auto"/>
              <w:right w:val="single" w:sz="8" w:space="0" w:color="auto"/>
            </w:tcBorders>
            <w:shd w:val="clear" w:color="auto" w:fill="auto"/>
          </w:tcPr>
          <w:p w14:paraId="1A636A87" w14:textId="77777777" w:rsidR="00A542D9" w:rsidRPr="00341E6C" w:rsidRDefault="00A542D9" w:rsidP="00480151">
            <w:pPr>
              <w:spacing w:after="0" w:line="240" w:lineRule="auto"/>
              <w:jc w:val="center"/>
              <w:rPr>
                <w:rFonts w:asciiTheme="majorHAnsi" w:eastAsia="Times New Roman" w:hAnsiTheme="majorHAnsi" w:cstheme="majorHAnsi"/>
                <w:b/>
                <w:sz w:val="18"/>
                <w:szCs w:val="18"/>
                <w:lang w:val="ro-RO"/>
              </w:rPr>
            </w:pPr>
            <w:r w:rsidRPr="00341E6C">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72FA8904"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c>
          <w:tcPr>
            <w:tcW w:w="999" w:type="dxa"/>
            <w:tcBorders>
              <w:top w:val="nil"/>
              <w:left w:val="nil"/>
              <w:bottom w:val="single" w:sz="8" w:space="0" w:color="auto"/>
              <w:right w:val="single" w:sz="8" w:space="0" w:color="auto"/>
            </w:tcBorders>
          </w:tcPr>
          <w:p w14:paraId="106765B4"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6CB2AB76"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6D15A85F"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3</w:t>
            </w:r>
          </w:p>
        </w:tc>
        <w:tc>
          <w:tcPr>
            <w:tcW w:w="2906" w:type="dxa"/>
            <w:tcBorders>
              <w:top w:val="nil"/>
              <w:left w:val="nil"/>
              <w:bottom w:val="single" w:sz="8" w:space="0" w:color="auto"/>
              <w:right w:val="single" w:sz="8" w:space="0" w:color="auto"/>
            </w:tcBorders>
            <w:shd w:val="clear" w:color="auto" w:fill="auto"/>
            <w:hideMark/>
          </w:tcPr>
          <w:p w14:paraId="72E931D4" w14:textId="4851C522"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2.4.2. pentru operarea modificărilor și completărilor în Normele metodologice aferente modului de întocmire a Rapoartelor privind executarea bugetului asigurărilor sociale de stat, aprobate prin Ordinul ministrului </w:t>
            </w:r>
            <w:r w:rsidR="00C22657">
              <w:rPr>
                <w:rFonts w:asciiTheme="majorHAnsi" w:eastAsia="Times New Roman" w:hAnsiTheme="majorHAnsi" w:cstheme="majorHAnsi"/>
                <w:sz w:val="18"/>
                <w:szCs w:val="18"/>
                <w:lang w:val="ro-RO"/>
              </w:rPr>
              <w:t>F</w:t>
            </w:r>
            <w:r w:rsidRPr="00341E6C">
              <w:rPr>
                <w:rFonts w:asciiTheme="majorHAnsi" w:eastAsia="Times New Roman" w:hAnsiTheme="majorHAnsi" w:cstheme="majorHAnsi"/>
                <w:sz w:val="18"/>
                <w:szCs w:val="18"/>
                <w:lang w:val="ro-RO"/>
              </w:rPr>
              <w:t xml:space="preserve">inanțelor nr.38 din 17.02.2017, cu referire la cerințele de completare a Raportului narativ privind executarea bugetului asigurărilor sociale de stat, cu determinarea informațiilor relevante ce urmează a fi prezentate </w:t>
            </w:r>
            <w:r w:rsidRPr="00341E6C">
              <w:rPr>
                <w:rFonts w:asciiTheme="majorHAnsi" w:eastAsia="Times New Roman" w:hAnsiTheme="majorHAnsi" w:cstheme="majorHAnsi"/>
                <w:sz w:val="18"/>
                <w:szCs w:val="18"/>
                <w:lang w:val="ro-RO"/>
              </w:rPr>
              <w:lastRenderedPageBreak/>
              <w:t>obligatoriu, prin prisma principiilor contabilității și raportării</w:t>
            </w:r>
          </w:p>
        </w:tc>
        <w:tc>
          <w:tcPr>
            <w:tcW w:w="8640" w:type="dxa"/>
            <w:tcBorders>
              <w:top w:val="nil"/>
              <w:left w:val="nil"/>
              <w:bottom w:val="single" w:sz="8" w:space="0" w:color="auto"/>
              <w:right w:val="single" w:sz="8" w:space="0" w:color="auto"/>
            </w:tcBorders>
            <w:shd w:val="clear" w:color="auto" w:fill="auto"/>
            <w:hideMark/>
          </w:tcPr>
          <w:p w14:paraId="772992D0" w14:textId="0173CE02" w:rsidR="00A542D9" w:rsidRPr="00341E6C" w:rsidRDefault="00A542D9" w:rsidP="00C2265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lastRenderedPageBreak/>
              <w:t>Scris. Min</w:t>
            </w:r>
            <w:r w:rsidR="00C22657">
              <w:rPr>
                <w:rFonts w:asciiTheme="majorHAnsi" w:eastAsia="Times New Roman" w:hAnsiTheme="majorHAnsi" w:cstheme="majorHAnsi"/>
                <w:b/>
                <w:sz w:val="18"/>
                <w:szCs w:val="18"/>
                <w:lang w:val="ro-RO"/>
              </w:rPr>
              <w:t>.</w:t>
            </w:r>
            <w:r w:rsidRPr="00341E6C">
              <w:rPr>
                <w:rFonts w:asciiTheme="majorHAnsi" w:eastAsia="Times New Roman" w:hAnsiTheme="majorHAnsi" w:cstheme="majorHAnsi"/>
                <w:b/>
                <w:sz w:val="18"/>
                <w:szCs w:val="18"/>
                <w:lang w:val="ro-RO"/>
              </w:rPr>
              <w:t>Fin</w:t>
            </w:r>
            <w:r w:rsidR="00C22657">
              <w:rPr>
                <w:rFonts w:asciiTheme="majorHAnsi" w:eastAsia="Times New Roman" w:hAnsiTheme="majorHAnsi" w:cstheme="majorHAnsi"/>
                <w:b/>
                <w:sz w:val="18"/>
                <w:szCs w:val="18"/>
                <w:lang w:val="ro-RO"/>
              </w:rPr>
              <w:t>.</w:t>
            </w:r>
            <w:r w:rsidRPr="00341E6C">
              <w:rPr>
                <w:rFonts w:asciiTheme="majorHAnsi" w:eastAsia="Times New Roman" w:hAnsiTheme="majorHAnsi" w:cstheme="majorHAnsi"/>
                <w:b/>
                <w:sz w:val="18"/>
                <w:szCs w:val="18"/>
                <w:lang w:val="ro-RO"/>
              </w:rPr>
              <w:t xml:space="preserve"> din 02.02.2021 nr.05-10/03:</w:t>
            </w:r>
            <w:r w:rsidRPr="00341E6C">
              <w:rPr>
                <w:rFonts w:asciiTheme="majorHAnsi" w:eastAsia="Times New Roman" w:hAnsiTheme="majorHAnsi" w:cstheme="majorHAnsi"/>
                <w:sz w:val="18"/>
                <w:szCs w:val="18"/>
                <w:lang w:val="ro-RO"/>
              </w:rPr>
              <w:t xml:space="preserve"> Modificările au fost operate prin Ordinul ministrului </w:t>
            </w:r>
            <w:r w:rsidR="00C22657">
              <w:rPr>
                <w:rFonts w:asciiTheme="majorHAnsi" w:eastAsia="Times New Roman" w:hAnsiTheme="majorHAnsi" w:cstheme="majorHAnsi"/>
                <w:sz w:val="18"/>
                <w:szCs w:val="18"/>
                <w:lang w:val="ro-RO"/>
              </w:rPr>
              <w:t>F</w:t>
            </w:r>
            <w:r w:rsidRPr="00341E6C">
              <w:rPr>
                <w:rFonts w:asciiTheme="majorHAnsi" w:eastAsia="Times New Roman" w:hAnsiTheme="majorHAnsi" w:cstheme="majorHAnsi"/>
                <w:sz w:val="18"/>
                <w:szCs w:val="18"/>
                <w:lang w:val="ro-RO"/>
              </w:rPr>
              <w:t xml:space="preserve">inanțelor nr.169/2020 </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Cu privire la modificarea Ordinului nr.38 din 17.02.2017 cu privire la aprobarea formularelor Rapoartelor privind executarea bugetului asigurărilor sociale de stat și Normelor metodologice privind modul de întocmire a acestora</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(Monitorul Oficial al R. Moldova nr.372-382/1450 din 31.12.2020). Astfel, au fost aprobate Structura și cerințele pentru întocmirea Raportului privind executarea bugetului asigurărilor sociale de stat, precum și unele modificări în anexele 2 și 3 la Ordinul nr.38/2017</w:t>
            </w:r>
          </w:p>
        </w:tc>
        <w:tc>
          <w:tcPr>
            <w:tcW w:w="897" w:type="dxa"/>
            <w:tcBorders>
              <w:top w:val="nil"/>
              <w:left w:val="nil"/>
              <w:bottom w:val="single" w:sz="8" w:space="0" w:color="auto"/>
              <w:right w:val="single" w:sz="8" w:space="0" w:color="auto"/>
            </w:tcBorders>
            <w:shd w:val="clear" w:color="auto" w:fill="auto"/>
          </w:tcPr>
          <w:p w14:paraId="10F23F0F" w14:textId="77777777" w:rsidR="00A542D9" w:rsidRPr="00341E6C" w:rsidRDefault="00A542D9" w:rsidP="00480151">
            <w:pPr>
              <w:spacing w:after="0" w:line="240" w:lineRule="auto"/>
              <w:jc w:val="center"/>
              <w:rPr>
                <w:rFonts w:asciiTheme="majorHAnsi" w:eastAsia="Times New Roman" w:hAnsiTheme="majorHAnsi" w:cstheme="majorHAnsi"/>
                <w:b/>
                <w:sz w:val="18"/>
                <w:szCs w:val="18"/>
                <w:lang w:val="ro-RO"/>
              </w:rPr>
            </w:pPr>
            <w:r w:rsidRPr="00341E6C">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3869E1EA" w14:textId="77777777" w:rsidR="00A542D9" w:rsidRPr="00341E6C" w:rsidRDefault="00A542D9" w:rsidP="00480151">
            <w:pPr>
              <w:spacing w:after="0" w:line="240" w:lineRule="auto"/>
              <w:rPr>
                <w:rFonts w:asciiTheme="majorHAnsi" w:eastAsia="Times New Roman" w:hAnsiTheme="majorHAnsi" w:cstheme="majorHAnsi"/>
                <w:bCs/>
                <w:sz w:val="18"/>
                <w:szCs w:val="18"/>
                <w:lang w:val="ro-RO"/>
              </w:rPr>
            </w:pPr>
          </w:p>
        </w:tc>
        <w:tc>
          <w:tcPr>
            <w:tcW w:w="999" w:type="dxa"/>
            <w:tcBorders>
              <w:top w:val="nil"/>
              <w:left w:val="nil"/>
              <w:bottom w:val="single" w:sz="8" w:space="0" w:color="auto"/>
              <w:right w:val="single" w:sz="8" w:space="0" w:color="auto"/>
            </w:tcBorders>
          </w:tcPr>
          <w:p w14:paraId="510CA214"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r>
      <w:tr w:rsidR="00A542D9" w:rsidRPr="00341E6C" w14:paraId="018EE622"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1D68B1AD"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5474EB39"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Recomandare Întreprinderii de Stat „Poșta Moldovei”</w:t>
            </w:r>
          </w:p>
        </w:tc>
        <w:tc>
          <w:tcPr>
            <w:tcW w:w="897" w:type="dxa"/>
            <w:tcBorders>
              <w:top w:val="nil"/>
              <w:left w:val="nil"/>
              <w:bottom w:val="single" w:sz="8" w:space="0" w:color="auto"/>
              <w:right w:val="single" w:sz="8" w:space="0" w:color="auto"/>
            </w:tcBorders>
            <w:shd w:val="clear" w:color="auto" w:fill="FFE599" w:themeFill="accent4" w:themeFillTint="66"/>
          </w:tcPr>
          <w:p w14:paraId="2470DE73"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1912951B"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999" w:type="dxa"/>
            <w:tcBorders>
              <w:top w:val="nil"/>
              <w:left w:val="nil"/>
              <w:bottom w:val="single" w:sz="8" w:space="0" w:color="auto"/>
              <w:right w:val="single" w:sz="8" w:space="0" w:color="auto"/>
            </w:tcBorders>
            <w:shd w:val="clear" w:color="auto" w:fill="FFE599" w:themeFill="accent4" w:themeFillTint="66"/>
          </w:tcPr>
          <w:p w14:paraId="78EEF08A"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r>
      <w:tr w:rsidR="00A542D9" w:rsidRPr="00341E6C" w14:paraId="71D8AC12"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621F4D8A"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4</w:t>
            </w:r>
          </w:p>
        </w:tc>
        <w:tc>
          <w:tcPr>
            <w:tcW w:w="2906" w:type="dxa"/>
            <w:tcBorders>
              <w:top w:val="nil"/>
              <w:left w:val="nil"/>
              <w:bottom w:val="single" w:sz="8" w:space="0" w:color="auto"/>
              <w:right w:val="single" w:sz="8" w:space="0" w:color="auto"/>
            </w:tcBorders>
            <w:shd w:val="clear" w:color="auto" w:fill="auto"/>
            <w:hideMark/>
          </w:tcPr>
          <w:p w14:paraId="65EE80E5"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2.5 asigurarea interacțiunii și ajustării sistemelor informaționale gestionate care asistă procesul de plată a prestațiilor sociale, cu asigurarea achitării tuturor drepturilor acordate beneficiarilor</w:t>
            </w:r>
          </w:p>
        </w:tc>
        <w:tc>
          <w:tcPr>
            <w:tcW w:w="8640" w:type="dxa"/>
            <w:tcBorders>
              <w:top w:val="nil"/>
              <w:left w:val="nil"/>
              <w:bottom w:val="single" w:sz="8" w:space="0" w:color="auto"/>
              <w:right w:val="single" w:sz="8" w:space="0" w:color="auto"/>
            </w:tcBorders>
            <w:shd w:val="clear" w:color="auto" w:fill="auto"/>
            <w:hideMark/>
          </w:tcPr>
          <w:p w14:paraId="09D3CDBA" w14:textId="1F30720F" w:rsidR="00A542D9" w:rsidRPr="00341E6C" w:rsidRDefault="00A542D9" w:rsidP="00C2265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PM din 11.08.2020 nr. 23234:</w:t>
            </w:r>
            <w:r w:rsidRPr="00341E6C">
              <w:rPr>
                <w:rFonts w:asciiTheme="majorHAnsi" w:eastAsia="Times New Roman" w:hAnsiTheme="majorHAnsi" w:cstheme="majorHAnsi"/>
                <w:sz w:val="18"/>
                <w:szCs w:val="18"/>
                <w:lang w:val="ro-RO"/>
              </w:rPr>
              <w:t xml:space="preserve"> I.S.</w:t>
            </w:r>
            <w:r w:rsidR="00C22657">
              <w:rPr>
                <w:rFonts w:asciiTheme="majorHAnsi" w:eastAsia="Times New Roman" w:hAnsiTheme="majorHAnsi" w:cstheme="majorHAnsi"/>
                <w:sz w:val="18"/>
                <w:szCs w:val="18"/>
                <w:lang w:val="ro-RO"/>
              </w:rPr>
              <w:t xml:space="preserve"> </w:t>
            </w:r>
            <w:r w:rsidRPr="00341E6C">
              <w:rPr>
                <w:rFonts w:asciiTheme="majorHAnsi" w:eastAsia="Times New Roman" w:hAnsiTheme="majorHAnsi" w:cstheme="majorHAnsi"/>
                <w:sz w:val="18"/>
                <w:szCs w:val="18"/>
                <w:lang w:val="ro-RO"/>
              </w:rPr>
              <w:t>„Poşta Moldovei” a solicitat CNAS includerea tuturor plăţilor într-un singur f</w:t>
            </w:r>
            <w:r w:rsidR="00C22657">
              <w:rPr>
                <w:rFonts w:asciiTheme="majorHAnsi" w:eastAsia="Times New Roman" w:hAnsiTheme="majorHAnsi" w:cstheme="majorHAnsi"/>
                <w:sz w:val="18"/>
                <w:szCs w:val="18"/>
                <w:lang w:val="ro-RO"/>
              </w:rPr>
              <w:t>i</w:t>
            </w:r>
            <w:r w:rsidRPr="00341E6C">
              <w:rPr>
                <w:rFonts w:asciiTheme="majorHAnsi" w:eastAsia="Times New Roman" w:hAnsiTheme="majorHAnsi" w:cstheme="majorHAnsi"/>
                <w:sz w:val="18"/>
                <w:szCs w:val="18"/>
                <w:lang w:val="ro-RO"/>
              </w:rPr>
              <w:t>şier, din motiv că transferurile plăţilor sociale în diferite zile conduc la deplasarea repetată a beneficiarilor în Oficiul Poştal pentru a ridica fi</w:t>
            </w:r>
            <w:r w:rsidR="00C22657">
              <w:rPr>
                <w:rFonts w:asciiTheme="majorHAnsi" w:eastAsia="Times New Roman" w:hAnsiTheme="majorHAnsi" w:cstheme="majorHAnsi"/>
                <w:sz w:val="18"/>
                <w:szCs w:val="18"/>
                <w:lang w:val="ro-RO"/>
              </w:rPr>
              <w:t>e</w:t>
            </w:r>
            <w:r w:rsidRPr="00341E6C">
              <w:rPr>
                <w:rFonts w:asciiTheme="majorHAnsi" w:eastAsia="Times New Roman" w:hAnsiTheme="majorHAnsi" w:cstheme="majorHAnsi"/>
                <w:sz w:val="18"/>
                <w:szCs w:val="18"/>
                <w:lang w:val="ro-RO"/>
              </w:rPr>
              <w:t>care tip de prestaţie</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dar şi la formarea datoriilor. Însă</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cu toate acestea nu s-a ajuns la un acord comun cu CNAS. Serviciul guvernamental de plăţi electronice a dezvoltat o pla</w:t>
            </w:r>
            <w:r w:rsidR="00C22657">
              <w:rPr>
                <w:rFonts w:asciiTheme="majorHAnsi" w:eastAsia="Times New Roman" w:hAnsiTheme="majorHAnsi" w:cstheme="majorHAnsi"/>
                <w:sz w:val="18"/>
                <w:szCs w:val="18"/>
                <w:lang w:val="ro-RO"/>
              </w:rPr>
              <w:t>t</w:t>
            </w:r>
            <w:r w:rsidRPr="00341E6C">
              <w:rPr>
                <w:rFonts w:asciiTheme="majorHAnsi" w:eastAsia="Times New Roman" w:hAnsiTheme="majorHAnsi" w:cstheme="majorHAnsi"/>
                <w:sz w:val="18"/>
                <w:szCs w:val="18"/>
                <w:lang w:val="ro-RO"/>
              </w:rPr>
              <w:t>formă care promite benef</w:t>
            </w:r>
            <w:r w:rsidR="00C22657">
              <w:rPr>
                <w:rFonts w:asciiTheme="majorHAnsi" w:eastAsia="Times New Roman" w:hAnsiTheme="majorHAnsi" w:cstheme="majorHAnsi"/>
                <w:sz w:val="18"/>
                <w:szCs w:val="18"/>
                <w:lang w:val="ro-RO"/>
              </w:rPr>
              <w:t>i</w:t>
            </w:r>
            <w:r w:rsidRPr="00341E6C">
              <w:rPr>
                <w:rFonts w:asciiTheme="majorHAnsi" w:eastAsia="Times New Roman" w:hAnsiTheme="majorHAnsi" w:cstheme="majorHAnsi"/>
                <w:sz w:val="18"/>
                <w:szCs w:val="18"/>
                <w:lang w:val="ro-RO"/>
              </w:rPr>
              <w:t xml:space="preserve">ciarilor libertatea şi convenienţa de a alege orice metodă de plată disponibilă şi respectiv urmează să </w:t>
            </w:r>
            <w:r w:rsidR="00C22657">
              <w:rPr>
                <w:rFonts w:asciiTheme="majorHAnsi" w:eastAsia="Times New Roman" w:hAnsiTheme="majorHAnsi" w:cstheme="majorHAnsi"/>
                <w:sz w:val="18"/>
                <w:szCs w:val="18"/>
                <w:lang w:val="ro-RO"/>
              </w:rPr>
              <w:t>i</w:t>
            </w:r>
            <w:r w:rsidRPr="00341E6C">
              <w:rPr>
                <w:rFonts w:asciiTheme="majorHAnsi" w:eastAsia="Times New Roman" w:hAnsiTheme="majorHAnsi" w:cstheme="majorHAnsi"/>
                <w:sz w:val="18"/>
                <w:szCs w:val="18"/>
                <w:lang w:val="ro-RO"/>
              </w:rPr>
              <w:t>mplementeze un mecanism unic pentru distribuirea prestaţiilor sociale cetăţenilor în cadrul acestui proiect toate prestaţiile sociale vor fi comasate într-o singură platformă, unde benef</w:t>
            </w:r>
            <w:r w:rsidR="00C22657">
              <w:rPr>
                <w:rFonts w:asciiTheme="majorHAnsi" w:eastAsia="Times New Roman" w:hAnsiTheme="majorHAnsi" w:cstheme="majorHAnsi"/>
                <w:sz w:val="18"/>
                <w:szCs w:val="18"/>
                <w:lang w:val="ro-RO"/>
              </w:rPr>
              <w:t>i</w:t>
            </w:r>
            <w:r w:rsidRPr="00341E6C">
              <w:rPr>
                <w:rFonts w:asciiTheme="majorHAnsi" w:eastAsia="Times New Roman" w:hAnsiTheme="majorHAnsi" w:cstheme="majorHAnsi"/>
                <w:sz w:val="18"/>
                <w:szCs w:val="18"/>
                <w:lang w:val="ro-RO"/>
              </w:rPr>
              <w:t>ciarul va furniza IDNP său, necesar pentru verificarea disponibilităţii tuturor prestaţiilor sociale convenite. În cazul în care se confirmă disponibilitatea, beneficiarului îi sunt eliberate toate prestaţiile sociale</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w:t>
            </w:r>
            <w:r w:rsidR="00C22657">
              <w:rPr>
                <w:rFonts w:asciiTheme="majorHAnsi" w:eastAsia="Times New Roman" w:hAnsiTheme="majorHAnsi" w:cstheme="majorHAnsi"/>
                <w:sz w:val="18"/>
                <w:szCs w:val="18"/>
                <w:lang w:val="ro-RO"/>
              </w:rPr>
              <w:t>Î</w:t>
            </w:r>
            <w:r w:rsidRPr="00341E6C">
              <w:rPr>
                <w:rFonts w:asciiTheme="majorHAnsi" w:eastAsia="Times New Roman" w:hAnsiTheme="majorHAnsi" w:cstheme="majorHAnsi"/>
                <w:sz w:val="18"/>
                <w:szCs w:val="18"/>
                <w:lang w:val="ro-RO"/>
              </w:rPr>
              <w:t>n acest sens</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Poşta Moldovei colaborează şi susţine acest proiect care va oferi posibilitatea minimalizării riscurilor la nivel operațional şi financiar, dar şi monitorizării în timp real a plăţilor efectuate în favoarea beneficiarului</w:t>
            </w:r>
          </w:p>
        </w:tc>
        <w:tc>
          <w:tcPr>
            <w:tcW w:w="897" w:type="dxa"/>
            <w:tcBorders>
              <w:top w:val="nil"/>
              <w:left w:val="nil"/>
              <w:bottom w:val="single" w:sz="8" w:space="0" w:color="auto"/>
              <w:right w:val="single" w:sz="8" w:space="0" w:color="auto"/>
            </w:tcBorders>
            <w:shd w:val="clear" w:color="auto" w:fill="auto"/>
          </w:tcPr>
          <w:p w14:paraId="1D8807B4"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hideMark/>
          </w:tcPr>
          <w:p w14:paraId="069C4189"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iCs/>
                <w:sz w:val="18"/>
                <w:szCs w:val="18"/>
                <w:lang w:val="ro-RO"/>
              </w:rPr>
              <w:t>v</w:t>
            </w:r>
          </w:p>
        </w:tc>
        <w:tc>
          <w:tcPr>
            <w:tcW w:w="999" w:type="dxa"/>
            <w:tcBorders>
              <w:top w:val="nil"/>
              <w:left w:val="nil"/>
              <w:bottom w:val="single" w:sz="8" w:space="0" w:color="auto"/>
              <w:right w:val="single" w:sz="8" w:space="0" w:color="auto"/>
            </w:tcBorders>
          </w:tcPr>
          <w:p w14:paraId="338AE0A3"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010BDA56"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204E2D18"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7224C39D"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Recomandări Ministerului Sănătății, Muncii și Protecției Sociale:</w:t>
            </w:r>
          </w:p>
        </w:tc>
        <w:tc>
          <w:tcPr>
            <w:tcW w:w="897" w:type="dxa"/>
            <w:tcBorders>
              <w:top w:val="nil"/>
              <w:left w:val="nil"/>
              <w:bottom w:val="single" w:sz="8" w:space="0" w:color="auto"/>
              <w:right w:val="single" w:sz="8" w:space="0" w:color="auto"/>
            </w:tcBorders>
            <w:shd w:val="clear" w:color="auto" w:fill="FFE599" w:themeFill="accent4" w:themeFillTint="66"/>
          </w:tcPr>
          <w:p w14:paraId="07714C55"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208A1ABE"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999" w:type="dxa"/>
            <w:tcBorders>
              <w:top w:val="nil"/>
              <w:left w:val="nil"/>
              <w:bottom w:val="single" w:sz="8" w:space="0" w:color="auto"/>
              <w:right w:val="single" w:sz="8" w:space="0" w:color="auto"/>
            </w:tcBorders>
            <w:shd w:val="clear" w:color="auto" w:fill="FFE599" w:themeFill="accent4" w:themeFillTint="66"/>
          </w:tcPr>
          <w:p w14:paraId="6D30B7E6"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r>
      <w:tr w:rsidR="00A542D9" w:rsidRPr="00341E6C" w14:paraId="18B527F4"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EC3B862"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5</w:t>
            </w:r>
          </w:p>
        </w:tc>
        <w:tc>
          <w:tcPr>
            <w:tcW w:w="2906" w:type="dxa"/>
            <w:tcBorders>
              <w:top w:val="nil"/>
              <w:left w:val="nil"/>
              <w:bottom w:val="single" w:sz="8" w:space="0" w:color="auto"/>
              <w:right w:val="single" w:sz="8" w:space="0" w:color="auto"/>
            </w:tcBorders>
            <w:shd w:val="clear" w:color="auto" w:fill="auto"/>
            <w:hideMark/>
          </w:tcPr>
          <w:p w14:paraId="758568B5"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1. să stabilească modalitățile de transmitere a informației privind plățile achitate necuvenit beneficiarilor de ajutor social şi de ajutor pentru perioada rece a anului, constatate de către organele de control abilitate, pentru asigurarea plenitudinii înregistrării şi raportării acestora de către CNAS</w:t>
            </w:r>
          </w:p>
        </w:tc>
        <w:tc>
          <w:tcPr>
            <w:tcW w:w="8640" w:type="dxa"/>
            <w:tcBorders>
              <w:top w:val="nil"/>
              <w:left w:val="nil"/>
              <w:bottom w:val="single" w:sz="8" w:space="0" w:color="auto"/>
              <w:right w:val="single" w:sz="8" w:space="0" w:color="auto"/>
            </w:tcBorders>
            <w:shd w:val="clear" w:color="auto" w:fill="auto"/>
            <w:hideMark/>
          </w:tcPr>
          <w:p w14:paraId="1A0EDCA5"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MSMPS din 19.01.2021 nr.16/193:</w:t>
            </w:r>
            <w:r w:rsidRPr="00341E6C">
              <w:rPr>
                <w:rFonts w:asciiTheme="majorHAnsi" w:eastAsia="Times New Roman" w:hAnsiTheme="majorHAnsi" w:cstheme="majorHAnsi"/>
                <w:sz w:val="18"/>
                <w:szCs w:val="18"/>
                <w:lang w:val="ro-RO"/>
              </w:rPr>
              <w:t xml:space="preserve"> recomandarea respectivă este în proces de implementare. Menționăm că prin Hotărârea Guvernului nr.898 din 14.12.2020 cu privire la aprobarea modificărilor ce se operează în unele Hotărâri ale Guvernului au fost operate modificări la Hotărârea Guvernului nr.1167/2008 pentru aprobarea Regulamentului cu privire la modul de stabilire și plată a ajutorului social, care prevede interconectarea cu sistemul informațional al CNAS pentru a beneficia integral de serviciile disponibile pe platforma MPay.</w:t>
            </w:r>
          </w:p>
          <w:p w14:paraId="47336734" w14:textId="69E75CD9" w:rsidR="00A542D9" w:rsidRPr="00341E6C" w:rsidRDefault="00A542D9" w:rsidP="00C2265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Complimentar pentru anul 2021, Ministerul Sănătății</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Muncii și Protecției Sociale planifică contractarea serviciilor de dezvoltare a unor noi funcționalități a</w:t>
            </w:r>
            <w:r w:rsidR="00C22657">
              <w:rPr>
                <w:rFonts w:asciiTheme="majorHAnsi" w:eastAsia="Times New Roman" w:hAnsiTheme="majorHAnsi" w:cstheme="majorHAnsi"/>
                <w:sz w:val="18"/>
                <w:szCs w:val="18"/>
                <w:lang w:val="ro-RO"/>
              </w:rPr>
              <w:t>le</w:t>
            </w:r>
            <w:r w:rsidRPr="00341E6C">
              <w:rPr>
                <w:rFonts w:asciiTheme="majorHAnsi" w:eastAsia="Times New Roman" w:hAnsiTheme="majorHAnsi" w:cstheme="majorHAnsi"/>
                <w:sz w:val="18"/>
                <w:szCs w:val="18"/>
                <w:lang w:val="ro-RO"/>
              </w:rPr>
              <w:t xml:space="preserve"> Sistemului Informațional Automatizat </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Asistență Socială”, inclusiv cele aferente implementării recomandării vizate.</w:t>
            </w:r>
          </w:p>
        </w:tc>
        <w:tc>
          <w:tcPr>
            <w:tcW w:w="897" w:type="dxa"/>
            <w:tcBorders>
              <w:top w:val="nil"/>
              <w:left w:val="nil"/>
              <w:bottom w:val="single" w:sz="8" w:space="0" w:color="auto"/>
              <w:right w:val="single" w:sz="8" w:space="0" w:color="auto"/>
            </w:tcBorders>
            <w:shd w:val="clear" w:color="auto" w:fill="auto"/>
          </w:tcPr>
          <w:p w14:paraId="1A0B17C0"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hideMark/>
          </w:tcPr>
          <w:p w14:paraId="369ADCC5" w14:textId="77777777" w:rsidR="00A542D9" w:rsidRPr="00341E6C" w:rsidRDefault="00A542D9" w:rsidP="00480151">
            <w:pPr>
              <w:spacing w:after="0" w:line="240" w:lineRule="auto"/>
              <w:jc w:val="center"/>
              <w:rPr>
                <w:rFonts w:asciiTheme="majorHAnsi" w:eastAsia="Times New Roman" w:hAnsiTheme="majorHAnsi" w:cstheme="majorHAnsi"/>
                <w:bCs/>
                <w:sz w:val="18"/>
                <w:szCs w:val="18"/>
                <w:lang w:val="ro-RO"/>
              </w:rPr>
            </w:pPr>
            <w:r w:rsidRPr="00341E6C">
              <w:rPr>
                <w:rFonts w:asciiTheme="majorHAnsi" w:eastAsia="Times New Roman" w:hAnsiTheme="majorHAnsi" w:cstheme="majorHAnsi"/>
                <w:b/>
                <w:bCs/>
                <w:sz w:val="18"/>
                <w:szCs w:val="18"/>
                <w:lang w:val="ro-RO"/>
              </w:rPr>
              <w:t>v</w:t>
            </w:r>
          </w:p>
        </w:tc>
        <w:tc>
          <w:tcPr>
            <w:tcW w:w="999" w:type="dxa"/>
            <w:tcBorders>
              <w:top w:val="nil"/>
              <w:left w:val="nil"/>
              <w:bottom w:val="single" w:sz="8" w:space="0" w:color="auto"/>
              <w:right w:val="single" w:sz="8" w:space="0" w:color="auto"/>
            </w:tcBorders>
          </w:tcPr>
          <w:p w14:paraId="6E1437FF"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r>
      <w:tr w:rsidR="00A542D9" w:rsidRPr="00341E6C" w14:paraId="79EFE215"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78CA67EC"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6</w:t>
            </w:r>
          </w:p>
        </w:tc>
        <w:tc>
          <w:tcPr>
            <w:tcW w:w="2906" w:type="dxa"/>
            <w:tcBorders>
              <w:top w:val="nil"/>
              <w:left w:val="nil"/>
              <w:bottom w:val="single" w:sz="8" w:space="0" w:color="auto"/>
              <w:right w:val="single" w:sz="8" w:space="0" w:color="auto"/>
            </w:tcBorders>
            <w:shd w:val="clear" w:color="auto" w:fill="auto"/>
            <w:hideMark/>
          </w:tcPr>
          <w:p w14:paraId="0801AFFD"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2. să stabilească, în actele normative, măsurile ce urmează a fi întreprinse și autoritățile responsabile, pentru asigurarea legalității constatării și recuperării de la beneficiari a plăților achitate necuvenit pentru ajutor social și pentru perioada rece a anului</w:t>
            </w:r>
          </w:p>
        </w:tc>
        <w:tc>
          <w:tcPr>
            <w:tcW w:w="8640" w:type="dxa"/>
            <w:tcBorders>
              <w:top w:val="nil"/>
              <w:left w:val="nil"/>
              <w:bottom w:val="single" w:sz="8" w:space="0" w:color="auto"/>
              <w:right w:val="single" w:sz="8" w:space="0" w:color="auto"/>
            </w:tcBorders>
            <w:shd w:val="clear" w:color="auto" w:fill="auto"/>
            <w:hideMark/>
          </w:tcPr>
          <w:p w14:paraId="43C93C13" w14:textId="06AD71D8"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MSMPS din 19.01.2021 nr.16/193:</w:t>
            </w:r>
            <w:r w:rsidRPr="00341E6C">
              <w:rPr>
                <w:rFonts w:asciiTheme="majorHAnsi" w:eastAsia="Times New Roman" w:hAnsiTheme="majorHAnsi" w:cstheme="majorHAnsi"/>
                <w:sz w:val="18"/>
                <w:szCs w:val="18"/>
                <w:lang w:val="ro-RO"/>
              </w:rPr>
              <w:t xml:space="preserve"> Ministerul Sănătății</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Muncii și Protecției Sociale pentru anul 2021 planifică elaborarea unui proiect de act normativ în contextul fortificării statutului Inspecției Sociale prin acordarea competențelor de agent constatator inspectorilor din cadrul instituției vizate și asigurarea legalității constatării și obligativității recuperării de la beneficiari a plăților achitate necuvenit pentru ajutor social și ajutor pentru perioada rece a anului</w:t>
            </w:r>
          </w:p>
        </w:tc>
        <w:tc>
          <w:tcPr>
            <w:tcW w:w="897" w:type="dxa"/>
            <w:tcBorders>
              <w:top w:val="nil"/>
              <w:left w:val="nil"/>
              <w:bottom w:val="single" w:sz="8" w:space="0" w:color="auto"/>
              <w:right w:val="single" w:sz="8" w:space="0" w:color="auto"/>
            </w:tcBorders>
            <w:shd w:val="clear" w:color="auto" w:fill="auto"/>
          </w:tcPr>
          <w:p w14:paraId="1A128377"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tcPr>
          <w:p w14:paraId="534A288C" w14:textId="77777777" w:rsidR="00A542D9" w:rsidRPr="00341E6C" w:rsidRDefault="00A542D9" w:rsidP="00480151">
            <w:pPr>
              <w:spacing w:after="0" w:line="240" w:lineRule="auto"/>
              <w:rPr>
                <w:rFonts w:asciiTheme="majorHAnsi" w:eastAsia="Times New Roman" w:hAnsiTheme="majorHAnsi" w:cstheme="majorHAnsi"/>
                <w:bCs/>
                <w:iCs/>
                <w:sz w:val="18"/>
                <w:szCs w:val="18"/>
                <w:lang w:val="ro-RO"/>
              </w:rPr>
            </w:pPr>
          </w:p>
        </w:tc>
        <w:tc>
          <w:tcPr>
            <w:tcW w:w="999" w:type="dxa"/>
            <w:tcBorders>
              <w:top w:val="nil"/>
              <w:left w:val="nil"/>
              <w:bottom w:val="single" w:sz="8" w:space="0" w:color="auto"/>
              <w:right w:val="single" w:sz="8" w:space="0" w:color="auto"/>
            </w:tcBorders>
          </w:tcPr>
          <w:p w14:paraId="5F02652A" w14:textId="77777777" w:rsidR="00A542D9" w:rsidRPr="00341E6C" w:rsidRDefault="00A542D9" w:rsidP="00480151">
            <w:pPr>
              <w:spacing w:after="0" w:line="240" w:lineRule="auto"/>
              <w:jc w:val="center"/>
              <w:rPr>
                <w:rFonts w:asciiTheme="majorHAnsi" w:eastAsia="Times New Roman" w:hAnsiTheme="majorHAnsi" w:cstheme="majorHAnsi"/>
                <w:b/>
                <w:bCs/>
                <w:iCs/>
                <w:sz w:val="18"/>
                <w:szCs w:val="18"/>
                <w:lang w:val="ro-RO"/>
              </w:rPr>
            </w:pPr>
            <w:r w:rsidRPr="00341E6C">
              <w:rPr>
                <w:rFonts w:asciiTheme="majorHAnsi" w:eastAsia="Times New Roman" w:hAnsiTheme="majorHAnsi" w:cstheme="majorHAnsi"/>
                <w:b/>
                <w:bCs/>
                <w:iCs/>
                <w:sz w:val="18"/>
                <w:szCs w:val="18"/>
                <w:lang w:val="ro-RO"/>
              </w:rPr>
              <w:t>v</w:t>
            </w:r>
          </w:p>
        </w:tc>
      </w:tr>
      <w:tr w:rsidR="00A542D9" w:rsidRPr="00341E6C" w14:paraId="5A4B3C37"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02C13A11"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7</w:t>
            </w:r>
          </w:p>
        </w:tc>
        <w:tc>
          <w:tcPr>
            <w:tcW w:w="2906" w:type="dxa"/>
            <w:tcBorders>
              <w:top w:val="nil"/>
              <w:left w:val="nil"/>
              <w:bottom w:val="single" w:sz="8" w:space="0" w:color="auto"/>
              <w:right w:val="single" w:sz="8" w:space="0" w:color="auto"/>
            </w:tcBorders>
            <w:shd w:val="clear" w:color="auto" w:fill="auto"/>
            <w:hideMark/>
          </w:tcPr>
          <w:p w14:paraId="49DD4A29"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3. să reducă termenul de restituire, pe contul corespunzător al Casei Naționale de Asigurări Sociale, a sumelor ajutorului social şi ajutorului pentru perioada rece a anului nesolicitate de beneficiari, de la 6 luni consecutive la 3 luni consecutive </w:t>
            </w:r>
          </w:p>
        </w:tc>
        <w:tc>
          <w:tcPr>
            <w:tcW w:w="8640" w:type="dxa"/>
            <w:tcBorders>
              <w:top w:val="nil"/>
              <w:left w:val="nil"/>
              <w:bottom w:val="single" w:sz="8" w:space="0" w:color="auto"/>
              <w:right w:val="single" w:sz="8" w:space="0" w:color="auto"/>
            </w:tcBorders>
            <w:shd w:val="clear" w:color="auto" w:fill="auto"/>
            <w:hideMark/>
          </w:tcPr>
          <w:p w14:paraId="4972D246" w14:textId="2CBF077F" w:rsidR="00A542D9" w:rsidRPr="00341E6C" w:rsidRDefault="00A542D9" w:rsidP="00C2265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MSMPS din 19.01.2021 nr.16/193:</w:t>
            </w:r>
            <w:r w:rsidRPr="00341E6C">
              <w:rPr>
                <w:rFonts w:asciiTheme="majorHAnsi" w:eastAsia="Times New Roman" w:hAnsiTheme="majorHAnsi" w:cstheme="majorHAnsi"/>
                <w:sz w:val="18"/>
                <w:szCs w:val="18"/>
                <w:lang w:val="ro-RO"/>
              </w:rPr>
              <w:t xml:space="preserve"> începând cu 1 ianuarie 2021</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în baza Hotărârii Guvernului nr.898 din 14.12.2020 cu privire la aprobarea modificărilor ce se operează în unele Hotărâri ale Guvernului se implementează Serviciul Guvernamental de Plăți Electronice (MPay). Utilizarea acestui serviciu oferă posibilitatea de a monitoriza on-line situația privind plățile efectuate. Reieșind din cele menționate, mijloacele financiare neachitate beneficiarilor se vor restitui lunar pe contul Casei Naționale de Asigurări Sociale</w:t>
            </w:r>
          </w:p>
        </w:tc>
        <w:tc>
          <w:tcPr>
            <w:tcW w:w="897" w:type="dxa"/>
            <w:tcBorders>
              <w:top w:val="nil"/>
              <w:left w:val="nil"/>
              <w:bottom w:val="single" w:sz="8" w:space="0" w:color="auto"/>
              <w:right w:val="single" w:sz="8" w:space="0" w:color="auto"/>
            </w:tcBorders>
            <w:shd w:val="clear" w:color="auto" w:fill="auto"/>
          </w:tcPr>
          <w:p w14:paraId="54F9ADEE" w14:textId="77777777" w:rsidR="00A542D9" w:rsidRPr="00341E6C" w:rsidRDefault="00A542D9" w:rsidP="00480151">
            <w:pPr>
              <w:spacing w:after="0" w:line="240" w:lineRule="auto"/>
              <w:jc w:val="center"/>
              <w:rPr>
                <w:rFonts w:asciiTheme="majorHAnsi" w:eastAsia="Times New Roman" w:hAnsiTheme="majorHAnsi" w:cstheme="majorHAnsi"/>
                <w:b/>
                <w:sz w:val="18"/>
                <w:szCs w:val="18"/>
                <w:lang w:val="ro-RO"/>
              </w:rPr>
            </w:pPr>
            <w:r w:rsidRPr="00341E6C">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09926FE3"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c>
          <w:tcPr>
            <w:tcW w:w="999" w:type="dxa"/>
            <w:tcBorders>
              <w:top w:val="nil"/>
              <w:left w:val="nil"/>
              <w:bottom w:val="single" w:sz="8" w:space="0" w:color="auto"/>
              <w:right w:val="single" w:sz="8" w:space="0" w:color="auto"/>
            </w:tcBorders>
          </w:tcPr>
          <w:p w14:paraId="51DB0492"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1FF8B12E"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351E865"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8</w:t>
            </w:r>
          </w:p>
        </w:tc>
        <w:tc>
          <w:tcPr>
            <w:tcW w:w="2906" w:type="dxa"/>
            <w:tcBorders>
              <w:top w:val="nil"/>
              <w:left w:val="nil"/>
              <w:bottom w:val="single" w:sz="8" w:space="0" w:color="auto"/>
              <w:right w:val="single" w:sz="8" w:space="0" w:color="auto"/>
            </w:tcBorders>
            <w:shd w:val="clear" w:color="auto" w:fill="auto"/>
            <w:hideMark/>
          </w:tcPr>
          <w:p w14:paraId="484D1912"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4. să asigure accesul direcțiilor teritoriale de asistență socială la bazele de date ale instituțiilor care dețin informații privind sursele și </w:t>
            </w:r>
            <w:r w:rsidRPr="00341E6C">
              <w:rPr>
                <w:rFonts w:asciiTheme="majorHAnsi" w:eastAsia="Times New Roman" w:hAnsiTheme="majorHAnsi" w:cstheme="majorHAnsi"/>
                <w:sz w:val="18"/>
                <w:szCs w:val="18"/>
                <w:lang w:val="ro-RO"/>
              </w:rPr>
              <w:lastRenderedPageBreak/>
              <w:t>mărimea veniturilor solicitanților de ajutoare sociale</w:t>
            </w:r>
          </w:p>
        </w:tc>
        <w:tc>
          <w:tcPr>
            <w:tcW w:w="8640" w:type="dxa"/>
            <w:tcBorders>
              <w:top w:val="nil"/>
              <w:left w:val="nil"/>
              <w:bottom w:val="single" w:sz="8" w:space="0" w:color="auto"/>
              <w:right w:val="single" w:sz="8" w:space="0" w:color="auto"/>
            </w:tcBorders>
            <w:shd w:val="clear" w:color="auto" w:fill="auto"/>
            <w:hideMark/>
          </w:tcPr>
          <w:p w14:paraId="50C7B216" w14:textId="48D7C9BD" w:rsidR="00A542D9" w:rsidRPr="00341E6C" w:rsidRDefault="00A542D9" w:rsidP="00C2265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lastRenderedPageBreak/>
              <w:t>Scris. MSMPS din 19.01.2021 nr.16/193:</w:t>
            </w:r>
            <w:r w:rsidRPr="00341E6C">
              <w:rPr>
                <w:rFonts w:asciiTheme="majorHAnsi" w:eastAsia="Times New Roman" w:hAnsiTheme="majorHAnsi" w:cstheme="majorHAnsi"/>
                <w:sz w:val="18"/>
                <w:szCs w:val="18"/>
                <w:lang w:val="ro-RO"/>
              </w:rPr>
              <w:t xml:space="preserve"> pentru anul 2021, Ministerul Sănătății</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Muncii și Protecției Sociale planifică contractarea serviciilor de dezvoltare a unor noi funcționalități a</w:t>
            </w:r>
            <w:r w:rsidR="00C22657">
              <w:rPr>
                <w:rFonts w:asciiTheme="majorHAnsi" w:eastAsia="Times New Roman" w:hAnsiTheme="majorHAnsi" w:cstheme="majorHAnsi"/>
                <w:sz w:val="18"/>
                <w:szCs w:val="18"/>
                <w:lang w:val="ro-RO"/>
              </w:rPr>
              <w:t>le</w:t>
            </w:r>
            <w:r w:rsidRPr="00341E6C">
              <w:rPr>
                <w:rFonts w:asciiTheme="majorHAnsi" w:eastAsia="Times New Roman" w:hAnsiTheme="majorHAnsi" w:cstheme="majorHAnsi"/>
                <w:sz w:val="18"/>
                <w:szCs w:val="18"/>
                <w:lang w:val="ro-RO"/>
              </w:rPr>
              <w:t xml:space="preserve"> Sistemului Informațional Automatizat </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Asistență Socială”, inclusiv unele web</w:t>
            </w:r>
            <w:r w:rsidR="00C22657">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servicii pentru a asigura schimbul de informații cu mai multe instituții, inclusiv veniturile solicitanților de ajutor social și ajutor pentru perioada rece a anului</w:t>
            </w:r>
          </w:p>
        </w:tc>
        <w:tc>
          <w:tcPr>
            <w:tcW w:w="897" w:type="dxa"/>
            <w:tcBorders>
              <w:top w:val="nil"/>
              <w:left w:val="nil"/>
              <w:bottom w:val="single" w:sz="8" w:space="0" w:color="auto"/>
              <w:right w:val="single" w:sz="8" w:space="0" w:color="auto"/>
            </w:tcBorders>
            <w:shd w:val="clear" w:color="auto" w:fill="auto"/>
          </w:tcPr>
          <w:p w14:paraId="1807DB13"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tcPr>
          <w:p w14:paraId="006C1CA8" w14:textId="77777777" w:rsidR="00A542D9" w:rsidRPr="00341E6C" w:rsidRDefault="00A542D9" w:rsidP="00480151">
            <w:pPr>
              <w:spacing w:after="0" w:line="240" w:lineRule="auto"/>
              <w:rPr>
                <w:rFonts w:asciiTheme="majorHAnsi" w:eastAsia="Times New Roman" w:hAnsiTheme="majorHAnsi" w:cstheme="majorHAnsi"/>
                <w:bCs/>
                <w:iCs/>
                <w:sz w:val="18"/>
                <w:szCs w:val="18"/>
                <w:lang w:val="ro-RO"/>
              </w:rPr>
            </w:pPr>
          </w:p>
        </w:tc>
        <w:tc>
          <w:tcPr>
            <w:tcW w:w="999" w:type="dxa"/>
            <w:tcBorders>
              <w:top w:val="nil"/>
              <w:left w:val="nil"/>
              <w:bottom w:val="single" w:sz="8" w:space="0" w:color="auto"/>
              <w:right w:val="single" w:sz="8" w:space="0" w:color="auto"/>
            </w:tcBorders>
          </w:tcPr>
          <w:p w14:paraId="4E9407B6" w14:textId="77777777" w:rsidR="00A542D9" w:rsidRPr="00341E6C" w:rsidRDefault="00A542D9" w:rsidP="00480151">
            <w:pPr>
              <w:spacing w:after="0" w:line="240" w:lineRule="auto"/>
              <w:jc w:val="center"/>
              <w:rPr>
                <w:rFonts w:asciiTheme="majorHAnsi" w:eastAsia="Times New Roman" w:hAnsiTheme="majorHAnsi" w:cstheme="majorHAnsi"/>
                <w:b/>
                <w:bCs/>
                <w:iCs/>
                <w:sz w:val="18"/>
                <w:szCs w:val="18"/>
                <w:lang w:val="ro-RO"/>
              </w:rPr>
            </w:pPr>
            <w:r w:rsidRPr="00341E6C">
              <w:rPr>
                <w:rFonts w:asciiTheme="majorHAnsi" w:eastAsia="Times New Roman" w:hAnsiTheme="majorHAnsi" w:cstheme="majorHAnsi"/>
                <w:b/>
                <w:bCs/>
                <w:iCs/>
                <w:sz w:val="18"/>
                <w:szCs w:val="18"/>
                <w:lang w:val="ro-RO"/>
              </w:rPr>
              <w:t>v</w:t>
            </w:r>
          </w:p>
        </w:tc>
      </w:tr>
      <w:tr w:rsidR="00A542D9" w:rsidRPr="00341E6C" w14:paraId="2B6152B9"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22B1EB68"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9</w:t>
            </w:r>
          </w:p>
        </w:tc>
        <w:tc>
          <w:tcPr>
            <w:tcW w:w="2906" w:type="dxa"/>
            <w:tcBorders>
              <w:top w:val="nil"/>
              <w:left w:val="nil"/>
              <w:bottom w:val="single" w:sz="8" w:space="0" w:color="auto"/>
              <w:right w:val="single" w:sz="8" w:space="0" w:color="auto"/>
            </w:tcBorders>
            <w:shd w:val="clear" w:color="auto" w:fill="auto"/>
            <w:hideMark/>
          </w:tcPr>
          <w:p w14:paraId="1EA0C961"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5. să elaboreze, </w:t>
            </w:r>
            <w:r w:rsidRPr="00341E6C">
              <w:rPr>
                <w:rFonts w:asciiTheme="majorHAnsi" w:eastAsia="Times New Roman" w:hAnsiTheme="majorHAnsi" w:cstheme="majorHAnsi"/>
                <w:b/>
                <w:bCs/>
                <w:sz w:val="18"/>
                <w:szCs w:val="18"/>
                <w:lang w:val="ro-RO"/>
              </w:rPr>
              <w:t>de comun cu CNAS și cu autoritățile de forță</w:t>
            </w:r>
            <w:r w:rsidRPr="00341E6C">
              <w:rPr>
                <w:rFonts w:asciiTheme="majorHAnsi" w:eastAsia="Times New Roman" w:hAnsiTheme="majorHAnsi" w:cstheme="majorHAnsi"/>
                <w:sz w:val="18"/>
                <w:szCs w:val="18"/>
                <w:lang w:val="ro-RO"/>
              </w:rPr>
              <w:t xml:space="preserve">, și să aprobe, în modul stabilit, propuneri privind modificarea/completarea cadrului legislativ-normativ, în vederea descrierii clare și exhaustive a instrumentelor, mecanismelor, tehnicilor și procedurilor de calculare a vechimii în muncă și a soldei (câștigului) din care se calculează pensia </w:t>
            </w:r>
          </w:p>
        </w:tc>
        <w:tc>
          <w:tcPr>
            <w:tcW w:w="8640" w:type="dxa"/>
            <w:tcBorders>
              <w:top w:val="nil"/>
              <w:left w:val="nil"/>
              <w:bottom w:val="single" w:sz="8" w:space="0" w:color="auto"/>
              <w:right w:val="single" w:sz="8" w:space="0" w:color="auto"/>
            </w:tcBorders>
            <w:shd w:val="clear" w:color="auto" w:fill="auto"/>
            <w:hideMark/>
          </w:tcPr>
          <w:p w14:paraId="195A447D"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MSMPS din 19.01.2021 nr.16/193:</w:t>
            </w:r>
            <w:r w:rsidRPr="00341E6C">
              <w:rPr>
                <w:rFonts w:asciiTheme="majorHAnsi" w:eastAsia="Times New Roman" w:hAnsiTheme="majorHAnsi" w:cstheme="majorHAnsi"/>
                <w:sz w:val="18"/>
                <w:szCs w:val="18"/>
                <w:lang w:val="ro-RO"/>
              </w:rPr>
              <w:t xml:space="preserve"> Ministerul Sănătății, Muncii și Protecției Sociale în comun cu Casa Națională de Asigurări Sociale a elaborat proiectul de lege pentru modificarea unor acte normative (număr unic 747/MSMPS/2020, se anexează), adoptat prin Legea nr. 190/2020 pentru modificarea unor acte normative. Proiectul inițial prevedea „ca pensia pentru categoriile menționate să fie calculată din salariul mediu lunar, primit pentru ultimele 12 luni în care militarul a beneficiat de salariu în mărime deplină (care actualmente este solda). În media lunară se va include salariul de bază, sporurile și suplimentele din partea fixă și variabilă a salariului lunar, precum și alte plăți, primite pentru ultimele 12 luni de serviciu, în baza informației deținute în Registrul de stat al evidenței individuale în sistemul public de asigurări sociale. Iar Vechimea în muncă în ramurile civile înrudită cu specialitatea militară să se stabilească în modul prevăzut de Guvern.”. Deși recomandarea este înaintată și pentru autoritățile de forță, se constată lipsa bunei intenții a factorilor de decizie pentru soluționarea problemei existente. </w:t>
            </w:r>
            <w:r w:rsidRPr="00341E6C">
              <w:rPr>
                <w:rFonts w:asciiTheme="majorHAnsi" w:eastAsia="Times New Roman" w:hAnsiTheme="majorHAnsi" w:cstheme="majorHAnsi"/>
                <w:sz w:val="18"/>
                <w:szCs w:val="18"/>
                <w:lang w:val="ro-RO"/>
              </w:rPr>
              <w:br w:type="page"/>
              <w:t>Menționăm, că ambele aspecte au fost avizate negativ de către instituțiile de forță, respectiv propunerile au fost excluse din proiectul de lege. Pe marginea acestui proiect a avut loc și o ședință de lucru cu reprezentații Ministerului Apărării la data de 14 septembrie 2020.</w:t>
            </w:r>
          </w:p>
          <w:p w14:paraId="3702365E" w14:textId="3B97A00E"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br w:type="page"/>
            </w:r>
            <w:r w:rsidRPr="00341E6C">
              <w:rPr>
                <w:rFonts w:asciiTheme="majorHAnsi" w:eastAsia="Times New Roman" w:hAnsiTheme="majorHAnsi" w:cstheme="majorHAnsi"/>
                <w:b/>
                <w:sz w:val="18"/>
                <w:szCs w:val="18"/>
                <w:lang w:val="ro-RO"/>
              </w:rPr>
              <w:t>Scris. CNAS din 05.02.2021 nr. 360:</w:t>
            </w:r>
            <w:r w:rsidRPr="00341E6C">
              <w:rPr>
                <w:rFonts w:asciiTheme="majorHAnsi" w:eastAsia="Times New Roman" w:hAnsiTheme="majorHAnsi" w:cstheme="majorHAnsi"/>
                <w:sz w:val="18"/>
                <w:szCs w:val="18"/>
                <w:lang w:val="ro-RO"/>
              </w:rPr>
              <w:t xml:space="preserve"> Prin scrisorile nr.II-03/03-227 din 28.09.2020 şi nr.6717 din 09.10.2020 Ministerului Sănătăţii, Muncii şi Protecţiei Sociale </w:t>
            </w:r>
            <w:r w:rsidR="00AC6742">
              <w:rPr>
                <w:rFonts w:asciiTheme="majorHAnsi" w:eastAsia="Times New Roman" w:hAnsiTheme="majorHAnsi" w:cstheme="majorHAnsi"/>
                <w:sz w:val="18"/>
                <w:szCs w:val="18"/>
                <w:lang w:val="ro-RO"/>
              </w:rPr>
              <w:t>i-</w:t>
            </w:r>
            <w:r w:rsidRPr="00341E6C">
              <w:rPr>
                <w:rFonts w:asciiTheme="majorHAnsi" w:eastAsia="Times New Roman" w:hAnsiTheme="majorHAnsi" w:cstheme="majorHAnsi"/>
                <w:sz w:val="18"/>
                <w:szCs w:val="18"/>
                <w:lang w:val="ro-RO"/>
              </w:rPr>
              <w:t>au fost înaintate propuneri de modificare a Legii asigurării cu pensii a militarilor şi a persoanelor din corpul de comandă şi din trupele organelor afacerilor interne şi din cadrul Inspectoratului General de Carabinieri nr.1544-XII din 23.06.1993.</w:t>
            </w:r>
          </w:p>
          <w:p w14:paraId="6AEC8E82" w14:textId="0B4DF570" w:rsidR="00A542D9" w:rsidRPr="00341E6C" w:rsidRDefault="00A542D9" w:rsidP="00AC6742">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br w:type="page"/>
            </w:r>
            <w:r w:rsidRPr="00341E6C">
              <w:rPr>
                <w:rFonts w:asciiTheme="majorHAnsi" w:eastAsia="Times New Roman" w:hAnsiTheme="majorHAnsi" w:cstheme="majorHAnsi"/>
                <w:b/>
                <w:sz w:val="18"/>
                <w:szCs w:val="18"/>
                <w:lang w:val="ro-RO"/>
              </w:rPr>
              <w:t>Scris. MAI din 17.02.2021 nr. 44/10-521:</w:t>
            </w:r>
            <w:r w:rsidRPr="00341E6C">
              <w:rPr>
                <w:rFonts w:asciiTheme="majorHAnsi" w:eastAsia="Times New Roman" w:hAnsiTheme="majorHAnsi" w:cstheme="majorHAnsi"/>
                <w:sz w:val="18"/>
                <w:szCs w:val="18"/>
                <w:lang w:val="ro-RO"/>
              </w:rPr>
              <w:t xml:space="preserve"> Ministerul Afacerilor Interne, începând cu luna decembrie 2016, a sesizat frecvent CNAS, precum și ministerul de resort privind indispensabilitatea ajustării cadrului normativ și a mecanismelor procedurale în vederea asigurării aplicării uniforme a legislației în domeniul stabilirii, calculării și plății pensiilor funcționarilor publici cu statut special</w:t>
            </w:r>
          </w:p>
        </w:tc>
        <w:tc>
          <w:tcPr>
            <w:tcW w:w="897" w:type="dxa"/>
            <w:tcBorders>
              <w:top w:val="nil"/>
              <w:left w:val="nil"/>
              <w:bottom w:val="single" w:sz="8" w:space="0" w:color="auto"/>
              <w:right w:val="single" w:sz="8" w:space="0" w:color="auto"/>
            </w:tcBorders>
            <w:shd w:val="clear" w:color="auto" w:fill="auto"/>
          </w:tcPr>
          <w:p w14:paraId="102413AE"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hideMark/>
          </w:tcPr>
          <w:p w14:paraId="5313B6D4" w14:textId="77777777" w:rsidR="00A542D9" w:rsidRPr="00341E6C" w:rsidRDefault="00A542D9" w:rsidP="00480151">
            <w:pPr>
              <w:spacing w:after="0" w:line="240" w:lineRule="auto"/>
              <w:jc w:val="center"/>
              <w:rPr>
                <w:rFonts w:asciiTheme="majorHAnsi" w:eastAsia="Times New Roman" w:hAnsiTheme="majorHAnsi" w:cstheme="majorHAnsi"/>
                <w:sz w:val="18"/>
                <w:szCs w:val="18"/>
                <w:lang w:val="ro-RO"/>
              </w:rPr>
            </w:pPr>
            <w:r w:rsidRPr="00341E6C">
              <w:rPr>
                <w:rFonts w:asciiTheme="majorHAnsi" w:eastAsia="Times New Roman" w:hAnsiTheme="majorHAnsi" w:cstheme="majorHAnsi"/>
                <w:b/>
                <w:bCs/>
                <w:iCs/>
                <w:sz w:val="18"/>
                <w:szCs w:val="18"/>
                <w:lang w:val="ro-RO"/>
              </w:rPr>
              <w:t>v</w:t>
            </w:r>
          </w:p>
        </w:tc>
        <w:tc>
          <w:tcPr>
            <w:tcW w:w="999" w:type="dxa"/>
            <w:tcBorders>
              <w:top w:val="nil"/>
              <w:left w:val="nil"/>
              <w:bottom w:val="single" w:sz="8" w:space="0" w:color="auto"/>
              <w:right w:val="single" w:sz="8" w:space="0" w:color="auto"/>
            </w:tcBorders>
          </w:tcPr>
          <w:p w14:paraId="3659BAD5"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10013ECA"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4FAF58C6"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10</w:t>
            </w:r>
          </w:p>
        </w:tc>
        <w:tc>
          <w:tcPr>
            <w:tcW w:w="2906" w:type="dxa"/>
            <w:tcBorders>
              <w:top w:val="nil"/>
              <w:left w:val="nil"/>
              <w:bottom w:val="single" w:sz="8" w:space="0" w:color="auto"/>
              <w:right w:val="single" w:sz="8" w:space="0" w:color="auto"/>
            </w:tcBorders>
            <w:shd w:val="clear" w:color="auto" w:fill="auto"/>
            <w:hideMark/>
          </w:tcPr>
          <w:p w14:paraId="14ED8E68"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7. să întreprindă măsuri, </w:t>
            </w:r>
            <w:r w:rsidRPr="00341E6C">
              <w:rPr>
                <w:rFonts w:asciiTheme="majorHAnsi" w:eastAsia="Times New Roman" w:hAnsiTheme="majorHAnsi" w:cstheme="majorHAnsi"/>
                <w:b/>
                <w:bCs/>
                <w:sz w:val="18"/>
                <w:szCs w:val="18"/>
                <w:lang w:val="ro-RO"/>
              </w:rPr>
              <w:t>de comun cu direcțiile teritoriale de asistență socială, Casa Națională de Asigurări Sociale și Î.S. „Poșta Moldovei”</w:t>
            </w:r>
            <w:r w:rsidRPr="00341E6C">
              <w:rPr>
                <w:rFonts w:asciiTheme="majorHAnsi" w:eastAsia="Times New Roman" w:hAnsiTheme="majorHAnsi" w:cstheme="majorHAnsi"/>
                <w:sz w:val="18"/>
                <w:szCs w:val="18"/>
                <w:lang w:val="ro-RO"/>
              </w:rPr>
              <w:t>, în vederea reluării plăților neachitate la timp ale ajutorului social (5185 de plăți) și ajutorului pentru perioada rece a anului (14174 de plăți), prin prisma prevederilor cadrul normativ</w:t>
            </w:r>
          </w:p>
        </w:tc>
        <w:tc>
          <w:tcPr>
            <w:tcW w:w="8640" w:type="dxa"/>
            <w:tcBorders>
              <w:top w:val="nil"/>
              <w:left w:val="nil"/>
              <w:bottom w:val="single" w:sz="8" w:space="0" w:color="auto"/>
              <w:right w:val="single" w:sz="8" w:space="0" w:color="auto"/>
            </w:tcBorders>
            <w:shd w:val="clear" w:color="auto" w:fill="auto"/>
            <w:hideMark/>
          </w:tcPr>
          <w:p w14:paraId="787CE386" w14:textId="4C733771"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PM din 11.08.2020 nr. 23234:</w:t>
            </w:r>
            <w:r w:rsidRPr="00341E6C">
              <w:rPr>
                <w:rFonts w:asciiTheme="majorHAnsi" w:eastAsia="Times New Roman" w:hAnsiTheme="majorHAnsi" w:cstheme="majorHAnsi"/>
                <w:sz w:val="18"/>
                <w:szCs w:val="18"/>
                <w:lang w:val="ro-RO"/>
              </w:rPr>
              <w:t xml:space="preserve"> în pofida faptului că sarcina de informare a beneficiarilor nu ne aparţine</w:t>
            </w:r>
            <w:r w:rsidR="00AC6742">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Î.S. „Poşta Moldovei” a indicat permanent operatorilor oficiilor poştale să poarte un dialog direct cu beneficiarii acestor pl</w:t>
            </w:r>
            <w:r w:rsidR="00AC6742">
              <w:rPr>
                <w:rFonts w:asciiTheme="majorHAnsi" w:eastAsia="Times New Roman" w:hAnsiTheme="majorHAnsi" w:cstheme="majorHAnsi"/>
                <w:sz w:val="18"/>
                <w:szCs w:val="18"/>
                <w:lang w:val="ro-RO"/>
              </w:rPr>
              <w:t>ă</w:t>
            </w:r>
            <w:r w:rsidRPr="00341E6C">
              <w:rPr>
                <w:rFonts w:asciiTheme="majorHAnsi" w:eastAsia="Times New Roman" w:hAnsiTheme="majorHAnsi" w:cstheme="majorHAnsi"/>
                <w:sz w:val="18"/>
                <w:szCs w:val="18"/>
                <w:lang w:val="ro-RO"/>
              </w:rPr>
              <w:t xml:space="preserve">ţi sociale şi să determine în baza IDNP dacă aceştia mai beneficiază suplimentar </w:t>
            </w:r>
            <w:r w:rsidR="00AC6742">
              <w:rPr>
                <w:rFonts w:asciiTheme="majorHAnsi" w:eastAsia="Times New Roman" w:hAnsiTheme="majorHAnsi" w:cstheme="majorHAnsi"/>
                <w:sz w:val="18"/>
                <w:szCs w:val="18"/>
                <w:lang w:val="ro-RO"/>
              </w:rPr>
              <w:t xml:space="preserve">de </w:t>
            </w:r>
            <w:r w:rsidRPr="00341E6C">
              <w:rPr>
                <w:rFonts w:asciiTheme="majorHAnsi" w:eastAsia="Times New Roman" w:hAnsiTheme="majorHAnsi" w:cstheme="majorHAnsi"/>
                <w:sz w:val="18"/>
                <w:szCs w:val="18"/>
                <w:lang w:val="ro-RO"/>
              </w:rPr>
              <w:t>pensie şi de alte drepturi speciale. Prin urmare, Î.S.</w:t>
            </w:r>
            <w:r w:rsidR="00AC6742">
              <w:rPr>
                <w:rFonts w:asciiTheme="majorHAnsi" w:eastAsia="Times New Roman" w:hAnsiTheme="majorHAnsi" w:cstheme="majorHAnsi"/>
                <w:sz w:val="18"/>
                <w:szCs w:val="18"/>
                <w:lang w:val="ro-RO"/>
              </w:rPr>
              <w:t xml:space="preserve"> </w:t>
            </w:r>
            <w:r w:rsidRPr="00341E6C">
              <w:rPr>
                <w:rFonts w:asciiTheme="majorHAnsi" w:eastAsia="Times New Roman" w:hAnsiTheme="majorHAnsi" w:cstheme="majorHAnsi"/>
                <w:sz w:val="18"/>
                <w:szCs w:val="18"/>
                <w:lang w:val="ro-RO"/>
              </w:rPr>
              <w:t xml:space="preserve">„Poşta Moldovei” </w:t>
            </w:r>
            <w:r w:rsidR="00AC6742">
              <w:rPr>
                <w:rFonts w:asciiTheme="majorHAnsi" w:eastAsia="Times New Roman" w:hAnsiTheme="majorHAnsi" w:cstheme="majorHAnsi"/>
                <w:sz w:val="18"/>
                <w:szCs w:val="18"/>
                <w:lang w:val="ro-RO"/>
              </w:rPr>
              <w:t>î</w:t>
            </w:r>
            <w:r w:rsidRPr="00341E6C">
              <w:rPr>
                <w:rFonts w:asciiTheme="majorHAnsi" w:eastAsia="Times New Roman" w:hAnsiTheme="majorHAnsi" w:cstheme="majorHAnsi"/>
                <w:sz w:val="18"/>
                <w:szCs w:val="18"/>
                <w:lang w:val="ro-RO"/>
              </w:rPr>
              <w:t>şi execută sarcina de achitare a drepturilor sociale conform solicitărilor beneficiarilor, aşa cum prevăd contractele încheiate, în limita mijloacelor f</w:t>
            </w:r>
            <w:r w:rsidR="00AC6742">
              <w:rPr>
                <w:rFonts w:asciiTheme="majorHAnsi" w:eastAsia="Times New Roman" w:hAnsiTheme="majorHAnsi" w:cstheme="majorHAnsi"/>
                <w:sz w:val="18"/>
                <w:szCs w:val="18"/>
                <w:lang w:val="ro-RO"/>
              </w:rPr>
              <w:t>i</w:t>
            </w:r>
            <w:r w:rsidRPr="00341E6C">
              <w:rPr>
                <w:rFonts w:asciiTheme="majorHAnsi" w:eastAsia="Times New Roman" w:hAnsiTheme="majorHAnsi" w:cstheme="majorHAnsi"/>
                <w:sz w:val="18"/>
                <w:szCs w:val="18"/>
                <w:lang w:val="ro-RO"/>
              </w:rPr>
              <w:t>nanciare transferate de CNAS şi de graficul stabilit. În cazul în care se decide reluarea achitării plăţilor (ajutorului pentru perioada rece a anului şi cel</w:t>
            </w:r>
            <w:r w:rsidR="00AC6742">
              <w:rPr>
                <w:rFonts w:asciiTheme="majorHAnsi" w:eastAsia="Times New Roman" w:hAnsiTheme="majorHAnsi" w:cstheme="majorHAnsi"/>
                <w:sz w:val="18"/>
                <w:szCs w:val="18"/>
                <w:lang w:val="ro-RO"/>
              </w:rPr>
              <w:t>ui</w:t>
            </w:r>
            <w:r w:rsidRPr="00341E6C">
              <w:rPr>
                <w:rFonts w:asciiTheme="majorHAnsi" w:eastAsia="Times New Roman" w:hAnsiTheme="majorHAnsi" w:cstheme="majorHAnsi"/>
                <w:sz w:val="18"/>
                <w:szCs w:val="18"/>
                <w:lang w:val="ro-RO"/>
              </w:rPr>
              <w:t xml:space="preserve"> social)</w:t>
            </w:r>
            <w:r w:rsidR="00AC6742">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Î.S.</w:t>
            </w:r>
            <w:r w:rsidR="00AC6742">
              <w:rPr>
                <w:rFonts w:asciiTheme="majorHAnsi" w:eastAsia="Times New Roman" w:hAnsiTheme="majorHAnsi" w:cstheme="majorHAnsi"/>
                <w:sz w:val="18"/>
                <w:szCs w:val="18"/>
                <w:lang w:val="ro-RO"/>
              </w:rPr>
              <w:t xml:space="preserve"> </w:t>
            </w:r>
            <w:r w:rsidRPr="00341E6C">
              <w:rPr>
                <w:rFonts w:asciiTheme="majorHAnsi" w:eastAsia="Times New Roman" w:hAnsiTheme="majorHAnsi" w:cstheme="majorHAnsi"/>
                <w:sz w:val="18"/>
                <w:szCs w:val="18"/>
                <w:lang w:val="ro-RO"/>
              </w:rPr>
              <w:t>„Poşta Moldovei” este dispusă şi</w:t>
            </w:r>
            <w:r w:rsidR="00AC6742">
              <w:rPr>
                <w:rFonts w:asciiTheme="majorHAnsi" w:eastAsia="Times New Roman" w:hAnsiTheme="majorHAnsi" w:cstheme="majorHAnsi"/>
                <w:sz w:val="18"/>
                <w:szCs w:val="18"/>
                <w:lang w:val="ro-RO"/>
              </w:rPr>
              <w:t xml:space="preserve">  î</w:t>
            </w:r>
            <w:r w:rsidRPr="00341E6C">
              <w:rPr>
                <w:rFonts w:asciiTheme="majorHAnsi" w:eastAsia="Times New Roman" w:hAnsiTheme="majorHAnsi" w:cstheme="majorHAnsi"/>
                <w:sz w:val="18"/>
                <w:szCs w:val="18"/>
                <w:lang w:val="ro-RO"/>
              </w:rPr>
              <w:t>n continuare să reia acest proces, astfel înc</w:t>
            </w:r>
            <w:r w:rsidR="00AC6742">
              <w:rPr>
                <w:rFonts w:asciiTheme="majorHAnsi" w:eastAsia="Times New Roman" w:hAnsiTheme="majorHAnsi" w:cstheme="majorHAnsi"/>
                <w:sz w:val="18"/>
                <w:szCs w:val="18"/>
                <w:lang w:val="ro-RO"/>
              </w:rPr>
              <w:t>â</w:t>
            </w:r>
            <w:r w:rsidRPr="00341E6C">
              <w:rPr>
                <w:rFonts w:asciiTheme="majorHAnsi" w:eastAsia="Times New Roman" w:hAnsiTheme="majorHAnsi" w:cstheme="majorHAnsi"/>
                <w:sz w:val="18"/>
                <w:szCs w:val="18"/>
                <w:lang w:val="ro-RO"/>
              </w:rPr>
              <w:t>t beneficiarii să intre în posesia acestor ajutoare acordate de stat.</w:t>
            </w:r>
          </w:p>
          <w:p w14:paraId="6A319146"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MSMPS din 19.01.2021 nr.16/193:</w:t>
            </w:r>
            <w:r w:rsidRPr="00341E6C">
              <w:rPr>
                <w:rFonts w:asciiTheme="majorHAnsi" w:eastAsia="Times New Roman" w:hAnsiTheme="majorHAnsi" w:cstheme="majorHAnsi"/>
                <w:sz w:val="18"/>
                <w:szCs w:val="18"/>
                <w:lang w:val="ro-RO"/>
              </w:rPr>
              <w:t xml:space="preserve"> Ministerul și CNAS au încheiat un Acord de colaborare nr.15/3548 din 30.06.2020, în vigoare din 1 iulie 2020. </w:t>
            </w:r>
          </w:p>
          <w:p w14:paraId="0A9F258A"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Acordul dat prevede că, CNAS, prin intermediul caselor teritoriale de asigurări sociale, va transmite DASPF:</w:t>
            </w:r>
            <w:r w:rsidRPr="00341E6C">
              <w:rPr>
                <w:rFonts w:asciiTheme="majorHAnsi" w:eastAsia="Times New Roman" w:hAnsiTheme="majorHAnsi" w:cstheme="majorHAnsi"/>
                <w:sz w:val="18"/>
                <w:szCs w:val="18"/>
                <w:lang w:val="ro-RO"/>
              </w:rPr>
              <w:br/>
              <w:t>1. listele privind sumele ajutorului social și ajutorului pentru perioada rece a anului neachitate beneficiarilor în luna anterioară (cu evidențierea fiecărui beneficiar);</w:t>
            </w:r>
          </w:p>
          <w:p w14:paraId="166FE352"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2. listele privind sumele ajutorului social și ajutorului pentru perioada rece a anului nesolicitate de beneficiari în decurs de 6 luni consecutiv și restituite la conturile CNAS.</w:t>
            </w:r>
          </w:p>
          <w:p w14:paraId="5D707F81" w14:textId="21C62E99"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Totodată</w:t>
            </w:r>
            <w:r w:rsidR="00AC6742">
              <w:rPr>
                <w:rFonts w:asciiTheme="majorHAnsi" w:eastAsia="Times New Roman" w:hAnsiTheme="majorHAnsi" w:cstheme="majorHAnsi"/>
                <w:sz w:val="18"/>
                <w:szCs w:val="18"/>
                <w:lang w:val="ro-RO"/>
              </w:rPr>
              <w:t>,</w:t>
            </w:r>
            <w:r w:rsidRPr="00341E6C">
              <w:rPr>
                <w:rFonts w:asciiTheme="majorHAnsi" w:eastAsia="Times New Roman" w:hAnsiTheme="majorHAnsi" w:cstheme="majorHAnsi"/>
                <w:sz w:val="18"/>
                <w:szCs w:val="18"/>
                <w:lang w:val="ro-RO"/>
              </w:rPr>
              <w:t xml:space="preserve"> CNAS va transmite și listele privind:</w:t>
            </w:r>
          </w:p>
          <w:p w14:paraId="3FD852FA" w14:textId="77777777" w:rsidR="00A542D9" w:rsidRPr="00341E6C" w:rsidRDefault="00A542D9" w:rsidP="009B59B6">
            <w:pPr>
              <w:pStyle w:val="ListParagraph"/>
              <w:numPr>
                <w:ilvl w:val="0"/>
                <w:numId w:val="13"/>
              </w:num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plățile AS/APRA restituite din neachitat la conturile CNAS; </w:t>
            </w:r>
          </w:p>
          <w:p w14:paraId="68F415DD" w14:textId="77777777" w:rsidR="00A542D9" w:rsidRPr="00341E6C" w:rsidRDefault="00A542D9" w:rsidP="009B59B6">
            <w:pPr>
              <w:pStyle w:val="ListParagraph"/>
              <w:numPr>
                <w:ilvl w:val="0"/>
                <w:numId w:val="13"/>
              </w:num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plățile AS/APRA restituite din achitat la conturile CNAS.</w:t>
            </w:r>
          </w:p>
          <w:p w14:paraId="76F79F57"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lastRenderedPageBreak/>
              <w:t>Structurile teritoriale de asistență socială asigură procesul de lucru privind ridicarea plăților cu fiecare beneficiar inclus în listele prezentate de către CNAS. Totodată, asigură evidența plăților achitate necuvenit prin înregistrarea demersurilor privind blocarea și restituirea AS/APRA în registre speciale, conform procedurii descrise în Acord.</w:t>
            </w:r>
          </w:p>
          <w:p w14:paraId="14A8C791"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Prin scrisoarea nr.15/3902 din 13.07.2020, ministerul a recomandat Structurilor teritoriale de asistență socială:</w:t>
            </w:r>
            <w:r w:rsidRPr="00341E6C">
              <w:rPr>
                <w:rFonts w:asciiTheme="majorHAnsi" w:eastAsia="Times New Roman" w:hAnsiTheme="majorHAnsi" w:cstheme="majorHAnsi"/>
                <w:sz w:val="18"/>
                <w:szCs w:val="18"/>
                <w:lang w:val="ro-RO"/>
              </w:rPr>
              <w:br/>
              <w:t>- informarea tuturor angajaților cu atribuții în implementarea Programului de ajutor social despre prevederile Acordului menționat;</w:t>
            </w:r>
          </w:p>
          <w:p w14:paraId="29FCBC00"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lucru cu fiecare beneficiar în parte, inclus în listele, ce vor fi prezentate lunar de către CNAS (prin STAS), în scopul informării acestora privind necesitatea ridicării plăților de ajutor social/ajutor pentru perioada rece a anului în termenele prevăzute de legislația în vigoare, pentru a nu pierde acest drept (după expirarea a unui an din luna stabilirii acestor prestații);</w:t>
            </w:r>
          </w:p>
          <w:p w14:paraId="5FC519EC"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monitorizarea lunară a acestui proces;</w:t>
            </w:r>
          </w:p>
          <w:p w14:paraId="27806F58" w14:textId="0CC56CFE"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în cazul familiilor defavorizate care nu ridică mai multe luni la r</w:t>
            </w:r>
            <w:r w:rsidR="00AC6742">
              <w:rPr>
                <w:rFonts w:asciiTheme="majorHAnsi" w:eastAsia="Times New Roman" w:hAnsiTheme="majorHAnsi" w:cstheme="majorHAnsi"/>
                <w:sz w:val="18"/>
                <w:szCs w:val="18"/>
                <w:lang w:val="ro-RO"/>
              </w:rPr>
              <w:t>â</w:t>
            </w:r>
            <w:r w:rsidRPr="00341E6C">
              <w:rPr>
                <w:rFonts w:asciiTheme="majorHAnsi" w:eastAsia="Times New Roman" w:hAnsiTheme="majorHAnsi" w:cstheme="majorHAnsi"/>
                <w:sz w:val="18"/>
                <w:szCs w:val="18"/>
                <w:lang w:val="ro-RO"/>
              </w:rPr>
              <w:t>nd plățile de ajutor social/APRA, recomandăm efectuarea anchetei sociale.</w:t>
            </w:r>
          </w:p>
          <w:p w14:paraId="053C3912"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CNAS din 05.02.2021 nr. 360:</w:t>
            </w:r>
            <w:r w:rsidRPr="00341E6C">
              <w:rPr>
                <w:rFonts w:asciiTheme="majorHAnsi" w:eastAsia="Times New Roman" w:hAnsiTheme="majorHAnsi" w:cstheme="majorHAnsi"/>
                <w:sz w:val="18"/>
                <w:szCs w:val="18"/>
                <w:lang w:val="ro-RO"/>
              </w:rPr>
              <w:t xml:space="preserve"> În urma efectuării analizei contingentul beneficiarilor de ajutorul social (5185 de plăţi) şi ajutorul pentru perioada rece a anului (14174 de plăţi) stabilite în anul 2018, s-a constat că ajutorul social (5185 de plăţi) nu a fost achitat pentru 3706 beneficiari şi ajutorul pentru perioada rece a anului (14174 de plăţi) respectiv -  pentru 6 705 beneficiari.</w:t>
            </w:r>
          </w:p>
          <w:p w14:paraId="7266208F" w14:textId="262DB2F1"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Din contingentul beneficiarilor de ajutor social (3706 beneficiari) pentru 1123 persoane în anul 2019 a fost reluată plata ajutorului social. Din restul 2583 de persoane, verificaţi cu informaţia din Registrul de Stat al persoanelor fizice, prestat de către Agenţia </w:t>
            </w:r>
            <w:r w:rsidR="00AC6742">
              <w:rPr>
                <w:rFonts w:asciiTheme="majorHAnsi" w:eastAsia="Times New Roman" w:hAnsiTheme="majorHAnsi" w:cstheme="majorHAnsi"/>
                <w:sz w:val="18"/>
                <w:szCs w:val="18"/>
                <w:lang w:val="ro-RO"/>
              </w:rPr>
              <w:t>S</w:t>
            </w:r>
            <w:r w:rsidRPr="00341E6C">
              <w:rPr>
                <w:rFonts w:asciiTheme="majorHAnsi" w:eastAsia="Times New Roman" w:hAnsiTheme="majorHAnsi" w:cstheme="majorHAnsi"/>
                <w:sz w:val="18"/>
                <w:szCs w:val="18"/>
                <w:lang w:val="ro-RO"/>
              </w:rPr>
              <w:t>ervicii Publice, au fost evidenţiate 896 persoane decedate și 8 persoane plecate cu traiul permanent peste hotarele Republicii Moldova. Astfel din numărul total de beneficiari doar 1679 nu au solicitat primirea ajutorului social, care a fost transferat către ÎS „Poșta Moldovei” pentru plată. Din contingentul beneficiarilor de ajutor pentru perioada rece a anului (6705 beneficiari) pentru 39 persoane în anul 2019 a fost reluată plata ajutorului pentru perioada rece a anului. Din restul 6666 de persoane, verificate cu informaţia din Registrul de Stat al persoanelor fizice au fost evidenţiate 2902 persoane decedate și 8 persoane plecate cu traiul permanent peste hotare Republicii Moldova. Astfel din numărul total de beneficiari doar 3756 nu au solicitat primirea  ajutorului pentru perioada rece a anului, care a fost transferat către ÎS „Poșta Moldovei” pentru plată.</w:t>
            </w:r>
            <w:r w:rsidRPr="00341E6C">
              <w:rPr>
                <w:rFonts w:asciiTheme="majorHAnsi" w:eastAsia="Times New Roman" w:hAnsiTheme="majorHAnsi" w:cstheme="majorHAnsi"/>
                <w:sz w:val="18"/>
                <w:szCs w:val="18"/>
                <w:lang w:val="ro-RO"/>
              </w:rPr>
              <w:br/>
            </w:r>
            <w:r w:rsidRPr="00341E6C">
              <w:rPr>
                <w:rFonts w:asciiTheme="majorHAnsi" w:eastAsia="Times New Roman" w:hAnsiTheme="majorHAnsi" w:cstheme="majorHAnsi"/>
                <w:b/>
                <w:sz w:val="18"/>
                <w:szCs w:val="18"/>
                <w:lang w:val="ro-RO"/>
              </w:rPr>
              <w:t xml:space="preserve">Reluarea plății </w:t>
            </w:r>
            <w:r w:rsidRPr="00341E6C">
              <w:rPr>
                <w:rFonts w:asciiTheme="majorHAnsi" w:eastAsia="Times New Roman" w:hAnsiTheme="majorHAnsi" w:cstheme="majorHAnsi"/>
                <w:sz w:val="18"/>
                <w:szCs w:val="18"/>
                <w:lang w:val="ro-RO"/>
              </w:rPr>
              <w:t>pentru 1679 beneficiari de ajutor social și pentru 3756 de ajutor pentru perioada rece a anului, potrivit prevederilor pct.37 din  Regulamentul cu privire la modul de stabilire şi plată a ajutorului social aprobat prin Hotărârea Guvernului nr. 1167/2008,</w:t>
            </w:r>
            <w:r w:rsidRPr="00341E6C">
              <w:rPr>
                <w:rFonts w:asciiTheme="majorHAnsi" w:eastAsia="Times New Roman" w:hAnsiTheme="majorHAnsi" w:cstheme="majorHAnsi"/>
                <w:b/>
                <w:sz w:val="18"/>
                <w:szCs w:val="18"/>
                <w:lang w:val="ro-RO"/>
              </w:rPr>
              <w:t xml:space="preserve"> nu este posibilă, </w:t>
            </w:r>
            <w:r w:rsidRPr="00341E6C">
              <w:rPr>
                <w:rFonts w:asciiTheme="majorHAnsi" w:eastAsia="Times New Roman" w:hAnsiTheme="majorHAnsi" w:cstheme="majorHAnsi"/>
                <w:sz w:val="18"/>
                <w:szCs w:val="18"/>
                <w:lang w:val="ro-RO"/>
              </w:rPr>
              <w:t xml:space="preserve">deoarece sumele ajutorului social şi ajutorului pentru perioada rece a anului stabilite şi neridicate de către beneficiari </w:t>
            </w:r>
            <w:r w:rsidRPr="00341E6C">
              <w:rPr>
                <w:rFonts w:asciiTheme="majorHAnsi" w:eastAsia="Times New Roman" w:hAnsiTheme="majorHAnsi" w:cstheme="majorHAnsi"/>
                <w:b/>
                <w:sz w:val="18"/>
                <w:szCs w:val="18"/>
                <w:lang w:val="ro-RO"/>
              </w:rPr>
              <w:t>pot fi solicitate în decurs de 1 an din luna stabilirii</w:t>
            </w:r>
            <w:r w:rsidRPr="00341E6C">
              <w:rPr>
                <w:rFonts w:asciiTheme="majorHAnsi" w:eastAsia="Times New Roman" w:hAnsiTheme="majorHAnsi" w:cstheme="majorHAnsi"/>
                <w:sz w:val="18"/>
                <w:szCs w:val="18"/>
                <w:lang w:val="ro-RO"/>
              </w:rPr>
              <w:t>. Concomitent către Î.S. „Poşta Moldovei” a fost înaintată solicitarea indicării motivului neachitării sumelor ajutorului social (5185 de plăţi) şi ajutorului pentru perioada rece a anului (14174 de plăţi) pentru contingentul nominalizat.</w:t>
            </w:r>
          </w:p>
          <w:p w14:paraId="52FBF08E"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p>
        </w:tc>
        <w:tc>
          <w:tcPr>
            <w:tcW w:w="897" w:type="dxa"/>
            <w:tcBorders>
              <w:top w:val="nil"/>
              <w:left w:val="nil"/>
              <w:bottom w:val="single" w:sz="8" w:space="0" w:color="auto"/>
              <w:right w:val="single" w:sz="8" w:space="0" w:color="auto"/>
            </w:tcBorders>
            <w:shd w:val="clear" w:color="auto" w:fill="auto"/>
          </w:tcPr>
          <w:p w14:paraId="264852ED"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hideMark/>
          </w:tcPr>
          <w:p w14:paraId="3FA211AF" w14:textId="77777777" w:rsidR="00A542D9" w:rsidRPr="00341E6C" w:rsidRDefault="00A542D9" w:rsidP="00480151">
            <w:pPr>
              <w:spacing w:after="0" w:line="240" w:lineRule="auto"/>
              <w:jc w:val="center"/>
              <w:rPr>
                <w:rFonts w:asciiTheme="majorHAnsi" w:eastAsia="Times New Roman" w:hAnsiTheme="majorHAnsi" w:cstheme="majorHAnsi"/>
                <w:sz w:val="18"/>
                <w:szCs w:val="18"/>
                <w:lang w:val="ro-RO"/>
              </w:rPr>
            </w:pPr>
            <w:r w:rsidRPr="00341E6C">
              <w:rPr>
                <w:rFonts w:asciiTheme="majorHAnsi" w:eastAsia="Times New Roman" w:hAnsiTheme="majorHAnsi" w:cstheme="majorHAnsi"/>
                <w:b/>
                <w:bCs/>
                <w:iCs/>
                <w:sz w:val="18"/>
                <w:szCs w:val="18"/>
                <w:lang w:val="ro-RO"/>
              </w:rPr>
              <w:t>v</w:t>
            </w:r>
          </w:p>
        </w:tc>
        <w:tc>
          <w:tcPr>
            <w:tcW w:w="999" w:type="dxa"/>
            <w:tcBorders>
              <w:top w:val="nil"/>
              <w:left w:val="nil"/>
              <w:bottom w:val="single" w:sz="8" w:space="0" w:color="auto"/>
              <w:right w:val="single" w:sz="8" w:space="0" w:color="auto"/>
            </w:tcBorders>
          </w:tcPr>
          <w:p w14:paraId="478D3A45"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09521BD2"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AD27712"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11</w:t>
            </w:r>
          </w:p>
        </w:tc>
        <w:tc>
          <w:tcPr>
            <w:tcW w:w="2906" w:type="dxa"/>
            <w:tcBorders>
              <w:top w:val="nil"/>
              <w:left w:val="nil"/>
              <w:bottom w:val="single" w:sz="8" w:space="0" w:color="auto"/>
              <w:right w:val="single" w:sz="8" w:space="0" w:color="auto"/>
            </w:tcBorders>
            <w:shd w:val="clear" w:color="auto" w:fill="auto"/>
            <w:hideMark/>
          </w:tcPr>
          <w:p w14:paraId="172E9D0C"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8. să elaboreze și să înainteze, în modul stabilit, propuneri de ajustare a cadrului normativ ce reglementează acordarea înlesnirilor la calcularea vechimii în muncă angajaților cu activități în cadrul izolatoarelor de detenție provizorie din inspectoratele de poliție, în vederea </w:t>
            </w:r>
            <w:r w:rsidRPr="00341E6C">
              <w:rPr>
                <w:rFonts w:asciiTheme="majorHAnsi" w:eastAsia="Times New Roman" w:hAnsiTheme="majorHAnsi" w:cstheme="majorHAnsi"/>
                <w:sz w:val="18"/>
                <w:szCs w:val="18"/>
                <w:lang w:val="ro-RO"/>
              </w:rPr>
              <w:lastRenderedPageBreak/>
              <w:t>excluderii litigiilor în instanțele de judecată</w:t>
            </w:r>
          </w:p>
        </w:tc>
        <w:tc>
          <w:tcPr>
            <w:tcW w:w="8640" w:type="dxa"/>
            <w:tcBorders>
              <w:top w:val="nil"/>
              <w:left w:val="nil"/>
              <w:bottom w:val="single" w:sz="8" w:space="0" w:color="auto"/>
              <w:right w:val="single" w:sz="8" w:space="0" w:color="auto"/>
            </w:tcBorders>
            <w:shd w:val="clear" w:color="auto" w:fill="auto"/>
            <w:hideMark/>
          </w:tcPr>
          <w:p w14:paraId="724B8EFA"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lastRenderedPageBreak/>
              <w:t>Scris. MSMPS din 19.01.2021 nr.16/193:</w:t>
            </w:r>
            <w:r w:rsidRPr="00341E6C">
              <w:rPr>
                <w:rFonts w:asciiTheme="majorHAnsi" w:eastAsia="Times New Roman" w:hAnsiTheme="majorHAnsi" w:cstheme="majorHAnsi"/>
                <w:sz w:val="18"/>
                <w:szCs w:val="18"/>
                <w:lang w:val="ro-RO"/>
              </w:rPr>
              <w:t xml:space="preserve"> propunerea privind amendarea cadrului normativ în vederea reglementării acordării înlesnirilor la calcularea vechimii în muncă angajaților cu activități în cadrul izolatoarelor de detenție provizorie din inspectoratele de poliție, urmează a fi examinată.</w:t>
            </w:r>
          </w:p>
        </w:tc>
        <w:tc>
          <w:tcPr>
            <w:tcW w:w="897" w:type="dxa"/>
            <w:tcBorders>
              <w:top w:val="nil"/>
              <w:left w:val="nil"/>
              <w:bottom w:val="single" w:sz="8" w:space="0" w:color="auto"/>
              <w:right w:val="single" w:sz="8" w:space="0" w:color="auto"/>
            </w:tcBorders>
            <w:shd w:val="clear" w:color="auto" w:fill="auto"/>
          </w:tcPr>
          <w:p w14:paraId="57B900CF"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hideMark/>
          </w:tcPr>
          <w:p w14:paraId="6F60E5EE" w14:textId="77777777" w:rsidR="00A542D9" w:rsidRPr="00341E6C" w:rsidRDefault="00A542D9" w:rsidP="00480151">
            <w:pPr>
              <w:spacing w:after="0" w:line="240" w:lineRule="auto"/>
              <w:rPr>
                <w:rFonts w:asciiTheme="majorHAnsi" w:eastAsia="Times New Roman" w:hAnsiTheme="majorHAnsi" w:cstheme="majorHAnsi"/>
                <w:bCs/>
                <w:iCs/>
                <w:sz w:val="18"/>
                <w:szCs w:val="18"/>
                <w:lang w:val="ro-RO"/>
              </w:rPr>
            </w:pPr>
          </w:p>
        </w:tc>
        <w:tc>
          <w:tcPr>
            <w:tcW w:w="999" w:type="dxa"/>
            <w:tcBorders>
              <w:top w:val="nil"/>
              <w:left w:val="nil"/>
              <w:bottom w:val="single" w:sz="8" w:space="0" w:color="auto"/>
              <w:right w:val="single" w:sz="8" w:space="0" w:color="auto"/>
            </w:tcBorders>
          </w:tcPr>
          <w:p w14:paraId="7361C867" w14:textId="77777777" w:rsidR="00A542D9" w:rsidRPr="00341E6C" w:rsidRDefault="00A542D9" w:rsidP="00480151">
            <w:pPr>
              <w:spacing w:after="0" w:line="240" w:lineRule="auto"/>
              <w:jc w:val="center"/>
              <w:rPr>
                <w:rFonts w:asciiTheme="majorHAnsi" w:eastAsia="Times New Roman" w:hAnsiTheme="majorHAnsi" w:cstheme="majorHAnsi"/>
                <w:b/>
                <w:bCs/>
                <w:iCs/>
                <w:sz w:val="18"/>
                <w:szCs w:val="18"/>
                <w:lang w:val="ro-RO"/>
              </w:rPr>
            </w:pPr>
            <w:r w:rsidRPr="00341E6C">
              <w:rPr>
                <w:rFonts w:asciiTheme="majorHAnsi" w:eastAsia="Times New Roman" w:hAnsiTheme="majorHAnsi" w:cstheme="majorHAnsi"/>
                <w:b/>
                <w:bCs/>
                <w:iCs/>
                <w:sz w:val="18"/>
                <w:szCs w:val="18"/>
                <w:lang w:val="ro-RO"/>
              </w:rPr>
              <w:t>v</w:t>
            </w:r>
          </w:p>
        </w:tc>
      </w:tr>
      <w:tr w:rsidR="00A542D9" w:rsidRPr="00341E6C" w14:paraId="7693D253"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2E01F945"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1CC48577"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Recomandare instituțiilor de forță (Ministerul Afacerilor Interne, Ministerul Apărării)</w:t>
            </w:r>
          </w:p>
        </w:tc>
        <w:tc>
          <w:tcPr>
            <w:tcW w:w="897" w:type="dxa"/>
            <w:tcBorders>
              <w:top w:val="nil"/>
              <w:left w:val="nil"/>
              <w:bottom w:val="single" w:sz="8" w:space="0" w:color="auto"/>
              <w:right w:val="single" w:sz="8" w:space="0" w:color="auto"/>
            </w:tcBorders>
            <w:shd w:val="clear" w:color="auto" w:fill="FFE599" w:themeFill="accent4" w:themeFillTint="66"/>
          </w:tcPr>
          <w:p w14:paraId="3A40DEF4"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65B5FD5F"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999" w:type="dxa"/>
            <w:tcBorders>
              <w:top w:val="nil"/>
              <w:left w:val="nil"/>
              <w:bottom w:val="single" w:sz="8" w:space="0" w:color="auto"/>
              <w:right w:val="single" w:sz="8" w:space="0" w:color="auto"/>
            </w:tcBorders>
            <w:shd w:val="clear" w:color="auto" w:fill="FFE599" w:themeFill="accent4" w:themeFillTint="66"/>
          </w:tcPr>
          <w:p w14:paraId="11C61156"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r>
      <w:tr w:rsidR="00A542D9" w:rsidRPr="00341E6C" w14:paraId="784A4E0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FF8C24D"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12</w:t>
            </w:r>
          </w:p>
        </w:tc>
        <w:tc>
          <w:tcPr>
            <w:tcW w:w="2906" w:type="dxa"/>
            <w:tcBorders>
              <w:top w:val="nil"/>
              <w:left w:val="nil"/>
              <w:bottom w:val="single" w:sz="8" w:space="0" w:color="auto"/>
              <w:right w:val="single" w:sz="8" w:space="0" w:color="auto"/>
            </w:tcBorders>
            <w:shd w:val="clear" w:color="auto" w:fill="auto"/>
            <w:hideMark/>
          </w:tcPr>
          <w:p w14:paraId="2542B919"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9. să dispună elaborarea și aprobarea proceselor de control intern ce ar asigura responsabilizarea angajaților și confirmarea documentară a informațiilor din actele privind vechimea în muncă și solda (câștigul), prezentate către organul de asigurări sociale, în baza cărora se acordă dreptul la pensie și se stabilește mărimea prestației </w:t>
            </w:r>
          </w:p>
        </w:tc>
        <w:tc>
          <w:tcPr>
            <w:tcW w:w="8640" w:type="dxa"/>
            <w:tcBorders>
              <w:top w:val="nil"/>
              <w:left w:val="nil"/>
              <w:bottom w:val="single" w:sz="8" w:space="0" w:color="auto"/>
              <w:right w:val="single" w:sz="8" w:space="0" w:color="auto"/>
            </w:tcBorders>
            <w:shd w:val="clear" w:color="auto" w:fill="auto"/>
            <w:hideMark/>
          </w:tcPr>
          <w:p w14:paraId="0BC3C59C"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MA din 21.12.2020 nr. 11/153:</w:t>
            </w:r>
            <w:r w:rsidRPr="00341E6C">
              <w:rPr>
                <w:rFonts w:asciiTheme="majorHAnsi" w:eastAsia="Times New Roman" w:hAnsiTheme="majorHAnsi" w:cstheme="majorHAnsi"/>
                <w:sz w:val="18"/>
                <w:szCs w:val="18"/>
                <w:lang w:val="ro-RO"/>
              </w:rPr>
              <w:t xml:space="preserve"> Ministerul Apărării a elaborat și aprobat ordinul Ministrului Apărării nr.585/2020 „Cu privire la modul de calculare a vechimii în muncă pentru stabilirea pensiei militarilor prin contract”, prin care a stabilit:</w:t>
            </w:r>
          </w:p>
          <w:p w14:paraId="708096C2"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modul de calculare a vechimii în muncă și responsabilitățile subdiviziunilor ministerului în procesul de calculare a vechimii în munca și eliberarea certificatelor de salariu;</w:t>
            </w:r>
          </w:p>
          <w:p w14:paraId="10248D4F"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perioadele serviciului militar/special si ale stagiului general de muncă, care se includ în calculul vechimii în muncă pentru stabilirea pensiei militarilor prin contract;</w:t>
            </w:r>
          </w:p>
          <w:p w14:paraId="654DDADA"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documentele care urmează a fi prezentate de către militar, Casei Teritoriale de Asigurări Sociale, pentru stabilirea pensiei;</w:t>
            </w:r>
          </w:p>
          <w:p w14:paraId="76D1BE26"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modelul formularelor calculului vechimii în muncă și a certificatului bănesc, care urmează a fi prezentat de către militar Casei Teritoriale de Asigurări Sociale.</w:t>
            </w:r>
          </w:p>
          <w:p w14:paraId="6778B9A7"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În procesul de calculare a vechimii în muncă, MA a prevăzut în acest ordin implicarea mai multor subdiviziuni din cadrul MA și Marelui Stat Major al Armatei Naționale, în scopul asigurării unui control intern managerial eficient, în așa mod ca specialiștii în domeniu să fie mai responsabili în procesul prelucrării informațiilor din actele care confirmă vechimea în muncă, cât și eliberarea certificatelor privind cuantumul salariului.</w:t>
            </w:r>
          </w:p>
          <w:p w14:paraId="1D7733A1"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Proiectul ordinului, inițial, a fost expediat CNAS, cu solicitarea de a elabora un ordin comun privind responsabilitățile acestor instituții, însă, CNAS a refuzat avizarea pozitivă a ordinului comun menționat. Respectiv, MA a exclus din proiectul de ordin prevederile ce țin de responsabilitățile CNAS privind calcularea vechimii în muncă a militarilor.</w:t>
            </w:r>
          </w:p>
          <w:p w14:paraId="010479EA"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În vederea asigurării responsabilității eliberării certificatelor bănești privind solda militarilor, se comunică că MSMPS a înaintat un proiect de lege, care prevede că datele despre salariu să fie culese din extrasele din fișa personală a militarilor privind achitarea plăților în fondul social (IPC-18) și verificate cu certificatele bănești, eliberate militarilor de către MA.</w:t>
            </w:r>
          </w:p>
          <w:p w14:paraId="23C5B1FE" w14:textId="77777777" w:rsidR="00A542D9" w:rsidRPr="00341E6C" w:rsidRDefault="00A542D9" w:rsidP="00480151">
            <w:pPr>
              <w:autoSpaceDE w:val="0"/>
              <w:autoSpaceDN w:val="0"/>
              <w:adjustRightInd w:val="0"/>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MAI din 17.02.2021 nr. 44/10-521:</w:t>
            </w:r>
            <w:r w:rsidRPr="00341E6C">
              <w:rPr>
                <w:rFonts w:asciiTheme="majorHAnsi" w:eastAsia="Times New Roman" w:hAnsiTheme="majorHAnsi" w:cstheme="majorHAnsi"/>
                <w:sz w:val="18"/>
                <w:szCs w:val="18"/>
                <w:lang w:val="ro-RO"/>
              </w:rPr>
              <w:t xml:space="preserve"> În vederea aprobării proceselor de control intern privind responsabilizarea angajaților și confirmarea documentară a informațiilor din actele privind vechimea în muncă și solda (câștigul), prezentate către organul de asigurări sociale, în limitele competențelor, au fost elaborate și înaintate, către autoritățile administrative și instituțiile din subordinea MAI, circulare care au avut ca scop asigurarea soluționării uniforme a tuturor formalităților necesare pentru stabilirea pensiei angajaților cu statut special, corectitudinea întocmirii certificatelor de salarizare și certificatelor cu privire la confirmarea perioadelor de activitate/serviciu, informarea potențialilor beneficiari de pensie privind actele necesare a fi prezentate în adresa CNAS.</w:t>
            </w:r>
          </w:p>
        </w:tc>
        <w:tc>
          <w:tcPr>
            <w:tcW w:w="897" w:type="dxa"/>
            <w:tcBorders>
              <w:top w:val="nil"/>
              <w:left w:val="nil"/>
              <w:bottom w:val="single" w:sz="8" w:space="0" w:color="auto"/>
              <w:right w:val="single" w:sz="8" w:space="0" w:color="auto"/>
            </w:tcBorders>
            <w:shd w:val="clear" w:color="auto" w:fill="auto"/>
          </w:tcPr>
          <w:p w14:paraId="724A28A6" w14:textId="77777777" w:rsidR="00A542D9" w:rsidRPr="00341E6C" w:rsidRDefault="00A542D9" w:rsidP="00480151">
            <w:pPr>
              <w:spacing w:after="0" w:line="240" w:lineRule="auto"/>
              <w:jc w:val="center"/>
              <w:rPr>
                <w:rFonts w:asciiTheme="majorHAnsi" w:eastAsia="Times New Roman" w:hAnsiTheme="majorHAnsi" w:cstheme="majorHAnsi"/>
                <w:b/>
                <w:color w:val="FF0000"/>
                <w:sz w:val="18"/>
                <w:szCs w:val="18"/>
                <w:lang w:val="ro-RO"/>
              </w:rPr>
            </w:pPr>
            <w:r w:rsidRPr="00341E6C">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220669AC" w14:textId="77777777" w:rsidR="00A542D9" w:rsidRPr="00341E6C" w:rsidRDefault="00A542D9" w:rsidP="00480151">
            <w:pPr>
              <w:spacing w:after="0" w:line="240" w:lineRule="auto"/>
              <w:jc w:val="center"/>
              <w:rPr>
                <w:rFonts w:asciiTheme="majorHAnsi" w:eastAsia="Times New Roman" w:hAnsiTheme="majorHAnsi" w:cstheme="majorHAnsi"/>
                <w:bCs/>
                <w:color w:val="FF0000"/>
                <w:sz w:val="18"/>
                <w:szCs w:val="18"/>
                <w:lang w:val="ro-RO"/>
              </w:rPr>
            </w:pPr>
          </w:p>
        </w:tc>
        <w:tc>
          <w:tcPr>
            <w:tcW w:w="999" w:type="dxa"/>
            <w:tcBorders>
              <w:top w:val="nil"/>
              <w:left w:val="nil"/>
              <w:bottom w:val="single" w:sz="8" w:space="0" w:color="auto"/>
              <w:right w:val="single" w:sz="8" w:space="0" w:color="auto"/>
            </w:tcBorders>
          </w:tcPr>
          <w:p w14:paraId="6B10A301" w14:textId="77777777" w:rsidR="00A542D9" w:rsidRPr="00341E6C" w:rsidRDefault="00A542D9" w:rsidP="00480151">
            <w:pPr>
              <w:spacing w:after="0" w:line="240" w:lineRule="auto"/>
              <w:rPr>
                <w:rFonts w:asciiTheme="majorHAnsi" w:eastAsia="Times New Roman" w:hAnsiTheme="majorHAnsi" w:cstheme="majorHAnsi"/>
                <w:b/>
                <w:bCs/>
                <w:i/>
                <w:sz w:val="18"/>
                <w:szCs w:val="18"/>
                <w:lang w:val="ro-RO"/>
              </w:rPr>
            </w:pPr>
          </w:p>
        </w:tc>
      </w:tr>
      <w:tr w:rsidR="00A542D9" w:rsidRPr="00341E6C" w14:paraId="004A72CE"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55A1501E"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288B716E"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Recomandare Ministerului Afacerilor Interne</w:t>
            </w:r>
          </w:p>
        </w:tc>
        <w:tc>
          <w:tcPr>
            <w:tcW w:w="897" w:type="dxa"/>
            <w:tcBorders>
              <w:top w:val="nil"/>
              <w:left w:val="nil"/>
              <w:bottom w:val="single" w:sz="8" w:space="0" w:color="auto"/>
              <w:right w:val="single" w:sz="8" w:space="0" w:color="auto"/>
            </w:tcBorders>
            <w:shd w:val="clear" w:color="auto" w:fill="FFE599" w:themeFill="accent4" w:themeFillTint="66"/>
          </w:tcPr>
          <w:p w14:paraId="088B5D55"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65884D95"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999" w:type="dxa"/>
            <w:tcBorders>
              <w:top w:val="nil"/>
              <w:left w:val="nil"/>
              <w:bottom w:val="single" w:sz="8" w:space="0" w:color="auto"/>
              <w:right w:val="single" w:sz="8" w:space="0" w:color="auto"/>
            </w:tcBorders>
            <w:shd w:val="clear" w:color="auto" w:fill="FFE599" w:themeFill="accent4" w:themeFillTint="66"/>
          </w:tcPr>
          <w:p w14:paraId="391546D0" w14:textId="77777777" w:rsidR="00A542D9" w:rsidRPr="00341E6C" w:rsidRDefault="00A542D9" w:rsidP="00480151">
            <w:pPr>
              <w:spacing w:after="0" w:line="240" w:lineRule="auto"/>
              <w:rPr>
                <w:rFonts w:asciiTheme="majorHAnsi" w:eastAsia="Times New Roman" w:hAnsiTheme="majorHAnsi" w:cstheme="majorHAnsi"/>
                <w:b/>
                <w:bCs/>
                <w:sz w:val="18"/>
                <w:szCs w:val="18"/>
                <w:lang w:val="ro-RO"/>
              </w:rPr>
            </w:pPr>
          </w:p>
        </w:tc>
      </w:tr>
      <w:tr w:rsidR="00A542D9" w:rsidRPr="00341E6C" w14:paraId="2FDF95FC"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43230920"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13</w:t>
            </w:r>
          </w:p>
        </w:tc>
        <w:tc>
          <w:tcPr>
            <w:tcW w:w="2906" w:type="dxa"/>
            <w:tcBorders>
              <w:top w:val="nil"/>
              <w:left w:val="nil"/>
              <w:bottom w:val="single" w:sz="8" w:space="0" w:color="auto"/>
              <w:right w:val="single" w:sz="8" w:space="0" w:color="auto"/>
            </w:tcBorders>
            <w:shd w:val="clear" w:color="auto" w:fill="auto"/>
            <w:hideMark/>
          </w:tcPr>
          <w:p w14:paraId="3221E49F"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10. să aducă Ordinul nr.96 din 20.03.2018 „Cu privire la recunoașterea unor înlesniri pentru stabilirea pensiei anumitor categorii de funcționari publici cu statut special şi militar din cadrul Ministerului Afacerilor Interne”, în corespundere cu normele art.16 alin.(2) și art.37 alin.(4) ale Legii cu privire la actele normative nr.100 din 22.12.2017</w:t>
            </w:r>
          </w:p>
        </w:tc>
        <w:tc>
          <w:tcPr>
            <w:tcW w:w="8640" w:type="dxa"/>
            <w:tcBorders>
              <w:top w:val="nil"/>
              <w:left w:val="nil"/>
              <w:bottom w:val="single" w:sz="8" w:space="0" w:color="auto"/>
              <w:right w:val="single" w:sz="8" w:space="0" w:color="auto"/>
            </w:tcBorders>
            <w:shd w:val="clear" w:color="auto" w:fill="auto"/>
            <w:hideMark/>
          </w:tcPr>
          <w:p w14:paraId="594C8160"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MAI din 17.02.2021 nr. 44/10-521:</w:t>
            </w:r>
            <w:r w:rsidRPr="00341E6C">
              <w:rPr>
                <w:rFonts w:asciiTheme="majorHAnsi" w:eastAsia="Times New Roman" w:hAnsiTheme="majorHAnsi" w:cstheme="majorHAnsi"/>
                <w:sz w:val="18"/>
                <w:szCs w:val="18"/>
                <w:lang w:val="ro-RO"/>
              </w:rPr>
              <w:t xml:space="preserve"> În temeiul art. 16 alin. (2) al Legii 100/2017 cu privire la actele normative, reținem că actele normative ale autorităților administrației publice centrale de specialitate și ale autorităților publice autonome, sunt emise sau aprobate numai în temeiul şi pentru executarea legilor și a hotărârilor Parlamentului, a decretelor Preşedintelui Republicii Moldova, a hotărârilor şi ordonanţelor Guvernului.</w:t>
            </w:r>
          </w:p>
          <w:p w14:paraId="670C2301"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Astfel, Ordinul MAI nr. 96/2018, respectă rigorile legale indicate întrucât acesta a fost emis în conformitate cu prevederile pct. 7 lit. g) și pct.8 lit. d) din Hotărârea Guvernului nr.78/1994. Mai mult ca atât, și Plenul Curții Supreme de Justiție prin Avizul consultativ</w:t>
            </w:r>
          </w:p>
          <w:p w14:paraId="57A7C31D"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din 29 septembrie 2014, s-a expus în partea ce ţine de aplicarea prevederilor Hotărârii Guvernului nr. 78/1994, în special a art. 8 lit. d), implicit asupra calculării vechimii în muncă a persoanelor care au efectuat serviciul în cadrul Batalionului serviciului escortă şi pază.</w:t>
            </w:r>
          </w:p>
          <w:p w14:paraId="59F52300"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lastRenderedPageBreak/>
              <w:t>În această secțiune, Plenul a menționat că norma de drept stipulează expres că la calcularea vechimii în muncă pentru stabilirea pensiei militarilor care au îndeplinit serviciul prin contract, persoanelor din corpul de comandă şi din trupele organelor afacerilor interne, colaboratorilor Centrului pentru Combaterea Crimelor Economice şi Corupţiei şi a sistemului penitenciar se acordă două luni vechime în muncă pentru o lună de serviciu, în instituţii penitenciare de tip închis, izolatoarele de urmărire penală şi instituţiile destinate pentru deţinerea şi tratarea bolnavilor contagioşi şi bolnavilor psihici, precum şi la lucrări de subteran. Conform art. 33 alin. (2) din Legea nr. 1036/1996 cu privire la sistemul penitenciar (în vigoare până la 21 martie 2008), vechimea în muncă în vederea acordării pensiei colaboratorilor sistemului penitenciar se calculează cu înlesniri: o zi de serviciu în instituţii penitenciare de tip închis,izolatoare de urmărire penală şi în instituţiile destinate pentru deţinerea şi tratarea bolnavilor contagioşi şi bolnavilor psihici, precum şi la lucrări în subteran, se consideră ca 2 zile de serviciu. Astfel, penitenciarele de tip închis, izolatoarele de urmărire penală (izolatoare de detenţie provizorie) şi instituţiile destinate pentru deţinerea şi tratarea bolnavilor contagioşi şi bolnavilor psihici sunt entităţile care cad sub incidenţa reglementărilor de la pct. 8 al Hotărârii Guvernului nr.78/1994. Din esenţa normelor de drept enunţate rezultă că pentru calcularea vechimii în muncă cu înlesnirile solicitate este necesar ca persoana să întrunească două condiţii, şi anume: instituţia în care persoana execută serviciul să fie o subdiviziune indicată în pct.8 al Hotărârii Guvernului nr. 78/1994 şi să-şi exercite serviciul nemijlocit în închisori, izolatoare de urmărire penală (izolatoare de detenţie provizorie) şi instituţiile destinate pentru deţinerea şi tratarea bolnavilor contagioşi şi bolnavilor psihici.</w:t>
            </w:r>
          </w:p>
          <w:p w14:paraId="2C4C8D52"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Prin urmare, ținând cont de avizul consultativ al Plenul Curții Supreme de Justiție, inclusiv de practica constantă a instanțelor de judecată și faptul că cererile de chemare în judecată cu solicitarea recalculării vechimii în muncă în conformitate cu pct. 8 lit. d) din Hotărârea Guvernului nr. 78/1994 sunt admise integral, Ministerul Afacerilor Interne a emis Ordinul nr. 96/2018.</w:t>
            </w:r>
          </w:p>
          <w:p w14:paraId="0FD63FDC" w14:textId="77777777"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De altfel, reieșind din prevederile art. 12 din Codul administrativ, potrivit cărora, un act administrativ normativ este actul juridic subordonat legii adoptat, aprobat sau emis de o autoritate publică în baza prevederilor constituționale sau legale, care nu se supune controlului constituționalității și stabilește reguli de aplicare obligatorii pentru un număr nedeterminat de situații identice, notăm că Casa Națională de Asigurări Sociale (şi nici o altă instituţie/autoritate/persoană interesată) nu a demarat careva acțiuni privind contestarea cu o acțiune în contenciosul administrativ a actului normativ supus analizei prin Raportul Curții de Conturi nr. 29/2020. Or, acesta nu cade sub incidența art. 190 din Codul administrativ, fapt pentru care se prezumă întemeiat până la proba contrară (dacă nu a fost anulat de către instanța de judecată).</w:t>
            </w:r>
          </w:p>
          <w:p w14:paraId="295C8FD3" w14:textId="0AA1BD65" w:rsidR="00A542D9" w:rsidRPr="00341E6C" w:rsidRDefault="00A542D9" w:rsidP="00AC6742">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În partea ce ține de referința la art. 34 alin. (4) al Legii nr. 100/2017, ce reglementează că actele normative ale autorităţilor administrației publice centrale de specialitate şi ale autorităţilor publice autonome care vizează drepturile şi interesele legitime ale omului sunt supuse expertizei juridice obligatorii şi se înregistrează de către Ministerul Justiţiei, relevăm că, asigurarea efectuării expertizei juridice și înregistrarea în Registrul de stat al actelor juridice, este un procedeu juridic care se asigură anterior procedurii de emitere a actului normativ, atunci când acesta se află la etapa de proiect de act normativ</w:t>
            </w:r>
          </w:p>
        </w:tc>
        <w:tc>
          <w:tcPr>
            <w:tcW w:w="897" w:type="dxa"/>
            <w:tcBorders>
              <w:top w:val="nil"/>
              <w:left w:val="nil"/>
              <w:bottom w:val="single" w:sz="8" w:space="0" w:color="auto"/>
              <w:right w:val="single" w:sz="8" w:space="0" w:color="auto"/>
            </w:tcBorders>
            <w:shd w:val="clear" w:color="auto" w:fill="auto"/>
          </w:tcPr>
          <w:p w14:paraId="5F064E45"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tcPr>
          <w:p w14:paraId="0FF584E3"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99" w:type="dxa"/>
            <w:tcBorders>
              <w:top w:val="nil"/>
              <w:left w:val="nil"/>
              <w:bottom w:val="single" w:sz="8" w:space="0" w:color="auto"/>
              <w:right w:val="single" w:sz="8" w:space="0" w:color="auto"/>
            </w:tcBorders>
          </w:tcPr>
          <w:p w14:paraId="58F7A772" w14:textId="77777777" w:rsidR="00A542D9" w:rsidRPr="00341E6C" w:rsidRDefault="00A542D9" w:rsidP="00480151">
            <w:pPr>
              <w:spacing w:after="0" w:line="240" w:lineRule="auto"/>
              <w:jc w:val="center"/>
              <w:rPr>
                <w:rFonts w:asciiTheme="majorHAnsi" w:eastAsia="Times New Roman" w:hAnsiTheme="majorHAnsi" w:cstheme="majorHAnsi"/>
                <w:b/>
                <w:bCs/>
                <w:iCs/>
                <w:sz w:val="18"/>
                <w:szCs w:val="18"/>
                <w:lang w:val="ro-RO"/>
              </w:rPr>
            </w:pPr>
            <w:r w:rsidRPr="00341E6C">
              <w:rPr>
                <w:rFonts w:asciiTheme="majorHAnsi" w:eastAsia="Times New Roman" w:hAnsiTheme="majorHAnsi" w:cstheme="majorHAnsi"/>
                <w:b/>
                <w:bCs/>
                <w:iCs/>
                <w:sz w:val="18"/>
                <w:szCs w:val="18"/>
                <w:lang w:val="ro-RO"/>
              </w:rPr>
              <w:t>v</w:t>
            </w:r>
          </w:p>
        </w:tc>
      </w:tr>
      <w:tr w:rsidR="00A542D9" w:rsidRPr="00341E6C" w14:paraId="0E241FCB"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2F89A8A8"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4F181324"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r w:rsidRPr="00341E6C">
              <w:rPr>
                <w:rFonts w:asciiTheme="majorHAnsi" w:eastAsia="Times New Roman" w:hAnsiTheme="majorHAnsi" w:cstheme="majorHAnsi"/>
                <w:b/>
                <w:bCs/>
                <w:i/>
                <w:iCs/>
                <w:sz w:val="18"/>
                <w:szCs w:val="18"/>
                <w:lang w:val="ro-RO"/>
              </w:rPr>
              <w:t>Recomandări Casei Naționale de Asigurări Sociale</w:t>
            </w:r>
          </w:p>
        </w:tc>
        <w:tc>
          <w:tcPr>
            <w:tcW w:w="897" w:type="dxa"/>
            <w:tcBorders>
              <w:top w:val="nil"/>
              <w:left w:val="nil"/>
              <w:bottom w:val="single" w:sz="8" w:space="0" w:color="auto"/>
              <w:right w:val="single" w:sz="8" w:space="0" w:color="auto"/>
            </w:tcBorders>
            <w:shd w:val="clear" w:color="auto" w:fill="FFE599" w:themeFill="accent4" w:themeFillTint="66"/>
            <w:hideMark/>
          </w:tcPr>
          <w:p w14:paraId="69A32B4F"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w:t>
            </w:r>
          </w:p>
        </w:tc>
        <w:tc>
          <w:tcPr>
            <w:tcW w:w="900" w:type="dxa"/>
            <w:tcBorders>
              <w:top w:val="nil"/>
              <w:left w:val="nil"/>
              <w:bottom w:val="single" w:sz="8" w:space="0" w:color="auto"/>
              <w:right w:val="single" w:sz="8" w:space="0" w:color="auto"/>
            </w:tcBorders>
            <w:shd w:val="clear" w:color="auto" w:fill="FFE599" w:themeFill="accent4" w:themeFillTint="66"/>
            <w:hideMark/>
          </w:tcPr>
          <w:p w14:paraId="33C170BC"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w:t>
            </w:r>
          </w:p>
        </w:tc>
        <w:tc>
          <w:tcPr>
            <w:tcW w:w="999" w:type="dxa"/>
            <w:tcBorders>
              <w:top w:val="nil"/>
              <w:left w:val="nil"/>
              <w:bottom w:val="single" w:sz="8" w:space="0" w:color="auto"/>
              <w:right w:val="single" w:sz="8" w:space="0" w:color="auto"/>
            </w:tcBorders>
            <w:shd w:val="clear" w:color="auto" w:fill="FFE599" w:themeFill="accent4" w:themeFillTint="66"/>
          </w:tcPr>
          <w:p w14:paraId="1F0E9984"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r>
      <w:tr w:rsidR="00A542D9" w:rsidRPr="00341E6C" w14:paraId="6BA88065"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AE46320"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14</w:t>
            </w:r>
          </w:p>
        </w:tc>
        <w:tc>
          <w:tcPr>
            <w:tcW w:w="2906" w:type="dxa"/>
            <w:tcBorders>
              <w:top w:val="nil"/>
              <w:left w:val="nil"/>
              <w:bottom w:val="single" w:sz="8" w:space="0" w:color="auto"/>
              <w:right w:val="single" w:sz="8" w:space="0" w:color="auto"/>
            </w:tcBorders>
            <w:shd w:val="clear" w:color="auto" w:fill="auto"/>
            <w:hideMark/>
          </w:tcPr>
          <w:p w14:paraId="46BB74D4"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12. să asigure, </w:t>
            </w:r>
            <w:r w:rsidRPr="00341E6C">
              <w:rPr>
                <w:rFonts w:asciiTheme="majorHAnsi" w:eastAsia="Times New Roman" w:hAnsiTheme="majorHAnsi" w:cstheme="majorHAnsi"/>
                <w:b/>
                <w:bCs/>
                <w:sz w:val="18"/>
                <w:szCs w:val="18"/>
                <w:lang w:val="ro-RO"/>
              </w:rPr>
              <w:t>prin conlucrare cu Serviciul Fiscal de Stat</w:t>
            </w:r>
            <w:r w:rsidRPr="00341E6C">
              <w:rPr>
                <w:rFonts w:asciiTheme="majorHAnsi" w:eastAsia="Times New Roman" w:hAnsiTheme="majorHAnsi" w:cstheme="majorHAnsi"/>
                <w:sz w:val="18"/>
                <w:szCs w:val="18"/>
                <w:lang w:val="ro-RO"/>
              </w:rPr>
              <w:t xml:space="preserve">, corectarea Dărilor de seamă prezentate eronat de către contribuabili, prin regularizarea sumei de 0,05 mil. lei de la bugetul de stat pentru compensarea contribuției de </w:t>
            </w:r>
            <w:r w:rsidRPr="00341E6C">
              <w:rPr>
                <w:rFonts w:asciiTheme="majorHAnsi" w:eastAsia="Times New Roman" w:hAnsiTheme="majorHAnsi" w:cstheme="majorHAnsi"/>
                <w:sz w:val="18"/>
                <w:szCs w:val="18"/>
                <w:lang w:val="ro-RO"/>
              </w:rPr>
              <w:lastRenderedPageBreak/>
              <w:t xml:space="preserve">asigurări sociale de stat obligatorii prevăzute pentru angajatorii din agricultură </w:t>
            </w:r>
          </w:p>
        </w:tc>
        <w:tc>
          <w:tcPr>
            <w:tcW w:w="8640" w:type="dxa"/>
            <w:tcBorders>
              <w:top w:val="nil"/>
              <w:left w:val="nil"/>
              <w:bottom w:val="single" w:sz="8" w:space="0" w:color="auto"/>
              <w:right w:val="single" w:sz="8" w:space="0" w:color="auto"/>
            </w:tcBorders>
            <w:shd w:val="clear" w:color="auto" w:fill="auto"/>
            <w:hideMark/>
          </w:tcPr>
          <w:p w14:paraId="207DB751" w14:textId="77777777" w:rsidR="00A542D9" w:rsidRPr="00341E6C" w:rsidRDefault="00A542D9" w:rsidP="00480151">
            <w:pPr>
              <w:spacing w:after="0" w:line="240" w:lineRule="auto"/>
              <w:jc w:val="both"/>
              <w:rPr>
                <w:rFonts w:asciiTheme="majorHAnsi" w:eastAsia="Times New Roman" w:hAnsiTheme="majorHAnsi" w:cstheme="majorHAnsi"/>
                <w:noProof/>
                <w:sz w:val="18"/>
                <w:szCs w:val="18"/>
                <w:lang w:val="ro-RO"/>
              </w:rPr>
            </w:pPr>
            <w:r w:rsidRPr="00341E6C">
              <w:rPr>
                <w:rFonts w:asciiTheme="majorHAnsi" w:eastAsia="Times New Roman" w:hAnsiTheme="majorHAnsi" w:cstheme="majorHAnsi"/>
                <w:b/>
                <w:sz w:val="18"/>
                <w:szCs w:val="18"/>
                <w:lang w:val="ro-RO"/>
              </w:rPr>
              <w:lastRenderedPageBreak/>
              <w:t>Scris. CNAS din 05.02.2021 nr. 360:</w:t>
            </w:r>
            <w:r w:rsidRPr="00341E6C">
              <w:rPr>
                <w:rFonts w:asciiTheme="majorHAnsi" w:eastAsia="Times New Roman" w:hAnsiTheme="majorHAnsi" w:cstheme="majorHAnsi"/>
                <w:sz w:val="18"/>
                <w:szCs w:val="18"/>
                <w:lang w:val="ro-RO"/>
              </w:rPr>
              <w:t xml:space="preserve"> </w:t>
            </w:r>
            <w:r w:rsidRPr="00341E6C">
              <w:rPr>
                <w:rFonts w:asciiTheme="majorHAnsi" w:hAnsiTheme="majorHAnsi" w:cstheme="majorHAnsi"/>
                <w:sz w:val="18"/>
                <w:szCs w:val="18"/>
                <w:lang w:val="ro-RO"/>
              </w:rPr>
              <w:t xml:space="preserve">În adresa Serviciului Fiscal de Stat în perioada septembrie – decembrie 2020 a fost transmisă lunar lista angajatorilor din agricultură, care au admis erori la declararea contribuţiilor de asigurări sociale de stat obligatorii în tabelul nr.3 al dării de seamă (Forma IPC18) pentru perioadele anului 2019 şi care nu au efectuat corectarea acestora. </w:t>
            </w:r>
          </w:p>
          <w:p w14:paraId="11EE7126" w14:textId="5F5551E5"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t>Totodată, concomitent cu transmiterea listei menţionate s-a solicitat Serviciului Fiscal de Stat să întreprindă măsurile de competenţă în scopul realizării recomandării şi, respectiv, asigurării prezentării de către angajatorii din agricultură a dărilor de seamă corecte</w:t>
            </w:r>
          </w:p>
          <w:p w14:paraId="037786AA" w14:textId="77777777"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lastRenderedPageBreak/>
              <w:t>S-a monitorizat recepţionarea de la Serviciul Fiscal de Stat a dărilor de seamă (Forma IPC18) corectate pentru anul 2019 a angajatorilor din agricultură care au admis erori la prezentarea acestora. În procesul de monitorizare au fost remise caselor teritoriale de asigurări sociale listele angajatorilor din agricultură din raza de deservire, care au admis erori la declararea contribuţiilor de asigurări sociale de stat obligatorii în tabelul nr.3 al dării de seamă (Forma IPC18) pentru perioadele anului 2019 şi care nu au efectuat corectarea acestora.</w:t>
            </w:r>
          </w:p>
          <w:p w14:paraId="1B75E2A7" w14:textId="77777777"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t>Casele teritoriale de asigurări sociale au asigurat informarea angajatorilor menţionaţi despre erorile admise şi despre modul de completare corectă a dărilor de seamă. Ca urmare a măsurilor de competență întreprinse de Serviciul Fiscal de Stat, inclusiv a măsurilor de informare întreprinse de casele teritoriale de asigurări sociale angajatorii menţionaţi au corectat erorile admise la declararea contribuţiilor de asigurări sociale de stat obligatorii, cu excepţia unui agent economic care a fost radiat din Registrul de stat a persoanelor juridice în luna aprilie 2019.</w:t>
            </w:r>
          </w:p>
          <w:p w14:paraId="1484F1AB" w14:textId="77777777"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t>Astfel, la situaţia de 31 decembrie 2020 din suma de 49 298.16 lei pentru compensarea contribuţiilor de asigurări sociale de stat obligatorii aferente angajatorilor din agricultură de la bugetul de stat a fost regularizată suma de 48 612.58 lei.</w:t>
            </w:r>
          </w:p>
          <w:p w14:paraId="4B37EE29" w14:textId="74D149C4"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t>În baza dărilor de seamă (Forma IPC18) corectate recepţionate de la Serviciul Fiscal de Stat s-a asigurat ajustarea indicatorilor în Contul plătitorilor de contribuţii la bugetul asigurărilor sociale de stat şi contul persoanelor asigurate din cadrul sistemului informaţional „Protecţia Socială”</w:t>
            </w:r>
          </w:p>
        </w:tc>
        <w:tc>
          <w:tcPr>
            <w:tcW w:w="897" w:type="dxa"/>
            <w:tcBorders>
              <w:top w:val="nil"/>
              <w:left w:val="nil"/>
              <w:bottom w:val="single" w:sz="8" w:space="0" w:color="auto"/>
              <w:right w:val="single" w:sz="8" w:space="0" w:color="auto"/>
            </w:tcBorders>
            <w:shd w:val="clear" w:color="auto" w:fill="auto"/>
          </w:tcPr>
          <w:p w14:paraId="3BB867D9" w14:textId="77777777" w:rsidR="00A542D9" w:rsidRPr="00341E6C" w:rsidRDefault="00A542D9" w:rsidP="00480151">
            <w:pPr>
              <w:spacing w:after="0" w:line="240" w:lineRule="auto"/>
              <w:jc w:val="center"/>
              <w:rPr>
                <w:rFonts w:asciiTheme="majorHAnsi" w:eastAsia="Times New Roman" w:hAnsiTheme="majorHAnsi" w:cstheme="majorHAnsi"/>
                <w:b/>
                <w:sz w:val="18"/>
                <w:szCs w:val="18"/>
                <w:lang w:val="ro-RO"/>
              </w:rPr>
            </w:pPr>
            <w:r w:rsidRPr="00341E6C">
              <w:rPr>
                <w:rFonts w:asciiTheme="majorHAnsi" w:eastAsia="Times New Roman" w:hAnsiTheme="majorHAnsi" w:cstheme="majorHAnsi"/>
                <w:b/>
                <w:sz w:val="18"/>
                <w:szCs w:val="18"/>
                <w:lang w:val="ro-RO"/>
              </w:rPr>
              <w:lastRenderedPageBreak/>
              <w:t>v</w:t>
            </w:r>
          </w:p>
        </w:tc>
        <w:tc>
          <w:tcPr>
            <w:tcW w:w="900" w:type="dxa"/>
            <w:tcBorders>
              <w:top w:val="nil"/>
              <w:left w:val="nil"/>
              <w:bottom w:val="single" w:sz="8" w:space="0" w:color="auto"/>
              <w:right w:val="single" w:sz="8" w:space="0" w:color="auto"/>
            </w:tcBorders>
            <w:shd w:val="clear" w:color="auto" w:fill="auto"/>
          </w:tcPr>
          <w:p w14:paraId="2C74B837"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99" w:type="dxa"/>
            <w:tcBorders>
              <w:top w:val="nil"/>
              <w:left w:val="nil"/>
              <w:bottom w:val="single" w:sz="8" w:space="0" w:color="auto"/>
              <w:right w:val="single" w:sz="8" w:space="0" w:color="auto"/>
            </w:tcBorders>
          </w:tcPr>
          <w:p w14:paraId="14CBDB4B" w14:textId="77777777" w:rsidR="00A542D9" w:rsidRPr="00341E6C" w:rsidRDefault="00A542D9" w:rsidP="00480151">
            <w:pPr>
              <w:spacing w:after="0" w:line="240" w:lineRule="auto"/>
              <w:rPr>
                <w:rFonts w:asciiTheme="majorHAnsi" w:eastAsia="Times New Roman" w:hAnsiTheme="majorHAnsi" w:cstheme="majorHAnsi"/>
                <w:b/>
                <w:i/>
                <w:sz w:val="18"/>
                <w:szCs w:val="18"/>
                <w:lang w:val="ro-RO"/>
              </w:rPr>
            </w:pPr>
          </w:p>
        </w:tc>
      </w:tr>
      <w:tr w:rsidR="00A542D9" w:rsidRPr="00341E6C" w14:paraId="17A015CC"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A528CB7"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15</w:t>
            </w:r>
          </w:p>
        </w:tc>
        <w:tc>
          <w:tcPr>
            <w:tcW w:w="2906" w:type="dxa"/>
            <w:tcBorders>
              <w:top w:val="nil"/>
              <w:left w:val="nil"/>
              <w:bottom w:val="single" w:sz="8" w:space="0" w:color="auto"/>
              <w:right w:val="single" w:sz="8" w:space="0" w:color="auto"/>
            </w:tcBorders>
            <w:shd w:val="clear" w:color="auto" w:fill="auto"/>
            <w:hideMark/>
          </w:tcPr>
          <w:p w14:paraId="0BED2339"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13. să determine, </w:t>
            </w:r>
            <w:r w:rsidRPr="00341E6C">
              <w:rPr>
                <w:rFonts w:asciiTheme="majorHAnsi" w:eastAsia="Times New Roman" w:hAnsiTheme="majorHAnsi" w:cstheme="majorHAnsi"/>
                <w:b/>
                <w:bCs/>
                <w:sz w:val="18"/>
                <w:szCs w:val="18"/>
                <w:lang w:val="ro-RO"/>
              </w:rPr>
              <w:t>de comun cu Inspectoratul de Stat al Muncii și Serviciul Fiscal de Stat,</w:t>
            </w:r>
            <w:r w:rsidRPr="00341E6C">
              <w:rPr>
                <w:rFonts w:asciiTheme="majorHAnsi" w:eastAsia="Times New Roman" w:hAnsiTheme="majorHAnsi" w:cstheme="majorHAnsi"/>
                <w:sz w:val="18"/>
                <w:szCs w:val="18"/>
                <w:lang w:val="ro-RO"/>
              </w:rPr>
              <w:t xml:space="preserve">  modalitatea  privind schimbul de date în vederea asigurării evidenței zilierilor și a contribuțiilor sociale ale acestora până la lansarea Registrului electronic al salariaților </w:t>
            </w:r>
          </w:p>
        </w:tc>
        <w:tc>
          <w:tcPr>
            <w:tcW w:w="8640" w:type="dxa"/>
            <w:tcBorders>
              <w:top w:val="nil"/>
              <w:left w:val="nil"/>
              <w:bottom w:val="single" w:sz="8" w:space="0" w:color="auto"/>
              <w:right w:val="single" w:sz="8" w:space="0" w:color="auto"/>
            </w:tcBorders>
            <w:shd w:val="clear" w:color="auto" w:fill="auto"/>
            <w:hideMark/>
          </w:tcPr>
          <w:p w14:paraId="236CF3E9" w14:textId="46A6C998"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eastAsia="Times New Roman" w:hAnsiTheme="majorHAnsi" w:cstheme="majorHAnsi"/>
                <w:b/>
                <w:sz w:val="18"/>
                <w:szCs w:val="18"/>
                <w:lang w:val="ro-RO"/>
              </w:rPr>
              <w:t>Scris. CNAS din 05.02.2021 nr. 360:</w:t>
            </w:r>
            <w:r w:rsidRPr="00341E6C">
              <w:rPr>
                <w:rFonts w:asciiTheme="majorHAnsi" w:hAnsiTheme="majorHAnsi" w:cstheme="majorHAnsi"/>
                <w:sz w:val="18"/>
                <w:szCs w:val="18"/>
                <w:lang w:val="ro-RO"/>
              </w:rPr>
              <w:t xml:space="preserve"> În scopul determinării asupra modului de schimb de date între Serviciul Fiscal de Stat, Inspectoratul de Stat al Muncii şi CNAS, cu privire la modalitatea privind schimbul de date în vederea asigurării evidenţei zilierilor şi contribuţiilor sociale ale acestora, a fost elaborat  proiectul Acordului privind schimbul de date pentru asigurarea condiţiilor de încheiere a contractelor de asigurări sociale obligatorii</w:t>
            </w:r>
            <w:r>
              <w:rPr>
                <w:rFonts w:asciiTheme="majorHAnsi" w:hAnsiTheme="majorHAnsi" w:cstheme="majorHAnsi"/>
                <w:sz w:val="18"/>
                <w:szCs w:val="18"/>
                <w:lang w:val="ro-RO"/>
              </w:rPr>
              <w:t xml:space="preserve"> a zilierilor. </w:t>
            </w:r>
            <w:r w:rsidRPr="007776B2">
              <w:rPr>
                <w:rFonts w:asciiTheme="majorHAnsi" w:hAnsiTheme="majorHAnsi" w:cstheme="majorHAnsi"/>
                <w:sz w:val="18"/>
                <w:szCs w:val="18"/>
                <w:lang w:val="ro-RO"/>
              </w:rPr>
              <w:t>Acordul a fost semnat de către instituţiile implicate şi este pus în aplicare începând cu data de 1 ianuarie 2021</w:t>
            </w:r>
            <w:r>
              <w:rPr>
                <w:rFonts w:asciiTheme="majorHAnsi" w:hAnsiTheme="majorHAnsi" w:cstheme="majorHAnsi"/>
                <w:sz w:val="18"/>
                <w:szCs w:val="18"/>
                <w:lang w:val="ro-RO"/>
              </w:rPr>
              <w:t xml:space="preserve"> </w:t>
            </w:r>
          </w:p>
        </w:tc>
        <w:tc>
          <w:tcPr>
            <w:tcW w:w="897" w:type="dxa"/>
            <w:tcBorders>
              <w:top w:val="nil"/>
              <w:left w:val="nil"/>
              <w:bottom w:val="single" w:sz="8" w:space="0" w:color="auto"/>
              <w:right w:val="single" w:sz="8" w:space="0" w:color="auto"/>
            </w:tcBorders>
            <w:shd w:val="clear" w:color="auto" w:fill="auto"/>
          </w:tcPr>
          <w:p w14:paraId="25D5FFF2" w14:textId="77777777" w:rsidR="00A542D9" w:rsidRPr="00341E6C" w:rsidRDefault="00A542D9" w:rsidP="00480151">
            <w:pPr>
              <w:spacing w:after="0" w:line="240" w:lineRule="auto"/>
              <w:jc w:val="center"/>
              <w:rPr>
                <w:rFonts w:asciiTheme="majorHAnsi" w:eastAsia="Times New Roman" w:hAnsiTheme="majorHAnsi" w:cstheme="majorHAnsi"/>
                <w:b/>
                <w:sz w:val="18"/>
                <w:szCs w:val="18"/>
                <w:lang w:val="ro-RO"/>
              </w:rPr>
            </w:pPr>
            <w:r w:rsidRPr="00341E6C">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1DC8B9A3" w14:textId="77777777" w:rsidR="00A542D9" w:rsidRPr="00341E6C" w:rsidRDefault="00A542D9" w:rsidP="00480151">
            <w:pPr>
              <w:spacing w:after="0" w:line="240" w:lineRule="auto"/>
              <w:rPr>
                <w:rFonts w:asciiTheme="majorHAnsi" w:hAnsiTheme="majorHAnsi" w:cstheme="majorHAnsi"/>
                <w:sz w:val="18"/>
                <w:szCs w:val="18"/>
                <w:lang w:val="ro-RO"/>
              </w:rPr>
            </w:pPr>
          </w:p>
        </w:tc>
        <w:tc>
          <w:tcPr>
            <w:tcW w:w="999" w:type="dxa"/>
            <w:tcBorders>
              <w:top w:val="nil"/>
              <w:left w:val="nil"/>
              <w:bottom w:val="single" w:sz="8" w:space="0" w:color="auto"/>
              <w:right w:val="single" w:sz="8" w:space="0" w:color="auto"/>
            </w:tcBorders>
          </w:tcPr>
          <w:p w14:paraId="38866A12" w14:textId="77777777" w:rsidR="00A542D9" w:rsidRPr="00341E6C" w:rsidRDefault="00A542D9" w:rsidP="00480151">
            <w:pPr>
              <w:spacing w:after="0" w:line="240" w:lineRule="auto"/>
              <w:rPr>
                <w:rFonts w:asciiTheme="majorHAnsi" w:eastAsia="Times New Roman" w:hAnsiTheme="majorHAnsi" w:cstheme="majorHAnsi"/>
                <w:b/>
                <w:i/>
                <w:sz w:val="18"/>
                <w:szCs w:val="18"/>
                <w:lang w:val="ro-RO"/>
              </w:rPr>
            </w:pPr>
          </w:p>
        </w:tc>
      </w:tr>
      <w:tr w:rsidR="00A542D9" w:rsidRPr="00341E6C" w14:paraId="6EC1EF4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7371041B"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16</w:t>
            </w:r>
          </w:p>
        </w:tc>
        <w:tc>
          <w:tcPr>
            <w:tcW w:w="2906" w:type="dxa"/>
            <w:tcBorders>
              <w:top w:val="nil"/>
              <w:left w:val="nil"/>
              <w:bottom w:val="single" w:sz="8" w:space="0" w:color="auto"/>
              <w:right w:val="single" w:sz="8" w:space="0" w:color="auto"/>
            </w:tcBorders>
            <w:shd w:val="clear" w:color="auto" w:fill="auto"/>
            <w:hideMark/>
          </w:tcPr>
          <w:p w14:paraId="51B76735"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14. să aducă în concordanță modul de înregistrare a tranzacțiilor de restituire a supraplăților de către beneficiari prin intermediul instituțiilor financiare cu prevederile Instrucțiunii de evidență contabilă </w:t>
            </w:r>
          </w:p>
        </w:tc>
        <w:tc>
          <w:tcPr>
            <w:tcW w:w="8640" w:type="dxa"/>
            <w:tcBorders>
              <w:top w:val="nil"/>
              <w:left w:val="nil"/>
              <w:bottom w:val="single" w:sz="8" w:space="0" w:color="auto"/>
              <w:right w:val="single" w:sz="8" w:space="0" w:color="auto"/>
            </w:tcBorders>
            <w:shd w:val="clear" w:color="auto" w:fill="auto"/>
            <w:hideMark/>
          </w:tcPr>
          <w:p w14:paraId="03FF4F93" w14:textId="77777777" w:rsidR="00A542D9" w:rsidRPr="00341E6C" w:rsidRDefault="00A542D9" w:rsidP="00480151">
            <w:pPr>
              <w:spacing w:after="0" w:line="240" w:lineRule="auto"/>
              <w:rPr>
                <w:rFonts w:asciiTheme="majorHAnsi" w:hAnsiTheme="majorHAnsi" w:cstheme="majorHAnsi"/>
                <w:sz w:val="18"/>
                <w:szCs w:val="18"/>
                <w:lang w:val="ro-RO"/>
              </w:rPr>
            </w:pPr>
            <w:r w:rsidRPr="00341E6C">
              <w:rPr>
                <w:rFonts w:asciiTheme="majorHAnsi" w:eastAsia="Times New Roman" w:hAnsiTheme="majorHAnsi" w:cstheme="majorHAnsi"/>
                <w:b/>
                <w:sz w:val="18"/>
                <w:szCs w:val="18"/>
                <w:lang w:val="ro-RO"/>
              </w:rPr>
              <w:t>Scris. CNAS din 05.02.2021 nr. 360:</w:t>
            </w:r>
            <w:r w:rsidRPr="00341E6C">
              <w:rPr>
                <w:rFonts w:asciiTheme="majorHAnsi" w:hAnsiTheme="majorHAnsi" w:cstheme="majorHAnsi"/>
                <w:sz w:val="18"/>
                <w:szCs w:val="18"/>
                <w:lang w:val="ro-RO"/>
              </w:rPr>
              <w:t> În Instrucțiunea privind evidența contabilă  a CNAS au fost efectuate modificări privind modul de înregistrare a tranzacțiilor de restituire a supraplăților de către beneficiari, prin intermediul instituţiilor financiare, şi a fost expediată spre coordonare Ministerului Finanţelor prin scrisoarea nr.II-03/10-12440 din 16.10.2020.</w:t>
            </w:r>
          </w:p>
          <w:p w14:paraId="749C5C6B" w14:textId="281BF83C" w:rsidR="00A542D9" w:rsidRPr="00341E6C" w:rsidRDefault="00A542D9" w:rsidP="00480151">
            <w:pPr>
              <w:spacing w:after="0" w:line="240" w:lineRule="auto"/>
              <w:rPr>
                <w:rFonts w:asciiTheme="majorHAnsi" w:hAnsiTheme="majorHAnsi" w:cstheme="majorHAnsi"/>
                <w:sz w:val="18"/>
                <w:szCs w:val="18"/>
                <w:lang w:val="ro-RO"/>
              </w:rPr>
            </w:pPr>
            <w:r w:rsidRPr="00341E6C">
              <w:rPr>
                <w:rFonts w:asciiTheme="majorHAnsi" w:hAnsiTheme="majorHAnsi" w:cstheme="majorHAnsi"/>
                <w:sz w:val="18"/>
                <w:szCs w:val="18"/>
                <w:lang w:val="ro-RO"/>
              </w:rPr>
              <w:t>Modificările Instrucţiunii au fost aprobate prin ordinul intern nr.285-A din 30.12.2020, fiind acceptate şi coordonate de Ministerul Finanţelor prin scrisoarea nr.12/3-4-221 din 24.12.2020.</w:t>
            </w:r>
          </w:p>
        </w:tc>
        <w:tc>
          <w:tcPr>
            <w:tcW w:w="897" w:type="dxa"/>
            <w:tcBorders>
              <w:top w:val="nil"/>
              <w:left w:val="nil"/>
              <w:bottom w:val="single" w:sz="8" w:space="0" w:color="auto"/>
              <w:right w:val="single" w:sz="8" w:space="0" w:color="auto"/>
            </w:tcBorders>
            <w:shd w:val="clear" w:color="auto" w:fill="auto"/>
          </w:tcPr>
          <w:p w14:paraId="2D92608B" w14:textId="77777777" w:rsidR="00A542D9" w:rsidRPr="00341E6C" w:rsidRDefault="00A542D9" w:rsidP="00480151">
            <w:pPr>
              <w:spacing w:after="0" w:line="240" w:lineRule="auto"/>
              <w:jc w:val="center"/>
              <w:rPr>
                <w:rFonts w:asciiTheme="majorHAnsi" w:hAnsiTheme="majorHAnsi" w:cstheme="majorHAnsi"/>
                <w:b/>
                <w:sz w:val="18"/>
                <w:szCs w:val="18"/>
                <w:lang w:val="ro-RO"/>
              </w:rPr>
            </w:pPr>
            <w:r w:rsidRPr="00341E6C">
              <w:rPr>
                <w:rFonts w:asciiTheme="majorHAnsi"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638E8F15" w14:textId="77777777" w:rsidR="00A542D9" w:rsidRPr="00341E6C" w:rsidRDefault="00A542D9" w:rsidP="00480151">
            <w:pPr>
              <w:spacing w:after="0" w:line="240" w:lineRule="auto"/>
              <w:rPr>
                <w:rFonts w:asciiTheme="majorHAnsi" w:eastAsia="Times New Roman" w:hAnsiTheme="majorHAnsi" w:cstheme="majorHAnsi"/>
                <w:bCs/>
                <w:iCs/>
                <w:sz w:val="18"/>
                <w:szCs w:val="18"/>
                <w:lang w:val="ro-RO"/>
              </w:rPr>
            </w:pPr>
          </w:p>
        </w:tc>
        <w:tc>
          <w:tcPr>
            <w:tcW w:w="999" w:type="dxa"/>
            <w:tcBorders>
              <w:top w:val="nil"/>
              <w:left w:val="nil"/>
              <w:bottom w:val="single" w:sz="8" w:space="0" w:color="auto"/>
              <w:right w:val="single" w:sz="8" w:space="0" w:color="auto"/>
            </w:tcBorders>
          </w:tcPr>
          <w:p w14:paraId="6F14099E" w14:textId="77777777" w:rsidR="00A542D9" w:rsidRPr="00341E6C" w:rsidRDefault="00A542D9" w:rsidP="00480151">
            <w:pPr>
              <w:spacing w:after="0" w:line="240" w:lineRule="auto"/>
              <w:rPr>
                <w:rFonts w:asciiTheme="majorHAnsi" w:eastAsia="Times New Roman" w:hAnsiTheme="majorHAnsi" w:cstheme="majorHAnsi"/>
                <w:b/>
                <w:i/>
                <w:sz w:val="18"/>
                <w:szCs w:val="18"/>
                <w:lang w:val="ro-RO"/>
              </w:rPr>
            </w:pPr>
          </w:p>
        </w:tc>
      </w:tr>
      <w:tr w:rsidR="00A542D9" w:rsidRPr="00341E6C" w14:paraId="75E01A18"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21065562"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17</w:t>
            </w:r>
          </w:p>
        </w:tc>
        <w:tc>
          <w:tcPr>
            <w:tcW w:w="2906" w:type="dxa"/>
            <w:tcBorders>
              <w:top w:val="nil"/>
              <w:left w:val="nil"/>
              <w:bottom w:val="single" w:sz="8" w:space="0" w:color="auto"/>
              <w:right w:val="single" w:sz="8" w:space="0" w:color="auto"/>
            </w:tcBorders>
            <w:shd w:val="clear" w:color="auto" w:fill="auto"/>
            <w:hideMark/>
          </w:tcPr>
          <w:p w14:paraId="0B06668C"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15. să evalueze procesul de formare a rapoartelor în SI „Protecția Socială”, reieșind din normele de evidență și rapoarte financiare, în vederea identificării riscurilor și estimării impactului valoric asupra situațiilor financiare, precum și asigurării corelării politicilor de reglementare a metodelor de contabilitate specifice asupra perioadei de gestiune stabilite ca constantă în SI „Protecția Socială”, ceea ce ar permite reconcilierea </w:t>
            </w:r>
            <w:r w:rsidRPr="00341E6C">
              <w:rPr>
                <w:rFonts w:asciiTheme="majorHAnsi" w:eastAsia="Times New Roman" w:hAnsiTheme="majorHAnsi" w:cstheme="majorHAnsi"/>
                <w:sz w:val="18"/>
                <w:szCs w:val="18"/>
                <w:lang w:val="ro-RO"/>
              </w:rPr>
              <w:lastRenderedPageBreak/>
              <w:t xml:space="preserve">datelor utilizate la întocmirea rapoartelor </w:t>
            </w:r>
          </w:p>
        </w:tc>
        <w:tc>
          <w:tcPr>
            <w:tcW w:w="8640" w:type="dxa"/>
            <w:tcBorders>
              <w:top w:val="nil"/>
              <w:left w:val="nil"/>
              <w:bottom w:val="single" w:sz="8" w:space="0" w:color="auto"/>
              <w:right w:val="single" w:sz="8" w:space="0" w:color="auto"/>
            </w:tcBorders>
            <w:shd w:val="clear" w:color="auto" w:fill="auto"/>
            <w:hideMark/>
          </w:tcPr>
          <w:p w14:paraId="0F98C973" w14:textId="77777777"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eastAsia="Times New Roman" w:hAnsiTheme="majorHAnsi" w:cstheme="majorHAnsi"/>
                <w:b/>
                <w:sz w:val="18"/>
                <w:szCs w:val="18"/>
                <w:lang w:val="ro-RO"/>
              </w:rPr>
              <w:lastRenderedPageBreak/>
              <w:t>Scris. CNAS din 05.02.2021 nr. 360:</w:t>
            </w:r>
            <w:r w:rsidRPr="00341E6C">
              <w:rPr>
                <w:rFonts w:asciiTheme="majorHAnsi" w:hAnsiTheme="majorHAnsi" w:cstheme="majorHAnsi"/>
                <w:noProof/>
                <w:sz w:val="18"/>
                <w:szCs w:val="18"/>
                <w:lang w:val="ro-RO"/>
              </w:rPr>
              <w:t xml:space="preserve"> </w:t>
            </w:r>
            <w:r w:rsidRPr="00341E6C">
              <w:rPr>
                <w:rFonts w:asciiTheme="majorHAnsi" w:hAnsiTheme="majorHAnsi" w:cstheme="majorHAnsi"/>
                <w:sz w:val="18"/>
                <w:szCs w:val="18"/>
                <w:lang w:val="ro-RO"/>
              </w:rPr>
              <w:t>Prin ordinul intern nr.220-A din 08.10.2020 a fost creat grupul de lucru, care a evaluat mecanismul de formare a rapoartelor existente în SI „Protecţia Socială”, a modificărilor în acestea, inclusiv în legătură cu implementarea noii modalități de plată, selectată de beneficiar şi disponibilă în cadrul serviciului guvernamental de plăţi electronice (MPay) și a impactului asupra formării rapoartelor financiare în perioada de gestiune stabilită conform normelor de evidență contabilă.</w:t>
            </w:r>
          </w:p>
          <w:p w14:paraId="73750A47" w14:textId="77777777" w:rsidR="00A542D9" w:rsidRPr="00341E6C" w:rsidRDefault="00A542D9" w:rsidP="00480151">
            <w:pPr>
              <w:spacing w:after="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t>Concluziile relevante aspectelor specifice în vederea reconcilierii  datelor gestionate în SI „Protecția Socială” au fost aduse la cunoștința conducerii CNAS.</w:t>
            </w:r>
          </w:p>
          <w:p w14:paraId="6C184D43" w14:textId="7D2E610B" w:rsidR="00A542D9" w:rsidRPr="00341E6C" w:rsidRDefault="00A542D9" w:rsidP="00480151">
            <w:pPr>
              <w:spacing w:after="120" w:line="240" w:lineRule="auto"/>
              <w:jc w:val="both"/>
              <w:rPr>
                <w:rFonts w:asciiTheme="majorHAnsi" w:hAnsiTheme="majorHAnsi" w:cstheme="majorHAnsi"/>
                <w:sz w:val="18"/>
                <w:szCs w:val="18"/>
                <w:lang w:val="ro-RO"/>
              </w:rPr>
            </w:pPr>
            <w:r w:rsidRPr="00341E6C">
              <w:rPr>
                <w:rFonts w:asciiTheme="majorHAnsi" w:hAnsiTheme="majorHAnsi" w:cstheme="majorHAnsi"/>
                <w:sz w:val="18"/>
                <w:szCs w:val="18"/>
                <w:lang w:val="ro-RO"/>
              </w:rPr>
              <w:t>Totodată, vor fi modificate modulele informaționale ale  SI „Protecția Socială” pentru formarea rapoartelor modificate cu transmiterea automată a informațiilor către sistemul de management financiar (componenta FMS).  De asemenea, vor fi  elaborate mecanisme pentru controlul datelor</w:t>
            </w:r>
          </w:p>
          <w:p w14:paraId="7B58ECC3"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897" w:type="dxa"/>
            <w:tcBorders>
              <w:top w:val="nil"/>
              <w:left w:val="nil"/>
              <w:bottom w:val="single" w:sz="8" w:space="0" w:color="auto"/>
              <w:right w:val="single" w:sz="8" w:space="0" w:color="auto"/>
            </w:tcBorders>
            <w:shd w:val="clear" w:color="auto" w:fill="auto"/>
            <w:hideMark/>
          </w:tcPr>
          <w:p w14:paraId="1D7FE48F"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p>
        </w:tc>
        <w:tc>
          <w:tcPr>
            <w:tcW w:w="900" w:type="dxa"/>
            <w:tcBorders>
              <w:top w:val="nil"/>
              <w:left w:val="nil"/>
              <w:bottom w:val="single" w:sz="8" w:space="0" w:color="auto"/>
              <w:right w:val="single" w:sz="8" w:space="0" w:color="auto"/>
            </w:tcBorders>
            <w:shd w:val="clear" w:color="auto" w:fill="auto"/>
            <w:hideMark/>
          </w:tcPr>
          <w:p w14:paraId="4E701532" w14:textId="77777777" w:rsidR="00A542D9" w:rsidRPr="00341E6C" w:rsidRDefault="00A542D9" w:rsidP="00480151">
            <w:pPr>
              <w:spacing w:after="0" w:line="240" w:lineRule="auto"/>
              <w:jc w:val="center"/>
              <w:rPr>
                <w:rFonts w:asciiTheme="majorHAnsi" w:eastAsia="Times New Roman" w:hAnsiTheme="majorHAnsi" w:cstheme="majorHAnsi"/>
                <w:bCs/>
                <w:iCs/>
                <w:sz w:val="18"/>
                <w:szCs w:val="18"/>
                <w:lang w:val="ro-RO"/>
              </w:rPr>
            </w:pPr>
            <w:r w:rsidRPr="00341E6C">
              <w:rPr>
                <w:rFonts w:asciiTheme="majorHAnsi" w:eastAsia="Times New Roman" w:hAnsiTheme="majorHAnsi" w:cstheme="majorHAnsi"/>
                <w:b/>
                <w:bCs/>
                <w:iCs/>
                <w:sz w:val="18"/>
                <w:szCs w:val="18"/>
                <w:lang w:val="ro-RO"/>
              </w:rPr>
              <w:t>v</w:t>
            </w:r>
          </w:p>
        </w:tc>
        <w:tc>
          <w:tcPr>
            <w:tcW w:w="999" w:type="dxa"/>
            <w:tcBorders>
              <w:top w:val="nil"/>
              <w:left w:val="nil"/>
              <w:bottom w:val="single" w:sz="8" w:space="0" w:color="auto"/>
              <w:right w:val="single" w:sz="8" w:space="0" w:color="auto"/>
            </w:tcBorders>
          </w:tcPr>
          <w:p w14:paraId="3CE9F170" w14:textId="77777777" w:rsidR="00A542D9" w:rsidRPr="00341E6C" w:rsidRDefault="00A542D9" w:rsidP="00480151">
            <w:pPr>
              <w:spacing w:after="0" w:line="240" w:lineRule="auto"/>
              <w:rPr>
                <w:rFonts w:asciiTheme="majorHAnsi" w:eastAsia="Times New Roman" w:hAnsiTheme="majorHAnsi" w:cstheme="majorHAnsi"/>
                <w:b/>
                <w:bCs/>
                <w:i/>
                <w:iCs/>
                <w:sz w:val="18"/>
                <w:szCs w:val="18"/>
                <w:lang w:val="ro-RO"/>
              </w:rPr>
            </w:pPr>
          </w:p>
        </w:tc>
      </w:tr>
      <w:tr w:rsidR="00A542D9" w:rsidRPr="00341E6C" w14:paraId="707E7E73"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15604B4"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18</w:t>
            </w:r>
          </w:p>
        </w:tc>
        <w:tc>
          <w:tcPr>
            <w:tcW w:w="2906" w:type="dxa"/>
            <w:tcBorders>
              <w:top w:val="nil"/>
              <w:left w:val="nil"/>
              <w:bottom w:val="single" w:sz="8" w:space="0" w:color="auto"/>
              <w:right w:val="single" w:sz="8" w:space="0" w:color="auto"/>
            </w:tcBorders>
            <w:shd w:val="clear" w:color="auto" w:fill="auto"/>
            <w:hideMark/>
          </w:tcPr>
          <w:p w14:paraId="4BFF3C24"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16. să identifice, să evalueze și să includă în evidența contabilă și în rapoarte creanțele privind suportul financiar și suportul unic, precum și datoriile corespunzătoare pentru prestarea serviciilor de distribuire a prestațiilor sociale către beneficiari, reieșind din operațiunile economice care au avut loc</w:t>
            </w:r>
          </w:p>
        </w:tc>
        <w:tc>
          <w:tcPr>
            <w:tcW w:w="8640" w:type="dxa"/>
            <w:tcBorders>
              <w:top w:val="nil"/>
              <w:left w:val="nil"/>
              <w:bottom w:val="single" w:sz="8" w:space="0" w:color="auto"/>
              <w:right w:val="single" w:sz="8" w:space="0" w:color="auto"/>
            </w:tcBorders>
            <w:shd w:val="clear" w:color="auto" w:fill="auto"/>
            <w:hideMark/>
          </w:tcPr>
          <w:p w14:paraId="19B30740" w14:textId="77777777" w:rsidR="00A542D9" w:rsidRPr="00341E6C" w:rsidRDefault="00A542D9" w:rsidP="005C0729">
            <w:pPr>
              <w:pStyle w:val="Heading4"/>
              <w:numPr>
                <w:ilvl w:val="3"/>
                <w:numId w:val="23"/>
              </w:numPr>
              <w:shd w:val="clear" w:color="auto" w:fill="FFFFFF"/>
              <w:spacing w:before="0" w:line="240" w:lineRule="auto"/>
              <w:rPr>
                <w:rFonts w:asciiTheme="majorHAnsi" w:hAnsiTheme="majorHAnsi" w:cstheme="majorHAnsi"/>
                <w:b/>
                <w:noProof/>
                <w:sz w:val="18"/>
                <w:szCs w:val="18"/>
                <w:lang w:val="ro-RO"/>
              </w:rPr>
            </w:pPr>
            <w:r w:rsidRPr="00341E6C">
              <w:rPr>
                <w:rFonts w:asciiTheme="majorHAnsi" w:hAnsiTheme="majorHAnsi" w:cstheme="majorHAnsi"/>
                <w:sz w:val="18"/>
                <w:szCs w:val="18"/>
                <w:lang w:val="ro-RO"/>
              </w:rPr>
              <w:t xml:space="preserve">Scris. CNAS din 05.02.2021 nr. 360: Prin scrisoarea nr.II-03/10-7479 din 09.07.2020, CNAS s-a adresat Ministerului Finanţelor cu solicitarea de acordare a asistenţei metodologice şi consultative în domeniul ţinerii evidenţei contabile a bugetului asigurărilor sociale de stat în contextul constatărilor şi recomandărilor auditului extern al Curţii de Conturi, şi anume  </w:t>
            </w:r>
            <w:r w:rsidRPr="00341E6C">
              <w:rPr>
                <w:rFonts w:asciiTheme="majorHAnsi" w:hAnsiTheme="majorHAnsi" w:cstheme="majorHAnsi"/>
                <w:noProof/>
                <w:sz w:val="18"/>
                <w:szCs w:val="18"/>
                <w:lang w:val="ro-RO"/>
              </w:rPr>
              <w:t>includerea în evidența contabilă și în rapoarte a datoriilor corespunzătoare pentru prestarea serviciilor de distribuire a prestațiilor sociale către beneficiari, reieșind din operațiunile economice care au avut loc.</w:t>
            </w:r>
          </w:p>
          <w:p w14:paraId="0429D162" w14:textId="77777777" w:rsidR="00A542D9" w:rsidRPr="00341E6C" w:rsidRDefault="00A542D9" w:rsidP="005C0729">
            <w:pPr>
              <w:pStyle w:val="Heading4"/>
              <w:numPr>
                <w:ilvl w:val="3"/>
                <w:numId w:val="23"/>
              </w:numPr>
              <w:shd w:val="clear" w:color="auto" w:fill="FFFFFF"/>
              <w:spacing w:before="0" w:line="240" w:lineRule="auto"/>
              <w:rPr>
                <w:rFonts w:asciiTheme="majorHAnsi" w:hAnsiTheme="majorHAnsi" w:cstheme="majorHAnsi"/>
                <w:b/>
                <w:sz w:val="18"/>
                <w:szCs w:val="18"/>
                <w:lang w:val="ro-RO"/>
              </w:rPr>
            </w:pPr>
            <w:r w:rsidRPr="00341E6C">
              <w:rPr>
                <w:rFonts w:asciiTheme="majorHAnsi" w:hAnsiTheme="majorHAnsi" w:cstheme="majorHAnsi"/>
                <w:noProof/>
                <w:sz w:val="18"/>
                <w:szCs w:val="18"/>
                <w:lang w:val="ro-RO"/>
              </w:rPr>
              <w:t>În rezultatul examinării prevederilor legislative şi clauzelor contractuale, aplicabile în perioada iulie – octombrie 2019, Ministerul Finanţelor, prin scrisoarea nr.12/4-4-65 din 20.07.2020, a confirmat faptul că CNAS s-a conformat prevederilor cadrului normativ, refuzînd să accepte şi înregistreze în evidenţa contabilă a facturilor fiscale pentru achitarea serviciilor de distribuire a drepturilor sociale prin virament, acestea fiind restituite ÎS “Poşta Moldovei”.</w:t>
            </w:r>
          </w:p>
          <w:p w14:paraId="535259BE" w14:textId="77777777" w:rsidR="00A542D9" w:rsidRPr="00341E6C" w:rsidRDefault="00A542D9" w:rsidP="005C0729">
            <w:pPr>
              <w:pStyle w:val="Heading4"/>
              <w:numPr>
                <w:ilvl w:val="3"/>
                <w:numId w:val="23"/>
              </w:numPr>
              <w:shd w:val="clear" w:color="auto" w:fill="FFFFFF"/>
              <w:spacing w:before="0" w:line="240" w:lineRule="auto"/>
              <w:rPr>
                <w:rFonts w:asciiTheme="majorHAnsi" w:hAnsiTheme="majorHAnsi" w:cstheme="majorHAnsi"/>
                <w:b/>
                <w:sz w:val="18"/>
                <w:szCs w:val="18"/>
                <w:lang w:val="ro-RO"/>
              </w:rPr>
            </w:pPr>
            <w:r w:rsidRPr="00341E6C">
              <w:rPr>
                <w:rFonts w:asciiTheme="majorHAnsi" w:hAnsiTheme="majorHAnsi" w:cstheme="majorHAnsi"/>
                <w:sz w:val="18"/>
                <w:szCs w:val="18"/>
                <w:lang w:val="ro-RO"/>
              </w:rPr>
              <w:t>Suplimentar se menţionează că sumele restituite prin intermediul prestatorilor de servicii de plată sunt reflectate în rapoartele lunare privind plata prestațiilor sociale cu excepția dărilor de seamă în care sunt reflectate plățile pensiilor, alocațiilor sociale de stat, indemnizațiilor de dizabilitate, plăților capitalizate, suportului financiar de stat, suportului financiar unic și ajutorului de deces. Pentru aceste plăți sumele restituite prin intermediul prestatorilor de servicii de plată se reflectă în rapoarte separate.</w:t>
            </w:r>
          </w:p>
          <w:p w14:paraId="1949B042" w14:textId="45FB31CB" w:rsidR="00A542D9" w:rsidRPr="00341E6C" w:rsidRDefault="00A542D9" w:rsidP="005C0729">
            <w:pPr>
              <w:pStyle w:val="Heading4"/>
              <w:numPr>
                <w:ilvl w:val="3"/>
                <w:numId w:val="23"/>
              </w:numPr>
              <w:shd w:val="clear" w:color="auto" w:fill="FFFFFF"/>
              <w:spacing w:before="0" w:line="240" w:lineRule="auto"/>
              <w:rPr>
                <w:rFonts w:asciiTheme="majorHAnsi" w:hAnsiTheme="majorHAnsi" w:cstheme="majorHAnsi"/>
                <w:b/>
                <w:bCs/>
                <w:sz w:val="18"/>
                <w:szCs w:val="18"/>
                <w:lang w:val="ro-RO"/>
              </w:rPr>
            </w:pPr>
            <w:r w:rsidRPr="00341E6C">
              <w:rPr>
                <w:rFonts w:asciiTheme="majorHAnsi" w:hAnsiTheme="majorHAnsi" w:cstheme="majorHAnsi"/>
                <w:sz w:val="18"/>
                <w:szCs w:val="18"/>
                <w:lang w:val="ro-RO"/>
              </w:rPr>
              <w:t xml:space="preserve">Reflectarea într-un singur raport a sumelor restituite privind suportul financiar și suportul unic va fi posibilă doar după implementarea distribuirii prestațiilor sociale privind serviciului guvernamental de plăți electronice (MPay) </w:t>
            </w:r>
          </w:p>
        </w:tc>
        <w:tc>
          <w:tcPr>
            <w:tcW w:w="897" w:type="dxa"/>
            <w:tcBorders>
              <w:top w:val="nil"/>
              <w:left w:val="nil"/>
              <w:bottom w:val="single" w:sz="8" w:space="0" w:color="auto"/>
              <w:right w:val="single" w:sz="8" w:space="0" w:color="auto"/>
            </w:tcBorders>
            <w:shd w:val="clear" w:color="auto" w:fill="auto"/>
            <w:hideMark/>
          </w:tcPr>
          <w:p w14:paraId="3AFB8C79" w14:textId="77777777" w:rsidR="00A542D9" w:rsidRPr="00341E6C" w:rsidRDefault="00A542D9" w:rsidP="00480151">
            <w:pPr>
              <w:spacing w:after="0" w:line="240" w:lineRule="auto"/>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w:t>
            </w:r>
          </w:p>
        </w:tc>
        <w:tc>
          <w:tcPr>
            <w:tcW w:w="900" w:type="dxa"/>
            <w:tcBorders>
              <w:top w:val="nil"/>
              <w:left w:val="nil"/>
              <w:bottom w:val="single" w:sz="8" w:space="0" w:color="auto"/>
              <w:right w:val="single" w:sz="8" w:space="0" w:color="auto"/>
            </w:tcBorders>
            <w:shd w:val="clear" w:color="auto" w:fill="auto"/>
          </w:tcPr>
          <w:p w14:paraId="5F48D625"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v</w:t>
            </w:r>
          </w:p>
        </w:tc>
        <w:tc>
          <w:tcPr>
            <w:tcW w:w="999" w:type="dxa"/>
            <w:tcBorders>
              <w:top w:val="nil"/>
              <w:left w:val="nil"/>
              <w:bottom w:val="single" w:sz="8" w:space="0" w:color="auto"/>
              <w:right w:val="single" w:sz="8" w:space="0" w:color="auto"/>
            </w:tcBorders>
          </w:tcPr>
          <w:p w14:paraId="084C41A1" w14:textId="77777777" w:rsidR="00A542D9" w:rsidRPr="00341E6C" w:rsidRDefault="00A542D9" w:rsidP="00480151">
            <w:pPr>
              <w:spacing w:after="0" w:line="240" w:lineRule="auto"/>
              <w:rPr>
                <w:rFonts w:asciiTheme="majorHAnsi" w:eastAsia="Times New Roman" w:hAnsiTheme="majorHAnsi" w:cstheme="majorHAnsi"/>
                <w:b/>
                <w:bCs/>
                <w:i/>
                <w:sz w:val="18"/>
                <w:szCs w:val="18"/>
                <w:lang w:val="ro-RO"/>
              </w:rPr>
            </w:pPr>
          </w:p>
        </w:tc>
      </w:tr>
      <w:tr w:rsidR="00A542D9" w:rsidRPr="00341E6C" w14:paraId="7B7DC6A3"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FC5EE20"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19</w:t>
            </w:r>
          </w:p>
        </w:tc>
        <w:tc>
          <w:tcPr>
            <w:tcW w:w="2906" w:type="dxa"/>
            <w:tcBorders>
              <w:top w:val="nil"/>
              <w:left w:val="nil"/>
              <w:bottom w:val="single" w:sz="8" w:space="0" w:color="auto"/>
              <w:right w:val="single" w:sz="8" w:space="0" w:color="auto"/>
            </w:tcBorders>
            <w:shd w:val="clear" w:color="auto" w:fill="auto"/>
            <w:hideMark/>
          </w:tcPr>
          <w:p w14:paraId="274D0E47"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17. să intensifice efectuarea controlului asupra autenticității actelor ce confirmă vechimea în serviciu şi solda (câştigul), eliberate de organele abilitate, în baza prevederilor art.49 alin.(3) din Legea nr.1544-XII din 23.06.1993 privind asigurarea cu pensii a militarilor și a persoanelor din corpul de comandă și din trupele organelor afacerilor interne şi din cadrul Inspectoratului General de Carabinieri </w:t>
            </w:r>
          </w:p>
        </w:tc>
        <w:tc>
          <w:tcPr>
            <w:tcW w:w="8640" w:type="dxa"/>
            <w:tcBorders>
              <w:top w:val="nil"/>
              <w:left w:val="nil"/>
              <w:bottom w:val="single" w:sz="8" w:space="0" w:color="auto"/>
              <w:right w:val="single" w:sz="8" w:space="0" w:color="auto"/>
            </w:tcBorders>
            <w:shd w:val="clear" w:color="auto" w:fill="auto"/>
            <w:hideMark/>
          </w:tcPr>
          <w:p w14:paraId="52298CAA" w14:textId="3776C699"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b/>
                <w:sz w:val="18"/>
                <w:szCs w:val="18"/>
                <w:lang w:val="ro-RO"/>
              </w:rPr>
              <w:t>Scris. CNAS din 05.02.2021 nr. 360:</w:t>
            </w:r>
            <w:r w:rsidRPr="00341E6C">
              <w:rPr>
                <w:rFonts w:asciiTheme="majorHAnsi" w:hAnsiTheme="majorHAnsi" w:cstheme="majorHAnsi"/>
                <w:noProof/>
                <w:sz w:val="18"/>
                <w:szCs w:val="18"/>
                <w:lang w:val="ro-RO"/>
              </w:rPr>
              <w:t xml:space="preserve"> </w:t>
            </w:r>
            <w:r w:rsidRPr="00341E6C">
              <w:rPr>
                <w:rFonts w:asciiTheme="majorHAnsi" w:hAnsiTheme="majorHAnsi" w:cstheme="majorHAnsi"/>
                <w:sz w:val="18"/>
                <w:szCs w:val="18"/>
                <w:lang w:val="ro-RO"/>
              </w:rPr>
              <w:t>Prin ordinul intern nr.253-A din 23.11.2020 a fost aprobată Procedura cu privire la modul de efectuare a controlului asupra autenticității actelor ce confirmă vechimea în serviciu şi solda (câștigul) eliberate de organele abilitate, în baza prevederilor art. 49 alin. (3) din Legea nr. 1544/1993</w:t>
            </w:r>
          </w:p>
        </w:tc>
        <w:tc>
          <w:tcPr>
            <w:tcW w:w="897" w:type="dxa"/>
            <w:tcBorders>
              <w:top w:val="nil"/>
              <w:left w:val="nil"/>
              <w:bottom w:val="single" w:sz="8" w:space="0" w:color="auto"/>
              <w:right w:val="single" w:sz="8" w:space="0" w:color="auto"/>
            </w:tcBorders>
            <w:shd w:val="clear" w:color="auto" w:fill="auto"/>
          </w:tcPr>
          <w:p w14:paraId="1F062B8E" w14:textId="77777777" w:rsidR="00A542D9" w:rsidRPr="00341E6C" w:rsidRDefault="00A542D9" w:rsidP="00480151">
            <w:pPr>
              <w:spacing w:after="0" w:line="240" w:lineRule="auto"/>
              <w:jc w:val="center"/>
              <w:rPr>
                <w:rFonts w:asciiTheme="majorHAnsi" w:eastAsia="Times New Roman" w:hAnsiTheme="majorHAnsi" w:cstheme="majorHAnsi"/>
                <w:b/>
                <w:sz w:val="18"/>
                <w:szCs w:val="18"/>
                <w:lang w:val="ro-RO"/>
              </w:rPr>
            </w:pPr>
            <w:r w:rsidRPr="00341E6C">
              <w:rPr>
                <w:rFonts w:asciiTheme="majorHAnsi" w:eastAsia="Times New Roman" w:hAnsiTheme="majorHAnsi" w:cstheme="majorHAnsi"/>
                <w:b/>
                <w:sz w:val="18"/>
                <w:szCs w:val="18"/>
                <w:lang w:val="ro-RO"/>
              </w:rPr>
              <w:t>v</w:t>
            </w:r>
          </w:p>
        </w:tc>
        <w:tc>
          <w:tcPr>
            <w:tcW w:w="900" w:type="dxa"/>
            <w:tcBorders>
              <w:top w:val="nil"/>
              <w:left w:val="nil"/>
              <w:bottom w:val="single" w:sz="8" w:space="0" w:color="auto"/>
              <w:right w:val="single" w:sz="8" w:space="0" w:color="auto"/>
            </w:tcBorders>
            <w:shd w:val="clear" w:color="auto" w:fill="auto"/>
          </w:tcPr>
          <w:p w14:paraId="4AC1993D" w14:textId="77777777" w:rsidR="00A542D9" w:rsidRPr="00341E6C" w:rsidRDefault="00A542D9" w:rsidP="00480151">
            <w:pPr>
              <w:spacing w:after="0" w:line="240" w:lineRule="auto"/>
              <w:rPr>
                <w:rFonts w:asciiTheme="majorHAnsi" w:eastAsia="Times New Roman" w:hAnsiTheme="majorHAnsi" w:cstheme="majorHAnsi"/>
                <w:bCs/>
                <w:sz w:val="18"/>
                <w:szCs w:val="18"/>
                <w:lang w:val="ro-RO"/>
              </w:rPr>
            </w:pPr>
          </w:p>
        </w:tc>
        <w:tc>
          <w:tcPr>
            <w:tcW w:w="999" w:type="dxa"/>
            <w:tcBorders>
              <w:top w:val="nil"/>
              <w:left w:val="nil"/>
              <w:bottom w:val="single" w:sz="8" w:space="0" w:color="auto"/>
              <w:right w:val="single" w:sz="8" w:space="0" w:color="auto"/>
            </w:tcBorders>
          </w:tcPr>
          <w:p w14:paraId="00208AE9" w14:textId="77777777" w:rsidR="00A542D9" w:rsidRPr="00341E6C" w:rsidRDefault="00A542D9" w:rsidP="00480151">
            <w:pPr>
              <w:spacing w:after="0" w:line="240" w:lineRule="auto"/>
              <w:rPr>
                <w:rFonts w:asciiTheme="majorHAnsi" w:eastAsia="Times New Roman" w:hAnsiTheme="majorHAnsi" w:cstheme="majorHAnsi"/>
                <w:b/>
                <w:bCs/>
                <w:i/>
                <w:sz w:val="18"/>
                <w:szCs w:val="18"/>
                <w:lang w:val="ro-RO"/>
              </w:rPr>
            </w:pPr>
          </w:p>
        </w:tc>
      </w:tr>
      <w:tr w:rsidR="00A542D9" w:rsidRPr="00341E6C" w14:paraId="53850658"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233A4BB0" w14:textId="77777777" w:rsidR="00A542D9" w:rsidRPr="00341E6C" w:rsidRDefault="00A542D9" w:rsidP="00480151">
            <w:pPr>
              <w:spacing w:after="0" w:line="240" w:lineRule="auto"/>
              <w:jc w:val="center"/>
              <w:rPr>
                <w:rFonts w:asciiTheme="majorHAnsi" w:eastAsia="Times New Roman" w:hAnsiTheme="majorHAnsi" w:cstheme="majorHAnsi"/>
                <w:b/>
                <w:bCs/>
                <w:sz w:val="18"/>
                <w:szCs w:val="18"/>
                <w:lang w:val="ro-RO"/>
              </w:rPr>
            </w:pPr>
            <w:r w:rsidRPr="00341E6C">
              <w:rPr>
                <w:rFonts w:asciiTheme="majorHAnsi" w:eastAsia="Times New Roman" w:hAnsiTheme="majorHAnsi" w:cstheme="majorHAnsi"/>
                <w:b/>
                <w:bCs/>
                <w:sz w:val="18"/>
                <w:szCs w:val="18"/>
                <w:lang w:val="ro-RO"/>
              </w:rPr>
              <w:t>20</w:t>
            </w:r>
          </w:p>
        </w:tc>
        <w:tc>
          <w:tcPr>
            <w:tcW w:w="2906" w:type="dxa"/>
            <w:tcBorders>
              <w:top w:val="nil"/>
              <w:left w:val="nil"/>
              <w:bottom w:val="single" w:sz="8" w:space="0" w:color="auto"/>
              <w:right w:val="single" w:sz="8" w:space="0" w:color="auto"/>
            </w:tcBorders>
            <w:shd w:val="clear" w:color="auto" w:fill="auto"/>
            <w:hideMark/>
          </w:tcPr>
          <w:p w14:paraId="0E76532A" w14:textId="77777777" w:rsidR="00A542D9" w:rsidRPr="00341E6C" w:rsidRDefault="00A542D9" w:rsidP="005A4F77">
            <w:pPr>
              <w:spacing w:after="0" w:line="240" w:lineRule="auto"/>
              <w:jc w:val="both"/>
              <w:rPr>
                <w:rFonts w:asciiTheme="majorHAnsi" w:eastAsia="Times New Roman" w:hAnsiTheme="majorHAnsi" w:cstheme="majorHAnsi"/>
                <w:sz w:val="18"/>
                <w:szCs w:val="18"/>
                <w:lang w:val="ro-RO"/>
              </w:rPr>
            </w:pPr>
            <w:r w:rsidRPr="00341E6C">
              <w:rPr>
                <w:rFonts w:asciiTheme="majorHAnsi" w:eastAsia="Times New Roman" w:hAnsiTheme="majorHAnsi" w:cstheme="majorHAnsi"/>
                <w:sz w:val="18"/>
                <w:szCs w:val="18"/>
                <w:lang w:val="ro-RO"/>
              </w:rPr>
              <w:t xml:space="preserve">18. să monitorizeze procesul de stabilire în termen a indemnizației de incapacitate temporară de muncă </w:t>
            </w:r>
          </w:p>
        </w:tc>
        <w:tc>
          <w:tcPr>
            <w:tcW w:w="8640" w:type="dxa"/>
            <w:tcBorders>
              <w:top w:val="nil"/>
              <w:left w:val="nil"/>
              <w:bottom w:val="single" w:sz="8" w:space="0" w:color="auto"/>
              <w:right w:val="single" w:sz="8" w:space="0" w:color="auto"/>
            </w:tcBorders>
            <w:shd w:val="clear" w:color="auto" w:fill="auto"/>
            <w:hideMark/>
          </w:tcPr>
          <w:p w14:paraId="6C613CE2" w14:textId="77777777" w:rsidR="00A542D9" w:rsidRPr="00341E6C" w:rsidRDefault="00A542D9" w:rsidP="00480151">
            <w:pPr>
              <w:tabs>
                <w:tab w:val="left" w:pos="720"/>
                <w:tab w:val="left" w:pos="993"/>
              </w:tabs>
              <w:spacing w:after="0" w:line="240" w:lineRule="auto"/>
              <w:jc w:val="both"/>
              <w:rPr>
                <w:rFonts w:asciiTheme="majorHAnsi" w:hAnsiTheme="majorHAnsi" w:cstheme="majorHAnsi"/>
                <w:noProof/>
                <w:sz w:val="18"/>
                <w:szCs w:val="18"/>
                <w:lang w:val="ro-RO"/>
              </w:rPr>
            </w:pPr>
            <w:r w:rsidRPr="00341E6C">
              <w:rPr>
                <w:rFonts w:asciiTheme="majorHAnsi" w:eastAsia="Times New Roman" w:hAnsiTheme="majorHAnsi" w:cstheme="majorHAnsi"/>
                <w:b/>
                <w:sz w:val="18"/>
                <w:szCs w:val="18"/>
                <w:lang w:val="ro-RO"/>
              </w:rPr>
              <w:t>Scris. CNAS din 05.02.2021 nr. 360:</w:t>
            </w:r>
            <w:r w:rsidRPr="00341E6C">
              <w:rPr>
                <w:rFonts w:asciiTheme="majorHAnsi" w:hAnsiTheme="majorHAnsi" w:cstheme="majorHAnsi"/>
                <w:noProof/>
                <w:sz w:val="18"/>
                <w:szCs w:val="18"/>
                <w:lang w:val="ro-RO"/>
              </w:rPr>
              <w:t xml:space="preserve"> Au fost expediate 2 scrisori în adresa CTAS referitor la respectarea şi monitorizarea termenului de examinare a datelor din certificatele de concediu medical. </w:t>
            </w:r>
          </w:p>
          <w:p w14:paraId="6969A701" w14:textId="7516BEB6" w:rsidR="00A542D9" w:rsidRPr="00341E6C" w:rsidRDefault="00A542D9" w:rsidP="00480151">
            <w:pPr>
              <w:spacing w:after="0" w:line="240" w:lineRule="auto"/>
              <w:jc w:val="both"/>
              <w:rPr>
                <w:rFonts w:asciiTheme="majorHAnsi" w:eastAsia="Times New Roman" w:hAnsiTheme="majorHAnsi" w:cstheme="majorHAnsi"/>
                <w:sz w:val="18"/>
                <w:szCs w:val="18"/>
                <w:lang w:val="ro-RO"/>
              </w:rPr>
            </w:pPr>
            <w:r w:rsidRPr="00341E6C">
              <w:rPr>
                <w:rFonts w:asciiTheme="majorHAnsi" w:hAnsiTheme="majorHAnsi" w:cstheme="majorHAnsi"/>
                <w:noProof/>
                <w:sz w:val="18"/>
                <w:szCs w:val="18"/>
                <w:lang w:val="ro-RO"/>
              </w:rPr>
              <w:t>În adresa CTAS periodic a fost transmisă lista deciziilor de stabilire a indemnizaţiilor pentru incapacitate temporară de muncă pentru examinare şi aprobare, întru neadmiterea depăşirii termenului de stabilire a indemnizaţiilor prevăzut de legislaţie</w:t>
            </w:r>
          </w:p>
        </w:tc>
        <w:tc>
          <w:tcPr>
            <w:tcW w:w="897" w:type="dxa"/>
            <w:tcBorders>
              <w:top w:val="nil"/>
              <w:left w:val="nil"/>
              <w:bottom w:val="single" w:sz="8" w:space="0" w:color="auto"/>
              <w:right w:val="single" w:sz="8" w:space="0" w:color="auto"/>
            </w:tcBorders>
            <w:shd w:val="clear" w:color="auto" w:fill="auto"/>
          </w:tcPr>
          <w:p w14:paraId="1538C9C7" w14:textId="77777777" w:rsidR="00A542D9" w:rsidRPr="00341E6C" w:rsidRDefault="00A542D9" w:rsidP="00480151">
            <w:pPr>
              <w:spacing w:after="0" w:line="240" w:lineRule="auto"/>
              <w:jc w:val="center"/>
              <w:rPr>
                <w:rFonts w:asciiTheme="majorHAnsi" w:hAnsiTheme="majorHAnsi" w:cstheme="majorHAnsi"/>
                <w:b/>
                <w:noProof/>
                <w:sz w:val="18"/>
                <w:szCs w:val="18"/>
                <w:lang w:val="ro-RO"/>
              </w:rPr>
            </w:pPr>
            <w:r w:rsidRPr="00341E6C">
              <w:rPr>
                <w:rFonts w:asciiTheme="majorHAnsi" w:hAnsiTheme="majorHAnsi" w:cstheme="majorHAnsi"/>
                <w:b/>
                <w:noProof/>
                <w:sz w:val="18"/>
                <w:szCs w:val="18"/>
                <w:lang w:val="ro-RO"/>
              </w:rPr>
              <w:t>v</w:t>
            </w:r>
          </w:p>
        </w:tc>
        <w:tc>
          <w:tcPr>
            <w:tcW w:w="900" w:type="dxa"/>
            <w:tcBorders>
              <w:top w:val="nil"/>
              <w:left w:val="nil"/>
              <w:bottom w:val="single" w:sz="8" w:space="0" w:color="auto"/>
              <w:right w:val="single" w:sz="8" w:space="0" w:color="auto"/>
            </w:tcBorders>
            <w:shd w:val="clear" w:color="auto" w:fill="auto"/>
          </w:tcPr>
          <w:p w14:paraId="3EA186CC" w14:textId="77777777" w:rsidR="00A542D9" w:rsidRPr="00341E6C" w:rsidRDefault="00A542D9" w:rsidP="00480151">
            <w:pPr>
              <w:spacing w:after="0" w:line="240" w:lineRule="auto"/>
              <w:rPr>
                <w:rFonts w:asciiTheme="majorHAnsi" w:eastAsia="Times New Roman" w:hAnsiTheme="majorHAnsi" w:cstheme="majorHAnsi"/>
                <w:bCs/>
                <w:sz w:val="18"/>
                <w:szCs w:val="18"/>
                <w:lang w:val="ro-RO"/>
              </w:rPr>
            </w:pPr>
          </w:p>
        </w:tc>
        <w:tc>
          <w:tcPr>
            <w:tcW w:w="999" w:type="dxa"/>
            <w:tcBorders>
              <w:top w:val="nil"/>
              <w:left w:val="nil"/>
              <w:bottom w:val="single" w:sz="8" w:space="0" w:color="auto"/>
              <w:right w:val="single" w:sz="8" w:space="0" w:color="auto"/>
            </w:tcBorders>
          </w:tcPr>
          <w:p w14:paraId="55BD2017" w14:textId="77777777" w:rsidR="00A542D9" w:rsidRPr="00341E6C" w:rsidRDefault="00A542D9" w:rsidP="00480151">
            <w:pPr>
              <w:spacing w:after="0" w:line="240" w:lineRule="auto"/>
              <w:rPr>
                <w:rFonts w:asciiTheme="majorHAnsi" w:eastAsia="Times New Roman" w:hAnsiTheme="majorHAnsi" w:cstheme="majorHAnsi"/>
                <w:b/>
                <w:bCs/>
                <w:i/>
                <w:sz w:val="18"/>
                <w:szCs w:val="18"/>
                <w:lang w:val="ro-RO"/>
              </w:rPr>
            </w:pPr>
          </w:p>
        </w:tc>
      </w:tr>
    </w:tbl>
    <w:p w14:paraId="65809C4D" w14:textId="014E8EEE" w:rsidR="00670771" w:rsidRPr="005A4F77" w:rsidRDefault="00E54A29" w:rsidP="0084095F">
      <w:pPr>
        <w:tabs>
          <w:tab w:val="left" w:pos="1080"/>
        </w:tabs>
        <w:spacing w:after="0" w:line="276" w:lineRule="auto"/>
        <w:contextualSpacing/>
        <w:rPr>
          <w:rFonts w:asciiTheme="majorHAnsi" w:hAnsiTheme="majorHAnsi" w:cstheme="majorHAnsi"/>
          <w:sz w:val="20"/>
          <w:szCs w:val="20"/>
          <w:lang w:val="ro-RO"/>
        </w:rPr>
        <w:sectPr w:rsidR="00670771" w:rsidRPr="005A4F77" w:rsidSect="00EA1A9B">
          <w:pgSz w:w="16834" w:h="11909" w:orient="landscape" w:code="9"/>
          <w:pgMar w:top="990" w:right="850" w:bottom="850" w:left="850" w:header="706" w:footer="706" w:gutter="0"/>
          <w:cols w:space="708"/>
          <w:titlePg/>
          <w:docGrid w:linePitch="360"/>
        </w:sectPr>
      </w:pPr>
      <w:r w:rsidRPr="005A4F77">
        <w:rPr>
          <w:rFonts w:asciiTheme="majorHAnsi" w:hAnsiTheme="majorHAnsi" w:cstheme="majorHAnsi"/>
          <w:sz w:val="20"/>
          <w:szCs w:val="20"/>
          <w:lang w:val="ro-RO"/>
        </w:rPr>
        <w:t xml:space="preserve">Sursa: Scrisorile </w:t>
      </w:r>
      <w:r w:rsidR="0084095F" w:rsidRPr="005A4F77">
        <w:rPr>
          <w:rFonts w:asciiTheme="majorHAnsi" w:hAnsiTheme="majorHAnsi" w:cstheme="majorHAnsi"/>
          <w:sz w:val="20"/>
          <w:szCs w:val="20"/>
          <w:lang w:val="ro-RO"/>
        </w:rPr>
        <w:t xml:space="preserve"> entităților cu privire la informarea implementării recomandărilor HCC nr.</w:t>
      </w:r>
      <w:r w:rsidR="00A60F7F" w:rsidRPr="005A4F77">
        <w:rPr>
          <w:rFonts w:asciiTheme="majorHAnsi" w:hAnsiTheme="majorHAnsi" w:cstheme="majorHAnsi"/>
          <w:sz w:val="20"/>
          <w:szCs w:val="20"/>
          <w:lang w:val="ro-RO"/>
        </w:rPr>
        <w:t>29 din 15 iuli</w:t>
      </w:r>
      <w:r w:rsidR="008E6E17" w:rsidRPr="005A4F77">
        <w:rPr>
          <w:rFonts w:asciiTheme="majorHAnsi" w:hAnsiTheme="majorHAnsi" w:cstheme="majorHAnsi"/>
          <w:sz w:val="20"/>
          <w:szCs w:val="20"/>
          <w:lang w:val="ro-RO"/>
        </w:rPr>
        <w:t>e 2</w:t>
      </w:r>
      <w:r w:rsidR="00AC6742">
        <w:rPr>
          <w:rFonts w:asciiTheme="majorHAnsi" w:hAnsiTheme="majorHAnsi" w:cstheme="majorHAnsi"/>
          <w:sz w:val="20"/>
          <w:szCs w:val="20"/>
          <w:lang w:val="ro-RO"/>
        </w:rPr>
        <w:t>020.</w:t>
      </w:r>
    </w:p>
    <w:p w14:paraId="43E1531F" w14:textId="48018AFB" w:rsidR="00E17901" w:rsidRPr="00341E6C" w:rsidRDefault="00E17901" w:rsidP="00930B4E">
      <w:pPr>
        <w:tabs>
          <w:tab w:val="left" w:pos="1080"/>
        </w:tabs>
        <w:spacing w:after="0" w:line="276" w:lineRule="auto"/>
        <w:contextualSpacing/>
        <w:jc w:val="both"/>
        <w:rPr>
          <w:rFonts w:asciiTheme="majorHAnsi" w:hAnsiTheme="majorHAnsi" w:cstheme="majorHAnsi"/>
          <w:sz w:val="24"/>
          <w:szCs w:val="24"/>
          <w:lang w:val="ro-RO"/>
        </w:rPr>
      </w:pPr>
    </w:p>
    <w:sectPr w:rsidR="00E17901" w:rsidRPr="00341E6C" w:rsidSect="00350075">
      <w:pgSz w:w="11909" w:h="16834"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3BCF0" w14:textId="77777777" w:rsidR="00F35F0F" w:rsidRDefault="00F35F0F" w:rsidP="009C13F5">
      <w:pPr>
        <w:spacing w:after="0" w:line="240" w:lineRule="auto"/>
      </w:pPr>
      <w:r>
        <w:separator/>
      </w:r>
    </w:p>
  </w:endnote>
  <w:endnote w:type="continuationSeparator" w:id="0">
    <w:p w14:paraId="368FF10B" w14:textId="77777777" w:rsidR="00F35F0F" w:rsidRDefault="00F35F0F" w:rsidP="009C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323204"/>
      <w:docPartObj>
        <w:docPartGallery w:val="Page Numbers (Bottom of Page)"/>
        <w:docPartUnique/>
      </w:docPartObj>
    </w:sdtPr>
    <w:sdtEndPr>
      <w:rPr>
        <w:noProof/>
      </w:rPr>
    </w:sdtEndPr>
    <w:sdtContent>
      <w:p w14:paraId="2A08CF4B" w14:textId="74533B5F" w:rsidR="004059A3" w:rsidRDefault="004059A3">
        <w:pPr>
          <w:pStyle w:val="Footer"/>
          <w:jc w:val="right"/>
        </w:pPr>
        <w:r w:rsidRPr="007468D7">
          <w:rPr>
            <w:rFonts w:asciiTheme="majorHAnsi" w:hAnsiTheme="majorHAnsi"/>
            <w:sz w:val="24"/>
            <w:szCs w:val="24"/>
          </w:rPr>
          <w:fldChar w:fldCharType="begin"/>
        </w:r>
        <w:r w:rsidRPr="007468D7">
          <w:rPr>
            <w:rFonts w:asciiTheme="majorHAnsi" w:hAnsiTheme="majorHAnsi"/>
            <w:sz w:val="24"/>
            <w:szCs w:val="24"/>
          </w:rPr>
          <w:instrText xml:space="preserve"> PAGE   \* MERGEFORMAT </w:instrText>
        </w:r>
        <w:r w:rsidRPr="007468D7">
          <w:rPr>
            <w:rFonts w:asciiTheme="majorHAnsi" w:hAnsiTheme="majorHAnsi"/>
            <w:sz w:val="24"/>
            <w:szCs w:val="24"/>
          </w:rPr>
          <w:fldChar w:fldCharType="separate"/>
        </w:r>
        <w:r w:rsidR="00EF188F">
          <w:rPr>
            <w:rFonts w:asciiTheme="majorHAnsi" w:hAnsiTheme="majorHAnsi"/>
            <w:noProof/>
            <w:sz w:val="24"/>
            <w:szCs w:val="24"/>
          </w:rPr>
          <w:t>5</w:t>
        </w:r>
        <w:r w:rsidRPr="007468D7">
          <w:rPr>
            <w:rFonts w:asciiTheme="majorHAnsi" w:hAnsiTheme="majorHAnsi"/>
            <w:noProof/>
            <w:sz w:val="24"/>
            <w:szCs w:val="24"/>
          </w:rPr>
          <w:fldChar w:fldCharType="end"/>
        </w:r>
      </w:p>
    </w:sdtContent>
  </w:sdt>
  <w:p w14:paraId="00F3EC58" w14:textId="77777777" w:rsidR="004059A3" w:rsidRDefault="00405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39B76" w14:textId="77777777" w:rsidR="00F35F0F" w:rsidRDefault="00F35F0F" w:rsidP="009C13F5">
      <w:pPr>
        <w:spacing w:after="0" w:line="240" w:lineRule="auto"/>
      </w:pPr>
      <w:r>
        <w:separator/>
      </w:r>
    </w:p>
  </w:footnote>
  <w:footnote w:type="continuationSeparator" w:id="0">
    <w:p w14:paraId="56D51F0C" w14:textId="77777777" w:rsidR="00F35F0F" w:rsidRDefault="00F35F0F" w:rsidP="009C13F5">
      <w:pPr>
        <w:spacing w:after="0" w:line="240" w:lineRule="auto"/>
      </w:pPr>
      <w:r>
        <w:continuationSeparator/>
      </w:r>
    </w:p>
  </w:footnote>
  <w:footnote w:id="1">
    <w:p w14:paraId="548A7C9E" w14:textId="77777777" w:rsidR="004059A3" w:rsidRPr="00E01748" w:rsidRDefault="004059A3" w:rsidP="009F6299">
      <w:pPr>
        <w:pStyle w:val="NoSpacing"/>
        <w:jc w:val="both"/>
        <w:rPr>
          <w:rFonts w:asciiTheme="majorHAnsi" w:hAnsiTheme="majorHAnsi" w:cstheme="majorHAnsi"/>
          <w:noProof/>
          <w:sz w:val="16"/>
          <w:szCs w:val="16"/>
          <w:highlight w:val="yellow"/>
          <w:lang w:val="ro-RO"/>
        </w:rPr>
      </w:pPr>
      <w:r w:rsidRPr="00E01748">
        <w:rPr>
          <w:rStyle w:val="FootnoteReference"/>
          <w:rFonts w:asciiTheme="majorHAnsi" w:hAnsiTheme="majorHAnsi" w:cstheme="majorHAnsi"/>
          <w:sz w:val="16"/>
          <w:szCs w:val="16"/>
          <w:lang w:val="ro-RO"/>
        </w:rPr>
        <w:footnoteRef/>
      </w:r>
      <w:r w:rsidRPr="00E01748">
        <w:rPr>
          <w:rFonts w:asciiTheme="majorHAnsi" w:hAnsiTheme="majorHAnsi" w:cstheme="majorHAnsi"/>
          <w:sz w:val="16"/>
          <w:szCs w:val="16"/>
          <w:lang w:val="ro-RO"/>
        </w:rPr>
        <w:t xml:space="preserve"> </w:t>
      </w:r>
      <w:r w:rsidRPr="00E01748">
        <w:rPr>
          <w:rFonts w:asciiTheme="majorHAnsi" w:hAnsiTheme="majorHAnsi" w:cstheme="majorHAnsi"/>
          <w:noProof/>
          <w:sz w:val="16"/>
          <w:szCs w:val="16"/>
          <w:lang w:val="ro-RO"/>
        </w:rPr>
        <w:t xml:space="preserve">Raportul privind executarea indicatorilor generali ai bugetului asigurărilor sociale de stat – Formularul nr.1 CNAS (conform Anexei nr.1 la Legea bugetului asigurărilor sociale de stat); Raportul privind executarea subprogramelor de cheltuieli ale bugetului asigurărilor sociale de stat – Formularul nr.2 CNAS (conform Anexei nr.2 la Legea bugetului asigurărilor sociale de stat); Raportul privind executarea bugetului asigurărilor sociale de stat – Formularul nr.4 CNAS; Raportul privind executarea bugetului asigurărilor sociale de stat la partea de cheltuieli şi active nefinanciare – Formularul nr.4.1 CNAS; Raportul privind executarea bugetului asigurărilor sociale de stat (descrierea narativă). </w:t>
      </w:r>
    </w:p>
  </w:footnote>
  <w:footnote w:id="2">
    <w:p w14:paraId="5FDBA79E" w14:textId="2BF0E460" w:rsidR="004059A3" w:rsidRPr="00E01748" w:rsidRDefault="004059A3" w:rsidP="009F6299">
      <w:pPr>
        <w:pStyle w:val="FootnoteText"/>
        <w:jc w:val="both"/>
        <w:rPr>
          <w:rFonts w:asciiTheme="majorHAnsi" w:hAnsiTheme="majorHAnsi" w:cstheme="majorHAnsi"/>
          <w:sz w:val="16"/>
          <w:szCs w:val="16"/>
          <w:lang w:val="ro-RO"/>
        </w:rPr>
      </w:pPr>
      <w:r w:rsidRPr="00E01748">
        <w:rPr>
          <w:rStyle w:val="FootnoteReference"/>
          <w:rFonts w:asciiTheme="majorHAnsi" w:hAnsiTheme="majorHAnsi" w:cstheme="majorHAnsi"/>
          <w:sz w:val="16"/>
          <w:szCs w:val="16"/>
          <w:lang w:val="ro-RO"/>
        </w:rPr>
        <w:footnoteRef/>
      </w:r>
      <w:r w:rsidRPr="00E01748">
        <w:rPr>
          <w:rFonts w:asciiTheme="majorHAnsi" w:hAnsiTheme="majorHAnsi" w:cstheme="majorHAnsi"/>
          <w:sz w:val="16"/>
          <w:szCs w:val="16"/>
          <w:lang w:val="ro-RO"/>
        </w:rPr>
        <w:t xml:space="preserve"> </w:t>
      </w:r>
      <w:r w:rsidRPr="00E01748">
        <w:rPr>
          <w:rFonts w:asciiTheme="majorHAnsi" w:hAnsiTheme="majorHAnsi" w:cstheme="majorHAnsi"/>
          <w:noProof/>
          <w:sz w:val="16"/>
          <w:szCs w:val="16"/>
          <w:lang w:val="ro-RO"/>
        </w:rPr>
        <w:t xml:space="preserve">Ordinul ministrului </w:t>
      </w:r>
      <w:r>
        <w:rPr>
          <w:rFonts w:asciiTheme="majorHAnsi" w:hAnsiTheme="majorHAnsi" w:cstheme="majorHAnsi"/>
          <w:noProof/>
          <w:sz w:val="16"/>
          <w:szCs w:val="16"/>
          <w:lang w:val="ro-RO"/>
        </w:rPr>
        <w:t>F</w:t>
      </w:r>
      <w:r w:rsidRPr="00E01748">
        <w:rPr>
          <w:rFonts w:asciiTheme="majorHAnsi" w:hAnsiTheme="majorHAnsi" w:cstheme="majorHAnsi"/>
          <w:noProof/>
          <w:sz w:val="16"/>
          <w:szCs w:val="16"/>
          <w:lang w:val="ro-RO"/>
        </w:rPr>
        <w:t xml:space="preserve">inanțelor nr.38 din 17.02.2017 „Cu privire la aprobarea formularelor Rapoartelor privind executarea bugetului asigurărilor sociale de stat şi Normelor metodologice privind modul de întocmire a acestora” (cu modificările și completările ulterioare), (în continuare – Ordinul ministrului </w:t>
      </w:r>
      <w:r>
        <w:rPr>
          <w:rFonts w:asciiTheme="majorHAnsi" w:hAnsiTheme="majorHAnsi" w:cstheme="majorHAnsi"/>
          <w:noProof/>
          <w:sz w:val="16"/>
          <w:szCs w:val="16"/>
          <w:lang w:val="ro-RO"/>
        </w:rPr>
        <w:t>F</w:t>
      </w:r>
      <w:r w:rsidRPr="00E01748">
        <w:rPr>
          <w:rFonts w:asciiTheme="majorHAnsi" w:hAnsiTheme="majorHAnsi" w:cstheme="majorHAnsi"/>
          <w:noProof/>
          <w:sz w:val="16"/>
          <w:szCs w:val="16"/>
          <w:lang w:val="ro-RO"/>
        </w:rPr>
        <w:t>inanțelor nr.38 din 17.02.2017).</w:t>
      </w:r>
    </w:p>
  </w:footnote>
  <w:footnote w:id="3">
    <w:p w14:paraId="073B32F1" w14:textId="5375FC7C" w:rsidR="004059A3" w:rsidRPr="00B10243" w:rsidRDefault="004059A3" w:rsidP="00B10243">
      <w:pPr>
        <w:pStyle w:val="FootnoteText"/>
        <w:jc w:val="both"/>
        <w:rPr>
          <w:rFonts w:asciiTheme="majorHAnsi" w:hAnsiTheme="majorHAnsi" w:cstheme="majorHAnsi"/>
          <w:sz w:val="16"/>
          <w:szCs w:val="16"/>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E01748">
        <w:rPr>
          <w:rFonts w:asciiTheme="majorHAnsi" w:hAnsiTheme="majorHAnsi" w:cstheme="majorHAnsi"/>
          <w:sz w:val="16"/>
          <w:szCs w:val="16"/>
          <w:lang w:val="ro-RO"/>
        </w:rPr>
        <w:t>Pct.6.6</w:t>
      </w:r>
      <w:r w:rsidRPr="00E01748">
        <w:rPr>
          <w:rFonts w:asciiTheme="majorHAnsi" w:hAnsiTheme="majorHAnsi" w:cstheme="majorHAnsi"/>
          <w:sz w:val="16"/>
          <w:szCs w:val="16"/>
        </w:rPr>
        <w:t xml:space="preserve"> din </w:t>
      </w:r>
      <w:r w:rsidRPr="00E01748">
        <w:rPr>
          <w:rFonts w:asciiTheme="majorHAnsi" w:hAnsiTheme="majorHAnsi" w:cstheme="majorHAnsi"/>
          <w:sz w:val="16"/>
          <w:szCs w:val="16"/>
          <w:lang w:val="ro-RO"/>
        </w:rPr>
        <w:t>Raportul auditului financiar al Raportului Guvernului privind executarea bugetului asigurărilor sociale de stat în anul 2019</w:t>
      </w:r>
      <w:r>
        <w:rPr>
          <w:rFonts w:asciiTheme="majorHAnsi" w:hAnsiTheme="majorHAnsi" w:cstheme="majorHAnsi"/>
          <w:sz w:val="16"/>
          <w:szCs w:val="16"/>
          <w:lang w:val="ro-RO"/>
        </w:rPr>
        <w:t>,</w:t>
      </w:r>
      <w:r w:rsidRPr="00E01748">
        <w:rPr>
          <w:rFonts w:asciiTheme="majorHAnsi" w:hAnsiTheme="majorHAnsi" w:cstheme="majorHAnsi"/>
          <w:sz w:val="16"/>
          <w:szCs w:val="16"/>
          <w:lang w:val="ro-RO"/>
        </w:rPr>
        <w:t xml:space="preserve"> aprobat prin HCC nr. 29 din 15</w:t>
      </w:r>
      <w:r>
        <w:rPr>
          <w:rFonts w:asciiTheme="majorHAnsi" w:hAnsiTheme="majorHAnsi" w:cstheme="majorHAnsi"/>
          <w:sz w:val="16"/>
          <w:szCs w:val="16"/>
          <w:lang w:val="ro-RO"/>
        </w:rPr>
        <w:t>.07.</w:t>
      </w:r>
      <w:r w:rsidRPr="00E01748">
        <w:rPr>
          <w:rFonts w:asciiTheme="majorHAnsi" w:hAnsiTheme="majorHAnsi" w:cstheme="majorHAnsi"/>
          <w:sz w:val="16"/>
          <w:szCs w:val="16"/>
          <w:lang w:val="ro-RO"/>
        </w:rPr>
        <w:t>2020</w:t>
      </w:r>
      <w:r>
        <w:rPr>
          <w:rFonts w:asciiTheme="majorHAnsi" w:hAnsiTheme="majorHAnsi" w:cstheme="majorHAnsi"/>
          <w:sz w:val="16"/>
          <w:szCs w:val="16"/>
          <w:lang w:val="ro-RO"/>
        </w:rPr>
        <w:t>.</w:t>
      </w:r>
    </w:p>
  </w:footnote>
  <w:footnote w:id="4">
    <w:p w14:paraId="5DB82EF3" w14:textId="7063F111" w:rsidR="004059A3" w:rsidRPr="00B10243" w:rsidRDefault="004059A3" w:rsidP="00B10243">
      <w:pPr>
        <w:pStyle w:val="FootnoteText"/>
        <w:jc w:val="both"/>
        <w:rPr>
          <w:rFonts w:asciiTheme="majorHAnsi" w:hAnsiTheme="majorHAnsi" w:cstheme="majorHAnsi"/>
          <w:sz w:val="16"/>
          <w:szCs w:val="16"/>
          <w:lang w:val="ro-MD"/>
        </w:rPr>
      </w:pPr>
      <w:r w:rsidRPr="00E01748">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E01748">
        <w:rPr>
          <w:rFonts w:asciiTheme="majorHAnsi" w:hAnsiTheme="majorHAnsi" w:cstheme="majorHAnsi"/>
          <w:sz w:val="16"/>
          <w:szCs w:val="16"/>
          <w:lang w:val="ro-MD"/>
        </w:rPr>
        <w:t>Raportul privind îndeplinirea planului de contingente, beneficiarii plăților și mărimea acestora din bugetul asigurărilor sociale de stat la situația din 01 ianuarie 2021 (formularul nr. 5 al CNAS).</w:t>
      </w:r>
    </w:p>
  </w:footnote>
  <w:footnote w:id="5">
    <w:p w14:paraId="209EFBE4" w14:textId="4CF047F2" w:rsidR="004059A3" w:rsidRPr="00821912" w:rsidRDefault="004059A3" w:rsidP="00B10243">
      <w:pPr>
        <w:pStyle w:val="FootnoteText"/>
        <w:rPr>
          <w:sz w:val="16"/>
          <w:szCs w:val="16"/>
          <w:lang w:val="ro-MD"/>
        </w:rPr>
      </w:pPr>
      <w:r w:rsidRPr="00821912">
        <w:rPr>
          <w:rStyle w:val="FootnoteReference"/>
          <w:rFonts w:asciiTheme="majorHAnsi" w:hAnsiTheme="majorHAnsi" w:cstheme="majorHAnsi"/>
          <w:sz w:val="16"/>
          <w:szCs w:val="16"/>
          <w:lang w:val="ro-MD"/>
        </w:rPr>
        <w:footnoteRef/>
      </w:r>
      <w:r w:rsidRPr="00821912">
        <w:rPr>
          <w:rFonts w:asciiTheme="majorHAnsi" w:hAnsiTheme="majorHAnsi" w:cstheme="majorHAnsi"/>
          <w:sz w:val="16"/>
          <w:szCs w:val="16"/>
          <w:lang w:val="ro-MD"/>
        </w:rPr>
        <w:t xml:space="preserve"> Art.3 </w:t>
      </w:r>
      <w:r>
        <w:rPr>
          <w:rFonts w:asciiTheme="majorHAnsi" w:hAnsiTheme="majorHAnsi" w:cstheme="majorHAnsi"/>
          <w:sz w:val="16"/>
          <w:szCs w:val="16"/>
          <w:lang w:val="ro-MD"/>
        </w:rPr>
        <w:t xml:space="preserve">și art.6 </w:t>
      </w:r>
      <w:r w:rsidRPr="00821912">
        <w:rPr>
          <w:rFonts w:asciiTheme="majorHAnsi" w:hAnsiTheme="majorHAnsi" w:cstheme="majorHAnsi"/>
          <w:sz w:val="16"/>
          <w:szCs w:val="16"/>
          <w:lang w:val="ro-MD"/>
        </w:rPr>
        <w:t>din Legea contabi</w:t>
      </w:r>
      <w:r>
        <w:rPr>
          <w:rFonts w:asciiTheme="majorHAnsi" w:hAnsiTheme="majorHAnsi" w:cstheme="majorHAnsi"/>
          <w:sz w:val="16"/>
          <w:szCs w:val="16"/>
          <w:lang w:val="ro-MD"/>
        </w:rPr>
        <w:t>lității nr.113-XVI din 27.04.200</w:t>
      </w:r>
      <w:r w:rsidRPr="00821912">
        <w:rPr>
          <w:rFonts w:asciiTheme="majorHAnsi" w:hAnsiTheme="majorHAnsi" w:cstheme="majorHAnsi"/>
          <w:sz w:val="16"/>
          <w:szCs w:val="16"/>
          <w:lang w:val="ro-MD"/>
        </w:rPr>
        <w:t>7</w:t>
      </w:r>
      <w:r>
        <w:rPr>
          <w:rFonts w:asciiTheme="majorHAnsi" w:hAnsiTheme="majorHAnsi" w:cstheme="majorHAnsi"/>
          <w:sz w:val="16"/>
          <w:szCs w:val="16"/>
          <w:lang w:val="ro-MD"/>
        </w:rPr>
        <w:t xml:space="preserve"> (în continuare Legea </w:t>
      </w:r>
      <w:r w:rsidRPr="004F59D2">
        <w:t xml:space="preserve"> </w:t>
      </w:r>
      <w:r w:rsidRPr="004F59D2">
        <w:rPr>
          <w:rFonts w:asciiTheme="majorHAnsi" w:hAnsiTheme="majorHAnsi" w:cstheme="majorHAnsi"/>
          <w:sz w:val="16"/>
          <w:szCs w:val="16"/>
          <w:lang w:val="ro-MD"/>
        </w:rPr>
        <w:t>nr.113-XVI din 27.04.2007</w:t>
      </w:r>
      <w:r>
        <w:rPr>
          <w:rFonts w:asciiTheme="majorHAnsi" w:hAnsiTheme="majorHAnsi" w:cstheme="majorHAnsi"/>
          <w:sz w:val="16"/>
          <w:szCs w:val="16"/>
          <w:lang w:val="ro-MD"/>
        </w:rPr>
        <w:t>).</w:t>
      </w:r>
    </w:p>
  </w:footnote>
  <w:footnote w:id="6">
    <w:p w14:paraId="2AEAEB32" w14:textId="5899FE27" w:rsidR="004059A3" w:rsidRPr="00915E84" w:rsidRDefault="004059A3" w:rsidP="00326190">
      <w:pPr>
        <w:pStyle w:val="FootnoteText"/>
        <w:jc w:val="both"/>
        <w:rPr>
          <w:rFonts w:asciiTheme="majorHAnsi" w:hAnsiTheme="majorHAnsi" w:cstheme="majorHAnsi"/>
          <w:sz w:val="16"/>
          <w:szCs w:val="16"/>
          <w:lang w:val="ro-RO"/>
        </w:rPr>
      </w:pPr>
      <w:r w:rsidRPr="00915E84">
        <w:rPr>
          <w:rStyle w:val="FootnoteReference"/>
          <w:rFonts w:asciiTheme="majorHAnsi" w:hAnsiTheme="majorHAnsi" w:cstheme="majorHAnsi"/>
          <w:sz w:val="16"/>
          <w:szCs w:val="16"/>
          <w:lang w:val="ro-RO"/>
        </w:rPr>
        <w:footnoteRef/>
      </w:r>
      <w:r w:rsidRPr="00915E84">
        <w:rPr>
          <w:rFonts w:asciiTheme="majorHAnsi" w:hAnsiTheme="majorHAnsi" w:cstheme="majorHAnsi"/>
          <w:sz w:val="16"/>
          <w:szCs w:val="16"/>
          <w:lang w:val="ro-RO"/>
        </w:rPr>
        <w:t xml:space="preserve"> Standardele Internaționale ale Instituțiilor Supreme de Audit, puse în aplicare prin Hotărârea Curții de Conturi nr.2 din 24.01.2020 „Cu privire la Cadrul Declarațiilor Profesionale ale INTOSAI”.</w:t>
      </w:r>
    </w:p>
  </w:footnote>
  <w:footnote w:id="7">
    <w:p w14:paraId="6AF44FBE" w14:textId="593BEA84" w:rsidR="004059A3" w:rsidRPr="00915E84" w:rsidRDefault="004059A3" w:rsidP="00326190">
      <w:pPr>
        <w:spacing w:after="0"/>
        <w:jc w:val="both"/>
        <w:rPr>
          <w:rFonts w:asciiTheme="majorHAnsi" w:hAnsiTheme="majorHAnsi" w:cstheme="majorHAnsi"/>
          <w:lang w:val="ro-RO"/>
        </w:rPr>
      </w:pPr>
      <w:r w:rsidRPr="00915E84">
        <w:rPr>
          <w:rStyle w:val="FootnoteReference"/>
          <w:rFonts w:asciiTheme="majorHAnsi" w:hAnsiTheme="majorHAnsi" w:cstheme="majorHAnsi"/>
          <w:sz w:val="16"/>
          <w:szCs w:val="16"/>
          <w:lang w:val="ro-RO"/>
        </w:rPr>
        <w:footnoteRef/>
      </w:r>
      <w:r w:rsidRPr="00915E84">
        <w:rPr>
          <w:rFonts w:asciiTheme="majorHAnsi" w:hAnsiTheme="majorHAnsi" w:cstheme="majorHAnsi"/>
          <w:sz w:val="16"/>
          <w:szCs w:val="16"/>
          <w:lang w:val="ro-RO"/>
        </w:rPr>
        <w:t xml:space="preserve"> Hotărârea Curții de Conturi </w:t>
      </w:r>
      <w:r w:rsidRPr="00C25300">
        <w:rPr>
          <w:rFonts w:asciiTheme="majorHAnsi" w:hAnsiTheme="majorHAnsi" w:cstheme="majorHAnsi"/>
          <w:sz w:val="16"/>
          <w:szCs w:val="16"/>
          <w:lang w:val="ro-RO"/>
        </w:rPr>
        <w:t>nr. 19  din 05.04.2019</w:t>
      </w:r>
      <w:r>
        <w:rPr>
          <w:rFonts w:asciiTheme="majorHAnsi" w:hAnsiTheme="majorHAnsi" w:cstheme="majorHAnsi"/>
          <w:sz w:val="16"/>
          <w:szCs w:val="16"/>
          <w:lang w:val="ro-RO"/>
        </w:rPr>
        <w:t xml:space="preserve"> </w:t>
      </w:r>
      <w:r w:rsidRPr="00915E84">
        <w:rPr>
          <w:rFonts w:asciiTheme="majorHAnsi" w:hAnsiTheme="majorHAnsi" w:cstheme="majorHAnsi"/>
          <w:sz w:val="16"/>
          <w:szCs w:val="16"/>
          <w:lang w:val="ro-RO"/>
        </w:rPr>
        <w:t>„Cu privire la aprobarea Codului etic al Curții de Conturi”.</w:t>
      </w:r>
    </w:p>
  </w:footnote>
  <w:footnote w:id="8">
    <w:p w14:paraId="7CB23F59" w14:textId="6CFEBF19" w:rsidR="004059A3" w:rsidRPr="00905F55" w:rsidRDefault="004059A3" w:rsidP="00326190">
      <w:pPr>
        <w:pStyle w:val="FootnoteText"/>
        <w:contextualSpacing/>
        <w:jc w:val="both"/>
        <w:rPr>
          <w:rFonts w:asciiTheme="majorHAnsi" w:hAnsiTheme="majorHAnsi" w:cstheme="majorHAnsi"/>
          <w:sz w:val="16"/>
          <w:szCs w:val="16"/>
        </w:rPr>
      </w:pPr>
      <w:r w:rsidRPr="00905F55">
        <w:rPr>
          <w:rStyle w:val="FootnoteReference"/>
          <w:rFonts w:asciiTheme="majorHAnsi" w:hAnsiTheme="majorHAnsi" w:cstheme="majorHAnsi"/>
          <w:sz w:val="16"/>
          <w:szCs w:val="16"/>
        </w:rPr>
        <w:footnoteRef/>
      </w:r>
      <w:r w:rsidRPr="00905F55">
        <w:rPr>
          <w:rFonts w:asciiTheme="majorHAnsi" w:hAnsiTheme="majorHAnsi" w:cstheme="majorHAnsi"/>
          <w:sz w:val="16"/>
          <w:szCs w:val="16"/>
        </w:rPr>
        <w:t xml:space="preserve"> </w:t>
      </w:r>
      <w:r w:rsidRPr="00905F55">
        <w:rPr>
          <w:rFonts w:asciiTheme="majorHAnsi" w:eastAsia="Times New Roman" w:hAnsiTheme="majorHAnsi" w:cstheme="majorHAnsi"/>
          <w:sz w:val="16"/>
          <w:szCs w:val="16"/>
          <w:lang w:val="ro-RO"/>
        </w:rPr>
        <w:t xml:space="preserve">Ordinul ministrului </w:t>
      </w:r>
      <w:r>
        <w:rPr>
          <w:rFonts w:asciiTheme="majorHAnsi" w:eastAsia="Times New Roman" w:hAnsiTheme="majorHAnsi" w:cstheme="majorHAnsi"/>
          <w:sz w:val="16"/>
          <w:szCs w:val="16"/>
          <w:lang w:val="ro-RO"/>
        </w:rPr>
        <w:t>finanțelor nr.38 din 17.02.2017</w:t>
      </w:r>
      <w:r w:rsidRPr="00905F55">
        <w:rPr>
          <w:rFonts w:asciiTheme="majorHAnsi" w:eastAsia="Times New Roman" w:hAnsiTheme="majorHAnsi" w:cstheme="majorHAnsi"/>
          <w:sz w:val="16"/>
          <w:szCs w:val="16"/>
          <w:lang w:val="ro-RO"/>
        </w:rPr>
        <w:t xml:space="preserve"> </w:t>
      </w:r>
      <w:r w:rsidRPr="004F59D2">
        <w:rPr>
          <w:rFonts w:asciiTheme="majorHAnsi" w:eastAsia="Times New Roman" w:hAnsiTheme="majorHAnsi" w:cstheme="majorHAnsi"/>
          <w:sz w:val="16"/>
          <w:szCs w:val="16"/>
          <w:lang w:val="ro-RO"/>
        </w:rPr>
        <w:t>„Cu privire la aprobarea formularelor Rapoartelor privind executarea bugetului asigurărilor sociale de stat şi Normelor metodologice privind modul de întocmire a acestora”</w:t>
      </w:r>
      <w:r>
        <w:rPr>
          <w:rFonts w:asciiTheme="majorHAnsi" w:eastAsia="Times New Roman" w:hAnsiTheme="majorHAnsi" w:cstheme="majorHAnsi"/>
          <w:sz w:val="16"/>
          <w:szCs w:val="16"/>
          <w:lang w:val="ro-RO"/>
        </w:rPr>
        <w:t xml:space="preserve"> (în continuare </w:t>
      </w:r>
      <w:r w:rsidRPr="004F59D2">
        <w:t xml:space="preserve"> </w:t>
      </w:r>
      <w:r w:rsidRPr="004F59D2">
        <w:rPr>
          <w:rFonts w:asciiTheme="majorHAnsi" w:eastAsia="Times New Roman" w:hAnsiTheme="majorHAnsi" w:cstheme="majorHAnsi"/>
          <w:sz w:val="16"/>
          <w:szCs w:val="16"/>
          <w:lang w:val="ro-RO"/>
        </w:rPr>
        <w:t>Ordinul ministrului finanțelor nr.38 din 17.02.2017</w:t>
      </w:r>
      <w:r>
        <w:rPr>
          <w:rFonts w:asciiTheme="majorHAnsi" w:eastAsia="Times New Roman" w:hAnsiTheme="majorHAnsi" w:cstheme="majorHAnsi"/>
          <w:sz w:val="16"/>
          <w:szCs w:val="16"/>
          <w:lang w:val="ro-RO"/>
        </w:rPr>
        <w:t>).</w:t>
      </w:r>
    </w:p>
  </w:footnote>
  <w:footnote w:id="9">
    <w:p w14:paraId="5914D80C" w14:textId="7BEDE182" w:rsidR="004059A3" w:rsidRPr="00915E84" w:rsidRDefault="004059A3" w:rsidP="00DE750B">
      <w:pPr>
        <w:pStyle w:val="FootnoteText"/>
        <w:contextualSpacing/>
        <w:jc w:val="both"/>
        <w:rPr>
          <w:rFonts w:asciiTheme="majorHAnsi" w:hAnsiTheme="majorHAnsi" w:cstheme="majorHAnsi"/>
          <w:sz w:val="16"/>
          <w:szCs w:val="16"/>
          <w:lang w:val="ro-MD"/>
        </w:rPr>
      </w:pPr>
      <w:r w:rsidRPr="00915E84">
        <w:rPr>
          <w:rStyle w:val="FootnoteReference"/>
          <w:rFonts w:asciiTheme="majorHAnsi" w:hAnsiTheme="majorHAnsi" w:cstheme="majorHAnsi"/>
          <w:sz w:val="16"/>
          <w:szCs w:val="16"/>
          <w:lang w:val="ro-MD"/>
        </w:rPr>
        <w:footnoteRef/>
      </w:r>
      <w:r w:rsidRPr="00915E84">
        <w:rPr>
          <w:rFonts w:asciiTheme="majorHAnsi" w:hAnsiTheme="majorHAnsi" w:cstheme="majorHAnsi"/>
          <w:sz w:val="16"/>
          <w:szCs w:val="16"/>
          <w:lang w:val="ro-MD"/>
        </w:rPr>
        <w:t xml:space="preserve"> </w:t>
      </w:r>
      <w:r w:rsidRPr="00915E84">
        <w:rPr>
          <w:rFonts w:asciiTheme="majorHAnsi" w:hAnsiTheme="majorHAnsi" w:cstheme="majorHAnsi"/>
          <w:noProof/>
          <w:sz w:val="16"/>
          <w:szCs w:val="16"/>
          <w:lang w:val="ro-MD"/>
        </w:rPr>
        <w:t xml:space="preserve">Legea </w:t>
      </w:r>
      <w:r w:rsidRPr="008B770E">
        <w:rPr>
          <w:rFonts w:asciiTheme="majorHAnsi" w:hAnsiTheme="majorHAnsi" w:cstheme="majorHAnsi"/>
          <w:noProof/>
          <w:sz w:val="16"/>
          <w:szCs w:val="16"/>
          <w:lang w:val="ro-MD"/>
        </w:rPr>
        <w:t>nr.173 din 19.12.2019</w:t>
      </w:r>
      <w:r>
        <w:rPr>
          <w:rFonts w:asciiTheme="majorHAnsi" w:hAnsiTheme="majorHAnsi" w:cstheme="majorHAnsi"/>
          <w:noProof/>
          <w:sz w:val="16"/>
          <w:szCs w:val="16"/>
          <w:lang w:val="ro-MD"/>
        </w:rPr>
        <w:t xml:space="preserve"> privind bugetul</w:t>
      </w:r>
      <w:r w:rsidRPr="00915E84">
        <w:rPr>
          <w:rFonts w:asciiTheme="majorHAnsi" w:hAnsiTheme="majorHAnsi" w:cstheme="majorHAnsi"/>
          <w:noProof/>
          <w:sz w:val="16"/>
          <w:szCs w:val="16"/>
          <w:lang w:val="ro-MD"/>
        </w:rPr>
        <w:t xml:space="preserve"> asigurărilor sociale de stat pe anul 2020</w:t>
      </w:r>
      <w:r>
        <w:rPr>
          <w:rFonts w:asciiTheme="majorHAnsi" w:hAnsiTheme="majorHAnsi" w:cstheme="majorHAnsi"/>
          <w:noProof/>
          <w:sz w:val="16"/>
          <w:szCs w:val="16"/>
          <w:lang w:val="ro-MD"/>
        </w:rPr>
        <w:t xml:space="preserve"> (în continuare Legea 173 din 19.12.2019)</w:t>
      </w:r>
      <w:r w:rsidRPr="00915E84">
        <w:rPr>
          <w:rFonts w:asciiTheme="majorHAnsi" w:hAnsiTheme="majorHAnsi" w:cstheme="majorHAnsi"/>
          <w:noProof/>
          <w:sz w:val="16"/>
          <w:szCs w:val="16"/>
          <w:lang w:val="ro-MD"/>
        </w:rPr>
        <w:t xml:space="preserve">; </w:t>
      </w:r>
      <w:r w:rsidRPr="00915E84">
        <w:rPr>
          <w:rFonts w:asciiTheme="majorHAnsi" w:hAnsiTheme="majorHAnsi" w:cstheme="majorHAnsi"/>
          <w:sz w:val="16"/>
          <w:szCs w:val="16"/>
          <w:lang w:val="ro-MD"/>
        </w:rPr>
        <w:t xml:space="preserve">Legea </w:t>
      </w:r>
      <w:r w:rsidRPr="008B770E">
        <w:rPr>
          <w:rFonts w:asciiTheme="majorHAnsi" w:hAnsiTheme="majorHAnsi" w:cstheme="majorHAnsi"/>
          <w:sz w:val="16"/>
          <w:szCs w:val="16"/>
          <w:lang w:val="ro-MD"/>
        </w:rPr>
        <w:t xml:space="preserve">nr.489-XIV din 08.07.1999 </w:t>
      </w:r>
      <w:r w:rsidRPr="00915E84">
        <w:rPr>
          <w:rFonts w:asciiTheme="majorHAnsi" w:hAnsiTheme="majorHAnsi" w:cstheme="majorHAnsi"/>
          <w:noProof/>
          <w:color w:val="000000"/>
          <w:sz w:val="16"/>
          <w:szCs w:val="16"/>
          <w:lang w:val="ro-MD"/>
        </w:rPr>
        <w:t xml:space="preserve">privind sistemul public de asigurări sociale </w:t>
      </w:r>
      <w:r>
        <w:rPr>
          <w:rFonts w:asciiTheme="majorHAnsi" w:hAnsiTheme="majorHAnsi" w:cstheme="majorHAnsi"/>
          <w:noProof/>
          <w:color w:val="000000"/>
          <w:sz w:val="16"/>
          <w:szCs w:val="16"/>
          <w:lang w:val="ro-MD"/>
        </w:rPr>
        <w:t>(în continure Legea nr. 489-XIV din 08.07.1999)</w:t>
      </w:r>
      <w:r w:rsidRPr="00915E84">
        <w:rPr>
          <w:rFonts w:asciiTheme="majorHAnsi" w:hAnsiTheme="majorHAnsi" w:cstheme="majorHAnsi"/>
          <w:noProof/>
          <w:color w:val="000000"/>
          <w:sz w:val="16"/>
          <w:szCs w:val="16"/>
          <w:lang w:val="ro-MD"/>
        </w:rPr>
        <w:t>.</w:t>
      </w:r>
    </w:p>
  </w:footnote>
  <w:footnote w:id="10">
    <w:p w14:paraId="334728E7" w14:textId="46969654" w:rsidR="004059A3" w:rsidRPr="0067179F" w:rsidRDefault="004059A3" w:rsidP="00140056">
      <w:pPr>
        <w:pStyle w:val="tt"/>
        <w:jc w:val="both"/>
        <w:rPr>
          <w:rFonts w:asciiTheme="majorHAnsi" w:hAnsiTheme="majorHAnsi" w:cstheme="majorHAnsi"/>
          <w:b w:val="0"/>
          <w:sz w:val="16"/>
          <w:szCs w:val="16"/>
        </w:rPr>
      </w:pPr>
      <w:r w:rsidRPr="0067179F">
        <w:rPr>
          <w:rStyle w:val="FootnoteReference"/>
          <w:rFonts w:asciiTheme="majorHAnsi" w:hAnsiTheme="majorHAnsi" w:cstheme="majorHAnsi"/>
          <w:b w:val="0"/>
          <w:sz w:val="16"/>
          <w:szCs w:val="16"/>
        </w:rPr>
        <w:footnoteRef/>
      </w:r>
      <w:r w:rsidRPr="0067179F">
        <w:rPr>
          <w:rFonts w:asciiTheme="majorHAnsi" w:hAnsiTheme="majorHAnsi" w:cstheme="majorHAnsi"/>
          <w:b w:val="0"/>
          <w:sz w:val="16"/>
          <w:szCs w:val="16"/>
        </w:rPr>
        <w:t xml:space="preserve"> Art.62 alin.(2) din Legea  finanţelor publice şi responsabilităţii bugetar-fiscale</w:t>
      </w:r>
      <w:r w:rsidRPr="0067179F">
        <w:t xml:space="preserve"> </w:t>
      </w:r>
      <w:r w:rsidRPr="0067179F">
        <w:rPr>
          <w:rFonts w:asciiTheme="majorHAnsi" w:hAnsiTheme="majorHAnsi" w:cstheme="majorHAnsi"/>
          <w:b w:val="0"/>
          <w:sz w:val="16"/>
          <w:szCs w:val="16"/>
        </w:rPr>
        <w:t>nr.181 din 25.07.2014 (în continuare Legea nr.181 din 25.07.2014).</w:t>
      </w:r>
    </w:p>
  </w:footnote>
  <w:footnote w:id="11">
    <w:p w14:paraId="2439EE50" w14:textId="68E90047" w:rsidR="004059A3" w:rsidRPr="00B10243" w:rsidRDefault="004059A3" w:rsidP="00B10243">
      <w:pPr>
        <w:pStyle w:val="FootnoteText"/>
        <w:rPr>
          <w:rFonts w:asciiTheme="majorHAnsi" w:eastAsia="Times New Roman" w:hAnsiTheme="majorHAnsi" w:cstheme="majorHAnsi"/>
          <w:sz w:val="16"/>
          <w:szCs w:val="16"/>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B10243">
        <w:rPr>
          <w:rFonts w:asciiTheme="majorHAnsi" w:eastAsia="Times New Roman" w:hAnsiTheme="majorHAnsi" w:cstheme="majorHAnsi"/>
          <w:sz w:val="16"/>
          <w:szCs w:val="16"/>
          <w:lang w:val="ro-RO"/>
        </w:rPr>
        <w:t>Legea</w:t>
      </w:r>
      <w:r w:rsidRPr="00B10243">
        <w:rPr>
          <w:rFonts w:asciiTheme="majorHAnsi" w:eastAsia="Times New Roman" w:hAnsiTheme="majorHAnsi" w:cstheme="majorHAnsi"/>
          <w:sz w:val="16"/>
          <w:szCs w:val="16"/>
        </w:rPr>
        <w:t xml:space="preserve"> nr. 175 din 19.12.2019 pentru modificarea Legii nr. 270 din 23.11.2018; Legea nr. 130 din 12.07.2020</w:t>
      </w:r>
      <w:r w:rsidRPr="00B10243">
        <w:t xml:space="preserve"> </w:t>
      </w:r>
      <w:r w:rsidRPr="00B10243">
        <w:rPr>
          <w:rFonts w:asciiTheme="majorHAnsi" w:eastAsia="Times New Roman" w:hAnsiTheme="majorHAnsi" w:cstheme="majorHAnsi"/>
          <w:sz w:val="16"/>
          <w:szCs w:val="16"/>
        </w:rPr>
        <w:t>pentru modificarea Legii nr. 270 din 23.11.2018.</w:t>
      </w:r>
    </w:p>
  </w:footnote>
  <w:footnote w:id="12">
    <w:p w14:paraId="5D7830F4" w14:textId="77777777" w:rsidR="004059A3" w:rsidRPr="00B10243" w:rsidRDefault="004059A3" w:rsidP="00ED3980">
      <w:pPr>
        <w:pStyle w:val="FootnoteText"/>
        <w:rPr>
          <w:rFonts w:asciiTheme="majorHAnsi" w:hAnsiTheme="majorHAnsi" w:cstheme="majorHAnsi"/>
          <w:sz w:val="16"/>
          <w:szCs w:val="16"/>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B10243">
        <w:rPr>
          <w:rFonts w:asciiTheme="majorHAnsi" w:eastAsia="Times New Roman" w:hAnsiTheme="majorHAnsi" w:cstheme="majorHAnsi"/>
          <w:sz w:val="16"/>
          <w:szCs w:val="16"/>
        </w:rPr>
        <w:t>Legea nr.270 din 23.11.2018 privind sistemul unitar de salarizare în sectorul bugetar.</w:t>
      </w:r>
    </w:p>
  </w:footnote>
  <w:footnote w:id="13">
    <w:p w14:paraId="66FADBD4" w14:textId="304D6569" w:rsidR="004059A3" w:rsidRPr="00B10243" w:rsidRDefault="004059A3" w:rsidP="00B10243">
      <w:pPr>
        <w:pStyle w:val="FootnoteText"/>
        <w:rPr>
          <w:rFonts w:asciiTheme="majorHAnsi" w:hAnsiTheme="majorHAnsi" w:cstheme="majorHAnsi"/>
          <w:sz w:val="16"/>
          <w:szCs w:val="16"/>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Pct.1.10 din anexa nr.1 la Legea nr.489 din 08.07.1999.</w:t>
      </w:r>
    </w:p>
  </w:footnote>
  <w:footnote w:id="14">
    <w:p w14:paraId="40D03007" w14:textId="77777777" w:rsidR="004059A3" w:rsidRPr="00B10243" w:rsidRDefault="004059A3" w:rsidP="00ED3980">
      <w:pPr>
        <w:pStyle w:val="FootnoteText"/>
        <w:rPr>
          <w:rFonts w:asciiTheme="majorHAnsi" w:hAnsiTheme="majorHAnsi" w:cstheme="majorHAnsi"/>
          <w:sz w:val="16"/>
          <w:szCs w:val="16"/>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B10243">
        <w:rPr>
          <w:rFonts w:asciiTheme="majorHAnsi" w:eastAsia="Times New Roman" w:hAnsiTheme="majorHAnsi" w:cstheme="majorHAnsi"/>
          <w:sz w:val="16"/>
          <w:szCs w:val="16"/>
        </w:rPr>
        <w:t>Legea nr.22 din 23.02.2018 privind exercitarea unei activități necalificate cu caracter ocazional desfășurate de zilieri.</w:t>
      </w:r>
    </w:p>
  </w:footnote>
  <w:footnote w:id="15">
    <w:p w14:paraId="61C91F43" w14:textId="6840D162" w:rsidR="004059A3" w:rsidRPr="00E60A0F" w:rsidRDefault="004059A3" w:rsidP="00586BB7">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E60A0F">
        <w:rPr>
          <w:rFonts w:asciiTheme="majorHAnsi" w:hAnsiTheme="majorHAnsi" w:cstheme="majorHAnsi"/>
          <w:sz w:val="16"/>
          <w:szCs w:val="16"/>
          <w:lang w:val="ro-MD"/>
        </w:rPr>
        <w:t>Hotărârea Guvernului nr.659 din 03.09.2020 pentru modificarea Hotărârii Guvernului nr. 504/2020 cu privire la acordarea suportului financiar unic beneficiarilor de pensii și alocații sociale de stat; Hotărârea Guvernului nr.504 din 15.07.2020 cu privire la acordarea suportului financiar unic</w:t>
      </w:r>
    </w:p>
    <w:p w14:paraId="0DCF587C" w14:textId="539D59D5" w:rsidR="004059A3" w:rsidRPr="00E60A0F" w:rsidRDefault="004059A3" w:rsidP="00586BB7">
      <w:pPr>
        <w:pStyle w:val="FootnoteText"/>
        <w:jc w:val="both"/>
        <w:rPr>
          <w:rFonts w:asciiTheme="majorHAnsi" w:hAnsiTheme="majorHAnsi" w:cstheme="majorHAnsi"/>
          <w:sz w:val="16"/>
          <w:szCs w:val="16"/>
          <w:lang w:val="ro-MD"/>
        </w:rPr>
      </w:pPr>
      <w:r w:rsidRPr="00E60A0F">
        <w:rPr>
          <w:rFonts w:asciiTheme="majorHAnsi" w:hAnsiTheme="majorHAnsi" w:cstheme="majorHAnsi"/>
          <w:sz w:val="16"/>
          <w:szCs w:val="16"/>
          <w:lang w:val="ro-MD"/>
        </w:rPr>
        <w:t>beneficiarilor de pensii și alocații sociale de stat.</w:t>
      </w:r>
    </w:p>
  </w:footnote>
  <w:footnote w:id="16">
    <w:p w14:paraId="66823BA6" w14:textId="6B48E392" w:rsidR="004059A3" w:rsidRPr="00E60A0F" w:rsidRDefault="004059A3" w:rsidP="00586BB7">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Legea nr. 499  din 14.07.1999 privind alocaţiile sociale de stat pentru unele categorii de cetăţeni  la art.8 </w:t>
      </w:r>
      <w:r w:rsidRPr="00B10243">
        <w:rPr>
          <w:rFonts w:asciiTheme="majorHAnsi" w:hAnsiTheme="majorHAnsi" w:cstheme="majorHAnsi"/>
          <w:sz w:val="16"/>
          <w:szCs w:val="16"/>
          <w:lang w:val="ro-MD"/>
        </w:rPr>
        <w:t>lit.a)</w:t>
      </w:r>
      <w:r w:rsidRPr="00E60A0F">
        <w:rPr>
          <w:rFonts w:asciiTheme="majorHAnsi" w:hAnsiTheme="majorHAnsi" w:cstheme="majorHAnsi"/>
          <w:sz w:val="16"/>
          <w:szCs w:val="16"/>
          <w:lang w:val="ro-MD"/>
        </w:rPr>
        <w:t xml:space="preserve"> modificată prin Legea nr.189 din 20.12.19); </w:t>
      </w:r>
      <w:r w:rsidRPr="00B10243">
        <w:rPr>
          <w:rFonts w:asciiTheme="majorHAnsi" w:hAnsiTheme="majorHAnsi" w:cstheme="majorHAnsi"/>
          <w:sz w:val="16"/>
          <w:szCs w:val="16"/>
          <w:lang w:val="ro-MD"/>
        </w:rPr>
        <w:t>la art.8 lit.a</w:t>
      </w:r>
      <w:r w:rsidRPr="00B10243">
        <w:rPr>
          <w:rFonts w:asciiTheme="majorHAnsi" w:hAnsiTheme="majorHAnsi" w:cstheme="majorHAnsi"/>
          <w:sz w:val="16"/>
          <w:szCs w:val="16"/>
          <w:vertAlign w:val="superscript"/>
          <w:lang w:val="ro-MD"/>
        </w:rPr>
        <w:t>1</w:t>
      </w:r>
      <w:r w:rsidRPr="00B10243">
        <w:rPr>
          <w:rFonts w:asciiTheme="majorHAnsi" w:hAnsiTheme="majorHAnsi" w:cstheme="majorHAnsi"/>
          <w:sz w:val="16"/>
          <w:szCs w:val="16"/>
          <w:lang w:val="ro-MD"/>
        </w:rPr>
        <w:t>) introdusă</w:t>
      </w:r>
      <w:r w:rsidRPr="00E60A0F">
        <w:rPr>
          <w:rFonts w:asciiTheme="majorHAnsi" w:hAnsiTheme="majorHAnsi" w:cstheme="majorHAnsi"/>
          <w:sz w:val="16"/>
          <w:szCs w:val="16"/>
          <w:lang w:val="ro-MD"/>
        </w:rPr>
        <w:t xml:space="preserve"> prin Legea nr.161 din 06.12.19; art.13 modificat prin Legea nr.189 din 20.12.19.</w:t>
      </w:r>
    </w:p>
  </w:footnote>
  <w:footnote w:id="17">
    <w:p w14:paraId="2D374EC2" w14:textId="7E393F02" w:rsidR="004059A3" w:rsidRPr="000061F7" w:rsidRDefault="004059A3" w:rsidP="00586BB7">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E60A0F">
        <w:rPr>
          <w:rFonts w:asciiTheme="majorHAnsi" w:hAnsiTheme="majorHAnsi" w:cstheme="majorHAnsi"/>
          <w:sz w:val="16"/>
          <w:szCs w:val="16"/>
          <w:lang w:val="ro-MD"/>
        </w:rPr>
        <w:t>Legea nr.127 din 09.07.2020 privind acordarea indemnizației urmașilor personalului medical decedat ca urmare a desfășurării activității medicale în lupta cu COVID-19</w:t>
      </w:r>
      <w:r w:rsidRPr="000061F7">
        <w:rPr>
          <w:rFonts w:asciiTheme="majorHAnsi" w:hAnsiTheme="majorHAnsi" w:cstheme="majorHAnsi"/>
          <w:sz w:val="16"/>
          <w:szCs w:val="16"/>
          <w:lang w:val="ro-MD"/>
        </w:rPr>
        <w:t xml:space="preserve"> (în continuare –  Legea nr. 127 din 09.07.2020).</w:t>
      </w:r>
    </w:p>
  </w:footnote>
  <w:footnote w:id="18">
    <w:p w14:paraId="3DD54131" w14:textId="43BA2483" w:rsidR="004059A3" w:rsidRPr="000061F7" w:rsidRDefault="004059A3" w:rsidP="00F227E6">
      <w:pPr>
        <w:pStyle w:val="FootnoteText"/>
        <w:jc w:val="both"/>
        <w:rPr>
          <w:rFonts w:asciiTheme="majorHAnsi" w:eastAsia="Times New Roman" w:hAnsiTheme="majorHAnsi" w:cstheme="majorHAnsi"/>
          <w:sz w:val="16"/>
          <w:szCs w:val="16"/>
          <w:lang w:val="ro-MD"/>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0061F7">
        <w:rPr>
          <w:rFonts w:asciiTheme="majorHAnsi" w:eastAsia="Times New Roman" w:hAnsiTheme="majorHAnsi" w:cstheme="majorHAnsi"/>
          <w:sz w:val="16"/>
          <w:szCs w:val="16"/>
          <w:lang w:val="ro-MD"/>
        </w:rPr>
        <w:t>Hot</w:t>
      </w:r>
      <w:r w:rsidRPr="00B10243">
        <w:rPr>
          <w:rFonts w:asciiTheme="majorHAnsi" w:eastAsia="Times New Roman" w:hAnsiTheme="majorHAnsi" w:cstheme="majorHAnsi"/>
          <w:sz w:val="16"/>
          <w:szCs w:val="16"/>
          <w:lang w:val="ro-RO"/>
        </w:rPr>
        <w:t xml:space="preserve">ărârea </w:t>
      </w:r>
      <w:r w:rsidRPr="000061F7">
        <w:rPr>
          <w:rFonts w:asciiTheme="majorHAnsi" w:eastAsia="Times New Roman" w:hAnsiTheme="majorHAnsi" w:cstheme="majorHAnsi"/>
          <w:sz w:val="16"/>
          <w:szCs w:val="16"/>
          <w:lang w:val="ro-MD"/>
        </w:rPr>
        <w:t>Guvernului nr.165 din 11.03.2020 cu privire la indexarea prestațiilor de asigurări sociale și a unor prestații sociale de stat.</w:t>
      </w:r>
    </w:p>
  </w:footnote>
  <w:footnote w:id="19">
    <w:p w14:paraId="3932D10A" w14:textId="5A13C15D" w:rsidR="004059A3" w:rsidRPr="00B10243" w:rsidRDefault="004059A3" w:rsidP="000061F7">
      <w:pPr>
        <w:pStyle w:val="FootnoteText"/>
        <w:jc w:val="both"/>
        <w:rPr>
          <w:lang w:val="ro-MD"/>
        </w:rPr>
      </w:pPr>
      <w:r w:rsidRPr="00855DAB">
        <w:rPr>
          <w:rStyle w:val="FootnoteReference"/>
          <w:rFonts w:asciiTheme="majorHAnsi" w:hAnsiTheme="majorHAnsi" w:cstheme="majorHAnsi"/>
          <w:sz w:val="16"/>
          <w:szCs w:val="16"/>
        </w:rPr>
        <w:footnoteRef/>
      </w:r>
      <w:r w:rsidRPr="00855DAB">
        <w:rPr>
          <w:rFonts w:asciiTheme="majorHAnsi" w:hAnsiTheme="majorHAnsi" w:cstheme="majorHAnsi"/>
          <w:sz w:val="16"/>
          <w:szCs w:val="16"/>
        </w:rPr>
        <w:t xml:space="preserve"> Legea nr.168 din 06.12.2019</w:t>
      </w:r>
      <w:r w:rsidRPr="00855DAB">
        <w:rPr>
          <w:rFonts w:asciiTheme="majorHAnsi" w:eastAsia="Times New Roman" w:hAnsiTheme="majorHAnsi" w:cstheme="majorHAnsi"/>
          <w:sz w:val="16"/>
          <w:szCs w:val="16"/>
          <w:lang w:val="ro-MD"/>
        </w:rPr>
        <w:t>.</w:t>
      </w:r>
    </w:p>
  </w:footnote>
  <w:footnote w:id="20">
    <w:p w14:paraId="6D8A371C" w14:textId="1280D882" w:rsidR="004059A3" w:rsidRPr="00742923" w:rsidRDefault="004059A3" w:rsidP="00F227E6">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742923">
        <w:rPr>
          <w:rFonts w:asciiTheme="majorHAnsi" w:hAnsiTheme="majorHAnsi" w:cstheme="majorHAnsi"/>
          <w:sz w:val="16"/>
          <w:szCs w:val="16"/>
          <w:lang w:val="ro-MD"/>
        </w:rPr>
        <w:t>HG nr.674 din 27.12.2019 pentru modificarea anexei nr. 1 la Regulamentul cu privire la modul de stabilire și plată a indemnizațiilor adresate familiilor cu copii, aprobat prin Hotărârea Guvernului nr. 1478/2002.</w:t>
      </w:r>
    </w:p>
  </w:footnote>
  <w:footnote w:id="21">
    <w:p w14:paraId="6A711C23" w14:textId="669D88E9" w:rsidR="004059A3" w:rsidRPr="00B10243" w:rsidRDefault="004059A3" w:rsidP="00F227E6">
      <w:pPr>
        <w:pStyle w:val="FootnoteText"/>
        <w:jc w:val="both"/>
      </w:pPr>
      <w:r w:rsidRPr="00B10243">
        <w:rPr>
          <w:rStyle w:val="FootnoteReference"/>
          <w:rFonts w:asciiTheme="majorHAnsi" w:hAnsiTheme="majorHAnsi" w:cstheme="majorHAnsi"/>
          <w:sz w:val="16"/>
          <w:szCs w:val="16"/>
        </w:rPr>
        <w:footnoteRef/>
      </w:r>
      <w:r w:rsidRPr="00B10243">
        <w:t xml:space="preserve"> </w:t>
      </w:r>
      <w:r w:rsidRPr="00742923">
        <w:rPr>
          <w:rFonts w:asciiTheme="majorHAnsi" w:hAnsiTheme="majorHAnsi" w:cstheme="majorHAnsi"/>
          <w:sz w:val="16"/>
          <w:szCs w:val="16"/>
          <w:lang w:val="ro-MD"/>
        </w:rPr>
        <w:t>art.18 din Legea nr.289 din 22.07.2004 privind indemnizațiile pentru incapacitate temporară de muncă şi alte prestații de asigurări sociale, modificat prin Legea nr. 311 din 30.11.2018.</w:t>
      </w:r>
    </w:p>
  </w:footnote>
  <w:footnote w:id="22">
    <w:p w14:paraId="10516B5F" w14:textId="1AE788A7" w:rsidR="004059A3" w:rsidRPr="00B22B23" w:rsidRDefault="004059A3" w:rsidP="00B10243">
      <w:pPr>
        <w:pStyle w:val="FootnoteText"/>
        <w:rPr>
          <w:rFonts w:asciiTheme="majorHAnsi" w:hAnsiTheme="majorHAnsi" w:cstheme="majorHAnsi"/>
          <w:sz w:val="16"/>
          <w:szCs w:val="16"/>
          <w:lang w:val="ro-MD"/>
        </w:rPr>
      </w:pPr>
      <w:r w:rsidRPr="00742923">
        <w:rPr>
          <w:rFonts w:asciiTheme="majorHAnsi" w:hAnsiTheme="majorHAnsi" w:cstheme="majorHAnsi"/>
          <w:sz w:val="16"/>
          <w:szCs w:val="16"/>
          <w:vertAlign w:val="superscript"/>
          <w:lang w:val="ro-MD"/>
        </w:rPr>
        <w:footnoteRef/>
      </w:r>
      <w:r w:rsidRPr="00742923">
        <w:rPr>
          <w:rFonts w:asciiTheme="majorHAnsi" w:hAnsiTheme="majorHAnsi" w:cstheme="majorHAnsi"/>
          <w:sz w:val="16"/>
          <w:szCs w:val="16"/>
          <w:vertAlign w:val="superscript"/>
          <w:lang w:val="ro-MD"/>
        </w:rPr>
        <w:t xml:space="preserve"> </w:t>
      </w:r>
      <w:r w:rsidRPr="00742923">
        <w:rPr>
          <w:rFonts w:asciiTheme="majorHAnsi" w:hAnsiTheme="majorHAnsi" w:cstheme="majorHAnsi"/>
          <w:sz w:val="16"/>
          <w:szCs w:val="16"/>
          <w:lang w:val="ro-MD"/>
        </w:rPr>
        <w:t>Hotărârea Guvernului nr.712 din 27.12.2019</w:t>
      </w:r>
      <w:r w:rsidRPr="00742923">
        <w:rPr>
          <w:rFonts w:asciiTheme="majorHAnsi" w:hAnsiTheme="majorHAnsi" w:cstheme="majorHAnsi"/>
          <w:sz w:val="24"/>
          <w:szCs w:val="24"/>
          <w:lang w:val="ro-MD"/>
        </w:rPr>
        <w:t xml:space="preserve"> </w:t>
      </w:r>
      <w:r w:rsidRPr="00B10243">
        <w:rPr>
          <w:rFonts w:asciiTheme="majorHAnsi" w:hAnsiTheme="majorHAnsi" w:cstheme="majorHAnsi"/>
          <w:sz w:val="16"/>
          <w:szCs w:val="16"/>
          <w:lang w:val="ro-MD"/>
        </w:rPr>
        <w:t>„</w:t>
      </w:r>
      <w:r>
        <w:rPr>
          <w:rFonts w:asciiTheme="majorHAnsi" w:hAnsiTheme="majorHAnsi" w:cstheme="majorHAnsi"/>
          <w:sz w:val="16"/>
          <w:szCs w:val="16"/>
          <w:lang w:val="ro-MD"/>
        </w:rPr>
        <w:t>P</w:t>
      </w:r>
      <w:r w:rsidRPr="00742923">
        <w:rPr>
          <w:rFonts w:asciiTheme="majorHAnsi" w:hAnsiTheme="majorHAnsi" w:cstheme="majorHAnsi"/>
          <w:sz w:val="16"/>
          <w:szCs w:val="16"/>
          <w:lang w:val="ro-MD"/>
        </w:rPr>
        <w:t>entru aprobarea Regulamentului cu privire la stabilirea și plata indemnizației în cazul decesului unuia dintre soți</w:t>
      </w:r>
      <w:r>
        <w:rPr>
          <w:rFonts w:asciiTheme="majorHAnsi" w:hAnsiTheme="majorHAnsi" w:cstheme="majorHAnsi"/>
          <w:sz w:val="16"/>
          <w:szCs w:val="16"/>
          <w:lang w:val="ro-MD"/>
        </w:rPr>
        <w:t>”</w:t>
      </w:r>
      <w:r w:rsidRPr="00B22B23">
        <w:rPr>
          <w:rFonts w:asciiTheme="majorHAnsi" w:hAnsiTheme="majorHAnsi" w:cstheme="majorHAnsi"/>
          <w:sz w:val="16"/>
          <w:szCs w:val="16"/>
          <w:lang w:val="ro-MD"/>
        </w:rPr>
        <w:t>.</w:t>
      </w:r>
    </w:p>
  </w:footnote>
  <w:footnote w:id="23">
    <w:p w14:paraId="1E90CA45" w14:textId="076C8034" w:rsidR="004059A3" w:rsidRPr="00742923" w:rsidRDefault="004059A3" w:rsidP="00ED3980">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742923">
        <w:rPr>
          <w:rFonts w:asciiTheme="majorHAnsi" w:hAnsiTheme="majorHAnsi" w:cstheme="majorHAnsi"/>
          <w:sz w:val="16"/>
          <w:szCs w:val="16"/>
          <w:lang w:val="ro-MD"/>
        </w:rPr>
        <w:t>Legea nr.127 din 09.07.2020</w:t>
      </w:r>
      <w:r>
        <w:rPr>
          <w:rFonts w:asciiTheme="majorHAnsi" w:hAnsiTheme="majorHAnsi" w:cstheme="majorHAnsi"/>
          <w:sz w:val="16"/>
          <w:szCs w:val="16"/>
          <w:lang w:val="ro-MD"/>
        </w:rPr>
        <w:t>.</w:t>
      </w:r>
      <w:r w:rsidRPr="00742923">
        <w:rPr>
          <w:rFonts w:asciiTheme="majorHAnsi" w:hAnsiTheme="majorHAnsi" w:cstheme="majorHAnsi"/>
          <w:sz w:val="16"/>
          <w:szCs w:val="16"/>
          <w:lang w:val="ro-MD"/>
        </w:rPr>
        <w:t xml:space="preserve"> </w:t>
      </w:r>
    </w:p>
  </w:footnote>
  <w:footnote w:id="24">
    <w:p w14:paraId="21714581" w14:textId="31286ACF" w:rsidR="004059A3" w:rsidRPr="00B10243" w:rsidRDefault="004059A3" w:rsidP="00767C7A">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Art.13 </w:t>
      </w:r>
      <w:r>
        <w:rPr>
          <w:rFonts w:asciiTheme="majorHAnsi" w:hAnsiTheme="majorHAnsi" w:cstheme="majorHAnsi"/>
          <w:sz w:val="16"/>
          <w:szCs w:val="16"/>
          <w:lang w:val="ro-MD"/>
        </w:rPr>
        <w:t>alin.</w:t>
      </w:r>
      <w:r w:rsidRPr="00B10243">
        <w:rPr>
          <w:rFonts w:asciiTheme="majorHAnsi" w:hAnsiTheme="majorHAnsi" w:cstheme="majorHAnsi"/>
          <w:sz w:val="16"/>
          <w:szCs w:val="16"/>
          <w:lang w:val="ro-MD"/>
        </w:rPr>
        <w:t xml:space="preserve">(1) din Legea nr.156-XIV din 14.10.1998 privind sistemul public de pensii (în continuare </w:t>
      </w:r>
      <w:r>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rPr>
        <w:t>Legea nr.156-XIV din 14.10.1998)</w:t>
      </w:r>
      <w:r>
        <w:rPr>
          <w:rFonts w:asciiTheme="majorHAnsi" w:hAnsiTheme="majorHAnsi" w:cstheme="majorHAnsi"/>
          <w:sz w:val="16"/>
          <w:szCs w:val="16"/>
          <w:lang w:val="ro-MD"/>
        </w:rPr>
        <w:t>.</w:t>
      </w:r>
    </w:p>
  </w:footnote>
  <w:footnote w:id="25">
    <w:p w14:paraId="118435AA" w14:textId="41316492" w:rsidR="004059A3" w:rsidRPr="00B10243" w:rsidRDefault="004059A3" w:rsidP="00767C7A">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eastAsia="Times New Roman" w:hAnsiTheme="majorHAnsi" w:cstheme="majorHAnsi"/>
          <w:sz w:val="16"/>
          <w:szCs w:val="16"/>
          <w:lang w:val="ro-MD"/>
        </w:rPr>
        <w:t xml:space="preserve">Art.33 din </w:t>
      </w:r>
      <w:r w:rsidRPr="00B10243">
        <w:rPr>
          <w:rFonts w:asciiTheme="majorHAnsi" w:hAnsiTheme="majorHAnsi" w:cstheme="majorHAnsi"/>
          <w:sz w:val="16"/>
          <w:szCs w:val="16"/>
          <w:lang w:val="ro-MD"/>
        </w:rPr>
        <w:t>Legea nr. 156-XIV din 14.10.1998.</w:t>
      </w:r>
    </w:p>
  </w:footnote>
  <w:footnote w:id="26">
    <w:p w14:paraId="180B7F65" w14:textId="1306A691"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 37 din Legea nr. 156-XIV din 14.10.1998.</w:t>
      </w:r>
    </w:p>
  </w:footnote>
  <w:footnote w:id="27">
    <w:p w14:paraId="0C2307DB" w14:textId="63824CBE"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Acord adițional nr.193.02/19 din 25.02.2019 </w:t>
      </w:r>
      <w:r w:rsidRPr="00B10243">
        <w:rPr>
          <w:rFonts w:asciiTheme="majorHAnsi" w:eastAsia="Calibri" w:hAnsiTheme="majorHAnsi" w:cstheme="majorHAnsi"/>
          <w:noProof/>
          <w:sz w:val="16"/>
          <w:szCs w:val="16"/>
          <w:lang w:val="ro-MD"/>
        </w:rPr>
        <w:t>cu privire la modificarea Acordului de colaborare privind utilizarea platformei de interoperabilitate (MConnect).</w:t>
      </w:r>
    </w:p>
  </w:footnote>
  <w:footnote w:id="28">
    <w:p w14:paraId="36F11EF2" w14:textId="71AB24A4" w:rsidR="004059A3" w:rsidRPr="005426A6" w:rsidRDefault="004059A3" w:rsidP="00767C7A">
      <w:pPr>
        <w:pStyle w:val="FootnoteText"/>
        <w:rPr>
          <w:rFonts w:asciiTheme="majorHAnsi" w:hAnsiTheme="majorHAnsi"/>
          <w:sz w:val="16"/>
          <w:szCs w:val="16"/>
        </w:rPr>
      </w:pPr>
      <w:r w:rsidRPr="005426A6">
        <w:rPr>
          <w:rStyle w:val="FootnoteReference"/>
          <w:rFonts w:asciiTheme="majorHAnsi" w:hAnsiTheme="majorHAnsi" w:cstheme="majorHAnsi"/>
          <w:sz w:val="16"/>
          <w:szCs w:val="16"/>
          <w:lang w:val="ro-RO"/>
        </w:rPr>
        <w:footnoteRef/>
      </w:r>
      <w:r w:rsidRPr="005426A6">
        <w:rPr>
          <w:rFonts w:asciiTheme="majorHAnsi" w:hAnsiTheme="majorHAnsi" w:cstheme="majorHAnsi"/>
          <w:sz w:val="16"/>
          <w:szCs w:val="16"/>
          <w:lang w:val="ro-RO"/>
        </w:rPr>
        <w:t xml:space="preserve"> </w:t>
      </w:r>
      <w:r>
        <w:rPr>
          <w:rFonts w:asciiTheme="majorHAnsi" w:hAnsiTheme="majorHAnsi" w:cstheme="majorHAnsi"/>
          <w:sz w:val="16"/>
          <w:szCs w:val="16"/>
          <w:lang w:val="ro-RO"/>
        </w:rPr>
        <w:t>A</w:t>
      </w:r>
      <w:r w:rsidRPr="005426A6">
        <w:rPr>
          <w:rFonts w:asciiTheme="majorHAnsi" w:hAnsiTheme="majorHAnsi" w:cstheme="majorHAnsi"/>
          <w:sz w:val="16"/>
          <w:szCs w:val="16"/>
          <w:lang w:val="ro-RO"/>
        </w:rPr>
        <w:t>rt.14 din Legea nr.173 din 19.12.2019</w:t>
      </w:r>
      <w:r>
        <w:rPr>
          <w:rFonts w:asciiTheme="majorHAnsi" w:hAnsiTheme="majorHAnsi" w:cstheme="majorHAnsi"/>
          <w:sz w:val="16"/>
          <w:szCs w:val="16"/>
          <w:lang w:val="ro-RO"/>
        </w:rPr>
        <w:t>.</w:t>
      </w:r>
      <w:r w:rsidRPr="005426A6">
        <w:rPr>
          <w:rFonts w:asciiTheme="majorHAnsi" w:hAnsiTheme="majorHAnsi" w:cstheme="majorHAnsi"/>
          <w:sz w:val="16"/>
          <w:szCs w:val="16"/>
          <w:lang w:val="ro-RO"/>
        </w:rPr>
        <w:t xml:space="preserve">  </w:t>
      </w:r>
    </w:p>
  </w:footnote>
  <w:footnote w:id="29">
    <w:p w14:paraId="6A242524" w14:textId="77777777" w:rsidR="004059A3" w:rsidRPr="00915E84" w:rsidRDefault="004059A3" w:rsidP="00434262">
      <w:pPr>
        <w:pStyle w:val="FootnoteText"/>
        <w:rPr>
          <w:rFonts w:asciiTheme="majorHAnsi" w:hAnsiTheme="majorHAnsi" w:cstheme="majorHAnsi"/>
          <w:sz w:val="16"/>
          <w:szCs w:val="16"/>
        </w:rPr>
      </w:pPr>
      <w:r w:rsidRPr="00915E84">
        <w:rPr>
          <w:rStyle w:val="FootnoteReference"/>
          <w:rFonts w:asciiTheme="majorHAnsi" w:hAnsiTheme="majorHAnsi" w:cstheme="majorHAnsi"/>
          <w:sz w:val="16"/>
          <w:szCs w:val="16"/>
        </w:rPr>
        <w:footnoteRef/>
      </w:r>
      <w:r w:rsidRPr="00915E84">
        <w:rPr>
          <w:rFonts w:asciiTheme="majorHAnsi" w:hAnsiTheme="majorHAnsi" w:cstheme="majorHAnsi"/>
          <w:sz w:val="16"/>
          <w:szCs w:val="16"/>
        </w:rPr>
        <w:t xml:space="preserve"> </w:t>
      </w:r>
      <w:r w:rsidRPr="00915E84">
        <w:rPr>
          <w:rFonts w:asciiTheme="majorHAnsi" w:hAnsiTheme="majorHAnsi" w:cstheme="majorHAnsi"/>
          <w:sz w:val="16"/>
          <w:szCs w:val="16"/>
          <w:lang w:val="ro-RO"/>
        </w:rPr>
        <w:t>Regulamentul cu privire la modul de stabilire și plată a ajutorului social, aprobat prin Hotărârea Guvernului nr.1167 din 16.10.2008.</w:t>
      </w:r>
    </w:p>
  </w:footnote>
  <w:footnote w:id="30">
    <w:p w14:paraId="4A7965F5" w14:textId="2191F19F" w:rsidR="004059A3" w:rsidRPr="00B10243" w:rsidRDefault="004059A3" w:rsidP="00C670F9">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Pct.9  din Regulamentul privind organizarea și funcționarea Inspecției Sociale</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Hotărârea Guvernului nr. 802 din 28.10.2011 </w:t>
      </w:r>
      <w:r>
        <w:rPr>
          <w:rFonts w:asciiTheme="majorHAnsi" w:hAnsiTheme="majorHAnsi" w:cstheme="majorHAnsi"/>
          <w:sz w:val="16"/>
          <w:szCs w:val="16"/>
          <w:lang w:val="ro-MD"/>
        </w:rPr>
        <w:t>„C</w:t>
      </w:r>
      <w:r w:rsidRPr="00B10243">
        <w:rPr>
          <w:rFonts w:asciiTheme="majorHAnsi" w:hAnsiTheme="majorHAnsi" w:cstheme="majorHAnsi"/>
          <w:sz w:val="16"/>
          <w:szCs w:val="16"/>
          <w:lang w:val="ro-MD"/>
        </w:rPr>
        <w:t>u privire la instituirea Inspecției Sociale</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(în continuare</w:t>
      </w:r>
      <w:r w:rsidRPr="00B10243">
        <w:rPr>
          <w:lang w:val="ro-MD"/>
        </w:rPr>
        <w:t xml:space="preserve"> </w:t>
      </w:r>
      <w:r w:rsidRPr="00B10243">
        <w:rPr>
          <w:sz w:val="16"/>
          <w:szCs w:val="16"/>
          <w:lang w:val="ro-MD"/>
        </w:rPr>
        <w:t xml:space="preserve">– </w:t>
      </w:r>
      <w:r w:rsidRPr="00B10243">
        <w:rPr>
          <w:rFonts w:asciiTheme="majorHAnsi" w:hAnsiTheme="majorHAnsi" w:cstheme="majorHAnsi"/>
          <w:sz w:val="16"/>
          <w:szCs w:val="16"/>
          <w:lang w:val="ro-MD"/>
        </w:rPr>
        <w:t>Regulamentul privind organizarea și funcționarea Inspecției Sociale).</w:t>
      </w:r>
    </w:p>
  </w:footnote>
  <w:footnote w:id="31">
    <w:p w14:paraId="2E494FA2" w14:textId="761A5D4C" w:rsidR="004059A3" w:rsidRPr="00C82B0D" w:rsidRDefault="004059A3" w:rsidP="00C670F9">
      <w:pPr>
        <w:pStyle w:val="FootnoteText"/>
        <w:rPr>
          <w:lang w:val="ro-RO"/>
        </w:rPr>
      </w:pPr>
      <w:r w:rsidRPr="00C82B0D">
        <w:rPr>
          <w:rStyle w:val="FootnoteReference"/>
          <w:rFonts w:asciiTheme="majorHAnsi" w:hAnsiTheme="majorHAnsi" w:cstheme="majorHAnsi"/>
          <w:sz w:val="16"/>
          <w:szCs w:val="16"/>
          <w:lang w:val="ro-RO"/>
        </w:rPr>
        <w:footnoteRef/>
      </w:r>
      <w:r w:rsidRPr="00C82B0D">
        <w:rPr>
          <w:rFonts w:asciiTheme="majorHAnsi" w:hAnsiTheme="majorHAnsi" w:cstheme="majorHAnsi"/>
          <w:sz w:val="16"/>
          <w:szCs w:val="16"/>
          <w:lang w:val="ro-RO"/>
        </w:rPr>
        <w:t xml:space="preserve"> P</w:t>
      </w:r>
      <w:r>
        <w:rPr>
          <w:rFonts w:asciiTheme="majorHAnsi" w:hAnsiTheme="majorHAnsi" w:cstheme="majorHAnsi"/>
          <w:sz w:val="16"/>
          <w:szCs w:val="16"/>
          <w:lang w:val="ro-RO"/>
        </w:rPr>
        <w:t>ct</w:t>
      </w:r>
      <w:r w:rsidRPr="00C82B0D">
        <w:rPr>
          <w:rFonts w:asciiTheme="majorHAnsi" w:hAnsiTheme="majorHAnsi" w:cstheme="majorHAnsi"/>
          <w:sz w:val="16"/>
          <w:szCs w:val="16"/>
          <w:lang w:val="ro-RO"/>
        </w:rPr>
        <w:t>.</w:t>
      </w:r>
      <w:r w:rsidRPr="00BD7682">
        <w:rPr>
          <w:rFonts w:asciiTheme="majorHAnsi" w:hAnsiTheme="majorHAnsi" w:cstheme="majorHAnsi"/>
          <w:sz w:val="16"/>
          <w:szCs w:val="16"/>
          <w:lang w:val="ro-RO"/>
        </w:rPr>
        <w:t>10 subpct. 5) din Regulamentul privind organizarea și funcționa</w:t>
      </w:r>
      <w:r>
        <w:rPr>
          <w:rFonts w:asciiTheme="majorHAnsi" w:hAnsiTheme="majorHAnsi" w:cstheme="majorHAnsi"/>
          <w:sz w:val="16"/>
          <w:szCs w:val="16"/>
          <w:lang w:val="ro-RO"/>
        </w:rPr>
        <w:t>rea Inspecției Sociale.</w:t>
      </w:r>
    </w:p>
  </w:footnote>
  <w:footnote w:id="32">
    <w:p w14:paraId="0121DE67" w14:textId="316B5038" w:rsidR="004059A3" w:rsidRPr="001748BA" w:rsidRDefault="004059A3" w:rsidP="009C1E24">
      <w:pPr>
        <w:pStyle w:val="FootnoteText"/>
        <w:rPr>
          <w:rFonts w:asciiTheme="majorHAnsi" w:hAnsiTheme="majorHAnsi" w:cstheme="majorHAnsi"/>
          <w:sz w:val="16"/>
          <w:szCs w:val="16"/>
        </w:rPr>
      </w:pPr>
      <w:r w:rsidRPr="001748BA">
        <w:rPr>
          <w:rStyle w:val="FootnoteReference"/>
          <w:rFonts w:asciiTheme="majorHAnsi" w:hAnsiTheme="majorHAnsi" w:cstheme="majorHAnsi"/>
          <w:sz w:val="16"/>
          <w:szCs w:val="16"/>
        </w:rPr>
        <w:footnoteRef/>
      </w:r>
      <w:r w:rsidRPr="001748BA">
        <w:rPr>
          <w:rFonts w:asciiTheme="majorHAnsi" w:hAnsiTheme="majorHAnsi" w:cstheme="majorHAnsi"/>
          <w:sz w:val="16"/>
          <w:szCs w:val="16"/>
        </w:rPr>
        <w:t xml:space="preserve"> </w:t>
      </w:r>
      <w:r w:rsidRPr="001748BA">
        <w:rPr>
          <w:rFonts w:asciiTheme="majorHAnsi" w:eastAsia="Times New Roman" w:hAnsiTheme="majorHAnsi" w:cstheme="majorHAnsi"/>
          <w:color w:val="000000"/>
          <w:sz w:val="16"/>
          <w:szCs w:val="16"/>
          <w:lang w:val="ro-RO"/>
        </w:rPr>
        <w:t>A</w:t>
      </w:r>
      <w:r w:rsidRPr="007C2CCA">
        <w:rPr>
          <w:rFonts w:asciiTheme="majorHAnsi" w:eastAsia="Times New Roman" w:hAnsiTheme="majorHAnsi" w:cstheme="majorHAnsi"/>
          <w:color w:val="000000"/>
          <w:sz w:val="16"/>
          <w:szCs w:val="16"/>
          <w:lang w:val="ro-RO"/>
        </w:rPr>
        <w:t>rt.32 alin.(1) din</w:t>
      </w:r>
      <w:r w:rsidRPr="001748BA">
        <w:rPr>
          <w:rFonts w:asciiTheme="majorHAnsi" w:eastAsia="Times New Roman" w:hAnsiTheme="majorHAnsi" w:cstheme="majorHAnsi"/>
          <w:color w:val="000000"/>
          <w:sz w:val="16"/>
          <w:szCs w:val="16"/>
          <w:lang w:val="ro-RO"/>
        </w:rPr>
        <w:t xml:space="preserve"> Legea nr.113-XVI din 27.04.2007.</w:t>
      </w:r>
    </w:p>
  </w:footnote>
  <w:footnote w:id="33">
    <w:p w14:paraId="4B1868EB" w14:textId="73D1665B" w:rsidR="004059A3" w:rsidRPr="00915E84" w:rsidRDefault="004059A3" w:rsidP="000929E5">
      <w:pPr>
        <w:pStyle w:val="FootnoteText"/>
        <w:rPr>
          <w:rFonts w:asciiTheme="majorHAnsi" w:hAnsiTheme="majorHAnsi" w:cstheme="majorHAnsi"/>
        </w:rPr>
      </w:pPr>
      <w:r w:rsidRPr="00915E84">
        <w:rPr>
          <w:rStyle w:val="FootnoteReference"/>
          <w:rFonts w:asciiTheme="majorHAnsi" w:hAnsiTheme="majorHAnsi" w:cstheme="majorHAnsi"/>
          <w:sz w:val="16"/>
          <w:szCs w:val="16"/>
        </w:rPr>
        <w:footnoteRef/>
      </w:r>
      <w:r w:rsidRPr="00915E84">
        <w:rPr>
          <w:rFonts w:asciiTheme="majorHAnsi" w:hAnsiTheme="majorHAnsi" w:cstheme="majorHAnsi"/>
          <w:sz w:val="16"/>
          <w:szCs w:val="16"/>
        </w:rPr>
        <w:t xml:space="preserve"> Art.14 </w:t>
      </w:r>
      <w:r w:rsidRPr="00915E84">
        <w:rPr>
          <w:rFonts w:asciiTheme="majorHAnsi" w:hAnsiTheme="majorHAnsi" w:cstheme="majorHAnsi"/>
          <w:sz w:val="16"/>
          <w:szCs w:val="16"/>
          <w:lang w:val="ro-RO"/>
        </w:rPr>
        <w:t>din</w:t>
      </w:r>
      <w:r w:rsidRPr="00915E84">
        <w:rPr>
          <w:rFonts w:asciiTheme="majorHAnsi" w:hAnsiTheme="majorHAnsi" w:cstheme="majorHAnsi"/>
          <w:lang w:val="ro-RO"/>
        </w:rPr>
        <w:t xml:space="preserve"> </w:t>
      </w:r>
      <w:r w:rsidRPr="00915E84">
        <w:rPr>
          <w:rFonts w:asciiTheme="majorHAnsi" w:hAnsiTheme="majorHAnsi" w:cstheme="majorHAnsi"/>
          <w:sz w:val="16"/>
          <w:szCs w:val="16"/>
          <w:lang w:val="ro-RO"/>
        </w:rPr>
        <w:t>Legea</w:t>
      </w:r>
      <w:r w:rsidRPr="00915E84">
        <w:rPr>
          <w:rFonts w:asciiTheme="majorHAnsi" w:hAnsiTheme="majorHAnsi" w:cstheme="majorHAnsi"/>
          <w:sz w:val="16"/>
          <w:szCs w:val="16"/>
        </w:rPr>
        <w:t xml:space="preserve"> </w:t>
      </w:r>
      <w:r w:rsidRPr="00915E84">
        <w:rPr>
          <w:rFonts w:asciiTheme="majorHAnsi" w:hAnsiTheme="majorHAnsi" w:cstheme="majorHAnsi"/>
          <w:sz w:val="16"/>
          <w:szCs w:val="16"/>
          <w:lang w:val="ro-RO"/>
        </w:rPr>
        <w:t>asigurării pentru accidente de muncă și boli profesionale</w:t>
      </w:r>
      <w:r>
        <w:rPr>
          <w:rFonts w:asciiTheme="majorHAnsi" w:hAnsiTheme="majorHAnsi" w:cstheme="majorHAnsi"/>
          <w:sz w:val="16"/>
          <w:szCs w:val="16"/>
          <w:lang w:val="ro-RO"/>
        </w:rPr>
        <w:t xml:space="preserve"> </w:t>
      </w:r>
      <w:r w:rsidRPr="00915E84">
        <w:rPr>
          <w:rFonts w:asciiTheme="majorHAnsi" w:hAnsiTheme="majorHAnsi" w:cstheme="majorHAnsi"/>
          <w:sz w:val="16"/>
          <w:szCs w:val="16"/>
        </w:rPr>
        <w:t>nr.756 din 24.12.1999</w:t>
      </w:r>
      <w:r w:rsidRPr="00915E84">
        <w:rPr>
          <w:rFonts w:asciiTheme="majorHAnsi" w:hAnsiTheme="majorHAnsi" w:cstheme="majorHAnsi"/>
          <w:sz w:val="16"/>
          <w:szCs w:val="16"/>
          <w:lang w:val="ro-RO"/>
        </w:rPr>
        <w:t>.</w:t>
      </w:r>
    </w:p>
  </w:footnote>
  <w:footnote w:id="34">
    <w:p w14:paraId="630676D0" w14:textId="54105115" w:rsidR="004059A3" w:rsidRPr="005426A6" w:rsidRDefault="004059A3" w:rsidP="005B4004">
      <w:pPr>
        <w:pStyle w:val="FootnoteText"/>
      </w:pPr>
      <w:r w:rsidRPr="009A63BA">
        <w:rPr>
          <w:rStyle w:val="FootnoteReference"/>
          <w:rFonts w:asciiTheme="majorHAnsi" w:hAnsiTheme="majorHAnsi"/>
          <w:sz w:val="16"/>
          <w:szCs w:val="16"/>
        </w:rPr>
        <w:footnoteRef/>
      </w:r>
      <w:r w:rsidRPr="009A63BA">
        <w:rPr>
          <w:rFonts w:asciiTheme="majorHAnsi" w:hAnsiTheme="majorHAnsi"/>
          <w:sz w:val="16"/>
          <w:szCs w:val="16"/>
        </w:rPr>
        <w:t xml:space="preserve"> </w:t>
      </w:r>
      <w:r w:rsidRPr="009A63BA">
        <w:rPr>
          <w:rFonts w:asciiTheme="majorHAnsi" w:hAnsiTheme="majorHAnsi" w:cstheme="majorHAnsi"/>
          <w:sz w:val="16"/>
          <w:szCs w:val="16"/>
          <w:lang w:val="ro-MD"/>
        </w:rPr>
        <w:t xml:space="preserve">Ordinul ministrului </w:t>
      </w:r>
      <w:r>
        <w:rPr>
          <w:rFonts w:asciiTheme="majorHAnsi" w:hAnsiTheme="majorHAnsi" w:cstheme="majorHAnsi"/>
          <w:sz w:val="16"/>
          <w:szCs w:val="16"/>
          <w:lang w:val="ro-MD"/>
        </w:rPr>
        <w:t>Finanțelor nr.38 din 17.02.2017.</w:t>
      </w:r>
    </w:p>
  </w:footnote>
  <w:footnote w:id="35">
    <w:p w14:paraId="0A090593" w14:textId="676C7BB6" w:rsidR="004059A3" w:rsidRPr="00915E84" w:rsidRDefault="004059A3" w:rsidP="00B10243">
      <w:pPr>
        <w:pStyle w:val="FootnoteText"/>
        <w:jc w:val="both"/>
        <w:rPr>
          <w:rFonts w:asciiTheme="majorHAnsi" w:hAnsiTheme="majorHAnsi" w:cstheme="majorHAnsi"/>
          <w:sz w:val="16"/>
          <w:szCs w:val="16"/>
        </w:rPr>
      </w:pPr>
      <w:r w:rsidRPr="009A63BA">
        <w:rPr>
          <w:rStyle w:val="FootnoteReference"/>
          <w:rFonts w:asciiTheme="majorHAnsi" w:hAnsiTheme="majorHAnsi"/>
          <w:sz w:val="16"/>
          <w:szCs w:val="16"/>
        </w:rPr>
        <w:footnoteRef/>
      </w:r>
      <w:r w:rsidRPr="009A63BA">
        <w:rPr>
          <w:rFonts w:asciiTheme="majorHAnsi" w:hAnsiTheme="majorHAnsi"/>
          <w:sz w:val="16"/>
          <w:szCs w:val="16"/>
        </w:rPr>
        <w:t xml:space="preserve"> </w:t>
      </w:r>
      <w:r w:rsidRPr="00915E84">
        <w:rPr>
          <w:rFonts w:asciiTheme="majorHAnsi" w:hAnsiTheme="majorHAnsi" w:cstheme="majorHAnsi"/>
          <w:sz w:val="16"/>
          <w:szCs w:val="16"/>
          <w:lang w:val="ro-MD"/>
        </w:rPr>
        <w:t>Art. 391 alin. (1) din C</w:t>
      </w:r>
      <w:r w:rsidRPr="00C25300">
        <w:rPr>
          <w:rFonts w:asciiTheme="majorHAnsi" w:hAnsiTheme="majorHAnsi" w:cstheme="majorHAnsi"/>
          <w:sz w:val="16"/>
          <w:szCs w:val="16"/>
          <w:lang w:val="ro-MD"/>
        </w:rPr>
        <w:t xml:space="preserve">odul civil al Republicii Moldova, aprobat prin Legea nr.1107-XV din 06.06.2002 (republicat în Monitorul Oficial </w:t>
      </w:r>
      <w:r>
        <w:rPr>
          <w:rFonts w:asciiTheme="majorHAnsi" w:hAnsiTheme="majorHAnsi" w:cstheme="majorHAnsi"/>
          <w:sz w:val="16"/>
          <w:szCs w:val="16"/>
          <w:lang w:val="ro-MD"/>
        </w:rPr>
        <w:t xml:space="preserve">al Republicii Moldova </w:t>
      </w:r>
      <w:r w:rsidRPr="00C25300">
        <w:rPr>
          <w:rFonts w:asciiTheme="majorHAnsi" w:hAnsiTheme="majorHAnsi" w:cstheme="majorHAnsi"/>
          <w:sz w:val="16"/>
          <w:szCs w:val="16"/>
          <w:lang w:val="ro-MD"/>
        </w:rPr>
        <w:t>nr. 66-75 din 01.03.2019, art. 132).</w:t>
      </w:r>
    </w:p>
  </w:footnote>
  <w:footnote w:id="36">
    <w:p w14:paraId="17277D1F" w14:textId="77777777" w:rsidR="004059A3" w:rsidRPr="000136F8" w:rsidRDefault="004059A3" w:rsidP="009D6FE1">
      <w:pPr>
        <w:spacing w:after="0"/>
        <w:jc w:val="both"/>
        <w:rPr>
          <w:rFonts w:asciiTheme="majorHAnsi" w:hAnsiTheme="majorHAnsi" w:cstheme="majorHAnsi"/>
          <w:sz w:val="16"/>
          <w:szCs w:val="16"/>
          <w:highlight w:val="yellow"/>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0136F8">
        <w:rPr>
          <w:rFonts w:asciiTheme="majorHAnsi" w:hAnsiTheme="majorHAnsi" w:cstheme="majorHAnsi"/>
          <w:sz w:val="16"/>
          <w:szCs w:val="16"/>
          <w:lang w:val="ro-MD"/>
        </w:rPr>
        <w:t>Legea nr.158 din 05.12.2019 cu privire la acordarea suportului financiar unic beneficiarilor de pensii și alocații sociale de stat.</w:t>
      </w:r>
    </w:p>
  </w:footnote>
  <w:footnote w:id="37">
    <w:p w14:paraId="4BEC31BA" w14:textId="6F467928" w:rsidR="004059A3" w:rsidRPr="00B10243" w:rsidRDefault="004059A3" w:rsidP="003D22DC">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 4, art. 8 și art. 15 din Legea nr.229 din 23.09.2010 privind controlul financiar public intern (în continuare – Legea </w:t>
      </w:r>
      <w:r w:rsidRPr="000136F8">
        <w:rPr>
          <w:rFonts w:asciiTheme="majorHAnsi" w:eastAsia="Times New Roman" w:hAnsiTheme="majorHAnsi" w:cstheme="majorHAnsi"/>
          <w:sz w:val="16"/>
          <w:szCs w:val="16"/>
          <w:lang w:val="ro-MD"/>
        </w:rPr>
        <w:t>nr.229 din 23.09.2010)</w:t>
      </w:r>
      <w:r w:rsidRPr="00B10243">
        <w:rPr>
          <w:rFonts w:asciiTheme="majorHAnsi" w:hAnsiTheme="majorHAnsi" w:cstheme="majorHAnsi"/>
          <w:sz w:val="16"/>
          <w:szCs w:val="16"/>
          <w:lang w:val="ro-MD"/>
        </w:rPr>
        <w:t>.</w:t>
      </w:r>
    </w:p>
  </w:footnote>
  <w:footnote w:id="38">
    <w:p w14:paraId="3F3C868F" w14:textId="1CC897A1" w:rsidR="004059A3" w:rsidRPr="000136F8" w:rsidRDefault="004059A3" w:rsidP="003D22DC">
      <w:pPr>
        <w:pStyle w:val="NoSpacing"/>
        <w:rPr>
          <w:rFonts w:asciiTheme="majorHAnsi" w:hAnsiTheme="majorHAnsi" w:cstheme="majorHAnsi"/>
          <w:sz w:val="16"/>
          <w:szCs w:val="16"/>
          <w:lang w:val="ro-MD"/>
        </w:rPr>
      </w:pPr>
      <w:r w:rsidRPr="000136F8">
        <w:rPr>
          <w:rStyle w:val="FootnoteReference"/>
          <w:rFonts w:asciiTheme="majorHAnsi" w:hAnsiTheme="majorHAnsi" w:cstheme="majorHAnsi"/>
          <w:sz w:val="16"/>
          <w:szCs w:val="16"/>
          <w:lang w:val="ro-MD"/>
        </w:rPr>
        <w:footnoteRef/>
      </w:r>
      <w:r w:rsidRPr="000136F8">
        <w:rPr>
          <w:rFonts w:asciiTheme="majorHAnsi" w:hAnsiTheme="majorHAnsi" w:cstheme="majorHAnsi"/>
          <w:sz w:val="16"/>
          <w:szCs w:val="16"/>
          <w:lang w:val="ro-MD"/>
        </w:rPr>
        <w:t xml:space="preserve"> </w:t>
      </w:r>
      <w:r w:rsidRPr="000136F8">
        <w:rPr>
          <w:rFonts w:asciiTheme="majorHAnsi" w:eastAsia="Times New Roman" w:hAnsiTheme="majorHAnsi" w:cstheme="majorHAnsi"/>
          <w:sz w:val="16"/>
          <w:szCs w:val="16"/>
          <w:lang w:val="ro-MD"/>
        </w:rPr>
        <w:t>Legea nr.229 din 23.09.2010.</w:t>
      </w:r>
    </w:p>
  </w:footnote>
  <w:footnote w:id="39">
    <w:p w14:paraId="5CFC5C1B" w14:textId="5E9F496C" w:rsidR="004059A3" w:rsidRPr="00814622" w:rsidRDefault="004059A3" w:rsidP="005B3F13">
      <w:pPr>
        <w:spacing w:after="0"/>
        <w:jc w:val="both"/>
        <w:rPr>
          <w:rFonts w:asciiTheme="majorHAnsi" w:hAnsiTheme="majorHAnsi" w:cstheme="majorHAnsi"/>
          <w:sz w:val="16"/>
          <w:szCs w:val="16"/>
          <w:lang w:val="ro-RO"/>
        </w:rPr>
      </w:pPr>
      <w:r w:rsidRPr="00484924">
        <w:rPr>
          <w:rStyle w:val="FootnoteReference"/>
          <w:rFonts w:asciiTheme="majorHAnsi" w:hAnsiTheme="majorHAnsi" w:cstheme="majorHAnsi"/>
          <w:sz w:val="16"/>
          <w:szCs w:val="16"/>
          <w:lang w:val="ro-RO"/>
        </w:rPr>
        <w:footnoteRef/>
      </w:r>
      <w:r w:rsidRPr="00484924">
        <w:rPr>
          <w:rFonts w:asciiTheme="majorHAnsi" w:hAnsiTheme="majorHAnsi" w:cstheme="majorHAnsi"/>
          <w:sz w:val="16"/>
          <w:szCs w:val="16"/>
          <w:lang w:val="ro-RO"/>
        </w:rPr>
        <w:t xml:space="preserve"> </w:t>
      </w:r>
      <w:r w:rsidRPr="00814622">
        <w:rPr>
          <w:rFonts w:asciiTheme="majorHAnsi" w:eastAsia="Times New Roman" w:hAnsiTheme="majorHAnsi" w:cstheme="majorHAnsi"/>
          <w:sz w:val="16"/>
          <w:szCs w:val="16"/>
          <w:lang w:val="ro-RO"/>
        </w:rPr>
        <w:t>Hotărârea Curții de Conturi nr.29 din 15.07.2020 „Cu privire la Raportul auditului financiar asupra Raportului Guvernului privind executarea bugetului asigurărilor social</w:t>
      </w:r>
      <w:r>
        <w:rPr>
          <w:rFonts w:asciiTheme="majorHAnsi" w:eastAsia="Times New Roman" w:hAnsiTheme="majorHAnsi" w:cstheme="majorHAnsi"/>
          <w:sz w:val="16"/>
          <w:szCs w:val="16"/>
          <w:lang w:val="ro-RO"/>
        </w:rPr>
        <w:t>e de stat în anul bugetar 2019”,</w:t>
      </w:r>
      <w:r w:rsidRPr="005B3F13">
        <w:rPr>
          <w:rFonts w:asciiTheme="majorHAnsi" w:hAnsiTheme="majorHAnsi" w:cs="Calibri Light"/>
          <w:iCs/>
          <w:sz w:val="16"/>
          <w:szCs w:val="16"/>
          <w:lang w:val="ro-RO"/>
        </w:rPr>
        <w:t xml:space="preserve"> înaintate 25 recomandări.</w:t>
      </w:r>
    </w:p>
  </w:footnote>
  <w:footnote w:id="40">
    <w:p w14:paraId="56EFBD37" w14:textId="3EFF9DFA" w:rsidR="004059A3" w:rsidRPr="00B10243" w:rsidRDefault="004059A3" w:rsidP="00236F9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hAnsiTheme="majorHAnsi" w:cstheme="majorHAnsi"/>
          <w:color w:val="000000"/>
          <w:sz w:val="16"/>
          <w:szCs w:val="16"/>
          <w:shd w:val="clear" w:color="auto" w:fill="FFFFFF"/>
          <w:lang w:val="ro-MD"/>
        </w:rPr>
        <w:t>Contract de prestare a serviciilor de distribuire a prestațiilor sociale prin Serviciul Guvernamental de Plăți Electronice nr. 3009-287 din 29.12.2020.</w:t>
      </w:r>
    </w:p>
  </w:footnote>
  <w:footnote w:id="41">
    <w:p w14:paraId="0E5AD28B" w14:textId="4063A13A" w:rsidR="004059A3" w:rsidRPr="00B10243" w:rsidRDefault="004059A3" w:rsidP="00B10243">
      <w:pPr>
        <w:pStyle w:val="FootnoteText"/>
        <w:jc w:val="both"/>
        <w:rPr>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Pct.6.6 din Raportul auditului financiar al Raportului Guvernului privind executarea bugetului asigurărilor sociale de stat în anul 2019</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HCC nr. 29 din 15 iulie 2020</w:t>
      </w:r>
      <w:r>
        <w:rPr>
          <w:rFonts w:asciiTheme="majorHAnsi" w:hAnsiTheme="majorHAnsi" w:cstheme="majorHAnsi"/>
          <w:sz w:val="16"/>
          <w:szCs w:val="16"/>
          <w:lang w:val="ro-MD"/>
        </w:rPr>
        <w:t>.</w:t>
      </w:r>
    </w:p>
  </w:footnote>
  <w:footnote w:id="42">
    <w:p w14:paraId="4D4BE24C" w14:textId="53FE2F47" w:rsidR="004059A3" w:rsidRPr="00B10243" w:rsidRDefault="004059A3" w:rsidP="00B10243">
      <w:pPr>
        <w:pStyle w:val="FootnoteText"/>
        <w:jc w:val="both"/>
        <w:rPr>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Pct.5 și p</w:t>
      </w:r>
      <w:r>
        <w:rPr>
          <w:rFonts w:asciiTheme="majorHAnsi" w:hAnsiTheme="majorHAnsi" w:cstheme="majorHAnsi"/>
          <w:sz w:val="16"/>
          <w:szCs w:val="16"/>
          <w:lang w:val="ro-MD"/>
        </w:rPr>
        <w:t>ct</w:t>
      </w:r>
      <w:r w:rsidRPr="00B10243">
        <w:rPr>
          <w:rFonts w:asciiTheme="majorHAnsi" w:hAnsiTheme="majorHAnsi" w:cstheme="majorHAnsi"/>
          <w:sz w:val="16"/>
          <w:szCs w:val="16"/>
          <w:lang w:val="ro-MD"/>
        </w:rPr>
        <w:t>. 8 din Capitolul VIII „Recomandări” al  Raportului auditului financiar al Raportului Guvernului privind executarea bugetului asigurărilor</w:t>
      </w:r>
      <w:r w:rsidRPr="003F4DA4">
        <w:rPr>
          <w:rFonts w:asciiTheme="majorHAnsi" w:hAnsiTheme="majorHAnsi" w:cstheme="majorHAnsi"/>
          <w:sz w:val="16"/>
          <w:szCs w:val="16"/>
          <w:lang w:val="ro-MD"/>
        </w:rPr>
        <w:t xml:space="preserve"> sociale de stat în anul 2019</w:t>
      </w:r>
      <w:r>
        <w:rPr>
          <w:rFonts w:asciiTheme="majorHAnsi" w:hAnsiTheme="majorHAnsi" w:cstheme="majorHAnsi"/>
          <w:sz w:val="16"/>
          <w:szCs w:val="16"/>
          <w:lang w:val="ro-MD"/>
        </w:rPr>
        <w:t>,</w:t>
      </w:r>
      <w:r w:rsidRPr="003F4DA4">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rPr>
        <w:t>aprobat prin HCC nr. 29 din 15 iulie 2020</w:t>
      </w:r>
      <w:r>
        <w:rPr>
          <w:rFonts w:asciiTheme="majorHAnsi" w:hAnsiTheme="majorHAnsi" w:cstheme="majorHAnsi"/>
          <w:sz w:val="16"/>
          <w:szCs w:val="16"/>
          <w:lang w:val="ro-MD"/>
        </w:rPr>
        <w:t>.</w:t>
      </w:r>
    </w:p>
  </w:footnote>
  <w:footnote w:id="43">
    <w:p w14:paraId="1C991CA9" w14:textId="36DE4D56" w:rsidR="004059A3" w:rsidRPr="00B10243" w:rsidRDefault="004059A3" w:rsidP="005227E0">
      <w:pPr>
        <w:pStyle w:val="FootnoteText"/>
        <w:rPr>
          <w:rFonts w:asciiTheme="majorHAnsi" w:hAnsiTheme="majorHAnsi" w:cstheme="majorHAnsi"/>
          <w:sz w:val="16"/>
          <w:szCs w:val="16"/>
        </w:rPr>
      </w:pPr>
      <w:r w:rsidRPr="00B10243">
        <w:rPr>
          <w:rStyle w:val="FootnoteReference"/>
          <w:rFonts w:asciiTheme="majorHAnsi" w:hAnsiTheme="majorHAnsi" w:cstheme="majorHAnsi"/>
          <w:sz w:val="16"/>
          <w:szCs w:val="16"/>
        </w:rPr>
        <w:footnoteRef/>
      </w:r>
      <w:r w:rsidRPr="00B10243">
        <w:rPr>
          <w:rFonts w:asciiTheme="majorHAnsi" w:hAnsiTheme="majorHAnsi" w:cstheme="majorHAnsi"/>
          <w:sz w:val="16"/>
          <w:szCs w:val="16"/>
        </w:rPr>
        <w:t xml:space="preserve"> </w:t>
      </w:r>
      <w:r w:rsidRPr="0029287B">
        <w:rPr>
          <w:rFonts w:asciiTheme="majorHAnsi" w:hAnsiTheme="majorHAnsi" w:cstheme="majorHAnsi"/>
          <w:sz w:val="16"/>
          <w:szCs w:val="16"/>
          <w:lang w:val="ro-RO"/>
        </w:rPr>
        <w:t>Art. 4</w:t>
      </w:r>
      <w:r>
        <w:rPr>
          <w:rFonts w:asciiTheme="majorHAnsi" w:hAnsiTheme="majorHAnsi" w:cstheme="majorHAnsi"/>
          <w:sz w:val="16"/>
          <w:szCs w:val="16"/>
          <w:lang w:val="ro-RO"/>
        </w:rPr>
        <w:t xml:space="preserve"> alin.</w:t>
      </w:r>
      <w:r w:rsidRPr="0029287B">
        <w:rPr>
          <w:rFonts w:asciiTheme="majorHAnsi" w:hAnsiTheme="majorHAnsi" w:cstheme="majorHAnsi"/>
          <w:sz w:val="16"/>
          <w:szCs w:val="16"/>
          <w:lang w:val="ro-RO"/>
        </w:rPr>
        <w:t xml:space="preserve">(11) din Legea </w:t>
      </w:r>
      <w:r>
        <w:rPr>
          <w:rFonts w:asciiTheme="majorHAnsi" w:hAnsiTheme="majorHAnsi" w:cstheme="majorHAnsi"/>
          <w:sz w:val="16"/>
          <w:szCs w:val="16"/>
          <w:lang w:val="ro-RO"/>
        </w:rPr>
        <w:t>nr.</w:t>
      </w:r>
      <w:r w:rsidRPr="0029287B">
        <w:rPr>
          <w:rFonts w:asciiTheme="majorHAnsi" w:hAnsiTheme="majorHAnsi" w:cstheme="majorHAnsi"/>
          <w:sz w:val="16"/>
          <w:szCs w:val="16"/>
          <w:lang w:val="ro-RO"/>
        </w:rPr>
        <w:t>489 din 08.07.1999.</w:t>
      </w:r>
    </w:p>
  </w:footnote>
  <w:footnote w:id="44">
    <w:p w14:paraId="4E257CE5" w14:textId="22FA0BF1" w:rsidR="004059A3" w:rsidRPr="002A008A" w:rsidRDefault="004059A3" w:rsidP="00394407">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2A008A">
        <w:rPr>
          <w:rFonts w:asciiTheme="majorHAnsi" w:hAnsiTheme="majorHAnsi" w:cstheme="majorHAnsi"/>
          <w:sz w:val="16"/>
          <w:szCs w:val="16"/>
          <w:lang w:val="ro-MD"/>
        </w:rPr>
        <w:t xml:space="preserve"> Legea nr.174 din 11.09.2020 pentru modificarea Legii bugetului asigurărilor sociale de stat pe anul 2020 nr. 173 din 19.12.2019.</w:t>
      </w:r>
    </w:p>
  </w:footnote>
  <w:footnote w:id="45">
    <w:p w14:paraId="0F35469E" w14:textId="77777777" w:rsidR="004059A3" w:rsidRPr="00B10243" w:rsidRDefault="004059A3" w:rsidP="00394407">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2A008A">
        <w:rPr>
          <w:rFonts w:asciiTheme="majorHAnsi" w:hAnsiTheme="majorHAnsi" w:cstheme="majorHAnsi"/>
          <w:sz w:val="16"/>
          <w:szCs w:val="16"/>
          <w:lang w:val="ro-MD"/>
        </w:rPr>
        <w:t xml:space="preserve"> Art.14 din Legea nr. 289 din 22.07.2004 privind indemnizațiile pentru incapacitate temporară de muncă și alte prestații de asigurări sociale.</w:t>
      </w:r>
    </w:p>
  </w:footnote>
  <w:footnote w:id="46">
    <w:p w14:paraId="3EB6C37A" w14:textId="6A4ACFC5" w:rsidR="004059A3" w:rsidRPr="00B10243" w:rsidRDefault="004059A3">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 17 din Regulamentul cu privire la condițiile de stabilire, modul de calcul și de plată a indemnizațiilor pentru incapacitate temporară de muncă</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H</w:t>
      </w:r>
      <w:r>
        <w:rPr>
          <w:rFonts w:asciiTheme="majorHAnsi" w:hAnsiTheme="majorHAnsi" w:cstheme="majorHAnsi"/>
          <w:sz w:val="16"/>
          <w:szCs w:val="16"/>
          <w:lang w:val="ro-MD"/>
        </w:rPr>
        <w:t xml:space="preserve">otărârea </w:t>
      </w:r>
      <w:r w:rsidRPr="00B10243">
        <w:rPr>
          <w:rFonts w:asciiTheme="majorHAnsi" w:hAnsiTheme="majorHAnsi" w:cstheme="majorHAnsi"/>
          <w:sz w:val="16"/>
          <w:szCs w:val="16"/>
          <w:lang w:val="ro-MD"/>
        </w:rPr>
        <w:t>G</w:t>
      </w:r>
      <w:r>
        <w:rPr>
          <w:rFonts w:asciiTheme="majorHAnsi" w:hAnsiTheme="majorHAnsi" w:cstheme="majorHAnsi"/>
          <w:sz w:val="16"/>
          <w:szCs w:val="16"/>
          <w:lang w:val="ro-MD"/>
        </w:rPr>
        <w:t>uvernului nr.</w:t>
      </w:r>
      <w:r w:rsidRPr="00B10243">
        <w:rPr>
          <w:rFonts w:asciiTheme="majorHAnsi" w:hAnsiTheme="majorHAnsi" w:cstheme="majorHAnsi"/>
          <w:sz w:val="16"/>
          <w:szCs w:val="16"/>
          <w:lang w:val="ro-MD"/>
        </w:rPr>
        <w:t xml:space="preserve"> 108 din 03.02.2005</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w:t>
      </w:r>
    </w:p>
  </w:footnote>
  <w:footnote w:id="47">
    <w:p w14:paraId="263A2AA2" w14:textId="64A16101" w:rsidR="004059A3" w:rsidRPr="00B10243" w:rsidRDefault="004059A3" w:rsidP="00B10243">
      <w:pPr>
        <w:pStyle w:val="FootnoteText"/>
        <w:jc w:val="both"/>
        <w:rPr>
          <w:rFonts w:asciiTheme="majorHAnsi" w:hAnsiTheme="majorHAnsi" w:cstheme="majorHAnsi"/>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Pct.3</w:t>
      </w:r>
      <w:r>
        <w:rPr>
          <w:rFonts w:asciiTheme="majorHAnsi" w:hAnsiTheme="majorHAnsi" w:cstheme="majorHAnsi"/>
          <w:sz w:val="16"/>
          <w:szCs w:val="16"/>
          <w:lang w:val="ro-MD"/>
        </w:rPr>
        <w:t xml:space="preserve"> din</w:t>
      </w:r>
      <w:r w:rsidRPr="00B10243">
        <w:rPr>
          <w:rFonts w:asciiTheme="majorHAnsi" w:hAnsiTheme="majorHAnsi" w:cstheme="majorHAnsi"/>
          <w:sz w:val="16"/>
          <w:szCs w:val="16"/>
          <w:lang w:val="ro-MD"/>
        </w:rPr>
        <w:t xml:space="preserve"> Anexa nr.2 al Regulamentul privind organizarea și funcționarea Portalului certificatelor de concediu medical</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Ordinul MSMPS nr.933 din 15.08.2019.</w:t>
      </w:r>
    </w:p>
  </w:footnote>
  <w:footnote w:id="48">
    <w:p w14:paraId="75FAFE30" w14:textId="25AF58BF" w:rsidR="004059A3" w:rsidRPr="00B10243" w:rsidRDefault="004059A3">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Scrisorile MSMPS nr. 06/895 din 18.02.2021 și </w:t>
      </w:r>
      <w:r>
        <w:rPr>
          <w:rFonts w:asciiTheme="majorHAnsi" w:hAnsiTheme="majorHAnsi" w:cstheme="majorHAnsi"/>
          <w:sz w:val="16"/>
          <w:szCs w:val="16"/>
          <w:lang w:val="ro-MD"/>
        </w:rPr>
        <w:t>nr.</w:t>
      </w:r>
      <w:r w:rsidRPr="00E5034F">
        <w:rPr>
          <w:rFonts w:asciiTheme="majorHAnsi" w:hAnsiTheme="majorHAnsi" w:cstheme="majorHAnsi"/>
          <w:sz w:val="16"/>
          <w:szCs w:val="16"/>
          <w:lang w:val="ro-MD"/>
        </w:rPr>
        <w:t>0682809 din</w:t>
      </w:r>
      <w:r w:rsidRPr="00B10243">
        <w:rPr>
          <w:rFonts w:asciiTheme="majorHAnsi" w:hAnsiTheme="majorHAnsi" w:cstheme="majorHAnsi"/>
          <w:sz w:val="16"/>
          <w:szCs w:val="16"/>
          <w:lang w:val="ro-MD"/>
        </w:rPr>
        <w:t xml:space="preserve"> 20.05.2021</w:t>
      </w:r>
    </w:p>
  </w:footnote>
  <w:footnote w:id="49">
    <w:p w14:paraId="5B021A27" w14:textId="73EA3D31"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Pct.3</w:t>
      </w:r>
      <w:r>
        <w:rPr>
          <w:rFonts w:asciiTheme="majorHAnsi" w:hAnsiTheme="majorHAnsi" w:cstheme="majorHAnsi"/>
          <w:sz w:val="16"/>
          <w:szCs w:val="16"/>
          <w:lang w:val="ro-MD"/>
        </w:rPr>
        <w:t xml:space="preserve"> din</w:t>
      </w:r>
      <w:r w:rsidRPr="00B10243">
        <w:rPr>
          <w:rFonts w:asciiTheme="majorHAnsi" w:hAnsiTheme="majorHAnsi" w:cstheme="majorHAnsi"/>
          <w:sz w:val="16"/>
          <w:szCs w:val="16"/>
          <w:lang w:val="ro-MD"/>
        </w:rPr>
        <w:t xml:space="preserve"> Anexa nr.2 al Regulamentul privind organizarea și funcționarea Portalului certificatelor de concediu medical</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Ordinul MSMPS nr.933 din 15.08.2019.</w:t>
      </w:r>
    </w:p>
  </w:footnote>
  <w:footnote w:id="50">
    <w:p w14:paraId="09E2E4AF" w14:textId="259A00E2" w:rsidR="004059A3" w:rsidRPr="001408E1" w:rsidRDefault="004059A3" w:rsidP="00394407">
      <w:pPr>
        <w:pStyle w:val="FootnoteText"/>
        <w:rPr>
          <w:rFonts w:asciiTheme="majorHAnsi" w:hAnsiTheme="majorHAnsi" w:cstheme="majorHAnsi"/>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Pct.14 și </w:t>
      </w:r>
      <w:r>
        <w:rPr>
          <w:rFonts w:asciiTheme="majorHAnsi" w:hAnsiTheme="majorHAnsi" w:cstheme="majorHAnsi"/>
          <w:sz w:val="16"/>
          <w:szCs w:val="16"/>
          <w:lang w:val="ro-MD"/>
        </w:rPr>
        <w:t>pct.</w:t>
      </w:r>
      <w:r w:rsidRPr="00B10243">
        <w:rPr>
          <w:rFonts w:asciiTheme="majorHAnsi" w:hAnsiTheme="majorHAnsi" w:cstheme="majorHAnsi"/>
          <w:sz w:val="16"/>
          <w:szCs w:val="16"/>
          <w:lang w:val="ro-MD"/>
        </w:rPr>
        <w:t>15 ale</w:t>
      </w:r>
      <w:r w:rsidRPr="001408E1">
        <w:rPr>
          <w:rFonts w:asciiTheme="majorHAnsi" w:hAnsiTheme="majorHAnsi" w:cstheme="majorHAnsi"/>
          <w:sz w:val="16"/>
          <w:szCs w:val="16"/>
          <w:lang w:val="ro-MD"/>
        </w:rPr>
        <w:t xml:space="preserve"> Dispoziției Comisiei pentru Situații Excepționale </w:t>
      </w:r>
      <w:r w:rsidRPr="00B10243">
        <w:rPr>
          <w:rFonts w:asciiTheme="majorHAnsi" w:hAnsiTheme="majorHAnsi" w:cstheme="majorHAnsi"/>
          <w:sz w:val="16"/>
          <w:szCs w:val="16"/>
          <w:lang w:val="ro-MD"/>
        </w:rPr>
        <w:t>a RM nr.3 din 23.03.2020.</w:t>
      </w:r>
    </w:p>
  </w:footnote>
  <w:footnote w:id="51">
    <w:p w14:paraId="1FDEF531" w14:textId="68044FDC"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Style w:val="FootnoteReference"/>
          <w:rFonts w:asciiTheme="majorHAnsi" w:hAnsiTheme="majorHAnsi" w:cstheme="majorHAnsi"/>
          <w:sz w:val="16"/>
          <w:szCs w:val="16"/>
          <w:lang w:val="ro-MD"/>
        </w:rPr>
        <w:t xml:space="preserve"> </w:t>
      </w:r>
      <w:r w:rsidRPr="00B10243">
        <w:rPr>
          <w:rFonts w:asciiTheme="majorHAnsi" w:hAnsiTheme="majorHAnsi" w:cstheme="majorHAnsi"/>
          <w:sz w:val="16"/>
          <w:szCs w:val="16"/>
          <w:lang w:val="ro-MD"/>
        </w:rPr>
        <w:t xml:space="preserve">Art.43 din Legea nr.105 din 14.06.2018 cu privire la promovarea ocupării forței de muncă și asigurarea de șomaj (în continuare </w:t>
      </w:r>
      <w:r>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rPr>
        <w:t>Legea nr.105 din 14.06.2018).</w:t>
      </w:r>
    </w:p>
  </w:footnote>
  <w:footnote w:id="52">
    <w:p w14:paraId="47712B26" w14:textId="0E8AC6E3" w:rsidR="004059A3" w:rsidRPr="00B10243" w:rsidRDefault="004059A3" w:rsidP="00FD3410">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Art.45 din Legea nr.105 din 14.06.2018.</w:t>
      </w:r>
    </w:p>
  </w:footnote>
  <w:footnote w:id="53">
    <w:p w14:paraId="642FD416" w14:textId="4454DBAC" w:rsidR="004059A3" w:rsidRPr="008D360E" w:rsidRDefault="004059A3" w:rsidP="00B10243">
      <w:pPr>
        <w:pStyle w:val="FootnoteText"/>
        <w:jc w:val="both"/>
        <w:rPr>
          <w:rFonts w:asciiTheme="majorHAnsi" w:hAnsiTheme="majorHAnsi" w:cstheme="majorHAnsi"/>
          <w:b/>
          <w:sz w:val="16"/>
          <w:szCs w:val="16"/>
          <w:lang w:val="ro-RO"/>
        </w:rPr>
      </w:pPr>
      <w:r w:rsidRPr="008D360E">
        <w:rPr>
          <w:rStyle w:val="FootnoteReference"/>
          <w:rFonts w:asciiTheme="majorHAnsi" w:hAnsiTheme="majorHAnsi" w:cstheme="majorHAnsi"/>
          <w:sz w:val="16"/>
          <w:szCs w:val="16"/>
          <w:lang w:val="ro-RO"/>
        </w:rPr>
        <w:footnoteRef/>
      </w:r>
      <w:r w:rsidRPr="008D360E">
        <w:rPr>
          <w:rFonts w:asciiTheme="majorHAnsi" w:hAnsiTheme="majorHAnsi" w:cstheme="majorHAnsi"/>
          <w:sz w:val="16"/>
          <w:szCs w:val="16"/>
          <w:lang w:val="ro-RO"/>
        </w:rPr>
        <w:t xml:space="preserve"> </w:t>
      </w:r>
      <w:r w:rsidRPr="005F50E7">
        <w:rPr>
          <w:rFonts w:asciiTheme="majorHAnsi" w:hAnsiTheme="majorHAnsi" w:cstheme="majorHAnsi"/>
          <w:sz w:val="16"/>
          <w:szCs w:val="16"/>
          <w:lang w:val="ro-RO"/>
        </w:rPr>
        <w:t xml:space="preserve">Art. 1 alin.(1) din Legea </w:t>
      </w:r>
      <w:r w:rsidRPr="005F50E7">
        <w:rPr>
          <w:rFonts w:asciiTheme="majorHAnsi" w:hAnsiTheme="majorHAnsi" w:cstheme="majorHAnsi"/>
          <w:color w:val="333333"/>
          <w:sz w:val="16"/>
          <w:szCs w:val="16"/>
          <w:lang w:val="ro-RO"/>
        </w:rPr>
        <w:t>nr. 156</w:t>
      </w:r>
      <w:r>
        <w:rPr>
          <w:rFonts w:asciiTheme="majorHAnsi" w:hAnsiTheme="majorHAnsi" w:cstheme="majorHAnsi"/>
          <w:color w:val="333333"/>
          <w:sz w:val="16"/>
          <w:szCs w:val="16"/>
          <w:lang w:val="ro-RO"/>
        </w:rPr>
        <w:t xml:space="preserve"> din 05.12.</w:t>
      </w:r>
      <w:r w:rsidRPr="008D360E">
        <w:rPr>
          <w:rFonts w:asciiTheme="majorHAnsi" w:hAnsiTheme="majorHAnsi" w:cstheme="majorHAnsi"/>
          <w:color w:val="333333"/>
          <w:sz w:val="16"/>
          <w:szCs w:val="16"/>
          <w:lang w:val="ro-RO"/>
        </w:rPr>
        <w:t xml:space="preserve">2019 </w:t>
      </w:r>
      <w:r w:rsidRPr="008D360E">
        <w:rPr>
          <w:rStyle w:val="Strong"/>
          <w:rFonts w:asciiTheme="majorHAnsi" w:hAnsiTheme="majorHAnsi" w:cstheme="majorHAnsi"/>
          <w:b w:val="0"/>
          <w:color w:val="333333"/>
          <w:sz w:val="16"/>
          <w:szCs w:val="16"/>
          <w:lang w:val="ro-RO"/>
        </w:rPr>
        <w:t>cu privire la acordarea indemnizației în cazul</w:t>
      </w:r>
      <w:r w:rsidRPr="008D360E">
        <w:rPr>
          <w:rFonts w:asciiTheme="majorHAnsi" w:hAnsiTheme="majorHAnsi" w:cstheme="majorHAnsi"/>
          <w:b/>
          <w:color w:val="333333"/>
          <w:sz w:val="16"/>
          <w:szCs w:val="16"/>
          <w:lang w:val="ro-RO"/>
        </w:rPr>
        <w:t xml:space="preserve"> </w:t>
      </w:r>
      <w:r w:rsidRPr="008D360E">
        <w:rPr>
          <w:rStyle w:val="Strong"/>
          <w:rFonts w:asciiTheme="majorHAnsi" w:hAnsiTheme="majorHAnsi" w:cstheme="majorHAnsi"/>
          <w:b w:val="0"/>
          <w:color w:val="333333"/>
          <w:sz w:val="16"/>
          <w:szCs w:val="16"/>
          <w:lang w:val="ro-RO"/>
        </w:rPr>
        <w:t>decesului unuia dintre soți</w:t>
      </w:r>
      <w:r>
        <w:rPr>
          <w:rStyle w:val="Strong"/>
          <w:rFonts w:asciiTheme="majorHAnsi" w:hAnsiTheme="majorHAnsi" w:cstheme="majorHAnsi"/>
          <w:b w:val="0"/>
          <w:color w:val="333333"/>
          <w:sz w:val="16"/>
          <w:szCs w:val="16"/>
          <w:lang w:val="ro-RO"/>
        </w:rPr>
        <w:t>.</w:t>
      </w:r>
    </w:p>
  </w:footnote>
  <w:footnote w:id="54">
    <w:p w14:paraId="68129B0C" w14:textId="5D02CF83" w:rsidR="004059A3" w:rsidRPr="00B10243" w:rsidRDefault="004059A3">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hAnsiTheme="majorHAnsi" w:cstheme="majorHAnsi"/>
          <w:color w:val="000000"/>
          <w:sz w:val="16"/>
          <w:szCs w:val="16"/>
          <w:shd w:val="clear" w:color="auto" w:fill="FFFFFF"/>
          <w:lang w:val="ro-MD"/>
        </w:rPr>
        <w:t>Pct. 11 și pct. 12 din Hotărârea Guvernului nr. 78 din 21.02.1994</w:t>
      </w:r>
      <w:r>
        <w:rPr>
          <w:rFonts w:asciiTheme="majorHAnsi" w:hAnsiTheme="majorHAnsi" w:cstheme="majorHAnsi"/>
          <w:color w:val="000000"/>
          <w:sz w:val="16"/>
          <w:szCs w:val="16"/>
          <w:shd w:val="clear" w:color="auto" w:fill="FFFFFF"/>
          <w:lang w:val="ro-MD"/>
        </w:rPr>
        <w:t>.</w:t>
      </w:r>
    </w:p>
  </w:footnote>
  <w:footnote w:id="55">
    <w:p w14:paraId="09C8261D" w14:textId="0BC792BA"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 49 lit. a</w:t>
      </w:r>
      <w:r w:rsidRPr="00B10243">
        <w:rPr>
          <w:rFonts w:asciiTheme="majorHAnsi" w:hAnsiTheme="majorHAnsi" w:cstheme="majorHAnsi"/>
          <w:sz w:val="16"/>
          <w:szCs w:val="16"/>
          <w:vertAlign w:val="superscript"/>
          <w:lang w:val="ro-MD"/>
        </w:rPr>
        <w:t>1</w:t>
      </w:r>
      <w:r w:rsidRPr="00B10243">
        <w:rPr>
          <w:rFonts w:asciiTheme="majorHAnsi" w:hAnsiTheme="majorHAnsi" w:cstheme="majorHAnsi"/>
          <w:sz w:val="16"/>
          <w:szCs w:val="16"/>
          <w:lang w:val="ro-MD"/>
        </w:rPr>
        <w:t>) din Legea nr. 489 din 08.07.1999; pct. 13 din H</w:t>
      </w:r>
      <w:r>
        <w:rPr>
          <w:rFonts w:asciiTheme="majorHAnsi" w:hAnsiTheme="majorHAnsi" w:cstheme="majorHAnsi"/>
          <w:sz w:val="16"/>
          <w:szCs w:val="16"/>
          <w:lang w:val="ro-MD"/>
        </w:rPr>
        <w:t xml:space="preserve">otărârea </w:t>
      </w:r>
      <w:r w:rsidRPr="00B10243">
        <w:rPr>
          <w:rFonts w:asciiTheme="majorHAnsi" w:hAnsiTheme="majorHAnsi" w:cstheme="majorHAnsi"/>
          <w:sz w:val="16"/>
          <w:szCs w:val="16"/>
          <w:lang w:val="ro-MD"/>
        </w:rPr>
        <w:t>G</w:t>
      </w:r>
      <w:r>
        <w:rPr>
          <w:rFonts w:asciiTheme="majorHAnsi" w:hAnsiTheme="majorHAnsi" w:cstheme="majorHAnsi"/>
          <w:sz w:val="16"/>
          <w:szCs w:val="16"/>
          <w:lang w:val="ro-MD"/>
        </w:rPr>
        <w:t>uvernului</w:t>
      </w:r>
      <w:r w:rsidRPr="00B10243">
        <w:rPr>
          <w:rFonts w:asciiTheme="majorHAnsi" w:hAnsiTheme="majorHAnsi" w:cstheme="majorHAnsi"/>
          <w:sz w:val="16"/>
          <w:szCs w:val="16"/>
          <w:lang w:val="ro-MD"/>
        </w:rPr>
        <w:t xml:space="preserve"> </w:t>
      </w:r>
      <w:r>
        <w:rPr>
          <w:rFonts w:asciiTheme="majorHAnsi" w:hAnsiTheme="majorHAnsi" w:cstheme="majorHAnsi"/>
          <w:sz w:val="16"/>
          <w:szCs w:val="16"/>
          <w:lang w:val="ro-MD"/>
        </w:rPr>
        <w:t>nr.</w:t>
      </w:r>
      <w:r w:rsidRPr="00B10243">
        <w:rPr>
          <w:rFonts w:asciiTheme="majorHAnsi" w:hAnsiTheme="majorHAnsi" w:cstheme="majorHAnsi"/>
          <w:sz w:val="16"/>
          <w:szCs w:val="16"/>
          <w:lang w:val="ro-MD"/>
        </w:rPr>
        <w:t xml:space="preserve">230 din 10.04.2020 </w:t>
      </w:r>
      <w:r>
        <w:rPr>
          <w:rFonts w:asciiTheme="majorHAnsi" w:hAnsiTheme="majorHAnsi" w:cstheme="majorHAnsi"/>
          <w:sz w:val="16"/>
          <w:szCs w:val="16"/>
          <w:lang w:val="ro-MD"/>
        </w:rPr>
        <w:t>„C</w:t>
      </w:r>
      <w:r w:rsidRPr="00B10243">
        <w:rPr>
          <w:rFonts w:asciiTheme="majorHAnsi" w:hAnsiTheme="majorHAnsi" w:cstheme="majorHAnsi"/>
          <w:sz w:val="16"/>
          <w:szCs w:val="16"/>
          <w:lang w:val="ro-MD"/>
        </w:rPr>
        <w:t>u privire la organizarea și funcționarea Casei Naționale de Asigurări Sociale</w:t>
      </w:r>
      <w:r>
        <w:rPr>
          <w:rFonts w:asciiTheme="majorHAnsi" w:hAnsiTheme="majorHAnsi" w:cstheme="majorHAnsi"/>
          <w:sz w:val="16"/>
          <w:szCs w:val="16"/>
          <w:lang w:val="ro-MD"/>
        </w:rPr>
        <w:t>”.</w:t>
      </w:r>
    </w:p>
  </w:footnote>
  <w:footnote w:id="56">
    <w:p w14:paraId="62E0A1AE" w14:textId="41728671" w:rsidR="004059A3" w:rsidRPr="00B10243" w:rsidRDefault="004059A3">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655988">
        <w:rPr>
          <w:rFonts w:asciiTheme="majorHAnsi" w:hAnsiTheme="majorHAnsi" w:cstheme="majorHAnsi"/>
          <w:sz w:val="16"/>
          <w:szCs w:val="16"/>
          <w:lang w:val="ro-MD" w:eastAsia="ru-RU"/>
        </w:rPr>
        <w:t>Pct.16.1 din Dispoziția Comisiei pentru Situații Excepționale a Republicii Moldova nr.3 din 23.03.2020.</w:t>
      </w:r>
    </w:p>
  </w:footnote>
  <w:footnote w:id="57">
    <w:p w14:paraId="2850BED3" w14:textId="11035EBD" w:rsidR="004059A3" w:rsidRPr="00B10243" w:rsidRDefault="004059A3" w:rsidP="00DE6C7D">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Pct.1 din </w:t>
      </w:r>
      <w:r w:rsidRPr="002C2E2C">
        <w:rPr>
          <w:rFonts w:asciiTheme="majorHAnsi" w:hAnsiTheme="majorHAnsi" w:cstheme="majorHAnsi"/>
          <w:sz w:val="16"/>
          <w:szCs w:val="16"/>
          <w:lang w:val="ro-MD" w:eastAsia="ru-RU"/>
        </w:rPr>
        <w:t>Dispoziția Comisiei pentru Situații Excepționale a Republicii Moldova nr.3 din 23.03.2020.</w:t>
      </w:r>
    </w:p>
  </w:footnote>
  <w:footnote w:id="58">
    <w:p w14:paraId="3CB56877" w14:textId="53C57415" w:rsidR="004059A3" w:rsidRPr="00B10243" w:rsidRDefault="004059A3" w:rsidP="00DE6C7D">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Avizul Î.S. „Poșta Moldovei” din 27.03.2020: </w:t>
      </w:r>
      <w:r w:rsidRPr="002C2E2C">
        <w:rPr>
          <w:rFonts w:asciiTheme="majorHAnsi" w:hAnsiTheme="majorHAnsi" w:cstheme="majorHAnsi"/>
          <w:sz w:val="16"/>
          <w:szCs w:val="16"/>
          <w:lang w:val="ro-MD" w:eastAsia="ru-RU"/>
        </w:rPr>
        <w:t>https://www.posta.md/ro/news/2748.html.</w:t>
      </w:r>
    </w:p>
  </w:footnote>
  <w:footnote w:id="59">
    <w:p w14:paraId="16755F78" w14:textId="6823E4B3" w:rsidR="004059A3" w:rsidRPr="00B10243" w:rsidRDefault="004059A3" w:rsidP="00DE6C7D">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 14 ali</w:t>
      </w:r>
      <w:r w:rsidRPr="002C2E2C">
        <w:rPr>
          <w:rFonts w:asciiTheme="majorHAnsi" w:hAnsiTheme="majorHAnsi" w:cstheme="majorHAnsi"/>
          <w:sz w:val="16"/>
          <w:szCs w:val="16"/>
          <w:lang w:val="ro-MD"/>
        </w:rPr>
        <w:t xml:space="preserve">n. </w:t>
      </w:r>
      <w:r>
        <w:rPr>
          <w:rFonts w:asciiTheme="majorHAnsi" w:hAnsiTheme="majorHAnsi" w:cstheme="majorHAnsi"/>
          <w:sz w:val="16"/>
          <w:szCs w:val="16"/>
          <w:lang w:val="ro-MD"/>
        </w:rPr>
        <w:t>(</w:t>
      </w:r>
      <w:r w:rsidRPr="002C2E2C">
        <w:rPr>
          <w:rFonts w:asciiTheme="majorHAnsi" w:hAnsiTheme="majorHAnsi" w:cstheme="majorHAnsi"/>
          <w:sz w:val="16"/>
          <w:szCs w:val="16"/>
          <w:lang w:val="ro-MD"/>
        </w:rPr>
        <w:t>15</w:t>
      </w:r>
      <w:r>
        <w:rPr>
          <w:rFonts w:asciiTheme="majorHAnsi" w:hAnsiTheme="majorHAnsi" w:cstheme="majorHAnsi"/>
          <w:sz w:val="16"/>
          <w:szCs w:val="16"/>
          <w:lang w:val="ro-MD"/>
        </w:rPr>
        <w:t>)</w:t>
      </w:r>
      <w:r w:rsidRPr="002C2E2C">
        <w:rPr>
          <w:rFonts w:asciiTheme="majorHAnsi" w:hAnsiTheme="majorHAnsi" w:cstheme="majorHAnsi"/>
          <w:sz w:val="16"/>
          <w:szCs w:val="16"/>
          <w:lang w:val="ro-MD"/>
        </w:rPr>
        <w:t xml:space="preserve"> din Legea</w:t>
      </w:r>
      <w:r w:rsidRPr="00B10243">
        <w:rPr>
          <w:rFonts w:asciiTheme="majorHAnsi" w:hAnsiTheme="majorHAnsi" w:cstheme="majorHAnsi"/>
          <w:sz w:val="16"/>
          <w:szCs w:val="16"/>
          <w:lang w:val="ro-MD"/>
        </w:rPr>
        <w:t xml:space="preserve"> Bugetului Asigurărilor Sociale de Stat pe anul 2020 nr. 173 din 19.12.2019 (cu modificarea din 18.09.2020 operată </w:t>
      </w:r>
      <w:r w:rsidRPr="002C2E2C">
        <w:rPr>
          <w:rFonts w:asciiTheme="majorHAnsi" w:hAnsiTheme="majorHAnsi" w:cstheme="majorHAnsi"/>
          <w:sz w:val="16"/>
          <w:szCs w:val="16"/>
          <w:lang w:val="ro-MD"/>
        </w:rPr>
        <w:t>prin Legea nr.</w:t>
      </w:r>
      <w:r w:rsidRPr="00B10243">
        <w:rPr>
          <w:rFonts w:asciiTheme="majorHAnsi" w:hAnsiTheme="majorHAnsi" w:cstheme="majorHAnsi"/>
          <w:sz w:val="16"/>
          <w:szCs w:val="16"/>
          <w:lang w:val="ro-MD"/>
        </w:rPr>
        <w:t xml:space="preserve"> 174 din 11.09.2020).</w:t>
      </w:r>
    </w:p>
  </w:footnote>
  <w:footnote w:id="60">
    <w:p w14:paraId="102A2C0D" w14:textId="550AB696" w:rsidR="004059A3" w:rsidRPr="00B10243" w:rsidRDefault="004059A3" w:rsidP="007E068F">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2C2E2C">
        <w:rPr>
          <w:rFonts w:asciiTheme="majorHAnsi" w:hAnsiTheme="majorHAnsi" w:cstheme="majorHAnsi"/>
          <w:sz w:val="16"/>
          <w:szCs w:val="16"/>
          <w:lang w:val="ro-MD"/>
        </w:rPr>
        <w:t>Legea nr.127 din 09.07.2020.</w:t>
      </w:r>
    </w:p>
  </w:footnote>
  <w:footnote w:id="61">
    <w:p w14:paraId="3CE8B4A2" w14:textId="25F7B470" w:rsidR="004059A3" w:rsidRPr="00B10243" w:rsidRDefault="004059A3" w:rsidP="007E068F">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Pct.3 din Regulamentul cu privire la stabilirea și plata indemnizației urmașilor personalului medical decedat ca urmare a desfășurării activității medicale în lupta cu COVID-19</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aprobat prin Hotărârea Guvernului nr. 637 din 26.08.2020 (în continuare </w:t>
      </w:r>
      <w:r>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rPr>
        <w:t>Regulamentul cu privire la stabilirea și plata indemnizației urmașilor personalului medical).</w:t>
      </w:r>
    </w:p>
  </w:footnote>
  <w:footnote w:id="62">
    <w:p w14:paraId="46667063" w14:textId="0E65BE81" w:rsidR="004059A3" w:rsidRPr="00B10243" w:rsidRDefault="004059A3" w:rsidP="007E068F">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Scrisoarea Ministerului Sănătății</w:t>
      </w:r>
      <w:r>
        <w:rPr>
          <w:rFonts w:asciiTheme="majorHAnsi" w:hAnsiTheme="majorHAnsi" w:cstheme="majorHAnsi"/>
          <w:sz w:val="16"/>
          <w:szCs w:val="16"/>
          <w:lang w:val="ro-MD"/>
        </w:rPr>
        <w:t>,</w:t>
      </w:r>
      <w:r w:rsidRPr="00B10243">
        <w:rPr>
          <w:rFonts w:asciiTheme="majorHAnsi" w:hAnsiTheme="majorHAnsi" w:cstheme="majorHAnsi"/>
          <w:sz w:val="16"/>
          <w:szCs w:val="16"/>
          <w:lang w:val="ro-MD"/>
        </w:rPr>
        <w:t xml:space="preserve"> Muncii și Protecției Sociale nr.04/892 din 17.02.2021.</w:t>
      </w:r>
    </w:p>
  </w:footnote>
  <w:footnote w:id="63">
    <w:p w14:paraId="30DF64D7" w14:textId="31AA7BBA"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Ordinul MSMPS nr.810 din 08.09.2020 privind aprobarea modelului-tip al certificatului ce confirmă că persoana decedată a participat nemijlocit la acțiuni medicale împotriva COVID-19.</w:t>
      </w:r>
    </w:p>
  </w:footnote>
  <w:footnote w:id="64">
    <w:p w14:paraId="66C5CEEB" w14:textId="2474D1B8" w:rsidR="004059A3" w:rsidRPr="00B10243" w:rsidRDefault="004059A3" w:rsidP="00B10243">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Art.4 din Legea nr.56 din 02.02.2020 privind instituirea unor măsuri de susținere a cetățenilor și a activității de întreprinzător în perioada stării de urgență și modificarea unor acte normative.</w:t>
      </w:r>
    </w:p>
  </w:footnote>
  <w:footnote w:id="65">
    <w:p w14:paraId="15E8B2B1" w14:textId="3ACE7C17" w:rsidR="004059A3" w:rsidRPr="00B10243" w:rsidRDefault="004059A3" w:rsidP="005656F0">
      <w:pPr>
        <w:pStyle w:val="FootnoteText"/>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eastAsia="Times New Roman" w:hAnsiTheme="majorHAnsi" w:cstheme="majorHAnsi"/>
          <w:sz w:val="16"/>
          <w:szCs w:val="16"/>
          <w:lang w:val="ro-MD"/>
        </w:rPr>
        <w:t>Art.1 din Legea nr.489-XIV din 08.07.1999.</w:t>
      </w:r>
    </w:p>
  </w:footnote>
  <w:footnote w:id="66">
    <w:p w14:paraId="1B1BFB15" w14:textId="06696041" w:rsidR="004059A3" w:rsidRPr="00B10243" w:rsidRDefault="004059A3" w:rsidP="005656F0">
      <w:pPr>
        <w:pStyle w:val="FootnoteText"/>
        <w:contextualSpacing/>
        <w:jc w:val="both"/>
        <w:rPr>
          <w:rFonts w:asciiTheme="majorHAnsi" w:eastAsia="Times New Roman" w:hAnsiTheme="majorHAnsi" w:cstheme="majorHAnsi"/>
          <w:sz w:val="16"/>
          <w:szCs w:val="16"/>
          <w:lang w:val="ro-MD"/>
        </w:rPr>
      </w:pPr>
      <w:r w:rsidRPr="00B10243">
        <w:rPr>
          <w:rFonts w:asciiTheme="majorHAnsi" w:eastAsia="Times New Roman" w:hAnsiTheme="majorHAnsi" w:cstheme="majorHAnsi"/>
          <w:sz w:val="16"/>
          <w:szCs w:val="16"/>
          <w:vertAlign w:val="superscript"/>
          <w:lang w:val="ro-MD"/>
        </w:rPr>
        <w:footnoteRef/>
      </w:r>
      <w:r w:rsidRPr="00B10243">
        <w:rPr>
          <w:rFonts w:asciiTheme="majorHAnsi" w:eastAsia="Times New Roman" w:hAnsiTheme="majorHAnsi" w:cstheme="majorHAnsi"/>
          <w:sz w:val="16"/>
          <w:szCs w:val="16"/>
          <w:vertAlign w:val="superscript"/>
          <w:lang w:val="ro-MD"/>
        </w:rPr>
        <w:t xml:space="preserve"> </w:t>
      </w:r>
      <w:r w:rsidRPr="00B10243">
        <w:rPr>
          <w:rFonts w:asciiTheme="majorHAnsi" w:eastAsia="Times New Roman" w:hAnsiTheme="majorHAnsi" w:cstheme="majorHAnsi"/>
          <w:sz w:val="16"/>
          <w:szCs w:val="16"/>
          <w:lang w:val="ro-MD"/>
        </w:rPr>
        <w:t xml:space="preserve">Art.10 din Legea nr.489-XIV din 08.07.1999. </w:t>
      </w:r>
    </w:p>
  </w:footnote>
  <w:footnote w:id="67">
    <w:p w14:paraId="1B7C1E40" w14:textId="50E642FE" w:rsidR="004059A3" w:rsidRPr="00B10243" w:rsidRDefault="004059A3" w:rsidP="005656F0">
      <w:pPr>
        <w:pStyle w:val="NoSpacing"/>
        <w:jc w:val="both"/>
        <w:rPr>
          <w:rFonts w:asciiTheme="majorHAnsi" w:eastAsia="Times New Roman" w:hAnsiTheme="majorHAnsi" w:cstheme="majorHAnsi"/>
          <w:sz w:val="16"/>
          <w:szCs w:val="16"/>
          <w:lang w:val="ro-MD"/>
        </w:rPr>
      </w:pPr>
      <w:r w:rsidRPr="00B10243">
        <w:rPr>
          <w:rFonts w:asciiTheme="majorHAnsi" w:eastAsia="Times New Roman" w:hAnsiTheme="majorHAnsi" w:cstheme="majorHAnsi"/>
          <w:sz w:val="16"/>
          <w:szCs w:val="16"/>
          <w:vertAlign w:val="superscript"/>
          <w:lang w:val="ro-MD"/>
        </w:rPr>
        <w:footnoteRef/>
      </w:r>
      <w:r w:rsidRPr="00B10243">
        <w:rPr>
          <w:rFonts w:asciiTheme="majorHAnsi" w:eastAsia="Times New Roman" w:hAnsiTheme="majorHAnsi" w:cstheme="majorHAnsi"/>
          <w:sz w:val="16"/>
          <w:szCs w:val="16"/>
          <w:vertAlign w:val="superscript"/>
          <w:lang w:val="ro-MD"/>
        </w:rPr>
        <w:t xml:space="preserve"> </w:t>
      </w:r>
      <w:r w:rsidRPr="00B10243">
        <w:rPr>
          <w:rFonts w:asciiTheme="majorHAnsi" w:eastAsia="Times New Roman" w:hAnsiTheme="majorHAnsi" w:cstheme="majorHAnsi"/>
          <w:sz w:val="16"/>
          <w:szCs w:val="16"/>
          <w:lang w:val="ro-MD"/>
        </w:rPr>
        <w:t>Art.22 din Legea nr.181 din 25.07.2014.</w:t>
      </w:r>
    </w:p>
  </w:footnote>
  <w:footnote w:id="68">
    <w:p w14:paraId="05C6E294" w14:textId="1002ADD3" w:rsidR="004059A3" w:rsidRPr="00230113" w:rsidRDefault="004059A3">
      <w:pPr>
        <w:pStyle w:val="FootnoteText"/>
        <w:rPr>
          <w:rFonts w:asciiTheme="majorHAnsi" w:hAnsiTheme="majorHAnsi" w:cstheme="majorHAnsi"/>
          <w:sz w:val="16"/>
          <w:szCs w:val="16"/>
          <w:lang w:val="ro-RO"/>
        </w:rPr>
      </w:pPr>
      <w:r w:rsidRPr="00230113">
        <w:rPr>
          <w:rFonts w:asciiTheme="majorHAnsi" w:hAnsiTheme="majorHAnsi" w:cstheme="majorHAnsi"/>
          <w:sz w:val="16"/>
          <w:szCs w:val="16"/>
          <w:vertAlign w:val="superscript"/>
          <w:lang w:val="ro-RO"/>
        </w:rPr>
        <w:footnoteRef/>
      </w:r>
      <w:r w:rsidRPr="00230113">
        <w:rPr>
          <w:rFonts w:asciiTheme="majorHAnsi" w:hAnsiTheme="majorHAnsi" w:cstheme="majorHAnsi"/>
          <w:sz w:val="16"/>
          <w:szCs w:val="16"/>
          <w:lang w:val="ro-RO"/>
        </w:rPr>
        <w:t xml:space="preserve"> Legea nr.181 din 25.07.2014.</w:t>
      </w:r>
    </w:p>
  </w:footnote>
  <w:footnote w:id="69">
    <w:p w14:paraId="366816BC" w14:textId="039D7766" w:rsidR="004059A3" w:rsidRPr="00230113" w:rsidRDefault="004059A3" w:rsidP="00502C4E">
      <w:pPr>
        <w:spacing w:after="0" w:line="276" w:lineRule="auto"/>
        <w:jc w:val="both"/>
        <w:rPr>
          <w:rFonts w:asciiTheme="majorHAnsi" w:hAnsiTheme="majorHAnsi" w:cstheme="majorHAnsi"/>
          <w:sz w:val="16"/>
          <w:szCs w:val="16"/>
          <w:lang w:val="ro-RO"/>
        </w:rPr>
      </w:pPr>
      <w:r w:rsidRPr="00230113">
        <w:rPr>
          <w:rFonts w:asciiTheme="majorHAnsi" w:hAnsiTheme="majorHAnsi" w:cstheme="majorHAnsi"/>
          <w:sz w:val="16"/>
          <w:szCs w:val="16"/>
          <w:vertAlign w:val="superscript"/>
          <w:lang w:val="ro-RO"/>
        </w:rPr>
        <w:footnoteRef/>
      </w:r>
      <w:r w:rsidRPr="00230113">
        <w:rPr>
          <w:rFonts w:asciiTheme="majorHAnsi" w:hAnsiTheme="majorHAnsi" w:cstheme="majorHAnsi"/>
          <w:sz w:val="16"/>
          <w:szCs w:val="16"/>
          <w:vertAlign w:val="superscript"/>
          <w:lang w:val="ro-RO"/>
        </w:rPr>
        <w:t xml:space="preserve"> </w:t>
      </w:r>
      <w:r w:rsidRPr="00230113">
        <w:rPr>
          <w:rFonts w:asciiTheme="majorHAnsi" w:hAnsiTheme="majorHAnsi" w:cstheme="majorHAnsi"/>
          <w:sz w:val="16"/>
          <w:szCs w:val="16"/>
          <w:lang w:val="ro-RO"/>
        </w:rPr>
        <w:t xml:space="preserve">Legea nr. 63 din 23.04.2020 pentru modificarea Legii </w:t>
      </w:r>
      <w:r>
        <w:rPr>
          <w:rFonts w:asciiTheme="majorHAnsi" w:hAnsiTheme="majorHAnsi" w:cstheme="majorHAnsi"/>
          <w:sz w:val="16"/>
          <w:szCs w:val="16"/>
          <w:lang w:val="ro-RO"/>
        </w:rPr>
        <w:t>nr. 173 din 19.12.</w:t>
      </w:r>
      <w:r w:rsidRPr="00230113">
        <w:rPr>
          <w:rFonts w:asciiTheme="majorHAnsi" w:hAnsiTheme="majorHAnsi" w:cstheme="majorHAnsi"/>
          <w:sz w:val="16"/>
          <w:szCs w:val="16"/>
          <w:lang w:val="ro-RO"/>
        </w:rPr>
        <w:t xml:space="preserve">2019 (în continuare </w:t>
      </w:r>
      <w:r>
        <w:rPr>
          <w:rFonts w:asciiTheme="majorHAnsi" w:hAnsiTheme="majorHAnsi" w:cstheme="majorHAnsi"/>
          <w:sz w:val="16"/>
          <w:szCs w:val="16"/>
          <w:lang w:val="ro-RO"/>
        </w:rPr>
        <w:t xml:space="preserve">– </w:t>
      </w:r>
      <w:r w:rsidRPr="00230113">
        <w:rPr>
          <w:rFonts w:asciiTheme="majorHAnsi" w:hAnsiTheme="majorHAnsi" w:cstheme="majorHAnsi"/>
          <w:sz w:val="16"/>
          <w:szCs w:val="16"/>
          <w:lang w:val="ro-RO"/>
        </w:rPr>
        <w:t>Legea</w:t>
      </w:r>
      <w:r w:rsidRPr="00230113">
        <w:rPr>
          <w:rFonts w:asciiTheme="majorHAnsi" w:hAnsiTheme="majorHAnsi" w:cstheme="majorHAnsi"/>
          <w:sz w:val="16"/>
          <w:szCs w:val="16"/>
        </w:rPr>
        <w:t xml:space="preserve"> </w:t>
      </w:r>
      <w:r w:rsidRPr="00230113">
        <w:rPr>
          <w:rFonts w:asciiTheme="majorHAnsi" w:hAnsiTheme="majorHAnsi" w:cstheme="majorHAnsi"/>
          <w:sz w:val="16"/>
          <w:szCs w:val="16"/>
          <w:lang w:val="ro-RO"/>
        </w:rPr>
        <w:t>nr. 63 din 23.04.2020); Legea nr.132 din 12.07.2020 (Hotărârea Guvernului nr.437 din 01.07.2020 privind angajarea răspunderii asupra proiectului de lege pentru modificarea legii bugetului asigurărilor soc</w:t>
      </w:r>
      <w:r>
        <w:rPr>
          <w:rFonts w:asciiTheme="majorHAnsi" w:hAnsiTheme="majorHAnsi" w:cstheme="majorHAnsi"/>
          <w:sz w:val="16"/>
          <w:szCs w:val="16"/>
          <w:lang w:val="ro-RO"/>
        </w:rPr>
        <w:t xml:space="preserve">iale de stat pe anul 2020, în continuare – </w:t>
      </w:r>
      <w:r w:rsidRPr="00502C4E">
        <w:rPr>
          <w:rFonts w:asciiTheme="majorHAnsi" w:hAnsiTheme="majorHAnsi" w:cstheme="majorHAnsi"/>
          <w:sz w:val="16"/>
          <w:szCs w:val="16"/>
          <w:lang w:val="ro-RO"/>
        </w:rPr>
        <w:t>Legea nr.132 din 12.07.2020</w:t>
      </w:r>
      <w:r>
        <w:rPr>
          <w:rFonts w:asciiTheme="majorHAnsi" w:hAnsiTheme="majorHAnsi" w:cstheme="majorHAnsi"/>
          <w:sz w:val="16"/>
          <w:szCs w:val="16"/>
          <w:lang w:val="ro-RO"/>
        </w:rPr>
        <w:t>)</w:t>
      </w:r>
      <w:r w:rsidRPr="00230113">
        <w:rPr>
          <w:rFonts w:asciiTheme="majorHAnsi" w:hAnsiTheme="majorHAnsi" w:cstheme="majorHAnsi"/>
          <w:sz w:val="16"/>
          <w:szCs w:val="16"/>
          <w:lang w:val="ro-RO"/>
        </w:rPr>
        <w:t xml:space="preserve">; Legea nr. 174 din 11.09.2020 pentru modificarea Legii </w:t>
      </w:r>
      <w:r>
        <w:rPr>
          <w:rFonts w:asciiTheme="majorHAnsi" w:hAnsiTheme="majorHAnsi" w:cstheme="majorHAnsi"/>
          <w:sz w:val="16"/>
          <w:szCs w:val="16"/>
          <w:lang w:val="ro-RO"/>
        </w:rPr>
        <w:t xml:space="preserve">nr. 173 din 19.12.2020 (în continuare – Legea </w:t>
      </w:r>
      <w:r w:rsidRPr="00502C4E">
        <w:rPr>
          <w:rFonts w:asciiTheme="majorHAnsi" w:hAnsiTheme="majorHAnsi" w:cstheme="majorHAnsi"/>
          <w:sz w:val="16"/>
          <w:szCs w:val="16"/>
          <w:lang w:val="ro-RO"/>
        </w:rPr>
        <w:t>nr. 174 din 11.09.2020</w:t>
      </w:r>
      <w:r>
        <w:rPr>
          <w:rFonts w:asciiTheme="majorHAnsi" w:hAnsiTheme="majorHAnsi" w:cstheme="majorHAnsi"/>
          <w:sz w:val="16"/>
          <w:szCs w:val="16"/>
          <w:lang w:val="ro-RO"/>
        </w:rPr>
        <w:t>).</w:t>
      </w:r>
    </w:p>
  </w:footnote>
  <w:footnote w:id="70">
    <w:p w14:paraId="48265288" w14:textId="08847B7D" w:rsidR="004059A3" w:rsidRPr="00502C4E" w:rsidRDefault="004059A3" w:rsidP="00502C4E">
      <w:pPr>
        <w:pStyle w:val="FootnoteText"/>
        <w:rPr>
          <w:rFonts w:asciiTheme="majorHAnsi" w:hAnsiTheme="majorHAnsi" w:cstheme="majorHAnsi"/>
          <w:sz w:val="16"/>
          <w:szCs w:val="16"/>
          <w:lang w:val="ro-RO"/>
        </w:rPr>
      </w:pPr>
      <w:r w:rsidRPr="00230113">
        <w:rPr>
          <w:rStyle w:val="FootnoteReference"/>
          <w:rFonts w:asciiTheme="majorHAnsi" w:hAnsiTheme="majorHAnsi" w:cstheme="majorHAnsi"/>
          <w:sz w:val="16"/>
          <w:szCs w:val="16"/>
        </w:rPr>
        <w:footnoteRef/>
      </w:r>
      <w:r w:rsidRPr="00230113">
        <w:rPr>
          <w:rFonts w:asciiTheme="majorHAnsi" w:hAnsiTheme="majorHAnsi" w:cstheme="majorHAnsi"/>
          <w:sz w:val="16"/>
          <w:szCs w:val="16"/>
        </w:rPr>
        <w:t xml:space="preserve"> </w:t>
      </w:r>
      <w:r w:rsidRPr="00230113">
        <w:rPr>
          <w:rFonts w:asciiTheme="majorHAnsi" w:hAnsiTheme="majorHAnsi" w:cstheme="majorHAnsi"/>
          <w:sz w:val="16"/>
          <w:szCs w:val="16"/>
          <w:lang w:val="ro-RO"/>
        </w:rPr>
        <w:t>Hotă</w:t>
      </w:r>
      <w:r>
        <w:rPr>
          <w:rFonts w:asciiTheme="majorHAnsi" w:hAnsiTheme="majorHAnsi" w:cstheme="majorHAnsi"/>
          <w:sz w:val="16"/>
          <w:szCs w:val="16"/>
          <w:lang w:val="ro-RO"/>
        </w:rPr>
        <w:t xml:space="preserve">rârea Parlamentului nr. 55 din 17.03.2020 </w:t>
      </w:r>
      <w:r w:rsidRPr="00502C4E">
        <w:rPr>
          <w:rFonts w:asciiTheme="majorHAnsi" w:hAnsiTheme="majorHAnsi" w:cstheme="majorHAnsi"/>
          <w:sz w:val="16"/>
          <w:szCs w:val="16"/>
          <w:lang w:val="ro-RO"/>
        </w:rPr>
        <w:t>priv</w:t>
      </w:r>
      <w:r>
        <w:rPr>
          <w:rFonts w:asciiTheme="majorHAnsi" w:hAnsiTheme="majorHAnsi" w:cstheme="majorHAnsi"/>
          <w:sz w:val="16"/>
          <w:szCs w:val="16"/>
          <w:lang w:val="ro-RO"/>
        </w:rPr>
        <w:t>ind declararea stării de urgență.</w:t>
      </w:r>
    </w:p>
  </w:footnote>
  <w:footnote w:id="71">
    <w:p w14:paraId="5CBD755D" w14:textId="06306127" w:rsidR="004059A3" w:rsidRPr="00502C4E" w:rsidRDefault="004059A3">
      <w:pPr>
        <w:pStyle w:val="FootnoteText"/>
        <w:rPr>
          <w:rFonts w:asciiTheme="majorHAnsi" w:hAnsiTheme="majorHAnsi" w:cstheme="majorHAnsi"/>
          <w:sz w:val="16"/>
          <w:szCs w:val="16"/>
          <w:lang w:val="ro-RO"/>
        </w:rPr>
      </w:pPr>
      <w:r w:rsidRPr="00230113">
        <w:rPr>
          <w:rStyle w:val="FootnoteReference"/>
          <w:rFonts w:asciiTheme="majorHAnsi" w:hAnsiTheme="majorHAnsi" w:cstheme="majorHAnsi"/>
          <w:sz w:val="16"/>
          <w:szCs w:val="16"/>
        </w:rPr>
        <w:footnoteRef/>
      </w:r>
      <w:r w:rsidRPr="00230113">
        <w:rPr>
          <w:rFonts w:asciiTheme="majorHAnsi" w:hAnsiTheme="majorHAnsi" w:cstheme="majorHAnsi"/>
          <w:sz w:val="16"/>
          <w:szCs w:val="16"/>
        </w:rPr>
        <w:t xml:space="preserve"> </w:t>
      </w:r>
      <w:r w:rsidRPr="00502C4E">
        <w:rPr>
          <w:rFonts w:asciiTheme="majorHAnsi" w:hAnsiTheme="majorHAnsi" w:cstheme="majorHAnsi"/>
          <w:sz w:val="16"/>
          <w:szCs w:val="16"/>
          <w:lang w:val="ro-RO"/>
        </w:rPr>
        <w:t>Legea nr. 63 din 23.04.2020.</w:t>
      </w:r>
    </w:p>
  </w:footnote>
  <w:footnote w:id="72">
    <w:p w14:paraId="735402B4" w14:textId="6ED52CAC" w:rsidR="004059A3" w:rsidRPr="00502C4E" w:rsidRDefault="004059A3">
      <w:pPr>
        <w:pStyle w:val="FootnoteText"/>
        <w:rPr>
          <w:rFonts w:asciiTheme="majorHAnsi" w:hAnsiTheme="majorHAnsi" w:cstheme="majorHAnsi"/>
          <w:sz w:val="16"/>
          <w:szCs w:val="16"/>
        </w:rPr>
      </w:pPr>
      <w:r w:rsidRPr="00502C4E">
        <w:rPr>
          <w:rStyle w:val="FootnoteReference"/>
          <w:rFonts w:asciiTheme="majorHAnsi" w:hAnsiTheme="majorHAnsi" w:cstheme="majorHAnsi"/>
          <w:sz w:val="16"/>
          <w:szCs w:val="16"/>
        </w:rPr>
        <w:footnoteRef/>
      </w:r>
      <w:r w:rsidRPr="00502C4E">
        <w:rPr>
          <w:rFonts w:asciiTheme="majorHAnsi" w:hAnsiTheme="majorHAnsi" w:cstheme="majorHAnsi"/>
          <w:sz w:val="16"/>
          <w:szCs w:val="16"/>
        </w:rPr>
        <w:t xml:space="preserve"> </w:t>
      </w:r>
      <w:r w:rsidRPr="00502C4E">
        <w:rPr>
          <w:rFonts w:asciiTheme="majorHAnsi" w:hAnsiTheme="majorHAnsi" w:cstheme="majorHAnsi"/>
          <w:sz w:val="16"/>
          <w:szCs w:val="16"/>
          <w:lang w:val="ro-RO"/>
        </w:rPr>
        <w:t xml:space="preserve">Legea </w:t>
      </w:r>
      <w:r w:rsidRPr="00502C4E">
        <w:rPr>
          <w:rFonts w:asciiTheme="majorHAnsi" w:hAnsiTheme="majorHAnsi" w:cstheme="majorHAnsi"/>
          <w:sz w:val="16"/>
          <w:szCs w:val="16"/>
        </w:rPr>
        <w:t>nr.132 din 12.07.2020</w:t>
      </w:r>
      <w:r>
        <w:rPr>
          <w:rFonts w:asciiTheme="majorHAnsi" w:hAnsiTheme="majorHAnsi" w:cstheme="majorHAnsi"/>
          <w:sz w:val="16"/>
          <w:szCs w:val="16"/>
        </w:rPr>
        <w:t>.</w:t>
      </w:r>
    </w:p>
  </w:footnote>
  <w:footnote w:id="73">
    <w:p w14:paraId="0E3B9CEA" w14:textId="799A8CE3" w:rsidR="004059A3" w:rsidRPr="00502C4E" w:rsidRDefault="004059A3">
      <w:pPr>
        <w:pStyle w:val="FootnoteText"/>
        <w:rPr>
          <w:rFonts w:asciiTheme="majorHAnsi" w:hAnsiTheme="majorHAnsi" w:cstheme="majorHAnsi"/>
          <w:sz w:val="16"/>
          <w:szCs w:val="16"/>
        </w:rPr>
      </w:pPr>
      <w:r w:rsidRPr="00502C4E">
        <w:rPr>
          <w:rStyle w:val="FootnoteReference"/>
          <w:rFonts w:asciiTheme="majorHAnsi" w:hAnsiTheme="majorHAnsi" w:cstheme="majorHAnsi"/>
          <w:sz w:val="16"/>
          <w:szCs w:val="16"/>
        </w:rPr>
        <w:footnoteRef/>
      </w:r>
      <w:r w:rsidRPr="00502C4E">
        <w:rPr>
          <w:rFonts w:asciiTheme="majorHAnsi" w:hAnsiTheme="majorHAnsi" w:cstheme="majorHAnsi"/>
          <w:sz w:val="16"/>
          <w:szCs w:val="16"/>
        </w:rPr>
        <w:t xml:space="preserve"> </w:t>
      </w:r>
      <w:r w:rsidRPr="00502C4E">
        <w:rPr>
          <w:rFonts w:asciiTheme="majorHAnsi" w:hAnsiTheme="majorHAnsi" w:cstheme="majorHAnsi"/>
          <w:sz w:val="16"/>
          <w:szCs w:val="16"/>
          <w:lang w:val="ro-RO"/>
        </w:rPr>
        <w:t>Legea nr. 174 din 11.09.2020</w:t>
      </w:r>
      <w:r>
        <w:rPr>
          <w:rFonts w:asciiTheme="majorHAnsi" w:hAnsiTheme="majorHAnsi" w:cstheme="majorHAnsi"/>
          <w:sz w:val="16"/>
          <w:szCs w:val="16"/>
          <w:lang w:val="ro-RO"/>
        </w:rPr>
        <w:t>.</w:t>
      </w:r>
    </w:p>
  </w:footnote>
  <w:footnote w:id="74">
    <w:p w14:paraId="1DA917C3" w14:textId="77777777" w:rsidR="004059A3" w:rsidRPr="00B10243" w:rsidRDefault="004059A3" w:rsidP="00BC11A6">
      <w:pPr>
        <w:pStyle w:val="NoSpacing"/>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Art.19 din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w:t>
      </w:r>
    </w:p>
  </w:footnote>
  <w:footnote w:id="75">
    <w:p w14:paraId="7EF3B3BC" w14:textId="47AE5AAE" w:rsidR="004059A3" w:rsidRPr="00B10243" w:rsidRDefault="004059A3" w:rsidP="006C6C9D">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Art.22 din Legea nr.229</w:t>
      </w:r>
      <w:r w:rsidRPr="00B10243">
        <w:rPr>
          <w:rFonts w:asciiTheme="majorHAnsi" w:eastAsia="Times New Roman" w:hAnsiTheme="majorHAnsi" w:cstheme="majorHAnsi"/>
          <w:bCs/>
          <w:sz w:val="16"/>
          <w:szCs w:val="16"/>
          <w:lang w:val="ro-MD"/>
        </w:rPr>
        <w:t xml:space="preserve"> din 23.09.2010.</w:t>
      </w:r>
    </w:p>
  </w:footnote>
  <w:footnote w:id="76">
    <w:p w14:paraId="6643390B" w14:textId="6CDEDFF0" w:rsidR="004059A3" w:rsidRPr="00B10243" w:rsidRDefault="004059A3" w:rsidP="006C6C9D">
      <w:pPr>
        <w:pStyle w:val="NoSpacing"/>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 xml:space="preserve">; </w:t>
      </w:r>
      <w:r w:rsidRPr="00B10243">
        <w:rPr>
          <w:rFonts w:asciiTheme="majorHAnsi" w:hAnsiTheme="majorHAnsi" w:cstheme="majorHAnsi"/>
          <w:sz w:val="16"/>
          <w:szCs w:val="16"/>
          <w:lang w:val="ro-MD"/>
        </w:rPr>
        <w:t>Legea nr.</w:t>
      </w:r>
      <w:r w:rsidRPr="00B10243">
        <w:rPr>
          <w:rFonts w:asciiTheme="majorHAnsi" w:eastAsia="Times New Roman" w:hAnsiTheme="majorHAnsi" w:cstheme="majorHAnsi"/>
          <w:sz w:val="16"/>
          <w:szCs w:val="16"/>
          <w:lang w:val="ro-MD"/>
        </w:rPr>
        <w:t>113-XVI din 27.04.2007</w:t>
      </w:r>
      <w:r w:rsidRPr="00B10243">
        <w:rPr>
          <w:rFonts w:asciiTheme="majorHAnsi" w:hAnsiTheme="majorHAnsi" w:cstheme="majorHAnsi"/>
          <w:sz w:val="16"/>
          <w:szCs w:val="16"/>
          <w:lang w:val="ro-MD" w:eastAsia="ro-RO"/>
        </w:rPr>
        <w:t>.</w:t>
      </w:r>
    </w:p>
  </w:footnote>
  <w:footnote w:id="77">
    <w:p w14:paraId="20C38D38" w14:textId="77777777" w:rsidR="004059A3" w:rsidRPr="00B10243" w:rsidRDefault="004059A3" w:rsidP="00761AA6">
      <w:pPr>
        <w:pStyle w:val="NoSpacing"/>
        <w:jc w:val="both"/>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Art.22 din </w:t>
      </w:r>
      <w:r w:rsidRPr="00B10243">
        <w:rPr>
          <w:rFonts w:asciiTheme="majorHAnsi" w:hAnsiTheme="majorHAnsi" w:cstheme="majorHAnsi"/>
          <w:sz w:val="16"/>
          <w:szCs w:val="16"/>
          <w:lang w:val="ro-MD" w:eastAsia="ro-RO"/>
        </w:rPr>
        <w:t xml:space="preserve">Legea </w:t>
      </w:r>
      <w:r w:rsidRPr="00B10243">
        <w:rPr>
          <w:rFonts w:asciiTheme="majorHAnsi" w:eastAsia="Times New Roman" w:hAnsiTheme="majorHAnsi" w:cstheme="majorHAnsi"/>
          <w:bCs/>
          <w:sz w:val="16"/>
          <w:szCs w:val="16"/>
          <w:lang w:val="ro-MD"/>
        </w:rPr>
        <w:t>nr.181 din 25.07.2014</w:t>
      </w:r>
      <w:r w:rsidRPr="00B10243">
        <w:rPr>
          <w:rFonts w:asciiTheme="majorHAnsi" w:hAnsiTheme="majorHAnsi" w:cstheme="majorHAnsi"/>
          <w:sz w:val="16"/>
          <w:szCs w:val="16"/>
          <w:lang w:val="ro-MD" w:eastAsia="ro-RO"/>
        </w:rPr>
        <w:t>.</w:t>
      </w:r>
    </w:p>
  </w:footnote>
  <w:footnote w:id="78">
    <w:p w14:paraId="3BF03DAD" w14:textId="64040C01" w:rsidR="004059A3" w:rsidRPr="00B10243" w:rsidRDefault="004059A3" w:rsidP="00D463F9">
      <w:pPr>
        <w:pStyle w:val="FootnoteText"/>
        <w:jc w:val="both"/>
        <w:rPr>
          <w:rFonts w:asciiTheme="majorHAnsi" w:hAnsiTheme="majorHAnsi" w:cstheme="majorHAnsi"/>
          <w:lang w:val="ro-MD"/>
        </w:rPr>
      </w:pPr>
      <w:r w:rsidRPr="00B10243">
        <w:rPr>
          <w:rStyle w:val="FootnoteReference"/>
          <w:rFonts w:asciiTheme="majorHAnsi" w:hAnsiTheme="majorHAnsi" w:cstheme="majorHAnsi"/>
          <w:sz w:val="16"/>
          <w:lang w:val="ro-MD"/>
        </w:rPr>
        <w:footnoteRef/>
      </w:r>
      <w:r w:rsidRPr="00B10243">
        <w:rPr>
          <w:rFonts w:asciiTheme="majorHAnsi" w:hAnsiTheme="majorHAnsi" w:cstheme="majorHAnsi"/>
          <w:sz w:val="16"/>
          <w:lang w:val="ro-MD"/>
        </w:rPr>
        <w:t xml:space="preserve"> </w:t>
      </w:r>
      <w:r w:rsidRPr="00B10243">
        <w:rPr>
          <w:rFonts w:asciiTheme="majorHAnsi" w:hAnsiTheme="majorHAnsi" w:cstheme="majorHAnsi"/>
          <w:sz w:val="16"/>
          <w:szCs w:val="16"/>
          <w:lang w:val="ro-MD"/>
        </w:rPr>
        <w:t xml:space="preserve">Legea nr.113-XVI din 27.04.2007; Ordinul ministrului </w:t>
      </w:r>
      <w:r>
        <w:rPr>
          <w:rFonts w:asciiTheme="majorHAnsi" w:hAnsiTheme="majorHAnsi" w:cstheme="majorHAnsi"/>
          <w:sz w:val="16"/>
          <w:szCs w:val="16"/>
          <w:lang w:val="ro-MD"/>
        </w:rPr>
        <w:t>F</w:t>
      </w:r>
      <w:r w:rsidRPr="00B10243">
        <w:rPr>
          <w:rFonts w:asciiTheme="majorHAnsi" w:hAnsiTheme="majorHAnsi" w:cstheme="majorHAnsi"/>
          <w:sz w:val="16"/>
          <w:szCs w:val="16"/>
          <w:lang w:val="ro-MD"/>
        </w:rPr>
        <w:t xml:space="preserve">inanțelor nr.118 din 06.08.2013 „Privind aprobarea Standardelor Naționale de Contabilitate”; Ordinul ministrului </w:t>
      </w:r>
      <w:r>
        <w:rPr>
          <w:rFonts w:asciiTheme="majorHAnsi" w:hAnsiTheme="majorHAnsi" w:cstheme="majorHAnsi"/>
          <w:sz w:val="16"/>
          <w:szCs w:val="16"/>
          <w:lang w:val="ro-MD"/>
        </w:rPr>
        <w:t>F</w:t>
      </w:r>
      <w:r w:rsidRPr="00B10243">
        <w:rPr>
          <w:rFonts w:asciiTheme="majorHAnsi" w:hAnsiTheme="majorHAnsi" w:cstheme="majorHAnsi"/>
          <w:sz w:val="16"/>
          <w:szCs w:val="16"/>
          <w:lang w:val="ro-MD"/>
        </w:rPr>
        <w:t xml:space="preserve">inanțelor </w:t>
      </w:r>
      <w:r w:rsidRPr="00B10243">
        <w:rPr>
          <w:rFonts w:asciiTheme="majorHAnsi" w:hAnsiTheme="majorHAnsi" w:cstheme="majorHAnsi"/>
          <w:noProof/>
          <w:sz w:val="16"/>
          <w:szCs w:val="16"/>
          <w:lang w:val="ro-MD"/>
        </w:rPr>
        <w:t>nr.38 din 17.02.2017.</w:t>
      </w:r>
    </w:p>
  </w:footnote>
  <w:footnote w:id="79">
    <w:p w14:paraId="0A7AF828" w14:textId="03BE63C1" w:rsidR="004059A3" w:rsidRPr="00B10243" w:rsidRDefault="004059A3" w:rsidP="00D463F9">
      <w:pPr>
        <w:pStyle w:val="FootnoteText"/>
        <w:jc w:val="both"/>
        <w:rPr>
          <w:rFonts w:asciiTheme="majorHAnsi" w:hAnsiTheme="majorHAnsi" w:cstheme="majorHAnsi"/>
          <w:lang w:val="ro-MD"/>
        </w:rPr>
      </w:pPr>
      <w:r w:rsidRPr="00B10243">
        <w:rPr>
          <w:rStyle w:val="FootnoteReference"/>
          <w:rFonts w:asciiTheme="majorHAnsi" w:hAnsiTheme="majorHAnsi" w:cstheme="majorHAnsi"/>
          <w:sz w:val="16"/>
          <w:lang w:val="ro-MD"/>
        </w:rPr>
        <w:footnoteRef/>
      </w:r>
      <w:r w:rsidRPr="00B10243">
        <w:rPr>
          <w:rFonts w:asciiTheme="majorHAnsi" w:hAnsiTheme="majorHAnsi" w:cstheme="majorHAnsi"/>
          <w:lang w:val="ro-MD"/>
        </w:rPr>
        <w:t xml:space="preserve"> </w:t>
      </w:r>
      <w:r w:rsidRPr="00B10243">
        <w:rPr>
          <w:rFonts w:asciiTheme="majorHAnsi" w:hAnsiTheme="majorHAnsi" w:cstheme="majorHAnsi"/>
          <w:sz w:val="16"/>
          <w:szCs w:val="16"/>
          <w:lang w:val="ro-MD"/>
        </w:rPr>
        <w:t>Art. 13 alin.(2) lit. e) din Legea nr.113-XVI din 27.04.2007.</w:t>
      </w:r>
    </w:p>
  </w:footnote>
  <w:footnote w:id="80">
    <w:p w14:paraId="0597BFA6" w14:textId="77777777" w:rsidR="004059A3" w:rsidRPr="00B10243" w:rsidRDefault="004059A3" w:rsidP="00D105A2">
      <w:pPr>
        <w:pStyle w:val="FootnoteText"/>
        <w:rPr>
          <w:rFonts w:asciiTheme="majorHAnsi" w:hAnsiTheme="majorHAnsi" w:cstheme="majorHAnsi"/>
          <w:sz w:val="16"/>
          <w:szCs w:val="16"/>
          <w:lang w:val="ro-MD"/>
        </w:rPr>
      </w:pPr>
      <w:r w:rsidRPr="00B10243">
        <w:rPr>
          <w:rStyle w:val="FootnoteReference"/>
          <w:rFonts w:asciiTheme="majorHAnsi" w:hAnsiTheme="majorHAnsi" w:cstheme="majorHAnsi"/>
          <w:sz w:val="16"/>
          <w:szCs w:val="16"/>
          <w:lang w:val="ro-MD"/>
        </w:rPr>
        <w:footnoteRef/>
      </w:r>
      <w:r w:rsidRPr="00B10243">
        <w:rPr>
          <w:rFonts w:asciiTheme="majorHAnsi" w:hAnsiTheme="majorHAnsi" w:cstheme="majorHAnsi"/>
          <w:sz w:val="16"/>
          <w:szCs w:val="16"/>
          <w:lang w:val="ro-MD"/>
        </w:rPr>
        <w:t xml:space="preserve"> Anexa nr.1 la Legea nr.</w:t>
      </w:r>
      <w:r w:rsidRPr="00B10243">
        <w:rPr>
          <w:lang w:val="ro-MD"/>
        </w:rPr>
        <w:t xml:space="preserve"> </w:t>
      </w:r>
      <w:r w:rsidRPr="00B10243">
        <w:rPr>
          <w:rFonts w:asciiTheme="majorHAnsi" w:hAnsiTheme="majorHAnsi" w:cstheme="majorHAnsi"/>
          <w:sz w:val="16"/>
          <w:szCs w:val="16"/>
          <w:lang w:val="ro-MD"/>
        </w:rPr>
        <w:t>489-XIV din 08.07.1999.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F5DD" w14:textId="591F4B85" w:rsidR="004059A3" w:rsidRPr="00633617" w:rsidRDefault="004059A3" w:rsidP="00633617">
    <w:pPr>
      <w:pStyle w:val="Header"/>
      <w:jc w:val="right"/>
      <w:rPr>
        <w:rFonts w:asciiTheme="majorHAnsi" w:hAnsiTheme="majorHAnsi" w:cstheme="maj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F02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396"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D0A67"/>
    <w:multiLevelType w:val="multilevel"/>
    <w:tmpl w:val="A6686542"/>
    <w:lvl w:ilvl="0">
      <w:start w:val="6"/>
      <w:numFmt w:val="decimal"/>
      <w:lvlText w:val="%1."/>
      <w:lvlJc w:val="left"/>
      <w:pPr>
        <w:ind w:left="396" w:hanging="396"/>
      </w:pPr>
      <w:rPr>
        <w:rFonts w:hint="default"/>
      </w:rPr>
    </w:lvl>
    <w:lvl w:ilvl="1">
      <w:start w:val="5"/>
      <w:numFmt w:val="decimal"/>
      <w:lvlText w:val="%1.%2."/>
      <w:lvlJc w:val="left"/>
      <w:pPr>
        <w:ind w:left="-30" w:hanging="396"/>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52F5BB1"/>
    <w:multiLevelType w:val="multilevel"/>
    <w:tmpl w:val="DFC645FE"/>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BA4BD0"/>
    <w:multiLevelType w:val="multilevel"/>
    <w:tmpl w:val="4BE85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36DA3"/>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47840"/>
    <w:multiLevelType w:val="hybridMultilevel"/>
    <w:tmpl w:val="3A5668A0"/>
    <w:lvl w:ilvl="0" w:tplc="58369BBC">
      <w:start w:val="1"/>
      <w:numFmt w:val="decimal"/>
      <w:lvlText w:val="%1."/>
      <w:lvlJc w:val="left"/>
      <w:pPr>
        <w:ind w:left="502" w:hanging="360"/>
      </w:pPr>
      <w:rPr>
        <w:rFonts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C76E6"/>
    <w:multiLevelType w:val="hybridMultilevel"/>
    <w:tmpl w:val="FD0C81DC"/>
    <w:lvl w:ilvl="0" w:tplc="37DE8E2E">
      <w:start w:val="100"/>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97C40"/>
    <w:multiLevelType w:val="hybridMultilevel"/>
    <w:tmpl w:val="9712056C"/>
    <w:lvl w:ilvl="0" w:tplc="654ECB44">
      <w:start w:val="1"/>
      <w:numFmt w:val="decimal"/>
      <w:pStyle w:val="NormalAriel"/>
      <w:lvlText w:val="%1."/>
      <w:lvlJc w:val="left"/>
      <w:pPr>
        <w:tabs>
          <w:tab w:val="num" w:pos="140"/>
        </w:tabs>
        <w:ind w:left="350" w:hanging="170"/>
      </w:pPr>
      <w:rPr>
        <w:rFonts w:hint="default"/>
        <w:b/>
        <w:sz w:val="28"/>
        <w:szCs w:val="28"/>
      </w:rPr>
    </w:lvl>
    <w:lvl w:ilvl="1" w:tplc="0419000F">
      <w:start w:val="1"/>
      <w:numFmt w:val="decimal"/>
      <w:lvlText w:val="%2."/>
      <w:lvlJc w:val="left"/>
      <w:pPr>
        <w:tabs>
          <w:tab w:val="num" w:pos="730"/>
        </w:tabs>
        <w:ind w:left="730" w:hanging="360"/>
      </w:pPr>
      <w:rPr>
        <w:rFonts w:hint="default"/>
        <w:sz w:val="22"/>
        <w:szCs w:val="22"/>
      </w:rPr>
    </w:lvl>
    <w:lvl w:ilvl="2" w:tplc="DCF68850">
      <w:start w:val="5"/>
      <w:numFmt w:val="lowerLetter"/>
      <w:lvlText w:val="%3."/>
      <w:lvlJc w:val="left"/>
      <w:pPr>
        <w:tabs>
          <w:tab w:val="num" w:pos="1630"/>
        </w:tabs>
        <w:ind w:left="1630" w:hanging="360"/>
      </w:pPr>
      <w:rPr>
        <w:rFonts w:hint="default"/>
      </w:r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10" w15:restartNumberingAfterBreak="0">
    <w:nsid w:val="39495E0B"/>
    <w:multiLevelType w:val="multilevel"/>
    <w:tmpl w:val="44109AF0"/>
    <w:lvl w:ilvl="0">
      <w:start w:val="6"/>
      <w:numFmt w:val="decimal"/>
      <w:lvlText w:val="%1."/>
      <w:lvlJc w:val="left"/>
      <w:pPr>
        <w:ind w:left="396" w:hanging="396"/>
      </w:pPr>
      <w:rPr>
        <w:rFonts w:hint="default"/>
      </w:rPr>
    </w:lvl>
    <w:lvl w:ilvl="1">
      <w:start w:val="1"/>
      <w:numFmt w:val="decimal"/>
      <w:lvlText w:val="%1.%2."/>
      <w:lvlJc w:val="left"/>
      <w:pPr>
        <w:ind w:left="-30" w:hanging="396"/>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43BC4D61"/>
    <w:multiLevelType w:val="hybridMultilevel"/>
    <w:tmpl w:val="6E8C709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5896D7C"/>
    <w:multiLevelType w:val="multilevel"/>
    <w:tmpl w:val="6D7C95A6"/>
    <w:lvl w:ilvl="0">
      <w:start w:val="1"/>
      <w:numFmt w:val="upperRoman"/>
      <w:pStyle w:val="Heading1"/>
      <w:lvlText w:val="%1."/>
      <w:lvlJc w:val="left"/>
      <w:pPr>
        <w:ind w:left="5606"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pStyle w:val="Heading4"/>
      <w:lvlText w:val="%1.%2.%3.%4"/>
      <w:lvlJc w:val="left"/>
      <w:pPr>
        <w:ind w:left="438" w:hanging="864"/>
      </w:pPr>
      <w:rPr>
        <w:rFonts w:hint="default"/>
      </w:rPr>
    </w:lvl>
    <w:lvl w:ilvl="4">
      <w:start w:val="1"/>
      <w:numFmt w:val="decimal"/>
      <w:pStyle w:val="Heading5"/>
      <w:lvlText w:val="%1.%2.%3.%4.%5"/>
      <w:lvlJc w:val="left"/>
      <w:pPr>
        <w:ind w:left="582" w:hanging="1008"/>
      </w:pPr>
      <w:rPr>
        <w:rFonts w:hint="default"/>
      </w:rPr>
    </w:lvl>
    <w:lvl w:ilvl="5">
      <w:start w:val="1"/>
      <w:numFmt w:val="decimal"/>
      <w:pStyle w:val="Heading6"/>
      <w:lvlText w:val="%1.%2.%3.%4.%5.%6"/>
      <w:lvlJc w:val="left"/>
      <w:pPr>
        <w:ind w:left="726" w:hanging="1152"/>
      </w:pPr>
      <w:rPr>
        <w:rFonts w:hint="default"/>
      </w:rPr>
    </w:lvl>
    <w:lvl w:ilvl="6">
      <w:start w:val="1"/>
      <w:numFmt w:val="decimal"/>
      <w:pStyle w:val="Heading7"/>
      <w:lvlText w:val="%1.%2.%3.%4.%5.%6.%7"/>
      <w:lvlJc w:val="left"/>
      <w:pPr>
        <w:ind w:left="870" w:hanging="1296"/>
      </w:pPr>
      <w:rPr>
        <w:rFonts w:hint="default"/>
      </w:rPr>
    </w:lvl>
    <w:lvl w:ilvl="7">
      <w:start w:val="1"/>
      <w:numFmt w:val="decimal"/>
      <w:pStyle w:val="Heading8"/>
      <w:lvlText w:val="%1.%2.%3.%4.%5.%6.%7.%8"/>
      <w:lvlJc w:val="left"/>
      <w:pPr>
        <w:ind w:left="1014" w:hanging="1440"/>
      </w:pPr>
      <w:rPr>
        <w:rFonts w:hint="default"/>
      </w:rPr>
    </w:lvl>
    <w:lvl w:ilvl="8">
      <w:start w:val="1"/>
      <w:numFmt w:val="decimal"/>
      <w:pStyle w:val="Heading9"/>
      <w:lvlText w:val="%1.%2.%3.%4.%5.%6.%7.%8.%9"/>
      <w:lvlJc w:val="left"/>
      <w:pPr>
        <w:ind w:left="1158" w:hanging="1584"/>
      </w:pPr>
      <w:rPr>
        <w:rFonts w:hint="default"/>
      </w:rPr>
    </w:lvl>
  </w:abstractNum>
  <w:abstractNum w:abstractNumId="13" w15:restartNumberingAfterBreak="0">
    <w:nsid w:val="4CF4615F"/>
    <w:multiLevelType w:val="hybridMultilevel"/>
    <w:tmpl w:val="1174CB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B97D9C"/>
    <w:multiLevelType w:val="hybridMultilevel"/>
    <w:tmpl w:val="D8083BB0"/>
    <w:lvl w:ilvl="0" w:tplc="67709E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649AF"/>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50E5D"/>
    <w:multiLevelType w:val="hybridMultilevel"/>
    <w:tmpl w:val="AF70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F0335"/>
    <w:multiLevelType w:val="multilevel"/>
    <w:tmpl w:val="E6F2888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96000B"/>
    <w:multiLevelType w:val="hybridMultilevel"/>
    <w:tmpl w:val="67E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D09EE"/>
    <w:multiLevelType w:val="multilevel"/>
    <w:tmpl w:val="D01A20B8"/>
    <w:lvl w:ilvl="0">
      <w:start w:val="2"/>
      <w:numFmt w:val="decimal"/>
      <w:lvlText w:val="%1."/>
      <w:lvlJc w:val="left"/>
      <w:pPr>
        <w:ind w:left="396" w:hanging="396"/>
      </w:pPr>
      <w:rPr>
        <w:rFonts w:hint="default"/>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54F390A"/>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E5F0D"/>
    <w:multiLevelType w:val="hybridMultilevel"/>
    <w:tmpl w:val="1DAE2552"/>
    <w:lvl w:ilvl="0" w:tplc="114A8E36">
      <w:start w:val="1"/>
      <w:numFmt w:val="decimal"/>
      <w:lvlText w:val="%1."/>
      <w:lvlJc w:val="left"/>
      <w:pPr>
        <w:ind w:left="720" w:hanging="360"/>
      </w:pPr>
      <w:rPr>
        <w:rFonts w:eastAsiaTheme="majorEastAs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34649"/>
    <w:multiLevelType w:val="hybridMultilevel"/>
    <w:tmpl w:val="684E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83097"/>
    <w:multiLevelType w:val="hybridMultilevel"/>
    <w:tmpl w:val="9E0A60E6"/>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42D09"/>
    <w:multiLevelType w:val="hybridMultilevel"/>
    <w:tmpl w:val="EFA2C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0"/>
  </w:num>
  <w:num w:numId="3">
    <w:abstractNumId w:val="4"/>
  </w:num>
  <w:num w:numId="4">
    <w:abstractNumId w:val="12"/>
    <w:lvlOverride w:ilvl="0">
      <w:startOverride w:val="1"/>
    </w:lvlOverride>
  </w:num>
  <w:num w:numId="5">
    <w:abstractNumId w:val="21"/>
  </w:num>
  <w:num w:numId="6">
    <w:abstractNumId w:val="8"/>
  </w:num>
  <w:num w:numId="7">
    <w:abstractNumId w:val="14"/>
  </w:num>
  <w:num w:numId="8">
    <w:abstractNumId w:val="23"/>
  </w:num>
  <w:num w:numId="9">
    <w:abstractNumId w:val="9"/>
  </w:num>
  <w:num w:numId="10">
    <w:abstractNumId w:val="19"/>
  </w:num>
  <w:num w:numId="11">
    <w:abstractNumId w:val="13"/>
  </w:num>
  <w:num w:numId="12">
    <w:abstractNumId w:val="18"/>
  </w:num>
  <w:num w:numId="13">
    <w:abstractNumId w:val="16"/>
  </w:num>
  <w:num w:numId="14">
    <w:abstractNumId w:val="3"/>
  </w:num>
  <w:num w:numId="15">
    <w:abstractNumId w:val="20"/>
  </w:num>
  <w:num w:numId="16">
    <w:abstractNumId w:val="5"/>
  </w:num>
  <w:num w:numId="17">
    <w:abstractNumId w:val="10"/>
  </w:num>
  <w:num w:numId="18">
    <w:abstractNumId w:val="11"/>
  </w:num>
  <w:num w:numId="19">
    <w:abstractNumId w:val="22"/>
  </w:num>
  <w:num w:numId="20">
    <w:abstractNumId w:val="1"/>
  </w:num>
  <w:num w:numId="21">
    <w:abstractNumId w:val="24"/>
  </w:num>
  <w:num w:numId="22">
    <w:abstractNumId w:val="2"/>
  </w:num>
  <w:num w:numId="23">
    <w:abstractNumId w:val="17"/>
  </w:num>
  <w:num w:numId="24">
    <w:abstractNumId w:val="15"/>
  </w:num>
  <w:num w:numId="25">
    <w:abstractNumId w:val="7"/>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1B"/>
    <w:rsid w:val="00000E68"/>
    <w:rsid w:val="00002144"/>
    <w:rsid w:val="000028CF"/>
    <w:rsid w:val="00005F8E"/>
    <w:rsid w:val="000061F7"/>
    <w:rsid w:val="00006DA2"/>
    <w:rsid w:val="00006EB2"/>
    <w:rsid w:val="000115DD"/>
    <w:rsid w:val="000136F8"/>
    <w:rsid w:val="00013A19"/>
    <w:rsid w:val="00014B93"/>
    <w:rsid w:val="00015D7F"/>
    <w:rsid w:val="00017A4C"/>
    <w:rsid w:val="00017C4D"/>
    <w:rsid w:val="00017D97"/>
    <w:rsid w:val="00020096"/>
    <w:rsid w:val="00020FF2"/>
    <w:rsid w:val="0002324C"/>
    <w:rsid w:val="00023CDF"/>
    <w:rsid w:val="00023EBA"/>
    <w:rsid w:val="00025273"/>
    <w:rsid w:val="000253E0"/>
    <w:rsid w:val="0002541D"/>
    <w:rsid w:val="0002557C"/>
    <w:rsid w:val="000310F3"/>
    <w:rsid w:val="00031A79"/>
    <w:rsid w:val="00033878"/>
    <w:rsid w:val="00033BD8"/>
    <w:rsid w:val="00033FD7"/>
    <w:rsid w:val="00035B1B"/>
    <w:rsid w:val="00035C9F"/>
    <w:rsid w:val="000375D1"/>
    <w:rsid w:val="00037BE6"/>
    <w:rsid w:val="00041281"/>
    <w:rsid w:val="00041921"/>
    <w:rsid w:val="000461CE"/>
    <w:rsid w:val="00046F8C"/>
    <w:rsid w:val="00050A6B"/>
    <w:rsid w:val="00050C76"/>
    <w:rsid w:val="00051267"/>
    <w:rsid w:val="00051823"/>
    <w:rsid w:val="00051C5A"/>
    <w:rsid w:val="00052AA8"/>
    <w:rsid w:val="0005390B"/>
    <w:rsid w:val="000539FA"/>
    <w:rsid w:val="0005584E"/>
    <w:rsid w:val="00055D36"/>
    <w:rsid w:val="000564F5"/>
    <w:rsid w:val="000575A6"/>
    <w:rsid w:val="00057FE8"/>
    <w:rsid w:val="000614C5"/>
    <w:rsid w:val="00061B3D"/>
    <w:rsid w:val="00061CA5"/>
    <w:rsid w:val="00063105"/>
    <w:rsid w:val="000659AF"/>
    <w:rsid w:val="0006714D"/>
    <w:rsid w:val="00067BE2"/>
    <w:rsid w:val="00070BB4"/>
    <w:rsid w:val="00073718"/>
    <w:rsid w:val="0007590A"/>
    <w:rsid w:val="00075C38"/>
    <w:rsid w:val="00076131"/>
    <w:rsid w:val="00077F7C"/>
    <w:rsid w:val="00082A9F"/>
    <w:rsid w:val="0008308F"/>
    <w:rsid w:val="000836D1"/>
    <w:rsid w:val="0008385F"/>
    <w:rsid w:val="00084055"/>
    <w:rsid w:val="00084691"/>
    <w:rsid w:val="0008699F"/>
    <w:rsid w:val="00087C72"/>
    <w:rsid w:val="000901A2"/>
    <w:rsid w:val="00091577"/>
    <w:rsid w:val="00091E54"/>
    <w:rsid w:val="000924B7"/>
    <w:rsid w:val="000929E5"/>
    <w:rsid w:val="00092E52"/>
    <w:rsid w:val="00092EF3"/>
    <w:rsid w:val="000A00C7"/>
    <w:rsid w:val="000A077B"/>
    <w:rsid w:val="000A07E1"/>
    <w:rsid w:val="000A0AE4"/>
    <w:rsid w:val="000A1187"/>
    <w:rsid w:val="000A1E32"/>
    <w:rsid w:val="000A4A11"/>
    <w:rsid w:val="000A5439"/>
    <w:rsid w:val="000B0814"/>
    <w:rsid w:val="000B12C1"/>
    <w:rsid w:val="000B14FF"/>
    <w:rsid w:val="000B29EC"/>
    <w:rsid w:val="000B48CC"/>
    <w:rsid w:val="000B4D49"/>
    <w:rsid w:val="000B4FE7"/>
    <w:rsid w:val="000B57A7"/>
    <w:rsid w:val="000B78D7"/>
    <w:rsid w:val="000C0873"/>
    <w:rsid w:val="000C3423"/>
    <w:rsid w:val="000C40A0"/>
    <w:rsid w:val="000C48DF"/>
    <w:rsid w:val="000C4C1B"/>
    <w:rsid w:val="000C5080"/>
    <w:rsid w:val="000C5D04"/>
    <w:rsid w:val="000C6504"/>
    <w:rsid w:val="000C6A3F"/>
    <w:rsid w:val="000C7A20"/>
    <w:rsid w:val="000D0687"/>
    <w:rsid w:val="000D0DED"/>
    <w:rsid w:val="000D111D"/>
    <w:rsid w:val="000D2D17"/>
    <w:rsid w:val="000D59F0"/>
    <w:rsid w:val="000D6480"/>
    <w:rsid w:val="000D7483"/>
    <w:rsid w:val="000D7C07"/>
    <w:rsid w:val="000D7F9F"/>
    <w:rsid w:val="000E014A"/>
    <w:rsid w:val="000E0456"/>
    <w:rsid w:val="000E2BD1"/>
    <w:rsid w:val="000E355F"/>
    <w:rsid w:val="000E60C3"/>
    <w:rsid w:val="000F014E"/>
    <w:rsid w:val="000F1ED6"/>
    <w:rsid w:val="000F2625"/>
    <w:rsid w:val="000F2DA7"/>
    <w:rsid w:val="0010034C"/>
    <w:rsid w:val="00103919"/>
    <w:rsid w:val="00103A00"/>
    <w:rsid w:val="00104DD7"/>
    <w:rsid w:val="001074C0"/>
    <w:rsid w:val="00111094"/>
    <w:rsid w:val="00111120"/>
    <w:rsid w:val="00111F71"/>
    <w:rsid w:val="0011240D"/>
    <w:rsid w:val="00112700"/>
    <w:rsid w:val="00113414"/>
    <w:rsid w:val="00113667"/>
    <w:rsid w:val="00113F8A"/>
    <w:rsid w:val="00114357"/>
    <w:rsid w:val="00114EEB"/>
    <w:rsid w:val="001164AF"/>
    <w:rsid w:val="00116FF2"/>
    <w:rsid w:val="0012029C"/>
    <w:rsid w:val="00120827"/>
    <w:rsid w:val="00124DA0"/>
    <w:rsid w:val="00126F4A"/>
    <w:rsid w:val="00127637"/>
    <w:rsid w:val="001302B1"/>
    <w:rsid w:val="00130F3E"/>
    <w:rsid w:val="00131F12"/>
    <w:rsid w:val="00133753"/>
    <w:rsid w:val="00133E85"/>
    <w:rsid w:val="001340CF"/>
    <w:rsid w:val="001345EC"/>
    <w:rsid w:val="001346F2"/>
    <w:rsid w:val="00135A5F"/>
    <w:rsid w:val="00135A87"/>
    <w:rsid w:val="00135D48"/>
    <w:rsid w:val="00135F8D"/>
    <w:rsid w:val="001379C8"/>
    <w:rsid w:val="00140056"/>
    <w:rsid w:val="001405D9"/>
    <w:rsid w:val="001408E1"/>
    <w:rsid w:val="00140BBE"/>
    <w:rsid w:val="00141129"/>
    <w:rsid w:val="0014172A"/>
    <w:rsid w:val="00141B97"/>
    <w:rsid w:val="00142A46"/>
    <w:rsid w:val="00142F87"/>
    <w:rsid w:val="00143DE8"/>
    <w:rsid w:val="00144023"/>
    <w:rsid w:val="00145FD0"/>
    <w:rsid w:val="00146A71"/>
    <w:rsid w:val="001476D7"/>
    <w:rsid w:val="001514AE"/>
    <w:rsid w:val="001528F5"/>
    <w:rsid w:val="00154435"/>
    <w:rsid w:val="00154CAB"/>
    <w:rsid w:val="0015518F"/>
    <w:rsid w:val="00155CE9"/>
    <w:rsid w:val="0015601C"/>
    <w:rsid w:val="001567A1"/>
    <w:rsid w:val="0016086D"/>
    <w:rsid w:val="00160CCA"/>
    <w:rsid w:val="00162B20"/>
    <w:rsid w:val="00163FC7"/>
    <w:rsid w:val="00164828"/>
    <w:rsid w:val="0016636E"/>
    <w:rsid w:val="001711BE"/>
    <w:rsid w:val="0017194E"/>
    <w:rsid w:val="001721EC"/>
    <w:rsid w:val="0017383F"/>
    <w:rsid w:val="001744E4"/>
    <w:rsid w:val="001748BA"/>
    <w:rsid w:val="001759B5"/>
    <w:rsid w:val="00175C64"/>
    <w:rsid w:val="0017677F"/>
    <w:rsid w:val="00177608"/>
    <w:rsid w:val="00177AF4"/>
    <w:rsid w:val="00180072"/>
    <w:rsid w:val="00181E90"/>
    <w:rsid w:val="0018326F"/>
    <w:rsid w:val="0018334C"/>
    <w:rsid w:val="00183358"/>
    <w:rsid w:val="00184EA5"/>
    <w:rsid w:val="00184FE9"/>
    <w:rsid w:val="00186D98"/>
    <w:rsid w:val="00186DE4"/>
    <w:rsid w:val="00187C13"/>
    <w:rsid w:val="00187D9E"/>
    <w:rsid w:val="00191359"/>
    <w:rsid w:val="001918F2"/>
    <w:rsid w:val="00193E00"/>
    <w:rsid w:val="001941AA"/>
    <w:rsid w:val="001942BE"/>
    <w:rsid w:val="00195F3C"/>
    <w:rsid w:val="00196180"/>
    <w:rsid w:val="001975CF"/>
    <w:rsid w:val="001A0CED"/>
    <w:rsid w:val="001A1408"/>
    <w:rsid w:val="001A1E3F"/>
    <w:rsid w:val="001A3D6B"/>
    <w:rsid w:val="001A4228"/>
    <w:rsid w:val="001A455D"/>
    <w:rsid w:val="001A4F1D"/>
    <w:rsid w:val="001A662E"/>
    <w:rsid w:val="001A6CBE"/>
    <w:rsid w:val="001A6DAB"/>
    <w:rsid w:val="001A79D3"/>
    <w:rsid w:val="001A7A76"/>
    <w:rsid w:val="001B226A"/>
    <w:rsid w:val="001B2CD3"/>
    <w:rsid w:val="001B3423"/>
    <w:rsid w:val="001B3EB7"/>
    <w:rsid w:val="001B4944"/>
    <w:rsid w:val="001B5EFF"/>
    <w:rsid w:val="001B60BE"/>
    <w:rsid w:val="001B648A"/>
    <w:rsid w:val="001B7B76"/>
    <w:rsid w:val="001B7EBA"/>
    <w:rsid w:val="001C018D"/>
    <w:rsid w:val="001C099E"/>
    <w:rsid w:val="001C1617"/>
    <w:rsid w:val="001C286B"/>
    <w:rsid w:val="001C340C"/>
    <w:rsid w:val="001C40AA"/>
    <w:rsid w:val="001C4E54"/>
    <w:rsid w:val="001C5B43"/>
    <w:rsid w:val="001C636C"/>
    <w:rsid w:val="001C7005"/>
    <w:rsid w:val="001D3E1C"/>
    <w:rsid w:val="001D42E3"/>
    <w:rsid w:val="001E0291"/>
    <w:rsid w:val="001E1164"/>
    <w:rsid w:val="001E22EF"/>
    <w:rsid w:val="001E4AB1"/>
    <w:rsid w:val="001E5F57"/>
    <w:rsid w:val="001E646D"/>
    <w:rsid w:val="001E6F19"/>
    <w:rsid w:val="001F01CD"/>
    <w:rsid w:val="001F16EA"/>
    <w:rsid w:val="001F3F23"/>
    <w:rsid w:val="001F4838"/>
    <w:rsid w:val="001F51FC"/>
    <w:rsid w:val="001F5D47"/>
    <w:rsid w:val="001F648F"/>
    <w:rsid w:val="001F734B"/>
    <w:rsid w:val="001F7DEF"/>
    <w:rsid w:val="00200503"/>
    <w:rsid w:val="00200931"/>
    <w:rsid w:val="00200982"/>
    <w:rsid w:val="00201163"/>
    <w:rsid w:val="002012BA"/>
    <w:rsid w:val="00202BE7"/>
    <w:rsid w:val="00203C38"/>
    <w:rsid w:val="00206566"/>
    <w:rsid w:val="00207369"/>
    <w:rsid w:val="00207953"/>
    <w:rsid w:val="002117FA"/>
    <w:rsid w:val="00212B56"/>
    <w:rsid w:val="00215541"/>
    <w:rsid w:val="00215798"/>
    <w:rsid w:val="00216666"/>
    <w:rsid w:val="00216726"/>
    <w:rsid w:val="00216731"/>
    <w:rsid w:val="002179D1"/>
    <w:rsid w:val="00220027"/>
    <w:rsid w:val="00221294"/>
    <w:rsid w:val="0022180C"/>
    <w:rsid w:val="00225209"/>
    <w:rsid w:val="002258E3"/>
    <w:rsid w:val="002261ED"/>
    <w:rsid w:val="00227218"/>
    <w:rsid w:val="00227A94"/>
    <w:rsid w:val="00230113"/>
    <w:rsid w:val="00230888"/>
    <w:rsid w:val="0023113E"/>
    <w:rsid w:val="00232C4F"/>
    <w:rsid w:val="00233D02"/>
    <w:rsid w:val="002346AD"/>
    <w:rsid w:val="00236F93"/>
    <w:rsid w:val="00236FAF"/>
    <w:rsid w:val="00237BDE"/>
    <w:rsid w:val="00240FA4"/>
    <w:rsid w:val="0024120E"/>
    <w:rsid w:val="002421E0"/>
    <w:rsid w:val="00244B7D"/>
    <w:rsid w:val="0024671E"/>
    <w:rsid w:val="00250A5A"/>
    <w:rsid w:val="002516B1"/>
    <w:rsid w:val="00251D05"/>
    <w:rsid w:val="00251DAE"/>
    <w:rsid w:val="00252558"/>
    <w:rsid w:val="00252921"/>
    <w:rsid w:val="0025349F"/>
    <w:rsid w:val="00253637"/>
    <w:rsid w:val="00253F44"/>
    <w:rsid w:val="0025537D"/>
    <w:rsid w:val="0025739C"/>
    <w:rsid w:val="00261955"/>
    <w:rsid w:val="00261C90"/>
    <w:rsid w:val="00262193"/>
    <w:rsid w:val="002630A2"/>
    <w:rsid w:val="00263809"/>
    <w:rsid w:val="002644FA"/>
    <w:rsid w:val="00264505"/>
    <w:rsid w:val="00264C76"/>
    <w:rsid w:val="00267DDB"/>
    <w:rsid w:val="00270107"/>
    <w:rsid w:val="00270A8F"/>
    <w:rsid w:val="00273401"/>
    <w:rsid w:val="00276589"/>
    <w:rsid w:val="00281D17"/>
    <w:rsid w:val="00283C60"/>
    <w:rsid w:val="00283DE9"/>
    <w:rsid w:val="00284704"/>
    <w:rsid w:val="00284BA2"/>
    <w:rsid w:val="00284E19"/>
    <w:rsid w:val="00286202"/>
    <w:rsid w:val="0028767A"/>
    <w:rsid w:val="00291062"/>
    <w:rsid w:val="002912F6"/>
    <w:rsid w:val="0029287B"/>
    <w:rsid w:val="002959A5"/>
    <w:rsid w:val="002A008A"/>
    <w:rsid w:val="002A07C5"/>
    <w:rsid w:val="002A1297"/>
    <w:rsid w:val="002A14B7"/>
    <w:rsid w:val="002A1F2E"/>
    <w:rsid w:val="002A21AD"/>
    <w:rsid w:val="002A3136"/>
    <w:rsid w:val="002A4595"/>
    <w:rsid w:val="002A4625"/>
    <w:rsid w:val="002A4C40"/>
    <w:rsid w:val="002A6F9B"/>
    <w:rsid w:val="002A740C"/>
    <w:rsid w:val="002B0897"/>
    <w:rsid w:val="002B09F0"/>
    <w:rsid w:val="002B15E0"/>
    <w:rsid w:val="002B24DC"/>
    <w:rsid w:val="002B4D08"/>
    <w:rsid w:val="002B5006"/>
    <w:rsid w:val="002B6F8C"/>
    <w:rsid w:val="002C2E2C"/>
    <w:rsid w:val="002C2FA7"/>
    <w:rsid w:val="002C3058"/>
    <w:rsid w:val="002C307D"/>
    <w:rsid w:val="002C39B4"/>
    <w:rsid w:val="002C44A0"/>
    <w:rsid w:val="002C5CAE"/>
    <w:rsid w:val="002C5F3B"/>
    <w:rsid w:val="002C7F0D"/>
    <w:rsid w:val="002D08B1"/>
    <w:rsid w:val="002D64F9"/>
    <w:rsid w:val="002D736F"/>
    <w:rsid w:val="002D7455"/>
    <w:rsid w:val="002D7BA6"/>
    <w:rsid w:val="002D7E5B"/>
    <w:rsid w:val="002E333A"/>
    <w:rsid w:val="002E378B"/>
    <w:rsid w:val="002E38F2"/>
    <w:rsid w:val="002E4715"/>
    <w:rsid w:val="002E5ACE"/>
    <w:rsid w:val="002E6AC0"/>
    <w:rsid w:val="002E7550"/>
    <w:rsid w:val="002E7557"/>
    <w:rsid w:val="002E7656"/>
    <w:rsid w:val="002F046E"/>
    <w:rsid w:val="002F0B12"/>
    <w:rsid w:val="002F0DB3"/>
    <w:rsid w:val="002F12D2"/>
    <w:rsid w:val="002F16C3"/>
    <w:rsid w:val="002F283A"/>
    <w:rsid w:val="002F3CF1"/>
    <w:rsid w:val="002F3FD4"/>
    <w:rsid w:val="002F7A49"/>
    <w:rsid w:val="003009D3"/>
    <w:rsid w:val="00301284"/>
    <w:rsid w:val="003020EC"/>
    <w:rsid w:val="003038B4"/>
    <w:rsid w:val="00303B7A"/>
    <w:rsid w:val="00304529"/>
    <w:rsid w:val="00304AB8"/>
    <w:rsid w:val="003050B3"/>
    <w:rsid w:val="00306E53"/>
    <w:rsid w:val="003070E1"/>
    <w:rsid w:val="00307CA5"/>
    <w:rsid w:val="00311EF8"/>
    <w:rsid w:val="003125F4"/>
    <w:rsid w:val="00312C8B"/>
    <w:rsid w:val="003143B6"/>
    <w:rsid w:val="00316192"/>
    <w:rsid w:val="003174BF"/>
    <w:rsid w:val="00323357"/>
    <w:rsid w:val="0032399D"/>
    <w:rsid w:val="0032454D"/>
    <w:rsid w:val="00324A98"/>
    <w:rsid w:val="00324F48"/>
    <w:rsid w:val="00326190"/>
    <w:rsid w:val="00326F6C"/>
    <w:rsid w:val="00327101"/>
    <w:rsid w:val="00330868"/>
    <w:rsid w:val="003315B4"/>
    <w:rsid w:val="00332DE5"/>
    <w:rsid w:val="00333E0C"/>
    <w:rsid w:val="00333E64"/>
    <w:rsid w:val="003352D1"/>
    <w:rsid w:val="00335437"/>
    <w:rsid w:val="00337BE2"/>
    <w:rsid w:val="00337E75"/>
    <w:rsid w:val="00337EE0"/>
    <w:rsid w:val="00340832"/>
    <w:rsid w:val="003409C7"/>
    <w:rsid w:val="00341E6C"/>
    <w:rsid w:val="00343A48"/>
    <w:rsid w:val="00344194"/>
    <w:rsid w:val="00345C1B"/>
    <w:rsid w:val="003461B2"/>
    <w:rsid w:val="00347BBB"/>
    <w:rsid w:val="00350075"/>
    <w:rsid w:val="00353F53"/>
    <w:rsid w:val="00354C29"/>
    <w:rsid w:val="00355794"/>
    <w:rsid w:val="003558B9"/>
    <w:rsid w:val="0035777B"/>
    <w:rsid w:val="00360631"/>
    <w:rsid w:val="00362E1D"/>
    <w:rsid w:val="003640E8"/>
    <w:rsid w:val="00365726"/>
    <w:rsid w:val="00367318"/>
    <w:rsid w:val="00370551"/>
    <w:rsid w:val="003711D4"/>
    <w:rsid w:val="0037144E"/>
    <w:rsid w:val="00371868"/>
    <w:rsid w:val="00372A14"/>
    <w:rsid w:val="00372E0E"/>
    <w:rsid w:val="00374569"/>
    <w:rsid w:val="003773E8"/>
    <w:rsid w:val="0037782D"/>
    <w:rsid w:val="003823FF"/>
    <w:rsid w:val="00383609"/>
    <w:rsid w:val="00383A07"/>
    <w:rsid w:val="00383BC2"/>
    <w:rsid w:val="003840E8"/>
    <w:rsid w:val="0038421F"/>
    <w:rsid w:val="00384CF9"/>
    <w:rsid w:val="00384D11"/>
    <w:rsid w:val="00384E87"/>
    <w:rsid w:val="00385916"/>
    <w:rsid w:val="00390192"/>
    <w:rsid w:val="00390B46"/>
    <w:rsid w:val="00391911"/>
    <w:rsid w:val="00391AB8"/>
    <w:rsid w:val="0039429C"/>
    <w:rsid w:val="00394407"/>
    <w:rsid w:val="00394E19"/>
    <w:rsid w:val="00395584"/>
    <w:rsid w:val="003A0308"/>
    <w:rsid w:val="003A3298"/>
    <w:rsid w:val="003A33D1"/>
    <w:rsid w:val="003A4276"/>
    <w:rsid w:val="003A42FD"/>
    <w:rsid w:val="003A498A"/>
    <w:rsid w:val="003A5A5E"/>
    <w:rsid w:val="003A66FD"/>
    <w:rsid w:val="003B02A8"/>
    <w:rsid w:val="003B10CB"/>
    <w:rsid w:val="003B2962"/>
    <w:rsid w:val="003B2AC7"/>
    <w:rsid w:val="003B3BD9"/>
    <w:rsid w:val="003B4A63"/>
    <w:rsid w:val="003B5F3F"/>
    <w:rsid w:val="003B665F"/>
    <w:rsid w:val="003C2689"/>
    <w:rsid w:val="003C28E4"/>
    <w:rsid w:val="003C3A3E"/>
    <w:rsid w:val="003C4B99"/>
    <w:rsid w:val="003C5136"/>
    <w:rsid w:val="003C521D"/>
    <w:rsid w:val="003C586D"/>
    <w:rsid w:val="003D0C9E"/>
    <w:rsid w:val="003D1A1E"/>
    <w:rsid w:val="003D1C8F"/>
    <w:rsid w:val="003D22DC"/>
    <w:rsid w:val="003D3301"/>
    <w:rsid w:val="003D3E16"/>
    <w:rsid w:val="003D50B3"/>
    <w:rsid w:val="003D5623"/>
    <w:rsid w:val="003D5B5F"/>
    <w:rsid w:val="003D63C5"/>
    <w:rsid w:val="003D6691"/>
    <w:rsid w:val="003D67A6"/>
    <w:rsid w:val="003D6991"/>
    <w:rsid w:val="003D6EFF"/>
    <w:rsid w:val="003E08FA"/>
    <w:rsid w:val="003E1B2B"/>
    <w:rsid w:val="003E1D79"/>
    <w:rsid w:val="003E3ACC"/>
    <w:rsid w:val="003E4CEE"/>
    <w:rsid w:val="003E5719"/>
    <w:rsid w:val="003E6B40"/>
    <w:rsid w:val="003E7A68"/>
    <w:rsid w:val="003E7E98"/>
    <w:rsid w:val="003F069E"/>
    <w:rsid w:val="003F0815"/>
    <w:rsid w:val="003F1A72"/>
    <w:rsid w:val="003F28DF"/>
    <w:rsid w:val="003F2B88"/>
    <w:rsid w:val="003F3CE2"/>
    <w:rsid w:val="003F3FC9"/>
    <w:rsid w:val="003F4DA4"/>
    <w:rsid w:val="003F5ACE"/>
    <w:rsid w:val="003F5CB3"/>
    <w:rsid w:val="00400EF0"/>
    <w:rsid w:val="00402256"/>
    <w:rsid w:val="00402EE0"/>
    <w:rsid w:val="004049E8"/>
    <w:rsid w:val="00404F49"/>
    <w:rsid w:val="004059A3"/>
    <w:rsid w:val="0040646E"/>
    <w:rsid w:val="0041015D"/>
    <w:rsid w:val="00410B7F"/>
    <w:rsid w:val="00410BAC"/>
    <w:rsid w:val="00411B77"/>
    <w:rsid w:val="0041209C"/>
    <w:rsid w:val="00414071"/>
    <w:rsid w:val="004146B2"/>
    <w:rsid w:val="0041682F"/>
    <w:rsid w:val="004179CF"/>
    <w:rsid w:val="00420029"/>
    <w:rsid w:val="0042053E"/>
    <w:rsid w:val="00420F4B"/>
    <w:rsid w:val="0042322E"/>
    <w:rsid w:val="004254DB"/>
    <w:rsid w:val="00425634"/>
    <w:rsid w:val="00425FF6"/>
    <w:rsid w:val="004317D6"/>
    <w:rsid w:val="00432375"/>
    <w:rsid w:val="00432DC9"/>
    <w:rsid w:val="00433444"/>
    <w:rsid w:val="00433C46"/>
    <w:rsid w:val="00434262"/>
    <w:rsid w:val="004352FD"/>
    <w:rsid w:val="00435D80"/>
    <w:rsid w:val="00436F2B"/>
    <w:rsid w:val="00437E42"/>
    <w:rsid w:val="0044104E"/>
    <w:rsid w:val="004417A8"/>
    <w:rsid w:val="00441D15"/>
    <w:rsid w:val="00441DA6"/>
    <w:rsid w:val="0044212B"/>
    <w:rsid w:val="00442ADB"/>
    <w:rsid w:val="00442B40"/>
    <w:rsid w:val="004461F9"/>
    <w:rsid w:val="00450351"/>
    <w:rsid w:val="00452243"/>
    <w:rsid w:val="004522A3"/>
    <w:rsid w:val="00452752"/>
    <w:rsid w:val="00453308"/>
    <w:rsid w:val="0045349B"/>
    <w:rsid w:val="004554DD"/>
    <w:rsid w:val="00455B8F"/>
    <w:rsid w:val="0045706B"/>
    <w:rsid w:val="004710EF"/>
    <w:rsid w:val="0047230F"/>
    <w:rsid w:val="00472ECF"/>
    <w:rsid w:val="004744A2"/>
    <w:rsid w:val="004749FC"/>
    <w:rsid w:val="00474F1E"/>
    <w:rsid w:val="00475E00"/>
    <w:rsid w:val="00477AA7"/>
    <w:rsid w:val="00480151"/>
    <w:rsid w:val="00480520"/>
    <w:rsid w:val="00481528"/>
    <w:rsid w:val="00482759"/>
    <w:rsid w:val="00482A27"/>
    <w:rsid w:val="00482CE6"/>
    <w:rsid w:val="00483ECF"/>
    <w:rsid w:val="00484924"/>
    <w:rsid w:val="00486505"/>
    <w:rsid w:val="004870B0"/>
    <w:rsid w:val="004871EC"/>
    <w:rsid w:val="0049040C"/>
    <w:rsid w:val="00490803"/>
    <w:rsid w:val="0049147F"/>
    <w:rsid w:val="004916FC"/>
    <w:rsid w:val="004924B9"/>
    <w:rsid w:val="00493B6F"/>
    <w:rsid w:val="00494273"/>
    <w:rsid w:val="004952B7"/>
    <w:rsid w:val="00497440"/>
    <w:rsid w:val="00497756"/>
    <w:rsid w:val="004A019F"/>
    <w:rsid w:val="004A2563"/>
    <w:rsid w:val="004A2E0F"/>
    <w:rsid w:val="004A3CC2"/>
    <w:rsid w:val="004A4160"/>
    <w:rsid w:val="004A63F2"/>
    <w:rsid w:val="004A7252"/>
    <w:rsid w:val="004B13F8"/>
    <w:rsid w:val="004B1712"/>
    <w:rsid w:val="004B35A1"/>
    <w:rsid w:val="004B3A2D"/>
    <w:rsid w:val="004B46DF"/>
    <w:rsid w:val="004B4981"/>
    <w:rsid w:val="004B50DC"/>
    <w:rsid w:val="004B5458"/>
    <w:rsid w:val="004B56AA"/>
    <w:rsid w:val="004B66B4"/>
    <w:rsid w:val="004B68DE"/>
    <w:rsid w:val="004B68E5"/>
    <w:rsid w:val="004B6C4E"/>
    <w:rsid w:val="004C031C"/>
    <w:rsid w:val="004C19A9"/>
    <w:rsid w:val="004C1AEC"/>
    <w:rsid w:val="004C33A3"/>
    <w:rsid w:val="004C5531"/>
    <w:rsid w:val="004C7A71"/>
    <w:rsid w:val="004D211E"/>
    <w:rsid w:val="004D4E29"/>
    <w:rsid w:val="004D760E"/>
    <w:rsid w:val="004E1247"/>
    <w:rsid w:val="004E226F"/>
    <w:rsid w:val="004E4343"/>
    <w:rsid w:val="004E549D"/>
    <w:rsid w:val="004E57BD"/>
    <w:rsid w:val="004E5D71"/>
    <w:rsid w:val="004E679B"/>
    <w:rsid w:val="004E6DAE"/>
    <w:rsid w:val="004F0360"/>
    <w:rsid w:val="004F0596"/>
    <w:rsid w:val="004F1D4B"/>
    <w:rsid w:val="004F1D7D"/>
    <w:rsid w:val="004F3784"/>
    <w:rsid w:val="004F3A63"/>
    <w:rsid w:val="004F59D2"/>
    <w:rsid w:val="004F5CEB"/>
    <w:rsid w:val="004F65B8"/>
    <w:rsid w:val="004F6CAA"/>
    <w:rsid w:val="004F6E9E"/>
    <w:rsid w:val="0050083A"/>
    <w:rsid w:val="00500E43"/>
    <w:rsid w:val="00501D02"/>
    <w:rsid w:val="00502C4E"/>
    <w:rsid w:val="00503309"/>
    <w:rsid w:val="005075E1"/>
    <w:rsid w:val="005077BF"/>
    <w:rsid w:val="0051174E"/>
    <w:rsid w:val="00513B82"/>
    <w:rsid w:val="00514B27"/>
    <w:rsid w:val="00514E2C"/>
    <w:rsid w:val="00520687"/>
    <w:rsid w:val="005227E0"/>
    <w:rsid w:val="00522B2A"/>
    <w:rsid w:val="00530317"/>
    <w:rsid w:val="00533E59"/>
    <w:rsid w:val="00536DD1"/>
    <w:rsid w:val="005402E3"/>
    <w:rsid w:val="00540FF3"/>
    <w:rsid w:val="00541834"/>
    <w:rsid w:val="00541B8F"/>
    <w:rsid w:val="00541CA6"/>
    <w:rsid w:val="0054242D"/>
    <w:rsid w:val="00542521"/>
    <w:rsid w:val="005426A6"/>
    <w:rsid w:val="00543230"/>
    <w:rsid w:val="005472C9"/>
    <w:rsid w:val="00547812"/>
    <w:rsid w:val="0055049F"/>
    <w:rsid w:val="00550ABF"/>
    <w:rsid w:val="005513A1"/>
    <w:rsid w:val="00551F29"/>
    <w:rsid w:val="0055401C"/>
    <w:rsid w:val="005543CA"/>
    <w:rsid w:val="0055460B"/>
    <w:rsid w:val="0055571D"/>
    <w:rsid w:val="005563B5"/>
    <w:rsid w:val="00556CE7"/>
    <w:rsid w:val="00556E97"/>
    <w:rsid w:val="00560066"/>
    <w:rsid w:val="00560764"/>
    <w:rsid w:val="005619D7"/>
    <w:rsid w:val="005620AC"/>
    <w:rsid w:val="00562854"/>
    <w:rsid w:val="00563562"/>
    <w:rsid w:val="00563AA7"/>
    <w:rsid w:val="005642D3"/>
    <w:rsid w:val="00564F07"/>
    <w:rsid w:val="005656F0"/>
    <w:rsid w:val="005668F0"/>
    <w:rsid w:val="00571374"/>
    <w:rsid w:val="00572679"/>
    <w:rsid w:val="005729EE"/>
    <w:rsid w:val="005742AC"/>
    <w:rsid w:val="00575408"/>
    <w:rsid w:val="0057565D"/>
    <w:rsid w:val="00575CE8"/>
    <w:rsid w:val="00576572"/>
    <w:rsid w:val="0057744A"/>
    <w:rsid w:val="005776BA"/>
    <w:rsid w:val="0058025C"/>
    <w:rsid w:val="00581EC7"/>
    <w:rsid w:val="0058416A"/>
    <w:rsid w:val="005848D3"/>
    <w:rsid w:val="0058515D"/>
    <w:rsid w:val="0058573E"/>
    <w:rsid w:val="00586BB7"/>
    <w:rsid w:val="00586DF1"/>
    <w:rsid w:val="00591229"/>
    <w:rsid w:val="00592627"/>
    <w:rsid w:val="00592CCA"/>
    <w:rsid w:val="005935D9"/>
    <w:rsid w:val="0059371A"/>
    <w:rsid w:val="00593DEE"/>
    <w:rsid w:val="00594953"/>
    <w:rsid w:val="00594BB3"/>
    <w:rsid w:val="00594D45"/>
    <w:rsid w:val="0059578E"/>
    <w:rsid w:val="00596742"/>
    <w:rsid w:val="0059711E"/>
    <w:rsid w:val="005973A9"/>
    <w:rsid w:val="00597A56"/>
    <w:rsid w:val="005A1C18"/>
    <w:rsid w:val="005A39CE"/>
    <w:rsid w:val="005A43CB"/>
    <w:rsid w:val="005A4F77"/>
    <w:rsid w:val="005A76FA"/>
    <w:rsid w:val="005B10CE"/>
    <w:rsid w:val="005B28B7"/>
    <w:rsid w:val="005B2AEA"/>
    <w:rsid w:val="005B3F13"/>
    <w:rsid w:val="005B4004"/>
    <w:rsid w:val="005B5505"/>
    <w:rsid w:val="005B55BE"/>
    <w:rsid w:val="005B5C62"/>
    <w:rsid w:val="005B5D3C"/>
    <w:rsid w:val="005B78A4"/>
    <w:rsid w:val="005C0729"/>
    <w:rsid w:val="005C0A17"/>
    <w:rsid w:val="005C24D5"/>
    <w:rsid w:val="005C3506"/>
    <w:rsid w:val="005C3EC1"/>
    <w:rsid w:val="005C5E91"/>
    <w:rsid w:val="005C5EFA"/>
    <w:rsid w:val="005C69A2"/>
    <w:rsid w:val="005C6F94"/>
    <w:rsid w:val="005C7267"/>
    <w:rsid w:val="005D0019"/>
    <w:rsid w:val="005D27AA"/>
    <w:rsid w:val="005D2CD1"/>
    <w:rsid w:val="005D3C07"/>
    <w:rsid w:val="005D4788"/>
    <w:rsid w:val="005D4B1B"/>
    <w:rsid w:val="005D4FB3"/>
    <w:rsid w:val="005D5AE4"/>
    <w:rsid w:val="005D5CEB"/>
    <w:rsid w:val="005D704E"/>
    <w:rsid w:val="005D7B4C"/>
    <w:rsid w:val="005E032E"/>
    <w:rsid w:val="005E07DB"/>
    <w:rsid w:val="005E19F1"/>
    <w:rsid w:val="005E4870"/>
    <w:rsid w:val="005E48E3"/>
    <w:rsid w:val="005E4C72"/>
    <w:rsid w:val="005E4CEA"/>
    <w:rsid w:val="005E4F89"/>
    <w:rsid w:val="005F11F1"/>
    <w:rsid w:val="005F2012"/>
    <w:rsid w:val="005F2301"/>
    <w:rsid w:val="005F4913"/>
    <w:rsid w:val="005F50E7"/>
    <w:rsid w:val="005F56CF"/>
    <w:rsid w:val="005F69EC"/>
    <w:rsid w:val="006001A2"/>
    <w:rsid w:val="00601B83"/>
    <w:rsid w:val="006023A8"/>
    <w:rsid w:val="0060272E"/>
    <w:rsid w:val="00602DDB"/>
    <w:rsid w:val="006036C7"/>
    <w:rsid w:val="006041E7"/>
    <w:rsid w:val="006070A7"/>
    <w:rsid w:val="006078BC"/>
    <w:rsid w:val="00611304"/>
    <w:rsid w:val="00611442"/>
    <w:rsid w:val="00612B7F"/>
    <w:rsid w:val="006131F9"/>
    <w:rsid w:val="00613874"/>
    <w:rsid w:val="006155AB"/>
    <w:rsid w:val="00616BA6"/>
    <w:rsid w:val="006203FA"/>
    <w:rsid w:val="0062046C"/>
    <w:rsid w:val="00621CE3"/>
    <w:rsid w:val="0062253E"/>
    <w:rsid w:val="006226B7"/>
    <w:rsid w:val="0062359F"/>
    <w:rsid w:val="006236E4"/>
    <w:rsid w:val="0062530B"/>
    <w:rsid w:val="00625485"/>
    <w:rsid w:val="00625864"/>
    <w:rsid w:val="00626D5E"/>
    <w:rsid w:val="006276E6"/>
    <w:rsid w:val="0063103F"/>
    <w:rsid w:val="006319ED"/>
    <w:rsid w:val="00631BEB"/>
    <w:rsid w:val="0063206F"/>
    <w:rsid w:val="00633617"/>
    <w:rsid w:val="006343BF"/>
    <w:rsid w:val="00635906"/>
    <w:rsid w:val="006372B5"/>
    <w:rsid w:val="0063781A"/>
    <w:rsid w:val="00637B37"/>
    <w:rsid w:val="00642302"/>
    <w:rsid w:val="00644A77"/>
    <w:rsid w:val="00647623"/>
    <w:rsid w:val="00650F1E"/>
    <w:rsid w:val="00652D50"/>
    <w:rsid w:val="00653654"/>
    <w:rsid w:val="006540A0"/>
    <w:rsid w:val="00655988"/>
    <w:rsid w:val="0065634A"/>
    <w:rsid w:val="006574D6"/>
    <w:rsid w:val="00662238"/>
    <w:rsid w:val="006625F5"/>
    <w:rsid w:val="006642CE"/>
    <w:rsid w:val="006646C6"/>
    <w:rsid w:val="00664E19"/>
    <w:rsid w:val="006656A7"/>
    <w:rsid w:val="0066618C"/>
    <w:rsid w:val="006669EF"/>
    <w:rsid w:val="006671BE"/>
    <w:rsid w:val="00670771"/>
    <w:rsid w:val="00670949"/>
    <w:rsid w:val="0067179F"/>
    <w:rsid w:val="00671CA7"/>
    <w:rsid w:val="00671E4A"/>
    <w:rsid w:val="00672BE3"/>
    <w:rsid w:val="006734DA"/>
    <w:rsid w:val="00675C5C"/>
    <w:rsid w:val="00677FDC"/>
    <w:rsid w:val="00680691"/>
    <w:rsid w:val="00681781"/>
    <w:rsid w:val="006821F9"/>
    <w:rsid w:val="0068383F"/>
    <w:rsid w:val="00683AB4"/>
    <w:rsid w:val="0068502C"/>
    <w:rsid w:val="0068684D"/>
    <w:rsid w:val="0068685D"/>
    <w:rsid w:val="00686F5F"/>
    <w:rsid w:val="00687952"/>
    <w:rsid w:val="00690A86"/>
    <w:rsid w:val="00693345"/>
    <w:rsid w:val="00693AEA"/>
    <w:rsid w:val="006951D2"/>
    <w:rsid w:val="00695543"/>
    <w:rsid w:val="0069690E"/>
    <w:rsid w:val="00697011"/>
    <w:rsid w:val="006973B6"/>
    <w:rsid w:val="00697E57"/>
    <w:rsid w:val="006A1180"/>
    <w:rsid w:val="006A1CE0"/>
    <w:rsid w:val="006A1FED"/>
    <w:rsid w:val="006A2406"/>
    <w:rsid w:val="006A4CAC"/>
    <w:rsid w:val="006A4E7B"/>
    <w:rsid w:val="006A6193"/>
    <w:rsid w:val="006A7A1A"/>
    <w:rsid w:val="006A7AB7"/>
    <w:rsid w:val="006B104F"/>
    <w:rsid w:val="006B10A5"/>
    <w:rsid w:val="006B1C18"/>
    <w:rsid w:val="006B45F7"/>
    <w:rsid w:val="006B5E7B"/>
    <w:rsid w:val="006B7221"/>
    <w:rsid w:val="006B755B"/>
    <w:rsid w:val="006C0F1C"/>
    <w:rsid w:val="006C1D69"/>
    <w:rsid w:val="006C1D85"/>
    <w:rsid w:val="006C32C2"/>
    <w:rsid w:val="006C32D7"/>
    <w:rsid w:val="006C4242"/>
    <w:rsid w:val="006C6C9D"/>
    <w:rsid w:val="006C7907"/>
    <w:rsid w:val="006C7E6E"/>
    <w:rsid w:val="006D333C"/>
    <w:rsid w:val="006D34F3"/>
    <w:rsid w:val="006D3DDA"/>
    <w:rsid w:val="006D67E9"/>
    <w:rsid w:val="006E0175"/>
    <w:rsid w:val="006E0601"/>
    <w:rsid w:val="006E0B00"/>
    <w:rsid w:val="006E1129"/>
    <w:rsid w:val="006E1331"/>
    <w:rsid w:val="006E3AF5"/>
    <w:rsid w:val="006E69DA"/>
    <w:rsid w:val="006F2177"/>
    <w:rsid w:val="006F29F9"/>
    <w:rsid w:val="006F5595"/>
    <w:rsid w:val="006F5E0B"/>
    <w:rsid w:val="006F646B"/>
    <w:rsid w:val="006F6B20"/>
    <w:rsid w:val="00700557"/>
    <w:rsid w:val="00700AFE"/>
    <w:rsid w:val="00700F06"/>
    <w:rsid w:val="00703AF9"/>
    <w:rsid w:val="00707119"/>
    <w:rsid w:val="00713494"/>
    <w:rsid w:val="00713D70"/>
    <w:rsid w:val="00715C95"/>
    <w:rsid w:val="007178DB"/>
    <w:rsid w:val="007208D2"/>
    <w:rsid w:val="0072169A"/>
    <w:rsid w:val="00721F1B"/>
    <w:rsid w:val="00723282"/>
    <w:rsid w:val="0072343D"/>
    <w:rsid w:val="0072449A"/>
    <w:rsid w:val="00725132"/>
    <w:rsid w:val="00727C3C"/>
    <w:rsid w:val="007302DE"/>
    <w:rsid w:val="00730E77"/>
    <w:rsid w:val="00732BAF"/>
    <w:rsid w:val="007334C1"/>
    <w:rsid w:val="00736E2E"/>
    <w:rsid w:val="00737C10"/>
    <w:rsid w:val="00741181"/>
    <w:rsid w:val="007421AF"/>
    <w:rsid w:val="007422F3"/>
    <w:rsid w:val="00742923"/>
    <w:rsid w:val="007433A7"/>
    <w:rsid w:val="0074480E"/>
    <w:rsid w:val="00745220"/>
    <w:rsid w:val="00745ECE"/>
    <w:rsid w:val="007467A3"/>
    <w:rsid w:val="007468D7"/>
    <w:rsid w:val="0074780F"/>
    <w:rsid w:val="00751559"/>
    <w:rsid w:val="00751CD3"/>
    <w:rsid w:val="0075239C"/>
    <w:rsid w:val="0075321F"/>
    <w:rsid w:val="007536FD"/>
    <w:rsid w:val="00753D47"/>
    <w:rsid w:val="00754346"/>
    <w:rsid w:val="007549F2"/>
    <w:rsid w:val="007551DC"/>
    <w:rsid w:val="00757271"/>
    <w:rsid w:val="00757F72"/>
    <w:rsid w:val="00760098"/>
    <w:rsid w:val="007602B3"/>
    <w:rsid w:val="007609ED"/>
    <w:rsid w:val="007618C0"/>
    <w:rsid w:val="00761AA6"/>
    <w:rsid w:val="00761B13"/>
    <w:rsid w:val="00761EEE"/>
    <w:rsid w:val="00763C23"/>
    <w:rsid w:val="00763F23"/>
    <w:rsid w:val="007656E2"/>
    <w:rsid w:val="007666BE"/>
    <w:rsid w:val="00767C7A"/>
    <w:rsid w:val="007717AC"/>
    <w:rsid w:val="00776E42"/>
    <w:rsid w:val="007804CA"/>
    <w:rsid w:val="00782AB5"/>
    <w:rsid w:val="0078375B"/>
    <w:rsid w:val="00786886"/>
    <w:rsid w:val="00787BED"/>
    <w:rsid w:val="0079098F"/>
    <w:rsid w:val="0079139E"/>
    <w:rsid w:val="00791909"/>
    <w:rsid w:val="007928CF"/>
    <w:rsid w:val="0079498C"/>
    <w:rsid w:val="00795117"/>
    <w:rsid w:val="0079541A"/>
    <w:rsid w:val="00797BD7"/>
    <w:rsid w:val="007A1B31"/>
    <w:rsid w:val="007A1FB6"/>
    <w:rsid w:val="007A30A6"/>
    <w:rsid w:val="007A4BBB"/>
    <w:rsid w:val="007A4E16"/>
    <w:rsid w:val="007A559C"/>
    <w:rsid w:val="007A5B80"/>
    <w:rsid w:val="007B1296"/>
    <w:rsid w:val="007B1F08"/>
    <w:rsid w:val="007B263E"/>
    <w:rsid w:val="007B304F"/>
    <w:rsid w:val="007B32BD"/>
    <w:rsid w:val="007B4644"/>
    <w:rsid w:val="007B54F0"/>
    <w:rsid w:val="007B5882"/>
    <w:rsid w:val="007B5884"/>
    <w:rsid w:val="007B59A9"/>
    <w:rsid w:val="007B59AB"/>
    <w:rsid w:val="007B6225"/>
    <w:rsid w:val="007B6233"/>
    <w:rsid w:val="007B671C"/>
    <w:rsid w:val="007B6F68"/>
    <w:rsid w:val="007C0C06"/>
    <w:rsid w:val="007C1690"/>
    <w:rsid w:val="007C1ED7"/>
    <w:rsid w:val="007C24C4"/>
    <w:rsid w:val="007C25E3"/>
    <w:rsid w:val="007C26F0"/>
    <w:rsid w:val="007C2CCA"/>
    <w:rsid w:val="007C3101"/>
    <w:rsid w:val="007C3342"/>
    <w:rsid w:val="007C3A69"/>
    <w:rsid w:val="007C449E"/>
    <w:rsid w:val="007C47F1"/>
    <w:rsid w:val="007C4A4C"/>
    <w:rsid w:val="007C528A"/>
    <w:rsid w:val="007C546E"/>
    <w:rsid w:val="007C6A34"/>
    <w:rsid w:val="007C6DB0"/>
    <w:rsid w:val="007C7210"/>
    <w:rsid w:val="007C7C9E"/>
    <w:rsid w:val="007C7EE5"/>
    <w:rsid w:val="007D0C4A"/>
    <w:rsid w:val="007D1A76"/>
    <w:rsid w:val="007D294F"/>
    <w:rsid w:val="007D36C7"/>
    <w:rsid w:val="007D3E8F"/>
    <w:rsid w:val="007D592A"/>
    <w:rsid w:val="007D5C7A"/>
    <w:rsid w:val="007D71C6"/>
    <w:rsid w:val="007D79FE"/>
    <w:rsid w:val="007E068F"/>
    <w:rsid w:val="007E0A71"/>
    <w:rsid w:val="007E2372"/>
    <w:rsid w:val="007E2BDE"/>
    <w:rsid w:val="007E3173"/>
    <w:rsid w:val="007E3518"/>
    <w:rsid w:val="007E3EB2"/>
    <w:rsid w:val="007E4664"/>
    <w:rsid w:val="007E5090"/>
    <w:rsid w:val="007E51AC"/>
    <w:rsid w:val="007E527F"/>
    <w:rsid w:val="007F0723"/>
    <w:rsid w:val="007F165F"/>
    <w:rsid w:val="007F3915"/>
    <w:rsid w:val="007F422D"/>
    <w:rsid w:val="007F5177"/>
    <w:rsid w:val="007F5A99"/>
    <w:rsid w:val="007F5F33"/>
    <w:rsid w:val="007F606F"/>
    <w:rsid w:val="007F6CD4"/>
    <w:rsid w:val="007F762A"/>
    <w:rsid w:val="007F7D55"/>
    <w:rsid w:val="00800438"/>
    <w:rsid w:val="00800DC7"/>
    <w:rsid w:val="00801222"/>
    <w:rsid w:val="00801B7C"/>
    <w:rsid w:val="00802094"/>
    <w:rsid w:val="00803943"/>
    <w:rsid w:val="00805042"/>
    <w:rsid w:val="00805390"/>
    <w:rsid w:val="00810406"/>
    <w:rsid w:val="00810555"/>
    <w:rsid w:val="00810ED6"/>
    <w:rsid w:val="0081137F"/>
    <w:rsid w:val="00812123"/>
    <w:rsid w:val="00812A4F"/>
    <w:rsid w:val="00812DA2"/>
    <w:rsid w:val="008133E3"/>
    <w:rsid w:val="00814622"/>
    <w:rsid w:val="00815A69"/>
    <w:rsid w:val="0081727F"/>
    <w:rsid w:val="008201B4"/>
    <w:rsid w:val="00821784"/>
    <w:rsid w:val="00821A98"/>
    <w:rsid w:val="008227BB"/>
    <w:rsid w:val="0082448E"/>
    <w:rsid w:val="0082487B"/>
    <w:rsid w:val="00825CF1"/>
    <w:rsid w:val="00827762"/>
    <w:rsid w:val="008326B8"/>
    <w:rsid w:val="00832BFC"/>
    <w:rsid w:val="008338CB"/>
    <w:rsid w:val="008344D8"/>
    <w:rsid w:val="00834A22"/>
    <w:rsid w:val="00835F73"/>
    <w:rsid w:val="00837136"/>
    <w:rsid w:val="008378EE"/>
    <w:rsid w:val="0084095F"/>
    <w:rsid w:val="008411C1"/>
    <w:rsid w:val="00841402"/>
    <w:rsid w:val="00841A64"/>
    <w:rsid w:val="00841DC2"/>
    <w:rsid w:val="008422D9"/>
    <w:rsid w:val="008422E9"/>
    <w:rsid w:val="00842E17"/>
    <w:rsid w:val="008430B7"/>
    <w:rsid w:val="008434DF"/>
    <w:rsid w:val="00843841"/>
    <w:rsid w:val="0084468C"/>
    <w:rsid w:val="008459F1"/>
    <w:rsid w:val="00845E1E"/>
    <w:rsid w:val="00845E63"/>
    <w:rsid w:val="008460EA"/>
    <w:rsid w:val="00851A3F"/>
    <w:rsid w:val="00855DAB"/>
    <w:rsid w:val="00856726"/>
    <w:rsid w:val="00856C81"/>
    <w:rsid w:val="00856EDF"/>
    <w:rsid w:val="008600F9"/>
    <w:rsid w:val="008608F4"/>
    <w:rsid w:val="00864B8D"/>
    <w:rsid w:val="00865997"/>
    <w:rsid w:val="00866942"/>
    <w:rsid w:val="008739EA"/>
    <w:rsid w:val="00873FFB"/>
    <w:rsid w:val="0087760E"/>
    <w:rsid w:val="00881946"/>
    <w:rsid w:val="0088198C"/>
    <w:rsid w:val="00881B38"/>
    <w:rsid w:val="00883673"/>
    <w:rsid w:val="0088395F"/>
    <w:rsid w:val="00884C3E"/>
    <w:rsid w:val="00885EFF"/>
    <w:rsid w:val="00886531"/>
    <w:rsid w:val="00895F80"/>
    <w:rsid w:val="0089643E"/>
    <w:rsid w:val="008A0FA0"/>
    <w:rsid w:val="008A548F"/>
    <w:rsid w:val="008A66AD"/>
    <w:rsid w:val="008A6871"/>
    <w:rsid w:val="008A6AFA"/>
    <w:rsid w:val="008A6EF1"/>
    <w:rsid w:val="008B0436"/>
    <w:rsid w:val="008B0F81"/>
    <w:rsid w:val="008B24DA"/>
    <w:rsid w:val="008B3D3F"/>
    <w:rsid w:val="008B5693"/>
    <w:rsid w:val="008B5842"/>
    <w:rsid w:val="008B5982"/>
    <w:rsid w:val="008B5E1F"/>
    <w:rsid w:val="008B770E"/>
    <w:rsid w:val="008B7943"/>
    <w:rsid w:val="008C2810"/>
    <w:rsid w:val="008C30BB"/>
    <w:rsid w:val="008C3557"/>
    <w:rsid w:val="008C4805"/>
    <w:rsid w:val="008C4F40"/>
    <w:rsid w:val="008C540E"/>
    <w:rsid w:val="008C6DDC"/>
    <w:rsid w:val="008D0C8A"/>
    <w:rsid w:val="008D1BDF"/>
    <w:rsid w:val="008D1CB6"/>
    <w:rsid w:val="008D25D7"/>
    <w:rsid w:val="008D360E"/>
    <w:rsid w:val="008D4A61"/>
    <w:rsid w:val="008D5A00"/>
    <w:rsid w:val="008D60E1"/>
    <w:rsid w:val="008D6B4C"/>
    <w:rsid w:val="008D708E"/>
    <w:rsid w:val="008E0BD7"/>
    <w:rsid w:val="008E1106"/>
    <w:rsid w:val="008E2DF8"/>
    <w:rsid w:val="008E2E98"/>
    <w:rsid w:val="008E39BE"/>
    <w:rsid w:val="008E48CD"/>
    <w:rsid w:val="008E579D"/>
    <w:rsid w:val="008E61FE"/>
    <w:rsid w:val="008E6CC3"/>
    <w:rsid w:val="008E6E17"/>
    <w:rsid w:val="008F05A9"/>
    <w:rsid w:val="008F0CB0"/>
    <w:rsid w:val="008F17C0"/>
    <w:rsid w:val="008F1853"/>
    <w:rsid w:val="008F18E6"/>
    <w:rsid w:val="008F32E4"/>
    <w:rsid w:val="008F335D"/>
    <w:rsid w:val="008F33BC"/>
    <w:rsid w:val="008F3BB3"/>
    <w:rsid w:val="008F49A0"/>
    <w:rsid w:val="008F5F27"/>
    <w:rsid w:val="008F7395"/>
    <w:rsid w:val="008F7C69"/>
    <w:rsid w:val="00900BC9"/>
    <w:rsid w:val="00902A0E"/>
    <w:rsid w:val="00903D54"/>
    <w:rsid w:val="00904C4C"/>
    <w:rsid w:val="00905C6C"/>
    <w:rsid w:val="00905E8B"/>
    <w:rsid w:val="00905F55"/>
    <w:rsid w:val="009073C1"/>
    <w:rsid w:val="0091187A"/>
    <w:rsid w:val="009137D6"/>
    <w:rsid w:val="00914032"/>
    <w:rsid w:val="00915E84"/>
    <w:rsid w:val="00920B19"/>
    <w:rsid w:val="00920C23"/>
    <w:rsid w:val="00922B10"/>
    <w:rsid w:val="00925209"/>
    <w:rsid w:val="00925C19"/>
    <w:rsid w:val="00926A0E"/>
    <w:rsid w:val="009270E1"/>
    <w:rsid w:val="009272D9"/>
    <w:rsid w:val="00927876"/>
    <w:rsid w:val="00927A33"/>
    <w:rsid w:val="009304B1"/>
    <w:rsid w:val="009309D8"/>
    <w:rsid w:val="00930B4E"/>
    <w:rsid w:val="00933302"/>
    <w:rsid w:val="00934880"/>
    <w:rsid w:val="009357E5"/>
    <w:rsid w:val="00935E90"/>
    <w:rsid w:val="00937F9E"/>
    <w:rsid w:val="009413B9"/>
    <w:rsid w:val="00942210"/>
    <w:rsid w:val="00942B85"/>
    <w:rsid w:val="00943521"/>
    <w:rsid w:val="00945841"/>
    <w:rsid w:val="00945E7B"/>
    <w:rsid w:val="0094659E"/>
    <w:rsid w:val="009501D0"/>
    <w:rsid w:val="00952EB0"/>
    <w:rsid w:val="009541FC"/>
    <w:rsid w:val="00955846"/>
    <w:rsid w:val="00960771"/>
    <w:rsid w:val="0096181B"/>
    <w:rsid w:val="009620D7"/>
    <w:rsid w:val="00965B90"/>
    <w:rsid w:val="00966830"/>
    <w:rsid w:val="00966B4D"/>
    <w:rsid w:val="00966F21"/>
    <w:rsid w:val="009677FD"/>
    <w:rsid w:val="00967BA1"/>
    <w:rsid w:val="009703A8"/>
    <w:rsid w:val="00970EBC"/>
    <w:rsid w:val="00970FA9"/>
    <w:rsid w:val="0097178F"/>
    <w:rsid w:val="00971A20"/>
    <w:rsid w:val="0097227F"/>
    <w:rsid w:val="00974425"/>
    <w:rsid w:val="0097561C"/>
    <w:rsid w:val="00975DEF"/>
    <w:rsid w:val="009773EF"/>
    <w:rsid w:val="00977887"/>
    <w:rsid w:val="00980255"/>
    <w:rsid w:val="00982B14"/>
    <w:rsid w:val="009836FC"/>
    <w:rsid w:val="0098492C"/>
    <w:rsid w:val="00987214"/>
    <w:rsid w:val="00987244"/>
    <w:rsid w:val="0099152B"/>
    <w:rsid w:val="0099188D"/>
    <w:rsid w:val="00991B98"/>
    <w:rsid w:val="00994B3D"/>
    <w:rsid w:val="00995617"/>
    <w:rsid w:val="00995843"/>
    <w:rsid w:val="00995ADD"/>
    <w:rsid w:val="009A1D7E"/>
    <w:rsid w:val="009A4BFC"/>
    <w:rsid w:val="009A5238"/>
    <w:rsid w:val="009A5306"/>
    <w:rsid w:val="009A63BA"/>
    <w:rsid w:val="009B21A9"/>
    <w:rsid w:val="009B229D"/>
    <w:rsid w:val="009B59B6"/>
    <w:rsid w:val="009C0BB8"/>
    <w:rsid w:val="009C0F1E"/>
    <w:rsid w:val="009C0F5D"/>
    <w:rsid w:val="009C1171"/>
    <w:rsid w:val="009C13F5"/>
    <w:rsid w:val="009C1E24"/>
    <w:rsid w:val="009C5241"/>
    <w:rsid w:val="009C60B5"/>
    <w:rsid w:val="009C679B"/>
    <w:rsid w:val="009C67CB"/>
    <w:rsid w:val="009C6E24"/>
    <w:rsid w:val="009C6E2D"/>
    <w:rsid w:val="009D2274"/>
    <w:rsid w:val="009D4CFA"/>
    <w:rsid w:val="009D58EF"/>
    <w:rsid w:val="009D5935"/>
    <w:rsid w:val="009D6B3C"/>
    <w:rsid w:val="009D6FE1"/>
    <w:rsid w:val="009D7C88"/>
    <w:rsid w:val="009E02DC"/>
    <w:rsid w:val="009E0D96"/>
    <w:rsid w:val="009E370E"/>
    <w:rsid w:val="009E3DF4"/>
    <w:rsid w:val="009E4C4E"/>
    <w:rsid w:val="009E6664"/>
    <w:rsid w:val="009E6694"/>
    <w:rsid w:val="009E69B6"/>
    <w:rsid w:val="009E70C6"/>
    <w:rsid w:val="009E7B81"/>
    <w:rsid w:val="009F08C1"/>
    <w:rsid w:val="009F0B79"/>
    <w:rsid w:val="009F1DC7"/>
    <w:rsid w:val="009F2B72"/>
    <w:rsid w:val="009F478C"/>
    <w:rsid w:val="009F5E5B"/>
    <w:rsid w:val="009F5FB8"/>
    <w:rsid w:val="009F6299"/>
    <w:rsid w:val="009F690D"/>
    <w:rsid w:val="00A00932"/>
    <w:rsid w:val="00A00A0D"/>
    <w:rsid w:val="00A01A55"/>
    <w:rsid w:val="00A03DC2"/>
    <w:rsid w:val="00A04080"/>
    <w:rsid w:val="00A040D2"/>
    <w:rsid w:val="00A054B4"/>
    <w:rsid w:val="00A0568C"/>
    <w:rsid w:val="00A05F21"/>
    <w:rsid w:val="00A05FC7"/>
    <w:rsid w:val="00A07121"/>
    <w:rsid w:val="00A074C7"/>
    <w:rsid w:val="00A1031F"/>
    <w:rsid w:val="00A1181E"/>
    <w:rsid w:val="00A129B6"/>
    <w:rsid w:val="00A12A81"/>
    <w:rsid w:val="00A13414"/>
    <w:rsid w:val="00A14DC9"/>
    <w:rsid w:val="00A15446"/>
    <w:rsid w:val="00A16363"/>
    <w:rsid w:val="00A16FB7"/>
    <w:rsid w:val="00A206FF"/>
    <w:rsid w:val="00A21214"/>
    <w:rsid w:val="00A22074"/>
    <w:rsid w:val="00A22940"/>
    <w:rsid w:val="00A22B94"/>
    <w:rsid w:val="00A24350"/>
    <w:rsid w:val="00A249AA"/>
    <w:rsid w:val="00A24A82"/>
    <w:rsid w:val="00A305D1"/>
    <w:rsid w:val="00A3079C"/>
    <w:rsid w:val="00A30CD4"/>
    <w:rsid w:val="00A315D8"/>
    <w:rsid w:val="00A3740B"/>
    <w:rsid w:val="00A379A2"/>
    <w:rsid w:val="00A37B55"/>
    <w:rsid w:val="00A420EF"/>
    <w:rsid w:val="00A42330"/>
    <w:rsid w:val="00A426F2"/>
    <w:rsid w:val="00A43D06"/>
    <w:rsid w:val="00A44A66"/>
    <w:rsid w:val="00A4571B"/>
    <w:rsid w:val="00A45B5E"/>
    <w:rsid w:val="00A45E66"/>
    <w:rsid w:val="00A46552"/>
    <w:rsid w:val="00A46CBB"/>
    <w:rsid w:val="00A47094"/>
    <w:rsid w:val="00A4751A"/>
    <w:rsid w:val="00A47E11"/>
    <w:rsid w:val="00A514C8"/>
    <w:rsid w:val="00A529BC"/>
    <w:rsid w:val="00A52F7B"/>
    <w:rsid w:val="00A536BD"/>
    <w:rsid w:val="00A54028"/>
    <w:rsid w:val="00A5415E"/>
    <w:rsid w:val="00A542D9"/>
    <w:rsid w:val="00A544C6"/>
    <w:rsid w:val="00A54F0C"/>
    <w:rsid w:val="00A56517"/>
    <w:rsid w:val="00A607DF"/>
    <w:rsid w:val="00A60F7F"/>
    <w:rsid w:val="00A62C32"/>
    <w:rsid w:val="00A64F00"/>
    <w:rsid w:val="00A656CC"/>
    <w:rsid w:val="00A6785A"/>
    <w:rsid w:val="00A67FAE"/>
    <w:rsid w:val="00A7079A"/>
    <w:rsid w:val="00A71357"/>
    <w:rsid w:val="00A727D6"/>
    <w:rsid w:val="00A72E95"/>
    <w:rsid w:val="00A73AE5"/>
    <w:rsid w:val="00A744AD"/>
    <w:rsid w:val="00A7462F"/>
    <w:rsid w:val="00A74781"/>
    <w:rsid w:val="00A75E25"/>
    <w:rsid w:val="00A77DBC"/>
    <w:rsid w:val="00A81DCB"/>
    <w:rsid w:val="00A82A0C"/>
    <w:rsid w:val="00A82D77"/>
    <w:rsid w:val="00A83D6A"/>
    <w:rsid w:val="00A84570"/>
    <w:rsid w:val="00A8473A"/>
    <w:rsid w:val="00A8563F"/>
    <w:rsid w:val="00A86B7D"/>
    <w:rsid w:val="00A87CA2"/>
    <w:rsid w:val="00A909AE"/>
    <w:rsid w:val="00A91043"/>
    <w:rsid w:val="00A922EB"/>
    <w:rsid w:val="00A93D50"/>
    <w:rsid w:val="00A95EF6"/>
    <w:rsid w:val="00A95F95"/>
    <w:rsid w:val="00A96519"/>
    <w:rsid w:val="00A97433"/>
    <w:rsid w:val="00AA10AE"/>
    <w:rsid w:val="00AA145E"/>
    <w:rsid w:val="00AA3E05"/>
    <w:rsid w:val="00AA6678"/>
    <w:rsid w:val="00AA67B0"/>
    <w:rsid w:val="00AA740E"/>
    <w:rsid w:val="00AB0DD0"/>
    <w:rsid w:val="00AB2302"/>
    <w:rsid w:val="00AB25E0"/>
    <w:rsid w:val="00AB2BAA"/>
    <w:rsid w:val="00AB4205"/>
    <w:rsid w:val="00AB7FFA"/>
    <w:rsid w:val="00AC083A"/>
    <w:rsid w:val="00AC08B6"/>
    <w:rsid w:val="00AC1C0E"/>
    <w:rsid w:val="00AC1FA2"/>
    <w:rsid w:val="00AC3902"/>
    <w:rsid w:val="00AC4FE0"/>
    <w:rsid w:val="00AC5D2E"/>
    <w:rsid w:val="00AC6742"/>
    <w:rsid w:val="00AC791B"/>
    <w:rsid w:val="00AD189E"/>
    <w:rsid w:val="00AD192C"/>
    <w:rsid w:val="00AD246C"/>
    <w:rsid w:val="00AD2ACE"/>
    <w:rsid w:val="00AD40ED"/>
    <w:rsid w:val="00AD46DC"/>
    <w:rsid w:val="00AD70EB"/>
    <w:rsid w:val="00AD7995"/>
    <w:rsid w:val="00AE01CD"/>
    <w:rsid w:val="00AE03C9"/>
    <w:rsid w:val="00AE0F44"/>
    <w:rsid w:val="00AE18F6"/>
    <w:rsid w:val="00AE6272"/>
    <w:rsid w:val="00AE62A0"/>
    <w:rsid w:val="00AE6329"/>
    <w:rsid w:val="00AE7561"/>
    <w:rsid w:val="00AE7E32"/>
    <w:rsid w:val="00AF2896"/>
    <w:rsid w:val="00AF2C24"/>
    <w:rsid w:val="00AF4854"/>
    <w:rsid w:val="00AF492C"/>
    <w:rsid w:val="00AF4FB7"/>
    <w:rsid w:val="00AF50AD"/>
    <w:rsid w:val="00AF55F1"/>
    <w:rsid w:val="00AF6A2F"/>
    <w:rsid w:val="00B03D91"/>
    <w:rsid w:val="00B0550D"/>
    <w:rsid w:val="00B05C12"/>
    <w:rsid w:val="00B05F1C"/>
    <w:rsid w:val="00B06A97"/>
    <w:rsid w:val="00B07C93"/>
    <w:rsid w:val="00B10243"/>
    <w:rsid w:val="00B121A6"/>
    <w:rsid w:val="00B12272"/>
    <w:rsid w:val="00B1254A"/>
    <w:rsid w:val="00B13263"/>
    <w:rsid w:val="00B1329D"/>
    <w:rsid w:val="00B1341C"/>
    <w:rsid w:val="00B139D1"/>
    <w:rsid w:val="00B1530C"/>
    <w:rsid w:val="00B15577"/>
    <w:rsid w:val="00B17E98"/>
    <w:rsid w:val="00B17EA4"/>
    <w:rsid w:val="00B21224"/>
    <w:rsid w:val="00B21391"/>
    <w:rsid w:val="00B21965"/>
    <w:rsid w:val="00B21CC2"/>
    <w:rsid w:val="00B21FF5"/>
    <w:rsid w:val="00B225FF"/>
    <w:rsid w:val="00B22B23"/>
    <w:rsid w:val="00B23128"/>
    <w:rsid w:val="00B3086F"/>
    <w:rsid w:val="00B31574"/>
    <w:rsid w:val="00B3186E"/>
    <w:rsid w:val="00B31A2A"/>
    <w:rsid w:val="00B31C35"/>
    <w:rsid w:val="00B31CF7"/>
    <w:rsid w:val="00B329BA"/>
    <w:rsid w:val="00B34110"/>
    <w:rsid w:val="00B3460D"/>
    <w:rsid w:val="00B3572C"/>
    <w:rsid w:val="00B37F49"/>
    <w:rsid w:val="00B4054D"/>
    <w:rsid w:val="00B41571"/>
    <w:rsid w:val="00B43C21"/>
    <w:rsid w:val="00B450D1"/>
    <w:rsid w:val="00B51BAB"/>
    <w:rsid w:val="00B54A8D"/>
    <w:rsid w:val="00B5503F"/>
    <w:rsid w:val="00B553AA"/>
    <w:rsid w:val="00B55AF6"/>
    <w:rsid w:val="00B55D0D"/>
    <w:rsid w:val="00B5659E"/>
    <w:rsid w:val="00B576C3"/>
    <w:rsid w:val="00B60DA5"/>
    <w:rsid w:val="00B60EC4"/>
    <w:rsid w:val="00B61553"/>
    <w:rsid w:val="00B62FD6"/>
    <w:rsid w:val="00B6441B"/>
    <w:rsid w:val="00B64788"/>
    <w:rsid w:val="00B648BF"/>
    <w:rsid w:val="00B66003"/>
    <w:rsid w:val="00B70146"/>
    <w:rsid w:val="00B73A00"/>
    <w:rsid w:val="00B73C16"/>
    <w:rsid w:val="00B74920"/>
    <w:rsid w:val="00B74DA0"/>
    <w:rsid w:val="00B75377"/>
    <w:rsid w:val="00B75C8A"/>
    <w:rsid w:val="00B76944"/>
    <w:rsid w:val="00B7750E"/>
    <w:rsid w:val="00B82A97"/>
    <w:rsid w:val="00B836B9"/>
    <w:rsid w:val="00B83A18"/>
    <w:rsid w:val="00B8472E"/>
    <w:rsid w:val="00B84979"/>
    <w:rsid w:val="00B84AEA"/>
    <w:rsid w:val="00B85263"/>
    <w:rsid w:val="00B8555F"/>
    <w:rsid w:val="00B85CBB"/>
    <w:rsid w:val="00B85F92"/>
    <w:rsid w:val="00B8609F"/>
    <w:rsid w:val="00B86B72"/>
    <w:rsid w:val="00B9047C"/>
    <w:rsid w:val="00B9121B"/>
    <w:rsid w:val="00B92619"/>
    <w:rsid w:val="00B92EE2"/>
    <w:rsid w:val="00B95640"/>
    <w:rsid w:val="00B9566F"/>
    <w:rsid w:val="00B958A1"/>
    <w:rsid w:val="00B95B71"/>
    <w:rsid w:val="00B974D7"/>
    <w:rsid w:val="00BA0F2C"/>
    <w:rsid w:val="00BA2126"/>
    <w:rsid w:val="00BA5928"/>
    <w:rsid w:val="00BA6201"/>
    <w:rsid w:val="00BA6BA0"/>
    <w:rsid w:val="00BA7327"/>
    <w:rsid w:val="00BB164F"/>
    <w:rsid w:val="00BB30AF"/>
    <w:rsid w:val="00BB3C6C"/>
    <w:rsid w:val="00BB4BF4"/>
    <w:rsid w:val="00BB5F9B"/>
    <w:rsid w:val="00BB6181"/>
    <w:rsid w:val="00BB738E"/>
    <w:rsid w:val="00BB753E"/>
    <w:rsid w:val="00BB75CD"/>
    <w:rsid w:val="00BB77B9"/>
    <w:rsid w:val="00BC0107"/>
    <w:rsid w:val="00BC11A6"/>
    <w:rsid w:val="00BC2880"/>
    <w:rsid w:val="00BC2A1E"/>
    <w:rsid w:val="00BC2D84"/>
    <w:rsid w:val="00BC40A0"/>
    <w:rsid w:val="00BC458C"/>
    <w:rsid w:val="00BC5491"/>
    <w:rsid w:val="00BC578C"/>
    <w:rsid w:val="00BC6E7A"/>
    <w:rsid w:val="00BC7502"/>
    <w:rsid w:val="00BD00F9"/>
    <w:rsid w:val="00BD19F7"/>
    <w:rsid w:val="00BD55EF"/>
    <w:rsid w:val="00BD5A70"/>
    <w:rsid w:val="00BD7682"/>
    <w:rsid w:val="00BD7E36"/>
    <w:rsid w:val="00BE024A"/>
    <w:rsid w:val="00BE0748"/>
    <w:rsid w:val="00BE09F4"/>
    <w:rsid w:val="00BE1067"/>
    <w:rsid w:val="00BE3AB7"/>
    <w:rsid w:val="00BE4579"/>
    <w:rsid w:val="00BE5297"/>
    <w:rsid w:val="00BE5727"/>
    <w:rsid w:val="00BE798D"/>
    <w:rsid w:val="00BF00CA"/>
    <w:rsid w:val="00BF0246"/>
    <w:rsid w:val="00BF055C"/>
    <w:rsid w:val="00BF1177"/>
    <w:rsid w:val="00BF169E"/>
    <w:rsid w:val="00BF3320"/>
    <w:rsid w:val="00BF35BB"/>
    <w:rsid w:val="00BF3725"/>
    <w:rsid w:val="00BF5A88"/>
    <w:rsid w:val="00BF65BD"/>
    <w:rsid w:val="00BF6A72"/>
    <w:rsid w:val="00BF713D"/>
    <w:rsid w:val="00BF7239"/>
    <w:rsid w:val="00C025A2"/>
    <w:rsid w:val="00C026BE"/>
    <w:rsid w:val="00C02DB4"/>
    <w:rsid w:val="00C032F4"/>
    <w:rsid w:val="00C03AB9"/>
    <w:rsid w:val="00C04B88"/>
    <w:rsid w:val="00C055A9"/>
    <w:rsid w:val="00C059E3"/>
    <w:rsid w:val="00C05CCC"/>
    <w:rsid w:val="00C10BF0"/>
    <w:rsid w:val="00C118D1"/>
    <w:rsid w:val="00C11951"/>
    <w:rsid w:val="00C12BD8"/>
    <w:rsid w:val="00C1301F"/>
    <w:rsid w:val="00C13254"/>
    <w:rsid w:val="00C14CA8"/>
    <w:rsid w:val="00C15C9D"/>
    <w:rsid w:val="00C2077D"/>
    <w:rsid w:val="00C20C2E"/>
    <w:rsid w:val="00C21C24"/>
    <w:rsid w:val="00C22116"/>
    <w:rsid w:val="00C22657"/>
    <w:rsid w:val="00C23958"/>
    <w:rsid w:val="00C24999"/>
    <w:rsid w:val="00C25300"/>
    <w:rsid w:val="00C2530B"/>
    <w:rsid w:val="00C25E6A"/>
    <w:rsid w:val="00C2652D"/>
    <w:rsid w:val="00C31A4D"/>
    <w:rsid w:val="00C32938"/>
    <w:rsid w:val="00C32DCF"/>
    <w:rsid w:val="00C337CA"/>
    <w:rsid w:val="00C33C7A"/>
    <w:rsid w:val="00C341C9"/>
    <w:rsid w:val="00C343FC"/>
    <w:rsid w:val="00C34E44"/>
    <w:rsid w:val="00C35029"/>
    <w:rsid w:val="00C35BF3"/>
    <w:rsid w:val="00C3668A"/>
    <w:rsid w:val="00C36DA1"/>
    <w:rsid w:val="00C37AA2"/>
    <w:rsid w:val="00C429AC"/>
    <w:rsid w:val="00C46801"/>
    <w:rsid w:val="00C50D75"/>
    <w:rsid w:val="00C5217E"/>
    <w:rsid w:val="00C523EA"/>
    <w:rsid w:val="00C52AF2"/>
    <w:rsid w:val="00C52D65"/>
    <w:rsid w:val="00C52E81"/>
    <w:rsid w:val="00C5501F"/>
    <w:rsid w:val="00C5508A"/>
    <w:rsid w:val="00C55A4B"/>
    <w:rsid w:val="00C57FB1"/>
    <w:rsid w:val="00C60C6B"/>
    <w:rsid w:val="00C63D5E"/>
    <w:rsid w:val="00C63E1B"/>
    <w:rsid w:val="00C670F9"/>
    <w:rsid w:val="00C67CF6"/>
    <w:rsid w:val="00C7000C"/>
    <w:rsid w:val="00C7193D"/>
    <w:rsid w:val="00C7423A"/>
    <w:rsid w:val="00C752AB"/>
    <w:rsid w:val="00C75E87"/>
    <w:rsid w:val="00C76C95"/>
    <w:rsid w:val="00C811F3"/>
    <w:rsid w:val="00C81F5D"/>
    <w:rsid w:val="00C827D7"/>
    <w:rsid w:val="00C82B0D"/>
    <w:rsid w:val="00C82C9C"/>
    <w:rsid w:val="00C8321D"/>
    <w:rsid w:val="00C842E9"/>
    <w:rsid w:val="00C847CB"/>
    <w:rsid w:val="00C85425"/>
    <w:rsid w:val="00C9033F"/>
    <w:rsid w:val="00C91DBA"/>
    <w:rsid w:val="00C9314E"/>
    <w:rsid w:val="00C933B3"/>
    <w:rsid w:val="00C94730"/>
    <w:rsid w:val="00C94FB5"/>
    <w:rsid w:val="00CA0580"/>
    <w:rsid w:val="00CA07C0"/>
    <w:rsid w:val="00CA0B02"/>
    <w:rsid w:val="00CA3AF3"/>
    <w:rsid w:val="00CA62F6"/>
    <w:rsid w:val="00CA7BD9"/>
    <w:rsid w:val="00CB0015"/>
    <w:rsid w:val="00CB08CE"/>
    <w:rsid w:val="00CB14A7"/>
    <w:rsid w:val="00CB1847"/>
    <w:rsid w:val="00CB2F06"/>
    <w:rsid w:val="00CB7361"/>
    <w:rsid w:val="00CC2B30"/>
    <w:rsid w:val="00CC4A93"/>
    <w:rsid w:val="00CC4E94"/>
    <w:rsid w:val="00CC5685"/>
    <w:rsid w:val="00CD04E0"/>
    <w:rsid w:val="00CD1F02"/>
    <w:rsid w:val="00CD2F8E"/>
    <w:rsid w:val="00CD36F9"/>
    <w:rsid w:val="00CD3E7E"/>
    <w:rsid w:val="00CD3EE6"/>
    <w:rsid w:val="00CD79B5"/>
    <w:rsid w:val="00CD7A10"/>
    <w:rsid w:val="00CD7C5F"/>
    <w:rsid w:val="00CE0453"/>
    <w:rsid w:val="00CE11B4"/>
    <w:rsid w:val="00CE1F28"/>
    <w:rsid w:val="00CE217F"/>
    <w:rsid w:val="00CE470B"/>
    <w:rsid w:val="00CE618A"/>
    <w:rsid w:val="00CE720A"/>
    <w:rsid w:val="00CE7234"/>
    <w:rsid w:val="00CE788F"/>
    <w:rsid w:val="00CF053A"/>
    <w:rsid w:val="00CF0A95"/>
    <w:rsid w:val="00CF15CD"/>
    <w:rsid w:val="00CF1A6D"/>
    <w:rsid w:val="00CF1DAA"/>
    <w:rsid w:val="00CF1FD8"/>
    <w:rsid w:val="00CF2517"/>
    <w:rsid w:val="00CF304B"/>
    <w:rsid w:val="00CF676A"/>
    <w:rsid w:val="00CF6BCD"/>
    <w:rsid w:val="00CF6EF8"/>
    <w:rsid w:val="00CF6F11"/>
    <w:rsid w:val="00CF77E4"/>
    <w:rsid w:val="00D01C32"/>
    <w:rsid w:val="00D02743"/>
    <w:rsid w:val="00D03603"/>
    <w:rsid w:val="00D105A2"/>
    <w:rsid w:val="00D10B13"/>
    <w:rsid w:val="00D10B7F"/>
    <w:rsid w:val="00D11264"/>
    <w:rsid w:val="00D1231F"/>
    <w:rsid w:val="00D1271D"/>
    <w:rsid w:val="00D1304F"/>
    <w:rsid w:val="00D13A0E"/>
    <w:rsid w:val="00D13DC3"/>
    <w:rsid w:val="00D147E7"/>
    <w:rsid w:val="00D16464"/>
    <w:rsid w:val="00D21A7B"/>
    <w:rsid w:val="00D22A5C"/>
    <w:rsid w:val="00D26C6D"/>
    <w:rsid w:val="00D27373"/>
    <w:rsid w:val="00D27805"/>
    <w:rsid w:val="00D3387B"/>
    <w:rsid w:val="00D3473C"/>
    <w:rsid w:val="00D34B7D"/>
    <w:rsid w:val="00D37786"/>
    <w:rsid w:val="00D37A24"/>
    <w:rsid w:val="00D37B10"/>
    <w:rsid w:val="00D41E7E"/>
    <w:rsid w:val="00D42DAF"/>
    <w:rsid w:val="00D42F74"/>
    <w:rsid w:val="00D439FD"/>
    <w:rsid w:val="00D44913"/>
    <w:rsid w:val="00D44AE1"/>
    <w:rsid w:val="00D451A3"/>
    <w:rsid w:val="00D45CBF"/>
    <w:rsid w:val="00D463F9"/>
    <w:rsid w:val="00D46A39"/>
    <w:rsid w:val="00D46B85"/>
    <w:rsid w:val="00D4753A"/>
    <w:rsid w:val="00D47E76"/>
    <w:rsid w:val="00D50AEF"/>
    <w:rsid w:val="00D50C75"/>
    <w:rsid w:val="00D51955"/>
    <w:rsid w:val="00D51F0A"/>
    <w:rsid w:val="00D537C6"/>
    <w:rsid w:val="00D541F7"/>
    <w:rsid w:val="00D550BD"/>
    <w:rsid w:val="00D55E37"/>
    <w:rsid w:val="00D579F8"/>
    <w:rsid w:val="00D617B6"/>
    <w:rsid w:val="00D61954"/>
    <w:rsid w:val="00D619EF"/>
    <w:rsid w:val="00D61F44"/>
    <w:rsid w:val="00D63F65"/>
    <w:rsid w:val="00D70280"/>
    <w:rsid w:val="00D710E8"/>
    <w:rsid w:val="00D71A7F"/>
    <w:rsid w:val="00D7267D"/>
    <w:rsid w:val="00D7373D"/>
    <w:rsid w:val="00D73D4D"/>
    <w:rsid w:val="00D748E3"/>
    <w:rsid w:val="00D74F7E"/>
    <w:rsid w:val="00D766EE"/>
    <w:rsid w:val="00D77889"/>
    <w:rsid w:val="00D827EE"/>
    <w:rsid w:val="00D82B22"/>
    <w:rsid w:val="00D82BF2"/>
    <w:rsid w:val="00D85438"/>
    <w:rsid w:val="00D86305"/>
    <w:rsid w:val="00D86418"/>
    <w:rsid w:val="00D91193"/>
    <w:rsid w:val="00D93235"/>
    <w:rsid w:val="00D93306"/>
    <w:rsid w:val="00D938D1"/>
    <w:rsid w:val="00D938F6"/>
    <w:rsid w:val="00D93EC0"/>
    <w:rsid w:val="00D9413E"/>
    <w:rsid w:val="00D942C3"/>
    <w:rsid w:val="00D96C12"/>
    <w:rsid w:val="00D9752A"/>
    <w:rsid w:val="00D975A8"/>
    <w:rsid w:val="00D97FBA"/>
    <w:rsid w:val="00DA020D"/>
    <w:rsid w:val="00DA28B3"/>
    <w:rsid w:val="00DA7986"/>
    <w:rsid w:val="00DB14A0"/>
    <w:rsid w:val="00DB2E2B"/>
    <w:rsid w:val="00DB3683"/>
    <w:rsid w:val="00DB373A"/>
    <w:rsid w:val="00DB3C62"/>
    <w:rsid w:val="00DB540F"/>
    <w:rsid w:val="00DC3348"/>
    <w:rsid w:val="00DC3DE3"/>
    <w:rsid w:val="00DC71CA"/>
    <w:rsid w:val="00DC7F57"/>
    <w:rsid w:val="00DD0062"/>
    <w:rsid w:val="00DD33F3"/>
    <w:rsid w:val="00DD3FE6"/>
    <w:rsid w:val="00DD617E"/>
    <w:rsid w:val="00DD6615"/>
    <w:rsid w:val="00DD6F86"/>
    <w:rsid w:val="00DD7281"/>
    <w:rsid w:val="00DD7AA6"/>
    <w:rsid w:val="00DE4ADB"/>
    <w:rsid w:val="00DE5404"/>
    <w:rsid w:val="00DE6211"/>
    <w:rsid w:val="00DE6C7D"/>
    <w:rsid w:val="00DE750B"/>
    <w:rsid w:val="00DF003A"/>
    <w:rsid w:val="00DF0E87"/>
    <w:rsid w:val="00DF16E3"/>
    <w:rsid w:val="00DF3E6E"/>
    <w:rsid w:val="00DF7428"/>
    <w:rsid w:val="00E015AE"/>
    <w:rsid w:val="00E01736"/>
    <w:rsid w:val="00E01748"/>
    <w:rsid w:val="00E01A03"/>
    <w:rsid w:val="00E01B5B"/>
    <w:rsid w:val="00E022ED"/>
    <w:rsid w:val="00E034C3"/>
    <w:rsid w:val="00E03774"/>
    <w:rsid w:val="00E0430E"/>
    <w:rsid w:val="00E0442A"/>
    <w:rsid w:val="00E06538"/>
    <w:rsid w:val="00E06C5A"/>
    <w:rsid w:val="00E07CED"/>
    <w:rsid w:val="00E10A5F"/>
    <w:rsid w:val="00E10DE2"/>
    <w:rsid w:val="00E11F37"/>
    <w:rsid w:val="00E1245E"/>
    <w:rsid w:val="00E12618"/>
    <w:rsid w:val="00E158DF"/>
    <w:rsid w:val="00E15E34"/>
    <w:rsid w:val="00E1692C"/>
    <w:rsid w:val="00E170F3"/>
    <w:rsid w:val="00E17901"/>
    <w:rsid w:val="00E2002C"/>
    <w:rsid w:val="00E21171"/>
    <w:rsid w:val="00E21F71"/>
    <w:rsid w:val="00E230C9"/>
    <w:rsid w:val="00E232D1"/>
    <w:rsid w:val="00E2381D"/>
    <w:rsid w:val="00E24611"/>
    <w:rsid w:val="00E24648"/>
    <w:rsid w:val="00E25420"/>
    <w:rsid w:val="00E25C5F"/>
    <w:rsid w:val="00E301D6"/>
    <w:rsid w:val="00E30819"/>
    <w:rsid w:val="00E309D6"/>
    <w:rsid w:val="00E331CC"/>
    <w:rsid w:val="00E332D2"/>
    <w:rsid w:val="00E33535"/>
    <w:rsid w:val="00E34B37"/>
    <w:rsid w:val="00E36E0A"/>
    <w:rsid w:val="00E4093F"/>
    <w:rsid w:val="00E420A9"/>
    <w:rsid w:val="00E4309A"/>
    <w:rsid w:val="00E43869"/>
    <w:rsid w:val="00E44817"/>
    <w:rsid w:val="00E4647C"/>
    <w:rsid w:val="00E46F60"/>
    <w:rsid w:val="00E470BA"/>
    <w:rsid w:val="00E4744B"/>
    <w:rsid w:val="00E47578"/>
    <w:rsid w:val="00E5034F"/>
    <w:rsid w:val="00E520A6"/>
    <w:rsid w:val="00E52551"/>
    <w:rsid w:val="00E52BD5"/>
    <w:rsid w:val="00E53178"/>
    <w:rsid w:val="00E53340"/>
    <w:rsid w:val="00E548CE"/>
    <w:rsid w:val="00E54A29"/>
    <w:rsid w:val="00E56DE7"/>
    <w:rsid w:val="00E576EB"/>
    <w:rsid w:val="00E577FC"/>
    <w:rsid w:val="00E57843"/>
    <w:rsid w:val="00E57B29"/>
    <w:rsid w:val="00E60A0F"/>
    <w:rsid w:val="00E61389"/>
    <w:rsid w:val="00E625D2"/>
    <w:rsid w:val="00E6441A"/>
    <w:rsid w:val="00E671E6"/>
    <w:rsid w:val="00E673D4"/>
    <w:rsid w:val="00E6777D"/>
    <w:rsid w:val="00E6787A"/>
    <w:rsid w:val="00E67AE0"/>
    <w:rsid w:val="00E70215"/>
    <w:rsid w:val="00E704D7"/>
    <w:rsid w:val="00E70A3D"/>
    <w:rsid w:val="00E7122D"/>
    <w:rsid w:val="00E73169"/>
    <w:rsid w:val="00E73242"/>
    <w:rsid w:val="00E74308"/>
    <w:rsid w:val="00E75AF1"/>
    <w:rsid w:val="00E7747F"/>
    <w:rsid w:val="00E7792D"/>
    <w:rsid w:val="00E8090F"/>
    <w:rsid w:val="00E80BE9"/>
    <w:rsid w:val="00E818D5"/>
    <w:rsid w:val="00E836F0"/>
    <w:rsid w:val="00E84490"/>
    <w:rsid w:val="00E85486"/>
    <w:rsid w:val="00E86A28"/>
    <w:rsid w:val="00E86B1A"/>
    <w:rsid w:val="00E90BDD"/>
    <w:rsid w:val="00E91734"/>
    <w:rsid w:val="00E91E50"/>
    <w:rsid w:val="00E924FD"/>
    <w:rsid w:val="00E925C1"/>
    <w:rsid w:val="00E93C71"/>
    <w:rsid w:val="00E979D1"/>
    <w:rsid w:val="00E97ABF"/>
    <w:rsid w:val="00E97C10"/>
    <w:rsid w:val="00EA02D6"/>
    <w:rsid w:val="00EA1A9B"/>
    <w:rsid w:val="00EA1E02"/>
    <w:rsid w:val="00EA292F"/>
    <w:rsid w:val="00EA52F3"/>
    <w:rsid w:val="00EA599A"/>
    <w:rsid w:val="00EA60F5"/>
    <w:rsid w:val="00EA6731"/>
    <w:rsid w:val="00EA7269"/>
    <w:rsid w:val="00EB06CB"/>
    <w:rsid w:val="00EB10B9"/>
    <w:rsid w:val="00EB27FA"/>
    <w:rsid w:val="00EB44FB"/>
    <w:rsid w:val="00EB47C0"/>
    <w:rsid w:val="00EB4CE0"/>
    <w:rsid w:val="00EB4E29"/>
    <w:rsid w:val="00EB7143"/>
    <w:rsid w:val="00EB730B"/>
    <w:rsid w:val="00EC089C"/>
    <w:rsid w:val="00EC1C54"/>
    <w:rsid w:val="00EC2A95"/>
    <w:rsid w:val="00EC2B30"/>
    <w:rsid w:val="00EC4E6C"/>
    <w:rsid w:val="00EC548A"/>
    <w:rsid w:val="00EC60AC"/>
    <w:rsid w:val="00EC619A"/>
    <w:rsid w:val="00EC6FB6"/>
    <w:rsid w:val="00EC7F08"/>
    <w:rsid w:val="00ED0552"/>
    <w:rsid w:val="00ED2917"/>
    <w:rsid w:val="00ED2959"/>
    <w:rsid w:val="00ED2FF9"/>
    <w:rsid w:val="00ED3980"/>
    <w:rsid w:val="00ED3F17"/>
    <w:rsid w:val="00ED55EC"/>
    <w:rsid w:val="00ED7EDB"/>
    <w:rsid w:val="00EE0C95"/>
    <w:rsid w:val="00EE15B0"/>
    <w:rsid w:val="00EE1F3C"/>
    <w:rsid w:val="00EE2251"/>
    <w:rsid w:val="00EE3574"/>
    <w:rsid w:val="00EE42AE"/>
    <w:rsid w:val="00EE48D5"/>
    <w:rsid w:val="00EE50E1"/>
    <w:rsid w:val="00EE5E7E"/>
    <w:rsid w:val="00EE5F10"/>
    <w:rsid w:val="00EE7D1C"/>
    <w:rsid w:val="00EE7E2A"/>
    <w:rsid w:val="00EF0877"/>
    <w:rsid w:val="00EF0EB2"/>
    <w:rsid w:val="00EF132C"/>
    <w:rsid w:val="00EF155B"/>
    <w:rsid w:val="00EF188F"/>
    <w:rsid w:val="00EF1A6A"/>
    <w:rsid w:val="00EF212E"/>
    <w:rsid w:val="00EF500C"/>
    <w:rsid w:val="00EF54BE"/>
    <w:rsid w:val="00EF6E2B"/>
    <w:rsid w:val="00EF73B3"/>
    <w:rsid w:val="00EF7A76"/>
    <w:rsid w:val="00EF7F52"/>
    <w:rsid w:val="00F00ED8"/>
    <w:rsid w:val="00F011C8"/>
    <w:rsid w:val="00F02D4B"/>
    <w:rsid w:val="00F03FC7"/>
    <w:rsid w:val="00F065A5"/>
    <w:rsid w:val="00F119C0"/>
    <w:rsid w:val="00F13899"/>
    <w:rsid w:val="00F14E3F"/>
    <w:rsid w:val="00F15B5B"/>
    <w:rsid w:val="00F15D2C"/>
    <w:rsid w:val="00F1656A"/>
    <w:rsid w:val="00F16D37"/>
    <w:rsid w:val="00F16F38"/>
    <w:rsid w:val="00F1798B"/>
    <w:rsid w:val="00F2013C"/>
    <w:rsid w:val="00F20408"/>
    <w:rsid w:val="00F20EBD"/>
    <w:rsid w:val="00F21BC5"/>
    <w:rsid w:val="00F227E6"/>
    <w:rsid w:val="00F22F22"/>
    <w:rsid w:val="00F2425C"/>
    <w:rsid w:val="00F2443D"/>
    <w:rsid w:val="00F249D0"/>
    <w:rsid w:val="00F25088"/>
    <w:rsid w:val="00F307A4"/>
    <w:rsid w:val="00F31A87"/>
    <w:rsid w:val="00F32123"/>
    <w:rsid w:val="00F325DF"/>
    <w:rsid w:val="00F33882"/>
    <w:rsid w:val="00F3390F"/>
    <w:rsid w:val="00F33B2F"/>
    <w:rsid w:val="00F346E5"/>
    <w:rsid w:val="00F34C31"/>
    <w:rsid w:val="00F354D2"/>
    <w:rsid w:val="00F35F0F"/>
    <w:rsid w:val="00F46117"/>
    <w:rsid w:val="00F47A38"/>
    <w:rsid w:val="00F50D35"/>
    <w:rsid w:val="00F554C1"/>
    <w:rsid w:val="00F55866"/>
    <w:rsid w:val="00F562BE"/>
    <w:rsid w:val="00F567D2"/>
    <w:rsid w:val="00F571AE"/>
    <w:rsid w:val="00F57645"/>
    <w:rsid w:val="00F57C79"/>
    <w:rsid w:val="00F600A8"/>
    <w:rsid w:val="00F604F3"/>
    <w:rsid w:val="00F61F5F"/>
    <w:rsid w:val="00F62301"/>
    <w:rsid w:val="00F629AC"/>
    <w:rsid w:val="00F63B44"/>
    <w:rsid w:val="00F63D9C"/>
    <w:rsid w:val="00F6493C"/>
    <w:rsid w:val="00F65261"/>
    <w:rsid w:val="00F67143"/>
    <w:rsid w:val="00F70982"/>
    <w:rsid w:val="00F709E6"/>
    <w:rsid w:val="00F70EEF"/>
    <w:rsid w:val="00F726CC"/>
    <w:rsid w:val="00F72BAF"/>
    <w:rsid w:val="00F738F5"/>
    <w:rsid w:val="00F73E0B"/>
    <w:rsid w:val="00F73E15"/>
    <w:rsid w:val="00F73EB5"/>
    <w:rsid w:val="00F76AEF"/>
    <w:rsid w:val="00F76BF5"/>
    <w:rsid w:val="00F77AB0"/>
    <w:rsid w:val="00F814C4"/>
    <w:rsid w:val="00F81D14"/>
    <w:rsid w:val="00F836FE"/>
    <w:rsid w:val="00F85D5A"/>
    <w:rsid w:val="00F86440"/>
    <w:rsid w:val="00F86610"/>
    <w:rsid w:val="00F86DBE"/>
    <w:rsid w:val="00F86E09"/>
    <w:rsid w:val="00F871F9"/>
    <w:rsid w:val="00F879A9"/>
    <w:rsid w:val="00F914FA"/>
    <w:rsid w:val="00F93570"/>
    <w:rsid w:val="00F9408B"/>
    <w:rsid w:val="00F945F4"/>
    <w:rsid w:val="00F94692"/>
    <w:rsid w:val="00F95D68"/>
    <w:rsid w:val="00F9670C"/>
    <w:rsid w:val="00F96953"/>
    <w:rsid w:val="00FA2599"/>
    <w:rsid w:val="00FA2748"/>
    <w:rsid w:val="00FA5ABD"/>
    <w:rsid w:val="00FA5E1B"/>
    <w:rsid w:val="00FA704A"/>
    <w:rsid w:val="00FA7859"/>
    <w:rsid w:val="00FB0F1A"/>
    <w:rsid w:val="00FB197D"/>
    <w:rsid w:val="00FB1A48"/>
    <w:rsid w:val="00FB1F12"/>
    <w:rsid w:val="00FB2148"/>
    <w:rsid w:val="00FB292D"/>
    <w:rsid w:val="00FB3422"/>
    <w:rsid w:val="00FB36C2"/>
    <w:rsid w:val="00FB3794"/>
    <w:rsid w:val="00FB37DC"/>
    <w:rsid w:val="00FB522B"/>
    <w:rsid w:val="00FB54E0"/>
    <w:rsid w:val="00FB673C"/>
    <w:rsid w:val="00FC258C"/>
    <w:rsid w:val="00FC2AF7"/>
    <w:rsid w:val="00FC3E17"/>
    <w:rsid w:val="00FC3F45"/>
    <w:rsid w:val="00FC54DF"/>
    <w:rsid w:val="00FC6CBF"/>
    <w:rsid w:val="00FC7995"/>
    <w:rsid w:val="00FC7B28"/>
    <w:rsid w:val="00FD08A3"/>
    <w:rsid w:val="00FD10DB"/>
    <w:rsid w:val="00FD1A32"/>
    <w:rsid w:val="00FD1C29"/>
    <w:rsid w:val="00FD22E9"/>
    <w:rsid w:val="00FD2E5D"/>
    <w:rsid w:val="00FD3410"/>
    <w:rsid w:val="00FD3EBB"/>
    <w:rsid w:val="00FD6A27"/>
    <w:rsid w:val="00FD72BD"/>
    <w:rsid w:val="00FD76EA"/>
    <w:rsid w:val="00FE2327"/>
    <w:rsid w:val="00FE2C3F"/>
    <w:rsid w:val="00FE786C"/>
    <w:rsid w:val="00FE7907"/>
    <w:rsid w:val="00FE7ED5"/>
    <w:rsid w:val="00FF22FE"/>
    <w:rsid w:val="00FF2AF9"/>
    <w:rsid w:val="00FF48F4"/>
    <w:rsid w:val="00FF49CD"/>
    <w:rsid w:val="00FF635E"/>
    <w:rsid w:val="00FF685F"/>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DFBB"/>
  <w15:chartTrackingRefBased/>
  <w15:docId w15:val="{7C65FA48-9F22-4E26-B966-E269391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e"/>
    <w:basedOn w:val="Normal"/>
    <w:next w:val="Normal"/>
    <w:link w:val="Heading1Char"/>
    <w:uiPriority w:val="9"/>
    <w:qFormat/>
    <w:rsid w:val="00C75E87"/>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Heading2">
    <w:name w:val="heading 2"/>
    <w:aliases w:val="Subcapitole"/>
    <w:basedOn w:val="Heading1"/>
    <w:next w:val="Normal"/>
    <w:link w:val="Heading2Char"/>
    <w:uiPriority w:val="9"/>
    <w:unhideWhenUsed/>
    <w:qFormat/>
    <w:rsid w:val="00C52E81"/>
    <w:pPr>
      <w:numPr>
        <w:numId w:val="0"/>
      </w:numPr>
      <w:spacing w:before="40" w:line="240" w:lineRule="auto"/>
      <w:ind w:firstLine="709"/>
      <w:jc w:val="both"/>
      <w:outlineLvl w:val="1"/>
    </w:pPr>
    <w:rPr>
      <w:rFonts w:eastAsia="Times New Roman" w:cs="Times New Roman"/>
      <w:bCs/>
      <w:sz w:val="28"/>
      <w:szCs w:val="28"/>
      <w:lang w:eastAsia="ro-RO"/>
    </w:rPr>
  </w:style>
  <w:style w:type="paragraph" w:styleId="Heading4">
    <w:name w:val="heading 4"/>
    <w:basedOn w:val="Normal"/>
    <w:next w:val="Normal"/>
    <w:link w:val="Heading4Char"/>
    <w:autoRedefine/>
    <w:uiPriority w:val="9"/>
    <w:unhideWhenUsed/>
    <w:qFormat/>
    <w:rsid w:val="00C75E87"/>
    <w:pPr>
      <w:keepNext/>
      <w:keepLines/>
      <w:numPr>
        <w:ilvl w:val="3"/>
        <w:numId w:val="1"/>
      </w:numPr>
      <w:spacing w:before="40" w:after="0" w:line="276" w:lineRule="auto"/>
      <w:jc w:val="both"/>
      <w:outlineLvl w:val="3"/>
    </w:pPr>
    <w:rPr>
      <w:rFonts w:ascii="Times New Roman" w:eastAsiaTheme="majorEastAsia" w:hAnsi="Times New Roman" w:cstheme="majorBidi"/>
      <w:i/>
      <w:iCs/>
      <w:sz w:val="28"/>
      <w:lang w:val="ro-MD"/>
    </w:rPr>
  </w:style>
  <w:style w:type="paragraph" w:styleId="Heading5">
    <w:name w:val="heading 5"/>
    <w:basedOn w:val="Normal"/>
    <w:next w:val="Normal"/>
    <w:link w:val="Heading5Char"/>
    <w:uiPriority w:val="9"/>
    <w:semiHidden/>
    <w:unhideWhenUsed/>
    <w:qFormat/>
    <w:rsid w:val="00C75E87"/>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Heading6">
    <w:name w:val="heading 6"/>
    <w:basedOn w:val="Normal"/>
    <w:next w:val="Normal"/>
    <w:link w:val="Heading6Char"/>
    <w:uiPriority w:val="9"/>
    <w:semiHidden/>
    <w:unhideWhenUsed/>
    <w:qFormat/>
    <w:rsid w:val="00C75E87"/>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Heading7">
    <w:name w:val="heading 7"/>
    <w:basedOn w:val="Normal"/>
    <w:next w:val="Normal"/>
    <w:link w:val="Heading7Char"/>
    <w:uiPriority w:val="9"/>
    <w:semiHidden/>
    <w:unhideWhenUsed/>
    <w:qFormat/>
    <w:rsid w:val="00C75E87"/>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Heading8">
    <w:name w:val="heading 8"/>
    <w:basedOn w:val="Normal"/>
    <w:next w:val="Normal"/>
    <w:link w:val="Heading8Char"/>
    <w:uiPriority w:val="9"/>
    <w:semiHidden/>
    <w:unhideWhenUsed/>
    <w:qFormat/>
    <w:rsid w:val="00C75E87"/>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Heading9">
    <w:name w:val="heading 9"/>
    <w:basedOn w:val="Normal"/>
    <w:next w:val="Normal"/>
    <w:link w:val="Heading9Char"/>
    <w:uiPriority w:val="9"/>
    <w:semiHidden/>
    <w:unhideWhenUsed/>
    <w:qFormat/>
    <w:rsid w:val="00C75E87"/>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B225FF"/>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C75E87"/>
  </w:style>
  <w:style w:type="character" w:customStyle="1" w:styleId="Heading1Char">
    <w:name w:val="Heading 1 Char"/>
    <w:aliases w:val="Capitole Char"/>
    <w:basedOn w:val="DefaultParagraphFont"/>
    <w:link w:val="Heading1"/>
    <w:uiPriority w:val="9"/>
    <w:rsid w:val="00C75E87"/>
    <w:rPr>
      <w:rFonts w:ascii="Times New Roman" w:eastAsiaTheme="majorEastAsia" w:hAnsi="Times New Roman" w:cstheme="majorBidi"/>
      <w:b/>
      <w:sz w:val="32"/>
      <w:szCs w:val="32"/>
      <w:lang w:val="ro-MD"/>
    </w:rPr>
  </w:style>
  <w:style w:type="character" w:customStyle="1" w:styleId="Heading4Char">
    <w:name w:val="Heading 4 Char"/>
    <w:basedOn w:val="DefaultParagraphFont"/>
    <w:link w:val="Heading4"/>
    <w:uiPriority w:val="9"/>
    <w:rsid w:val="00C75E87"/>
    <w:rPr>
      <w:rFonts w:ascii="Times New Roman" w:eastAsiaTheme="majorEastAsia" w:hAnsi="Times New Roman" w:cstheme="majorBidi"/>
      <w:i/>
      <w:iCs/>
      <w:sz w:val="28"/>
      <w:lang w:val="ro-MD"/>
    </w:rPr>
  </w:style>
  <w:style w:type="character" w:customStyle="1" w:styleId="Heading5Char">
    <w:name w:val="Heading 5 Char"/>
    <w:basedOn w:val="DefaultParagraphFont"/>
    <w:link w:val="Heading5"/>
    <w:uiPriority w:val="9"/>
    <w:semiHidden/>
    <w:rsid w:val="00C75E87"/>
    <w:rPr>
      <w:rFonts w:asciiTheme="majorHAnsi" w:eastAsiaTheme="majorEastAsia" w:hAnsiTheme="majorHAnsi" w:cstheme="majorBidi"/>
      <w:color w:val="2E74B5" w:themeColor="accent1" w:themeShade="BF"/>
      <w:sz w:val="28"/>
      <w:lang w:val="ro-MD"/>
    </w:rPr>
  </w:style>
  <w:style w:type="character" w:customStyle="1" w:styleId="Heading6Char">
    <w:name w:val="Heading 6 Char"/>
    <w:basedOn w:val="DefaultParagraphFont"/>
    <w:link w:val="Heading6"/>
    <w:uiPriority w:val="9"/>
    <w:semiHidden/>
    <w:rsid w:val="00C75E87"/>
    <w:rPr>
      <w:rFonts w:asciiTheme="majorHAnsi" w:eastAsiaTheme="majorEastAsia" w:hAnsiTheme="majorHAnsi" w:cstheme="majorBidi"/>
      <w:color w:val="1F4D78" w:themeColor="accent1" w:themeShade="7F"/>
      <w:sz w:val="28"/>
      <w:lang w:val="ro-MD"/>
    </w:rPr>
  </w:style>
  <w:style w:type="character" w:customStyle="1" w:styleId="Heading7Char">
    <w:name w:val="Heading 7 Char"/>
    <w:basedOn w:val="DefaultParagraphFont"/>
    <w:link w:val="Heading7"/>
    <w:uiPriority w:val="9"/>
    <w:semiHidden/>
    <w:rsid w:val="00C75E87"/>
    <w:rPr>
      <w:rFonts w:asciiTheme="majorHAnsi" w:eastAsiaTheme="majorEastAsia" w:hAnsiTheme="majorHAnsi" w:cstheme="majorBidi"/>
      <w:i/>
      <w:iCs/>
      <w:color w:val="1F4D78" w:themeColor="accent1" w:themeShade="7F"/>
      <w:sz w:val="28"/>
      <w:lang w:val="ro-MD"/>
    </w:rPr>
  </w:style>
  <w:style w:type="character" w:customStyle="1" w:styleId="Heading8Char">
    <w:name w:val="Heading 8 Char"/>
    <w:basedOn w:val="DefaultParagraphFont"/>
    <w:link w:val="Heading8"/>
    <w:uiPriority w:val="9"/>
    <w:semiHidden/>
    <w:rsid w:val="00C75E87"/>
    <w:rPr>
      <w:rFonts w:asciiTheme="majorHAnsi" w:eastAsiaTheme="majorEastAsia" w:hAnsiTheme="majorHAnsi" w:cstheme="majorBidi"/>
      <w:color w:val="272727" w:themeColor="text1" w:themeTint="D8"/>
      <w:sz w:val="21"/>
      <w:szCs w:val="21"/>
      <w:lang w:val="ro-MD"/>
    </w:rPr>
  </w:style>
  <w:style w:type="character" w:customStyle="1" w:styleId="Heading9Char">
    <w:name w:val="Heading 9 Char"/>
    <w:basedOn w:val="DefaultParagraphFont"/>
    <w:link w:val="Heading9"/>
    <w:uiPriority w:val="9"/>
    <w:semiHidden/>
    <w:rsid w:val="00C75E87"/>
    <w:rPr>
      <w:rFonts w:asciiTheme="majorHAnsi" w:eastAsiaTheme="majorEastAsia" w:hAnsiTheme="majorHAnsi" w:cstheme="majorBidi"/>
      <w:i/>
      <w:iCs/>
      <w:color w:val="272727" w:themeColor="text1" w:themeTint="D8"/>
      <w:sz w:val="21"/>
      <w:szCs w:val="21"/>
      <w:lang w:val="ro-MD"/>
    </w:rPr>
  </w:style>
  <w:style w:type="character" w:styleId="Hyperlink">
    <w:name w:val="Hyperlink"/>
    <w:basedOn w:val="DefaultParagraphFont"/>
    <w:uiPriority w:val="99"/>
    <w:unhideWhenUsed/>
    <w:rsid w:val="00C75E87"/>
    <w:rPr>
      <w:color w:val="0563C1" w:themeColor="hyperlink"/>
      <w:u w:val="single"/>
    </w:rPr>
  </w:style>
  <w:style w:type="paragraph" w:styleId="TOCHeading">
    <w:name w:val="TOC Heading"/>
    <w:basedOn w:val="Heading1"/>
    <w:next w:val="Normal"/>
    <w:uiPriority w:val="39"/>
    <w:unhideWhenUsed/>
    <w:qFormat/>
    <w:rsid w:val="00C75E87"/>
    <w:pPr>
      <w:outlineLvl w:val="9"/>
    </w:pPr>
  </w:style>
  <w:style w:type="paragraph" w:styleId="TOC2">
    <w:name w:val="toc 2"/>
    <w:basedOn w:val="Normal"/>
    <w:next w:val="Normal"/>
    <w:autoRedefine/>
    <w:uiPriority w:val="39"/>
    <w:unhideWhenUsed/>
    <w:rsid w:val="00C75E87"/>
    <w:pPr>
      <w:tabs>
        <w:tab w:val="right" w:leader="dot" w:pos="9344"/>
      </w:tabs>
      <w:spacing w:after="100" w:line="276" w:lineRule="auto"/>
      <w:jc w:val="both"/>
    </w:pPr>
    <w:rPr>
      <w:rFonts w:ascii="Times New Roman" w:eastAsiaTheme="minorEastAsia" w:hAnsi="Times New Roman" w:cs="Times New Roman"/>
      <w:sz w:val="24"/>
      <w:lang w:val="ro-MD"/>
    </w:rPr>
  </w:style>
  <w:style w:type="paragraph" w:styleId="TOC1">
    <w:name w:val="toc 1"/>
    <w:basedOn w:val="Normal"/>
    <w:next w:val="Normal"/>
    <w:autoRedefine/>
    <w:uiPriority w:val="39"/>
    <w:unhideWhenUsed/>
    <w:rsid w:val="00C75E87"/>
    <w:pPr>
      <w:tabs>
        <w:tab w:val="left" w:pos="567"/>
        <w:tab w:val="right" w:leader="dot" w:pos="9344"/>
      </w:tabs>
      <w:spacing w:after="100" w:line="276" w:lineRule="auto"/>
      <w:ind w:left="284"/>
      <w:jc w:val="both"/>
    </w:pPr>
    <w:rPr>
      <w:rFonts w:ascii="Times New Roman" w:eastAsiaTheme="minorEastAsia" w:hAnsi="Times New Roman" w:cs="Times New Roman"/>
      <w:sz w:val="24"/>
      <w:lang w:val="ro-MD"/>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Normal"/>
    <w:link w:val="FootnoteTextChar"/>
    <w:uiPriority w:val="99"/>
    <w:unhideWhenUsed/>
    <w:qFormat/>
    <w:rsid w:val="009C13F5"/>
    <w:pPr>
      <w:spacing w:after="0" w:line="240" w:lineRule="auto"/>
    </w:pPr>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A Char"/>
    <w:basedOn w:val="DefaultParagraphFont"/>
    <w:link w:val="FootnoteText"/>
    <w:uiPriority w:val="99"/>
    <w:rsid w:val="009C13F5"/>
    <w:rPr>
      <w:sz w:val="20"/>
      <w:szCs w:val="20"/>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9C13F5"/>
    <w:rPr>
      <w:vertAlign w:val="superscript"/>
    </w:rPr>
  </w:style>
  <w:style w:type="character" w:customStyle="1" w:styleId="Heading2Char">
    <w:name w:val="Heading 2 Char"/>
    <w:aliases w:val="Subcapitole Char"/>
    <w:basedOn w:val="DefaultParagraphFont"/>
    <w:link w:val="Heading2"/>
    <w:uiPriority w:val="9"/>
    <w:rsid w:val="00C52E81"/>
    <w:rPr>
      <w:rFonts w:ascii="Times New Roman" w:eastAsia="Times New Roman" w:hAnsi="Times New Roman" w:cs="Times New Roman"/>
      <w:b/>
      <w:bCs/>
      <w:sz w:val="28"/>
      <w:szCs w:val="28"/>
      <w:lang w:val="ro-MD" w:eastAsia="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Footnote Text Char1"/>
    <w:basedOn w:val="Normal"/>
    <w:link w:val="NormalWebChar"/>
    <w:uiPriority w:val="99"/>
    <w:unhideWhenUsed/>
    <w:qFormat/>
    <w:rsid w:val="00C52E81"/>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C52E81"/>
    <w:rPr>
      <w:rFonts w:ascii="Times New Roman" w:eastAsia="Times New Roman" w:hAnsi="Times New Roman" w:cs="Times New Roman"/>
      <w:sz w:val="24"/>
      <w:szCs w:val="24"/>
    </w:rPr>
  </w:style>
  <w:style w:type="paragraph" w:customStyle="1" w:styleId="md">
    <w:name w:val="md"/>
    <w:basedOn w:val="Normal"/>
    <w:rsid w:val="00C52E81"/>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52E81"/>
    <w:pPr>
      <w:spacing w:line="240" w:lineRule="exact"/>
    </w:pPr>
    <w:rPr>
      <w:vertAlign w:val="superscript"/>
    </w:rPr>
  </w:style>
  <w:style w:type="paragraph" w:styleId="NoSpacing">
    <w:name w:val="No Spacing"/>
    <w:aliases w:val="Subsol,referinta"/>
    <w:uiPriority w:val="1"/>
    <w:qFormat/>
    <w:rsid w:val="00C52E81"/>
    <w:pPr>
      <w:widowControl w:val="0"/>
      <w:autoSpaceDE w:val="0"/>
      <w:autoSpaceDN w:val="0"/>
      <w:adjustRightInd w:val="0"/>
      <w:spacing w:after="0" w:line="240" w:lineRule="auto"/>
    </w:pPr>
    <w:rPr>
      <w:rFonts w:ascii="Arial" w:eastAsiaTheme="minorEastAsia" w:hAnsi="Arial" w:cs="Arial"/>
      <w:sz w:val="20"/>
      <w:szCs w:val="20"/>
    </w:rPr>
  </w:style>
  <w:style w:type="table" w:styleId="TableGrid">
    <w:name w:val="Table Grid"/>
    <w:basedOn w:val="TableNormal"/>
    <w:uiPriority w:val="39"/>
    <w:rsid w:val="00C5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qFormat/>
    <w:rsid w:val="00C52E81"/>
    <w:pPr>
      <w:spacing w:after="0" w:line="240" w:lineRule="auto"/>
      <w:jc w:val="center"/>
    </w:pPr>
    <w:rPr>
      <w:rFonts w:ascii="Times New Roman" w:eastAsia="Times New Roman" w:hAnsi="Times New Roman" w:cs="Times New Roman"/>
      <w:b/>
      <w:bCs/>
      <w:sz w:val="24"/>
      <w:szCs w:val="24"/>
      <w:lang w:val="ro-MD" w:eastAsia="ro-RO"/>
    </w:rPr>
  </w:style>
  <w:style w:type="paragraph" w:styleId="TOC3">
    <w:name w:val="toc 3"/>
    <w:basedOn w:val="Normal"/>
    <w:next w:val="Normal"/>
    <w:autoRedefine/>
    <w:uiPriority w:val="39"/>
    <w:unhideWhenUsed/>
    <w:rsid w:val="00C52E81"/>
    <w:pPr>
      <w:spacing w:after="100" w:line="276" w:lineRule="auto"/>
      <w:ind w:left="560" w:firstLine="709"/>
      <w:jc w:val="both"/>
    </w:pPr>
    <w:rPr>
      <w:rFonts w:ascii="Times New Roman" w:hAnsi="Times New Roman"/>
      <w:sz w:val="28"/>
      <w:lang w:val="ro-MD"/>
    </w:rPr>
  </w:style>
  <w:style w:type="paragraph" w:styleId="Footer">
    <w:name w:val="footer"/>
    <w:basedOn w:val="Normal"/>
    <w:link w:val="FooterChar"/>
    <w:uiPriority w:val="99"/>
    <w:unhideWhenUsed/>
    <w:rsid w:val="00C52E81"/>
    <w:pPr>
      <w:tabs>
        <w:tab w:val="center" w:pos="4677"/>
        <w:tab w:val="right" w:pos="9355"/>
      </w:tabs>
      <w:spacing w:after="0" w:line="240" w:lineRule="auto"/>
      <w:ind w:firstLine="709"/>
      <w:jc w:val="both"/>
    </w:pPr>
    <w:rPr>
      <w:rFonts w:ascii="Times New Roman" w:hAnsi="Times New Roman"/>
      <w:sz w:val="28"/>
      <w:lang w:val="ro-MD"/>
    </w:rPr>
  </w:style>
  <w:style w:type="character" w:customStyle="1" w:styleId="FooterChar">
    <w:name w:val="Footer Char"/>
    <w:basedOn w:val="DefaultParagraphFont"/>
    <w:link w:val="Footer"/>
    <w:uiPriority w:val="99"/>
    <w:rsid w:val="00C52E81"/>
    <w:rPr>
      <w:rFonts w:ascii="Times New Roman" w:hAnsi="Times New Roman"/>
      <w:sz w:val="28"/>
      <w:lang w:val="ro-MD"/>
    </w:rPr>
  </w:style>
  <w:style w:type="character" w:customStyle="1" w:styleId="2">
    <w:name w:val="Основной текст (2)_"/>
    <w:basedOn w:val="DefaultParagraphFont"/>
    <w:link w:val="20"/>
    <w:rsid w:val="00C52E81"/>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C52E81"/>
    <w:pPr>
      <w:widowControl w:val="0"/>
      <w:shd w:val="clear" w:color="auto" w:fill="FFFFFF"/>
      <w:spacing w:before="720" w:after="260" w:line="245" w:lineRule="exact"/>
    </w:pPr>
    <w:rPr>
      <w:rFonts w:ascii="Book Antiqua" w:eastAsia="Book Antiqua" w:hAnsi="Book Antiqua" w:cs="Book Antiqua"/>
      <w:sz w:val="18"/>
      <w:szCs w:val="18"/>
    </w:rPr>
  </w:style>
  <w:style w:type="character" w:styleId="CommentReference">
    <w:name w:val="annotation reference"/>
    <w:basedOn w:val="DefaultParagraphFont"/>
    <w:uiPriority w:val="99"/>
    <w:semiHidden/>
    <w:unhideWhenUsed/>
    <w:rsid w:val="00C52E81"/>
    <w:rPr>
      <w:sz w:val="16"/>
      <w:szCs w:val="16"/>
    </w:rPr>
  </w:style>
  <w:style w:type="paragraph" w:styleId="CommentText">
    <w:name w:val="annotation text"/>
    <w:basedOn w:val="Normal"/>
    <w:link w:val="CommentTextChar"/>
    <w:uiPriority w:val="99"/>
    <w:unhideWhenUsed/>
    <w:rsid w:val="00C52E81"/>
    <w:pPr>
      <w:spacing w:line="240" w:lineRule="auto"/>
    </w:pPr>
    <w:rPr>
      <w:sz w:val="20"/>
      <w:szCs w:val="20"/>
    </w:rPr>
  </w:style>
  <w:style w:type="character" w:customStyle="1" w:styleId="CommentTextChar">
    <w:name w:val="Comment Text Char"/>
    <w:basedOn w:val="DefaultParagraphFont"/>
    <w:link w:val="CommentText"/>
    <w:uiPriority w:val="99"/>
    <w:rsid w:val="00C52E81"/>
    <w:rPr>
      <w:sz w:val="20"/>
      <w:szCs w:val="20"/>
    </w:rPr>
  </w:style>
  <w:style w:type="paragraph" w:styleId="CommentSubject">
    <w:name w:val="annotation subject"/>
    <w:basedOn w:val="CommentText"/>
    <w:next w:val="CommentText"/>
    <w:link w:val="CommentSubjectChar"/>
    <w:uiPriority w:val="99"/>
    <w:semiHidden/>
    <w:unhideWhenUsed/>
    <w:rsid w:val="00C52E81"/>
    <w:rPr>
      <w:b/>
      <w:bCs/>
    </w:rPr>
  </w:style>
  <w:style w:type="character" w:customStyle="1" w:styleId="CommentSubjectChar">
    <w:name w:val="Comment Subject Char"/>
    <w:basedOn w:val="CommentTextChar"/>
    <w:link w:val="CommentSubject"/>
    <w:uiPriority w:val="99"/>
    <w:semiHidden/>
    <w:rsid w:val="00C52E81"/>
    <w:rPr>
      <w:b/>
      <w:bCs/>
      <w:sz w:val="20"/>
      <w:szCs w:val="20"/>
    </w:rPr>
  </w:style>
  <w:style w:type="paragraph" w:styleId="BalloonText">
    <w:name w:val="Balloon Text"/>
    <w:basedOn w:val="Normal"/>
    <w:link w:val="BalloonTextChar"/>
    <w:uiPriority w:val="99"/>
    <w:semiHidden/>
    <w:unhideWhenUsed/>
    <w:rsid w:val="00C5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E81"/>
    <w:rPr>
      <w:rFonts w:ascii="Segoe UI" w:hAnsi="Segoe UI" w:cs="Segoe UI"/>
      <w:sz w:val="18"/>
      <w:szCs w:val="18"/>
    </w:rPr>
  </w:style>
  <w:style w:type="paragraph" w:customStyle="1" w:styleId="cn">
    <w:name w:val="cn"/>
    <w:basedOn w:val="Normal"/>
    <w:rsid w:val="00C52E81"/>
    <w:pPr>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C52E81"/>
    <w:pPr>
      <w:autoSpaceDE w:val="0"/>
      <w:autoSpaceDN w:val="0"/>
      <w:adjustRightInd w:val="0"/>
      <w:spacing w:after="0" w:line="240" w:lineRule="auto"/>
    </w:pPr>
    <w:rPr>
      <w:rFonts w:ascii="Arial" w:hAnsi="Arial" w:cs="Arial"/>
      <w:color w:val="000000"/>
      <w:sz w:val="24"/>
      <w:szCs w:val="24"/>
    </w:rPr>
  </w:style>
  <w:style w:type="paragraph" w:customStyle="1" w:styleId="cb">
    <w:name w:val="cb"/>
    <w:basedOn w:val="Normal"/>
    <w:rsid w:val="00C52E81"/>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52E81"/>
    <w:pPr>
      <w:tabs>
        <w:tab w:val="center" w:pos="4680"/>
        <w:tab w:val="right" w:pos="9360"/>
      </w:tabs>
      <w:spacing w:after="0" w:line="240" w:lineRule="auto"/>
    </w:pPr>
    <w:rPr>
      <w:rFonts w:ascii="Times New Roman" w:eastAsia="Times New Roman" w:hAnsi="Times New Roman" w:cs="Times New Roman"/>
      <w:sz w:val="24"/>
      <w:szCs w:val="24"/>
      <w:lang w:val="ro-MD" w:eastAsia="ru-RU"/>
    </w:rPr>
  </w:style>
  <w:style w:type="character" w:customStyle="1" w:styleId="HeaderChar">
    <w:name w:val="Header Char"/>
    <w:basedOn w:val="DefaultParagraphFont"/>
    <w:link w:val="Header"/>
    <w:uiPriority w:val="99"/>
    <w:rsid w:val="00C52E81"/>
    <w:rPr>
      <w:rFonts w:ascii="Times New Roman" w:eastAsia="Times New Roman" w:hAnsi="Times New Roman" w:cs="Times New Roman"/>
      <w:sz w:val="24"/>
      <w:szCs w:val="24"/>
      <w:lang w:val="ro-MD" w:eastAsia="ru-RU"/>
    </w:rPr>
  </w:style>
  <w:style w:type="paragraph" w:customStyle="1" w:styleId="cp">
    <w:name w:val="cp"/>
    <w:basedOn w:val="Normal"/>
    <w:rsid w:val="00C52E81"/>
    <w:pPr>
      <w:spacing w:after="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unhideWhenUsed/>
    <w:rsid w:val="00C52E81"/>
    <w:pPr>
      <w:numPr>
        <w:numId w:val="2"/>
      </w:numPr>
      <w:spacing w:after="0" w:line="240" w:lineRule="auto"/>
      <w:contextualSpacing/>
    </w:pPr>
    <w:rPr>
      <w:rFonts w:ascii="Times New Roman" w:eastAsia="Times New Roman" w:hAnsi="Times New Roman" w:cs="Times New Roman"/>
      <w:sz w:val="24"/>
      <w:szCs w:val="24"/>
      <w:lang w:val="ro-MD" w:eastAsia="ru-RU"/>
    </w:rPr>
  </w:style>
  <w:style w:type="character" w:customStyle="1" w:styleId="docheader">
    <w:name w:val="doc_header"/>
    <w:basedOn w:val="DefaultParagraphFont"/>
    <w:rsid w:val="00C52E81"/>
  </w:style>
  <w:style w:type="character" w:styleId="Emphasis">
    <w:name w:val="Emphasis"/>
    <w:basedOn w:val="DefaultParagraphFont"/>
    <w:uiPriority w:val="20"/>
    <w:qFormat/>
    <w:rsid w:val="00C52E81"/>
    <w:rPr>
      <w:i/>
      <w:iCs/>
    </w:rPr>
  </w:style>
  <w:style w:type="table" w:customStyle="1" w:styleId="TableGrid1">
    <w:name w:val="Table Grid1"/>
    <w:basedOn w:val="TableNormal"/>
    <w:next w:val="TableGrid"/>
    <w:uiPriority w:val="39"/>
    <w:rsid w:val="00C5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2E81"/>
    <w:rPr>
      <w:color w:val="800080"/>
      <w:u w:val="single"/>
    </w:rPr>
  </w:style>
  <w:style w:type="paragraph" w:customStyle="1" w:styleId="msonormal0">
    <w:name w:val="msonormal"/>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C52E81"/>
    <w:pP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C52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0">
    <w:name w:val="xl9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2">
    <w:name w:val="xl9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C52E81"/>
    <w:pPr>
      <w:spacing w:before="100" w:beforeAutospacing="1" w:after="100" w:afterAutospacing="1" w:line="240" w:lineRule="auto"/>
    </w:pPr>
    <w:rPr>
      <w:rFonts w:ascii="Calibri" w:eastAsia="Times New Roman" w:hAnsi="Calibri" w:cs="Calibri"/>
      <w:color w:val="000000"/>
    </w:rPr>
  </w:style>
  <w:style w:type="paragraph" w:customStyle="1" w:styleId="xl98">
    <w:name w:val="xl9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1">
    <w:name w:val="xl10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C52E81"/>
    <w:pPr>
      <w:spacing w:before="100" w:beforeAutospacing="1" w:after="100" w:afterAutospacing="1" w:line="240" w:lineRule="auto"/>
    </w:pPr>
    <w:rPr>
      <w:rFonts w:ascii="Calibri" w:eastAsia="Times New Roman" w:hAnsi="Calibri" w:cs="Calibri"/>
    </w:rPr>
  </w:style>
  <w:style w:type="paragraph" w:customStyle="1" w:styleId="xl111">
    <w:name w:val="xl11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4">
    <w:name w:val="xl11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6">
    <w:name w:val="xl11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C52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C52E8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C52E81"/>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C52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C52E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C52E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C52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C52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C52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C52E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Strong">
    <w:name w:val="Strong"/>
    <w:basedOn w:val="DefaultParagraphFont"/>
    <w:uiPriority w:val="22"/>
    <w:qFormat/>
    <w:rsid w:val="00C52E81"/>
    <w:rPr>
      <w:b/>
      <w:bCs/>
    </w:rPr>
  </w:style>
  <w:style w:type="character" w:customStyle="1" w:styleId="a">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DefaultParagraphFont"/>
    <w:uiPriority w:val="99"/>
    <w:locked/>
    <w:rsid w:val="00C52E81"/>
  </w:style>
  <w:style w:type="character" w:customStyle="1" w:styleId="295pt">
    <w:name w:val="Основной текст (2) + 9.5 pt"/>
    <w:aliases w:val="Полужирный,Основной текст (2) + 8.5 pt"/>
    <w:basedOn w:val="2"/>
    <w:rsid w:val="00E17901"/>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275pt">
    <w:name w:val="Основной текст (2) + 7.5 pt"/>
    <w:aliases w:val="Курсив,Основной текст (2) + 9 pt"/>
    <w:basedOn w:val="2"/>
    <w:rsid w:val="00E17901"/>
    <w:rPr>
      <w:rFonts w:ascii="Times New Roman" w:eastAsia="Times New Roman" w:hAnsi="Times New Roman" w:cs="Times New Roman"/>
      <w:i/>
      <w:iCs/>
      <w:color w:val="000000"/>
      <w:spacing w:val="0"/>
      <w:w w:val="100"/>
      <w:position w:val="0"/>
      <w:sz w:val="15"/>
      <w:szCs w:val="15"/>
      <w:shd w:val="clear" w:color="auto" w:fill="FFFFFF"/>
      <w:lang w:val="ro-RO" w:eastAsia="ro-RO" w:bidi="ro-RO"/>
    </w:rPr>
  </w:style>
  <w:style w:type="character" w:customStyle="1" w:styleId="3">
    <w:name w:val="Основной текст (3)_"/>
    <w:basedOn w:val="DefaultParagraphFont"/>
    <w:link w:val="30"/>
    <w:rsid w:val="00E1790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Normal"/>
    <w:link w:val="3"/>
    <w:rsid w:val="00E17901"/>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1">
    <w:name w:val="Подпись к картинке (2)_"/>
    <w:basedOn w:val="DefaultParagraphFont"/>
    <w:link w:val="22"/>
    <w:rsid w:val="00E17901"/>
    <w:rPr>
      <w:rFonts w:ascii="Times New Roman" w:eastAsia="Times New Roman" w:hAnsi="Times New Roman" w:cs="Times New Roman"/>
      <w:b/>
      <w:bCs/>
      <w:sz w:val="19"/>
      <w:szCs w:val="19"/>
      <w:shd w:val="clear" w:color="auto" w:fill="FFFFFF"/>
    </w:rPr>
  </w:style>
  <w:style w:type="paragraph" w:customStyle="1" w:styleId="22">
    <w:name w:val="Подпись к картинке (2)"/>
    <w:basedOn w:val="Normal"/>
    <w:link w:val="21"/>
    <w:rsid w:val="00E17901"/>
    <w:pPr>
      <w:widowControl w:val="0"/>
      <w:shd w:val="clear" w:color="auto" w:fill="FFFFFF"/>
      <w:spacing w:after="0" w:line="210" w:lineRule="exact"/>
    </w:pPr>
    <w:rPr>
      <w:rFonts w:ascii="Times New Roman" w:eastAsia="Times New Roman" w:hAnsi="Times New Roman" w:cs="Times New Roman"/>
      <w:b/>
      <w:bCs/>
      <w:sz w:val="19"/>
      <w:szCs w:val="19"/>
    </w:rPr>
  </w:style>
  <w:style w:type="character" w:customStyle="1" w:styleId="LegturInternet">
    <w:name w:val="Legătură Internet"/>
    <w:basedOn w:val="DefaultParagraphFont"/>
    <w:rsid w:val="00041921"/>
    <w:rPr>
      <w:color w:val="0563C1"/>
      <w:u w:val="single"/>
    </w:rPr>
  </w:style>
  <w:style w:type="paragraph" w:customStyle="1" w:styleId="Normal1">
    <w:name w:val="Normal1"/>
    <w:basedOn w:val="Normal"/>
    <w:rsid w:val="000A0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el">
    <w:name w:val="Normal+Ariel"/>
    <w:aliases w:val="1"/>
    <w:basedOn w:val="Normal"/>
    <w:rsid w:val="008E1106"/>
    <w:pPr>
      <w:numPr>
        <w:numId w:val="9"/>
      </w:numPr>
      <w:spacing w:before="100" w:beforeAutospacing="1" w:after="100" w:afterAutospacing="1" w:line="240" w:lineRule="auto"/>
      <w:jc w:val="both"/>
    </w:pPr>
    <w:rPr>
      <w:rFonts w:ascii="Arial" w:eastAsia="Times New Roman" w:hAnsi="Arial" w:cs="Arial"/>
      <w:bCs/>
      <w:color w:val="000000"/>
      <w:spacing w:val="-2"/>
      <w:sz w:val="24"/>
      <w:lang w:val="ro-RO" w:eastAsia="ro-RO"/>
    </w:rPr>
  </w:style>
  <w:style w:type="paragraph" w:customStyle="1" w:styleId="listparagraph0">
    <w:name w:val="listparagraph"/>
    <w:basedOn w:val="Normal"/>
    <w:rsid w:val="00BE5297"/>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39558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265">
      <w:bodyDiv w:val="1"/>
      <w:marLeft w:val="0"/>
      <w:marRight w:val="0"/>
      <w:marTop w:val="0"/>
      <w:marBottom w:val="0"/>
      <w:divBdr>
        <w:top w:val="none" w:sz="0" w:space="0" w:color="auto"/>
        <w:left w:val="none" w:sz="0" w:space="0" w:color="auto"/>
        <w:bottom w:val="none" w:sz="0" w:space="0" w:color="auto"/>
        <w:right w:val="none" w:sz="0" w:space="0" w:color="auto"/>
      </w:divBdr>
    </w:div>
    <w:div w:id="79104765">
      <w:bodyDiv w:val="1"/>
      <w:marLeft w:val="0"/>
      <w:marRight w:val="0"/>
      <w:marTop w:val="0"/>
      <w:marBottom w:val="0"/>
      <w:divBdr>
        <w:top w:val="none" w:sz="0" w:space="0" w:color="auto"/>
        <w:left w:val="none" w:sz="0" w:space="0" w:color="auto"/>
        <w:bottom w:val="none" w:sz="0" w:space="0" w:color="auto"/>
        <w:right w:val="none" w:sz="0" w:space="0" w:color="auto"/>
      </w:divBdr>
    </w:div>
    <w:div w:id="113450849">
      <w:bodyDiv w:val="1"/>
      <w:marLeft w:val="0"/>
      <w:marRight w:val="0"/>
      <w:marTop w:val="0"/>
      <w:marBottom w:val="0"/>
      <w:divBdr>
        <w:top w:val="none" w:sz="0" w:space="0" w:color="auto"/>
        <w:left w:val="none" w:sz="0" w:space="0" w:color="auto"/>
        <w:bottom w:val="none" w:sz="0" w:space="0" w:color="auto"/>
        <w:right w:val="none" w:sz="0" w:space="0" w:color="auto"/>
      </w:divBdr>
    </w:div>
    <w:div w:id="224151339">
      <w:bodyDiv w:val="1"/>
      <w:marLeft w:val="0"/>
      <w:marRight w:val="0"/>
      <w:marTop w:val="0"/>
      <w:marBottom w:val="0"/>
      <w:divBdr>
        <w:top w:val="none" w:sz="0" w:space="0" w:color="auto"/>
        <w:left w:val="none" w:sz="0" w:space="0" w:color="auto"/>
        <w:bottom w:val="none" w:sz="0" w:space="0" w:color="auto"/>
        <w:right w:val="none" w:sz="0" w:space="0" w:color="auto"/>
      </w:divBdr>
      <w:divsChild>
        <w:div w:id="349183198">
          <w:marLeft w:val="0"/>
          <w:marRight w:val="0"/>
          <w:marTop w:val="0"/>
          <w:marBottom w:val="0"/>
          <w:divBdr>
            <w:top w:val="none" w:sz="0" w:space="0" w:color="auto"/>
            <w:left w:val="none" w:sz="0" w:space="0" w:color="auto"/>
            <w:bottom w:val="none" w:sz="0" w:space="0" w:color="auto"/>
            <w:right w:val="none" w:sz="0" w:space="0" w:color="auto"/>
          </w:divBdr>
        </w:div>
        <w:div w:id="546112863">
          <w:marLeft w:val="0"/>
          <w:marRight w:val="0"/>
          <w:marTop w:val="0"/>
          <w:marBottom w:val="0"/>
          <w:divBdr>
            <w:top w:val="none" w:sz="0" w:space="0" w:color="auto"/>
            <w:left w:val="none" w:sz="0" w:space="0" w:color="auto"/>
            <w:bottom w:val="none" w:sz="0" w:space="0" w:color="auto"/>
            <w:right w:val="none" w:sz="0" w:space="0" w:color="auto"/>
          </w:divBdr>
        </w:div>
        <w:div w:id="652105871">
          <w:marLeft w:val="0"/>
          <w:marRight w:val="0"/>
          <w:marTop w:val="0"/>
          <w:marBottom w:val="0"/>
          <w:divBdr>
            <w:top w:val="none" w:sz="0" w:space="0" w:color="auto"/>
            <w:left w:val="none" w:sz="0" w:space="0" w:color="auto"/>
            <w:bottom w:val="none" w:sz="0" w:space="0" w:color="auto"/>
            <w:right w:val="none" w:sz="0" w:space="0" w:color="auto"/>
          </w:divBdr>
        </w:div>
        <w:div w:id="798768533">
          <w:marLeft w:val="0"/>
          <w:marRight w:val="0"/>
          <w:marTop w:val="0"/>
          <w:marBottom w:val="0"/>
          <w:divBdr>
            <w:top w:val="none" w:sz="0" w:space="0" w:color="auto"/>
            <w:left w:val="none" w:sz="0" w:space="0" w:color="auto"/>
            <w:bottom w:val="none" w:sz="0" w:space="0" w:color="auto"/>
            <w:right w:val="none" w:sz="0" w:space="0" w:color="auto"/>
          </w:divBdr>
        </w:div>
      </w:divsChild>
    </w:div>
    <w:div w:id="241531365">
      <w:bodyDiv w:val="1"/>
      <w:marLeft w:val="0"/>
      <w:marRight w:val="0"/>
      <w:marTop w:val="0"/>
      <w:marBottom w:val="0"/>
      <w:divBdr>
        <w:top w:val="none" w:sz="0" w:space="0" w:color="auto"/>
        <w:left w:val="none" w:sz="0" w:space="0" w:color="auto"/>
        <w:bottom w:val="none" w:sz="0" w:space="0" w:color="auto"/>
        <w:right w:val="none" w:sz="0" w:space="0" w:color="auto"/>
      </w:divBdr>
    </w:div>
    <w:div w:id="305621642">
      <w:bodyDiv w:val="1"/>
      <w:marLeft w:val="0"/>
      <w:marRight w:val="0"/>
      <w:marTop w:val="0"/>
      <w:marBottom w:val="0"/>
      <w:divBdr>
        <w:top w:val="none" w:sz="0" w:space="0" w:color="auto"/>
        <w:left w:val="none" w:sz="0" w:space="0" w:color="auto"/>
        <w:bottom w:val="none" w:sz="0" w:space="0" w:color="auto"/>
        <w:right w:val="none" w:sz="0" w:space="0" w:color="auto"/>
      </w:divBdr>
    </w:div>
    <w:div w:id="322051626">
      <w:bodyDiv w:val="1"/>
      <w:marLeft w:val="0"/>
      <w:marRight w:val="0"/>
      <w:marTop w:val="0"/>
      <w:marBottom w:val="0"/>
      <w:divBdr>
        <w:top w:val="none" w:sz="0" w:space="0" w:color="auto"/>
        <w:left w:val="none" w:sz="0" w:space="0" w:color="auto"/>
        <w:bottom w:val="none" w:sz="0" w:space="0" w:color="auto"/>
        <w:right w:val="none" w:sz="0" w:space="0" w:color="auto"/>
      </w:divBdr>
    </w:div>
    <w:div w:id="398787864">
      <w:bodyDiv w:val="1"/>
      <w:marLeft w:val="0"/>
      <w:marRight w:val="0"/>
      <w:marTop w:val="0"/>
      <w:marBottom w:val="0"/>
      <w:divBdr>
        <w:top w:val="none" w:sz="0" w:space="0" w:color="auto"/>
        <w:left w:val="none" w:sz="0" w:space="0" w:color="auto"/>
        <w:bottom w:val="none" w:sz="0" w:space="0" w:color="auto"/>
        <w:right w:val="none" w:sz="0" w:space="0" w:color="auto"/>
      </w:divBdr>
    </w:div>
    <w:div w:id="400179376">
      <w:bodyDiv w:val="1"/>
      <w:marLeft w:val="0"/>
      <w:marRight w:val="0"/>
      <w:marTop w:val="0"/>
      <w:marBottom w:val="0"/>
      <w:divBdr>
        <w:top w:val="none" w:sz="0" w:space="0" w:color="auto"/>
        <w:left w:val="none" w:sz="0" w:space="0" w:color="auto"/>
        <w:bottom w:val="none" w:sz="0" w:space="0" w:color="auto"/>
        <w:right w:val="none" w:sz="0" w:space="0" w:color="auto"/>
      </w:divBdr>
    </w:div>
    <w:div w:id="504126577">
      <w:bodyDiv w:val="1"/>
      <w:marLeft w:val="0"/>
      <w:marRight w:val="0"/>
      <w:marTop w:val="0"/>
      <w:marBottom w:val="0"/>
      <w:divBdr>
        <w:top w:val="none" w:sz="0" w:space="0" w:color="auto"/>
        <w:left w:val="none" w:sz="0" w:space="0" w:color="auto"/>
        <w:bottom w:val="none" w:sz="0" w:space="0" w:color="auto"/>
        <w:right w:val="none" w:sz="0" w:space="0" w:color="auto"/>
      </w:divBdr>
    </w:div>
    <w:div w:id="605237645">
      <w:bodyDiv w:val="1"/>
      <w:marLeft w:val="0"/>
      <w:marRight w:val="0"/>
      <w:marTop w:val="0"/>
      <w:marBottom w:val="0"/>
      <w:divBdr>
        <w:top w:val="none" w:sz="0" w:space="0" w:color="auto"/>
        <w:left w:val="none" w:sz="0" w:space="0" w:color="auto"/>
        <w:bottom w:val="none" w:sz="0" w:space="0" w:color="auto"/>
        <w:right w:val="none" w:sz="0" w:space="0" w:color="auto"/>
      </w:divBdr>
    </w:div>
    <w:div w:id="608660293">
      <w:bodyDiv w:val="1"/>
      <w:marLeft w:val="0"/>
      <w:marRight w:val="0"/>
      <w:marTop w:val="0"/>
      <w:marBottom w:val="0"/>
      <w:divBdr>
        <w:top w:val="none" w:sz="0" w:space="0" w:color="auto"/>
        <w:left w:val="none" w:sz="0" w:space="0" w:color="auto"/>
        <w:bottom w:val="none" w:sz="0" w:space="0" w:color="auto"/>
        <w:right w:val="none" w:sz="0" w:space="0" w:color="auto"/>
      </w:divBdr>
    </w:div>
    <w:div w:id="672682334">
      <w:bodyDiv w:val="1"/>
      <w:marLeft w:val="0"/>
      <w:marRight w:val="0"/>
      <w:marTop w:val="0"/>
      <w:marBottom w:val="0"/>
      <w:divBdr>
        <w:top w:val="none" w:sz="0" w:space="0" w:color="auto"/>
        <w:left w:val="none" w:sz="0" w:space="0" w:color="auto"/>
        <w:bottom w:val="none" w:sz="0" w:space="0" w:color="auto"/>
        <w:right w:val="none" w:sz="0" w:space="0" w:color="auto"/>
      </w:divBdr>
      <w:divsChild>
        <w:div w:id="98572433">
          <w:marLeft w:val="0"/>
          <w:marRight w:val="0"/>
          <w:marTop w:val="0"/>
          <w:marBottom w:val="0"/>
          <w:divBdr>
            <w:top w:val="none" w:sz="0" w:space="0" w:color="auto"/>
            <w:left w:val="none" w:sz="0" w:space="0" w:color="auto"/>
            <w:bottom w:val="none" w:sz="0" w:space="0" w:color="auto"/>
            <w:right w:val="none" w:sz="0" w:space="0" w:color="auto"/>
          </w:divBdr>
        </w:div>
        <w:div w:id="1123035776">
          <w:marLeft w:val="0"/>
          <w:marRight w:val="0"/>
          <w:marTop w:val="0"/>
          <w:marBottom w:val="0"/>
          <w:divBdr>
            <w:top w:val="none" w:sz="0" w:space="0" w:color="auto"/>
            <w:left w:val="none" w:sz="0" w:space="0" w:color="auto"/>
            <w:bottom w:val="none" w:sz="0" w:space="0" w:color="auto"/>
            <w:right w:val="none" w:sz="0" w:space="0" w:color="auto"/>
          </w:divBdr>
        </w:div>
        <w:div w:id="1571042615">
          <w:marLeft w:val="0"/>
          <w:marRight w:val="0"/>
          <w:marTop w:val="0"/>
          <w:marBottom w:val="0"/>
          <w:divBdr>
            <w:top w:val="none" w:sz="0" w:space="0" w:color="auto"/>
            <w:left w:val="none" w:sz="0" w:space="0" w:color="auto"/>
            <w:bottom w:val="none" w:sz="0" w:space="0" w:color="auto"/>
            <w:right w:val="none" w:sz="0" w:space="0" w:color="auto"/>
          </w:divBdr>
        </w:div>
        <w:div w:id="1687906130">
          <w:marLeft w:val="0"/>
          <w:marRight w:val="0"/>
          <w:marTop w:val="0"/>
          <w:marBottom w:val="0"/>
          <w:divBdr>
            <w:top w:val="none" w:sz="0" w:space="0" w:color="auto"/>
            <w:left w:val="none" w:sz="0" w:space="0" w:color="auto"/>
            <w:bottom w:val="none" w:sz="0" w:space="0" w:color="auto"/>
            <w:right w:val="none" w:sz="0" w:space="0" w:color="auto"/>
          </w:divBdr>
        </w:div>
        <w:div w:id="1759709444">
          <w:marLeft w:val="0"/>
          <w:marRight w:val="0"/>
          <w:marTop w:val="0"/>
          <w:marBottom w:val="0"/>
          <w:divBdr>
            <w:top w:val="none" w:sz="0" w:space="0" w:color="auto"/>
            <w:left w:val="none" w:sz="0" w:space="0" w:color="auto"/>
            <w:bottom w:val="none" w:sz="0" w:space="0" w:color="auto"/>
            <w:right w:val="none" w:sz="0" w:space="0" w:color="auto"/>
          </w:divBdr>
        </w:div>
        <w:div w:id="2040011586">
          <w:marLeft w:val="0"/>
          <w:marRight w:val="0"/>
          <w:marTop w:val="0"/>
          <w:marBottom w:val="0"/>
          <w:divBdr>
            <w:top w:val="none" w:sz="0" w:space="0" w:color="auto"/>
            <w:left w:val="none" w:sz="0" w:space="0" w:color="auto"/>
            <w:bottom w:val="none" w:sz="0" w:space="0" w:color="auto"/>
            <w:right w:val="none" w:sz="0" w:space="0" w:color="auto"/>
          </w:divBdr>
        </w:div>
        <w:div w:id="2064325309">
          <w:marLeft w:val="0"/>
          <w:marRight w:val="0"/>
          <w:marTop w:val="0"/>
          <w:marBottom w:val="0"/>
          <w:divBdr>
            <w:top w:val="none" w:sz="0" w:space="0" w:color="auto"/>
            <w:left w:val="none" w:sz="0" w:space="0" w:color="auto"/>
            <w:bottom w:val="none" w:sz="0" w:space="0" w:color="auto"/>
            <w:right w:val="none" w:sz="0" w:space="0" w:color="auto"/>
          </w:divBdr>
        </w:div>
      </w:divsChild>
    </w:div>
    <w:div w:id="683016406">
      <w:bodyDiv w:val="1"/>
      <w:marLeft w:val="0"/>
      <w:marRight w:val="0"/>
      <w:marTop w:val="0"/>
      <w:marBottom w:val="0"/>
      <w:divBdr>
        <w:top w:val="none" w:sz="0" w:space="0" w:color="auto"/>
        <w:left w:val="none" w:sz="0" w:space="0" w:color="auto"/>
        <w:bottom w:val="none" w:sz="0" w:space="0" w:color="auto"/>
        <w:right w:val="none" w:sz="0" w:space="0" w:color="auto"/>
      </w:divBdr>
    </w:div>
    <w:div w:id="703091379">
      <w:bodyDiv w:val="1"/>
      <w:marLeft w:val="0"/>
      <w:marRight w:val="0"/>
      <w:marTop w:val="0"/>
      <w:marBottom w:val="0"/>
      <w:divBdr>
        <w:top w:val="none" w:sz="0" w:space="0" w:color="auto"/>
        <w:left w:val="none" w:sz="0" w:space="0" w:color="auto"/>
        <w:bottom w:val="none" w:sz="0" w:space="0" w:color="auto"/>
        <w:right w:val="none" w:sz="0" w:space="0" w:color="auto"/>
      </w:divBdr>
    </w:div>
    <w:div w:id="704063456">
      <w:bodyDiv w:val="1"/>
      <w:marLeft w:val="0"/>
      <w:marRight w:val="0"/>
      <w:marTop w:val="0"/>
      <w:marBottom w:val="0"/>
      <w:divBdr>
        <w:top w:val="none" w:sz="0" w:space="0" w:color="auto"/>
        <w:left w:val="none" w:sz="0" w:space="0" w:color="auto"/>
        <w:bottom w:val="none" w:sz="0" w:space="0" w:color="auto"/>
        <w:right w:val="none" w:sz="0" w:space="0" w:color="auto"/>
      </w:divBdr>
    </w:div>
    <w:div w:id="769202147">
      <w:bodyDiv w:val="1"/>
      <w:marLeft w:val="0"/>
      <w:marRight w:val="0"/>
      <w:marTop w:val="0"/>
      <w:marBottom w:val="0"/>
      <w:divBdr>
        <w:top w:val="none" w:sz="0" w:space="0" w:color="auto"/>
        <w:left w:val="none" w:sz="0" w:space="0" w:color="auto"/>
        <w:bottom w:val="none" w:sz="0" w:space="0" w:color="auto"/>
        <w:right w:val="none" w:sz="0" w:space="0" w:color="auto"/>
      </w:divBdr>
    </w:div>
    <w:div w:id="802768754">
      <w:bodyDiv w:val="1"/>
      <w:marLeft w:val="0"/>
      <w:marRight w:val="0"/>
      <w:marTop w:val="0"/>
      <w:marBottom w:val="0"/>
      <w:divBdr>
        <w:top w:val="none" w:sz="0" w:space="0" w:color="auto"/>
        <w:left w:val="none" w:sz="0" w:space="0" w:color="auto"/>
        <w:bottom w:val="none" w:sz="0" w:space="0" w:color="auto"/>
        <w:right w:val="none" w:sz="0" w:space="0" w:color="auto"/>
      </w:divBdr>
    </w:div>
    <w:div w:id="837886240">
      <w:bodyDiv w:val="1"/>
      <w:marLeft w:val="0"/>
      <w:marRight w:val="0"/>
      <w:marTop w:val="0"/>
      <w:marBottom w:val="0"/>
      <w:divBdr>
        <w:top w:val="none" w:sz="0" w:space="0" w:color="auto"/>
        <w:left w:val="none" w:sz="0" w:space="0" w:color="auto"/>
        <w:bottom w:val="none" w:sz="0" w:space="0" w:color="auto"/>
        <w:right w:val="none" w:sz="0" w:space="0" w:color="auto"/>
      </w:divBdr>
      <w:divsChild>
        <w:div w:id="680863281">
          <w:marLeft w:val="0"/>
          <w:marRight w:val="0"/>
          <w:marTop w:val="0"/>
          <w:marBottom w:val="0"/>
          <w:divBdr>
            <w:top w:val="none" w:sz="0" w:space="0" w:color="auto"/>
            <w:left w:val="none" w:sz="0" w:space="0" w:color="auto"/>
            <w:bottom w:val="none" w:sz="0" w:space="0" w:color="auto"/>
            <w:right w:val="none" w:sz="0" w:space="0" w:color="auto"/>
          </w:divBdr>
        </w:div>
        <w:div w:id="1188133261">
          <w:marLeft w:val="0"/>
          <w:marRight w:val="0"/>
          <w:marTop w:val="0"/>
          <w:marBottom w:val="0"/>
          <w:divBdr>
            <w:top w:val="none" w:sz="0" w:space="0" w:color="auto"/>
            <w:left w:val="none" w:sz="0" w:space="0" w:color="auto"/>
            <w:bottom w:val="none" w:sz="0" w:space="0" w:color="auto"/>
            <w:right w:val="none" w:sz="0" w:space="0" w:color="auto"/>
          </w:divBdr>
        </w:div>
      </w:divsChild>
    </w:div>
    <w:div w:id="900825062">
      <w:bodyDiv w:val="1"/>
      <w:marLeft w:val="0"/>
      <w:marRight w:val="0"/>
      <w:marTop w:val="0"/>
      <w:marBottom w:val="0"/>
      <w:divBdr>
        <w:top w:val="none" w:sz="0" w:space="0" w:color="auto"/>
        <w:left w:val="none" w:sz="0" w:space="0" w:color="auto"/>
        <w:bottom w:val="none" w:sz="0" w:space="0" w:color="auto"/>
        <w:right w:val="none" w:sz="0" w:space="0" w:color="auto"/>
      </w:divBdr>
    </w:div>
    <w:div w:id="909077146">
      <w:bodyDiv w:val="1"/>
      <w:marLeft w:val="0"/>
      <w:marRight w:val="0"/>
      <w:marTop w:val="0"/>
      <w:marBottom w:val="0"/>
      <w:divBdr>
        <w:top w:val="none" w:sz="0" w:space="0" w:color="auto"/>
        <w:left w:val="none" w:sz="0" w:space="0" w:color="auto"/>
        <w:bottom w:val="none" w:sz="0" w:space="0" w:color="auto"/>
        <w:right w:val="none" w:sz="0" w:space="0" w:color="auto"/>
      </w:divBdr>
      <w:divsChild>
        <w:div w:id="58983900">
          <w:marLeft w:val="0"/>
          <w:marRight w:val="0"/>
          <w:marTop w:val="0"/>
          <w:marBottom w:val="0"/>
          <w:divBdr>
            <w:top w:val="none" w:sz="0" w:space="0" w:color="auto"/>
            <w:left w:val="none" w:sz="0" w:space="0" w:color="auto"/>
            <w:bottom w:val="none" w:sz="0" w:space="0" w:color="auto"/>
            <w:right w:val="none" w:sz="0" w:space="0" w:color="auto"/>
          </w:divBdr>
        </w:div>
        <w:div w:id="156387043">
          <w:marLeft w:val="0"/>
          <w:marRight w:val="0"/>
          <w:marTop w:val="0"/>
          <w:marBottom w:val="0"/>
          <w:divBdr>
            <w:top w:val="none" w:sz="0" w:space="0" w:color="auto"/>
            <w:left w:val="none" w:sz="0" w:space="0" w:color="auto"/>
            <w:bottom w:val="none" w:sz="0" w:space="0" w:color="auto"/>
            <w:right w:val="none" w:sz="0" w:space="0" w:color="auto"/>
          </w:divBdr>
        </w:div>
        <w:div w:id="486753231">
          <w:marLeft w:val="0"/>
          <w:marRight w:val="0"/>
          <w:marTop w:val="0"/>
          <w:marBottom w:val="0"/>
          <w:divBdr>
            <w:top w:val="none" w:sz="0" w:space="0" w:color="auto"/>
            <w:left w:val="none" w:sz="0" w:space="0" w:color="auto"/>
            <w:bottom w:val="none" w:sz="0" w:space="0" w:color="auto"/>
            <w:right w:val="none" w:sz="0" w:space="0" w:color="auto"/>
          </w:divBdr>
        </w:div>
        <w:div w:id="722293906">
          <w:marLeft w:val="0"/>
          <w:marRight w:val="0"/>
          <w:marTop w:val="0"/>
          <w:marBottom w:val="0"/>
          <w:divBdr>
            <w:top w:val="none" w:sz="0" w:space="0" w:color="auto"/>
            <w:left w:val="none" w:sz="0" w:space="0" w:color="auto"/>
            <w:bottom w:val="none" w:sz="0" w:space="0" w:color="auto"/>
            <w:right w:val="none" w:sz="0" w:space="0" w:color="auto"/>
          </w:divBdr>
        </w:div>
        <w:div w:id="812523822">
          <w:marLeft w:val="0"/>
          <w:marRight w:val="0"/>
          <w:marTop w:val="0"/>
          <w:marBottom w:val="0"/>
          <w:divBdr>
            <w:top w:val="none" w:sz="0" w:space="0" w:color="auto"/>
            <w:left w:val="none" w:sz="0" w:space="0" w:color="auto"/>
            <w:bottom w:val="none" w:sz="0" w:space="0" w:color="auto"/>
            <w:right w:val="none" w:sz="0" w:space="0" w:color="auto"/>
          </w:divBdr>
        </w:div>
        <w:div w:id="1243560452">
          <w:marLeft w:val="0"/>
          <w:marRight w:val="0"/>
          <w:marTop w:val="0"/>
          <w:marBottom w:val="0"/>
          <w:divBdr>
            <w:top w:val="none" w:sz="0" w:space="0" w:color="auto"/>
            <w:left w:val="none" w:sz="0" w:space="0" w:color="auto"/>
            <w:bottom w:val="none" w:sz="0" w:space="0" w:color="auto"/>
            <w:right w:val="none" w:sz="0" w:space="0" w:color="auto"/>
          </w:divBdr>
        </w:div>
        <w:div w:id="1288657055">
          <w:marLeft w:val="0"/>
          <w:marRight w:val="0"/>
          <w:marTop w:val="0"/>
          <w:marBottom w:val="0"/>
          <w:divBdr>
            <w:top w:val="none" w:sz="0" w:space="0" w:color="auto"/>
            <w:left w:val="none" w:sz="0" w:space="0" w:color="auto"/>
            <w:bottom w:val="none" w:sz="0" w:space="0" w:color="auto"/>
            <w:right w:val="none" w:sz="0" w:space="0" w:color="auto"/>
          </w:divBdr>
        </w:div>
        <w:div w:id="1617373415">
          <w:marLeft w:val="0"/>
          <w:marRight w:val="0"/>
          <w:marTop w:val="0"/>
          <w:marBottom w:val="0"/>
          <w:divBdr>
            <w:top w:val="none" w:sz="0" w:space="0" w:color="auto"/>
            <w:left w:val="none" w:sz="0" w:space="0" w:color="auto"/>
            <w:bottom w:val="none" w:sz="0" w:space="0" w:color="auto"/>
            <w:right w:val="none" w:sz="0" w:space="0" w:color="auto"/>
          </w:divBdr>
        </w:div>
        <w:div w:id="1695884041">
          <w:marLeft w:val="0"/>
          <w:marRight w:val="0"/>
          <w:marTop w:val="0"/>
          <w:marBottom w:val="0"/>
          <w:divBdr>
            <w:top w:val="none" w:sz="0" w:space="0" w:color="auto"/>
            <w:left w:val="none" w:sz="0" w:space="0" w:color="auto"/>
            <w:bottom w:val="none" w:sz="0" w:space="0" w:color="auto"/>
            <w:right w:val="none" w:sz="0" w:space="0" w:color="auto"/>
          </w:divBdr>
        </w:div>
        <w:div w:id="1809083650">
          <w:marLeft w:val="0"/>
          <w:marRight w:val="0"/>
          <w:marTop w:val="0"/>
          <w:marBottom w:val="0"/>
          <w:divBdr>
            <w:top w:val="none" w:sz="0" w:space="0" w:color="auto"/>
            <w:left w:val="none" w:sz="0" w:space="0" w:color="auto"/>
            <w:bottom w:val="none" w:sz="0" w:space="0" w:color="auto"/>
            <w:right w:val="none" w:sz="0" w:space="0" w:color="auto"/>
          </w:divBdr>
        </w:div>
        <w:div w:id="1905605724">
          <w:marLeft w:val="0"/>
          <w:marRight w:val="0"/>
          <w:marTop w:val="0"/>
          <w:marBottom w:val="0"/>
          <w:divBdr>
            <w:top w:val="none" w:sz="0" w:space="0" w:color="auto"/>
            <w:left w:val="none" w:sz="0" w:space="0" w:color="auto"/>
            <w:bottom w:val="none" w:sz="0" w:space="0" w:color="auto"/>
            <w:right w:val="none" w:sz="0" w:space="0" w:color="auto"/>
          </w:divBdr>
        </w:div>
        <w:div w:id="1971549355">
          <w:marLeft w:val="0"/>
          <w:marRight w:val="0"/>
          <w:marTop w:val="0"/>
          <w:marBottom w:val="0"/>
          <w:divBdr>
            <w:top w:val="none" w:sz="0" w:space="0" w:color="auto"/>
            <w:left w:val="none" w:sz="0" w:space="0" w:color="auto"/>
            <w:bottom w:val="none" w:sz="0" w:space="0" w:color="auto"/>
            <w:right w:val="none" w:sz="0" w:space="0" w:color="auto"/>
          </w:divBdr>
        </w:div>
      </w:divsChild>
    </w:div>
    <w:div w:id="958072448">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4">
          <w:marLeft w:val="547"/>
          <w:marRight w:val="0"/>
          <w:marTop w:val="0"/>
          <w:marBottom w:val="0"/>
          <w:divBdr>
            <w:top w:val="none" w:sz="0" w:space="0" w:color="auto"/>
            <w:left w:val="none" w:sz="0" w:space="0" w:color="auto"/>
            <w:bottom w:val="none" w:sz="0" w:space="0" w:color="auto"/>
            <w:right w:val="none" w:sz="0" w:space="0" w:color="auto"/>
          </w:divBdr>
        </w:div>
      </w:divsChild>
    </w:div>
    <w:div w:id="980768306">
      <w:bodyDiv w:val="1"/>
      <w:marLeft w:val="0"/>
      <w:marRight w:val="0"/>
      <w:marTop w:val="0"/>
      <w:marBottom w:val="0"/>
      <w:divBdr>
        <w:top w:val="none" w:sz="0" w:space="0" w:color="auto"/>
        <w:left w:val="none" w:sz="0" w:space="0" w:color="auto"/>
        <w:bottom w:val="none" w:sz="0" w:space="0" w:color="auto"/>
        <w:right w:val="none" w:sz="0" w:space="0" w:color="auto"/>
      </w:divBdr>
      <w:divsChild>
        <w:div w:id="25299595">
          <w:marLeft w:val="0"/>
          <w:marRight w:val="0"/>
          <w:marTop w:val="0"/>
          <w:marBottom w:val="0"/>
          <w:divBdr>
            <w:top w:val="none" w:sz="0" w:space="0" w:color="auto"/>
            <w:left w:val="none" w:sz="0" w:space="0" w:color="auto"/>
            <w:bottom w:val="none" w:sz="0" w:space="0" w:color="auto"/>
            <w:right w:val="none" w:sz="0" w:space="0" w:color="auto"/>
          </w:divBdr>
        </w:div>
        <w:div w:id="248318544">
          <w:marLeft w:val="0"/>
          <w:marRight w:val="0"/>
          <w:marTop w:val="0"/>
          <w:marBottom w:val="0"/>
          <w:divBdr>
            <w:top w:val="none" w:sz="0" w:space="0" w:color="auto"/>
            <w:left w:val="none" w:sz="0" w:space="0" w:color="auto"/>
            <w:bottom w:val="none" w:sz="0" w:space="0" w:color="auto"/>
            <w:right w:val="none" w:sz="0" w:space="0" w:color="auto"/>
          </w:divBdr>
        </w:div>
        <w:div w:id="308555608">
          <w:marLeft w:val="0"/>
          <w:marRight w:val="0"/>
          <w:marTop w:val="0"/>
          <w:marBottom w:val="0"/>
          <w:divBdr>
            <w:top w:val="none" w:sz="0" w:space="0" w:color="auto"/>
            <w:left w:val="none" w:sz="0" w:space="0" w:color="auto"/>
            <w:bottom w:val="none" w:sz="0" w:space="0" w:color="auto"/>
            <w:right w:val="none" w:sz="0" w:space="0" w:color="auto"/>
          </w:divBdr>
        </w:div>
        <w:div w:id="429591570">
          <w:marLeft w:val="0"/>
          <w:marRight w:val="0"/>
          <w:marTop w:val="0"/>
          <w:marBottom w:val="0"/>
          <w:divBdr>
            <w:top w:val="none" w:sz="0" w:space="0" w:color="auto"/>
            <w:left w:val="none" w:sz="0" w:space="0" w:color="auto"/>
            <w:bottom w:val="none" w:sz="0" w:space="0" w:color="auto"/>
            <w:right w:val="none" w:sz="0" w:space="0" w:color="auto"/>
          </w:divBdr>
          <w:divsChild>
            <w:div w:id="902569233">
              <w:marLeft w:val="0"/>
              <w:marRight w:val="0"/>
              <w:marTop w:val="0"/>
              <w:marBottom w:val="0"/>
              <w:divBdr>
                <w:top w:val="none" w:sz="0" w:space="0" w:color="auto"/>
                <w:left w:val="none" w:sz="0" w:space="0" w:color="auto"/>
                <w:bottom w:val="none" w:sz="0" w:space="0" w:color="auto"/>
                <w:right w:val="none" w:sz="0" w:space="0" w:color="auto"/>
              </w:divBdr>
            </w:div>
          </w:divsChild>
        </w:div>
        <w:div w:id="561717536">
          <w:marLeft w:val="0"/>
          <w:marRight w:val="0"/>
          <w:marTop w:val="0"/>
          <w:marBottom w:val="0"/>
          <w:divBdr>
            <w:top w:val="none" w:sz="0" w:space="0" w:color="auto"/>
            <w:left w:val="none" w:sz="0" w:space="0" w:color="auto"/>
            <w:bottom w:val="none" w:sz="0" w:space="0" w:color="auto"/>
            <w:right w:val="none" w:sz="0" w:space="0" w:color="auto"/>
          </w:divBdr>
        </w:div>
        <w:div w:id="612830730">
          <w:marLeft w:val="0"/>
          <w:marRight w:val="0"/>
          <w:marTop w:val="0"/>
          <w:marBottom w:val="0"/>
          <w:divBdr>
            <w:top w:val="none" w:sz="0" w:space="0" w:color="auto"/>
            <w:left w:val="none" w:sz="0" w:space="0" w:color="auto"/>
            <w:bottom w:val="none" w:sz="0" w:space="0" w:color="auto"/>
            <w:right w:val="none" w:sz="0" w:space="0" w:color="auto"/>
          </w:divBdr>
        </w:div>
        <w:div w:id="624845305">
          <w:marLeft w:val="0"/>
          <w:marRight w:val="0"/>
          <w:marTop w:val="0"/>
          <w:marBottom w:val="0"/>
          <w:divBdr>
            <w:top w:val="none" w:sz="0" w:space="0" w:color="auto"/>
            <w:left w:val="none" w:sz="0" w:space="0" w:color="auto"/>
            <w:bottom w:val="none" w:sz="0" w:space="0" w:color="auto"/>
            <w:right w:val="none" w:sz="0" w:space="0" w:color="auto"/>
          </w:divBdr>
        </w:div>
        <w:div w:id="672032265">
          <w:marLeft w:val="0"/>
          <w:marRight w:val="0"/>
          <w:marTop w:val="0"/>
          <w:marBottom w:val="0"/>
          <w:divBdr>
            <w:top w:val="none" w:sz="0" w:space="0" w:color="auto"/>
            <w:left w:val="none" w:sz="0" w:space="0" w:color="auto"/>
            <w:bottom w:val="none" w:sz="0" w:space="0" w:color="auto"/>
            <w:right w:val="none" w:sz="0" w:space="0" w:color="auto"/>
          </w:divBdr>
        </w:div>
        <w:div w:id="918444180">
          <w:marLeft w:val="0"/>
          <w:marRight w:val="0"/>
          <w:marTop w:val="0"/>
          <w:marBottom w:val="0"/>
          <w:divBdr>
            <w:top w:val="none" w:sz="0" w:space="0" w:color="auto"/>
            <w:left w:val="none" w:sz="0" w:space="0" w:color="auto"/>
            <w:bottom w:val="none" w:sz="0" w:space="0" w:color="auto"/>
            <w:right w:val="none" w:sz="0" w:space="0" w:color="auto"/>
          </w:divBdr>
        </w:div>
        <w:div w:id="983659933">
          <w:marLeft w:val="0"/>
          <w:marRight w:val="0"/>
          <w:marTop w:val="0"/>
          <w:marBottom w:val="0"/>
          <w:divBdr>
            <w:top w:val="none" w:sz="0" w:space="0" w:color="auto"/>
            <w:left w:val="none" w:sz="0" w:space="0" w:color="auto"/>
            <w:bottom w:val="none" w:sz="0" w:space="0" w:color="auto"/>
            <w:right w:val="none" w:sz="0" w:space="0" w:color="auto"/>
          </w:divBdr>
        </w:div>
        <w:div w:id="1053119383">
          <w:marLeft w:val="0"/>
          <w:marRight w:val="0"/>
          <w:marTop w:val="0"/>
          <w:marBottom w:val="0"/>
          <w:divBdr>
            <w:top w:val="none" w:sz="0" w:space="0" w:color="auto"/>
            <w:left w:val="none" w:sz="0" w:space="0" w:color="auto"/>
            <w:bottom w:val="none" w:sz="0" w:space="0" w:color="auto"/>
            <w:right w:val="none" w:sz="0" w:space="0" w:color="auto"/>
          </w:divBdr>
        </w:div>
        <w:div w:id="1430467564">
          <w:marLeft w:val="0"/>
          <w:marRight w:val="0"/>
          <w:marTop w:val="0"/>
          <w:marBottom w:val="0"/>
          <w:divBdr>
            <w:top w:val="none" w:sz="0" w:space="0" w:color="auto"/>
            <w:left w:val="none" w:sz="0" w:space="0" w:color="auto"/>
            <w:bottom w:val="none" w:sz="0" w:space="0" w:color="auto"/>
            <w:right w:val="none" w:sz="0" w:space="0" w:color="auto"/>
          </w:divBdr>
        </w:div>
        <w:div w:id="1548223818">
          <w:marLeft w:val="0"/>
          <w:marRight w:val="0"/>
          <w:marTop w:val="0"/>
          <w:marBottom w:val="0"/>
          <w:divBdr>
            <w:top w:val="none" w:sz="0" w:space="0" w:color="auto"/>
            <w:left w:val="none" w:sz="0" w:space="0" w:color="auto"/>
            <w:bottom w:val="none" w:sz="0" w:space="0" w:color="auto"/>
            <w:right w:val="none" w:sz="0" w:space="0" w:color="auto"/>
          </w:divBdr>
        </w:div>
        <w:div w:id="1705211252">
          <w:marLeft w:val="0"/>
          <w:marRight w:val="0"/>
          <w:marTop w:val="0"/>
          <w:marBottom w:val="0"/>
          <w:divBdr>
            <w:top w:val="none" w:sz="0" w:space="0" w:color="auto"/>
            <w:left w:val="none" w:sz="0" w:space="0" w:color="auto"/>
            <w:bottom w:val="none" w:sz="0" w:space="0" w:color="auto"/>
            <w:right w:val="none" w:sz="0" w:space="0" w:color="auto"/>
          </w:divBdr>
        </w:div>
        <w:div w:id="1812097236">
          <w:marLeft w:val="0"/>
          <w:marRight w:val="0"/>
          <w:marTop w:val="0"/>
          <w:marBottom w:val="0"/>
          <w:divBdr>
            <w:top w:val="none" w:sz="0" w:space="0" w:color="auto"/>
            <w:left w:val="none" w:sz="0" w:space="0" w:color="auto"/>
            <w:bottom w:val="none" w:sz="0" w:space="0" w:color="auto"/>
            <w:right w:val="none" w:sz="0" w:space="0" w:color="auto"/>
          </w:divBdr>
        </w:div>
        <w:div w:id="1909728651">
          <w:marLeft w:val="0"/>
          <w:marRight w:val="0"/>
          <w:marTop w:val="0"/>
          <w:marBottom w:val="0"/>
          <w:divBdr>
            <w:top w:val="none" w:sz="0" w:space="0" w:color="auto"/>
            <w:left w:val="none" w:sz="0" w:space="0" w:color="auto"/>
            <w:bottom w:val="none" w:sz="0" w:space="0" w:color="auto"/>
            <w:right w:val="none" w:sz="0" w:space="0" w:color="auto"/>
          </w:divBdr>
        </w:div>
        <w:div w:id="1994212311">
          <w:marLeft w:val="0"/>
          <w:marRight w:val="0"/>
          <w:marTop w:val="0"/>
          <w:marBottom w:val="0"/>
          <w:divBdr>
            <w:top w:val="none" w:sz="0" w:space="0" w:color="auto"/>
            <w:left w:val="none" w:sz="0" w:space="0" w:color="auto"/>
            <w:bottom w:val="none" w:sz="0" w:space="0" w:color="auto"/>
            <w:right w:val="none" w:sz="0" w:space="0" w:color="auto"/>
          </w:divBdr>
        </w:div>
        <w:div w:id="2048482917">
          <w:marLeft w:val="0"/>
          <w:marRight w:val="0"/>
          <w:marTop w:val="0"/>
          <w:marBottom w:val="0"/>
          <w:divBdr>
            <w:top w:val="none" w:sz="0" w:space="0" w:color="auto"/>
            <w:left w:val="none" w:sz="0" w:space="0" w:color="auto"/>
            <w:bottom w:val="none" w:sz="0" w:space="0" w:color="auto"/>
            <w:right w:val="none" w:sz="0" w:space="0" w:color="auto"/>
          </w:divBdr>
        </w:div>
        <w:div w:id="2055109355">
          <w:marLeft w:val="0"/>
          <w:marRight w:val="0"/>
          <w:marTop w:val="0"/>
          <w:marBottom w:val="0"/>
          <w:divBdr>
            <w:top w:val="none" w:sz="0" w:space="0" w:color="auto"/>
            <w:left w:val="none" w:sz="0" w:space="0" w:color="auto"/>
            <w:bottom w:val="none" w:sz="0" w:space="0" w:color="auto"/>
            <w:right w:val="none" w:sz="0" w:space="0" w:color="auto"/>
          </w:divBdr>
        </w:div>
      </w:divsChild>
    </w:div>
    <w:div w:id="1071583323">
      <w:bodyDiv w:val="1"/>
      <w:marLeft w:val="0"/>
      <w:marRight w:val="0"/>
      <w:marTop w:val="0"/>
      <w:marBottom w:val="0"/>
      <w:divBdr>
        <w:top w:val="none" w:sz="0" w:space="0" w:color="auto"/>
        <w:left w:val="none" w:sz="0" w:space="0" w:color="auto"/>
        <w:bottom w:val="none" w:sz="0" w:space="0" w:color="auto"/>
        <w:right w:val="none" w:sz="0" w:space="0" w:color="auto"/>
      </w:divBdr>
    </w:div>
    <w:div w:id="1073550254">
      <w:bodyDiv w:val="1"/>
      <w:marLeft w:val="0"/>
      <w:marRight w:val="0"/>
      <w:marTop w:val="0"/>
      <w:marBottom w:val="0"/>
      <w:divBdr>
        <w:top w:val="none" w:sz="0" w:space="0" w:color="auto"/>
        <w:left w:val="none" w:sz="0" w:space="0" w:color="auto"/>
        <w:bottom w:val="none" w:sz="0" w:space="0" w:color="auto"/>
        <w:right w:val="none" w:sz="0" w:space="0" w:color="auto"/>
      </w:divBdr>
    </w:div>
    <w:div w:id="1074351057">
      <w:bodyDiv w:val="1"/>
      <w:marLeft w:val="0"/>
      <w:marRight w:val="0"/>
      <w:marTop w:val="0"/>
      <w:marBottom w:val="0"/>
      <w:divBdr>
        <w:top w:val="none" w:sz="0" w:space="0" w:color="auto"/>
        <w:left w:val="none" w:sz="0" w:space="0" w:color="auto"/>
        <w:bottom w:val="none" w:sz="0" w:space="0" w:color="auto"/>
        <w:right w:val="none" w:sz="0" w:space="0" w:color="auto"/>
      </w:divBdr>
    </w:div>
    <w:div w:id="1102650180">
      <w:bodyDiv w:val="1"/>
      <w:marLeft w:val="0"/>
      <w:marRight w:val="0"/>
      <w:marTop w:val="0"/>
      <w:marBottom w:val="0"/>
      <w:divBdr>
        <w:top w:val="none" w:sz="0" w:space="0" w:color="auto"/>
        <w:left w:val="none" w:sz="0" w:space="0" w:color="auto"/>
        <w:bottom w:val="none" w:sz="0" w:space="0" w:color="auto"/>
        <w:right w:val="none" w:sz="0" w:space="0" w:color="auto"/>
      </w:divBdr>
    </w:div>
    <w:div w:id="1103109366">
      <w:bodyDiv w:val="1"/>
      <w:marLeft w:val="0"/>
      <w:marRight w:val="0"/>
      <w:marTop w:val="0"/>
      <w:marBottom w:val="0"/>
      <w:divBdr>
        <w:top w:val="none" w:sz="0" w:space="0" w:color="auto"/>
        <w:left w:val="none" w:sz="0" w:space="0" w:color="auto"/>
        <w:bottom w:val="none" w:sz="0" w:space="0" w:color="auto"/>
        <w:right w:val="none" w:sz="0" w:space="0" w:color="auto"/>
      </w:divBdr>
    </w:div>
    <w:div w:id="1216746018">
      <w:bodyDiv w:val="1"/>
      <w:marLeft w:val="0"/>
      <w:marRight w:val="0"/>
      <w:marTop w:val="0"/>
      <w:marBottom w:val="0"/>
      <w:divBdr>
        <w:top w:val="none" w:sz="0" w:space="0" w:color="auto"/>
        <w:left w:val="none" w:sz="0" w:space="0" w:color="auto"/>
        <w:bottom w:val="none" w:sz="0" w:space="0" w:color="auto"/>
        <w:right w:val="none" w:sz="0" w:space="0" w:color="auto"/>
      </w:divBdr>
      <w:divsChild>
        <w:div w:id="525217808">
          <w:marLeft w:val="0"/>
          <w:marRight w:val="0"/>
          <w:marTop w:val="0"/>
          <w:marBottom w:val="0"/>
          <w:divBdr>
            <w:top w:val="none" w:sz="0" w:space="0" w:color="auto"/>
            <w:left w:val="none" w:sz="0" w:space="0" w:color="auto"/>
            <w:bottom w:val="none" w:sz="0" w:space="0" w:color="auto"/>
            <w:right w:val="none" w:sz="0" w:space="0" w:color="auto"/>
          </w:divBdr>
        </w:div>
        <w:div w:id="703485800">
          <w:marLeft w:val="0"/>
          <w:marRight w:val="0"/>
          <w:marTop w:val="0"/>
          <w:marBottom w:val="0"/>
          <w:divBdr>
            <w:top w:val="none" w:sz="0" w:space="0" w:color="auto"/>
            <w:left w:val="none" w:sz="0" w:space="0" w:color="auto"/>
            <w:bottom w:val="none" w:sz="0" w:space="0" w:color="auto"/>
            <w:right w:val="none" w:sz="0" w:space="0" w:color="auto"/>
          </w:divBdr>
          <w:divsChild>
            <w:div w:id="1526166521">
              <w:marLeft w:val="0"/>
              <w:marRight w:val="0"/>
              <w:marTop w:val="0"/>
              <w:marBottom w:val="0"/>
              <w:divBdr>
                <w:top w:val="none" w:sz="0" w:space="0" w:color="auto"/>
                <w:left w:val="none" w:sz="0" w:space="0" w:color="auto"/>
                <w:bottom w:val="none" w:sz="0" w:space="0" w:color="auto"/>
                <w:right w:val="none" w:sz="0" w:space="0" w:color="auto"/>
              </w:divBdr>
            </w:div>
            <w:div w:id="982076716">
              <w:marLeft w:val="0"/>
              <w:marRight w:val="0"/>
              <w:marTop w:val="0"/>
              <w:marBottom w:val="0"/>
              <w:divBdr>
                <w:top w:val="none" w:sz="0" w:space="0" w:color="auto"/>
                <w:left w:val="none" w:sz="0" w:space="0" w:color="auto"/>
                <w:bottom w:val="none" w:sz="0" w:space="0" w:color="auto"/>
                <w:right w:val="none" w:sz="0" w:space="0" w:color="auto"/>
              </w:divBdr>
            </w:div>
            <w:div w:id="2025206378">
              <w:marLeft w:val="0"/>
              <w:marRight w:val="0"/>
              <w:marTop w:val="0"/>
              <w:marBottom w:val="0"/>
              <w:divBdr>
                <w:top w:val="none" w:sz="0" w:space="0" w:color="auto"/>
                <w:left w:val="none" w:sz="0" w:space="0" w:color="auto"/>
                <w:bottom w:val="none" w:sz="0" w:space="0" w:color="auto"/>
                <w:right w:val="none" w:sz="0" w:space="0" w:color="auto"/>
              </w:divBdr>
              <w:divsChild>
                <w:div w:id="1123040084">
                  <w:marLeft w:val="0"/>
                  <w:marRight w:val="0"/>
                  <w:marTop w:val="0"/>
                  <w:marBottom w:val="0"/>
                  <w:divBdr>
                    <w:top w:val="none" w:sz="0" w:space="0" w:color="auto"/>
                    <w:left w:val="none" w:sz="0" w:space="0" w:color="auto"/>
                    <w:bottom w:val="none" w:sz="0" w:space="0" w:color="auto"/>
                    <w:right w:val="none" w:sz="0" w:space="0" w:color="auto"/>
                  </w:divBdr>
                </w:div>
                <w:div w:id="616331802">
                  <w:marLeft w:val="0"/>
                  <w:marRight w:val="0"/>
                  <w:marTop w:val="0"/>
                  <w:marBottom w:val="0"/>
                  <w:divBdr>
                    <w:top w:val="none" w:sz="0" w:space="0" w:color="auto"/>
                    <w:left w:val="none" w:sz="0" w:space="0" w:color="auto"/>
                    <w:bottom w:val="none" w:sz="0" w:space="0" w:color="auto"/>
                    <w:right w:val="none" w:sz="0" w:space="0" w:color="auto"/>
                  </w:divBdr>
                </w:div>
                <w:div w:id="1684699562">
                  <w:marLeft w:val="0"/>
                  <w:marRight w:val="0"/>
                  <w:marTop w:val="0"/>
                  <w:marBottom w:val="0"/>
                  <w:divBdr>
                    <w:top w:val="none" w:sz="0" w:space="0" w:color="auto"/>
                    <w:left w:val="none" w:sz="0" w:space="0" w:color="auto"/>
                    <w:bottom w:val="none" w:sz="0" w:space="0" w:color="auto"/>
                    <w:right w:val="none" w:sz="0" w:space="0" w:color="auto"/>
                  </w:divBdr>
                </w:div>
                <w:div w:id="353462116">
                  <w:marLeft w:val="0"/>
                  <w:marRight w:val="0"/>
                  <w:marTop w:val="0"/>
                  <w:marBottom w:val="0"/>
                  <w:divBdr>
                    <w:top w:val="none" w:sz="0" w:space="0" w:color="auto"/>
                    <w:left w:val="none" w:sz="0" w:space="0" w:color="auto"/>
                    <w:bottom w:val="none" w:sz="0" w:space="0" w:color="auto"/>
                    <w:right w:val="none" w:sz="0" w:space="0" w:color="auto"/>
                  </w:divBdr>
                </w:div>
                <w:div w:id="51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8074">
      <w:bodyDiv w:val="1"/>
      <w:marLeft w:val="0"/>
      <w:marRight w:val="0"/>
      <w:marTop w:val="0"/>
      <w:marBottom w:val="0"/>
      <w:divBdr>
        <w:top w:val="none" w:sz="0" w:space="0" w:color="auto"/>
        <w:left w:val="none" w:sz="0" w:space="0" w:color="auto"/>
        <w:bottom w:val="none" w:sz="0" w:space="0" w:color="auto"/>
        <w:right w:val="none" w:sz="0" w:space="0" w:color="auto"/>
      </w:divBdr>
    </w:div>
    <w:div w:id="1384213973">
      <w:bodyDiv w:val="1"/>
      <w:marLeft w:val="0"/>
      <w:marRight w:val="0"/>
      <w:marTop w:val="0"/>
      <w:marBottom w:val="0"/>
      <w:divBdr>
        <w:top w:val="none" w:sz="0" w:space="0" w:color="auto"/>
        <w:left w:val="none" w:sz="0" w:space="0" w:color="auto"/>
        <w:bottom w:val="none" w:sz="0" w:space="0" w:color="auto"/>
        <w:right w:val="none" w:sz="0" w:space="0" w:color="auto"/>
      </w:divBdr>
    </w:div>
    <w:div w:id="1462334912">
      <w:bodyDiv w:val="1"/>
      <w:marLeft w:val="0"/>
      <w:marRight w:val="0"/>
      <w:marTop w:val="0"/>
      <w:marBottom w:val="0"/>
      <w:divBdr>
        <w:top w:val="none" w:sz="0" w:space="0" w:color="auto"/>
        <w:left w:val="none" w:sz="0" w:space="0" w:color="auto"/>
        <w:bottom w:val="none" w:sz="0" w:space="0" w:color="auto"/>
        <w:right w:val="none" w:sz="0" w:space="0" w:color="auto"/>
      </w:divBdr>
    </w:div>
    <w:div w:id="1518157548">
      <w:bodyDiv w:val="1"/>
      <w:marLeft w:val="0"/>
      <w:marRight w:val="0"/>
      <w:marTop w:val="0"/>
      <w:marBottom w:val="0"/>
      <w:divBdr>
        <w:top w:val="none" w:sz="0" w:space="0" w:color="auto"/>
        <w:left w:val="none" w:sz="0" w:space="0" w:color="auto"/>
        <w:bottom w:val="none" w:sz="0" w:space="0" w:color="auto"/>
        <w:right w:val="none" w:sz="0" w:space="0" w:color="auto"/>
      </w:divBdr>
      <w:divsChild>
        <w:div w:id="119300290">
          <w:marLeft w:val="0"/>
          <w:marRight w:val="0"/>
          <w:marTop w:val="0"/>
          <w:marBottom w:val="0"/>
          <w:divBdr>
            <w:top w:val="none" w:sz="0" w:space="0" w:color="auto"/>
            <w:left w:val="none" w:sz="0" w:space="0" w:color="auto"/>
            <w:bottom w:val="none" w:sz="0" w:space="0" w:color="auto"/>
            <w:right w:val="none" w:sz="0" w:space="0" w:color="auto"/>
          </w:divBdr>
        </w:div>
        <w:div w:id="133526049">
          <w:marLeft w:val="0"/>
          <w:marRight w:val="0"/>
          <w:marTop w:val="0"/>
          <w:marBottom w:val="0"/>
          <w:divBdr>
            <w:top w:val="none" w:sz="0" w:space="0" w:color="auto"/>
            <w:left w:val="none" w:sz="0" w:space="0" w:color="auto"/>
            <w:bottom w:val="none" w:sz="0" w:space="0" w:color="auto"/>
            <w:right w:val="none" w:sz="0" w:space="0" w:color="auto"/>
          </w:divBdr>
        </w:div>
        <w:div w:id="143470409">
          <w:marLeft w:val="0"/>
          <w:marRight w:val="0"/>
          <w:marTop w:val="0"/>
          <w:marBottom w:val="0"/>
          <w:divBdr>
            <w:top w:val="none" w:sz="0" w:space="0" w:color="auto"/>
            <w:left w:val="none" w:sz="0" w:space="0" w:color="auto"/>
            <w:bottom w:val="none" w:sz="0" w:space="0" w:color="auto"/>
            <w:right w:val="none" w:sz="0" w:space="0" w:color="auto"/>
          </w:divBdr>
        </w:div>
        <w:div w:id="197280176">
          <w:marLeft w:val="0"/>
          <w:marRight w:val="0"/>
          <w:marTop w:val="0"/>
          <w:marBottom w:val="0"/>
          <w:divBdr>
            <w:top w:val="none" w:sz="0" w:space="0" w:color="auto"/>
            <w:left w:val="none" w:sz="0" w:space="0" w:color="auto"/>
            <w:bottom w:val="none" w:sz="0" w:space="0" w:color="auto"/>
            <w:right w:val="none" w:sz="0" w:space="0" w:color="auto"/>
          </w:divBdr>
        </w:div>
        <w:div w:id="220747598">
          <w:marLeft w:val="0"/>
          <w:marRight w:val="0"/>
          <w:marTop w:val="0"/>
          <w:marBottom w:val="0"/>
          <w:divBdr>
            <w:top w:val="none" w:sz="0" w:space="0" w:color="auto"/>
            <w:left w:val="none" w:sz="0" w:space="0" w:color="auto"/>
            <w:bottom w:val="none" w:sz="0" w:space="0" w:color="auto"/>
            <w:right w:val="none" w:sz="0" w:space="0" w:color="auto"/>
          </w:divBdr>
        </w:div>
        <w:div w:id="718214169">
          <w:marLeft w:val="0"/>
          <w:marRight w:val="0"/>
          <w:marTop w:val="0"/>
          <w:marBottom w:val="0"/>
          <w:divBdr>
            <w:top w:val="none" w:sz="0" w:space="0" w:color="auto"/>
            <w:left w:val="none" w:sz="0" w:space="0" w:color="auto"/>
            <w:bottom w:val="none" w:sz="0" w:space="0" w:color="auto"/>
            <w:right w:val="none" w:sz="0" w:space="0" w:color="auto"/>
          </w:divBdr>
        </w:div>
        <w:div w:id="1282809331">
          <w:marLeft w:val="0"/>
          <w:marRight w:val="0"/>
          <w:marTop w:val="0"/>
          <w:marBottom w:val="0"/>
          <w:divBdr>
            <w:top w:val="none" w:sz="0" w:space="0" w:color="auto"/>
            <w:left w:val="none" w:sz="0" w:space="0" w:color="auto"/>
            <w:bottom w:val="none" w:sz="0" w:space="0" w:color="auto"/>
            <w:right w:val="none" w:sz="0" w:space="0" w:color="auto"/>
          </w:divBdr>
        </w:div>
      </w:divsChild>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51188434">
      <w:bodyDiv w:val="1"/>
      <w:marLeft w:val="0"/>
      <w:marRight w:val="0"/>
      <w:marTop w:val="0"/>
      <w:marBottom w:val="0"/>
      <w:divBdr>
        <w:top w:val="none" w:sz="0" w:space="0" w:color="auto"/>
        <w:left w:val="none" w:sz="0" w:space="0" w:color="auto"/>
        <w:bottom w:val="none" w:sz="0" w:space="0" w:color="auto"/>
        <w:right w:val="none" w:sz="0" w:space="0" w:color="auto"/>
      </w:divBdr>
    </w:div>
    <w:div w:id="1653632081">
      <w:bodyDiv w:val="1"/>
      <w:marLeft w:val="0"/>
      <w:marRight w:val="0"/>
      <w:marTop w:val="0"/>
      <w:marBottom w:val="0"/>
      <w:divBdr>
        <w:top w:val="none" w:sz="0" w:space="0" w:color="auto"/>
        <w:left w:val="none" w:sz="0" w:space="0" w:color="auto"/>
        <w:bottom w:val="none" w:sz="0" w:space="0" w:color="auto"/>
        <w:right w:val="none" w:sz="0" w:space="0" w:color="auto"/>
      </w:divBdr>
      <w:divsChild>
        <w:div w:id="815145649">
          <w:marLeft w:val="0"/>
          <w:marRight w:val="0"/>
          <w:marTop w:val="0"/>
          <w:marBottom w:val="0"/>
          <w:divBdr>
            <w:top w:val="none" w:sz="0" w:space="0" w:color="auto"/>
            <w:left w:val="none" w:sz="0" w:space="0" w:color="auto"/>
            <w:bottom w:val="none" w:sz="0" w:space="0" w:color="auto"/>
            <w:right w:val="none" w:sz="0" w:space="0" w:color="auto"/>
          </w:divBdr>
        </w:div>
        <w:div w:id="1614090500">
          <w:marLeft w:val="0"/>
          <w:marRight w:val="0"/>
          <w:marTop w:val="0"/>
          <w:marBottom w:val="0"/>
          <w:divBdr>
            <w:top w:val="none" w:sz="0" w:space="0" w:color="auto"/>
            <w:left w:val="none" w:sz="0" w:space="0" w:color="auto"/>
            <w:bottom w:val="none" w:sz="0" w:space="0" w:color="auto"/>
            <w:right w:val="none" w:sz="0" w:space="0" w:color="auto"/>
          </w:divBdr>
        </w:div>
      </w:divsChild>
    </w:div>
    <w:div w:id="1751926461">
      <w:bodyDiv w:val="1"/>
      <w:marLeft w:val="0"/>
      <w:marRight w:val="0"/>
      <w:marTop w:val="0"/>
      <w:marBottom w:val="0"/>
      <w:divBdr>
        <w:top w:val="none" w:sz="0" w:space="0" w:color="auto"/>
        <w:left w:val="none" w:sz="0" w:space="0" w:color="auto"/>
        <w:bottom w:val="none" w:sz="0" w:space="0" w:color="auto"/>
        <w:right w:val="none" w:sz="0" w:space="0" w:color="auto"/>
      </w:divBdr>
      <w:divsChild>
        <w:div w:id="530192466">
          <w:marLeft w:val="0"/>
          <w:marRight w:val="0"/>
          <w:marTop w:val="0"/>
          <w:marBottom w:val="0"/>
          <w:divBdr>
            <w:top w:val="none" w:sz="0" w:space="0" w:color="auto"/>
            <w:left w:val="none" w:sz="0" w:space="0" w:color="auto"/>
            <w:bottom w:val="none" w:sz="0" w:space="0" w:color="auto"/>
            <w:right w:val="none" w:sz="0" w:space="0" w:color="auto"/>
          </w:divBdr>
        </w:div>
        <w:div w:id="604117626">
          <w:marLeft w:val="0"/>
          <w:marRight w:val="0"/>
          <w:marTop w:val="0"/>
          <w:marBottom w:val="0"/>
          <w:divBdr>
            <w:top w:val="none" w:sz="0" w:space="0" w:color="auto"/>
            <w:left w:val="none" w:sz="0" w:space="0" w:color="auto"/>
            <w:bottom w:val="none" w:sz="0" w:space="0" w:color="auto"/>
            <w:right w:val="none" w:sz="0" w:space="0" w:color="auto"/>
          </w:divBdr>
        </w:div>
        <w:div w:id="808328230">
          <w:marLeft w:val="0"/>
          <w:marRight w:val="0"/>
          <w:marTop w:val="0"/>
          <w:marBottom w:val="0"/>
          <w:divBdr>
            <w:top w:val="none" w:sz="0" w:space="0" w:color="auto"/>
            <w:left w:val="none" w:sz="0" w:space="0" w:color="auto"/>
            <w:bottom w:val="none" w:sz="0" w:space="0" w:color="auto"/>
            <w:right w:val="none" w:sz="0" w:space="0" w:color="auto"/>
          </w:divBdr>
        </w:div>
        <w:div w:id="1371300245">
          <w:marLeft w:val="0"/>
          <w:marRight w:val="0"/>
          <w:marTop w:val="0"/>
          <w:marBottom w:val="0"/>
          <w:divBdr>
            <w:top w:val="none" w:sz="0" w:space="0" w:color="auto"/>
            <w:left w:val="none" w:sz="0" w:space="0" w:color="auto"/>
            <w:bottom w:val="none" w:sz="0" w:space="0" w:color="auto"/>
            <w:right w:val="none" w:sz="0" w:space="0" w:color="auto"/>
          </w:divBdr>
        </w:div>
      </w:divsChild>
    </w:div>
    <w:div w:id="1869441566">
      <w:bodyDiv w:val="1"/>
      <w:marLeft w:val="0"/>
      <w:marRight w:val="0"/>
      <w:marTop w:val="0"/>
      <w:marBottom w:val="0"/>
      <w:divBdr>
        <w:top w:val="none" w:sz="0" w:space="0" w:color="auto"/>
        <w:left w:val="none" w:sz="0" w:space="0" w:color="auto"/>
        <w:bottom w:val="none" w:sz="0" w:space="0" w:color="auto"/>
        <w:right w:val="none" w:sz="0" w:space="0" w:color="auto"/>
      </w:divBdr>
    </w:div>
    <w:div w:id="1881697830">
      <w:bodyDiv w:val="1"/>
      <w:marLeft w:val="0"/>
      <w:marRight w:val="0"/>
      <w:marTop w:val="0"/>
      <w:marBottom w:val="0"/>
      <w:divBdr>
        <w:top w:val="none" w:sz="0" w:space="0" w:color="auto"/>
        <w:left w:val="none" w:sz="0" w:space="0" w:color="auto"/>
        <w:bottom w:val="none" w:sz="0" w:space="0" w:color="auto"/>
        <w:right w:val="none" w:sz="0" w:space="0" w:color="auto"/>
      </w:divBdr>
    </w:div>
    <w:div w:id="1882130566">
      <w:bodyDiv w:val="1"/>
      <w:marLeft w:val="0"/>
      <w:marRight w:val="0"/>
      <w:marTop w:val="0"/>
      <w:marBottom w:val="0"/>
      <w:divBdr>
        <w:top w:val="none" w:sz="0" w:space="0" w:color="auto"/>
        <w:left w:val="none" w:sz="0" w:space="0" w:color="auto"/>
        <w:bottom w:val="none" w:sz="0" w:space="0" w:color="auto"/>
        <w:right w:val="none" w:sz="0" w:space="0" w:color="auto"/>
      </w:divBdr>
      <w:divsChild>
        <w:div w:id="76951725">
          <w:marLeft w:val="0"/>
          <w:marRight w:val="0"/>
          <w:marTop w:val="0"/>
          <w:marBottom w:val="0"/>
          <w:divBdr>
            <w:top w:val="none" w:sz="0" w:space="0" w:color="auto"/>
            <w:left w:val="none" w:sz="0" w:space="0" w:color="auto"/>
            <w:bottom w:val="none" w:sz="0" w:space="0" w:color="auto"/>
            <w:right w:val="none" w:sz="0" w:space="0" w:color="auto"/>
          </w:divBdr>
        </w:div>
        <w:div w:id="240456453">
          <w:marLeft w:val="0"/>
          <w:marRight w:val="0"/>
          <w:marTop w:val="0"/>
          <w:marBottom w:val="0"/>
          <w:divBdr>
            <w:top w:val="none" w:sz="0" w:space="0" w:color="auto"/>
            <w:left w:val="none" w:sz="0" w:space="0" w:color="auto"/>
            <w:bottom w:val="none" w:sz="0" w:space="0" w:color="auto"/>
            <w:right w:val="none" w:sz="0" w:space="0" w:color="auto"/>
          </w:divBdr>
        </w:div>
        <w:div w:id="1025599919">
          <w:marLeft w:val="0"/>
          <w:marRight w:val="0"/>
          <w:marTop w:val="0"/>
          <w:marBottom w:val="0"/>
          <w:divBdr>
            <w:top w:val="none" w:sz="0" w:space="0" w:color="auto"/>
            <w:left w:val="none" w:sz="0" w:space="0" w:color="auto"/>
            <w:bottom w:val="none" w:sz="0" w:space="0" w:color="auto"/>
            <w:right w:val="none" w:sz="0" w:space="0" w:color="auto"/>
          </w:divBdr>
        </w:div>
        <w:div w:id="1148785742">
          <w:marLeft w:val="0"/>
          <w:marRight w:val="0"/>
          <w:marTop w:val="0"/>
          <w:marBottom w:val="0"/>
          <w:divBdr>
            <w:top w:val="none" w:sz="0" w:space="0" w:color="auto"/>
            <w:left w:val="none" w:sz="0" w:space="0" w:color="auto"/>
            <w:bottom w:val="none" w:sz="0" w:space="0" w:color="auto"/>
            <w:right w:val="none" w:sz="0" w:space="0" w:color="auto"/>
          </w:divBdr>
        </w:div>
        <w:div w:id="1865632476">
          <w:marLeft w:val="0"/>
          <w:marRight w:val="0"/>
          <w:marTop w:val="0"/>
          <w:marBottom w:val="0"/>
          <w:divBdr>
            <w:top w:val="none" w:sz="0" w:space="0" w:color="auto"/>
            <w:left w:val="none" w:sz="0" w:space="0" w:color="auto"/>
            <w:bottom w:val="none" w:sz="0" w:space="0" w:color="auto"/>
            <w:right w:val="none" w:sz="0" w:space="0" w:color="auto"/>
          </w:divBdr>
        </w:div>
      </w:divsChild>
    </w:div>
    <w:div w:id="1916696059">
      <w:bodyDiv w:val="1"/>
      <w:marLeft w:val="0"/>
      <w:marRight w:val="0"/>
      <w:marTop w:val="0"/>
      <w:marBottom w:val="0"/>
      <w:divBdr>
        <w:top w:val="none" w:sz="0" w:space="0" w:color="auto"/>
        <w:left w:val="none" w:sz="0" w:space="0" w:color="auto"/>
        <w:bottom w:val="none" w:sz="0" w:space="0" w:color="auto"/>
        <w:right w:val="none" w:sz="0" w:space="0" w:color="auto"/>
      </w:divBdr>
    </w:div>
    <w:div w:id="212090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ccrm.md/activitatea-curtii-de-conturi-1-25"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chart" Target="charts/chart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hyperlink" Target="mailto:ccrm@ccrm.md" TargetMode="External"/><Relationship Id="rId19" Type="http://schemas.openxmlformats.org/officeDocument/2006/relationships/diagramColors" Target="diagrams/colors2.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chart" Target="charts/chart2.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tx>
            <c:strRef>
              <c:f>Sheet1!$B$1</c:f>
              <c:strCache>
                <c:ptCount val="1"/>
                <c:pt idx="0">
                  <c:v>Sales</c:v>
                </c:pt>
              </c:strCache>
            </c:strRef>
          </c:tx>
          <c:dPt>
            <c:idx val="0"/>
            <c:bubble3D val="0"/>
            <c:explosion val="2"/>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18-43A3-BF01-3FC4B44E6F7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18-43A3-BF01-3FC4B44E6F7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618-43A3-BF01-3FC4B44E6F7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618-43A3-BF01-3FC4B44E6F7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618-43A3-BF01-3FC4B44E6F7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618-43A3-BF01-3FC4B44E6F7E}"/>
              </c:ext>
            </c:extLst>
          </c:dPt>
          <c:dLbls>
            <c:dLbl>
              <c:idx val="5"/>
              <c:layout>
                <c:manualLayout>
                  <c:x val="-0.11574223374676608"/>
                  <c:y val="-9.043927648578811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618-43A3-BF01-3FC4B44E6F7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2">
                    <a:avLst/>
                  </a:prstGeom>
                  <a:pattFill prst="pct75">
                    <a:fgClr>
                      <a:schemeClr val="dk1">
                        <a:lumMod val="75000"/>
                        <a:lumOff val="25000"/>
                      </a:schemeClr>
                    </a:fgClr>
                    <a:bgClr>
                      <a:schemeClr val="dk1">
                        <a:lumMod val="65000"/>
                        <a:lumOff val="35000"/>
                      </a:schemeClr>
                    </a:bgClr>
                  </a:pattFill>
                  <a:ln>
                    <a:noFill/>
                  </a:ln>
                </c15:spPr>
              </c:ext>
            </c:extLst>
          </c:dLbls>
          <c:cat>
            <c:strRef>
              <c:f>Sheet1!$A$2:$A$6</c:f>
              <c:strCache>
                <c:ptCount val="5"/>
                <c:pt idx="0">
                  <c:v>CONTRIBUŢII DE ASIGURĂRI SOCIALE DE STAT OBLIGATORII (14 295.4 mil.lei)</c:v>
                </c:pt>
                <c:pt idx="1">
                  <c:v>TRANSFERURI PRIMITE ÎN CADRUL BUGETULUI PUBLIC NAŢIONAL (9 769.4 mil.lei)</c:v>
                </c:pt>
                <c:pt idx="2">
                  <c:v>ALTE VENITURI ŞI VENITURI NEIDENTIFICATE (214.5 mil.lei)</c:v>
                </c:pt>
                <c:pt idx="3">
                  <c:v>VENITURI DIN PROPRIETATE (3.3 mil.lei)</c:v>
                </c:pt>
                <c:pt idx="4">
                  <c:v>AMENZI ŞI SANCŢIUNI (2.9 mil.lei)</c:v>
                </c:pt>
              </c:strCache>
            </c:strRef>
          </c:cat>
          <c:val>
            <c:numRef>
              <c:f>Sheet1!$B$2:$B$6</c:f>
              <c:numCache>
                <c:formatCode>#,##0.0</c:formatCode>
                <c:ptCount val="5"/>
                <c:pt idx="0">
                  <c:v>14295.4</c:v>
                </c:pt>
                <c:pt idx="1">
                  <c:v>9769.4</c:v>
                </c:pt>
                <c:pt idx="2">
                  <c:v>214.5</c:v>
                </c:pt>
                <c:pt idx="3" formatCode="General">
                  <c:v>3.3</c:v>
                </c:pt>
                <c:pt idx="4" formatCode="General">
                  <c:v>2.9</c:v>
                </c:pt>
              </c:numCache>
            </c:numRef>
          </c:val>
          <c:extLst>
            <c:ext xmlns:c16="http://schemas.microsoft.com/office/drawing/2014/chart" uri="{C3380CC4-5D6E-409C-BE32-E72D297353CC}">
              <c16:uniqueId val="{0000000C-7618-43A3-BF01-3FC4B44E6F7E}"/>
            </c:ext>
          </c:extLst>
        </c:ser>
        <c:dLbls>
          <c:dLblPos val="ctr"/>
          <c:showLegendKey val="0"/>
          <c:showVal val="1"/>
          <c:showCatName val="0"/>
          <c:showSerName val="0"/>
          <c:showPercent val="0"/>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8609674037474972E-2"/>
          <c:y val="2.2193008088482256E-2"/>
          <c:w val="0.89760657254471965"/>
          <c:h val="0.68521304787354276"/>
        </c:manualLayout>
      </c:layout>
      <c:bar3DChart>
        <c:barDir val="col"/>
        <c:grouping val="clustered"/>
        <c:varyColors val="0"/>
        <c:ser>
          <c:idx val="0"/>
          <c:order val="0"/>
          <c:tx>
            <c:strRef>
              <c:f>Лист1!$B$1</c:f>
              <c:strCache>
                <c:ptCount val="1"/>
                <c:pt idx="0">
                  <c:v>Veniturile proprii BASS</c:v>
                </c:pt>
              </c:strCache>
            </c:strRef>
          </c:tx>
          <c:spPr>
            <a:solidFill>
              <a:srgbClr val="00B050"/>
            </a:solidFill>
          </c:spPr>
          <c:invertIfNegative val="0"/>
          <c:cat>
            <c:strRef>
              <c:f>Лист1!$A$2:$A$4</c:f>
              <c:strCache>
                <c:ptCount val="3"/>
                <c:pt idx="0">
                  <c:v>Anul 2018</c:v>
                </c:pt>
                <c:pt idx="1">
                  <c:v>Anul 2019</c:v>
                </c:pt>
                <c:pt idx="2">
                  <c:v>Anul 2020</c:v>
                </c:pt>
              </c:strCache>
            </c:strRef>
          </c:cat>
          <c:val>
            <c:numRef>
              <c:f>Лист1!$B$2:$B$4</c:f>
              <c:numCache>
                <c:formatCode>0.0</c:formatCode>
                <c:ptCount val="3"/>
                <c:pt idx="0" formatCode="General">
                  <c:v>13037.9</c:v>
                </c:pt>
                <c:pt idx="1">
                  <c:v>13635.7</c:v>
                </c:pt>
                <c:pt idx="2" formatCode="General">
                  <c:v>14295.4</c:v>
                </c:pt>
              </c:numCache>
            </c:numRef>
          </c:val>
          <c:extLst>
            <c:ext xmlns:c16="http://schemas.microsoft.com/office/drawing/2014/chart" uri="{C3380CC4-5D6E-409C-BE32-E72D297353CC}">
              <c16:uniqueId val="{00000000-9892-4234-8DB3-4B3C893B55E0}"/>
            </c:ext>
          </c:extLst>
        </c:ser>
        <c:ser>
          <c:idx val="1"/>
          <c:order val="1"/>
          <c:tx>
            <c:strRef>
              <c:f>Лист1!$C$1</c:f>
              <c:strCache>
                <c:ptCount val="1"/>
                <c:pt idx="0">
                  <c:v>Transferurile BASS</c:v>
                </c:pt>
              </c:strCache>
            </c:strRef>
          </c:tx>
          <c:invertIfNegative val="0"/>
          <c:cat>
            <c:strRef>
              <c:f>Лист1!$A$2:$A$4</c:f>
              <c:strCache>
                <c:ptCount val="3"/>
                <c:pt idx="0">
                  <c:v>Anul 2018</c:v>
                </c:pt>
                <c:pt idx="1">
                  <c:v>Anul 2019</c:v>
                </c:pt>
                <c:pt idx="2">
                  <c:v>Anul 2020</c:v>
                </c:pt>
              </c:strCache>
            </c:strRef>
          </c:cat>
          <c:val>
            <c:numRef>
              <c:f>Лист1!$C$2:$C$4</c:f>
              <c:numCache>
                <c:formatCode>General</c:formatCode>
                <c:ptCount val="3"/>
                <c:pt idx="0">
                  <c:v>6670.2</c:v>
                </c:pt>
                <c:pt idx="1">
                  <c:v>7957</c:v>
                </c:pt>
                <c:pt idx="2">
                  <c:v>9769.4</c:v>
                </c:pt>
              </c:numCache>
            </c:numRef>
          </c:val>
          <c:extLst>
            <c:ext xmlns:c16="http://schemas.microsoft.com/office/drawing/2014/chart" uri="{C3380CC4-5D6E-409C-BE32-E72D297353CC}">
              <c16:uniqueId val="{00000001-9892-4234-8DB3-4B3C893B55E0}"/>
            </c:ext>
          </c:extLst>
        </c:ser>
        <c:dLbls>
          <c:showLegendKey val="0"/>
          <c:showVal val="0"/>
          <c:showCatName val="0"/>
          <c:showSerName val="0"/>
          <c:showPercent val="0"/>
          <c:showBubbleSize val="0"/>
        </c:dLbls>
        <c:gapWidth val="150"/>
        <c:shape val="cylinder"/>
        <c:axId val="72314240"/>
        <c:axId val="72316032"/>
        <c:axId val="0"/>
      </c:bar3DChart>
      <c:catAx>
        <c:axId val="72314240"/>
        <c:scaling>
          <c:orientation val="minMax"/>
        </c:scaling>
        <c:delete val="0"/>
        <c:axPos val="b"/>
        <c:numFmt formatCode="General" sourceLinked="1"/>
        <c:majorTickMark val="none"/>
        <c:minorTickMark val="none"/>
        <c:tickLblPos val="nextTo"/>
        <c:txPr>
          <a:bodyPr/>
          <a:lstStyle/>
          <a:p>
            <a:pPr>
              <a:defRPr b="1" i="1">
                <a:latin typeface="+mj-lt"/>
                <a:cs typeface="Times New Roman" pitchFamily="18" charset="0"/>
              </a:defRPr>
            </a:pPr>
            <a:endParaRPr lang="en-US"/>
          </a:p>
        </c:txPr>
        <c:crossAx val="72316032"/>
        <c:crosses val="autoZero"/>
        <c:auto val="1"/>
        <c:lblAlgn val="ctr"/>
        <c:lblOffset val="100"/>
        <c:noMultiLvlLbl val="0"/>
      </c:catAx>
      <c:valAx>
        <c:axId val="72316032"/>
        <c:scaling>
          <c:orientation val="minMax"/>
        </c:scaling>
        <c:delete val="0"/>
        <c:axPos val="l"/>
        <c:majorGridlines/>
        <c:numFmt formatCode="General" sourceLinked="1"/>
        <c:majorTickMark val="none"/>
        <c:minorTickMark val="none"/>
        <c:tickLblPos val="nextTo"/>
        <c:txPr>
          <a:bodyPr/>
          <a:lstStyle/>
          <a:p>
            <a:pPr>
              <a:defRPr b="1" i="1">
                <a:latin typeface="+mj-lt"/>
                <a:cs typeface="Times New Roman" pitchFamily="18" charset="0"/>
              </a:defRPr>
            </a:pPr>
            <a:endParaRPr lang="en-US"/>
          </a:p>
        </c:txPr>
        <c:crossAx val="72314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67234955005623"/>
          <c:y val="6.5088757396449703E-2"/>
          <c:w val="0.82654193616422944"/>
          <c:h val="0.67938871546382151"/>
        </c:manualLayout>
      </c:layout>
      <c:bar3DChart>
        <c:barDir val="col"/>
        <c:grouping val="clustered"/>
        <c:varyColors val="0"/>
        <c:ser>
          <c:idx val="0"/>
          <c:order val="0"/>
          <c:tx>
            <c:strRef>
              <c:f>Sheet1!$B$1</c:f>
              <c:strCache>
                <c:ptCount val="1"/>
                <c:pt idx="0">
                  <c:v>Anul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217572412823389E-2"/>
                  <c:y val="-7.24241718305922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28-4CEA-B448-E6EB155D638A}"/>
                </c:ext>
              </c:extLst>
            </c:dLbl>
            <c:dLbl>
              <c:idx val="1"/>
              <c:layout>
                <c:manualLayout>
                  <c:x val="2.5156953037120362E-2"/>
                  <c:y val="-3.6907235707962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28-4CEA-B448-E6EB155D638A}"/>
                </c:ext>
              </c:extLst>
            </c:dLbl>
            <c:dLbl>
              <c:idx val="2"/>
              <c:layout>
                <c:manualLayout>
                  <c:x val="3.3482142857142856E-2"/>
                  <c:y val="-4.733727810650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28-4CEA-B448-E6EB155D63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#,##0.0</c:formatCode>
                <c:ptCount val="3"/>
                <c:pt idx="0">
                  <c:v>19473</c:v>
                </c:pt>
                <c:pt idx="1">
                  <c:v>21681.8</c:v>
                </c:pt>
                <c:pt idx="2">
                  <c:v>24300.6</c:v>
                </c:pt>
              </c:numCache>
            </c:numRef>
          </c:val>
          <c:extLst>
            <c:ext xmlns:c16="http://schemas.microsoft.com/office/drawing/2014/chart" uri="{C3380CC4-5D6E-409C-BE32-E72D297353CC}">
              <c16:uniqueId val="{00000004-6128-4CEA-B448-E6EB155D638A}"/>
            </c:ext>
          </c:extLst>
        </c:ser>
        <c:dLbls>
          <c:showLegendKey val="0"/>
          <c:showVal val="1"/>
          <c:showCatName val="0"/>
          <c:showSerName val="0"/>
          <c:showPercent val="0"/>
          <c:showBubbleSize val="0"/>
        </c:dLbls>
        <c:gapWidth val="150"/>
        <c:shape val="box"/>
        <c:axId val="634559600"/>
        <c:axId val="634552944"/>
        <c:axId val="0"/>
      </c:bar3DChart>
      <c:catAx>
        <c:axId val="6345596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MD"/>
                  <a:t>ANUL</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552944"/>
        <c:crosses val="autoZero"/>
        <c:auto val="1"/>
        <c:lblAlgn val="ctr"/>
        <c:lblOffset val="100"/>
        <c:noMultiLvlLbl val="0"/>
      </c:catAx>
      <c:valAx>
        <c:axId val="63455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o-MD"/>
                  <a:t>mil. lei</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55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854882642730258"/>
          <c:w val="0.60991070469295938"/>
          <c:h val="0.79751258551695881"/>
        </c:manualLayout>
      </c:layout>
      <c:pie3DChart>
        <c:varyColors val="1"/>
        <c:ser>
          <c:idx val="0"/>
          <c:order val="0"/>
          <c:tx>
            <c:strRef>
              <c:f>Лист1!$B$1</c:f>
              <c:strCache>
                <c:ptCount val="1"/>
                <c:pt idx="0">
                  <c:v>Column1</c:v>
                </c:pt>
              </c:strCache>
            </c:strRef>
          </c:tx>
          <c:explosion val="27"/>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D8E-4A7C-B7B7-DCE6432E2DC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D8E-4A7C-B7B7-DCE6432E2DC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CD8E-4A7C-B7B7-DCE6432E2DC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D8E-4A7C-B7B7-DCE6432E2DC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CD8E-4A7C-B7B7-DCE6432E2DC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D8E-4A7C-B7B7-DCE6432E2DC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CD8E-4A7C-B7B7-DCE6432E2DC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F099-43FB-839C-AC61554C35D5}"/>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F099-43FB-839C-AC61554C35D5}"/>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F099-43FB-839C-AC61554C35D5}"/>
              </c:ext>
            </c:extLst>
          </c:dPt>
          <c:dLbls>
            <c:dLbl>
              <c:idx val="0"/>
              <c:tx>
                <c:rich>
                  <a:bodyPr/>
                  <a:lstStyle/>
                  <a:p>
                    <a:r>
                      <a:rPr lang="en-US"/>
                      <a:t>60,3%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8E-4A7C-B7B7-DCE6432E2DC2}"/>
                </c:ext>
              </c:extLst>
            </c:dLbl>
            <c:dLbl>
              <c:idx val="1"/>
              <c:tx>
                <c:rich>
                  <a:bodyPr/>
                  <a:lstStyle/>
                  <a:p>
                    <a:r>
                      <a:rPr lang="en-US"/>
                      <a:t>11,9%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8E-4A7C-B7B7-DCE6432E2DC2}"/>
                </c:ext>
              </c:extLst>
            </c:dLbl>
            <c:dLbl>
              <c:idx val="2"/>
              <c:tx>
                <c:rich>
                  <a:bodyPr/>
                  <a:lstStyle/>
                  <a:p>
                    <a:r>
                      <a:rPr lang="en-US"/>
                      <a:t>9,9%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D8E-4A7C-B7B7-DCE6432E2DC2}"/>
                </c:ext>
              </c:extLst>
            </c:dLbl>
            <c:dLbl>
              <c:idx val="3"/>
              <c:tx>
                <c:rich>
                  <a:bodyPr/>
                  <a:lstStyle/>
                  <a:p>
                    <a:r>
                      <a:rPr lang="en-US"/>
                      <a:t>6,5%</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8E-4A7C-B7B7-DCE6432E2DC2}"/>
                </c:ext>
              </c:extLst>
            </c:dLbl>
            <c:dLbl>
              <c:idx val="4"/>
              <c:tx>
                <c:rich>
                  <a:bodyPr/>
                  <a:lstStyle/>
                  <a:p>
                    <a:r>
                      <a:rPr lang="en-US"/>
                      <a:t>4,6%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D8E-4A7C-B7B7-DCE6432E2DC2}"/>
                </c:ext>
              </c:extLst>
            </c:dLbl>
            <c:dLbl>
              <c:idx val="5"/>
              <c:tx>
                <c:rich>
                  <a:bodyPr/>
                  <a:lstStyle/>
                  <a:p>
                    <a:r>
                      <a:rPr lang="en-US"/>
                      <a:t>3,1%</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8E-4A7C-B7B7-DCE6432E2DC2}"/>
                </c:ext>
              </c:extLst>
            </c:dLbl>
            <c:dLbl>
              <c:idx val="6"/>
              <c:tx>
                <c:rich>
                  <a:bodyPr/>
                  <a:lstStyle/>
                  <a:p>
                    <a:r>
                      <a:rPr lang="en-US"/>
                      <a:t>1,3%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D8E-4A7C-B7B7-DCE6432E2DC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Лист1!$A$2:$A$11</c:f>
              <c:strCache>
                <c:ptCount val="10"/>
                <c:pt idx="0">
                  <c:v>Protecția persoanelor în etate (14605.6 mil lei)</c:v>
                </c:pt>
                <c:pt idx="1">
                  <c:v>Protecția socială a persoanelor cu dizabilități (2881.0 mil.lei)</c:v>
                </c:pt>
                <c:pt idx="2">
                  <c:v>Protecția familiei și copilului (2394.7 mil.lei)</c:v>
                </c:pt>
                <c:pt idx="3">
                  <c:v>Susținerea suplimentară a unor categorii de populație (1567.7 mil.lei)</c:v>
                </c:pt>
                <c:pt idx="4">
                  <c:v>Protecția socială în cazuri excepționale (1116.4 mil.lei)</c:v>
                </c:pt>
                <c:pt idx="5">
                  <c:v>Protecția în caz de incapacitate temporară de muncă (752.2 mil.lei)</c:v>
                </c:pt>
                <c:pt idx="6">
                  <c:v>Protecția socială a unor categorii de cetățeni (320.0 mil.lei)</c:v>
                </c:pt>
                <c:pt idx="7">
                  <c:v>Protecția în legătură cu pierderea întreținătorului (273.3 mil.lei)</c:v>
                </c:pt>
                <c:pt idx="8">
                  <c:v>Administrarea sistemului public de asigurări sociale (206.3 mil.lei)</c:v>
                </c:pt>
                <c:pt idx="9">
                  <c:v>Protecția șomerilor (127.0 mil.lei)</c:v>
                </c:pt>
              </c:strCache>
            </c:strRef>
          </c:cat>
          <c:val>
            <c:numRef>
              <c:f>Лист1!$B$2:$B$11</c:f>
              <c:numCache>
                <c:formatCode>0.00%</c:formatCode>
                <c:ptCount val="10"/>
                <c:pt idx="0">
                  <c:v>0.60299999999999998</c:v>
                </c:pt>
                <c:pt idx="1">
                  <c:v>0.11899999999999999</c:v>
                </c:pt>
                <c:pt idx="2">
                  <c:v>9.9000000000000005E-2</c:v>
                </c:pt>
                <c:pt idx="3">
                  <c:v>6.5000000000000002E-2</c:v>
                </c:pt>
                <c:pt idx="4">
                  <c:v>4.5999999999999999E-2</c:v>
                </c:pt>
                <c:pt idx="5">
                  <c:v>3.1E-2</c:v>
                </c:pt>
                <c:pt idx="6">
                  <c:v>1.2999999999999999E-2</c:v>
                </c:pt>
                <c:pt idx="7">
                  <c:v>1.0999999999999999E-2</c:v>
                </c:pt>
                <c:pt idx="8">
                  <c:v>8.9999999999999993E-3</c:v>
                </c:pt>
                <c:pt idx="9">
                  <c:v>5.0000000000000001E-3</c:v>
                </c:pt>
              </c:numCache>
            </c:numRef>
          </c:val>
          <c:extLst>
            <c:ext xmlns:c16="http://schemas.microsoft.com/office/drawing/2014/chart" uri="{C3380CC4-5D6E-409C-BE32-E72D297353CC}">
              <c16:uniqueId val="{00000009-CD8E-4A7C-B7B7-DCE6432E2DC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j-lt"/>
                <a:ea typeface="+mn-ea"/>
                <a:cs typeface="Times New Roman" pitchFamily="18" charset="0"/>
              </a:defRPr>
            </a:pPr>
            <a:r>
              <a:rPr lang="ro-MO" sz="1200" b="1" i="0" baseline="0">
                <a:latin typeface="+mj-lt"/>
                <a:cs typeface="Times New Roman" pitchFamily="18" charset="0"/>
              </a:rPr>
              <a:t>Structura pensiilor de asigurări sociale de stat în anul 2020, %</a:t>
            </a:r>
            <a:endParaRPr lang="ru-RU" sz="1200">
              <a:latin typeface="+mj-lt"/>
              <a:cs typeface="Times New Roman" pitchFamily="18" charset="0"/>
            </a:endParaRPr>
          </a:p>
        </c:rich>
      </c:tx>
      <c:layout>
        <c:manualLayout>
          <c:xMode val="edge"/>
          <c:yMode val="edge"/>
          <c:x val="0.14228000145815109"/>
          <c:y val="3.5714285714285712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j-lt"/>
              <a:ea typeface="+mn-ea"/>
              <a:cs typeface="Times New Roman" pitchFamily="18" charset="0"/>
            </a:defRPr>
          </a:pPr>
          <a:endParaRPr lang="en-US"/>
        </a:p>
      </c:tx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854882642730258"/>
          <c:w val="0.60991070469295938"/>
          <c:h val="0.79751258551695881"/>
        </c:manualLayout>
      </c:layout>
      <c:pie3DChart>
        <c:varyColors val="1"/>
        <c:ser>
          <c:idx val="0"/>
          <c:order val="0"/>
          <c:tx>
            <c:strRef>
              <c:f>Лист1!$B$1</c:f>
              <c:strCache>
                <c:ptCount val="1"/>
                <c:pt idx="0">
                  <c:v>Structura prestațiilor de asigurări sociale</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00-9D5D-40FD-9AD4-6316A292B1A8}"/>
              </c:ext>
            </c:extLst>
          </c:dPt>
          <c:dPt>
            <c:idx val="1"/>
            <c:bubble3D val="0"/>
            <c:spPr>
              <a:solidFill>
                <a:schemeClr val="accent4"/>
              </a:solidFill>
              <a:ln>
                <a:noFill/>
              </a:ln>
              <a:effectLst/>
              <a:sp3d/>
            </c:spPr>
            <c:extLst>
              <c:ext xmlns:c16="http://schemas.microsoft.com/office/drawing/2014/chart" uri="{C3380CC4-5D6E-409C-BE32-E72D297353CC}">
                <c16:uniqueId val="{00000001-9D5D-40FD-9AD4-6316A292B1A8}"/>
              </c:ext>
            </c:extLst>
          </c:dPt>
          <c:dPt>
            <c:idx val="2"/>
            <c:bubble3D val="0"/>
            <c:spPr>
              <a:solidFill>
                <a:schemeClr val="accent6"/>
              </a:solidFill>
              <a:ln>
                <a:noFill/>
              </a:ln>
              <a:effectLst/>
              <a:sp3d/>
            </c:spPr>
            <c:extLst>
              <c:ext xmlns:c16="http://schemas.microsoft.com/office/drawing/2014/chart" uri="{C3380CC4-5D6E-409C-BE32-E72D297353CC}">
                <c16:uniqueId val="{00000002-9D5D-40FD-9AD4-6316A292B1A8}"/>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3-9D5D-40FD-9AD4-6316A292B1A8}"/>
              </c:ext>
            </c:extLst>
          </c:dPt>
          <c:dPt>
            <c:idx val="4"/>
            <c:bubble3D val="0"/>
            <c:spPr>
              <a:solidFill>
                <a:schemeClr val="accent4">
                  <a:lumMod val="60000"/>
                </a:schemeClr>
              </a:solidFill>
              <a:ln>
                <a:noFill/>
              </a:ln>
              <a:effectLst/>
              <a:sp3d/>
            </c:spPr>
            <c:extLst>
              <c:ext xmlns:c16="http://schemas.microsoft.com/office/drawing/2014/chart" uri="{C3380CC4-5D6E-409C-BE32-E72D297353CC}">
                <c16:uniqueId val="{00000004-9D5D-40FD-9AD4-6316A292B1A8}"/>
              </c:ext>
            </c:extLst>
          </c:dPt>
          <c:dPt>
            <c:idx val="5"/>
            <c:bubble3D val="0"/>
            <c:spPr>
              <a:solidFill>
                <a:schemeClr val="accent6">
                  <a:lumMod val="60000"/>
                </a:schemeClr>
              </a:solidFill>
              <a:ln>
                <a:noFill/>
              </a:ln>
              <a:effectLst/>
              <a:sp3d/>
            </c:spPr>
            <c:extLst>
              <c:ext xmlns:c16="http://schemas.microsoft.com/office/drawing/2014/chart" uri="{C3380CC4-5D6E-409C-BE32-E72D297353CC}">
                <c16:uniqueId val="{00000005-9D5D-40FD-9AD4-6316A292B1A8}"/>
              </c:ext>
            </c:extLst>
          </c:dPt>
          <c:dPt>
            <c:idx val="6"/>
            <c:bubble3D val="0"/>
            <c:spPr>
              <a:solidFill>
                <a:schemeClr val="accent2">
                  <a:lumMod val="80000"/>
                  <a:lumOff val="20000"/>
                </a:schemeClr>
              </a:solidFill>
              <a:ln>
                <a:noFill/>
              </a:ln>
              <a:effectLst/>
              <a:sp3d/>
            </c:spPr>
            <c:extLst>
              <c:ext xmlns:c16="http://schemas.microsoft.com/office/drawing/2014/chart" uri="{C3380CC4-5D6E-409C-BE32-E72D297353CC}">
                <c16:uniqueId val="{00000006-9D5D-40FD-9AD4-6316A292B1A8}"/>
              </c:ext>
            </c:extLst>
          </c:dPt>
          <c:dPt>
            <c:idx val="7"/>
            <c:bubble3D val="0"/>
            <c:spPr>
              <a:solidFill>
                <a:schemeClr val="accent4">
                  <a:lumMod val="80000"/>
                  <a:lumOff val="20000"/>
                </a:schemeClr>
              </a:solidFill>
              <a:ln>
                <a:noFill/>
              </a:ln>
              <a:effectLst/>
              <a:sp3d/>
            </c:spPr>
            <c:extLst>
              <c:ext xmlns:c16="http://schemas.microsoft.com/office/drawing/2014/chart" uri="{C3380CC4-5D6E-409C-BE32-E72D297353CC}">
                <c16:uniqueId val="{0000000F-C7D9-4FE0-AD56-64CE5C88C6E6}"/>
              </c:ext>
            </c:extLst>
          </c:dPt>
          <c:dPt>
            <c:idx val="8"/>
            <c:bubble3D val="0"/>
            <c:spPr>
              <a:solidFill>
                <a:schemeClr val="accent6">
                  <a:lumMod val="80000"/>
                  <a:lumOff val="20000"/>
                </a:schemeClr>
              </a:solidFill>
              <a:ln>
                <a:noFill/>
              </a:ln>
              <a:effectLst/>
              <a:sp3d/>
            </c:spPr>
            <c:extLst>
              <c:ext xmlns:c16="http://schemas.microsoft.com/office/drawing/2014/chart" uri="{C3380CC4-5D6E-409C-BE32-E72D297353CC}">
                <c16:uniqueId val="{00000011-C7D9-4FE0-AD56-64CE5C88C6E6}"/>
              </c:ext>
            </c:extLst>
          </c:dPt>
          <c:dPt>
            <c:idx val="9"/>
            <c:bubble3D val="0"/>
            <c:spPr>
              <a:solidFill>
                <a:schemeClr val="accent2">
                  <a:lumMod val="80000"/>
                </a:schemeClr>
              </a:solidFill>
              <a:ln>
                <a:noFill/>
              </a:ln>
              <a:effectLst/>
              <a:sp3d/>
            </c:spPr>
            <c:extLst>
              <c:ext xmlns:c16="http://schemas.microsoft.com/office/drawing/2014/chart" uri="{C3380CC4-5D6E-409C-BE32-E72D297353CC}">
                <c16:uniqueId val="{00000013-C7D9-4FE0-AD56-64CE5C88C6E6}"/>
              </c:ext>
            </c:extLst>
          </c:dPt>
          <c:dLbls>
            <c:dLbl>
              <c:idx val="0"/>
              <c:layout>
                <c:manualLayout>
                  <c:x val="-7.628939388358931E-2"/>
                  <c:y val="5.214387329591267E-2"/>
                </c:manualLayout>
              </c:layout>
              <c:tx>
                <c:rich>
                  <a:bodyPr/>
                  <a:lstStyle/>
                  <a:p>
                    <a:r>
                      <a:rPr lang="en-US"/>
                      <a:t>81.2%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5D-40FD-9AD4-6316A292B1A8}"/>
                </c:ext>
              </c:extLst>
            </c:dLbl>
            <c:dLbl>
              <c:idx val="1"/>
              <c:layout>
                <c:manualLayout>
                  <c:x val="-7.6199362413498185E-3"/>
                  <c:y val="-1.4186090666360162E-2"/>
                </c:manualLayout>
              </c:layout>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5D-40FD-9AD4-6316A292B1A8}"/>
                </c:ext>
              </c:extLst>
            </c:dLbl>
            <c:dLbl>
              <c:idx val="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5D-40FD-9AD4-6316A292B1A8}"/>
                </c:ext>
              </c:extLst>
            </c:dLbl>
            <c:dLbl>
              <c:idx val="3"/>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5D-40FD-9AD4-6316A292B1A8}"/>
                </c:ext>
              </c:extLst>
            </c:dLbl>
            <c:dLbl>
              <c:idx val="4"/>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5D-40FD-9AD4-6316A292B1A8}"/>
                </c:ext>
              </c:extLst>
            </c:dLbl>
            <c:dLbl>
              <c:idx val="5"/>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5D-40FD-9AD4-6316A292B1A8}"/>
                </c:ext>
              </c:extLst>
            </c:dLbl>
            <c:dLbl>
              <c:idx val="6"/>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5D-40FD-9AD4-6316A292B1A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Лист1!$A$2:$A$11</c:f>
              <c:strCache>
                <c:ptCount val="10"/>
                <c:pt idx="0">
                  <c:v>pensia pentru limita de vîrstă 81.2% (11 486 mil.lei)</c:v>
                </c:pt>
                <c:pt idx="1">
                  <c:v>pensia de dizabilitate 14.1% (1 999.6 mil.lei)</c:v>
                </c:pt>
                <c:pt idx="2">
                  <c:v>pensiile anticipate pentru limita de vârstă 1.0% (136.2 mil.lei)</c:v>
                </c:pt>
                <c:pt idx="3">
                  <c:v>pensia funcționarilor publici 1.3% (181.2 mil.lei)</c:v>
                </c:pt>
                <c:pt idx="4">
                  <c:v>pensiile unor categorii de angajați din aviația civilă 0.4% (59.7 mil.lei)</c:v>
                </c:pt>
                <c:pt idx="5">
                  <c:v>pensiile judecătorilor 0.3%(39.2 mil.lei)</c:v>
                </c:pt>
                <c:pt idx="6">
                  <c:v>pensiile procurorilor 0.2%(24.7 mil.lei)</c:v>
                </c:pt>
                <c:pt idx="7">
                  <c:v>pensiile aleșilor locali 0.1%(19.8 mil.lei)</c:v>
                </c:pt>
                <c:pt idx="8">
                  <c:v>pensiile deputaților 0.1%(13.3 mil.lei)</c:v>
                </c:pt>
                <c:pt idx="9">
                  <c:v>alte tipuri de prestații 0.09%(12.5 mil.lei)</c:v>
                </c:pt>
              </c:strCache>
            </c:strRef>
          </c:cat>
          <c:val>
            <c:numRef>
              <c:f>Лист1!$B$2:$B$11</c:f>
              <c:numCache>
                <c:formatCode>0.00%</c:formatCode>
                <c:ptCount val="10"/>
                <c:pt idx="0">
                  <c:v>0.81200000000000006</c:v>
                </c:pt>
                <c:pt idx="1">
                  <c:v>0.14099999999999999</c:v>
                </c:pt>
                <c:pt idx="2">
                  <c:v>0.01</c:v>
                </c:pt>
                <c:pt idx="3">
                  <c:v>1.2999999999999999E-2</c:v>
                </c:pt>
                <c:pt idx="4">
                  <c:v>4.0000000000000001E-3</c:v>
                </c:pt>
                <c:pt idx="5">
                  <c:v>3.0000000000000001E-3</c:v>
                </c:pt>
                <c:pt idx="6">
                  <c:v>2E-3</c:v>
                </c:pt>
                <c:pt idx="7">
                  <c:v>1E-3</c:v>
                </c:pt>
                <c:pt idx="8">
                  <c:v>1E-3</c:v>
                </c:pt>
                <c:pt idx="9">
                  <c:v>8.9999999999999998E-4</c:v>
                </c:pt>
              </c:numCache>
            </c:numRef>
          </c:val>
          <c:extLst>
            <c:ext xmlns:c16="http://schemas.microsoft.com/office/drawing/2014/chart" uri="{C3380CC4-5D6E-409C-BE32-E72D297353CC}">
              <c16:uniqueId val="{00000007-9D5D-40FD-9AD4-6316A292B1A8}"/>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59581530998789956"/>
          <c:y val="0.1188835715923859"/>
          <c:w val="0.36287199824765681"/>
          <c:h val="0.85102883027350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Times New Roman" pitchFamily="18"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E204B3-4756-49F7-A2BC-C3148B8A5C62}" type="doc">
      <dgm:prSet loTypeId="urn:microsoft.com/office/officeart/2005/8/layout/chevronAccent+Icon" loCatId="process" qsTypeId="urn:microsoft.com/office/officeart/2005/8/quickstyle/simple5" qsCatId="simple" csTypeId="urn:microsoft.com/office/officeart/2005/8/colors/colorful4" csCatId="colorful" phldr="1"/>
      <dgm:spPr/>
    </dgm:pt>
    <dgm:pt modelId="{931FA7F6-B354-45CC-BD17-4786E796D9A5}">
      <dgm:prSet phldrT="[Text]" custT="1"/>
      <dgm:spPr/>
      <dgm:t>
        <a:bodyPr/>
        <a:lstStyle/>
        <a:p>
          <a:r>
            <a:rPr lang="ro-MD" sz="1200">
              <a:latin typeface="+mj-lt"/>
              <a:cs typeface="Times New Roman" panose="02020603050405020304" pitchFamily="18" charset="0"/>
            </a:rPr>
            <a:t>Agenția Servicii Pubice </a:t>
          </a:r>
        </a:p>
        <a:p>
          <a:r>
            <a:rPr lang="ro-MD" sz="1200">
              <a:latin typeface="+mj-lt"/>
              <a:cs typeface="Times New Roman" panose="02020603050405020304" pitchFamily="18" charset="0"/>
            </a:rPr>
            <a:t>Registrul de Stat al Populației</a:t>
          </a:r>
          <a:endParaRPr lang="en-US" sz="1200">
            <a:latin typeface="+mj-lt"/>
            <a:cs typeface="Times New Roman" panose="02020603050405020304" pitchFamily="18" charset="0"/>
          </a:endParaRPr>
        </a:p>
      </dgm:t>
    </dgm:pt>
    <dgm:pt modelId="{64A573B2-1A63-48B8-B92C-EC6D21FF54F6}" type="parTrans" cxnId="{509D877B-1B76-41B8-A1DB-E662025C5DE0}">
      <dgm:prSet/>
      <dgm:spPr/>
      <dgm:t>
        <a:bodyPr/>
        <a:lstStyle/>
        <a:p>
          <a:endParaRPr lang="en-US">
            <a:latin typeface="+mj-lt"/>
          </a:endParaRPr>
        </a:p>
      </dgm:t>
    </dgm:pt>
    <dgm:pt modelId="{7E9AC65F-5E70-4D81-B660-B193983BAFE9}" type="sibTrans" cxnId="{509D877B-1B76-41B8-A1DB-E662025C5DE0}">
      <dgm:prSet/>
      <dgm:spPr/>
      <dgm:t>
        <a:bodyPr/>
        <a:lstStyle/>
        <a:p>
          <a:endParaRPr lang="en-US">
            <a:latin typeface="+mj-lt"/>
          </a:endParaRPr>
        </a:p>
      </dgm:t>
    </dgm:pt>
    <dgm:pt modelId="{99022D32-7501-40B3-8101-2D4D2B935563}">
      <dgm:prSet phldrT="[Text]" custT="1"/>
      <dgm:spPr/>
      <dgm:t>
        <a:bodyPr/>
        <a:lstStyle/>
        <a:p>
          <a:r>
            <a:rPr lang="ro-RO" sz="1200" b="0" u="none">
              <a:latin typeface="+mj-lt"/>
              <a:cs typeface="Times New Roman" panose="02020603050405020304" pitchFamily="18" charset="0"/>
            </a:rPr>
            <a:t>Agenția de Guvernare Electronică</a:t>
          </a:r>
          <a:endParaRPr lang="en-US" sz="1200" b="0" u="none">
            <a:latin typeface="+mj-lt"/>
            <a:cs typeface="Times New Roman" panose="02020603050405020304" pitchFamily="18" charset="0"/>
          </a:endParaRPr>
        </a:p>
      </dgm:t>
    </dgm:pt>
    <dgm:pt modelId="{E71DF112-4C2F-4529-A97A-157E4FF12636}" type="parTrans" cxnId="{9D211D3F-C19E-4A7B-9447-F99B64F7DC98}">
      <dgm:prSet/>
      <dgm:spPr/>
      <dgm:t>
        <a:bodyPr/>
        <a:lstStyle/>
        <a:p>
          <a:endParaRPr lang="en-US">
            <a:latin typeface="+mj-lt"/>
          </a:endParaRPr>
        </a:p>
      </dgm:t>
    </dgm:pt>
    <dgm:pt modelId="{670676AF-298F-4444-BB2E-A4746402C796}" type="sibTrans" cxnId="{9D211D3F-C19E-4A7B-9447-F99B64F7DC98}">
      <dgm:prSet/>
      <dgm:spPr/>
      <dgm:t>
        <a:bodyPr/>
        <a:lstStyle/>
        <a:p>
          <a:endParaRPr lang="en-US">
            <a:latin typeface="+mj-lt"/>
          </a:endParaRPr>
        </a:p>
      </dgm:t>
    </dgm:pt>
    <dgm:pt modelId="{B4EC95A8-3BCE-46BC-94C0-ADB4D216ACFA}">
      <dgm:prSet phldrT="[Text]" custT="1"/>
      <dgm:spPr/>
      <dgm:t>
        <a:bodyPr/>
        <a:lstStyle/>
        <a:p>
          <a:r>
            <a:rPr lang="ro-MD" sz="1200" u="none">
              <a:latin typeface="+mj-lt"/>
              <a:cs typeface="Times New Roman" panose="02020603050405020304" pitchFamily="18" charset="0"/>
            </a:rPr>
            <a:t>Casa Națională de Asigurări Sociale</a:t>
          </a:r>
          <a:endParaRPr lang="en-US" sz="1200" u="none">
            <a:latin typeface="+mj-lt"/>
            <a:cs typeface="Times New Roman" panose="02020603050405020304" pitchFamily="18" charset="0"/>
          </a:endParaRPr>
        </a:p>
      </dgm:t>
    </dgm:pt>
    <dgm:pt modelId="{01FCB5DD-32D7-4D75-8600-5BB20D50E804}" type="parTrans" cxnId="{39722360-B398-4A28-9CD5-E4DEA4887F64}">
      <dgm:prSet/>
      <dgm:spPr/>
      <dgm:t>
        <a:bodyPr/>
        <a:lstStyle/>
        <a:p>
          <a:endParaRPr lang="en-US">
            <a:latin typeface="+mj-lt"/>
          </a:endParaRPr>
        </a:p>
      </dgm:t>
    </dgm:pt>
    <dgm:pt modelId="{4BAA3234-50F1-4713-AE0E-FDB33F6AFF6D}" type="sibTrans" cxnId="{39722360-B398-4A28-9CD5-E4DEA4887F64}">
      <dgm:prSet/>
      <dgm:spPr/>
      <dgm:t>
        <a:bodyPr/>
        <a:lstStyle/>
        <a:p>
          <a:endParaRPr lang="en-US">
            <a:latin typeface="+mj-lt"/>
          </a:endParaRPr>
        </a:p>
      </dgm:t>
    </dgm:pt>
    <dgm:pt modelId="{8F998413-0956-4E04-8BD2-2B72BDB56DB5}" type="pres">
      <dgm:prSet presAssocID="{06E204B3-4756-49F7-A2BC-C3148B8A5C62}" presName="Name0" presStyleCnt="0">
        <dgm:presLayoutVars>
          <dgm:dir/>
          <dgm:resizeHandles val="exact"/>
        </dgm:presLayoutVars>
      </dgm:prSet>
      <dgm:spPr/>
    </dgm:pt>
    <dgm:pt modelId="{E41EC36A-1337-480D-BDEB-45E05C8383AA}" type="pres">
      <dgm:prSet presAssocID="{931FA7F6-B354-45CC-BD17-4786E796D9A5}" presName="composite" presStyleCnt="0"/>
      <dgm:spPr/>
    </dgm:pt>
    <dgm:pt modelId="{7362229E-7A91-4933-B6C8-A3C83BE8F56F}" type="pres">
      <dgm:prSet presAssocID="{931FA7F6-B354-45CC-BD17-4786E796D9A5}" presName="bgChev" presStyleLbl="node1" presStyleIdx="0" presStyleCnt="3"/>
      <dgm:spPr/>
    </dgm:pt>
    <dgm:pt modelId="{340AED52-D213-4876-BAD5-46F309D294BF}" type="pres">
      <dgm:prSet presAssocID="{931FA7F6-B354-45CC-BD17-4786E796D9A5}" presName="txNode" presStyleLbl="fgAcc1" presStyleIdx="0" presStyleCnt="3">
        <dgm:presLayoutVars>
          <dgm:bulletEnabled val="1"/>
        </dgm:presLayoutVars>
      </dgm:prSet>
      <dgm:spPr/>
      <dgm:t>
        <a:bodyPr/>
        <a:lstStyle/>
        <a:p>
          <a:endParaRPr lang="en-US"/>
        </a:p>
      </dgm:t>
    </dgm:pt>
    <dgm:pt modelId="{27401104-D756-4B49-9F2D-22F86FB729B9}" type="pres">
      <dgm:prSet presAssocID="{7E9AC65F-5E70-4D81-B660-B193983BAFE9}" presName="compositeSpace" presStyleCnt="0"/>
      <dgm:spPr/>
    </dgm:pt>
    <dgm:pt modelId="{2F1F5639-BE48-46AD-8738-290A7B640B22}" type="pres">
      <dgm:prSet presAssocID="{99022D32-7501-40B3-8101-2D4D2B935563}" presName="composite" presStyleCnt="0"/>
      <dgm:spPr/>
    </dgm:pt>
    <dgm:pt modelId="{C5E8017F-4893-41FD-9B60-692FC530141A}" type="pres">
      <dgm:prSet presAssocID="{99022D32-7501-40B3-8101-2D4D2B935563}" presName="bgChev" presStyleLbl="node1" presStyleIdx="1" presStyleCnt="3"/>
      <dgm:spPr/>
    </dgm:pt>
    <dgm:pt modelId="{F2F21ADA-1055-4936-9212-ED440A6C85F1}" type="pres">
      <dgm:prSet presAssocID="{99022D32-7501-40B3-8101-2D4D2B935563}" presName="txNode" presStyleLbl="fgAcc1" presStyleIdx="1" presStyleCnt="3">
        <dgm:presLayoutVars>
          <dgm:bulletEnabled val="1"/>
        </dgm:presLayoutVars>
      </dgm:prSet>
      <dgm:spPr/>
      <dgm:t>
        <a:bodyPr/>
        <a:lstStyle/>
        <a:p>
          <a:endParaRPr lang="en-US"/>
        </a:p>
      </dgm:t>
    </dgm:pt>
    <dgm:pt modelId="{72918EF1-5E3F-4944-BF13-F2ACCA617203}" type="pres">
      <dgm:prSet presAssocID="{670676AF-298F-4444-BB2E-A4746402C796}" presName="compositeSpace" presStyleCnt="0"/>
      <dgm:spPr/>
    </dgm:pt>
    <dgm:pt modelId="{FCAF5047-7DE5-4A4A-86F8-0109502FB1D0}" type="pres">
      <dgm:prSet presAssocID="{B4EC95A8-3BCE-46BC-94C0-ADB4D216ACFA}" presName="composite" presStyleCnt="0"/>
      <dgm:spPr/>
    </dgm:pt>
    <dgm:pt modelId="{7694CC90-F31B-4BA4-AE56-6B6CEAA34FEC}" type="pres">
      <dgm:prSet presAssocID="{B4EC95A8-3BCE-46BC-94C0-ADB4D216ACFA}" presName="bgChev" presStyleLbl="node1" presStyleIdx="2" presStyleCnt="3"/>
      <dgm:spPr/>
    </dgm:pt>
    <dgm:pt modelId="{737E2B6F-5AF7-402A-92E6-4EFC07966E94}" type="pres">
      <dgm:prSet presAssocID="{B4EC95A8-3BCE-46BC-94C0-ADB4D216ACFA}" presName="txNode" presStyleLbl="fgAcc1" presStyleIdx="2" presStyleCnt="3">
        <dgm:presLayoutVars>
          <dgm:bulletEnabled val="1"/>
        </dgm:presLayoutVars>
      </dgm:prSet>
      <dgm:spPr/>
      <dgm:t>
        <a:bodyPr/>
        <a:lstStyle/>
        <a:p>
          <a:endParaRPr lang="en-US"/>
        </a:p>
      </dgm:t>
    </dgm:pt>
  </dgm:ptLst>
  <dgm:cxnLst>
    <dgm:cxn modelId="{34893A72-5095-472D-B6AE-13348926A475}" type="presOf" srcId="{931FA7F6-B354-45CC-BD17-4786E796D9A5}" destId="{340AED52-D213-4876-BAD5-46F309D294BF}" srcOrd="0" destOrd="0" presId="urn:microsoft.com/office/officeart/2005/8/layout/chevronAccent+Icon"/>
    <dgm:cxn modelId="{509D877B-1B76-41B8-A1DB-E662025C5DE0}" srcId="{06E204B3-4756-49F7-A2BC-C3148B8A5C62}" destId="{931FA7F6-B354-45CC-BD17-4786E796D9A5}" srcOrd="0" destOrd="0" parTransId="{64A573B2-1A63-48B8-B92C-EC6D21FF54F6}" sibTransId="{7E9AC65F-5E70-4D81-B660-B193983BAFE9}"/>
    <dgm:cxn modelId="{5291377C-B2EC-4EAF-885C-59634F036D9D}" type="presOf" srcId="{B4EC95A8-3BCE-46BC-94C0-ADB4D216ACFA}" destId="{737E2B6F-5AF7-402A-92E6-4EFC07966E94}" srcOrd="0" destOrd="0" presId="urn:microsoft.com/office/officeart/2005/8/layout/chevronAccent+Icon"/>
    <dgm:cxn modelId="{B591FA3B-1896-400B-8624-0BE47F5F8FB9}" type="presOf" srcId="{99022D32-7501-40B3-8101-2D4D2B935563}" destId="{F2F21ADA-1055-4936-9212-ED440A6C85F1}" srcOrd="0" destOrd="0" presId="urn:microsoft.com/office/officeart/2005/8/layout/chevronAccent+Icon"/>
    <dgm:cxn modelId="{39722360-B398-4A28-9CD5-E4DEA4887F64}" srcId="{06E204B3-4756-49F7-A2BC-C3148B8A5C62}" destId="{B4EC95A8-3BCE-46BC-94C0-ADB4D216ACFA}" srcOrd="2" destOrd="0" parTransId="{01FCB5DD-32D7-4D75-8600-5BB20D50E804}" sibTransId="{4BAA3234-50F1-4713-AE0E-FDB33F6AFF6D}"/>
    <dgm:cxn modelId="{97FD066A-E592-41AA-AA4A-84062D49EA90}" type="presOf" srcId="{06E204B3-4756-49F7-A2BC-C3148B8A5C62}" destId="{8F998413-0956-4E04-8BD2-2B72BDB56DB5}" srcOrd="0" destOrd="0" presId="urn:microsoft.com/office/officeart/2005/8/layout/chevronAccent+Icon"/>
    <dgm:cxn modelId="{9D211D3F-C19E-4A7B-9447-F99B64F7DC98}" srcId="{06E204B3-4756-49F7-A2BC-C3148B8A5C62}" destId="{99022D32-7501-40B3-8101-2D4D2B935563}" srcOrd="1" destOrd="0" parTransId="{E71DF112-4C2F-4529-A97A-157E4FF12636}" sibTransId="{670676AF-298F-4444-BB2E-A4746402C796}"/>
    <dgm:cxn modelId="{A3E9D660-1875-4C93-BEE6-0B428E27828A}" type="presParOf" srcId="{8F998413-0956-4E04-8BD2-2B72BDB56DB5}" destId="{E41EC36A-1337-480D-BDEB-45E05C8383AA}" srcOrd="0" destOrd="0" presId="urn:microsoft.com/office/officeart/2005/8/layout/chevronAccent+Icon"/>
    <dgm:cxn modelId="{223B682E-1308-4818-B3D4-28F528BABDD1}" type="presParOf" srcId="{E41EC36A-1337-480D-BDEB-45E05C8383AA}" destId="{7362229E-7A91-4933-B6C8-A3C83BE8F56F}" srcOrd="0" destOrd="0" presId="urn:microsoft.com/office/officeart/2005/8/layout/chevronAccent+Icon"/>
    <dgm:cxn modelId="{A37919A1-EF69-4875-BD4E-5C929D8638D2}" type="presParOf" srcId="{E41EC36A-1337-480D-BDEB-45E05C8383AA}" destId="{340AED52-D213-4876-BAD5-46F309D294BF}" srcOrd="1" destOrd="0" presId="urn:microsoft.com/office/officeart/2005/8/layout/chevronAccent+Icon"/>
    <dgm:cxn modelId="{5780CC3C-B69E-4EE8-AA29-3CE81507ED33}" type="presParOf" srcId="{8F998413-0956-4E04-8BD2-2B72BDB56DB5}" destId="{27401104-D756-4B49-9F2D-22F86FB729B9}" srcOrd="1" destOrd="0" presId="urn:microsoft.com/office/officeart/2005/8/layout/chevronAccent+Icon"/>
    <dgm:cxn modelId="{BCA05E86-E750-4064-8B4F-5195A4B06055}" type="presParOf" srcId="{8F998413-0956-4E04-8BD2-2B72BDB56DB5}" destId="{2F1F5639-BE48-46AD-8738-290A7B640B22}" srcOrd="2" destOrd="0" presId="urn:microsoft.com/office/officeart/2005/8/layout/chevronAccent+Icon"/>
    <dgm:cxn modelId="{5FD63D1F-2541-418A-8718-178CBE38ED5B}" type="presParOf" srcId="{2F1F5639-BE48-46AD-8738-290A7B640B22}" destId="{C5E8017F-4893-41FD-9B60-692FC530141A}" srcOrd="0" destOrd="0" presId="urn:microsoft.com/office/officeart/2005/8/layout/chevronAccent+Icon"/>
    <dgm:cxn modelId="{CB09520E-6C2C-4510-A2DC-C531EC28E353}" type="presParOf" srcId="{2F1F5639-BE48-46AD-8738-290A7B640B22}" destId="{F2F21ADA-1055-4936-9212-ED440A6C85F1}" srcOrd="1" destOrd="0" presId="urn:microsoft.com/office/officeart/2005/8/layout/chevronAccent+Icon"/>
    <dgm:cxn modelId="{A26D728F-C201-479F-AA49-6EB729199F52}" type="presParOf" srcId="{8F998413-0956-4E04-8BD2-2B72BDB56DB5}" destId="{72918EF1-5E3F-4944-BF13-F2ACCA617203}" srcOrd="3" destOrd="0" presId="urn:microsoft.com/office/officeart/2005/8/layout/chevronAccent+Icon"/>
    <dgm:cxn modelId="{24CFA89F-D83D-45B6-81A4-BB626BE42270}" type="presParOf" srcId="{8F998413-0956-4E04-8BD2-2B72BDB56DB5}" destId="{FCAF5047-7DE5-4A4A-86F8-0109502FB1D0}" srcOrd="4" destOrd="0" presId="urn:microsoft.com/office/officeart/2005/8/layout/chevronAccent+Icon"/>
    <dgm:cxn modelId="{545D041E-0BF9-4D44-8358-86489474FDAB}" type="presParOf" srcId="{FCAF5047-7DE5-4A4A-86F8-0109502FB1D0}" destId="{7694CC90-F31B-4BA4-AE56-6B6CEAA34FEC}" srcOrd="0" destOrd="0" presId="urn:microsoft.com/office/officeart/2005/8/layout/chevronAccent+Icon"/>
    <dgm:cxn modelId="{29C85AE0-A2FB-4260-ABE4-16216E2A8B90}" type="presParOf" srcId="{FCAF5047-7DE5-4A4A-86F8-0109502FB1D0}" destId="{737E2B6F-5AF7-402A-92E6-4EFC07966E94}"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9F02E0-76EE-47F7-A635-4F57A0142FA3}" type="doc">
      <dgm:prSet loTypeId="urn:microsoft.com/office/officeart/2005/8/layout/hProcess9" loCatId="process" qsTypeId="urn:microsoft.com/office/officeart/2005/8/quickstyle/simple1" qsCatId="simple" csTypeId="urn:microsoft.com/office/officeart/2005/8/colors/colorful4" csCatId="colorful" phldr="1"/>
      <dgm:spPr/>
      <dgm:t>
        <a:bodyPr/>
        <a:lstStyle/>
        <a:p>
          <a:endParaRPr lang="en-US"/>
        </a:p>
      </dgm:t>
    </dgm:pt>
    <dgm:pt modelId="{8E0EF99A-2473-4B5D-BD91-DD84005FD1FF}">
      <dgm:prSet phldrT="[Text]" custT="1"/>
      <dgm:spPr/>
      <dgm:t>
        <a:bodyPr/>
        <a:lstStyle/>
        <a:p>
          <a:r>
            <a:rPr lang="ro-MD" sz="1400" b="1">
              <a:solidFill>
                <a:schemeClr val="tx1"/>
              </a:solidFill>
              <a:latin typeface="+mj-lt"/>
            </a:rPr>
            <a:t>Structurile teritoriale de asistență socială</a:t>
          </a:r>
          <a:endParaRPr lang="en-US" sz="1400" b="1">
            <a:solidFill>
              <a:schemeClr val="tx1"/>
            </a:solidFill>
            <a:latin typeface="+mj-lt"/>
          </a:endParaRPr>
        </a:p>
        <a:p>
          <a:r>
            <a:rPr lang="ro-MD" sz="1200">
              <a:solidFill>
                <a:schemeClr val="tx1"/>
              </a:solidFill>
              <a:latin typeface="+mj-lt"/>
            </a:rPr>
            <a:t>acordă d</a:t>
          </a:r>
          <a:r>
            <a:rPr lang="ro-RO" sz="1200">
              <a:solidFill>
                <a:schemeClr val="tx1"/>
              </a:solidFill>
              <a:latin typeface="+mj-lt"/>
            </a:rPr>
            <a:t>reptul la ajutor social și/sau ajutor pentru perioada rece a anului </a:t>
          </a:r>
        </a:p>
      </dgm:t>
    </dgm:pt>
    <dgm:pt modelId="{C4CEA0B5-B711-4A57-BD93-AE53849F0542}" type="parTrans" cxnId="{9C64D775-86E8-429D-9BE6-FE84EEB20F10}">
      <dgm:prSet/>
      <dgm:spPr/>
      <dgm:t>
        <a:bodyPr/>
        <a:lstStyle/>
        <a:p>
          <a:endParaRPr lang="en-US"/>
        </a:p>
      </dgm:t>
    </dgm:pt>
    <dgm:pt modelId="{23BCBEB6-34BE-46AC-81D7-58CCCCEBEF54}" type="sibTrans" cxnId="{9C64D775-86E8-429D-9BE6-FE84EEB20F10}">
      <dgm:prSet/>
      <dgm:spPr/>
      <dgm:t>
        <a:bodyPr/>
        <a:lstStyle/>
        <a:p>
          <a:endParaRPr lang="en-US"/>
        </a:p>
      </dgm:t>
    </dgm:pt>
    <dgm:pt modelId="{CEDAA22D-A23D-438B-9443-118BE8A010F1}">
      <dgm:prSet phldrT="[Text]" custT="1"/>
      <dgm:spPr/>
      <dgm:t>
        <a:bodyPr/>
        <a:lstStyle/>
        <a:p>
          <a:pPr algn="ctr"/>
          <a:r>
            <a:rPr lang="ro-MD" sz="1400" b="1">
              <a:solidFill>
                <a:schemeClr val="tx1"/>
              </a:solidFill>
              <a:latin typeface="+mj-lt"/>
            </a:rPr>
            <a:t>CNAS</a:t>
          </a:r>
        </a:p>
        <a:p>
          <a:pPr algn="ctr"/>
          <a:r>
            <a:rPr lang="ro-RO" sz="1200">
              <a:solidFill>
                <a:schemeClr val="tx1"/>
              </a:solidFill>
              <a:latin typeface="+mj-lt"/>
            </a:rPr>
            <a:t>asigură plata prin intermediul prestatorilor serviciilor de plată</a:t>
          </a:r>
          <a:endParaRPr lang="en-US" sz="1200" b="1">
            <a:solidFill>
              <a:schemeClr val="tx1"/>
            </a:solidFill>
            <a:latin typeface="+mj-lt"/>
          </a:endParaRPr>
        </a:p>
      </dgm:t>
    </dgm:pt>
    <dgm:pt modelId="{AA27FD9C-BCB9-4371-A99C-047758E7BADB}" type="parTrans" cxnId="{ECDC6197-9970-4B0F-9911-3EA49406FCC3}">
      <dgm:prSet/>
      <dgm:spPr/>
      <dgm:t>
        <a:bodyPr/>
        <a:lstStyle/>
        <a:p>
          <a:endParaRPr lang="en-US"/>
        </a:p>
      </dgm:t>
    </dgm:pt>
    <dgm:pt modelId="{72EEFE4E-D9F6-4E94-8568-67CCEB2B47A8}" type="sibTrans" cxnId="{ECDC6197-9970-4B0F-9911-3EA49406FCC3}">
      <dgm:prSet/>
      <dgm:spPr/>
      <dgm:t>
        <a:bodyPr/>
        <a:lstStyle/>
        <a:p>
          <a:endParaRPr lang="en-US"/>
        </a:p>
      </dgm:t>
    </dgm:pt>
    <dgm:pt modelId="{4986671B-4879-4970-AB1B-04B5DB644FD6}">
      <dgm:prSet custT="1"/>
      <dgm:spPr/>
      <dgm:t>
        <a:bodyPr/>
        <a:lstStyle/>
        <a:p>
          <a:r>
            <a:rPr lang="ro-MD" sz="1400" b="1">
              <a:solidFill>
                <a:schemeClr val="tx1"/>
              </a:solidFill>
              <a:latin typeface="+mj-lt"/>
            </a:rPr>
            <a:t>Inspecția Socială</a:t>
          </a:r>
        </a:p>
        <a:p>
          <a:r>
            <a:rPr lang="ro-RO" sz="1200">
              <a:solidFill>
                <a:schemeClr val="tx1"/>
              </a:solidFill>
              <a:latin typeface="+mj-lt"/>
            </a:rPr>
            <a:t>efectuează verificarea modului de aplicare corectă şi unitară a cadrului regulamentar </a:t>
          </a:r>
          <a:endParaRPr lang="en-US" sz="1400" b="1">
            <a:solidFill>
              <a:schemeClr val="tx1"/>
            </a:solidFill>
            <a:latin typeface="+mj-lt"/>
          </a:endParaRPr>
        </a:p>
      </dgm:t>
    </dgm:pt>
    <dgm:pt modelId="{5E12C7D8-F9ED-4482-B123-516E8B57ACEE}" type="parTrans" cxnId="{CE7583C5-F5C1-4475-BF00-D67055D9DCAD}">
      <dgm:prSet/>
      <dgm:spPr/>
      <dgm:t>
        <a:bodyPr/>
        <a:lstStyle/>
        <a:p>
          <a:endParaRPr lang="en-US"/>
        </a:p>
      </dgm:t>
    </dgm:pt>
    <dgm:pt modelId="{F53EF8BC-EACF-42FB-84A6-D59B8AFF0965}" type="sibTrans" cxnId="{CE7583C5-F5C1-4475-BF00-D67055D9DCAD}">
      <dgm:prSet/>
      <dgm:spPr/>
      <dgm:t>
        <a:bodyPr/>
        <a:lstStyle/>
        <a:p>
          <a:endParaRPr lang="en-US"/>
        </a:p>
      </dgm:t>
    </dgm:pt>
    <dgm:pt modelId="{5E1C7092-7233-46C2-A587-AF2740ED5290}" type="pres">
      <dgm:prSet presAssocID="{9B9F02E0-76EE-47F7-A635-4F57A0142FA3}" presName="CompostProcess" presStyleCnt="0">
        <dgm:presLayoutVars>
          <dgm:dir/>
          <dgm:resizeHandles val="exact"/>
        </dgm:presLayoutVars>
      </dgm:prSet>
      <dgm:spPr/>
      <dgm:t>
        <a:bodyPr/>
        <a:lstStyle/>
        <a:p>
          <a:endParaRPr lang="en-US"/>
        </a:p>
      </dgm:t>
    </dgm:pt>
    <dgm:pt modelId="{025B96B0-74AE-4A4F-8E07-C7A1F11D8EB3}" type="pres">
      <dgm:prSet presAssocID="{9B9F02E0-76EE-47F7-A635-4F57A0142FA3}" presName="arrow" presStyleLbl="bgShp" presStyleIdx="0" presStyleCnt="1"/>
      <dgm:spPr/>
      <dgm:t>
        <a:bodyPr/>
        <a:lstStyle/>
        <a:p>
          <a:endParaRPr lang="en-US"/>
        </a:p>
      </dgm:t>
    </dgm:pt>
    <dgm:pt modelId="{448D1C18-C05D-4DC6-B0C9-45A0E8232910}" type="pres">
      <dgm:prSet presAssocID="{9B9F02E0-76EE-47F7-A635-4F57A0142FA3}" presName="linearProcess" presStyleCnt="0"/>
      <dgm:spPr/>
      <dgm:t>
        <a:bodyPr/>
        <a:lstStyle/>
        <a:p>
          <a:endParaRPr lang="en-US"/>
        </a:p>
      </dgm:t>
    </dgm:pt>
    <dgm:pt modelId="{33051E1F-2923-4017-A226-FE281D600CBB}" type="pres">
      <dgm:prSet presAssocID="{8E0EF99A-2473-4B5D-BD91-DD84005FD1FF}" presName="textNode" presStyleLbl="node1" presStyleIdx="0" presStyleCnt="3" custScaleX="109257" custScaleY="109147">
        <dgm:presLayoutVars>
          <dgm:bulletEnabled val="1"/>
        </dgm:presLayoutVars>
      </dgm:prSet>
      <dgm:spPr/>
      <dgm:t>
        <a:bodyPr/>
        <a:lstStyle/>
        <a:p>
          <a:endParaRPr lang="en-US"/>
        </a:p>
      </dgm:t>
    </dgm:pt>
    <dgm:pt modelId="{0F62C566-5779-4117-AD10-C083DD1E55C1}" type="pres">
      <dgm:prSet presAssocID="{23BCBEB6-34BE-46AC-81D7-58CCCCEBEF54}" presName="sibTrans" presStyleCnt="0"/>
      <dgm:spPr/>
      <dgm:t>
        <a:bodyPr/>
        <a:lstStyle/>
        <a:p>
          <a:endParaRPr lang="en-US"/>
        </a:p>
      </dgm:t>
    </dgm:pt>
    <dgm:pt modelId="{F14D24E1-969B-4C1A-9E6B-DD6DCD225138}" type="pres">
      <dgm:prSet presAssocID="{4986671B-4879-4970-AB1B-04B5DB644FD6}" presName="textNode" presStyleLbl="node1" presStyleIdx="1" presStyleCnt="3" custScaleX="105323" custScaleY="109147">
        <dgm:presLayoutVars>
          <dgm:bulletEnabled val="1"/>
        </dgm:presLayoutVars>
      </dgm:prSet>
      <dgm:spPr/>
      <dgm:t>
        <a:bodyPr/>
        <a:lstStyle/>
        <a:p>
          <a:endParaRPr lang="en-US"/>
        </a:p>
      </dgm:t>
    </dgm:pt>
    <dgm:pt modelId="{F573D52D-F088-4186-9B03-DD3EB0ED3465}" type="pres">
      <dgm:prSet presAssocID="{F53EF8BC-EACF-42FB-84A6-D59B8AFF0965}" presName="sibTrans" presStyleCnt="0"/>
      <dgm:spPr/>
      <dgm:t>
        <a:bodyPr/>
        <a:lstStyle/>
        <a:p>
          <a:endParaRPr lang="en-US"/>
        </a:p>
      </dgm:t>
    </dgm:pt>
    <dgm:pt modelId="{E206B99D-12F2-4047-BF6F-60023A79E230}" type="pres">
      <dgm:prSet presAssocID="{CEDAA22D-A23D-438B-9443-118BE8A010F1}" presName="textNode" presStyleLbl="node1" presStyleIdx="2" presStyleCnt="3" custScaleX="105323" custScaleY="109147" custLinFactNeighborX="-13468">
        <dgm:presLayoutVars>
          <dgm:bulletEnabled val="1"/>
        </dgm:presLayoutVars>
      </dgm:prSet>
      <dgm:spPr/>
      <dgm:t>
        <a:bodyPr/>
        <a:lstStyle/>
        <a:p>
          <a:endParaRPr lang="en-US"/>
        </a:p>
      </dgm:t>
    </dgm:pt>
  </dgm:ptLst>
  <dgm:cxnLst>
    <dgm:cxn modelId="{CE7583C5-F5C1-4475-BF00-D67055D9DCAD}" srcId="{9B9F02E0-76EE-47F7-A635-4F57A0142FA3}" destId="{4986671B-4879-4970-AB1B-04B5DB644FD6}" srcOrd="1" destOrd="0" parTransId="{5E12C7D8-F9ED-4482-B123-516E8B57ACEE}" sibTransId="{F53EF8BC-EACF-42FB-84A6-D59B8AFF0965}"/>
    <dgm:cxn modelId="{B30511F3-8E90-4A3B-AC23-A6A091480408}" type="presOf" srcId="{8E0EF99A-2473-4B5D-BD91-DD84005FD1FF}" destId="{33051E1F-2923-4017-A226-FE281D600CBB}" srcOrd="0" destOrd="0" presId="urn:microsoft.com/office/officeart/2005/8/layout/hProcess9"/>
    <dgm:cxn modelId="{8A62B5E7-17A3-4D86-B6A3-2398DE37EE6B}" type="presOf" srcId="{CEDAA22D-A23D-438B-9443-118BE8A010F1}" destId="{E206B99D-12F2-4047-BF6F-60023A79E230}" srcOrd="0" destOrd="0" presId="urn:microsoft.com/office/officeart/2005/8/layout/hProcess9"/>
    <dgm:cxn modelId="{6A6E5E70-27DA-4273-8D6E-D6DDCBD2E401}" type="presOf" srcId="{4986671B-4879-4970-AB1B-04B5DB644FD6}" destId="{F14D24E1-969B-4C1A-9E6B-DD6DCD225138}" srcOrd="0" destOrd="0" presId="urn:microsoft.com/office/officeart/2005/8/layout/hProcess9"/>
    <dgm:cxn modelId="{9C64D775-86E8-429D-9BE6-FE84EEB20F10}" srcId="{9B9F02E0-76EE-47F7-A635-4F57A0142FA3}" destId="{8E0EF99A-2473-4B5D-BD91-DD84005FD1FF}" srcOrd="0" destOrd="0" parTransId="{C4CEA0B5-B711-4A57-BD93-AE53849F0542}" sibTransId="{23BCBEB6-34BE-46AC-81D7-58CCCCEBEF54}"/>
    <dgm:cxn modelId="{ECDC6197-9970-4B0F-9911-3EA49406FCC3}" srcId="{9B9F02E0-76EE-47F7-A635-4F57A0142FA3}" destId="{CEDAA22D-A23D-438B-9443-118BE8A010F1}" srcOrd="2" destOrd="0" parTransId="{AA27FD9C-BCB9-4371-A99C-047758E7BADB}" sibTransId="{72EEFE4E-D9F6-4E94-8568-67CCEB2B47A8}"/>
    <dgm:cxn modelId="{ECC01560-40D8-4AE3-90CD-C928326D5152}" type="presOf" srcId="{9B9F02E0-76EE-47F7-A635-4F57A0142FA3}" destId="{5E1C7092-7233-46C2-A587-AF2740ED5290}" srcOrd="0" destOrd="0" presId="urn:microsoft.com/office/officeart/2005/8/layout/hProcess9"/>
    <dgm:cxn modelId="{936A6E66-4C83-4AD3-8481-29430E308FC1}" type="presParOf" srcId="{5E1C7092-7233-46C2-A587-AF2740ED5290}" destId="{025B96B0-74AE-4A4F-8E07-C7A1F11D8EB3}" srcOrd="0" destOrd="0" presId="urn:microsoft.com/office/officeart/2005/8/layout/hProcess9"/>
    <dgm:cxn modelId="{952AC67A-8F1A-4B3B-B547-22286D01DA22}" type="presParOf" srcId="{5E1C7092-7233-46C2-A587-AF2740ED5290}" destId="{448D1C18-C05D-4DC6-B0C9-45A0E8232910}" srcOrd="1" destOrd="0" presId="urn:microsoft.com/office/officeart/2005/8/layout/hProcess9"/>
    <dgm:cxn modelId="{1A8E0D45-863D-4445-B6AB-63E5B10DCC4D}" type="presParOf" srcId="{448D1C18-C05D-4DC6-B0C9-45A0E8232910}" destId="{33051E1F-2923-4017-A226-FE281D600CBB}" srcOrd="0" destOrd="0" presId="urn:microsoft.com/office/officeart/2005/8/layout/hProcess9"/>
    <dgm:cxn modelId="{72F57F1D-F7BD-440A-B3DC-72A17F7C9C0D}" type="presParOf" srcId="{448D1C18-C05D-4DC6-B0C9-45A0E8232910}" destId="{0F62C566-5779-4117-AD10-C083DD1E55C1}" srcOrd="1" destOrd="0" presId="urn:microsoft.com/office/officeart/2005/8/layout/hProcess9"/>
    <dgm:cxn modelId="{F9006461-E786-4E54-A7FE-6941542A5EF8}" type="presParOf" srcId="{448D1C18-C05D-4DC6-B0C9-45A0E8232910}" destId="{F14D24E1-969B-4C1A-9E6B-DD6DCD225138}" srcOrd="2" destOrd="0" presId="urn:microsoft.com/office/officeart/2005/8/layout/hProcess9"/>
    <dgm:cxn modelId="{5A543C8D-847C-49CA-BDFD-5A615E67533A}" type="presParOf" srcId="{448D1C18-C05D-4DC6-B0C9-45A0E8232910}" destId="{F573D52D-F088-4186-9B03-DD3EB0ED3465}" srcOrd="3" destOrd="0" presId="urn:microsoft.com/office/officeart/2005/8/layout/hProcess9"/>
    <dgm:cxn modelId="{6016EA77-4EC7-42E3-94DE-3632588486A3}" type="presParOf" srcId="{448D1C18-C05D-4DC6-B0C9-45A0E8232910}" destId="{E206B99D-12F2-4047-BF6F-60023A79E230}"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D4A962-3310-459E-9B1C-DC2A8AA98040}"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en-US"/>
        </a:p>
      </dgm:t>
    </dgm:pt>
    <dgm:pt modelId="{7F8612A2-0217-4C28-85A6-63AED5561BFF}">
      <dgm:prSet phldrT="[Text]"/>
      <dgm:spPr/>
      <dgm:t>
        <a:bodyPr/>
        <a:lstStyle/>
        <a:p>
          <a:r>
            <a:rPr lang="ro-MD">
              <a:latin typeface="+mj-lt"/>
            </a:rPr>
            <a:t>IMSP</a:t>
          </a:r>
          <a:endParaRPr lang="en-US">
            <a:latin typeface="+mj-lt"/>
          </a:endParaRPr>
        </a:p>
      </dgm:t>
    </dgm:pt>
    <dgm:pt modelId="{EC70EE78-4D7C-40C6-8D87-FE8AF12AEBFA}" type="parTrans" cxnId="{D90B0FED-00EA-4049-A244-1CC67F613062}">
      <dgm:prSet/>
      <dgm:spPr/>
      <dgm:t>
        <a:bodyPr/>
        <a:lstStyle/>
        <a:p>
          <a:endParaRPr lang="en-US">
            <a:latin typeface="+mj-lt"/>
          </a:endParaRPr>
        </a:p>
      </dgm:t>
    </dgm:pt>
    <dgm:pt modelId="{36608651-8738-47E0-9697-4C48DD378C6A}" type="sibTrans" cxnId="{D90B0FED-00EA-4049-A244-1CC67F613062}">
      <dgm:prSet/>
      <dgm:spPr/>
      <dgm:t>
        <a:bodyPr/>
        <a:lstStyle/>
        <a:p>
          <a:endParaRPr lang="en-US">
            <a:latin typeface="+mj-lt"/>
          </a:endParaRPr>
        </a:p>
      </dgm:t>
    </dgm:pt>
    <dgm:pt modelId="{FACC9D71-A04C-4501-9356-EDD114D85278}">
      <dgm:prSet phldrT="[Text]" custT="1"/>
      <dgm:spPr/>
      <dgm:t>
        <a:bodyPr/>
        <a:lstStyle/>
        <a:p>
          <a:r>
            <a:rPr lang="ro-MD" sz="1000">
              <a:latin typeface="+mj-lt"/>
            </a:rPr>
            <a:t>eliberează certificatul concediului medical</a:t>
          </a:r>
          <a:endParaRPr lang="en-US" sz="1000">
            <a:latin typeface="+mj-lt"/>
          </a:endParaRPr>
        </a:p>
      </dgm:t>
    </dgm:pt>
    <dgm:pt modelId="{5959721C-8CFD-4B88-84FF-49D82FDBC342}" type="parTrans" cxnId="{11FAA97D-66B5-46B9-9043-60044A873C3A}">
      <dgm:prSet/>
      <dgm:spPr/>
      <dgm:t>
        <a:bodyPr/>
        <a:lstStyle/>
        <a:p>
          <a:endParaRPr lang="en-US">
            <a:latin typeface="+mj-lt"/>
          </a:endParaRPr>
        </a:p>
      </dgm:t>
    </dgm:pt>
    <dgm:pt modelId="{1380F754-1A74-417E-B0C6-9B4DD6DFCC70}" type="sibTrans" cxnId="{11FAA97D-66B5-46B9-9043-60044A873C3A}">
      <dgm:prSet/>
      <dgm:spPr/>
      <dgm:t>
        <a:bodyPr/>
        <a:lstStyle/>
        <a:p>
          <a:endParaRPr lang="en-US">
            <a:latin typeface="+mj-lt"/>
          </a:endParaRPr>
        </a:p>
      </dgm:t>
    </dgm:pt>
    <dgm:pt modelId="{7720C4E8-8227-4B40-86BE-A94F82D26F7D}">
      <dgm:prSet phldrT="[Text]" custT="1"/>
      <dgm:spPr/>
      <dgm:t>
        <a:bodyPr/>
        <a:lstStyle/>
        <a:p>
          <a:r>
            <a:rPr lang="ro-MD" sz="1000">
              <a:latin typeface="+mj-lt"/>
            </a:rPr>
            <a:t>introduce datele din certificat </a:t>
          </a:r>
          <a:r>
            <a:rPr lang="ro-MD" sz="1000" b="1">
              <a:latin typeface="+mj-lt"/>
            </a:rPr>
            <a:t>în decurs de 5 zile </a:t>
          </a:r>
          <a:r>
            <a:rPr lang="ro-MD" sz="1000">
              <a:latin typeface="+mj-lt"/>
            </a:rPr>
            <a:t>în Portalul certificatelor de concediu medical </a:t>
          </a:r>
          <a:endParaRPr lang="en-US" sz="1000">
            <a:latin typeface="+mj-lt"/>
          </a:endParaRPr>
        </a:p>
      </dgm:t>
    </dgm:pt>
    <dgm:pt modelId="{417A5239-6D99-4691-BA5B-A270860CD84A}" type="parTrans" cxnId="{C49C2B9E-3846-44A4-BFD9-EC7113364ABD}">
      <dgm:prSet/>
      <dgm:spPr/>
      <dgm:t>
        <a:bodyPr/>
        <a:lstStyle/>
        <a:p>
          <a:endParaRPr lang="en-US">
            <a:latin typeface="+mj-lt"/>
          </a:endParaRPr>
        </a:p>
      </dgm:t>
    </dgm:pt>
    <dgm:pt modelId="{CE2BF6EC-8619-4A2C-AE86-1C66BE1E98CF}" type="sibTrans" cxnId="{C49C2B9E-3846-44A4-BFD9-EC7113364ABD}">
      <dgm:prSet/>
      <dgm:spPr/>
      <dgm:t>
        <a:bodyPr/>
        <a:lstStyle/>
        <a:p>
          <a:endParaRPr lang="en-US">
            <a:latin typeface="+mj-lt"/>
          </a:endParaRPr>
        </a:p>
      </dgm:t>
    </dgm:pt>
    <dgm:pt modelId="{CEBAD458-84EB-4708-AC0D-E62D9F3399F0}">
      <dgm:prSet phldrT="[Text]"/>
      <dgm:spPr/>
      <dgm:t>
        <a:bodyPr/>
        <a:lstStyle/>
        <a:p>
          <a:r>
            <a:rPr lang="ro-MD">
              <a:latin typeface="+mj-lt"/>
            </a:rPr>
            <a:t>MSMPS</a:t>
          </a:r>
          <a:endParaRPr lang="en-US">
            <a:latin typeface="+mj-lt"/>
          </a:endParaRPr>
        </a:p>
      </dgm:t>
    </dgm:pt>
    <dgm:pt modelId="{85E60BF4-442B-473A-8A77-C91B2EE802B2}" type="parTrans" cxnId="{EA27CA21-B3E7-4BD1-BC37-1F1DD1175F45}">
      <dgm:prSet/>
      <dgm:spPr/>
      <dgm:t>
        <a:bodyPr/>
        <a:lstStyle/>
        <a:p>
          <a:endParaRPr lang="en-US">
            <a:latin typeface="+mj-lt"/>
          </a:endParaRPr>
        </a:p>
      </dgm:t>
    </dgm:pt>
    <dgm:pt modelId="{1FDB4FF5-8A4D-4F67-BD3D-4B9008F808AA}" type="sibTrans" cxnId="{EA27CA21-B3E7-4BD1-BC37-1F1DD1175F45}">
      <dgm:prSet/>
      <dgm:spPr/>
      <dgm:t>
        <a:bodyPr/>
        <a:lstStyle/>
        <a:p>
          <a:endParaRPr lang="en-US">
            <a:latin typeface="+mj-lt"/>
          </a:endParaRPr>
        </a:p>
      </dgm:t>
    </dgm:pt>
    <dgm:pt modelId="{90FE83C3-8C93-4BF8-A1CA-BDF67F927C96}">
      <dgm:prSet phldrT="[Text]" custT="1"/>
      <dgm:spPr/>
      <dgm:t>
        <a:bodyPr/>
        <a:lstStyle/>
        <a:p>
          <a:r>
            <a:rPr lang="ro-MD" sz="1000">
              <a:latin typeface="+mj-lt"/>
            </a:rPr>
            <a:t>recepționează în Portal datele din certificatul de concediu medical</a:t>
          </a:r>
          <a:endParaRPr lang="en-US" sz="1000">
            <a:latin typeface="+mj-lt"/>
          </a:endParaRPr>
        </a:p>
      </dgm:t>
    </dgm:pt>
    <dgm:pt modelId="{E970A722-711E-45F3-856B-BE52C3F9BC5B}" type="parTrans" cxnId="{940A81FE-A28B-4379-AA18-ABD7CD455DE1}">
      <dgm:prSet/>
      <dgm:spPr/>
      <dgm:t>
        <a:bodyPr/>
        <a:lstStyle/>
        <a:p>
          <a:endParaRPr lang="en-US">
            <a:latin typeface="+mj-lt"/>
          </a:endParaRPr>
        </a:p>
      </dgm:t>
    </dgm:pt>
    <dgm:pt modelId="{4228DE43-F1F0-417F-AD29-F2A3E308ED99}" type="sibTrans" cxnId="{940A81FE-A28B-4379-AA18-ABD7CD455DE1}">
      <dgm:prSet/>
      <dgm:spPr/>
      <dgm:t>
        <a:bodyPr/>
        <a:lstStyle/>
        <a:p>
          <a:endParaRPr lang="en-US">
            <a:latin typeface="+mj-lt"/>
          </a:endParaRPr>
        </a:p>
      </dgm:t>
    </dgm:pt>
    <dgm:pt modelId="{30A0D28B-A946-4CE8-8DE2-E00EC33A7DC0}">
      <dgm:prSet phldrT="[Text]" custT="1"/>
      <dgm:spPr/>
      <dgm:t>
        <a:bodyPr/>
        <a:lstStyle/>
        <a:p>
          <a:r>
            <a:rPr lang="ro-MD" sz="1000">
              <a:latin typeface="+mj-lt"/>
            </a:rPr>
            <a:t>transmiterea automată a datelor din certificatul de concediu medical prin intermediul Portalului către CNAS</a:t>
          </a:r>
          <a:endParaRPr lang="en-US" sz="1000">
            <a:latin typeface="+mj-lt"/>
          </a:endParaRPr>
        </a:p>
      </dgm:t>
    </dgm:pt>
    <dgm:pt modelId="{D205ADA8-F575-496D-9F2A-1B1C9CF984A6}" type="parTrans" cxnId="{86C79055-5385-42CA-9381-DEBBA4E355BE}">
      <dgm:prSet/>
      <dgm:spPr/>
      <dgm:t>
        <a:bodyPr/>
        <a:lstStyle/>
        <a:p>
          <a:endParaRPr lang="en-US">
            <a:latin typeface="+mj-lt"/>
          </a:endParaRPr>
        </a:p>
      </dgm:t>
    </dgm:pt>
    <dgm:pt modelId="{8EE6502F-8B53-4F35-9373-DF10B71EFC76}" type="sibTrans" cxnId="{86C79055-5385-42CA-9381-DEBBA4E355BE}">
      <dgm:prSet/>
      <dgm:spPr/>
      <dgm:t>
        <a:bodyPr/>
        <a:lstStyle/>
        <a:p>
          <a:endParaRPr lang="en-US">
            <a:latin typeface="+mj-lt"/>
          </a:endParaRPr>
        </a:p>
      </dgm:t>
    </dgm:pt>
    <dgm:pt modelId="{19D86033-E314-4ECE-9A74-DC3E0B0417E8}">
      <dgm:prSet phldrT="[Text]"/>
      <dgm:spPr/>
      <dgm:t>
        <a:bodyPr/>
        <a:lstStyle/>
        <a:p>
          <a:r>
            <a:rPr lang="ro-MD">
              <a:latin typeface="+mj-lt"/>
            </a:rPr>
            <a:t>CNAS</a:t>
          </a:r>
          <a:endParaRPr lang="en-US">
            <a:latin typeface="+mj-lt"/>
          </a:endParaRPr>
        </a:p>
      </dgm:t>
    </dgm:pt>
    <dgm:pt modelId="{829F92D0-CDF8-4944-A4E4-BD45B163BAFF}" type="parTrans" cxnId="{BD6EF880-7FEF-42E4-952E-A17EC71A103B}">
      <dgm:prSet/>
      <dgm:spPr/>
      <dgm:t>
        <a:bodyPr/>
        <a:lstStyle/>
        <a:p>
          <a:endParaRPr lang="en-US">
            <a:latin typeface="+mj-lt"/>
          </a:endParaRPr>
        </a:p>
      </dgm:t>
    </dgm:pt>
    <dgm:pt modelId="{A71CA882-B7A8-496B-8A72-9E424901B044}" type="sibTrans" cxnId="{BD6EF880-7FEF-42E4-952E-A17EC71A103B}">
      <dgm:prSet/>
      <dgm:spPr/>
      <dgm:t>
        <a:bodyPr/>
        <a:lstStyle/>
        <a:p>
          <a:endParaRPr lang="en-US">
            <a:latin typeface="+mj-lt"/>
          </a:endParaRPr>
        </a:p>
      </dgm:t>
    </dgm:pt>
    <dgm:pt modelId="{5F0F079C-3BF1-48F6-8D45-8C3454F54F19}">
      <dgm:prSet phldrT="[Text]" custT="1"/>
      <dgm:spPr/>
      <dgm:t>
        <a:bodyPr/>
        <a:lstStyle/>
        <a:p>
          <a:r>
            <a:rPr lang="ro-MD" sz="1000">
              <a:latin typeface="+mj-lt"/>
            </a:rPr>
            <a:t>recepționează datele din Portalul certificatelor de concediu medical</a:t>
          </a:r>
          <a:endParaRPr lang="en-US" sz="1000">
            <a:latin typeface="+mj-lt"/>
          </a:endParaRPr>
        </a:p>
      </dgm:t>
    </dgm:pt>
    <dgm:pt modelId="{7CA070C9-2FC5-477A-A218-5F427971A069}" type="parTrans" cxnId="{D82E8B8E-1F60-45E8-9857-9C2D38249032}">
      <dgm:prSet/>
      <dgm:spPr/>
      <dgm:t>
        <a:bodyPr/>
        <a:lstStyle/>
        <a:p>
          <a:endParaRPr lang="en-US">
            <a:latin typeface="+mj-lt"/>
          </a:endParaRPr>
        </a:p>
      </dgm:t>
    </dgm:pt>
    <dgm:pt modelId="{EA0AA15C-9149-4CF9-807F-939766E10CDB}" type="sibTrans" cxnId="{D82E8B8E-1F60-45E8-9857-9C2D38249032}">
      <dgm:prSet/>
      <dgm:spPr/>
      <dgm:t>
        <a:bodyPr/>
        <a:lstStyle/>
        <a:p>
          <a:endParaRPr lang="en-US">
            <a:latin typeface="+mj-lt"/>
          </a:endParaRPr>
        </a:p>
      </dgm:t>
    </dgm:pt>
    <dgm:pt modelId="{B25FF4F5-C494-4A4B-B6B2-88C539140815}">
      <dgm:prSet phldrT="[Text]" custT="1"/>
      <dgm:spPr/>
      <dgm:t>
        <a:bodyPr/>
        <a:lstStyle/>
        <a:p>
          <a:r>
            <a:rPr lang="ro-MD" sz="1000">
              <a:latin typeface="+mj-lt"/>
            </a:rPr>
            <a:t>stabilirea indemnizației de incapacitate temporară de muncă în </a:t>
          </a:r>
          <a:r>
            <a:rPr lang="ro-MD" sz="1000" b="1">
              <a:latin typeface="+mj-lt"/>
            </a:rPr>
            <a:t>decurs de 15-30 zile</a:t>
          </a:r>
          <a:endParaRPr lang="en-US" sz="1000" b="1">
            <a:latin typeface="+mj-lt"/>
          </a:endParaRPr>
        </a:p>
      </dgm:t>
    </dgm:pt>
    <dgm:pt modelId="{BC262C7E-B2C0-4347-AC96-A06E11CE1C44}" type="parTrans" cxnId="{435D05F6-A2FD-4A37-9267-8AEB5140006C}">
      <dgm:prSet/>
      <dgm:spPr/>
      <dgm:t>
        <a:bodyPr/>
        <a:lstStyle/>
        <a:p>
          <a:endParaRPr lang="en-US">
            <a:latin typeface="+mj-lt"/>
          </a:endParaRPr>
        </a:p>
      </dgm:t>
    </dgm:pt>
    <dgm:pt modelId="{8044E6B2-AD13-41B5-9864-836751C32AA4}" type="sibTrans" cxnId="{435D05F6-A2FD-4A37-9267-8AEB5140006C}">
      <dgm:prSet/>
      <dgm:spPr/>
      <dgm:t>
        <a:bodyPr/>
        <a:lstStyle/>
        <a:p>
          <a:endParaRPr lang="en-US">
            <a:latin typeface="+mj-lt"/>
          </a:endParaRPr>
        </a:p>
      </dgm:t>
    </dgm:pt>
    <dgm:pt modelId="{FCCB179D-5C2F-4B10-978A-088146A8A5E0}" type="pres">
      <dgm:prSet presAssocID="{81D4A962-3310-459E-9B1C-DC2A8AA98040}" presName="Name0" presStyleCnt="0">
        <dgm:presLayoutVars>
          <dgm:dir/>
          <dgm:animLvl val="lvl"/>
          <dgm:resizeHandles val="exact"/>
        </dgm:presLayoutVars>
      </dgm:prSet>
      <dgm:spPr/>
      <dgm:t>
        <a:bodyPr/>
        <a:lstStyle/>
        <a:p>
          <a:endParaRPr lang="en-US"/>
        </a:p>
      </dgm:t>
    </dgm:pt>
    <dgm:pt modelId="{E577140C-95F8-450D-94B3-146FAF4F3FD7}" type="pres">
      <dgm:prSet presAssocID="{81D4A962-3310-459E-9B1C-DC2A8AA98040}" presName="tSp" presStyleCnt="0"/>
      <dgm:spPr/>
      <dgm:t>
        <a:bodyPr/>
        <a:lstStyle/>
        <a:p>
          <a:endParaRPr lang="en-US"/>
        </a:p>
      </dgm:t>
    </dgm:pt>
    <dgm:pt modelId="{E40ACE2E-06E0-4049-836A-02E6FF4B7532}" type="pres">
      <dgm:prSet presAssocID="{81D4A962-3310-459E-9B1C-DC2A8AA98040}" presName="bSp" presStyleCnt="0"/>
      <dgm:spPr/>
      <dgm:t>
        <a:bodyPr/>
        <a:lstStyle/>
        <a:p>
          <a:endParaRPr lang="en-US"/>
        </a:p>
      </dgm:t>
    </dgm:pt>
    <dgm:pt modelId="{E45FB40E-0BA0-4D03-9350-4BFCD3F17EF6}" type="pres">
      <dgm:prSet presAssocID="{81D4A962-3310-459E-9B1C-DC2A8AA98040}" presName="process" presStyleCnt="0"/>
      <dgm:spPr/>
      <dgm:t>
        <a:bodyPr/>
        <a:lstStyle/>
        <a:p>
          <a:endParaRPr lang="en-US"/>
        </a:p>
      </dgm:t>
    </dgm:pt>
    <dgm:pt modelId="{1032756C-8CB6-4A3B-B264-9B6257942DDD}" type="pres">
      <dgm:prSet presAssocID="{7F8612A2-0217-4C28-85A6-63AED5561BFF}" presName="composite1" presStyleCnt="0"/>
      <dgm:spPr/>
      <dgm:t>
        <a:bodyPr/>
        <a:lstStyle/>
        <a:p>
          <a:endParaRPr lang="en-US"/>
        </a:p>
      </dgm:t>
    </dgm:pt>
    <dgm:pt modelId="{04D5468D-B85B-4D87-B74F-9BA771B2DD1C}" type="pres">
      <dgm:prSet presAssocID="{7F8612A2-0217-4C28-85A6-63AED5561BFF}" presName="dummyNode1" presStyleLbl="node1" presStyleIdx="0" presStyleCnt="3"/>
      <dgm:spPr/>
      <dgm:t>
        <a:bodyPr/>
        <a:lstStyle/>
        <a:p>
          <a:endParaRPr lang="en-US"/>
        </a:p>
      </dgm:t>
    </dgm:pt>
    <dgm:pt modelId="{4FC25ADE-94E4-4349-8703-2C4D37BDC948}" type="pres">
      <dgm:prSet presAssocID="{7F8612A2-0217-4C28-85A6-63AED5561BFF}" presName="childNode1" presStyleLbl="bgAcc1" presStyleIdx="0" presStyleCnt="3" custScaleX="116930" custScaleY="116216" custLinFactNeighborX="-2853" custLinFactNeighborY="-3459">
        <dgm:presLayoutVars>
          <dgm:bulletEnabled val="1"/>
        </dgm:presLayoutVars>
      </dgm:prSet>
      <dgm:spPr/>
      <dgm:t>
        <a:bodyPr/>
        <a:lstStyle/>
        <a:p>
          <a:endParaRPr lang="en-US"/>
        </a:p>
      </dgm:t>
    </dgm:pt>
    <dgm:pt modelId="{AE320582-18F9-4E55-B19A-79F6B406A0EA}" type="pres">
      <dgm:prSet presAssocID="{7F8612A2-0217-4C28-85A6-63AED5561BFF}" presName="childNode1tx" presStyleLbl="bgAcc1" presStyleIdx="0" presStyleCnt="3">
        <dgm:presLayoutVars>
          <dgm:bulletEnabled val="1"/>
        </dgm:presLayoutVars>
      </dgm:prSet>
      <dgm:spPr/>
      <dgm:t>
        <a:bodyPr/>
        <a:lstStyle/>
        <a:p>
          <a:endParaRPr lang="en-US"/>
        </a:p>
      </dgm:t>
    </dgm:pt>
    <dgm:pt modelId="{EF9F51F0-1BE5-49F5-B010-84B89445B064}" type="pres">
      <dgm:prSet presAssocID="{7F8612A2-0217-4C28-85A6-63AED5561BFF}" presName="parentNode1" presStyleLbl="node1" presStyleIdx="0" presStyleCnt="3" custLinFactNeighborX="-3446" custLinFactNeighborY="20222">
        <dgm:presLayoutVars>
          <dgm:chMax val="1"/>
          <dgm:bulletEnabled val="1"/>
        </dgm:presLayoutVars>
      </dgm:prSet>
      <dgm:spPr/>
      <dgm:t>
        <a:bodyPr/>
        <a:lstStyle/>
        <a:p>
          <a:endParaRPr lang="en-US"/>
        </a:p>
      </dgm:t>
    </dgm:pt>
    <dgm:pt modelId="{55A28E82-DCF6-45F8-8961-D0CFD46A366D}" type="pres">
      <dgm:prSet presAssocID="{7F8612A2-0217-4C28-85A6-63AED5561BFF}" presName="connSite1" presStyleCnt="0"/>
      <dgm:spPr/>
      <dgm:t>
        <a:bodyPr/>
        <a:lstStyle/>
        <a:p>
          <a:endParaRPr lang="en-US"/>
        </a:p>
      </dgm:t>
    </dgm:pt>
    <dgm:pt modelId="{4AE01738-9417-4506-876D-021E1125557E}" type="pres">
      <dgm:prSet presAssocID="{36608651-8738-47E0-9697-4C48DD378C6A}" presName="Name9" presStyleLbl="sibTrans2D1" presStyleIdx="0" presStyleCnt="2" custAng="0" custLinFactNeighborX="-1281" custLinFactNeighborY="427"/>
      <dgm:spPr/>
      <dgm:t>
        <a:bodyPr/>
        <a:lstStyle/>
        <a:p>
          <a:endParaRPr lang="en-US"/>
        </a:p>
      </dgm:t>
    </dgm:pt>
    <dgm:pt modelId="{18541B92-5B29-44ED-B08B-4CC0DF0C4CFF}" type="pres">
      <dgm:prSet presAssocID="{CEBAD458-84EB-4708-AC0D-E62D9F3399F0}" presName="composite2" presStyleCnt="0"/>
      <dgm:spPr/>
      <dgm:t>
        <a:bodyPr/>
        <a:lstStyle/>
        <a:p>
          <a:endParaRPr lang="en-US"/>
        </a:p>
      </dgm:t>
    </dgm:pt>
    <dgm:pt modelId="{52BEB5F5-8E86-4E45-B74B-DD6A70E20612}" type="pres">
      <dgm:prSet presAssocID="{CEBAD458-84EB-4708-AC0D-E62D9F3399F0}" presName="dummyNode2" presStyleLbl="node1" presStyleIdx="0" presStyleCnt="3"/>
      <dgm:spPr/>
      <dgm:t>
        <a:bodyPr/>
        <a:lstStyle/>
        <a:p>
          <a:endParaRPr lang="en-US"/>
        </a:p>
      </dgm:t>
    </dgm:pt>
    <dgm:pt modelId="{86F100AB-8737-477D-9BB1-FAAF5D360A41}" type="pres">
      <dgm:prSet presAssocID="{CEBAD458-84EB-4708-AC0D-E62D9F3399F0}" presName="childNode2" presStyleLbl="bgAcc1" presStyleIdx="1" presStyleCnt="3" custScaleX="128533" custScaleY="133395" custLinFactNeighborX="-3804" custLinFactNeighborY="4469">
        <dgm:presLayoutVars>
          <dgm:bulletEnabled val="1"/>
        </dgm:presLayoutVars>
      </dgm:prSet>
      <dgm:spPr/>
      <dgm:t>
        <a:bodyPr/>
        <a:lstStyle/>
        <a:p>
          <a:endParaRPr lang="en-US"/>
        </a:p>
      </dgm:t>
    </dgm:pt>
    <dgm:pt modelId="{3FF80295-B7C7-4A7C-84B8-846A1C3AFA2E}" type="pres">
      <dgm:prSet presAssocID="{CEBAD458-84EB-4708-AC0D-E62D9F3399F0}" presName="childNode2tx" presStyleLbl="bgAcc1" presStyleIdx="1" presStyleCnt="3">
        <dgm:presLayoutVars>
          <dgm:bulletEnabled val="1"/>
        </dgm:presLayoutVars>
      </dgm:prSet>
      <dgm:spPr/>
      <dgm:t>
        <a:bodyPr/>
        <a:lstStyle/>
        <a:p>
          <a:endParaRPr lang="en-US"/>
        </a:p>
      </dgm:t>
    </dgm:pt>
    <dgm:pt modelId="{84F5F12F-D31C-4322-AD93-3C08F75DE1B0}" type="pres">
      <dgm:prSet presAssocID="{CEBAD458-84EB-4708-AC0D-E62D9F3399F0}" presName="parentNode2" presStyleLbl="node1" presStyleIdx="1" presStyleCnt="3">
        <dgm:presLayoutVars>
          <dgm:chMax val="0"/>
          <dgm:bulletEnabled val="1"/>
        </dgm:presLayoutVars>
      </dgm:prSet>
      <dgm:spPr/>
      <dgm:t>
        <a:bodyPr/>
        <a:lstStyle/>
        <a:p>
          <a:endParaRPr lang="en-US"/>
        </a:p>
      </dgm:t>
    </dgm:pt>
    <dgm:pt modelId="{7E8F22E4-3762-4AEC-A735-3D4E4DE4BC2D}" type="pres">
      <dgm:prSet presAssocID="{CEBAD458-84EB-4708-AC0D-E62D9F3399F0}" presName="connSite2" presStyleCnt="0"/>
      <dgm:spPr/>
      <dgm:t>
        <a:bodyPr/>
        <a:lstStyle/>
        <a:p>
          <a:endParaRPr lang="en-US"/>
        </a:p>
      </dgm:t>
    </dgm:pt>
    <dgm:pt modelId="{8D2B5C05-9C22-43CE-8400-C59A18BDD93D}" type="pres">
      <dgm:prSet presAssocID="{1FDB4FF5-8A4D-4F67-BD3D-4B9008F808AA}" presName="Name18" presStyleLbl="sibTrans2D1" presStyleIdx="1" presStyleCnt="2" custAng="209060" custLinFactNeighborX="1150" custLinFactNeighborY="3833"/>
      <dgm:spPr/>
      <dgm:t>
        <a:bodyPr/>
        <a:lstStyle/>
        <a:p>
          <a:endParaRPr lang="en-US"/>
        </a:p>
      </dgm:t>
    </dgm:pt>
    <dgm:pt modelId="{01BAD92A-C0B6-4C97-99B8-C8A54A7A33DB}" type="pres">
      <dgm:prSet presAssocID="{19D86033-E314-4ECE-9A74-DC3E0B0417E8}" presName="composite1" presStyleCnt="0"/>
      <dgm:spPr/>
      <dgm:t>
        <a:bodyPr/>
        <a:lstStyle/>
        <a:p>
          <a:endParaRPr lang="en-US"/>
        </a:p>
      </dgm:t>
    </dgm:pt>
    <dgm:pt modelId="{1C17EE01-B6B8-4E9C-85B0-58942F662786}" type="pres">
      <dgm:prSet presAssocID="{19D86033-E314-4ECE-9A74-DC3E0B0417E8}" presName="dummyNode1" presStyleLbl="node1" presStyleIdx="1" presStyleCnt="3"/>
      <dgm:spPr/>
      <dgm:t>
        <a:bodyPr/>
        <a:lstStyle/>
        <a:p>
          <a:endParaRPr lang="en-US"/>
        </a:p>
      </dgm:t>
    </dgm:pt>
    <dgm:pt modelId="{6C9E5600-10E3-40A0-9229-07E3E6709E5B}" type="pres">
      <dgm:prSet presAssocID="{19D86033-E314-4ECE-9A74-DC3E0B0417E8}" presName="childNode1" presStyleLbl="bgAcc1" presStyleIdx="2" presStyleCnt="3" custScaleX="119693" custScaleY="112429" custLinFactNeighborX="-2853" custLinFactNeighborY="-3459">
        <dgm:presLayoutVars>
          <dgm:bulletEnabled val="1"/>
        </dgm:presLayoutVars>
      </dgm:prSet>
      <dgm:spPr/>
      <dgm:t>
        <a:bodyPr/>
        <a:lstStyle/>
        <a:p>
          <a:endParaRPr lang="en-US"/>
        </a:p>
      </dgm:t>
    </dgm:pt>
    <dgm:pt modelId="{1797D3BE-C183-4297-B0FD-05CDFDF6BE3A}" type="pres">
      <dgm:prSet presAssocID="{19D86033-E314-4ECE-9A74-DC3E0B0417E8}" presName="childNode1tx" presStyleLbl="bgAcc1" presStyleIdx="2" presStyleCnt="3">
        <dgm:presLayoutVars>
          <dgm:bulletEnabled val="1"/>
        </dgm:presLayoutVars>
      </dgm:prSet>
      <dgm:spPr/>
      <dgm:t>
        <a:bodyPr/>
        <a:lstStyle/>
        <a:p>
          <a:endParaRPr lang="en-US"/>
        </a:p>
      </dgm:t>
    </dgm:pt>
    <dgm:pt modelId="{D534CB9A-923E-4E68-920F-DAFFC0773A01}" type="pres">
      <dgm:prSet presAssocID="{19D86033-E314-4ECE-9A74-DC3E0B0417E8}" presName="parentNode1" presStyleLbl="node1" presStyleIdx="2" presStyleCnt="3">
        <dgm:presLayoutVars>
          <dgm:chMax val="1"/>
          <dgm:bulletEnabled val="1"/>
        </dgm:presLayoutVars>
      </dgm:prSet>
      <dgm:spPr/>
      <dgm:t>
        <a:bodyPr/>
        <a:lstStyle/>
        <a:p>
          <a:endParaRPr lang="en-US"/>
        </a:p>
      </dgm:t>
    </dgm:pt>
    <dgm:pt modelId="{4F931E57-9AFE-420A-97B0-4654F1F3A642}" type="pres">
      <dgm:prSet presAssocID="{19D86033-E314-4ECE-9A74-DC3E0B0417E8}" presName="connSite1" presStyleCnt="0"/>
      <dgm:spPr/>
      <dgm:t>
        <a:bodyPr/>
        <a:lstStyle/>
        <a:p>
          <a:endParaRPr lang="en-US"/>
        </a:p>
      </dgm:t>
    </dgm:pt>
  </dgm:ptLst>
  <dgm:cxnLst>
    <dgm:cxn modelId="{00D33731-EADE-4480-ABE7-5697E6038D00}" type="presOf" srcId="{30A0D28B-A946-4CE8-8DE2-E00EC33A7DC0}" destId="{86F100AB-8737-477D-9BB1-FAAF5D360A41}" srcOrd="0" destOrd="1" presId="urn:microsoft.com/office/officeart/2005/8/layout/hProcess4"/>
    <dgm:cxn modelId="{DD857742-0DE4-4206-8CAA-269C3C427296}" type="presOf" srcId="{19D86033-E314-4ECE-9A74-DC3E0B0417E8}" destId="{D534CB9A-923E-4E68-920F-DAFFC0773A01}" srcOrd="0" destOrd="0" presId="urn:microsoft.com/office/officeart/2005/8/layout/hProcess4"/>
    <dgm:cxn modelId="{D82E8B8E-1F60-45E8-9857-9C2D38249032}" srcId="{19D86033-E314-4ECE-9A74-DC3E0B0417E8}" destId="{5F0F079C-3BF1-48F6-8D45-8C3454F54F19}" srcOrd="0" destOrd="0" parTransId="{7CA070C9-2FC5-477A-A218-5F427971A069}" sibTransId="{EA0AA15C-9149-4CF9-807F-939766E10CDB}"/>
    <dgm:cxn modelId="{83948EEA-A1A5-46DD-BE0F-C979C6138E89}" type="presOf" srcId="{90FE83C3-8C93-4BF8-A1CA-BDF67F927C96}" destId="{86F100AB-8737-477D-9BB1-FAAF5D360A41}" srcOrd="0" destOrd="0" presId="urn:microsoft.com/office/officeart/2005/8/layout/hProcess4"/>
    <dgm:cxn modelId="{B0A0B626-A6BC-428C-B05B-AB2900A20B1F}" type="presOf" srcId="{7720C4E8-8227-4B40-86BE-A94F82D26F7D}" destId="{AE320582-18F9-4E55-B19A-79F6B406A0EA}" srcOrd="1" destOrd="1" presId="urn:microsoft.com/office/officeart/2005/8/layout/hProcess4"/>
    <dgm:cxn modelId="{86C79055-5385-42CA-9381-DEBBA4E355BE}" srcId="{CEBAD458-84EB-4708-AC0D-E62D9F3399F0}" destId="{30A0D28B-A946-4CE8-8DE2-E00EC33A7DC0}" srcOrd="1" destOrd="0" parTransId="{D205ADA8-F575-496D-9F2A-1B1C9CF984A6}" sibTransId="{8EE6502F-8B53-4F35-9373-DF10B71EFC76}"/>
    <dgm:cxn modelId="{0057DF10-F83F-4265-9015-09214DBBED0B}" type="presOf" srcId="{5F0F079C-3BF1-48F6-8D45-8C3454F54F19}" destId="{1797D3BE-C183-4297-B0FD-05CDFDF6BE3A}" srcOrd="1" destOrd="0" presId="urn:microsoft.com/office/officeart/2005/8/layout/hProcess4"/>
    <dgm:cxn modelId="{435D05F6-A2FD-4A37-9267-8AEB5140006C}" srcId="{19D86033-E314-4ECE-9A74-DC3E0B0417E8}" destId="{B25FF4F5-C494-4A4B-B6B2-88C539140815}" srcOrd="1" destOrd="0" parTransId="{BC262C7E-B2C0-4347-AC96-A06E11CE1C44}" sibTransId="{8044E6B2-AD13-41B5-9864-836751C32AA4}"/>
    <dgm:cxn modelId="{D90B0FED-00EA-4049-A244-1CC67F613062}" srcId="{81D4A962-3310-459E-9B1C-DC2A8AA98040}" destId="{7F8612A2-0217-4C28-85A6-63AED5561BFF}" srcOrd="0" destOrd="0" parTransId="{EC70EE78-4D7C-40C6-8D87-FE8AF12AEBFA}" sibTransId="{36608651-8738-47E0-9697-4C48DD378C6A}"/>
    <dgm:cxn modelId="{D11524E1-0D46-4F02-944A-C35D1F4756C7}" type="presOf" srcId="{B25FF4F5-C494-4A4B-B6B2-88C539140815}" destId="{6C9E5600-10E3-40A0-9229-07E3E6709E5B}" srcOrd="0" destOrd="1" presId="urn:microsoft.com/office/officeart/2005/8/layout/hProcess4"/>
    <dgm:cxn modelId="{BD6EF880-7FEF-42E4-952E-A17EC71A103B}" srcId="{81D4A962-3310-459E-9B1C-DC2A8AA98040}" destId="{19D86033-E314-4ECE-9A74-DC3E0B0417E8}" srcOrd="2" destOrd="0" parTransId="{829F92D0-CDF8-4944-A4E4-BD45B163BAFF}" sibTransId="{A71CA882-B7A8-496B-8A72-9E424901B044}"/>
    <dgm:cxn modelId="{C49C2B9E-3846-44A4-BFD9-EC7113364ABD}" srcId="{7F8612A2-0217-4C28-85A6-63AED5561BFF}" destId="{7720C4E8-8227-4B40-86BE-A94F82D26F7D}" srcOrd="1" destOrd="0" parTransId="{417A5239-6D99-4691-BA5B-A270860CD84A}" sibTransId="{CE2BF6EC-8619-4A2C-AE86-1C66BE1E98CF}"/>
    <dgm:cxn modelId="{3A6B07AB-AD14-40DE-94BD-7E910872C883}" type="presOf" srcId="{CEBAD458-84EB-4708-AC0D-E62D9F3399F0}" destId="{84F5F12F-D31C-4322-AD93-3C08F75DE1B0}" srcOrd="0" destOrd="0" presId="urn:microsoft.com/office/officeart/2005/8/layout/hProcess4"/>
    <dgm:cxn modelId="{11B0133F-915F-476F-B35B-A653480CAC0E}" type="presOf" srcId="{B25FF4F5-C494-4A4B-B6B2-88C539140815}" destId="{1797D3BE-C183-4297-B0FD-05CDFDF6BE3A}" srcOrd="1" destOrd="1" presId="urn:microsoft.com/office/officeart/2005/8/layout/hProcess4"/>
    <dgm:cxn modelId="{11FAA97D-66B5-46B9-9043-60044A873C3A}" srcId="{7F8612A2-0217-4C28-85A6-63AED5561BFF}" destId="{FACC9D71-A04C-4501-9356-EDD114D85278}" srcOrd="0" destOrd="0" parTransId="{5959721C-8CFD-4B88-84FF-49D82FDBC342}" sibTransId="{1380F754-1A74-417E-B0C6-9B4DD6DFCC70}"/>
    <dgm:cxn modelId="{6AFA877A-C7BA-4909-841A-A2AAD7999B82}" type="presOf" srcId="{FACC9D71-A04C-4501-9356-EDD114D85278}" destId="{4FC25ADE-94E4-4349-8703-2C4D37BDC948}" srcOrd="0" destOrd="0" presId="urn:microsoft.com/office/officeart/2005/8/layout/hProcess4"/>
    <dgm:cxn modelId="{71B9A307-9802-4F71-B08F-C477267C78DC}" type="presOf" srcId="{7F8612A2-0217-4C28-85A6-63AED5561BFF}" destId="{EF9F51F0-1BE5-49F5-B010-84B89445B064}" srcOrd="0" destOrd="0" presId="urn:microsoft.com/office/officeart/2005/8/layout/hProcess4"/>
    <dgm:cxn modelId="{F5E31D8F-36AA-4177-BBCF-3A65E70E89D5}" type="presOf" srcId="{1FDB4FF5-8A4D-4F67-BD3D-4B9008F808AA}" destId="{8D2B5C05-9C22-43CE-8400-C59A18BDD93D}" srcOrd="0" destOrd="0" presId="urn:microsoft.com/office/officeart/2005/8/layout/hProcess4"/>
    <dgm:cxn modelId="{968D6BB0-AC69-4DA8-9699-71259960BF6E}" type="presOf" srcId="{90FE83C3-8C93-4BF8-A1CA-BDF67F927C96}" destId="{3FF80295-B7C7-4A7C-84B8-846A1C3AFA2E}" srcOrd="1" destOrd="0" presId="urn:microsoft.com/office/officeart/2005/8/layout/hProcess4"/>
    <dgm:cxn modelId="{940A81FE-A28B-4379-AA18-ABD7CD455DE1}" srcId="{CEBAD458-84EB-4708-AC0D-E62D9F3399F0}" destId="{90FE83C3-8C93-4BF8-A1CA-BDF67F927C96}" srcOrd="0" destOrd="0" parTransId="{E970A722-711E-45F3-856B-BE52C3F9BC5B}" sibTransId="{4228DE43-F1F0-417F-AD29-F2A3E308ED99}"/>
    <dgm:cxn modelId="{F4211F86-54D4-4373-BF2C-F887C49D88E3}" type="presOf" srcId="{81D4A962-3310-459E-9B1C-DC2A8AA98040}" destId="{FCCB179D-5C2F-4B10-978A-088146A8A5E0}" srcOrd="0" destOrd="0" presId="urn:microsoft.com/office/officeart/2005/8/layout/hProcess4"/>
    <dgm:cxn modelId="{EA27CA21-B3E7-4BD1-BC37-1F1DD1175F45}" srcId="{81D4A962-3310-459E-9B1C-DC2A8AA98040}" destId="{CEBAD458-84EB-4708-AC0D-E62D9F3399F0}" srcOrd="1" destOrd="0" parTransId="{85E60BF4-442B-473A-8A77-C91B2EE802B2}" sibTransId="{1FDB4FF5-8A4D-4F67-BD3D-4B9008F808AA}"/>
    <dgm:cxn modelId="{733C098D-039D-4AB1-BAA1-8C18FD5C15C6}" type="presOf" srcId="{36608651-8738-47E0-9697-4C48DD378C6A}" destId="{4AE01738-9417-4506-876D-021E1125557E}" srcOrd="0" destOrd="0" presId="urn:microsoft.com/office/officeart/2005/8/layout/hProcess4"/>
    <dgm:cxn modelId="{F66D7C72-E0BE-4748-9626-C77C9657EB70}" type="presOf" srcId="{7720C4E8-8227-4B40-86BE-A94F82D26F7D}" destId="{4FC25ADE-94E4-4349-8703-2C4D37BDC948}" srcOrd="0" destOrd="1" presId="urn:microsoft.com/office/officeart/2005/8/layout/hProcess4"/>
    <dgm:cxn modelId="{0095167E-0C3F-4DDF-B782-209AAAB4151A}" type="presOf" srcId="{5F0F079C-3BF1-48F6-8D45-8C3454F54F19}" destId="{6C9E5600-10E3-40A0-9229-07E3E6709E5B}" srcOrd="0" destOrd="0" presId="urn:microsoft.com/office/officeart/2005/8/layout/hProcess4"/>
    <dgm:cxn modelId="{C9F9B509-B838-469F-ACC9-91A3D02496DC}" type="presOf" srcId="{30A0D28B-A946-4CE8-8DE2-E00EC33A7DC0}" destId="{3FF80295-B7C7-4A7C-84B8-846A1C3AFA2E}" srcOrd="1" destOrd="1" presId="urn:microsoft.com/office/officeart/2005/8/layout/hProcess4"/>
    <dgm:cxn modelId="{D8A189C5-5F85-49C2-8BE0-3409ECA2AB2A}" type="presOf" srcId="{FACC9D71-A04C-4501-9356-EDD114D85278}" destId="{AE320582-18F9-4E55-B19A-79F6B406A0EA}" srcOrd="1" destOrd="0" presId="urn:microsoft.com/office/officeart/2005/8/layout/hProcess4"/>
    <dgm:cxn modelId="{CE129EDC-D6A9-42B9-AB7B-C64E8856E2B3}" type="presParOf" srcId="{FCCB179D-5C2F-4B10-978A-088146A8A5E0}" destId="{E577140C-95F8-450D-94B3-146FAF4F3FD7}" srcOrd="0" destOrd="0" presId="urn:microsoft.com/office/officeart/2005/8/layout/hProcess4"/>
    <dgm:cxn modelId="{F4FD9499-36A3-474F-A263-79CD44BF122F}" type="presParOf" srcId="{FCCB179D-5C2F-4B10-978A-088146A8A5E0}" destId="{E40ACE2E-06E0-4049-836A-02E6FF4B7532}" srcOrd="1" destOrd="0" presId="urn:microsoft.com/office/officeart/2005/8/layout/hProcess4"/>
    <dgm:cxn modelId="{12830FA0-6704-4E47-B20E-03A2A96F9F79}" type="presParOf" srcId="{FCCB179D-5C2F-4B10-978A-088146A8A5E0}" destId="{E45FB40E-0BA0-4D03-9350-4BFCD3F17EF6}" srcOrd="2" destOrd="0" presId="urn:microsoft.com/office/officeart/2005/8/layout/hProcess4"/>
    <dgm:cxn modelId="{6EB175F8-083B-4515-876A-0AF8FECFD6DF}" type="presParOf" srcId="{E45FB40E-0BA0-4D03-9350-4BFCD3F17EF6}" destId="{1032756C-8CB6-4A3B-B264-9B6257942DDD}" srcOrd="0" destOrd="0" presId="urn:microsoft.com/office/officeart/2005/8/layout/hProcess4"/>
    <dgm:cxn modelId="{720EE1D7-E816-4B8C-BDF4-DB842F4DE30D}" type="presParOf" srcId="{1032756C-8CB6-4A3B-B264-9B6257942DDD}" destId="{04D5468D-B85B-4D87-B74F-9BA771B2DD1C}" srcOrd="0" destOrd="0" presId="urn:microsoft.com/office/officeart/2005/8/layout/hProcess4"/>
    <dgm:cxn modelId="{47A32E2C-A6DD-4876-82B4-31D007221714}" type="presParOf" srcId="{1032756C-8CB6-4A3B-B264-9B6257942DDD}" destId="{4FC25ADE-94E4-4349-8703-2C4D37BDC948}" srcOrd="1" destOrd="0" presId="urn:microsoft.com/office/officeart/2005/8/layout/hProcess4"/>
    <dgm:cxn modelId="{7CA3FAAE-3227-4212-83E6-9693EF286684}" type="presParOf" srcId="{1032756C-8CB6-4A3B-B264-9B6257942DDD}" destId="{AE320582-18F9-4E55-B19A-79F6B406A0EA}" srcOrd="2" destOrd="0" presId="urn:microsoft.com/office/officeart/2005/8/layout/hProcess4"/>
    <dgm:cxn modelId="{6757AAF0-4AC2-4756-98CE-67A2B2F43957}" type="presParOf" srcId="{1032756C-8CB6-4A3B-B264-9B6257942DDD}" destId="{EF9F51F0-1BE5-49F5-B010-84B89445B064}" srcOrd="3" destOrd="0" presId="urn:microsoft.com/office/officeart/2005/8/layout/hProcess4"/>
    <dgm:cxn modelId="{9BD4AD85-9D6C-4EFA-8C6B-70575C1E0384}" type="presParOf" srcId="{1032756C-8CB6-4A3B-B264-9B6257942DDD}" destId="{55A28E82-DCF6-45F8-8961-D0CFD46A366D}" srcOrd="4" destOrd="0" presId="urn:microsoft.com/office/officeart/2005/8/layout/hProcess4"/>
    <dgm:cxn modelId="{FDE06495-191F-452F-87D0-685A62E43D55}" type="presParOf" srcId="{E45FB40E-0BA0-4D03-9350-4BFCD3F17EF6}" destId="{4AE01738-9417-4506-876D-021E1125557E}" srcOrd="1" destOrd="0" presId="urn:microsoft.com/office/officeart/2005/8/layout/hProcess4"/>
    <dgm:cxn modelId="{E41E7E66-C890-4A2B-8686-113E85C5445A}" type="presParOf" srcId="{E45FB40E-0BA0-4D03-9350-4BFCD3F17EF6}" destId="{18541B92-5B29-44ED-B08B-4CC0DF0C4CFF}" srcOrd="2" destOrd="0" presId="urn:microsoft.com/office/officeart/2005/8/layout/hProcess4"/>
    <dgm:cxn modelId="{F7ABD1BB-8CCA-4941-856C-CA1E4AE91052}" type="presParOf" srcId="{18541B92-5B29-44ED-B08B-4CC0DF0C4CFF}" destId="{52BEB5F5-8E86-4E45-B74B-DD6A70E20612}" srcOrd="0" destOrd="0" presId="urn:microsoft.com/office/officeart/2005/8/layout/hProcess4"/>
    <dgm:cxn modelId="{A4E366F4-C29E-4979-92EC-65DCE6C13DF0}" type="presParOf" srcId="{18541B92-5B29-44ED-B08B-4CC0DF0C4CFF}" destId="{86F100AB-8737-477D-9BB1-FAAF5D360A41}" srcOrd="1" destOrd="0" presId="urn:microsoft.com/office/officeart/2005/8/layout/hProcess4"/>
    <dgm:cxn modelId="{3D8C0F6C-447D-4116-8CC9-2B2FEC4EA272}" type="presParOf" srcId="{18541B92-5B29-44ED-B08B-4CC0DF0C4CFF}" destId="{3FF80295-B7C7-4A7C-84B8-846A1C3AFA2E}" srcOrd="2" destOrd="0" presId="urn:microsoft.com/office/officeart/2005/8/layout/hProcess4"/>
    <dgm:cxn modelId="{D93C6F51-FC2E-4069-88A7-A9773DB2B4FE}" type="presParOf" srcId="{18541B92-5B29-44ED-B08B-4CC0DF0C4CFF}" destId="{84F5F12F-D31C-4322-AD93-3C08F75DE1B0}" srcOrd="3" destOrd="0" presId="urn:microsoft.com/office/officeart/2005/8/layout/hProcess4"/>
    <dgm:cxn modelId="{2F33B953-D90C-4E5C-9F40-091520E5AAA7}" type="presParOf" srcId="{18541B92-5B29-44ED-B08B-4CC0DF0C4CFF}" destId="{7E8F22E4-3762-4AEC-A735-3D4E4DE4BC2D}" srcOrd="4" destOrd="0" presId="urn:microsoft.com/office/officeart/2005/8/layout/hProcess4"/>
    <dgm:cxn modelId="{B19B1F18-0AB0-4FC0-83C7-9298DD3042F9}" type="presParOf" srcId="{E45FB40E-0BA0-4D03-9350-4BFCD3F17EF6}" destId="{8D2B5C05-9C22-43CE-8400-C59A18BDD93D}" srcOrd="3" destOrd="0" presId="urn:microsoft.com/office/officeart/2005/8/layout/hProcess4"/>
    <dgm:cxn modelId="{E5510DCF-6F6B-4F1D-A43C-EFCCA9379EB2}" type="presParOf" srcId="{E45FB40E-0BA0-4D03-9350-4BFCD3F17EF6}" destId="{01BAD92A-C0B6-4C97-99B8-C8A54A7A33DB}" srcOrd="4" destOrd="0" presId="urn:microsoft.com/office/officeart/2005/8/layout/hProcess4"/>
    <dgm:cxn modelId="{94015391-3B08-446A-A1DB-857B9BB22589}" type="presParOf" srcId="{01BAD92A-C0B6-4C97-99B8-C8A54A7A33DB}" destId="{1C17EE01-B6B8-4E9C-85B0-58942F662786}" srcOrd="0" destOrd="0" presId="urn:microsoft.com/office/officeart/2005/8/layout/hProcess4"/>
    <dgm:cxn modelId="{BD59D948-473E-496C-BF91-631C22C5C1D0}" type="presParOf" srcId="{01BAD92A-C0B6-4C97-99B8-C8A54A7A33DB}" destId="{6C9E5600-10E3-40A0-9229-07E3E6709E5B}" srcOrd="1" destOrd="0" presId="urn:microsoft.com/office/officeart/2005/8/layout/hProcess4"/>
    <dgm:cxn modelId="{A21407E5-BC45-4932-AADB-26221A1FCBD5}" type="presParOf" srcId="{01BAD92A-C0B6-4C97-99B8-C8A54A7A33DB}" destId="{1797D3BE-C183-4297-B0FD-05CDFDF6BE3A}" srcOrd="2" destOrd="0" presId="urn:microsoft.com/office/officeart/2005/8/layout/hProcess4"/>
    <dgm:cxn modelId="{E29B31C7-D82F-42C3-81D1-465CF95A549D}" type="presParOf" srcId="{01BAD92A-C0B6-4C97-99B8-C8A54A7A33DB}" destId="{D534CB9A-923E-4E68-920F-DAFFC0773A01}" srcOrd="3" destOrd="0" presId="urn:microsoft.com/office/officeart/2005/8/layout/hProcess4"/>
    <dgm:cxn modelId="{AEFE3D50-147C-46FA-8ECF-7E1A8F7E572B}" type="presParOf" srcId="{01BAD92A-C0B6-4C97-99B8-C8A54A7A33DB}" destId="{4F931E57-9AFE-420A-97B0-4654F1F3A642}"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2229E-7A91-4933-B6C8-A3C83BE8F56F}">
      <dsp:nvSpPr>
        <dsp:cNvPr id="0" name=""/>
        <dsp:cNvSpPr/>
      </dsp:nvSpPr>
      <dsp:spPr>
        <a:xfrm>
          <a:off x="695" y="248914"/>
          <a:ext cx="1747751" cy="674632"/>
        </a:xfrm>
        <a:prstGeom prst="chevron">
          <a:avLst>
            <a:gd name="adj" fmla="val 4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40AED52-D213-4876-BAD5-46F309D294BF}">
      <dsp:nvSpPr>
        <dsp:cNvPr id="0" name=""/>
        <dsp:cNvSpPr/>
      </dsp:nvSpPr>
      <dsp:spPr>
        <a:xfrm>
          <a:off x="466762" y="417572"/>
          <a:ext cx="1475879" cy="67463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kern="1200">
              <a:latin typeface="+mj-lt"/>
              <a:cs typeface="Times New Roman" panose="02020603050405020304" pitchFamily="18" charset="0"/>
            </a:rPr>
            <a:t>Agenția Servicii Pubice </a:t>
          </a:r>
        </a:p>
        <a:p>
          <a:pPr lvl="0" algn="ctr" defTabSz="533400">
            <a:lnSpc>
              <a:spcPct val="90000"/>
            </a:lnSpc>
            <a:spcBef>
              <a:spcPct val="0"/>
            </a:spcBef>
            <a:spcAft>
              <a:spcPct val="35000"/>
            </a:spcAft>
          </a:pPr>
          <a:r>
            <a:rPr lang="ro-MD" sz="1200" kern="1200">
              <a:latin typeface="+mj-lt"/>
              <a:cs typeface="Times New Roman" panose="02020603050405020304" pitchFamily="18" charset="0"/>
            </a:rPr>
            <a:t>Registrul de Stat al Populației</a:t>
          </a:r>
          <a:endParaRPr lang="en-US" sz="1200" kern="1200">
            <a:latin typeface="+mj-lt"/>
            <a:cs typeface="Times New Roman" panose="02020603050405020304" pitchFamily="18" charset="0"/>
          </a:endParaRPr>
        </a:p>
      </dsp:txBody>
      <dsp:txXfrm>
        <a:off x="486521" y="437331"/>
        <a:ext cx="1436361" cy="635114"/>
      </dsp:txXfrm>
    </dsp:sp>
    <dsp:sp modelId="{C5E8017F-4893-41FD-9B60-692FC530141A}">
      <dsp:nvSpPr>
        <dsp:cNvPr id="0" name=""/>
        <dsp:cNvSpPr/>
      </dsp:nvSpPr>
      <dsp:spPr>
        <a:xfrm>
          <a:off x="1997016" y="248914"/>
          <a:ext cx="1747751" cy="674632"/>
        </a:xfrm>
        <a:prstGeom prst="chevron">
          <a:avLst>
            <a:gd name="adj" fmla="val 4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2F21ADA-1055-4936-9212-ED440A6C85F1}">
      <dsp:nvSpPr>
        <dsp:cNvPr id="0" name=""/>
        <dsp:cNvSpPr/>
      </dsp:nvSpPr>
      <dsp:spPr>
        <a:xfrm>
          <a:off x="2463083" y="417572"/>
          <a:ext cx="1475879" cy="67463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RO" sz="1200" b="0" u="none" kern="1200">
              <a:latin typeface="+mj-lt"/>
              <a:cs typeface="Times New Roman" panose="02020603050405020304" pitchFamily="18" charset="0"/>
            </a:rPr>
            <a:t>Agenția de Guvernare Electronică</a:t>
          </a:r>
          <a:endParaRPr lang="en-US" sz="1200" b="0" u="none" kern="1200">
            <a:latin typeface="+mj-lt"/>
            <a:cs typeface="Times New Roman" panose="02020603050405020304" pitchFamily="18" charset="0"/>
          </a:endParaRPr>
        </a:p>
      </dsp:txBody>
      <dsp:txXfrm>
        <a:off x="2482842" y="437331"/>
        <a:ext cx="1436361" cy="635114"/>
      </dsp:txXfrm>
    </dsp:sp>
    <dsp:sp modelId="{7694CC90-F31B-4BA4-AE56-6B6CEAA34FEC}">
      <dsp:nvSpPr>
        <dsp:cNvPr id="0" name=""/>
        <dsp:cNvSpPr/>
      </dsp:nvSpPr>
      <dsp:spPr>
        <a:xfrm>
          <a:off x="3993337" y="248914"/>
          <a:ext cx="1747751" cy="674632"/>
        </a:xfrm>
        <a:prstGeom prst="chevron">
          <a:avLst>
            <a:gd name="adj" fmla="val 4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37E2B6F-5AF7-402A-92E6-4EFC07966E94}">
      <dsp:nvSpPr>
        <dsp:cNvPr id="0" name=""/>
        <dsp:cNvSpPr/>
      </dsp:nvSpPr>
      <dsp:spPr>
        <a:xfrm>
          <a:off x="4459404" y="417572"/>
          <a:ext cx="1475879" cy="67463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o-MD" sz="1200" u="none" kern="1200">
              <a:latin typeface="+mj-lt"/>
              <a:cs typeface="Times New Roman" panose="02020603050405020304" pitchFamily="18" charset="0"/>
            </a:rPr>
            <a:t>Casa Națională de Asigurări Sociale</a:t>
          </a:r>
          <a:endParaRPr lang="en-US" sz="1200" u="none" kern="1200">
            <a:latin typeface="+mj-lt"/>
            <a:cs typeface="Times New Roman" panose="02020603050405020304" pitchFamily="18" charset="0"/>
          </a:endParaRPr>
        </a:p>
      </dsp:txBody>
      <dsp:txXfrm>
        <a:off x="4479163" y="437331"/>
        <a:ext cx="1436361" cy="635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B96B0-74AE-4A4F-8E07-C7A1F11D8EB3}">
      <dsp:nvSpPr>
        <dsp:cNvPr id="0" name=""/>
        <dsp:cNvSpPr/>
      </dsp:nvSpPr>
      <dsp:spPr>
        <a:xfrm>
          <a:off x="427577" y="0"/>
          <a:ext cx="4845875" cy="245364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051E1F-2923-4017-A226-FE281D600CBB}">
      <dsp:nvSpPr>
        <dsp:cNvPr id="0" name=""/>
        <dsp:cNvSpPr/>
      </dsp:nvSpPr>
      <dsp:spPr>
        <a:xfrm>
          <a:off x="360" y="691205"/>
          <a:ext cx="1815255" cy="107122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o-MD" sz="1400" b="1" kern="1200">
              <a:solidFill>
                <a:schemeClr val="tx1"/>
              </a:solidFill>
              <a:latin typeface="+mj-lt"/>
            </a:rPr>
            <a:t>Structurile teritoriale de asistență socială</a:t>
          </a:r>
          <a:endParaRPr lang="en-US" sz="1400" b="1" kern="1200">
            <a:solidFill>
              <a:schemeClr val="tx1"/>
            </a:solidFill>
            <a:latin typeface="+mj-lt"/>
          </a:endParaRPr>
        </a:p>
        <a:p>
          <a:pPr lvl="0" algn="ctr" defTabSz="622300">
            <a:lnSpc>
              <a:spcPct val="90000"/>
            </a:lnSpc>
            <a:spcBef>
              <a:spcPct val="0"/>
            </a:spcBef>
            <a:spcAft>
              <a:spcPct val="35000"/>
            </a:spcAft>
          </a:pPr>
          <a:r>
            <a:rPr lang="ro-MD" sz="1200" kern="1200">
              <a:solidFill>
                <a:schemeClr val="tx1"/>
              </a:solidFill>
              <a:latin typeface="+mj-lt"/>
            </a:rPr>
            <a:t>acordă d</a:t>
          </a:r>
          <a:r>
            <a:rPr lang="ro-RO" sz="1200" kern="1200">
              <a:solidFill>
                <a:schemeClr val="tx1"/>
              </a:solidFill>
              <a:latin typeface="+mj-lt"/>
            </a:rPr>
            <a:t>reptul la ajutor social și/sau ajutor pentru perioada rece a anului </a:t>
          </a:r>
        </a:p>
      </dsp:txBody>
      <dsp:txXfrm>
        <a:off x="52653" y="743498"/>
        <a:ext cx="1710669" cy="966643"/>
      </dsp:txXfrm>
    </dsp:sp>
    <dsp:sp modelId="{F14D24E1-969B-4C1A-9E6B-DD6DCD225138}">
      <dsp:nvSpPr>
        <dsp:cNvPr id="0" name=""/>
        <dsp:cNvSpPr/>
      </dsp:nvSpPr>
      <dsp:spPr>
        <a:xfrm>
          <a:off x="2008248" y="691205"/>
          <a:ext cx="1749894" cy="1071229"/>
        </a:xfrm>
        <a:prstGeom prst="roundRec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o-MD" sz="1400" b="1" kern="1200">
              <a:solidFill>
                <a:schemeClr val="tx1"/>
              </a:solidFill>
              <a:latin typeface="+mj-lt"/>
            </a:rPr>
            <a:t>Inspecția Socială</a:t>
          </a:r>
        </a:p>
        <a:p>
          <a:pPr lvl="0" algn="ctr" defTabSz="622300">
            <a:lnSpc>
              <a:spcPct val="90000"/>
            </a:lnSpc>
            <a:spcBef>
              <a:spcPct val="0"/>
            </a:spcBef>
            <a:spcAft>
              <a:spcPct val="35000"/>
            </a:spcAft>
          </a:pPr>
          <a:r>
            <a:rPr lang="ro-RO" sz="1200" kern="1200">
              <a:solidFill>
                <a:schemeClr val="tx1"/>
              </a:solidFill>
              <a:latin typeface="+mj-lt"/>
            </a:rPr>
            <a:t>efectuează verificarea modului de aplicare corectă şi unitară a cadrului regulamentar </a:t>
          </a:r>
          <a:endParaRPr lang="en-US" sz="1400" b="1" kern="1200">
            <a:solidFill>
              <a:schemeClr val="tx1"/>
            </a:solidFill>
            <a:latin typeface="+mj-lt"/>
          </a:endParaRPr>
        </a:p>
      </dsp:txBody>
      <dsp:txXfrm>
        <a:off x="2060541" y="743498"/>
        <a:ext cx="1645308" cy="966643"/>
      </dsp:txXfrm>
    </dsp:sp>
    <dsp:sp modelId="{E206B99D-12F2-4047-BF6F-60023A79E230}">
      <dsp:nvSpPr>
        <dsp:cNvPr id="0" name=""/>
        <dsp:cNvSpPr/>
      </dsp:nvSpPr>
      <dsp:spPr>
        <a:xfrm>
          <a:off x="3924831" y="691205"/>
          <a:ext cx="1749894" cy="1071229"/>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o-MD" sz="1400" b="1" kern="1200">
              <a:solidFill>
                <a:schemeClr val="tx1"/>
              </a:solidFill>
              <a:latin typeface="+mj-lt"/>
            </a:rPr>
            <a:t>CNAS</a:t>
          </a:r>
        </a:p>
        <a:p>
          <a:pPr lvl="0" algn="ctr" defTabSz="622300">
            <a:lnSpc>
              <a:spcPct val="90000"/>
            </a:lnSpc>
            <a:spcBef>
              <a:spcPct val="0"/>
            </a:spcBef>
            <a:spcAft>
              <a:spcPct val="35000"/>
            </a:spcAft>
          </a:pPr>
          <a:r>
            <a:rPr lang="ro-RO" sz="1200" kern="1200">
              <a:solidFill>
                <a:schemeClr val="tx1"/>
              </a:solidFill>
              <a:latin typeface="+mj-lt"/>
            </a:rPr>
            <a:t>asigură plata prin intermediul prestatorilor serviciilor de plată</a:t>
          </a:r>
          <a:endParaRPr lang="en-US" sz="1200" b="1" kern="1200">
            <a:solidFill>
              <a:schemeClr val="tx1"/>
            </a:solidFill>
            <a:latin typeface="+mj-lt"/>
          </a:endParaRPr>
        </a:p>
      </dsp:txBody>
      <dsp:txXfrm>
        <a:off x="3977124" y="743498"/>
        <a:ext cx="1645308" cy="9666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25ADE-94E4-4349-8703-2C4D37BDC948}">
      <dsp:nvSpPr>
        <dsp:cNvPr id="0" name=""/>
        <dsp:cNvSpPr/>
      </dsp:nvSpPr>
      <dsp:spPr>
        <a:xfrm>
          <a:off x="0" y="763750"/>
          <a:ext cx="1725916" cy="141482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o-MD" sz="1000" kern="1200">
              <a:latin typeface="+mj-lt"/>
            </a:rPr>
            <a:t>eliberează certificatul concediului medical</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introduce datele din certificat </a:t>
          </a:r>
          <a:r>
            <a:rPr lang="ro-MD" sz="1000" b="1" kern="1200">
              <a:latin typeface="+mj-lt"/>
            </a:rPr>
            <a:t>în decurs de 5 zile </a:t>
          </a:r>
          <a:r>
            <a:rPr lang="ro-MD" sz="1000" kern="1200">
              <a:latin typeface="+mj-lt"/>
            </a:rPr>
            <a:t>în Portalul certificatelor de concediu medical </a:t>
          </a:r>
          <a:endParaRPr lang="en-US" sz="1000" kern="1200">
            <a:latin typeface="+mj-lt"/>
          </a:endParaRPr>
        </a:p>
      </dsp:txBody>
      <dsp:txXfrm>
        <a:off x="32559" y="796309"/>
        <a:ext cx="1660798" cy="1046532"/>
      </dsp:txXfrm>
    </dsp:sp>
    <dsp:sp modelId="{4AE01738-9417-4506-876D-021E1125557E}">
      <dsp:nvSpPr>
        <dsp:cNvPr id="0" name=""/>
        <dsp:cNvSpPr/>
      </dsp:nvSpPr>
      <dsp:spPr>
        <a:xfrm>
          <a:off x="856379" y="1111629"/>
          <a:ext cx="1857130" cy="1857130"/>
        </a:xfrm>
        <a:prstGeom prst="leftCircularArrow">
          <a:avLst>
            <a:gd name="adj1" fmla="val 2756"/>
            <a:gd name="adj2" fmla="val 336050"/>
            <a:gd name="adj3" fmla="val 1997538"/>
            <a:gd name="adj4" fmla="val 8910466"/>
            <a:gd name="adj5" fmla="val 3216"/>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F9F51F0-1BE5-49F5-B010-84B89445B064}">
      <dsp:nvSpPr>
        <dsp:cNvPr id="0" name=""/>
        <dsp:cNvSpPr/>
      </dsp:nvSpPr>
      <dsp:spPr>
        <a:xfrm>
          <a:off x="408212" y="1966614"/>
          <a:ext cx="1312022" cy="52174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o-MD" sz="2900" kern="1200">
              <a:latin typeface="+mj-lt"/>
            </a:rPr>
            <a:t>IMSP</a:t>
          </a:r>
          <a:endParaRPr lang="en-US" sz="2900" kern="1200">
            <a:latin typeface="+mj-lt"/>
          </a:endParaRPr>
        </a:p>
      </dsp:txBody>
      <dsp:txXfrm>
        <a:off x="423493" y="1981895"/>
        <a:ext cx="1281460" cy="491186"/>
      </dsp:txXfrm>
    </dsp:sp>
    <dsp:sp modelId="{86F100AB-8737-477D-9BB1-FAAF5D360A41}">
      <dsp:nvSpPr>
        <dsp:cNvPr id="0" name=""/>
        <dsp:cNvSpPr/>
      </dsp:nvSpPr>
      <dsp:spPr>
        <a:xfrm>
          <a:off x="1953056" y="753540"/>
          <a:ext cx="1897179" cy="16239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o-MD" sz="1000" kern="1200">
              <a:latin typeface="+mj-lt"/>
            </a:rPr>
            <a:t>recepționează în Portal datele din certificatul de concediu medical</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transmiterea automată a datelor din certificatul de concediu medical prin intermediul Portalului către CNAS</a:t>
          </a:r>
          <a:endParaRPr lang="en-US" sz="1000" kern="1200">
            <a:latin typeface="+mj-lt"/>
          </a:endParaRPr>
        </a:p>
      </dsp:txBody>
      <dsp:txXfrm>
        <a:off x="1990428" y="1138905"/>
        <a:ext cx="1822435" cy="1201229"/>
      </dsp:txXfrm>
    </dsp:sp>
    <dsp:sp modelId="{8D2B5C05-9C22-43CE-8400-C59A18BDD93D}">
      <dsp:nvSpPr>
        <dsp:cNvPr id="0" name=""/>
        <dsp:cNvSpPr/>
      </dsp:nvSpPr>
      <dsp:spPr>
        <a:xfrm rot="209060">
          <a:off x="3060222" y="166450"/>
          <a:ext cx="1988053" cy="1988053"/>
        </a:xfrm>
        <a:prstGeom prst="circularArrow">
          <a:avLst>
            <a:gd name="adj1" fmla="val 2575"/>
            <a:gd name="adj2" fmla="val 312595"/>
            <a:gd name="adj3" fmla="val 19425117"/>
            <a:gd name="adj4" fmla="val 12488734"/>
            <a:gd name="adj5" fmla="val 3004"/>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4F5F12F-D31C-4322-AD93-3C08F75DE1B0}">
      <dsp:nvSpPr>
        <dsp:cNvPr id="0" name=""/>
        <dsp:cNvSpPr/>
      </dsp:nvSpPr>
      <dsp:spPr>
        <a:xfrm>
          <a:off x="2547787" y="641537"/>
          <a:ext cx="1312022" cy="521748"/>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o-MD" sz="2900" kern="1200">
              <a:latin typeface="+mj-lt"/>
            </a:rPr>
            <a:t>MSMPS</a:t>
          </a:r>
          <a:endParaRPr lang="en-US" sz="2900" kern="1200">
            <a:latin typeface="+mj-lt"/>
          </a:endParaRPr>
        </a:p>
      </dsp:txBody>
      <dsp:txXfrm>
        <a:off x="2563068" y="656818"/>
        <a:ext cx="1281460" cy="491186"/>
      </dsp:txXfrm>
    </dsp:sp>
    <dsp:sp modelId="{6C9E5600-10E3-40A0-9229-07E3E6709E5B}">
      <dsp:nvSpPr>
        <dsp:cNvPr id="0" name=""/>
        <dsp:cNvSpPr/>
      </dsp:nvSpPr>
      <dsp:spPr>
        <a:xfrm>
          <a:off x="4108030" y="786638"/>
          <a:ext cx="1766698" cy="1368724"/>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o-MD" sz="1000" kern="1200">
              <a:latin typeface="+mj-lt"/>
            </a:rPr>
            <a:t>recepționează datele din Portalul certificatelor de concediu medical</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stabilirea indemnizației de incapacitate temporară de muncă în </a:t>
          </a:r>
          <a:r>
            <a:rPr lang="ro-MD" sz="1000" b="1" kern="1200">
              <a:latin typeface="+mj-lt"/>
            </a:rPr>
            <a:t>decurs de 15-30 zile</a:t>
          </a:r>
          <a:endParaRPr lang="en-US" sz="1000" b="1" kern="1200">
            <a:latin typeface="+mj-lt"/>
          </a:endParaRPr>
        </a:p>
      </dsp:txBody>
      <dsp:txXfrm>
        <a:off x="4139528" y="818136"/>
        <a:ext cx="1703702" cy="1012430"/>
      </dsp:txXfrm>
    </dsp:sp>
    <dsp:sp modelId="{D534CB9A-923E-4E68-920F-DAFFC0773A01}">
      <dsp:nvSpPr>
        <dsp:cNvPr id="0" name=""/>
        <dsp:cNvSpPr/>
      </dsp:nvSpPr>
      <dsp:spPr>
        <a:xfrm>
          <a:off x="4623484" y="1860942"/>
          <a:ext cx="1312022" cy="521748"/>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o-MD" sz="2900" kern="1200">
              <a:latin typeface="+mj-lt"/>
            </a:rPr>
            <a:t>CNAS</a:t>
          </a:r>
          <a:endParaRPr lang="en-US" sz="2900" kern="1200">
            <a:latin typeface="+mj-lt"/>
          </a:endParaRPr>
        </a:p>
      </dsp:txBody>
      <dsp:txXfrm>
        <a:off x="4638765" y="1876223"/>
        <a:ext cx="1281460" cy="4911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EE7F-5AAD-4338-B7BD-1C5276A6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21150</Words>
  <Characters>120558</Characters>
  <Application>Microsoft Office Word</Application>
  <DocSecurity>0</DocSecurity>
  <Lines>1004</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Ciochină Elena</dc:creator>
  <cp:keywords/>
  <dc:description/>
  <cp:lastModifiedBy>Paiu Eugenia</cp:lastModifiedBy>
  <cp:revision>2</cp:revision>
  <cp:lastPrinted>2021-05-31T06:46:00Z</cp:lastPrinted>
  <dcterms:created xsi:type="dcterms:W3CDTF">2021-06-11T11:31:00Z</dcterms:created>
  <dcterms:modified xsi:type="dcterms:W3CDTF">2021-06-11T11:31:00Z</dcterms:modified>
</cp:coreProperties>
</file>