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8CEC1" w14:textId="77777777" w:rsidR="00705669" w:rsidRPr="003F4D72" w:rsidRDefault="00705669" w:rsidP="00705669">
      <w:pPr>
        <w:tabs>
          <w:tab w:val="left" w:pos="720"/>
        </w:tabs>
        <w:spacing w:after="0" w:line="240" w:lineRule="auto"/>
        <w:ind w:right="-421"/>
        <w:jc w:val="right"/>
        <w:rPr>
          <w:rFonts w:asciiTheme="majorHAnsi" w:eastAsia="Times New Roman" w:hAnsiTheme="majorHAnsi" w:cstheme="majorHAnsi"/>
          <w:bCs/>
          <w:sz w:val="28"/>
          <w:szCs w:val="28"/>
        </w:rPr>
      </w:pPr>
      <w:bookmarkStart w:id="0" w:name="_GoBack"/>
      <w:bookmarkEnd w:id="0"/>
      <w:r w:rsidRPr="003F4D72">
        <w:rPr>
          <w:rFonts w:asciiTheme="majorHAnsi" w:eastAsia="Times New Roman" w:hAnsiTheme="majorHAnsi" w:cstheme="majorHAnsi"/>
          <w:bCs/>
          <w:sz w:val="28"/>
          <w:szCs w:val="28"/>
        </w:rPr>
        <w:t xml:space="preserve">Anexă </w:t>
      </w:r>
    </w:p>
    <w:p w14:paraId="5340C802" w14:textId="77777777" w:rsidR="00705669" w:rsidRPr="003F4D72" w:rsidRDefault="00705669" w:rsidP="00705669">
      <w:pPr>
        <w:tabs>
          <w:tab w:val="left" w:pos="720"/>
        </w:tabs>
        <w:spacing w:after="0" w:line="240" w:lineRule="auto"/>
        <w:ind w:right="-421"/>
        <w:jc w:val="right"/>
        <w:rPr>
          <w:rFonts w:asciiTheme="majorHAnsi" w:eastAsia="Times New Roman" w:hAnsiTheme="majorHAnsi" w:cstheme="majorHAnsi"/>
          <w:bCs/>
          <w:sz w:val="28"/>
          <w:szCs w:val="28"/>
        </w:rPr>
      </w:pPr>
      <w:r w:rsidRPr="003F4D72">
        <w:rPr>
          <w:rFonts w:asciiTheme="majorHAnsi" w:eastAsia="Times New Roman" w:hAnsiTheme="majorHAnsi" w:cstheme="majorHAnsi"/>
          <w:bCs/>
          <w:sz w:val="28"/>
          <w:szCs w:val="28"/>
        </w:rPr>
        <w:t xml:space="preserve">la Hotărârea Curții de Conturi </w:t>
      </w:r>
    </w:p>
    <w:p w14:paraId="7745E557" w14:textId="50E67BEF" w:rsidR="00705669" w:rsidRPr="003F4D72" w:rsidRDefault="00995366" w:rsidP="00705669">
      <w:pPr>
        <w:tabs>
          <w:tab w:val="left" w:pos="720"/>
        </w:tabs>
        <w:spacing w:after="0" w:line="240" w:lineRule="auto"/>
        <w:ind w:right="-421"/>
        <w:jc w:val="right"/>
        <w:rPr>
          <w:rFonts w:asciiTheme="majorHAnsi" w:eastAsia="Times New Roman" w:hAnsiTheme="majorHAnsi" w:cstheme="majorHAnsi"/>
          <w:bCs/>
          <w:color w:val="1F4E79" w:themeColor="accent1" w:themeShade="80"/>
          <w:sz w:val="28"/>
          <w:szCs w:val="28"/>
        </w:rPr>
      </w:pPr>
      <w:r w:rsidRPr="003F4D72">
        <w:rPr>
          <w:rFonts w:asciiTheme="majorHAnsi" w:eastAsia="Times New Roman" w:hAnsiTheme="majorHAnsi" w:cstheme="majorHAnsi"/>
          <w:bCs/>
          <w:sz w:val="28"/>
          <w:szCs w:val="28"/>
        </w:rPr>
        <w:t xml:space="preserve"> nr. 22 din 04.06.2021</w:t>
      </w:r>
    </w:p>
    <w:p w14:paraId="7FFA3F6C" w14:textId="77777777" w:rsidR="00F016B0" w:rsidRPr="003F4D72" w:rsidRDefault="00F016B0" w:rsidP="00F016B0">
      <w:pPr>
        <w:spacing w:after="0" w:line="240" w:lineRule="auto"/>
        <w:jc w:val="center"/>
        <w:rPr>
          <w:rFonts w:ascii="Times New Roman" w:hAnsi="Times New Roman" w:cs="Times New Roman"/>
          <w:b/>
          <w:sz w:val="28"/>
          <w:szCs w:val="28"/>
        </w:rPr>
      </w:pPr>
      <w:r w:rsidRPr="003F4D72">
        <w:rPr>
          <w:rFonts w:asciiTheme="majorHAnsi" w:hAnsiTheme="majorHAnsi" w:cstheme="majorHAnsi"/>
          <w:b/>
          <w:noProof/>
          <w:sz w:val="28"/>
          <w:szCs w:val="28"/>
          <w:lang w:val="en-US"/>
        </w:rPr>
        <w:drawing>
          <wp:inline distT="0" distB="0" distL="0" distR="0" wp14:anchorId="59DF507B" wp14:editId="671F6795">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E6017D5" w14:textId="77777777" w:rsidR="00F016B0" w:rsidRPr="003F4D72" w:rsidRDefault="00F016B0" w:rsidP="00F016B0">
      <w:pPr>
        <w:spacing w:after="0" w:line="240" w:lineRule="auto"/>
        <w:jc w:val="center"/>
        <w:rPr>
          <w:rFonts w:asciiTheme="majorHAnsi" w:hAnsiTheme="majorHAnsi" w:cstheme="majorHAnsi"/>
          <w:b/>
          <w:sz w:val="28"/>
          <w:szCs w:val="28"/>
        </w:rPr>
      </w:pPr>
    </w:p>
    <w:p w14:paraId="077F1B20" w14:textId="77777777" w:rsidR="00F016B0" w:rsidRPr="003F4D72" w:rsidRDefault="00F016B0" w:rsidP="00F016B0">
      <w:pPr>
        <w:spacing w:after="0" w:line="240" w:lineRule="auto"/>
        <w:jc w:val="center"/>
        <w:rPr>
          <w:rFonts w:asciiTheme="majorHAnsi" w:hAnsiTheme="majorHAnsi" w:cstheme="majorHAnsi"/>
          <w:b/>
          <w:sz w:val="28"/>
          <w:szCs w:val="28"/>
        </w:rPr>
      </w:pPr>
      <w:r w:rsidRPr="003F4D72">
        <w:rPr>
          <w:rFonts w:asciiTheme="majorHAnsi" w:hAnsiTheme="majorHAnsi" w:cstheme="majorHAnsi"/>
          <w:b/>
          <w:sz w:val="28"/>
          <w:szCs w:val="28"/>
        </w:rPr>
        <w:t>CURTEA DE CONTURI A REPUBLICII MOLDOVA</w:t>
      </w:r>
    </w:p>
    <w:p w14:paraId="32405ED0" w14:textId="77777777" w:rsidR="00F016B0" w:rsidRPr="003F4D72" w:rsidRDefault="00F016B0" w:rsidP="00F016B0">
      <w:pPr>
        <w:spacing w:after="0" w:line="240" w:lineRule="auto"/>
        <w:rPr>
          <w:rFonts w:ascii="Times New Roman" w:hAnsi="Times New Roman" w:cs="Times New Roman"/>
        </w:rPr>
      </w:pPr>
    </w:p>
    <w:p w14:paraId="6A821046" w14:textId="77777777" w:rsidR="00F016B0" w:rsidRPr="003F4D72" w:rsidRDefault="00F016B0" w:rsidP="00F016B0">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14:paraId="1AB74EE9" w14:textId="77777777" w:rsidR="00F016B0" w:rsidRPr="003F4D72" w:rsidRDefault="00F016B0" w:rsidP="00F016B0">
      <w:pPr>
        <w:tabs>
          <w:tab w:val="left" w:pos="720"/>
        </w:tabs>
        <w:spacing w:after="0" w:line="240" w:lineRule="auto"/>
        <w:jc w:val="right"/>
        <w:rPr>
          <w:rFonts w:asciiTheme="majorHAnsi" w:eastAsia="Times New Roman" w:hAnsiTheme="majorHAnsi" w:cstheme="majorHAnsi"/>
          <w:b/>
          <w:bCs/>
          <w:color w:val="1F4E79" w:themeColor="accent1" w:themeShade="80"/>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16B0" w:rsidRPr="003F4D72" w14:paraId="5CFFA336" w14:textId="77777777" w:rsidTr="00D73AC5">
        <w:trPr>
          <w:trHeight w:val="435"/>
        </w:trPr>
        <w:tc>
          <w:tcPr>
            <w:tcW w:w="9350" w:type="dxa"/>
          </w:tcPr>
          <w:p w14:paraId="055AEF54" w14:textId="77777777" w:rsidR="00F016B0" w:rsidRPr="003F4D72" w:rsidRDefault="00F016B0" w:rsidP="00F016B0">
            <w:pPr>
              <w:pStyle w:val="Heading4"/>
              <w:spacing w:before="0"/>
              <w:ind w:right="368"/>
              <w:jc w:val="center"/>
              <w:outlineLvl w:val="3"/>
              <w:rPr>
                <w:rFonts w:cstheme="majorHAnsi"/>
                <w:b/>
                <w:i w:val="0"/>
                <w:color w:val="auto"/>
                <w:sz w:val="18"/>
              </w:rPr>
            </w:pPr>
            <w:r w:rsidRPr="003F4D72">
              <w:rPr>
                <w:rFonts w:cstheme="majorHAnsi"/>
                <w:i w:val="0"/>
                <w:color w:val="auto"/>
                <w:sz w:val="18"/>
              </w:rPr>
              <w:t>MD-2001, mun. Chișinău, bd. Ștefan cel Mare și Sfânt nr.69, tel. (+373 22) 26 60 02,</w:t>
            </w:r>
          </w:p>
          <w:p w14:paraId="0C9C2337" w14:textId="77777777" w:rsidR="00F016B0" w:rsidRPr="003F4D72" w:rsidRDefault="00F016B0" w:rsidP="00F016B0">
            <w:pPr>
              <w:tabs>
                <w:tab w:val="left" w:pos="720"/>
              </w:tabs>
              <w:jc w:val="center"/>
              <w:rPr>
                <w:rFonts w:asciiTheme="majorHAnsi" w:eastAsia="Times New Roman" w:hAnsiTheme="majorHAnsi" w:cstheme="majorHAnsi"/>
                <w:b/>
                <w:bCs/>
                <w:color w:val="1F4E79" w:themeColor="accent1" w:themeShade="80"/>
                <w:sz w:val="24"/>
                <w:szCs w:val="24"/>
              </w:rPr>
            </w:pPr>
            <w:r w:rsidRPr="003F4D72">
              <w:rPr>
                <w:rFonts w:asciiTheme="majorHAnsi" w:hAnsiTheme="majorHAnsi" w:cstheme="majorHAnsi"/>
                <w:sz w:val="18"/>
              </w:rPr>
              <w:t xml:space="preserve">fax: (+373 22) 26 61 00, web: </w:t>
            </w:r>
            <w:hyperlink r:id="rId9" w:history="1">
              <w:r w:rsidRPr="003F4D72">
                <w:rPr>
                  <w:rStyle w:val="Hyperlink"/>
                  <w:rFonts w:asciiTheme="majorHAnsi" w:hAnsiTheme="majorHAnsi" w:cstheme="majorHAnsi"/>
                  <w:sz w:val="18"/>
                </w:rPr>
                <w:t>www.ccrm.md</w:t>
              </w:r>
            </w:hyperlink>
            <w:r w:rsidRPr="003F4D72">
              <w:rPr>
                <w:rFonts w:asciiTheme="majorHAnsi" w:hAnsiTheme="majorHAnsi" w:cstheme="majorHAnsi"/>
                <w:sz w:val="18"/>
              </w:rPr>
              <w:t xml:space="preserve">, e-mail: </w:t>
            </w:r>
            <w:hyperlink r:id="rId10" w:history="1">
              <w:r w:rsidRPr="003F4D72">
                <w:rPr>
                  <w:rStyle w:val="Hyperlink"/>
                  <w:rFonts w:asciiTheme="majorHAnsi" w:hAnsiTheme="majorHAnsi" w:cstheme="majorHAnsi"/>
                  <w:sz w:val="18"/>
                </w:rPr>
                <w:t>ccrm@ccrm.md</w:t>
              </w:r>
            </w:hyperlink>
          </w:p>
        </w:tc>
      </w:tr>
    </w:tbl>
    <w:p w14:paraId="56252B3A" w14:textId="77777777" w:rsidR="00F016B0" w:rsidRPr="003F4D72" w:rsidRDefault="00F016B0" w:rsidP="00F016B0">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14:paraId="6AF83D63" w14:textId="77777777" w:rsidR="00F016B0" w:rsidRPr="003F4D72" w:rsidRDefault="00F016B0" w:rsidP="00F016B0">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14:paraId="5057FFB1" w14:textId="77777777" w:rsidR="00F016B0" w:rsidRPr="003F4D72" w:rsidRDefault="00F016B0" w:rsidP="00F016B0">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14:paraId="5AF90589" w14:textId="77777777" w:rsidR="00F016B0" w:rsidRPr="003F4D72" w:rsidRDefault="00F016B0" w:rsidP="00F016B0">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14:paraId="1E56499D" w14:textId="77777777" w:rsidR="00F016B0" w:rsidRPr="003F4D72" w:rsidRDefault="00F016B0" w:rsidP="00F016B0">
      <w:pPr>
        <w:tabs>
          <w:tab w:val="left" w:pos="720"/>
        </w:tabs>
        <w:spacing w:after="0" w:line="240" w:lineRule="auto"/>
        <w:jc w:val="right"/>
        <w:rPr>
          <w:rFonts w:ascii="Times New Roman" w:eastAsia="Times New Roman" w:hAnsi="Times New Roman" w:cs="Times New Roman"/>
          <w:b/>
          <w:bCs/>
          <w:color w:val="1F4E79" w:themeColor="accent1" w:themeShade="80"/>
          <w:sz w:val="24"/>
          <w:szCs w:val="24"/>
        </w:rPr>
      </w:pPr>
    </w:p>
    <w:p w14:paraId="6F52D4A3" w14:textId="77777777" w:rsidR="00F016B0" w:rsidRPr="003F4D72" w:rsidRDefault="00F016B0" w:rsidP="00F016B0">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rPr>
      </w:pPr>
    </w:p>
    <w:p w14:paraId="57B471CA" w14:textId="77777777" w:rsidR="00F016B0" w:rsidRPr="003F4D72" w:rsidRDefault="00F016B0" w:rsidP="00F016B0">
      <w:pPr>
        <w:tabs>
          <w:tab w:val="left" w:pos="720"/>
        </w:tabs>
        <w:spacing w:after="0" w:line="240" w:lineRule="auto"/>
        <w:ind w:firstLine="720"/>
        <w:jc w:val="center"/>
        <w:rPr>
          <w:rFonts w:ascii="Times New Roman" w:eastAsia="Times New Roman" w:hAnsi="Times New Roman" w:cs="Times New Roman"/>
          <w:b/>
          <w:bCs/>
          <w:sz w:val="32"/>
          <w:szCs w:val="32"/>
        </w:rPr>
      </w:pPr>
    </w:p>
    <w:p w14:paraId="407E46E6" w14:textId="77777777" w:rsidR="00F016B0" w:rsidRPr="003F4D72" w:rsidRDefault="00F016B0" w:rsidP="00F016B0">
      <w:pPr>
        <w:tabs>
          <w:tab w:val="left" w:pos="720"/>
        </w:tabs>
        <w:spacing w:after="0" w:line="276" w:lineRule="auto"/>
        <w:ind w:firstLine="720"/>
        <w:jc w:val="center"/>
        <w:rPr>
          <w:rFonts w:asciiTheme="majorHAnsi" w:eastAsia="Times New Roman" w:hAnsiTheme="majorHAnsi" w:cstheme="majorHAnsi"/>
          <w:b/>
          <w:bCs/>
          <w:sz w:val="32"/>
          <w:szCs w:val="32"/>
        </w:rPr>
      </w:pPr>
      <w:r w:rsidRPr="003F4D72">
        <w:rPr>
          <w:rFonts w:asciiTheme="majorHAnsi" w:eastAsia="Times New Roman" w:hAnsiTheme="majorHAnsi" w:cstheme="majorHAnsi"/>
          <w:b/>
          <w:bCs/>
          <w:sz w:val="32"/>
          <w:szCs w:val="32"/>
        </w:rPr>
        <w:t>RAPORTUL</w:t>
      </w:r>
    </w:p>
    <w:p w14:paraId="4772AA57" w14:textId="77777777" w:rsidR="00F016B0" w:rsidRPr="003F4D72" w:rsidRDefault="00F016B0" w:rsidP="00F016B0">
      <w:pPr>
        <w:tabs>
          <w:tab w:val="left" w:pos="720"/>
        </w:tabs>
        <w:spacing w:after="0" w:line="276" w:lineRule="auto"/>
        <w:jc w:val="center"/>
        <w:rPr>
          <w:rFonts w:asciiTheme="majorHAnsi" w:hAnsiTheme="majorHAnsi" w:cstheme="majorHAnsi"/>
          <w:b/>
          <w:sz w:val="32"/>
          <w:szCs w:val="32"/>
        </w:rPr>
      </w:pPr>
      <w:r w:rsidRPr="003F4D72">
        <w:rPr>
          <w:rFonts w:asciiTheme="majorHAnsi" w:eastAsia="Times New Roman" w:hAnsiTheme="majorHAnsi" w:cstheme="majorHAnsi"/>
          <w:b/>
          <w:bCs/>
          <w:sz w:val="32"/>
          <w:szCs w:val="32"/>
        </w:rPr>
        <w:t xml:space="preserve">auditului financiar al </w:t>
      </w:r>
      <w:r w:rsidRPr="003F4D72">
        <w:rPr>
          <w:rFonts w:asciiTheme="majorHAnsi" w:hAnsiTheme="majorHAnsi" w:cstheme="majorHAnsi"/>
          <w:b/>
          <w:sz w:val="32"/>
          <w:szCs w:val="32"/>
        </w:rPr>
        <w:t>Raportului Guvernului privind executarea fondurilor asigurării obligatorii de asistență medicală în anul 2020</w:t>
      </w:r>
    </w:p>
    <w:p w14:paraId="14FD9BB5" w14:textId="77777777" w:rsidR="00D73AC5" w:rsidRPr="003F4D72" w:rsidRDefault="00D73AC5"/>
    <w:p w14:paraId="604B28E6" w14:textId="77777777" w:rsidR="00207224" w:rsidRPr="003F4D72" w:rsidRDefault="00207224"/>
    <w:p w14:paraId="3E6CD799" w14:textId="77777777" w:rsidR="00207224" w:rsidRPr="003F4D72" w:rsidRDefault="00207224"/>
    <w:p w14:paraId="7097CC77" w14:textId="77777777" w:rsidR="00207224" w:rsidRPr="003F4D72" w:rsidRDefault="00207224"/>
    <w:p w14:paraId="0A8BE0CD" w14:textId="77777777" w:rsidR="00207224" w:rsidRPr="003F4D72" w:rsidRDefault="00207224"/>
    <w:p w14:paraId="333BDDC8" w14:textId="77777777" w:rsidR="00207224" w:rsidRPr="003F4D72" w:rsidRDefault="00207224"/>
    <w:p w14:paraId="1AB81C2C" w14:textId="77777777" w:rsidR="00207224" w:rsidRPr="003F4D72" w:rsidRDefault="00207224"/>
    <w:p w14:paraId="241D87A6" w14:textId="77777777" w:rsidR="00207224" w:rsidRPr="003F4D72" w:rsidRDefault="00207224"/>
    <w:p w14:paraId="1BE99F9B" w14:textId="77777777" w:rsidR="00207224" w:rsidRPr="003F4D72" w:rsidRDefault="00207224"/>
    <w:p w14:paraId="6C9CCEE7" w14:textId="77777777" w:rsidR="00101AEB" w:rsidRPr="003F4D72" w:rsidRDefault="00101AEB" w:rsidP="00101AEB">
      <w:pPr>
        <w:pStyle w:val="ListParagraph"/>
        <w:numPr>
          <w:ilvl w:val="0"/>
          <w:numId w:val="15"/>
        </w:numPr>
        <w:spacing w:after="0" w:line="276" w:lineRule="auto"/>
        <w:rPr>
          <w:rFonts w:asciiTheme="majorHAnsi" w:eastAsia="Times New Roman" w:hAnsiTheme="majorHAnsi" w:cstheme="majorHAnsi"/>
          <w:b/>
          <w:bCs/>
          <w:sz w:val="28"/>
          <w:szCs w:val="24"/>
          <w:lang w:val="ro-MD"/>
        </w:rPr>
      </w:pPr>
      <w:r w:rsidRPr="003F4D72">
        <w:rPr>
          <w:rFonts w:asciiTheme="majorHAnsi" w:eastAsia="Times New Roman" w:hAnsiTheme="majorHAnsi" w:cstheme="majorHAnsi"/>
          <w:b/>
          <w:bCs/>
          <w:sz w:val="28"/>
          <w:szCs w:val="24"/>
          <w:lang w:val="ro-MD"/>
        </w:rPr>
        <w:lastRenderedPageBreak/>
        <w:t xml:space="preserve">OPINIE </w:t>
      </w:r>
    </w:p>
    <w:p w14:paraId="56BA6CB4" w14:textId="77777777" w:rsidR="00101AEB" w:rsidRPr="003F4D72" w:rsidRDefault="00101AEB" w:rsidP="001C2E72">
      <w:pPr>
        <w:spacing w:after="0" w:line="276" w:lineRule="auto"/>
        <w:ind w:firstLine="360"/>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Am auditat Raportul Guvernului privind executarea fondurilor asigurării obligatorii de </w:t>
      </w:r>
      <w:proofErr w:type="spellStart"/>
      <w:r w:rsidRPr="003F4D72">
        <w:rPr>
          <w:rFonts w:asciiTheme="majorHAnsi" w:eastAsia="Times New Roman" w:hAnsiTheme="majorHAnsi" w:cstheme="majorHAnsi"/>
          <w:sz w:val="24"/>
          <w:szCs w:val="24"/>
        </w:rPr>
        <w:t>asistenţă</w:t>
      </w:r>
      <w:proofErr w:type="spellEnd"/>
      <w:r w:rsidRPr="003F4D72">
        <w:rPr>
          <w:rFonts w:asciiTheme="majorHAnsi" w:eastAsia="Times New Roman" w:hAnsiTheme="majorHAnsi" w:cstheme="majorHAnsi"/>
          <w:sz w:val="24"/>
          <w:szCs w:val="24"/>
        </w:rPr>
        <w:t xml:space="preserve"> medicală în anul 2020, care cuprind Formularele CNAM nr.1; nr.1.1; nr.1.2; nr.2; nr.4; nr.4.1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descrierea narativă</w:t>
      </w:r>
      <w:r w:rsidRPr="003F4D72">
        <w:rPr>
          <w:rStyle w:val="FootnoteReference"/>
          <w:rFonts w:asciiTheme="majorHAnsi" w:eastAsia="Times New Roman" w:hAnsiTheme="majorHAnsi" w:cstheme="majorHAnsi"/>
          <w:sz w:val="24"/>
          <w:szCs w:val="24"/>
        </w:rPr>
        <w:footnoteReference w:id="1"/>
      </w:r>
      <w:r w:rsidRPr="003F4D72">
        <w:rPr>
          <w:rFonts w:asciiTheme="majorHAnsi" w:eastAsia="Times New Roman" w:hAnsiTheme="majorHAnsi" w:cstheme="majorHAnsi"/>
          <w:sz w:val="24"/>
          <w:szCs w:val="24"/>
        </w:rPr>
        <w:t>, inclusiv un sumar al politicilor contabile semnificative.</w:t>
      </w:r>
    </w:p>
    <w:p w14:paraId="48E907BD" w14:textId="7F07F0DB" w:rsidR="00101AEB" w:rsidRPr="003F4D72" w:rsidRDefault="00101AEB" w:rsidP="00101AEB">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În opinia noastră, Raportul Guvernului privind executarea fondurilor asigurării obligatorii de </w:t>
      </w:r>
      <w:proofErr w:type="spellStart"/>
      <w:r w:rsidRPr="003F4D72">
        <w:rPr>
          <w:rFonts w:asciiTheme="majorHAnsi" w:eastAsia="Times New Roman" w:hAnsiTheme="majorHAnsi" w:cstheme="majorHAnsi"/>
          <w:sz w:val="24"/>
          <w:szCs w:val="24"/>
        </w:rPr>
        <w:t>asistenţă</w:t>
      </w:r>
      <w:proofErr w:type="spellEnd"/>
      <w:r w:rsidRPr="003F4D72">
        <w:rPr>
          <w:rFonts w:asciiTheme="majorHAnsi" w:eastAsia="Times New Roman" w:hAnsiTheme="majorHAnsi" w:cstheme="majorHAnsi"/>
          <w:sz w:val="24"/>
          <w:szCs w:val="24"/>
        </w:rPr>
        <w:t xml:space="preserve"> medicală oferă</w:t>
      </w:r>
      <w:r w:rsidR="00360FF2" w:rsidRPr="003F4D72">
        <w:rPr>
          <w:rFonts w:asciiTheme="majorHAnsi" w:eastAsia="Times New Roman" w:hAnsiTheme="majorHAnsi" w:cstheme="majorHAnsi"/>
          <w:sz w:val="24"/>
          <w:szCs w:val="24"/>
        </w:rPr>
        <w:t>, sub toate aspectele semnificative,</w:t>
      </w:r>
      <w:r w:rsidRPr="003F4D72">
        <w:rPr>
          <w:rFonts w:asciiTheme="majorHAnsi" w:eastAsia="Times New Roman" w:hAnsiTheme="majorHAnsi" w:cstheme="majorHAnsi"/>
          <w:sz w:val="24"/>
          <w:szCs w:val="24"/>
        </w:rPr>
        <w:t xml:space="preserve"> o imagine </w:t>
      </w:r>
      <w:r w:rsidR="00095F92" w:rsidRPr="003F4D72">
        <w:rPr>
          <w:rFonts w:asciiTheme="majorHAnsi" w:eastAsia="Times New Roman" w:hAnsiTheme="majorHAnsi" w:cstheme="majorHAnsi"/>
          <w:sz w:val="24"/>
          <w:szCs w:val="24"/>
        </w:rPr>
        <w:t>corectă</w:t>
      </w:r>
      <w:r w:rsidRPr="003F4D72">
        <w:rPr>
          <w:rFonts w:asciiTheme="majorHAnsi" w:eastAsia="Times New Roman" w:hAnsiTheme="majorHAnsi" w:cstheme="majorHAnsi"/>
          <w:sz w:val="24"/>
          <w:szCs w:val="24"/>
        </w:rPr>
        <w:t xml:space="preserv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fidelă privind executarea FAOAM în anul 2020, în conformitate cu cadrul de raportare financiară aplicabil</w:t>
      </w:r>
      <w:r w:rsidRPr="003F4D72">
        <w:rPr>
          <w:rStyle w:val="FootnoteReference"/>
          <w:rFonts w:asciiTheme="majorHAnsi" w:eastAsia="Times New Roman" w:hAnsiTheme="majorHAnsi" w:cstheme="majorHAnsi"/>
          <w:sz w:val="24"/>
          <w:szCs w:val="24"/>
        </w:rPr>
        <w:footnoteReference w:id="2"/>
      </w:r>
      <w:r w:rsidRPr="003F4D72">
        <w:rPr>
          <w:rFonts w:asciiTheme="majorHAnsi" w:eastAsia="Times New Roman" w:hAnsiTheme="majorHAnsi" w:cstheme="majorHAnsi"/>
          <w:sz w:val="24"/>
          <w:szCs w:val="24"/>
        </w:rPr>
        <w:t>.</w:t>
      </w:r>
    </w:p>
    <w:p w14:paraId="2EDAA90A" w14:textId="77777777" w:rsidR="00101AEB" w:rsidRPr="003F4D72" w:rsidRDefault="00101AEB" w:rsidP="00101AEB">
      <w:pPr>
        <w:spacing w:after="0" w:line="276" w:lineRule="auto"/>
        <w:ind w:firstLine="567"/>
        <w:jc w:val="both"/>
        <w:rPr>
          <w:rFonts w:asciiTheme="majorHAnsi" w:eastAsia="Times New Roman" w:hAnsiTheme="majorHAnsi" w:cstheme="majorHAnsi"/>
          <w:sz w:val="24"/>
          <w:szCs w:val="24"/>
        </w:rPr>
      </w:pPr>
    </w:p>
    <w:p w14:paraId="1593B422" w14:textId="77777777" w:rsidR="00101AEB" w:rsidRPr="003F4D72" w:rsidRDefault="00101AEB" w:rsidP="00101AEB">
      <w:pPr>
        <w:pStyle w:val="ListParagraph"/>
        <w:numPr>
          <w:ilvl w:val="0"/>
          <w:numId w:val="15"/>
        </w:numPr>
        <w:tabs>
          <w:tab w:val="left" w:pos="720"/>
        </w:tabs>
        <w:spacing w:after="0" w:line="240" w:lineRule="auto"/>
        <w:jc w:val="both"/>
        <w:rPr>
          <w:rFonts w:asciiTheme="majorHAnsi" w:hAnsiTheme="majorHAnsi" w:cstheme="minorHAnsi"/>
          <w:b/>
          <w:bCs/>
          <w:sz w:val="28"/>
          <w:szCs w:val="24"/>
          <w:lang w:val="ro-MD"/>
        </w:rPr>
      </w:pPr>
      <w:r w:rsidRPr="003F4D72">
        <w:rPr>
          <w:rFonts w:asciiTheme="majorHAnsi" w:hAnsiTheme="majorHAnsi" w:cstheme="minorHAnsi"/>
          <w:b/>
          <w:bCs/>
          <w:sz w:val="28"/>
          <w:szCs w:val="24"/>
          <w:lang w:val="ro-MD"/>
        </w:rPr>
        <w:t xml:space="preserve">BAZA PENTRU OPINIE </w:t>
      </w:r>
    </w:p>
    <w:p w14:paraId="61C659F7" w14:textId="1570DA5C" w:rsidR="00597525" w:rsidRPr="003F4D72" w:rsidRDefault="00101AEB" w:rsidP="001C2E72">
      <w:pPr>
        <w:spacing w:after="0" w:line="276" w:lineRule="auto"/>
        <w:ind w:firstLine="360"/>
        <w:jc w:val="both"/>
        <w:rPr>
          <w:rFonts w:asciiTheme="majorHAnsi" w:hAnsiTheme="majorHAnsi" w:cstheme="majorHAnsi"/>
          <w:sz w:val="24"/>
          <w:szCs w:val="24"/>
        </w:rPr>
      </w:pPr>
      <w:r w:rsidRPr="003F4D72">
        <w:rPr>
          <w:rFonts w:asciiTheme="majorHAnsi" w:hAnsiTheme="majorHAnsi" w:cstheme="majorHAnsi"/>
          <w:sz w:val="24"/>
          <w:szCs w:val="24"/>
        </w:rPr>
        <w:t>Am realizat misiunea de audit în conformitate cu Standardele Internaționale ale Instituțiilor Supreme de Audit</w:t>
      </w:r>
      <w:r w:rsidRPr="003F4D72">
        <w:rPr>
          <w:rFonts w:asciiTheme="majorHAnsi" w:hAnsiTheme="majorHAnsi" w:cstheme="majorHAnsi"/>
          <w:sz w:val="24"/>
          <w:szCs w:val="24"/>
          <w:vertAlign w:val="superscript"/>
        </w:rPr>
        <w:footnoteReference w:id="3"/>
      </w:r>
      <w:r w:rsidRPr="003F4D72">
        <w:rPr>
          <w:rFonts w:asciiTheme="majorHAnsi" w:hAnsiTheme="majorHAnsi" w:cstheme="majorHAnsi"/>
          <w:sz w:val="24"/>
          <w:szCs w:val="24"/>
        </w:rPr>
        <w:t xml:space="preserve">. Responsabilitățile noastre, potrivit standardelor respective, sunt expuse în secțiunea </w:t>
      </w:r>
      <w:r w:rsidRPr="003F4D72">
        <w:rPr>
          <w:rFonts w:asciiTheme="majorHAnsi" w:hAnsiTheme="majorHAnsi" w:cstheme="majorHAnsi"/>
          <w:i/>
          <w:sz w:val="24"/>
          <w:szCs w:val="24"/>
        </w:rPr>
        <w:t>Responsabilitățile auditorului într-un audit al situațiilor financiare</w:t>
      </w:r>
      <w:r w:rsidRPr="003F4D72">
        <w:rPr>
          <w:rFonts w:asciiTheme="majorHAnsi" w:hAnsiTheme="majorHAnsi" w:cstheme="majorHAnsi"/>
          <w:sz w:val="24"/>
          <w:szCs w:val="24"/>
        </w:rPr>
        <w:t xml:space="preserve"> din prezentul Raport. Suntem independenți față de entitatea auditată și am îndeplinit responsabilitățile de etică, conform cerințelor Codului etic al Curții de Conturi. Considerăm că probele de audit pe care le-am obținut sunt suficiente și adecvate pentru a furniz</w:t>
      </w:r>
      <w:r w:rsidR="001552E9" w:rsidRPr="003F4D72">
        <w:rPr>
          <w:rFonts w:asciiTheme="majorHAnsi" w:hAnsiTheme="majorHAnsi" w:cstheme="majorHAnsi"/>
          <w:sz w:val="24"/>
          <w:szCs w:val="24"/>
        </w:rPr>
        <w:t>a o bază pentru opinia noastră.</w:t>
      </w:r>
    </w:p>
    <w:p w14:paraId="11763FFC" w14:textId="77777777" w:rsidR="00597525" w:rsidRPr="003F4D72" w:rsidRDefault="00597525" w:rsidP="0075078A">
      <w:pPr>
        <w:spacing w:after="0" w:line="276" w:lineRule="auto"/>
        <w:ind w:firstLine="567"/>
        <w:jc w:val="both"/>
        <w:rPr>
          <w:rFonts w:asciiTheme="majorHAnsi" w:eastAsia="Times New Roman" w:hAnsiTheme="majorHAnsi" w:cstheme="majorHAnsi"/>
          <w:sz w:val="24"/>
          <w:szCs w:val="24"/>
        </w:rPr>
      </w:pPr>
    </w:p>
    <w:p w14:paraId="00816591" w14:textId="77777777" w:rsidR="00E22D70" w:rsidRPr="003F4D72" w:rsidRDefault="005157AF" w:rsidP="00165302">
      <w:pPr>
        <w:pStyle w:val="ListParagraph"/>
        <w:numPr>
          <w:ilvl w:val="0"/>
          <w:numId w:val="15"/>
        </w:numPr>
        <w:spacing w:after="0" w:line="276" w:lineRule="auto"/>
        <w:ind w:left="0" w:firstLine="426"/>
        <w:jc w:val="both"/>
        <w:rPr>
          <w:rFonts w:asciiTheme="majorHAnsi" w:eastAsia="Times New Roman" w:hAnsiTheme="majorHAnsi" w:cstheme="majorHAnsi"/>
          <w:sz w:val="24"/>
          <w:szCs w:val="24"/>
          <w:lang w:val="ro-MD"/>
        </w:rPr>
      </w:pPr>
      <w:r w:rsidRPr="003F4D72">
        <w:rPr>
          <w:rFonts w:asciiTheme="majorHAnsi" w:eastAsia="Times New Roman" w:hAnsiTheme="majorHAnsi" w:cstheme="majorHAnsi"/>
          <w:sz w:val="24"/>
          <w:szCs w:val="24"/>
          <w:lang w:val="ro-MD"/>
        </w:rPr>
        <w:t xml:space="preserve"> </w:t>
      </w:r>
      <w:r w:rsidR="007B0967" w:rsidRPr="003F4D72">
        <w:rPr>
          <w:rFonts w:asciiTheme="majorHAnsi" w:hAnsiTheme="majorHAnsi" w:cstheme="minorHAnsi"/>
          <w:b/>
          <w:bCs/>
          <w:sz w:val="28"/>
          <w:szCs w:val="24"/>
          <w:lang w:val="ro-MD"/>
        </w:rPr>
        <w:t>PARAGRAF DE EVIDENȚIERE</w:t>
      </w:r>
    </w:p>
    <w:p w14:paraId="7F2215EF" w14:textId="537B62D3" w:rsidR="0018424B" w:rsidRPr="003F4D72" w:rsidRDefault="00F644F3" w:rsidP="00191FA5">
      <w:pPr>
        <w:spacing w:after="0" w:line="276" w:lineRule="auto"/>
        <w:jc w:val="both"/>
        <w:rPr>
          <w:rFonts w:asciiTheme="majorHAnsi" w:hAnsiTheme="majorHAnsi" w:cstheme="majorHAnsi"/>
          <w:b/>
          <w:sz w:val="24"/>
          <w:szCs w:val="24"/>
        </w:rPr>
      </w:pPr>
      <w:r w:rsidRPr="003F4D72">
        <w:rPr>
          <w:rFonts w:asciiTheme="majorHAnsi" w:hAnsiTheme="majorHAnsi" w:cstheme="majorHAnsi"/>
          <w:b/>
          <w:sz w:val="24"/>
          <w:szCs w:val="24"/>
        </w:rPr>
        <w:t xml:space="preserve">3.1. </w:t>
      </w:r>
      <w:r w:rsidR="003963EC" w:rsidRPr="003F4D72">
        <w:rPr>
          <w:rFonts w:asciiTheme="majorHAnsi" w:hAnsiTheme="majorHAnsi" w:cstheme="majorHAnsi"/>
          <w:b/>
          <w:sz w:val="24"/>
          <w:szCs w:val="24"/>
        </w:rPr>
        <w:t>Atragem atenția că s</w:t>
      </w:r>
      <w:r w:rsidR="0018424B" w:rsidRPr="003F4D72">
        <w:rPr>
          <w:rFonts w:asciiTheme="majorHAnsi" w:hAnsiTheme="majorHAnsi" w:cstheme="majorHAnsi"/>
          <w:b/>
          <w:sz w:val="24"/>
          <w:szCs w:val="24"/>
        </w:rPr>
        <w:t xml:space="preserve">pecificul cadrului regulator de raportare a FAOAM nu dispune de prevederi privind reflectarea procesului integral </w:t>
      </w:r>
      <w:r w:rsidR="00650533" w:rsidRPr="003F4D72">
        <w:rPr>
          <w:rFonts w:asciiTheme="majorHAnsi" w:hAnsiTheme="majorHAnsi" w:cstheme="majorHAnsi"/>
          <w:b/>
          <w:sz w:val="24"/>
          <w:szCs w:val="24"/>
        </w:rPr>
        <w:t>de calculare, executare și raportare a veniturilor</w:t>
      </w:r>
      <w:r w:rsidR="00650533" w:rsidRPr="003F4D72">
        <w:rPr>
          <w:rFonts w:asciiTheme="majorHAnsi" w:hAnsiTheme="majorHAnsi" w:cstheme="majorHAnsi"/>
          <w:b/>
          <w:bCs/>
          <w:iCs/>
          <w:sz w:val="24"/>
          <w:szCs w:val="24"/>
        </w:rPr>
        <w:t xml:space="preserve"> calculate</w:t>
      </w:r>
      <w:r w:rsidR="00597525" w:rsidRPr="003F4D72">
        <w:rPr>
          <w:rFonts w:asciiTheme="majorHAnsi" w:hAnsiTheme="majorHAnsi" w:cstheme="majorHAnsi"/>
          <w:b/>
          <w:bCs/>
          <w:iCs/>
          <w:sz w:val="24"/>
          <w:szCs w:val="24"/>
        </w:rPr>
        <w:t xml:space="preserve">, în special a restanțelor </w:t>
      </w:r>
      <w:r w:rsidR="00650533" w:rsidRPr="003F4D72">
        <w:rPr>
          <w:rFonts w:asciiTheme="majorHAnsi" w:hAnsiTheme="majorHAnsi" w:cstheme="majorHAnsi"/>
          <w:b/>
          <w:bCs/>
          <w:iCs/>
          <w:sz w:val="24"/>
          <w:szCs w:val="24"/>
        </w:rPr>
        <w:t>(</w:t>
      </w:r>
      <w:r w:rsidR="004F294F" w:rsidRPr="003F4D72">
        <w:rPr>
          <w:rFonts w:asciiTheme="majorHAnsi" w:hAnsiTheme="majorHAnsi" w:cstheme="majorHAnsi"/>
          <w:b/>
          <w:bCs/>
          <w:iCs/>
          <w:sz w:val="24"/>
          <w:szCs w:val="24"/>
        </w:rPr>
        <w:t>112,0</w:t>
      </w:r>
      <w:r w:rsidR="00597525" w:rsidRPr="003F4D72">
        <w:rPr>
          <w:rFonts w:asciiTheme="majorHAnsi" w:hAnsiTheme="majorHAnsi" w:cstheme="majorHAnsi"/>
          <w:b/>
          <w:bCs/>
          <w:iCs/>
          <w:sz w:val="24"/>
          <w:szCs w:val="24"/>
        </w:rPr>
        <w:t xml:space="preserve"> mil.</w:t>
      </w:r>
      <w:r w:rsidR="00650533" w:rsidRPr="003F4D72">
        <w:rPr>
          <w:rFonts w:asciiTheme="majorHAnsi" w:hAnsiTheme="majorHAnsi" w:cstheme="majorHAnsi"/>
          <w:b/>
          <w:bCs/>
          <w:iCs/>
          <w:sz w:val="24"/>
          <w:szCs w:val="24"/>
        </w:rPr>
        <w:t>lei)</w:t>
      </w:r>
      <w:r w:rsidR="00F14CCD" w:rsidRPr="003F4D72">
        <w:rPr>
          <w:rFonts w:asciiTheme="majorHAnsi" w:hAnsiTheme="majorHAnsi" w:cstheme="majorHAnsi"/>
          <w:b/>
          <w:bCs/>
          <w:iCs/>
          <w:sz w:val="24"/>
          <w:szCs w:val="24"/>
        </w:rPr>
        <w:t>.</w:t>
      </w:r>
    </w:p>
    <w:p w14:paraId="59B05CBF" w14:textId="77777777" w:rsidR="0077032D" w:rsidRPr="003F4D72" w:rsidRDefault="0077032D" w:rsidP="00191FA5">
      <w:pPr>
        <w:tabs>
          <w:tab w:val="left" w:pos="142"/>
          <w:tab w:val="left" w:pos="192"/>
          <w:tab w:val="left" w:pos="426"/>
        </w:tabs>
        <w:spacing w:after="0" w:line="276" w:lineRule="auto"/>
        <w:ind w:firstLine="567"/>
        <w:jc w:val="both"/>
        <w:rPr>
          <w:rFonts w:asciiTheme="majorHAnsi" w:eastAsia="Times New Roman" w:hAnsiTheme="majorHAnsi" w:cstheme="majorHAnsi"/>
          <w:noProof/>
          <w:sz w:val="24"/>
          <w:szCs w:val="24"/>
          <w:lang w:eastAsia="ru-RU"/>
        </w:rPr>
      </w:pPr>
      <w:r w:rsidRPr="003F4D72">
        <w:rPr>
          <w:rFonts w:asciiTheme="majorHAnsi" w:eastAsia="Times New Roman" w:hAnsiTheme="majorHAnsi" w:cstheme="majorHAnsi"/>
          <w:noProof/>
          <w:sz w:val="24"/>
          <w:szCs w:val="24"/>
          <w:lang w:eastAsia="ru-RU"/>
        </w:rPr>
        <w:t>Procesul bugetar reprezintă o succesiune de etape, care constau în elaborarea, aprobarea, executarea și raportarea execuției bugetare. Astfel, elementul-cheie prin care este asigurată transparența executării bugetare este raportarea. Potrivit cadrului legal</w:t>
      </w:r>
      <w:r w:rsidR="002C6B6B" w:rsidRPr="003F4D72">
        <w:rPr>
          <w:rStyle w:val="FootnoteReference"/>
          <w:rFonts w:asciiTheme="majorHAnsi" w:eastAsia="Times New Roman" w:hAnsiTheme="majorHAnsi" w:cstheme="majorHAnsi"/>
          <w:noProof/>
          <w:sz w:val="24"/>
          <w:szCs w:val="24"/>
          <w:lang w:eastAsia="ru-RU"/>
        </w:rPr>
        <w:footnoteReference w:id="4"/>
      </w:r>
      <w:r w:rsidRPr="003F4D72">
        <w:rPr>
          <w:rFonts w:asciiTheme="majorHAnsi" w:eastAsia="Times New Roman" w:hAnsiTheme="majorHAnsi" w:cstheme="majorHAnsi"/>
          <w:noProof/>
          <w:sz w:val="24"/>
          <w:szCs w:val="24"/>
          <w:lang w:eastAsia="ru-RU"/>
        </w:rPr>
        <w:t>, raportarea anuală privind executarea fondurilor asigurării obligatorii de asistență medicală este asigurată prin întocmirea Raportului de către administratorul bugetului (CNAM) și se prezintă Guvernului, iar ulterior Parlamentului, spre aprobare, în termenele prevăzute de calendarul bugetar.</w:t>
      </w:r>
    </w:p>
    <w:p w14:paraId="5DE2F88E" w14:textId="714650D1" w:rsidR="0086775F" w:rsidRPr="003F4D72" w:rsidRDefault="0086775F" w:rsidP="0086775F">
      <w:pPr>
        <w:tabs>
          <w:tab w:val="left" w:pos="709"/>
        </w:tabs>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Structura și formatul rapoartelor privind executarea FAOAM, aprobate prin </w:t>
      </w:r>
      <w:r w:rsidR="00C67C4B" w:rsidRPr="003F4D72">
        <w:rPr>
          <w:rFonts w:asciiTheme="majorHAnsi" w:hAnsiTheme="majorHAnsi" w:cstheme="majorHAnsi"/>
          <w:sz w:val="24"/>
          <w:szCs w:val="24"/>
        </w:rPr>
        <w:t>O</w:t>
      </w:r>
      <w:r w:rsidRPr="003F4D72">
        <w:rPr>
          <w:rFonts w:asciiTheme="majorHAnsi" w:hAnsiTheme="majorHAnsi" w:cstheme="majorHAnsi"/>
          <w:sz w:val="24"/>
          <w:szCs w:val="24"/>
        </w:rPr>
        <w:t xml:space="preserve">rdinul </w:t>
      </w:r>
      <w:r w:rsidR="00C67C4B" w:rsidRPr="003F4D72">
        <w:rPr>
          <w:rFonts w:asciiTheme="majorHAnsi" w:hAnsiTheme="majorHAnsi" w:cstheme="majorHAnsi"/>
          <w:sz w:val="24"/>
          <w:szCs w:val="24"/>
        </w:rPr>
        <w:t>m</w:t>
      </w:r>
      <w:r w:rsidRPr="003F4D72">
        <w:rPr>
          <w:rFonts w:asciiTheme="majorHAnsi" w:hAnsiTheme="majorHAnsi" w:cstheme="majorHAnsi"/>
          <w:sz w:val="24"/>
          <w:szCs w:val="24"/>
        </w:rPr>
        <w:t>inistrului Finanțelor nr.02 din 05.01.2018, cuprinde executarea cheltuielilor atât pe subprograme de cheltuieli</w:t>
      </w:r>
      <w:r w:rsidR="00C67C4B" w:rsidRPr="003F4D72">
        <w:rPr>
          <w:rFonts w:asciiTheme="majorHAnsi" w:hAnsiTheme="majorHAnsi" w:cstheme="majorHAnsi"/>
          <w:sz w:val="24"/>
          <w:szCs w:val="24"/>
        </w:rPr>
        <w:t>,</w:t>
      </w:r>
      <w:r w:rsidRPr="003F4D72">
        <w:rPr>
          <w:rFonts w:asciiTheme="majorHAnsi" w:hAnsiTheme="majorHAnsi" w:cstheme="majorHAnsi"/>
          <w:sz w:val="24"/>
          <w:szCs w:val="24"/>
        </w:rPr>
        <w:t xml:space="preserve"> cât și conform clasificației economice, inclusiv cheltuielile efective, </w:t>
      </w:r>
      <w:r w:rsidRPr="003F4D72">
        <w:rPr>
          <w:rFonts w:asciiTheme="majorHAnsi" w:hAnsiTheme="majorHAnsi" w:cstheme="majorHAnsi"/>
          <w:sz w:val="24"/>
          <w:szCs w:val="24"/>
        </w:rPr>
        <w:lastRenderedPageBreak/>
        <w:t>creanțe</w:t>
      </w:r>
      <w:r w:rsidR="00C67C4B" w:rsidRPr="003F4D72">
        <w:rPr>
          <w:rFonts w:asciiTheme="majorHAnsi" w:hAnsiTheme="majorHAnsi" w:cstheme="majorHAnsi"/>
          <w:sz w:val="24"/>
          <w:szCs w:val="24"/>
        </w:rPr>
        <w:t>le</w:t>
      </w:r>
      <w:r w:rsidRPr="003F4D72">
        <w:rPr>
          <w:rFonts w:asciiTheme="majorHAnsi" w:hAnsiTheme="majorHAnsi" w:cstheme="majorHAnsi"/>
          <w:sz w:val="24"/>
          <w:szCs w:val="24"/>
        </w:rPr>
        <w:t xml:space="preserve"> și datorii</w:t>
      </w:r>
      <w:r w:rsidR="00C67C4B" w:rsidRPr="003F4D72">
        <w:rPr>
          <w:rFonts w:asciiTheme="majorHAnsi" w:hAnsiTheme="majorHAnsi" w:cstheme="majorHAnsi"/>
          <w:sz w:val="24"/>
          <w:szCs w:val="24"/>
        </w:rPr>
        <w:t>le</w:t>
      </w:r>
      <w:r w:rsidRPr="003F4D72">
        <w:rPr>
          <w:rFonts w:asciiTheme="majorHAnsi" w:hAnsiTheme="majorHAnsi" w:cstheme="majorHAnsi"/>
          <w:sz w:val="24"/>
          <w:szCs w:val="24"/>
        </w:rPr>
        <w:t xml:space="preserve"> înregistrate la sfârșitul anului. </w:t>
      </w:r>
      <w:r w:rsidR="00D04B2A" w:rsidRPr="003F4D72">
        <w:rPr>
          <w:rFonts w:asciiTheme="majorHAnsi" w:hAnsiTheme="majorHAnsi"/>
          <w:sz w:val="24"/>
          <w:szCs w:val="24"/>
        </w:rPr>
        <w:t>Potrivit cadrului legal</w:t>
      </w:r>
      <w:r w:rsidR="00D04B2A" w:rsidRPr="003F4D72">
        <w:rPr>
          <w:rStyle w:val="FootnoteReference"/>
          <w:rFonts w:asciiTheme="majorHAnsi" w:hAnsiTheme="majorHAnsi"/>
          <w:sz w:val="24"/>
          <w:szCs w:val="24"/>
        </w:rPr>
        <w:footnoteReference w:id="5"/>
      </w:r>
      <w:r w:rsidR="00D04B2A" w:rsidRPr="003F4D72">
        <w:rPr>
          <w:rFonts w:asciiTheme="majorHAnsi" w:hAnsiTheme="majorHAnsi"/>
          <w:sz w:val="24"/>
          <w:szCs w:val="24"/>
        </w:rPr>
        <w:t>,</w:t>
      </w:r>
      <w:r w:rsidR="0068002F" w:rsidRPr="003F4D72">
        <w:rPr>
          <w:rFonts w:asciiTheme="majorHAnsi" w:hAnsiTheme="majorHAnsi"/>
          <w:sz w:val="24"/>
          <w:szCs w:val="24"/>
        </w:rPr>
        <w:t xml:space="preserve"> CNAM</w:t>
      </w:r>
      <w:r w:rsidR="00D04B2A" w:rsidRPr="003F4D72">
        <w:rPr>
          <w:rFonts w:asciiTheme="majorHAnsi" w:hAnsiTheme="majorHAnsi"/>
          <w:sz w:val="24"/>
          <w:szCs w:val="24"/>
        </w:rPr>
        <w:t xml:space="preserve"> trebuie să țină </w:t>
      </w:r>
      <w:r w:rsidR="00D04B2A" w:rsidRPr="003F4D72">
        <w:rPr>
          <w:rFonts w:asciiTheme="majorHAnsi" w:hAnsiTheme="majorHAnsi"/>
          <w:iCs/>
          <w:color w:val="000000"/>
          <w:sz w:val="24"/>
          <w:szCs w:val="24"/>
        </w:rPr>
        <w:t xml:space="preserve">contabilitatea de angajamente, </w:t>
      </w:r>
      <w:r w:rsidR="00D04B2A" w:rsidRPr="003F4D72">
        <w:rPr>
          <w:rFonts w:asciiTheme="majorHAnsi" w:hAnsiTheme="majorHAnsi"/>
          <w:color w:val="000000"/>
          <w:sz w:val="24"/>
          <w:szCs w:val="24"/>
        </w:rPr>
        <w:t>ceea ce rezumă recunoașterea elementelor contabile pe măsura apariției acestora, indiferent de momentul încasării mijloacelor bănești</w:t>
      </w:r>
      <w:r w:rsidR="001F2F5F" w:rsidRPr="003F4D72">
        <w:rPr>
          <w:rFonts w:asciiTheme="majorHAnsi" w:hAnsiTheme="majorHAnsi"/>
          <w:color w:val="000000"/>
          <w:sz w:val="24"/>
          <w:szCs w:val="24"/>
        </w:rPr>
        <w:t>.</w:t>
      </w:r>
    </w:p>
    <w:p w14:paraId="67665260" w14:textId="27A14EC6" w:rsidR="0086775F" w:rsidRPr="003F4D72" w:rsidRDefault="0086775F" w:rsidP="004F294F">
      <w:pPr>
        <w:tabs>
          <w:tab w:val="left" w:pos="709"/>
        </w:tabs>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Cu referire la venituri se denotă că</w:t>
      </w:r>
      <w:r w:rsidRPr="003F4D72">
        <w:rPr>
          <w:rFonts w:asciiTheme="majorHAnsi" w:hAnsiTheme="majorHAnsi" w:cstheme="majorHAnsi"/>
          <w:color w:val="000000" w:themeColor="text1"/>
          <w:sz w:val="24"/>
          <w:szCs w:val="24"/>
        </w:rPr>
        <w:t xml:space="preserve"> în Rapoartele Guvernului privind executarea FAOAM (Formularul nr.1</w:t>
      </w:r>
      <w:r w:rsidR="004E2236" w:rsidRPr="003F4D72">
        <w:rPr>
          <w:rFonts w:asciiTheme="majorHAnsi" w:hAnsiTheme="majorHAnsi" w:cstheme="majorHAnsi"/>
          <w:color w:val="000000" w:themeColor="text1"/>
          <w:sz w:val="24"/>
          <w:szCs w:val="24"/>
        </w:rPr>
        <w:t xml:space="preserve">, </w:t>
      </w:r>
      <w:r w:rsidRPr="003F4D72">
        <w:rPr>
          <w:rFonts w:asciiTheme="majorHAnsi" w:hAnsiTheme="majorHAnsi" w:cstheme="majorHAnsi"/>
          <w:color w:val="000000" w:themeColor="text1"/>
          <w:sz w:val="24"/>
          <w:szCs w:val="24"/>
        </w:rPr>
        <w:t>nr.4</w:t>
      </w:r>
      <w:r w:rsidR="004E2236" w:rsidRPr="003F4D72">
        <w:rPr>
          <w:rFonts w:asciiTheme="majorHAnsi" w:hAnsiTheme="majorHAnsi" w:cstheme="majorHAnsi"/>
          <w:color w:val="000000" w:themeColor="text1"/>
          <w:sz w:val="24"/>
          <w:szCs w:val="24"/>
        </w:rPr>
        <w:t xml:space="preserve"> și 4,1</w:t>
      </w:r>
      <w:r w:rsidRPr="003F4D72">
        <w:rPr>
          <w:rFonts w:asciiTheme="majorHAnsi" w:hAnsiTheme="majorHAnsi" w:cstheme="majorHAnsi"/>
          <w:color w:val="000000" w:themeColor="text1"/>
          <w:sz w:val="24"/>
          <w:szCs w:val="24"/>
        </w:rPr>
        <w:t xml:space="preserve"> CNAM), </w:t>
      </w:r>
      <w:r w:rsidRPr="003F4D72">
        <w:rPr>
          <w:rFonts w:asciiTheme="majorHAnsi" w:hAnsiTheme="majorHAnsi" w:cstheme="majorHAnsi"/>
          <w:sz w:val="24"/>
          <w:szCs w:val="24"/>
        </w:rPr>
        <w:t xml:space="preserve">veniturile </w:t>
      </w:r>
      <w:r w:rsidRPr="003F4D72">
        <w:rPr>
          <w:rFonts w:asciiTheme="majorHAnsi" w:hAnsiTheme="majorHAnsi" w:cstheme="majorHAnsi"/>
          <w:color w:val="000000" w:themeColor="text1"/>
          <w:sz w:val="24"/>
          <w:szCs w:val="24"/>
        </w:rPr>
        <w:t xml:space="preserve">se prezintă valoric doar în suma executată, iar suma datoriilor/restanțelor formate la finele perioadei de gestiune aferente primelor AOAM, sunt dezvăluite și prezentate </w:t>
      </w:r>
      <w:r w:rsidRPr="003F4D72">
        <w:rPr>
          <w:rFonts w:asciiTheme="majorHAnsi" w:hAnsiTheme="majorHAnsi" w:cstheme="majorHAnsi"/>
          <w:sz w:val="24"/>
          <w:szCs w:val="24"/>
        </w:rPr>
        <w:t xml:space="preserve">doar </w:t>
      </w:r>
      <w:r w:rsidRPr="003F4D72">
        <w:rPr>
          <w:rFonts w:asciiTheme="majorHAnsi" w:hAnsiTheme="majorHAnsi" w:cstheme="majorHAnsi"/>
          <w:color w:val="000000" w:themeColor="text1"/>
          <w:sz w:val="24"/>
          <w:szCs w:val="24"/>
        </w:rPr>
        <w:t>în Raportul narativ privind executarea FAOAM</w:t>
      </w:r>
      <w:r w:rsidRPr="003F4D72">
        <w:rPr>
          <w:rFonts w:asciiTheme="majorHAnsi" w:hAnsiTheme="majorHAnsi" w:cstheme="majorHAnsi"/>
          <w:sz w:val="24"/>
          <w:szCs w:val="24"/>
        </w:rPr>
        <w:t>.</w:t>
      </w:r>
    </w:p>
    <w:p w14:paraId="5B731134" w14:textId="4C22F3EA" w:rsidR="00980BC4" w:rsidRPr="003F4D72" w:rsidRDefault="00C75FB3" w:rsidP="004F294F">
      <w:pPr>
        <w:tabs>
          <w:tab w:val="left" w:pos="1134"/>
        </w:tabs>
        <w:spacing w:after="0" w:line="276" w:lineRule="auto"/>
        <w:ind w:firstLine="567"/>
        <w:jc w:val="both"/>
        <w:rPr>
          <w:rFonts w:asciiTheme="majorHAnsi" w:eastAsia="Times New Roman" w:hAnsiTheme="majorHAnsi" w:cstheme="majorHAnsi"/>
          <w:noProof/>
          <w:sz w:val="24"/>
          <w:szCs w:val="24"/>
          <w:lang w:eastAsia="ro-RO"/>
        </w:rPr>
      </w:pPr>
      <w:r w:rsidRPr="003F4D72">
        <w:rPr>
          <w:rFonts w:asciiTheme="majorHAnsi" w:eastAsia="Times New Roman" w:hAnsiTheme="majorHAnsi" w:cstheme="majorHAnsi"/>
          <w:noProof/>
          <w:sz w:val="24"/>
          <w:szCs w:val="24"/>
          <w:lang w:eastAsia="ro-RO"/>
        </w:rPr>
        <w:t xml:space="preserve">În acest context, </w:t>
      </w:r>
      <w:r w:rsidR="0068002F" w:rsidRPr="003F4D72">
        <w:rPr>
          <w:rFonts w:asciiTheme="majorHAnsi" w:eastAsia="Times New Roman" w:hAnsiTheme="majorHAnsi" w:cstheme="majorHAnsi"/>
          <w:noProof/>
          <w:sz w:val="24"/>
          <w:szCs w:val="24"/>
          <w:lang w:eastAsia="ro-RO"/>
        </w:rPr>
        <w:t>CNAM</w:t>
      </w:r>
      <w:r w:rsidRPr="003F4D72">
        <w:rPr>
          <w:rFonts w:asciiTheme="majorHAnsi" w:eastAsia="Times New Roman" w:hAnsiTheme="majorHAnsi" w:cstheme="majorHAnsi"/>
          <w:noProof/>
          <w:sz w:val="24"/>
          <w:szCs w:val="24"/>
          <w:lang w:eastAsia="ro-RO"/>
        </w:rPr>
        <w:t xml:space="preserve"> a reflectat în evidența contabilă la venituri anticipate, ve</w:t>
      </w:r>
      <w:r w:rsidR="006F00F7" w:rsidRPr="003F4D72">
        <w:rPr>
          <w:rFonts w:asciiTheme="majorHAnsi" w:eastAsia="Times New Roman" w:hAnsiTheme="majorHAnsi" w:cstheme="majorHAnsi"/>
          <w:noProof/>
          <w:sz w:val="24"/>
          <w:szCs w:val="24"/>
          <w:lang w:eastAsia="ro-RO"/>
        </w:rPr>
        <w:t>niturile calculate/declarate ale</w:t>
      </w:r>
      <w:r w:rsidRPr="003F4D72">
        <w:rPr>
          <w:rFonts w:asciiTheme="majorHAnsi" w:eastAsia="Times New Roman" w:hAnsiTheme="majorHAnsi" w:cstheme="majorHAnsi"/>
          <w:noProof/>
          <w:sz w:val="24"/>
          <w:szCs w:val="24"/>
          <w:lang w:eastAsia="ro-RO"/>
        </w:rPr>
        <w:t xml:space="preserve"> contribuabililor aferent</w:t>
      </w:r>
      <w:r w:rsidR="00C67C4B" w:rsidRPr="003F4D72">
        <w:rPr>
          <w:rFonts w:asciiTheme="majorHAnsi" w:eastAsia="Times New Roman" w:hAnsiTheme="majorHAnsi" w:cstheme="majorHAnsi"/>
          <w:noProof/>
          <w:sz w:val="24"/>
          <w:szCs w:val="24"/>
          <w:lang w:eastAsia="ro-RO"/>
        </w:rPr>
        <w:t>e</w:t>
      </w:r>
      <w:r w:rsidRPr="003F4D72">
        <w:rPr>
          <w:rFonts w:asciiTheme="majorHAnsi" w:eastAsia="Times New Roman" w:hAnsiTheme="majorHAnsi" w:cstheme="majorHAnsi"/>
          <w:noProof/>
          <w:sz w:val="24"/>
          <w:szCs w:val="24"/>
          <w:lang w:eastAsia="ro-RO"/>
        </w:rPr>
        <w:t xml:space="preserve"> contribuțiilor din primele AOAM în sumă procentuală în baza datelor prezentate de Serviciul Fiscal de Stat</w:t>
      </w:r>
      <w:r w:rsidR="00980BC4" w:rsidRPr="003F4D72">
        <w:rPr>
          <w:rStyle w:val="FootnoteReference"/>
          <w:rFonts w:asciiTheme="majorHAnsi" w:hAnsiTheme="majorHAnsi"/>
          <w:sz w:val="24"/>
          <w:szCs w:val="28"/>
        </w:rPr>
        <w:footnoteReference w:id="6"/>
      </w:r>
      <w:r w:rsidRPr="003F4D72">
        <w:rPr>
          <w:rFonts w:asciiTheme="majorHAnsi" w:eastAsia="Times New Roman" w:hAnsiTheme="majorHAnsi" w:cstheme="majorHAnsi"/>
          <w:noProof/>
          <w:sz w:val="24"/>
          <w:szCs w:val="24"/>
          <w:lang w:eastAsia="ro-RO"/>
        </w:rPr>
        <w:t xml:space="preserve">, iar restanțele contribuabililor au fost înregistrate la finele anului de gestiune în sumă de </w:t>
      </w:r>
      <w:r w:rsidR="00980BC4" w:rsidRPr="003F4D72">
        <w:rPr>
          <w:rFonts w:asciiTheme="majorHAnsi" w:eastAsia="Times New Roman" w:hAnsiTheme="majorHAnsi" w:cstheme="majorHAnsi"/>
          <w:noProof/>
          <w:sz w:val="24"/>
          <w:szCs w:val="24"/>
          <w:lang w:eastAsia="ru-RU"/>
        </w:rPr>
        <w:t>112,</w:t>
      </w:r>
      <w:r w:rsidR="004F294F" w:rsidRPr="003F4D72">
        <w:rPr>
          <w:rFonts w:asciiTheme="majorHAnsi" w:eastAsia="Times New Roman" w:hAnsiTheme="majorHAnsi" w:cstheme="majorHAnsi"/>
          <w:noProof/>
          <w:sz w:val="24"/>
          <w:szCs w:val="24"/>
          <w:lang w:eastAsia="ru-RU"/>
        </w:rPr>
        <w:t>0</w:t>
      </w:r>
      <w:r w:rsidRPr="003F4D72">
        <w:rPr>
          <w:rFonts w:asciiTheme="majorHAnsi" w:eastAsia="Times New Roman" w:hAnsiTheme="majorHAnsi" w:cstheme="majorHAnsi"/>
          <w:noProof/>
          <w:sz w:val="24"/>
          <w:szCs w:val="24"/>
          <w:lang w:eastAsia="ru-RU"/>
        </w:rPr>
        <w:t xml:space="preserve"> </w:t>
      </w:r>
      <w:r w:rsidR="00980BC4" w:rsidRPr="003F4D72">
        <w:rPr>
          <w:rFonts w:asciiTheme="majorHAnsi" w:eastAsia="Times New Roman" w:hAnsiTheme="majorHAnsi" w:cstheme="majorHAnsi"/>
          <w:noProof/>
          <w:sz w:val="24"/>
          <w:szCs w:val="24"/>
          <w:lang w:eastAsia="ro-RO"/>
        </w:rPr>
        <w:t>mil.lei, i</w:t>
      </w:r>
      <w:proofErr w:type="spellStart"/>
      <w:r w:rsidR="00980BC4" w:rsidRPr="003F4D72">
        <w:rPr>
          <w:rFonts w:asciiTheme="majorHAnsi" w:hAnsiTheme="majorHAnsi"/>
          <w:sz w:val="24"/>
          <w:szCs w:val="24"/>
        </w:rPr>
        <w:t>nformații</w:t>
      </w:r>
      <w:proofErr w:type="spellEnd"/>
      <w:r w:rsidR="00980BC4" w:rsidRPr="003F4D72">
        <w:rPr>
          <w:rFonts w:asciiTheme="majorHAnsi" w:hAnsiTheme="majorHAnsi"/>
          <w:sz w:val="24"/>
          <w:szCs w:val="24"/>
        </w:rPr>
        <w:t xml:space="preserve"> prezentate </w:t>
      </w:r>
      <w:r w:rsidR="00980BC4" w:rsidRPr="003F4D72">
        <w:rPr>
          <w:rFonts w:asciiTheme="majorHAnsi" w:eastAsia="Times New Roman" w:hAnsiTheme="majorHAnsi" w:cstheme="majorHAnsi"/>
          <w:noProof/>
          <w:sz w:val="24"/>
          <w:szCs w:val="24"/>
          <w:lang w:eastAsia="ru-RU"/>
        </w:rPr>
        <w:t xml:space="preserve">în </w:t>
      </w:r>
      <w:r w:rsidR="00C67C4B" w:rsidRPr="003F4D72">
        <w:rPr>
          <w:rFonts w:asciiTheme="majorHAnsi" w:eastAsia="Times New Roman" w:hAnsiTheme="majorHAnsi" w:cstheme="majorHAnsi"/>
          <w:noProof/>
          <w:sz w:val="24"/>
          <w:szCs w:val="24"/>
          <w:lang w:eastAsia="ru-RU"/>
        </w:rPr>
        <w:t>A</w:t>
      </w:r>
      <w:r w:rsidR="00980BC4" w:rsidRPr="003F4D72">
        <w:rPr>
          <w:rFonts w:asciiTheme="majorHAnsi" w:eastAsia="Times New Roman" w:hAnsiTheme="majorHAnsi" w:cstheme="majorHAnsi"/>
          <w:noProof/>
          <w:sz w:val="24"/>
          <w:szCs w:val="24"/>
          <w:lang w:eastAsia="ru-RU"/>
        </w:rPr>
        <w:t>nexa nr.1</w:t>
      </w:r>
      <w:r w:rsidR="00C67C4B" w:rsidRPr="003F4D72">
        <w:rPr>
          <w:rFonts w:asciiTheme="majorHAnsi" w:eastAsia="Times New Roman" w:hAnsiTheme="majorHAnsi" w:cstheme="majorHAnsi"/>
          <w:noProof/>
          <w:sz w:val="24"/>
          <w:szCs w:val="24"/>
          <w:lang w:eastAsia="ru-RU"/>
        </w:rPr>
        <w:t xml:space="preserve"> la prezentul Raport</w:t>
      </w:r>
      <w:r w:rsidR="00980BC4" w:rsidRPr="003F4D72">
        <w:rPr>
          <w:rFonts w:asciiTheme="majorHAnsi" w:eastAsia="Times New Roman" w:hAnsiTheme="majorHAnsi" w:cstheme="majorHAnsi"/>
          <w:noProof/>
          <w:sz w:val="24"/>
          <w:szCs w:val="24"/>
          <w:lang w:eastAsia="ru-RU"/>
        </w:rPr>
        <w:t>.</w:t>
      </w:r>
    </w:p>
    <w:p w14:paraId="6867DA0B" w14:textId="30E69C7E" w:rsidR="00196108" w:rsidRPr="003F4D72" w:rsidRDefault="00C67C4B" w:rsidP="004F294F">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Având în vedere</w:t>
      </w:r>
      <w:r w:rsidR="00F92A90" w:rsidRPr="003F4D72">
        <w:rPr>
          <w:rFonts w:asciiTheme="majorHAnsi" w:hAnsiTheme="majorHAnsi" w:cstheme="majorHAnsi"/>
          <w:sz w:val="24"/>
          <w:szCs w:val="24"/>
        </w:rPr>
        <w:t xml:space="preserve"> că cadrul regulator nu dispune de norme care ar asigura reflectarea veniturilor calculate în rapoartele anuale, </w:t>
      </w:r>
      <w:r w:rsidR="00196108" w:rsidRPr="003F4D72">
        <w:rPr>
          <w:rFonts w:asciiTheme="majorHAnsi" w:hAnsiTheme="majorHAnsi" w:cstheme="majorHAnsi"/>
          <w:sz w:val="24"/>
          <w:szCs w:val="24"/>
        </w:rPr>
        <w:t>utilizatorilor finali, în special Parlamentului și Guvernului</w:t>
      </w:r>
      <w:r w:rsidR="007A4A43" w:rsidRPr="003F4D72">
        <w:rPr>
          <w:rFonts w:asciiTheme="majorHAnsi" w:hAnsiTheme="majorHAnsi" w:cstheme="majorHAnsi"/>
          <w:sz w:val="24"/>
          <w:szCs w:val="24"/>
        </w:rPr>
        <w:t>, nu li se oferă</w:t>
      </w:r>
      <w:r w:rsidR="00196108" w:rsidRPr="003F4D72">
        <w:rPr>
          <w:rFonts w:asciiTheme="majorHAnsi" w:hAnsiTheme="majorHAnsi" w:cstheme="majorHAnsi"/>
          <w:sz w:val="24"/>
          <w:szCs w:val="24"/>
        </w:rPr>
        <w:t xml:space="preserve"> </w:t>
      </w:r>
      <w:r w:rsidR="00C75FB3" w:rsidRPr="003F4D72">
        <w:rPr>
          <w:rFonts w:asciiTheme="majorHAnsi" w:hAnsiTheme="majorHAnsi" w:cstheme="majorHAnsi"/>
          <w:sz w:val="24"/>
          <w:szCs w:val="24"/>
        </w:rPr>
        <w:t xml:space="preserve">o imagine de ansamblu privind </w:t>
      </w:r>
      <w:r w:rsidR="00196108" w:rsidRPr="003F4D72">
        <w:rPr>
          <w:rFonts w:asciiTheme="majorHAnsi" w:hAnsiTheme="majorHAnsi" w:cstheme="majorHAnsi"/>
          <w:sz w:val="24"/>
          <w:szCs w:val="24"/>
        </w:rPr>
        <w:t>reflectarea procesului integral de calculare, executare și raportare a veniturilor FAOAM</w:t>
      </w:r>
      <w:r w:rsidR="001250B2" w:rsidRPr="003F4D72">
        <w:rPr>
          <w:rFonts w:asciiTheme="majorHAnsi" w:hAnsiTheme="majorHAnsi" w:cstheme="majorHAnsi"/>
          <w:sz w:val="24"/>
          <w:szCs w:val="24"/>
        </w:rPr>
        <w:t>.</w:t>
      </w:r>
    </w:p>
    <w:p w14:paraId="7324D63F" w14:textId="68E46C21" w:rsidR="00732742" w:rsidRPr="003F4D72" w:rsidRDefault="00C75FB3" w:rsidP="004F294F">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Reieșind din importanța și specificul FAOAM, în condițiile în care acest buget dispune de indicatori de planificare</w:t>
      </w:r>
      <w:r w:rsidR="007A4A43" w:rsidRPr="003F4D72">
        <w:rPr>
          <w:rFonts w:asciiTheme="majorHAnsi" w:hAnsiTheme="majorHAnsi" w:cstheme="majorHAnsi"/>
          <w:sz w:val="24"/>
          <w:szCs w:val="24"/>
        </w:rPr>
        <w:t xml:space="preserve"> și</w:t>
      </w:r>
      <w:r w:rsidRPr="003F4D72">
        <w:rPr>
          <w:rFonts w:asciiTheme="majorHAnsi" w:hAnsiTheme="majorHAnsi" w:cstheme="majorHAnsi"/>
          <w:sz w:val="24"/>
          <w:szCs w:val="24"/>
        </w:rPr>
        <w:t xml:space="preserve"> executare separată</w:t>
      </w:r>
      <w:r w:rsidR="007A4A43" w:rsidRPr="003F4D72">
        <w:rPr>
          <w:rFonts w:asciiTheme="majorHAnsi" w:hAnsiTheme="majorHAnsi" w:cstheme="majorHAnsi"/>
          <w:sz w:val="24"/>
          <w:szCs w:val="24"/>
        </w:rPr>
        <w:t>,</w:t>
      </w:r>
      <w:r w:rsidRPr="003F4D72">
        <w:rPr>
          <w:rFonts w:asciiTheme="majorHAnsi" w:hAnsiTheme="majorHAnsi" w:cstheme="majorHAnsi"/>
          <w:sz w:val="24"/>
          <w:szCs w:val="24"/>
        </w:rPr>
        <w:t xml:space="preserve"> se denotă necesitatea reflectării veniturilor calculate în rapoartele anuale. </w:t>
      </w:r>
      <w:r w:rsidR="00980BC4" w:rsidRPr="003F4D72">
        <w:rPr>
          <w:rFonts w:asciiTheme="majorHAnsi" w:hAnsiTheme="majorHAnsi" w:cstheme="majorHAnsi"/>
          <w:sz w:val="24"/>
          <w:szCs w:val="24"/>
        </w:rPr>
        <w:t>Menționăm că o</w:t>
      </w:r>
      <w:r w:rsidR="00597525" w:rsidRPr="003F4D72">
        <w:rPr>
          <w:rFonts w:asciiTheme="majorHAnsi" w:hAnsiTheme="majorHAnsi" w:cstheme="majorHAnsi"/>
          <w:sz w:val="24"/>
          <w:szCs w:val="24"/>
        </w:rPr>
        <w:t>pinia de audit nu este modificată din cauza acestui aspect.</w:t>
      </w:r>
    </w:p>
    <w:p w14:paraId="4776072E" w14:textId="02A60E78" w:rsidR="00143126" w:rsidRPr="003F4D72" w:rsidRDefault="00143126" w:rsidP="00A52C92">
      <w:pPr>
        <w:tabs>
          <w:tab w:val="left" w:pos="142"/>
          <w:tab w:val="left" w:pos="192"/>
          <w:tab w:val="left" w:pos="426"/>
        </w:tabs>
        <w:spacing w:after="0" w:line="276" w:lineRule="auto"/>
        <w:jc w:val="both"/>
        <w:rPr>
          <w:rFonts w:ascii="Times New Roman" w:hAnsi="Times New Roman"/>
          <w:sz w:val="28"/>
          <w:szCs w:val="28"/>
        </w:rPr>
      </w:pPr>
    </w:p>
    <w:p w14:paraId="15FE40C9" w14:textId="77777777" w:rsidR="00550B45" w:rsidRPr="003F4D72" w:rsidRDefault="00FC19BF" w:rsidP="00191FA5">
      <w:pPr>
        <w:numPr>
          <w:ilvl w:val="0"/>
          <w:numId w:val="15"/>
        </w:numPr>
        <w:spacing w:after="0"/>
        <w:ind w:left="0" w:firstLine="426"/>
        <w:contextualSpacing/>
        <w:rPr>
          <w:rFonts w:asciiTheme="majorHAnsi" w:eastAsiaTheme="minorHAnsi" w:hAnsiTheme="majorHAnsi" w:cstheme="minorHAnsi"/>
          <w:b/>
          <w:bCs/>
          <w:sz w:val="28"/>
          <w:szCs w:val="24"/>
        </w:rPr>
      </w:pPr>
      <w:r w:rsidRPr="003F4D72">
        <w:rPr>
          <w:rFonts w:asciiTheme="majorHAnsi" w:eastAsiaTheme="minorHAnsi" w:hAnsiTheme="majorHAnsi" w:cstheme="minorHAnsi"/>
          <w:b/>
          <w:bCs/>
          <w:sz w:val="28"/>
          <w:szCs w:val="24"/>
        </w:rPr>
        <w:t>ASPECTE-CHEIE DE AUDIT</w:t>
      </w:r>
    </w:p>
    <w:p w14:paraId="56082706" w14:textId="62F272D4" w:rsidR="00333B34" w:rsidRPr="003F4D72" w:rsidRDefault="00333B34" w:rsidP="001C2E72">
      <w:pPr>
        <w:spacing w:line="276" w:lineRule="auto"/>
        <w:ind w:firstLine="426"/>
        <w:jc w:val="both"/>
      </w:pPr>
      <w:r w:rsidRPr="003F4D72">
        <w:rPr>
          <w:rFonts w:asciiTheme="majorHAnsi" w:eastAsia="Calibri" w:hAnsiTheme="majorHAnsi" w:cstheme="majorHAnsi"/>
          <w:sz w:val="24"/>
          <w:szCs w:val="24"/>
        </w:rPr>
        <w:t>Aspectele-cheie de audit sunt acele aspecte care, în baza raționamentului nostru profesional, au avut cea mai mare importanță pentru auditul Raportului Guvernului privind executarea FAOAM</w:t>
      </w:r>
      <w:r w:rsidR="00DE5754" w:rsidRPr="003F4D72">
        <w:rPr>
          <w:rFonts w:asciiTheme="majorHAnsi" w:eastAsia="Calibri" w:hAnsiTheme="majorHAnsi" w:cstheme="majorHAnsi"/>
          <w:sz w:val="24"/>
          <w:szCs w:val="24"/>
        </w:rPr>
        <w:t xml:space="preserve"> în anul 2020</w:t>
      </w:r>
      <w:r w:rsidR="00E7669C" w:rsidRPr="003F4D72">
        <w:rPr>
          <w:rFonts w:asciiTheme="majorHAnsi" w:eastAsia="Calibri" w:hAnsiTheme="majorHAnsi" w:cstheme="majorHAnsi"/>
          <w:sz w:val="24"/>
          <w:szCs w:val="24"/>
        </w:rPr>
        <w:t>. Aceste aspecte au fost abordate</w:t>
      </w:r>
      <w:r w:rsidRPr="003F4D72">
        <w:rPr>
          <w:rFonts w:asciiTheme="majorHAnsi" w:eastAsia="Calibri" w:hAnsiTheme="majorHAnsi" w:cstheme="majorHAnsi"/>
          <w:sz w:val="24"/>
          <w:szCs w:val="24"/>
        </w:rPr>
        <w:t xml:space="preserve"> în contextul auditului rapoartelor financiare în ansamblu </w:t>
      </w:r>
      <w:proofErr w:type="spellStart"/>
      <w:r w:rsidRPr="003F4D72">
        <w:rPr>
          <w:rFonts w:asciiTheme="majorHAnsi" w:eastAsia="Calibri" w:hAnsiTheme="majorHAnsi" w:cstheme="majorHAnsi"/>
          <w:sz w:val="24"/>
          <w:szCs w:val="24"/>
        </w:rPr>
        <w:t>şi</w:t>
      </w:r>
      <w:proofErr w:type="spellEnd"/>
      <w:r w:rsidRPr="003F4D72">
        <w:rPr>
          <w:rFonts w:asciiTheme="majorHAnsi" w:eastAsia="Calibri" w:hAnsiTheme="majorHAnsi" w:cstheme="majorHAnsi"/>
          <w:sz w:val="24"/>
          <w:szCs w:val="24"/>
        </w:rPr>
        <w:t xml:space="preserve"> în formarea opiniei noastre asupra acestora</w:t>
      </w:r>
      <w:r w:rsidR="007A4A43" w:rsidRPr="003F4D72">
        <w:rPr>
          <w:rFonts w:asciiTheme="majorHAnsi" w:eastAsia="Calibri" w:hAnsiTheme="majorHAnsi" w:cstheme="majorHAnsi"/>
          <w:sz w:val="24"/>
          <w:szCs w:val="24"/>
        </w:rPr>
        <w:t>,</w:t>
      </w:r>
      <w:r w:rsidRPr="003F4D72">
        <w:rPr>
          <w:rFonts w:asciiTheme="majorHAnsi" w:eastAsia="Calibri" w:hAnsiTheme="majorHAnsi" w:cstheme="majorHAnsi"/>
          <w:sz w:val="24"/>
          <w:szCs w:val="24"/>
        </w:rPr>
        <w:t xml:space="preserve"> </w:t>
      </w:r>
      <w:r w:rsidR="004C4652" w:rsidRPr="003F4D72">
        <w:rPr>
          <w:rFonts w:asciiTheme="majorHAnsi" w:eastAsia="Calibri" w:hAnsiTheme="majorHAnsi" w:cstheme="majorHAnsi"/>
          <w:sz w:val="24"/>
          <w:szCs w:val="24"/>
        </w:rPr>
        <w:t>și nu oferim</w:t>
      </w:r>
      <w:r w:rsidRPr="003F4D72">
        <w:rPr>
          <w:rFonts w:asciiTheme="majorHAnsi" w:eastAsia="Calibri" w:hAnsiTheme="majorHAnsi" w:cstheme="majorHAnsi"/>
          <w:sz w:val="24"/>
          <w:szCs w:val="24"/>
        </w:rPr>
        <w:t xml:space="preserve"> o opinie separată</w:t>
      </w:r>
      <w:r w:rsidR="004C4652" w:rsidRPr="003F4D72">
        <w:rPr>
          <w:rFonts w:asciiTheme="majorHAnsi" w:eastAsia="Calibri" w:hAnsiTheme="majorHAnsi" w:cstheme="majorHAnsi"/>
          <w:sz w:val="24"/>
          <w:szCs w:val="24"/>
        </w:rPr>
        <w:t xml:space="preserve"> la aceste aspecte</w:t>
      </w:r>
      <w:r w:rsidRPr="003F4D72">
        <w:rPr>
          <w:rFonts w:asciiTheme="majorHAnsi" w:eastAsia="Calibri" w:hAnsiTheme="majorHAnsi" w:cstheme="majorHAnsi"/>
          <w:sz w:val="24"/>
          <w:szCs w:val="24"/>
        </w:rPr>
        <w:t xml:space="preserve">. </w:t>
      </w:r>
      <w:r w:rsidR="00320221" w:rsidRPr="003F4D72">
        <w:rPr>
          <w:rFonts w:asciiTheme="majorHAnsi" w:eastAsia="Calibri" w:hAnsiTheme="majorHAnsi" w:cstheme="majorHAnsi"/>
          <w:sz w:val="24"/>
          <w:szCs w:val="24"/>
        </w:rPr>
        <w:t>Considerăm că</w:t>
      </w:r>
      <w:r w:rsidRPr="003F4D72">
        <w:rPr>
          <w:rFonts w:asciiTheme="majorHAnsi" w:eastAsia="Calibri" w:hAnsiTheme="majorHAnsi" w:cstheme="majorHAnsi"/>
          <w:sz w:val="24"/>
          <w:szCs w:val="24"/>
        </w:rPr>
        <w:t xml:space="preserve"> aspectele descrise mai jos, deși nu au influențat opinia noastră de audit, reprezintă aspectele-cheie de audit care trebuie comunicate în Raportul nostru.</w:t>
      </w:r>
    </w:p>
    <w:p w14:paraId="11CE0060" w14:textId="43756598" w:rsidR="0059748F" w:rsidRPr="003F4D72" w:rsidRDefault="00625A76" w:rsidP="008D5620">
      <w:pPr>
        <w:pStyle w:val="ListParagraph"/>
        <w:numPr>
          <w:ilvl w:val="1"/>
          <w:numId w:val="31"/>
        </w:numPr>
        <w:tabs>
          <w:tab w:val="left" w:pos="284"/>
          <w:tab w:val="left" w:pos="426"/>
        </w:tabs>
        <w:spacing w:after="0" w:line="276" w:lineRule="auto"/>
        <w:ind w:left="0" w:firstLine="0"/>
        <w:jc w:val="both"/>
        <w:outlineLvl w:val="1"/>
        <w:rPr>
          <w:rFonts w:asciiTheme="majorHAnsi" w:eastAsia="Times New Roman" w:hAnsiTheme="majorHAnsi" w:cstheme="majorHAnsi"/>
          <w:b/>
          <w:sz w:val="24"/>
          <w:szCs w:val="24"/>
          <w:lang w:val="ro-MD"/>
        </w:rPr>
      </w:pPr>
      <w:r w:rsidRPr="003F4D72">
        <w:rPr>
          <w:rFonts w:asciiTheme="majorHAnsi" w:eastAsia="Times New Roman" w:hAnsiTheme="majorHAnsi" w:cstheme="majorHAnsi"/>
          <w:b/>
          <w:sz w:val="24"/>
          <w:szCs w:val="24"/>
          <w:lang w:val="ro-MD"/>
        </w:rPr>
        <w:t>În perioada pandemică</w:t>
      </w:r>
      <w:r w:rsidR="007A4A43" w:rsidRPr="003F4D72">
        <w:rPr>
          <w:rFonts w:asciiTheme="majorHAnsi" w:eastAsia="Times New Roman" w:hAnsiTheme="majorHAnsi" w:cstheme="majorHAnsi"/>
          <w:b/>
          <w:sz w:val="24"/>
          <w:szCs w:val="24"/>
          <w:lang w:val="ro-MD"/>
        </w:rPr>
        <w:t>,</w:t>
      </w:r>
      <w:r w:rsidRPr="003F4D72">
        <w:rPr>
          <w:rFonts w:asciiTheme="majorHAnsi" w:eastAsia="Times New Roman" w:hAnsiTheme="majorHAnsi" w:cstheme="majorHAnsi"/>
          <w:b/>
          <w:sz w:val="24"/>
          <w:szCs w:val="24"/>
          <w:lang w:val="ro-MD"/>
        </w:rPr>
        <w:t xml:space="preserve"> v</w:t>
      </w:r>
      <w:r w:rsidR="0059748F" w:rsidRPr="003F4D72">
        <w:rPr>
          <w:rFonts w:asciiTheme="majorHAnsi" w:eastAsia="Times New Roman" w:hAnsiTheme="majorHAnsi" w:cstheme="majorHAnsi"/>
          <w:b/>
          <w:sz w:val="24"/>
          <w:szCs w:val="24"/>
          <w:lang w:val="ro-MD"/>
        </w:rPr>
        <w:t>eniturile fondurilor asigurări</w:t>
      </w:r>
      <w:r w:rsidR="000E0D14" w:rsidRPr="003F4D72">
        <w:rPr>
          <w:rFonts w:asciiTheme="majorHAnsi" w:eastAsia="Times New Roman" w:hAnsiTheme="majorHAnsi" w:cstheme="majorHAnsi"/>
          <w:b/>
          <w:sz w:val="24"/>
          <w:szCs w:val="24"/>
          <w:lang w:val="ro-MD"/>
        </w:rPr>
        <w:t>i</w:t>
      </w:r>
      <w:r w:rsidR="0059748F" w:rsidRPr="003F4D72">
        <w:rPr>
          <w:rFonts w:asciiTheme="majorHAnsi" w:eastAsia="Times New Roman" w:hAnsiTheme="majorHAnsi" w:cstheme="majorHAnsi"/>
          <w:b/>
          <w:sz w:val="24"/>
          <w:szCs w:val="24"/>
          <w:lang w:val="ro-MD"/>
        </w:rPr>
        <w:t xml:space="preserve"> obligatorii de asistență medicală executate au </w:t>
      </w:r>
      <w:r w:rsidR="00B61A71" w:rsidRPr="003F4D72">
        <w:rPr>
          <w:rFonts w:asciiTheme="majorHAnsi" w:eastAsia="Times New Roman" w:hAnsiTheme="majorHAnsi" w:cstheme="majorHAnsi"/>
          <w:b/>
          <w:sz w:val="24"/>
          <w:szCs w:val="24"/>
          <w:lang w:val="ro-MD"/>
        </w:rPr>
        <w:t xml:space="preserve">marcat </w:t>
      </w:r>
      <w:r w:rsidR="00D319DF" w:rsidRPr="003F4D72">
        <w:rPr>
          <w:rFonts w:asciiTheme="majorHAnsi" w:eastAsia="Times New Roman" w:hAnsiTheme="majorHAnsi" w:cstheme="majorHAnsi"/>
          <w:b/>
          <w:sz w:val="24"/>
          <w:szCs w:val="24"/>
          <w:lang w:val="ro-MD"/>
        </w:rPr>
        <w:t>o creștere</w:t>
      </w:r>
      <w:r w:rsidR="0059748F" w:rsidRPr="003F4D72">
        <w:rPr>
          <w:rFonts w:asciiTheme="majorHAnsi" w:eastAsia="Times New Roman" w:hAnsiTheme="majorHAnsi" w:cstheme="majorHAnsi"/>
          <w:b/>
          <w:sz w:val="24"/>
          <w:szCs w:val="24"/>
          <w:lang w:val="ro-MD"/>
        </w:rPr>
        <w:t xml:space="preserve"> față de anul 2019</w:t>
      </w:r>
      <w:r w:rsidRPr="003F4D72">
        <w:rPr>
          <w:rFonts w:asciiTheme="majorHAnsi" w:eastAsia="Times New Roman" w:hAnsiTheme="majorHAnsi" w:cstheme="majorHAnsi"/>
          <w:b/>
          <w:sz w:val="24"/>
          <w:szCs w:val="24"/>
          <w:lang w:val="ro-MD"/>
        </w:rPr>
        <w:t xml:space="preserve">, </w:t>
      </w:r>
      <w:r w:rsidR="007A4A43" w:rsidRPr="003F4D72">
        <w:rPr>
          <w:rFonts w:asciiTheme="majorHAnsi" w:eastAsia="Times New Roman" w:hAnsiTheme="majorHAnsi" w:cstheme="majorHAnsi"/>
          <w:b/>
          <w:sz w:val="24"/>
          <w:szCs w:val="24"/>
          <w:lang w:val="ro-MD"/>
        </w:rPr>
        <w:t xml:space="preserve">fiind </w:t>
      </w:r>
      <w:r w:rsidRPr="003F4D72">
        <w:rPr>
          <w:rFonts w:asciiTheme="majorHAnsi" w:eastAsia="Times New Roman" w:hAnsiTheme="majorHAnsi" w:cstheme="majorHAnsi"/>
          <w:b/>
          <w:sz w:val="24"/>
          <w:szCs w:val="24"/>
          <w:lang w:val="ro-MD"/>
        </w:rPr>
        <w:t>înregistrate și raportate regulamentar</w:t>
      </w:r>
      <w:r w:rsidR="007A4A43" w:rsidRPr="003F4D72">
        <w:rPr>
          <w:rFonts w:asciiTheme="majorHAnsi" w:eastAsia="Times New Roman" w:hAnsiTheme="majorHAnsi" w:cstheme="majorHAnsi"/>
          <w:b/>
          <w:sz w:val="24"/>
          <w:szCs w:val="24"/>
          <w:lang w:val="ro-MD"/>
        </w:rPr>
        <w:t>.</w:t>
      </w:r>
    </w:p>
    <w:p w14:paraId="26F12BA2" w14:textId="7322EF02" w:rsidR="00A220EE" w:rsidRPr="003F4D72" w:rsidRDefault="00A220EE" w:rsidP="001C2E72">
      <w:pPr>
        <w:pStyle w:val="20"/>
        <w:shd w:val="clear" w:color="auto" w:fill="auto"/>
        <w:spacing w:before="0" w:after="0" w:line="276" w:lineRule="auto"/>
        <w:ind w:firstLine="567"/>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t>Evoluția veniturilor acumulate în FAOAM a înregistrat un trend pozitiv</w:t>
      </w:r>
      <w:r w:rsidR="00E85B3E" w:rsidRPr="003F4D72">
        <w:rPr>
          <w:rFonts w:asciiTheme="majorHAnsi" w:hAnsiTheme="majorHAnsi" w:cstheme="majorHAnsi"/>
          <w:sz w:val="24"/>
          <w:szCs w:val="24"/>
          <w:lang w:val="ro-MD"/>
        </w:rPr>
        <w:t>.</w:t>
      </w:r>
      <w:r w:rsidRPr="003F4D72">
        <w:rPr>
          <w:rFonts w:asciiTheme="majorHAnsi" w:hAnsiTheme="majorHAnsi" w:cstheme="majorHAnsi"/>
          <w:sz w:val="24"/>
          <w:szCs w:val="24"/>
          <w:lang w:val="ro-MD"/>
        </w:rPr>
        <w:t xml:space="preserve"> </w:t>
      </w:r>
      <w:r w:rsidR="00E85B3E" w:rsidRPr="003F4D72">
        <w:rPr>
          <w:rFonts w:asciiTheme="majorHAnsi" w:hAnsiTheme="majorHAnsi" w:cstheme="majorHAnsi"/>
          <w:sz w:val="24"/>
          <w:szCs w:val="24"/>
          <w:lang w:val="ro-MD"/>
        </w:rPr>
        <w:t>A</w:t>
      </w:r>
      <w:r w:rsidRPr="003F4D72">
        <w:rPr>
          <w:rFonts w:asciiTheme="majorHAnsi" w:hAnsiTheme="majorHAnsi" w:cstheme="majorHAnsi"/>
          <w:sz w:val="24"/>
          <w:szCs w:val="24"/>
          <w:lang w:val="ro-MD"/>
        </w:rPr>
        <w:t>stfel</w:t>
      </w:r>
      <w:r w:rsidR="00E85B3E" w:rsidRPr="003F4D72">
        <w:rPr>
          <w:rFonts w:asciiTheme="majorHAnsi" w:hAnsiTheme="majorHAnsi" w:cstheme="majorHAnsi"/>
          <w:sz w:val="24"/>
          <w:szCs w:val="24"/>
          <w:lang w:val="ro-MD"/>
        </w:rPr>
        <w:t>,</w:t>
      </w:r>
      <w:r w:rsidRPr="003F4D72">
        <w:rPr>
          <w:rFonts w:asciiTheme="majorHAnsi" w:eastAsia="Times New Roman" w:hAnsiTheme="majorHAnsi" w:cstheme="majorHAnsi"/>
          <w:sz w:val="24"/>
          <w:szCs w:val="24"/>
          <w:lang w:val="ro-MD"/>
        </w:rPr>
        <w:t xml:space="preserve"> comparativ cu anul 2019</w:t>
      </w:r>
      <w:r w:rsidR="00E85B3E" w:rsidRPr="003F4D72">
        <w:rPr>
          <w:rFonts w:asciiTheme="majorHAnsi" w:eastAsia="Times New Roman" w:hAnsiTheme="majorHAnsi" w:cstheme="majorHAnsi"/>
          <w:sz w:val="24"/>
          <w:szCs w:val="24"/>
          <w:lang w:val="ro-MD"/>
        </w:rPr>
        <w:t>, veniturile</w:t>
      </w:r>
      <w:r w:rsidRPr="003F4D72">
        <w:rPr>
          <w:rFonts w:asciiTheme="majorHAnsi" w:eastAsia="Times New Roman" w:hAnsiTheme="majorHAnsi" w:cstheme="majorHAnsi"/>
          <w:sz w:val="24"/>
          <w:szCs w:val="24"/>
          <w:lang w:val="ro-MD"/>
        </w:rPr>
        <w:t xml:space="preserve"> s-au majorat cu 906,2 mil.lei</w:t>
      </w:r>
      <w:r w:rsidRPr="003F4D72">
        <w:rPr>
          <w:rFonts w:asciiTheme="majorHAnsi" w:hAnsiTheme="majorHAnsi" w:cstheme="majorHAnsi"/>
          <w:sz w:val="24"/>
          <w:szCs w:val="24"/>
          <w:lang w:val="ro-MD"/>
        </w:rPr>
        <w:t>. Ponderea veniturilor totale executate ale FAOAM în Bugetul Public Național a constituit 13,6%</w:t>
      </w:r>
      <w:r w:rsidR="006707BD" w:rsidRPr="003F4D72">
        <w:rPr>
          <w:rFonts w:asciiTheme="majorHAnsi" w:hAnsiTheme="majorHAnsi" w:cstheme="majorHAnsi"/>
          <w:sz w:val="24"/>
          <w:szCs w:val="24"/>
          <w:lang w:val="ro-MD"/>
        </w:rPr>
        <w:t>,</w:t>
      </w:r>
      <w:r w:rsidRPr="003F4D72">
        <w:rPr>
          <w:rFonts w:asciiTheme="majorHAnsi" w:hAnsiTheme="majorHAnsi" w:cstheme="majorHAnsi"/>
          <w:sz w:val="24"/>
          <w:szCs w:val="24"/>
          <w:lang w:val="ro-MD"/>
        </w:rPr>
        <w:t xml:space="preserve"> iar în Produsul Intern Brut – 4,1%. </w:t>
      </w:r>
    </w:p>
    <w:p w14:paraId="28E703CD" w14:textId="4E795DBC" w:rsidR="00216B52" w:rsidRPr="003F4D72" w:rsidRDefault="0059748F" w:rsidP="00A964C8">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lastRenderedPageBreak/>
        <w:t>În anul 2020, veniturile fondurilor asigurări</w:t>
      </w:r>
      <w:r w:rsidR="000E0D14" w:rsidRPr="003F4D72">
        <w:rPr>
          <w:rFonts w:asciiTheme="majorHAnsi" w:eastAsia="Times New Roman" w:hAnsiTheme="majorHAnsi" w:cstheme="majorHAnsi"/>
          <w:sz w:val="24"/>
          <w:szCs w:val="24"/>
        </w:rPr>
        <w:t>i</w:t>
      </w:r>
      <w:r w:rsidRPr="003F4D72">
        <w:rPr>
          <w:rFonts w:asciiTheme="majorHAnsi" w:eastAsia="Times New Roman" w:hAnsiTheme="majorHAnsi" w:cstheme="majorHAnsi"/>
          <w:sz w:val="24"/>
          <w:szCs w:val="24"/>
        </w:rPr>
        <w:t xml:space="preserve"> obligatorii de asistență medicală </w:t>
      </w:r>
      <w:r w:rsidR="00853C3F" w:rsidRPr="003F4D72">
        <w:rPr>
          <w:rFonts w:asciiTheme="majorHAnsi" w:eastAsia="Times New Roman" w:hAnsiTheme="majorHAnsi" w:cstheme="majorHAnsi"/>
          <w:sz w:val="24"/>
          <w:szCs w:val="24"/>
        </w:rPr>
        <w:t>au constituit 8</w:t>
      </w:r>
      <w:r w:rsidR="00282176" w:rsidRPr="003F4D72">
        <w:rPr>
          <w:rFonts w:asciiTheme="majorHAnsi" w:eastAsia="Times New Roman" w:hAnsiTheme="majorHAnsi" w:cstheme="majorHAnsi"/>
          <w:sz w:val="24"/>
          <w:szCs w:val="24"/>
        </w:rPr>
        <w:t xml:space="preserve"> </w:t>
      </w:r>
      <w:r w:rsidR="00853C3F" w:rsidRPr="003F4D72">
        <w:rPr>
          <w:rFonts w:asciiTheme="majorHAnsi" w:eastAsia="Times New Roman" w:hAnsiTheme="majorHAnsi" w:cstheme="majorHAnsi"/>
          <w:sz w:val="24"/>
          <w:szCs w:val="24"/>
        </w:rPr>
        <w:t>542,6 mil.</w:t>
      </w:r>
      <w:r w:rsidRPr="003F4D72">
        <w:rPr>
          <w:rFonts w:asciiTheme="majorHAnsi" w:eastAsia="Times New Roman" w:hAnsiTheme="majorHAnsi" w:cstheme="majorHAnsi"/>
          <w:sz w:val="24"/>
          <w:szCs w:val="24"/>
        </w:rPr>
        <w:t>lei</w:t>
      </w:r>
      <w:r w:rsidR="00CF78BD" w:rsidRPr="003F4D72">
        <w:rPr>
          <w:rFonts w:asciiTheme="majorHAnsi" w:eastAsia="Times New Roman" w:hAnsiTheme="majorHAnsi" w:cstheme="majorHAnsi"/>
          <w:sz w:val="24"/>
          <w:szCs w:val="24"/>
        </w:rPr>
        <w:t>,</w:t>
      </w:r>
      <w:r w:rsidRPr="003F4D72">
        <w:rPr>
          <w:rFonts w:asciiTheme="majorHAnsi" w:eastAsia="Times New Roman" w:hAnsiTheme="majorHAnsi" w:cstheme="majorHAnsi"/>
          <w:sz w:val="24"/>
          <w:szCs w:val="24"/>
        </w:rPr>
        <w:t xml:space="preserve"> fiind </w:t>
      </w:r>
      <w:r w:rsidR="00853C3F" w:rsidRPr="003F4D72">
        <w:rPr>
          <w:rFonts w:asciiTheme="majorHAnsi" w:eastAsia="Times New Roman" w:hAnsiTheme="majorHAnsi" w:cstheme="majorHAnsi"/>
          <w:sz w:val="24"/>
          <w:szCs w:val="24"/>
        </w:rPr>
        <w:t>cu 41,8 mil.</w:t>
      </w:r>
      <w:r w:rsidRPr="003F4D72">
        <w:rPr>
          <w:rFonts w:asciiTheme="majorHAnsi" w:eastAsia="Times New Roman" w:hAnsiTheme="majorHAnsi" w:cstheme="majorHAnsi"/>
          <w:sz w:val="24"/>
          <w:szCs w:val="24"/>
        </w:rPr>
        <w:t>lei mai mari decât nivelul precizat</w:t>
      </w:r>
      <w:r w:rsidR="00216B52" w:rsidRPr="003F4D72">
        <w:rPr>
          <w:rFonts w:asciiTheme="majorHAnsi" w:eastAsia="Times New Roman" w:hAnsiTheme="majorHAnsi" w:cstheme="majorHAnsi"/>
          <w:sz w:val="24"/>
          <w:szCs w:val="24"/>
        </w:rPr>
        <w:t>, date prezentate în tabelul ce urmează:</w:t>
      </w:r>
    </w:p>
    <w:p w14:paraId="0D23A7A4" w14:textId="210DCC97" w:rsidR="0059748F" w:rsidRPr="003F4D72" w:rsidRDefault="00093304" w:rsidP="00216B52">
      <w:pPr>
        <w:spacing w:after="0" w:line="276" w:lineRule="auto"/>
        <w:ind w:firstLine="567"/>
        <w:jc w:val="center"/>
        <w:rPr>
          <w:rFonts w:asciiTheme="majorHAnsi" w:eastAsia="Times New Roman" w:hAnsiTheme="majorHAnsi" w:cstheme="majorHAnsi"/>
          <w:b/>
          <w:iCs/>
          <w:sz w:val="24"/>
          <w:szCs w:val="24"/>
        </w:rPr>
      </w:pPr>
      <w:r w:rsidRPr="003F4D72">
        <w:rPr>
          <w:rFonts w:asciiTheme="majorHAnsi" w:eastAsia="Times New Roman" w:hAnsiTheme="majorHAnsi" w:cstheme="majorHAnsi"/>
          <w:b/>
          <w:iCs/>
          <w:sz w:val="24"/>
          <w:szCs w:val="24"/>
        </w:rPr>
        <w:t>Dinamica</w:t>
      </w:r>
      <w:r w:rsidR="0059748F" w:rsidRPr="003F4D72">
        <w:rPr>
          <w:rFonts w:asciiTheme="majorHAnsi" w:eastAsia="Times New Roman" w:hAnsiTheme="majorHAnsi" w:cstheme="majorHAnsi"/>
          <w:b/>
          <w:iCs/>
          <w:sz w:val="24"/>
          <w:szCs w:val="24"/>
        </w:rPr>
        <w:t xml:space="preserve"> veniturilor fondurilor asigurări</w:t>
      </w:r>
      <w:r w:rsidR="000E0D14" w:rsidRPr="003F4D72">
        <w:rPr>
          <w:rFonts w:asciiTheme="majorHAnsi" w:eastAsia="Times New Roman" w:hAnsiTheme="majorHAnsi" w:cstheme="majorHAnsi"/>
          <w:b/>
          <w:iCs/>
          <w:sz w:val="24"/>
          <w:szCs w:val="24"/>
        </w:rPr>
        <w:t>i</w:t>
      </w:r>
      <w:r w:rsidR="0059748F" w:rsidRPr="003F4D72">
        <w:rPr>
          <w:rFonts w:asciiTheme="majorHAnsi" w:eastAsia="Times New Roman" w:hAnsiTheme="majorHAnsi" w:cstheme="majorHAnsi"/>
          <w:b/>
          <w:iCs/>
          <w:sz w:val="24"/>
          <w:szCs w:val="24"/>
        </w:rPr>
        <w:t xml:space="preserve"> obligatorii de asistență medicală în anul 2020, în comparație cu anii 2018 și 2</w:t>
      </w:r>
      <w:r w:rsidR="00216B52" w:rsidRPr="003F4D72">
        <w:rPr>
          <w:rFonts w:asciiTheme="majorHAnsi" w:eastAsia="Times New Roman" w:hAnsiTheme="majorHAnsi" w:cstheme="majorHAnsi"/>
          <w:b/>
          <w:iCs/>
          <w:sz w:val="24"/>
          <w:szCs w:val="24"/>
        </w:rPr>
        <w:t>019</w:t>
      </w:r>
    </w:p>
    <w:p w14:paraId="2BE3047D" w14:textId="5AD2602A" w:rsidR="0059748F" w:rsidRPr="003F4D72" w:rsidRDefault="0059748F" w:rsidP="00283488">
      <w:pPr>
        <w:spacing w:after="0" w:line="240" w:lineRule="auto"/>
        <w:jc w:val="right"/>
        <w:rPr>
          <w:rFonts w:asciiTheme="majorHAnsi" w:eastAsia="Times New Roman" w:hAnsiTheme="majorHAnsi" w:cstheme="majorHAnsi"/>
          <w:sz w:val="20"/>
          <w:szCs w:val="24"/>
        </w:rPr>
      </w:pPr>
      <w:r w:rsidRPr="003F4D72">
        <w:rPr>
          <w:rFonts w:asciiTheme="majorHAnsi" w:eastAsia="Times New Roman" w:hAnsiTheme="majorHAnsi" w:cstheme="majorHAnsi"/>
          <w:sz w:val="20"/>
          <w:szCs w:val="24"/>
        </w:rPr>
        <w:t>Tabelul nr.</w:t>
      </w:r>
      <w:r w:rsidR="00216B52" w:rsidRPr="003F4D72">
        <w:rPr>
          <w:rFonts w:asciiTheme="majorHAnsi" w:eastAsia="Times New Roman" w:hAnsiTheme="majorHAnsi" w:cstheme="majorHAnsi"/>
          <w:sz w:val="20"/>
          <w:szCs w:val="24"/>
        </w:rPr>
        <w:t>1</w:t>
      </w:r>
      <w:r w:rsidR="00EB0A52" w:rsidRPr="003F4D72">
        <w:rPr>
          <w:rFonts w:asciiTheme="majorHAnsi" w:eastAsia="Times New Roman" w:hAnsiTheme="majorHAnsi" w:cstheme="majorHAnsi"/>
          <w:sz w:val="20"/>
          <w:szCs w:val="24"/>
        </w:rPr>
        <w:t xml:space="preserve">, </w:t>
      </w:r>
      <w:r w:rsidR="00AB4EC3" w:rsidRPr="003F4D72">
        <w:rPr>
          <w:rFonts w:asciiTheme="majorHAnsi" w:eastAsia="Times New Roman" w:hAnsiTheme="majorHAnsi" w:cstheme="majorHAnsi"/>
          <w:sz w:val="20"/>
          <w:szCs w:val="24"/>
        </w:rPr>
        <w:t>mil.</w:t>
      </w:r>
      <w:r w:rsidR="004B56C0" w:rsidRPr="003F4D72">
        <w:rPr>
          <w:rFonts w:asciiTheme="majorHAnsi" w:eastAsia="Times New Roman" w:hAnsiTheme="majorHAnsi" w:cstheme="majorHAnsi"/>
          <w:sz w:val="20"/>
          <w:szCs w:val="24"/>
        </w:rPr>
        <w:t xml:space="preserve"> </w:t>
      </w:r>
      <w:r w:rsidR="00EB0A52" w:rsidRPr="003F4D72">
        <w:rPr>
          <w:rFonts w:asciiTheme="majorHAnsi" w:eastAsia="Times New Roman" w:hAnsiTheme="majorHAnsi" w:cstheme="majorHAnsi"/>
          <w:sz w:val="20"/>
          <w:szCs w:val="24"/>
        </w:rPr>
        <w:t>lei</w:t>
      </w:r>
    </w:p>
    <w:tbl>
      <w:tblPr>
        <w:tblStyle w:val="GridTable1Light"/>
        <w:tblW w:w="9428" w:type="dxa"/>
        <w:tblLayout w:type="fixed"/>
        <w:tblLook w:val="04A0" w:firstRow="1" w:lastRow="0" w:firstColumn="1" w:lastColumn="0" w:noHBand="0" w:noVBand="1"/>
      </w:tblPr>
      <w:tblGrid>
        <w:gridCol w:w="2689"/>
        <w:gridCol w:w="816"/>
        <w:gridCol w:w="885"/>
        <w:gridCol w:w="992"/>
        <w:gridCol w:w="992"/>
        <w:gridCol w:w="1001"/>
        <w:gridCol w:w="1121"/>
        <w:gridCol w:w="932"/>
      </w:tblGrid>
      <w:tr w:rsidR="007F50CC" w:rsidRPr="003F4D72" w14:paraId="4E009EF3" w14:textId="77777777" w:rsidTr="007F50CC">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689" w:type="dxa"/>
            <w:vMerge w:val="restart"/>
            <w:hideMark/>
          </w:tcPr>
          <w:p w14:paraId="3F2FF4F2" w14:textId="77777777" w:rsidR="007F50CC" w:rsidRPr="003F4D72" w:rsidRDefault="007F50CC" w:rsidP="00CB7074">
            <w:pPr>
              <w:jc w:val="center"/>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Indicatori</w:t>
            </w:r>
          </w:p>
        </w:tc>
        <w:tc>
          <w:tcPr>
            <w:tcW w:w="2693" w:type="dxa"/>
            <w:gridSpan w:val="3"/>
            <w:hideMark/>
          </w:tcPr>
          <w:p w14:paraId="2DD4B0F8" w14:textId="77777777" w:rsidR="007F50CC" w:rsidRPr="003F4D72" w:rsidRDefault="007F50CC" w:rsidP="00CB7074">
            <w:pPr>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Anii</w:t>
            </w:r>
          </w:p>
        </w:tc>
        <w:tc>
          <w:tcPr>
            <w:tcW w:w="1993" w:type="dxa"/>
            <w:gridSpan w:val="2"/>
            <w:hideMark/>
          </w:tcPr>
          <w:p w14:paraId="5395F7C1" w14:textId="77777777" w:rsidR="007F50CC" w:rsidRPr="003F4D72" w:rsidRDefault="007F50CC" w:rsidP="00CB7074">
            <w:pPr>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Devieri 2020/2019</w:t>
            </w:r>
          </w:p>
        </w:tc>
        <w:tc>
          <w:tcPr>
            <w:tcW w:w="2053" w:type="dxa"/>
            <w:gridSpan w:val="2"/>
            <w:hideMark/>
          </w:tcPr>
          <w:p w14:paraId="3B4E82E7" w14:textId="77777777" w:rsidR="007F50CC" w:rsidRPr="003F4D72" w:rsidRDefault="007F50CC" w:rsidP="00CB7074">
            <w:pPr>
              <w:spacing w:line="25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Devieri 2020/2018</w:t>
            </w:r>
          </w:p>
        </w:tc>
      </w:tr>
      <w:tr w:rsidR="007F50CC" w:rsidRPr="003F4D72" w14:paraId="2C54D513" w14:textId="77777777" w:rsidTr="007F50CC">
        <w:trPr>
          <w:trHeight w:val="95"/>
        </w:trPr>
        <w:tc>
          <w:tcPr>
            <w:cnfStyle w:val="001000000000" w:firstRow="0" w:lastRow="0" w:firstColumn="1" w:lastColumn="0" w:oddVBand="0" w:evenVBand="0" w:oddHBand="0" w:evenHBand="0" w:firstRowFirstColumn="0" w:firstRowLastColumn="0" w:lastRowFirstColumn="0" w:lastRowLastColumn="0"/>
            <w:tcW w:w="2689" w:type="dxa"/>
            <w:vMerge/>
            <w:hideMark/>
          </w:tcPr>
          <w:p w14:paraId="08DEB19D" w14:textId="77777777" w:rsidR="007F50CC" w:rsidRPr="003F4D72" w:rsidRDefault="007F50CC" w:rsidP="00CB7074">
            <w:pPr>
              <w:spacing w:line="256" w:lineRule="auto"/>
              <w:rPr>
                <w:rFonts w:asciiTheme="majorHAnsi" w:hAnsiTheme="majorHAnsi" w:cstheme="majorHAnsi"/>
                <w:b w:val="0"/>
                <w:bCs w:val="0"/>
                <w:color w:val="000000"/>
                <w:sz w:val="20"/>
                <w:szCs w:val="20"/>
              </w:rPr>
            </w:pPr>
          </w:p>
        </w:tc>
        <w:tc>
          <w:tcPr>
            <w:tcW w:w="816" w:type="dxa"/>
            <w:hideMark/>
          </w:tcPr>
          <w:p w14:paraId="625085A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2018</w:t>
            </w:r>
          </w:p>
        </w:tc>
        <w:tc>
          <w:tcPr>
            <w:tcW w:w="885" w:type="dxa"/>
            <w:hideMark/>
          </w:tcPr>
          <w:p w14:paraId="4623A17F"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2019</w:t>
            </w:r>
          </w:p>
        </w:tc>
        <w:tc>
          <w:tcPr>
            <w:tcW w:w="992" w:type="dxa"/>
            <w:hideMark/>
          </w:tcPr>
          <w:p w14:paraId="5FF75276"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2020</w:t>
            </w:r>
          </w:p>
        </w:tc>
        <w:tc>
          <w:tcPr>
            <w:tcW w:w="992" w:type="dxa"/>
            <w:hideMark/>
          </w:tcPr>
          <w:p w14:paraId="2E236417"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c>
          <w:tcPr>
            <w:tcW w:w="1001" w:type="dxa"/>
            <w:hideMark/>
          </w:tcPr>
          <w:p w14:paraId="1EC39D6D"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c>
          <w:tcPr>
            <w:tcW w:w="1121" w:type="dxa"/>
            <w:hideMark/>
          </w:tcPr>
          <w:p w14:paraId="517B149F"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c>
          <w:tcPr>
            <w:tcW w:w="932" w:type="dxa"/>
            <w:hideMark/>
          </w:tcPr>
          <w:p w14:paraId="79D2F02D"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r>
      <w:tr w:rsidR="007F50CC" w:rsidRPr="003F4D72" w14:paraId="487ADBAE" w14:textId="77777777" w:rsidTr="007F50CC">
        <w:trPr>
          <w:trHeight w:val="48"/>
        </w:trPr>
        <w:tc>
          <w:tcPr>
            <w:cnfStyle w:val="001000000000" w:firstRow="0" w:lastRow="0" w:firstColumn="1" w:lastColumn="0" w:oddVBand="0" w:evenVBand="0" w:oddHBand="0" w:evenHBand="0" w:firstRowFirstColumn="0" w:firstRowLastColumn="0" w:lastRowFirstColumn="0" w:lastRowLastColumn="0"/>
            <w:tcW w:w="2689" w:type="dxa"/>
            <w:hideMark/>
          </w:tcPr>
          <w:p w14:paraId="4D7F14F1" w14:textId="77777777" w:rsidR="007F50CC" w:rsidRPr="003F4D72" w:rsidRDefault="007F50CC" w:rsidP="00CB7074">
            <w:pPr>
              <w:spacing w:line="256" w:lineRule="auto"/>
              <w:jc w:val="center"/>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1</w:t>
            </w:r>
          </w:p>
        </w:tc>
        <w:tc>
          <w:tcPr>
            <w:tcW w:w="816" w:type="dxa"/>
            <w:hideMark/>
          </w:tcPr>
          <w:p w14:paraId="1F532FA1"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2</w:t>
            </w:r>
          </w:p>
        </w:tc>
        <w:tc>
          <w:tcPr>
            <w:tcW w:w="885" w:type="dxa"/>
            <w:hideMark/>
          </w:tcPr>
          <w:p w14:paraId="5556F14E"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3</w:t>
            </w:r>
          </w:p>
        </w:tc>
        <w:tc>
          <w:tcPr>
            <w:tcW w:w="992" w:type="dxa"/>
            <w:hideMark/>
          </w:tcPr>
          <w:p w14:paraId="0374118F"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4</w:t>
            </w:r>
          </w:p>
        </w:tc>
        <w:tc>
          <w:tcPr>
            <w:tcW w:w="992" w:type="dxa"/>
            <w:hideMark/>
          </w:tcPr>
          <w:p w14:paraId="16D254B9"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5=4-3</w:t>
            </w:r>
          </w:p>
        </w:tc>
        <w:tc>
          <w:tcPr>
            <w:tcW w:w="1001" w:type="dxa"/>
            <w:hideMark/>
          </w:tcPr>
          <w:p w14:paraId="1E08F269"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6=4*100/3</w:t>
            </w:r>
          </w:p>
        </w:tc>
        <w:tc>
          <w:tcPr>
            <w:tcW w:w="1121" w:type="dxa"/>
            <w:hideMark/>
          </w:tcPr>
          <w:p w14:paraId="58485845"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7=4-2</w:t>
            </w:r>
          </w:p>
        </w:tc>
        <w:tc>
          <w:tcPr>
            <w:tcW w:w="932" w:type="dxa"/>
            <w:hideMark/>
          </w:tcPr>
          <w:p w14:paraId="6A6F3CC2"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8=4*100/2</w:t>
            </w:r>
          </w:p>
        </w:tc>
      </w:tr>
      <w:tr w:rsidR="007F50CC" w:rsidRPr="003F4D72" w14:paraId="212417C6" w14:textId="77777777" w:rsidTr="007F50CC">
        <w:trPr>
          <w:trHeight w:val="60"/>
        </w:trPr>
        <w:tc>
          <w:tcPr>
            <w:cnfStyle w:val="001000000000" w:firstRow="0" w:lastRow="0" w:firstColumn="1" w:lastColumn="0" w:oddVBand="0" w:evenVBand="0" w:oddHBand="0" w:evenHBand="0" w:firstRowFirstColumn="0" w:firstRowLastColumn="0" w:lastRowFirstColumn="0" w:lastRowLastColumn="0"/>
            <w:tcW w:w="2689" w:type="dxa"/>
            <w:hideMark/>
          </w:tcPr>
          <w:p w14:paraId="2C4A900F" w14:textId="77777777" w:rsidR="007F50CC" w:rsidRPr="003F4D72" w:rsidRDefault="007F50CC" w:rsidP="007F50CC">
            <w:pPr>
              <w:spacing w:line="256" w:lineRule="auto"/>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Venituri precizate</w:t>
            </w:r>
          </w:p>
        </w:tc>
        <w:tc>
          <w:tcPr>
            <w:tcW w:w="816" w:type="dxa"/>
          </w:tcPr>
          <w:p w14:paraId="43854DDD" w14:textId="1889707D"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6733,3</w:t>
            </w:r>
          </w:p>
        </w:tc>
        <w:tc>
          <w:tcPr>
            <w:tcW w:w="885" w:type="dxa"/>
            <w:hideMark/>
          </w:tcPr>
          <w:p w14:paraId="6C08FCE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7709,8</w:t>
            </w:r>
          </w:p>
        </w:tc>
        <w:tc>
          <w:tcPr>
            <w:tcW w:w="992" w:type="dxa"/>
            <w:hideMark/>
          </w:tcPr>
          <w:p w14:paraId="2FDA75FE"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8500,8</w:t>
            </w:r>
          </w:p>
        </w:tc>
        <w:tc>
          <w:tcPr>
            <w:tcW w:w="992" w:type="dxa"/>
          </w:tcPr>
          <w:p w14:paraId="6AED6FE8"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790,9</w:t>
            </w:r>
          </w:p>
        </w:tc>
        <w:tc>
          <w:tcPr>
            <w:tcW w:w="1001" w:type="dxa"/>
          </w:tcPr>
          <w:p w14:paraId="31EB00EE"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110,3</w:t>
            </w:r>
          </w:p>
        </w:tc>
        <w:tc>
          <w:tcPr>
            <w:tcW w:w="1121" w:type="dxa"/>
          </w:tcPr>
          <w:p w14:paraId="1F8F88CC"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1767,5</w:t>
            </w:r>
          </w:p>
        </w:tc>
        <w:tc>
          <w:tcPr>
            <w:tcW w:w="932" w:type="dxa"/>
          </w:tcPr>
          <w:p w14:paraId="607FC7E2"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126,3</w:t>
            </w:r>
          </w:p>
        </w:tc>
      </w:tr>
      <w:tr w:rsidR="007F50CC" w:rsidRPr="003F4D72" w14:paraId="208049B6" w14:textId="77777777" w:rsidTr="007F50CC">
        <w:trPr>
          <w:trHeight w:val="60"/>
        </w:trPr>
        <w:tc>
          <w:tcPr>
            <w:cnfStyle w:val="001000000000" w:firstRow="0" w:lastRow="0" w:firstColumn="1" w:lastColumn="0" w:oddVBand="0" w:evenVBand="0" w:oddHBand="0" w:evenHBand="0" w:firstRowFirstColumn="0" w:firstRowLastColumn="0" w:lastRowFirstColumn="0" w:lastRowLastColumn="0"/>
            <w:tcW w:w="2689" w:type="dxa"/>
            <w:hideMark/>
          </w:tcPr>
          <w:p w14:paraId="00B0C546" w14:textId="77777777" w:rsidR="007F50CC" w:rsidRPr="003F4D72" w:rsidRDefault="007F50CC" w:rsidP="007F50CC">
            <w:pPr>
              <w:spacing w:line="256" w:lineRule="auto"/>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Venituri executate, inclusiv:</w:t>
            </w:r>
          </w:p>
        </w:tc>
        <w:tc>
          <w:tcPr>
            <w:tcW w:w="816" w:type="dxa"/>
          </w:tcPr>
          <w:p w14:paraId="188CC6B4"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6877,4</w:t>
            </w:r>
          </w:p>
        </w:tc>
        <w:tc>
          <w:tcPr>
            <w:tcW w:w="885" w:type="dxa"/>
            <w:hideMark/>
          </w:tcPr>
          <w:p w14:paraId="6BAFAAAD"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7636,3</w:t>
            </w:r>
          </w:p>
        </w:tc>
        <w:tc>
          <w:tcPr>
            <w:tcW w:w="992" w:type="dxa"/>
            <w:hideMark/>
          </w:tcPr>
          <w:p w14:paraId="4D339889"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8542,6</w:t>
            </w:r>
          </w:p>
        </w:tc>
        <w:tc>
          <w:tcPr>
            <w:tcW w:w="992" w:type="dxa"/>
            <w:hideMark/>
          </w:tcPr>
          <w:p w14:paraId="4F6F8E5E"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906,2</w:t>
            </w:r>
          </w:p>
        </w:tc>
        <w:tc>
          <w:tcPr>
            <w:tcW w:w="1001" w:type="dxa"/>
            <w:hideMark/>
          </w:tcPr>
          <w:p w14:paraId="05B59ABF"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111,9</w:t>
            </w:r>
          </w:p>
        </w:tc>
        <w:tc>
          <w:tcPr>
            <w:tcW w:w="1121" w:type="dxa"/>
          </w:tcPr>
          <w:p w14:paraId="22FE48C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1665,2</w:t>
            </w:r>
          </w:p>
        </w:tc>
        <w:tc>
          <w:tcPr>
            <w:tcW w:w="932" w:type="dxa"/>
          </w:tcPr>
          <w:p w14:paraId="103A1D3C"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124,2</w:t>
            </w:r>
          </w:p>
        </w:tc>
      </w:tr>
      <w:tr w:rsidR="007F50CC" w:rsidRPr="003F4D72" w14:paraId="50C9A2F2" w14:textId="77777777" w:rsidTr="007F50CC">
        <w:trPr>
          <w:trHeight w:val="344"/>
        </w:trPr>
        <w:tc>
          <w:tcPr>
            <w:cnfStyle w:val="001000000000" w:firstRow="0" w:lastRow="0" w:firstColumn="1" w:lastColumn="0" w:oddVBand="0" w:evenVBand="0" w:oddHBand="0" w:evenHBand="0" w:firstRowFirstColumn="0" w:firstRowLastColumn="0" w:lastRowFirstColumn="0" w:lastRowLastColumn="0"/>
            <w:tcW w:w="2689" w:type="dxa"/>
          </w:tcPr>
          <w:p w14:paraId="74988675" w14:textId="77777777" w:rsidR="007F50CC" w:rsidRPr="003F4D72" w:rsidRDefault="007F50CC" w:rsidP="007F50CC">
            <w:pPr>
              <w:spacing w:line="256" w:lineRule="auto"/>
              <w:rPr>
                <w:rFonts w:asciiTheme="majorHAnsi" w:hAnsiTheme="majorHAnsi" w:cstheme="majorHAnsi"/>
                <w:b w:val="0"/>
                <w:bCs w:val="0"/>
                <w:i/>
                <w:color w:val="000000"/>
                <w:sz w:val="20"/>
                <w:szCs w:val="20"/>
              </w:rPr>
            </w:pPr>
            <w:r w:rsidRPr="003F4D72">
              <w:rPr>
                <w:rFonts w:asciiTheme="majorHAnsi" w:hAnsiTheme="majorHAnsi" w:cstheme="majorHAnsi"/>
                <w:i/>
                <w:color w:val="000000"/>
                <w:sz w:val="20"/>
                <w:szCs w:val="20"/>
              </w:rPr>
              <w:t>Prime de AOAM în formă de contribuție procentuală</w:t>
            </w:r>
          </w:p>
        </w:tc>
        <w:tc>
          <w:tcPr>
            <w:tcW w:w="816" w:type="dxa"/>
          </w:tcPr>
          <w:p w14:paraId="1A6B3150"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4007,2</w:t>
            </w:r>
          </w:p>
        </w:tc>
        <w:tc>
          <w:tcPr>
            <w:tcW w:w="885" w:type="dxa"/>
          </w:tcPr>
          <w:p w14:paraId="1D4F98D1"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4645,1</w:t>
            </w:r>
          </w:p>
        </w:tc>
        <w:tc>
          <w:tcPr>
            <w:tcW w:w="992" w:type="dxa"/>
          </w:tcPr>
          <w:p w14:paraId="11A639BC"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4800,5</w:t>
            </w:r>
          </w:p>
        </w:tc>
        <w:tc>
          <w:tcPr>
            <w:tcW w:w="992" w:type="dxa"/>
          </w:tcPr>
          <w:p w14:paraId="3101906E"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155,4</w:t>
            </w:r>
          </w:p>
        </w:tc>
        <w:tc>
          <w:tcPr>
            <w:tcW w:w="1001" w:type="dxa"/>
          </w:tcPr>
          <w:p w14:paraId="240E891B"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103,3</w:t>
            </w:r>
          </w:p>
        </w:tc>
        <w:tc>
          <w:tcPr>
            <w:tcW w:w="1121" w:type="dxa"/>
          </w:tcPr>
          <w:p w14:paraId="5CAE8CAD"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793,3</w:t>
            </w:r>
          </w:p>
        </w:tc>
        <w:tc>
          <w:tcPr>
            <w:tcW w:w="932" w:type="dxa"/>
          </w:tcPr>
          <w:p w14:paraId="2F57A7B5"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119,8</w:t>
            </w:r>
          </w:p>
        </w:tc>
      </w:tr>
      <w:tr w:rsidR="007F50CC" w:rsidRPr="003F4D72" w14:paraId="15EC9167" w14:textId="77777777" w:rsidTr="007F50CC">
        <w:trPr>
          <w:trHeight w:val="60"/>
        </w:trPr>
        <w:tc>
          <w:tcPr>
            <w:cnfStyle w:val="001000000000" w:firstRow="0" w:lastRow="0" w:firstColumn="1" w:lastColumn="0" w:oddVBand="0" w:evenVBand="0" w:oddHBand="0" w:evenHBand="0" w:firstRowFirstColumn="0" w:firstRowLastColumn="0" w:lastRowFirstColumn="0" w:lastRowLastColumn="0"/>
            <w:tcW w:w="2689" w:type="dxa"/>
          </w:tcPr>
          <w:p w14:paraId="627CEFBC" w14:textId="77777777" w:rsidR="007F50CC" w:rsidRPr="003F4D72" w:rsidRDefault="007F50CC" w:rsidP="007F50CC">
            <w:pPr>
              <w:spacing w:line="256" w:lineRule="auto"/>
              <w:rPr>
                <w:rFonts w:asciiTheme="majorHAnsi" w:hAnsiTheme="majorHAnsi" w:cstheme="majorHAnsi"/>
                <w:b w:val="0"/>
                <w:bCs w:val="0"/>
                <w:i/>
                <w:color w:val="000000"/>
                <w:sz w:val="20"/>
                <w:szCs w:val="20"/>
              </w:rPr>
            </w:pPr>
            <w:r w:rsidRPr="003F4D72">
              <w:rPr>
                <w:rFonts w:asciiTheme="majorHAnsi" w:hAnsiTheme="majorHAnsi" w:cstheme="majorHAnsi"/>
                <w:i/>
                <w:color w:val="000000"/>
                <w:sz w:val="20"/>
                <w:szCs w:val="20"/>
              </w:rPr>
              <w:t>Prime de AOAM în sumă fixă</w:t>
            </w:r>
          </w:p>
        </w:tc>
        <w:tc>
          <w:tcPr>
            <w:tcW w:w="816" w:type="dxa"/>
          </w:tcPr>
          <w:p w14:paraId="6E05E69F"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110,3</w:t>
            </w:r>
          </w:p>
        </w:tc>
        <w:tc>
          <w:tcPr>
            <w:tcW w:w="885" w:type="dxa"/>
          </w:tcPr>
          <w:p w14:paraId="736D4E1B"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123,0</w:t>
            </w:r>
          </w:p>
        </w:tc>
        <w:tc>
          <w:tcPr>
            <w:tcW w:w="992" w:type="dxa"/>
          </w:tcPr>
          <w:p w14:paraId="435A54D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139,1</w:t>
            </w:r>
          </w:p>
        </w:tc>
        <w:tc>
          <w:tcPr>
            <w:tcW w:w="992" w:type="dxa"/>
          </w:tcPr>
          <w:p w14:paraId="7B74F598"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16,0</w:t>
            </w:r>
          </w:p>
        </w:tc>
        <w:tc>
          <w:tcPr>
            <w:tcW w:w="1001" w:type="dxa"/>
          </w:tcPr>
          <w:p w14:paraId="50FECB58"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113,0</w:t>
            </w:r>
          </w:p>
        </w:tc>
        <w:tc>
          <w:tcPr>
            <w:tcW w:w="1121" w:type="dxa"/>
          </w:tcPr>
          <w:p w14:paraId="59CBC40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28,7</w:t>
            </w:r>
          </w:p>
        </w:tc>
        <w:tc>
          <w:tcPr>
            <w:tcW w:w="932" w:type="dxa"/>
          </w:tcPr>
          <w:p w14:paraId="792B8725"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126,0</w:t>
            </w:r>
          </w:p>
        </w:tc>
      </w:tr>
      <w:tr w:rsidR="007F50CC" w:rsidRPr="003F4D72" w14:paraId="5832B7A1" w14:textId="77777777" w:rsidTr="007F50CC">
        <w:trPr>
          <w:trHeight w:val="60"/>
        </w:trPr>
        <w:tc>
          <w:tcPr>
            <w:cnfStyle w:val="001000000000" w:firstRow="0" w:lastRow="0" w:firstColumn="1" w:lastColumn="0" w:oddVBand="0" w:evenVBand="0" w:oddHBand="0" w:evenHBand="0" w:firstRowFirstColumn="0" w:firstRowLastColumn="0" w:lastRowFirstColumn="0" w:lastRowLastColumn="0"/>
            <w:tcW w:w="2689" w:type="dxa"/>
            <w:hideMark/>
          </w:tcPr>
          <w:p w14:paraId="2F92D2BE" w14:textId="77777777" w:rsidR="007F50CC" w:rsidRPr="003F4D72" w:rsidRDefault="007F50CC" w:rsidP="007F50CC">
            <w:pPr>
              <w:rPr>
                <w:rFonts w:asciiTheme="majorHAnsi" w:hAnsiTheme="majorHAnsi" w:cstheme="majorHAnsi"/>
                <w:b w:val="0"/>
                <w:i/>
                <w:iCs/>
                <w:color w:val="000000"/>
                <w:sz w:val="20"/>
                <w:szCs w:val="20"/>
              </w:rPr>
            </w:pPr>
            <w:r w:rsidRPr="003F4D72">
              <w:rPr>
                <w:rFonts w:asciiTheme="majorHAnsi" w:hAnsiTheme="majorHAnsi" w:cstheme="majorHAnsi"/>
                <w:i/>
                <w:iCs/>
                <w:color w:val="000000"/>
                <w:sz w:val="20"/>
                <w:szCs w:val="20"/>
              </w:rPr>
              <w:t>Alte venituri</w:t>
            </w:r>
          </w:p>
        </w:tc>
        <w:tc>
          <w:tcPr>
            <w:tcW w:w="816" w:type="dxa"/>
          </w:tcPr>
          <w:p w14:paraId="2EAB90F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31,8</w:t>
            </w:r>
          </w:p>
        </w:tc>
        <w:tc>
          <w:tcPr>
            <w:tcW w:w="885" w:type="dxa"/>
          </w:tcPr>
          <w:p w14:paraId="06E49086"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54,5</w:t>
            </w:r>
          </w:p>
        </w:tc>
        <w:tc>
          <w:tcPr>
            <w:tcW w:w="992" w:type="dxa"/>
            <w:hideMark/>
          </w:tcPr>
          <w:p w14:paraId="09891AC8"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69,3</w:t>
            </w:r>
          </w:p>
        </w:tc>
        <w:tc>
          <w:tcPr>
            <w:tcW w:w="992" w:type="dxa"/>
          </w:tcPr>
          <w:p w14:paraId="6BD523AD"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14,8</w:t>
            </w:r>
          </w:p>
        </w:tc>
        <w:tc>
          <w:tcPr>
            <w:tcW w:w="1001" w:type="dxa"/>
          </w:tcPr>
          <w:p w14:paraId="6AC6867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127,1</w:t>
            </w:r>
          </w:p>
        </w:tc>
        <w:tc>
          <w:tcPr>
            <w:tcW w:w="1121" w:type="dxa"/>
          </w:tcPr>
          <w:p w14:paraId="5D20EB7A"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37,5</w:t>
            </w:r>
          </w:p>
        </w:tc>
        <w:tc>
          <w:tcPr>
            <w:tcW w:w="932" w:type="dxa"/>
          </w:tcPr>
          <w:p w14:paraId="52F69158"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217,7</w:t>
            </w:r>
          </w:p>
        </w:tc>
      </w:tr>
      <w:tr w:rsidR="007F50CC" w:rsidRPr="003F4D72" w14:paraId="764F992E" w14:textId="77777777" w:rsidTr="007F50CC">
        <w:trPr>
          <w:trHeight w:val="181"/>
        </w:trPr>
        <w:tc>
          <w:tcPr>
            <w:cnfStyle w:val="001000000000" w:firstRow="0" w:lastRow="0" w:firstColumn="1" w:lastColumn="0" w:oddVBand="0" w:evenVBand="0" w:oddHBand="0" w:evenHBand="0" w:firstRowFirstColumn="0" w:firstRowLastColumn="0" w:lastRowFirstColumn="0" w:lastRowLastColumn="0"/>
            <w:tcW w:w="2689" w:type="dxa"/>
            <w:hideMark/>
          </w:tcPr>
          <w:p w14:paraId="2CBB9373" w14:textId="296E87C9" w:rsidR="007F50CC" w:rsidRPr="003F4D72" w:rsidRDefault="007F50CC" w:rsidP="000E0D14">
            <w:pPr>
              <w:rPr>
                <w:rFonts w:asciiTheme="majorHAnsi" w:hAnsiTheme="majorHAnsi" w:cstheme="majorHAnsi"/>
                <w:b w:val="0"/>
                <w:i/>
                <w:iCs/>
                <w:color w:val="000000"/>
                <w:sz w:val="20"/>
                <w:szCs w:val="20"/>
              </w:rPr>
            </w:pPr>
            <w:r w:rsidRPr="003F4D72">
              <w:rPr>
                <w:rFonts w:asciiTheme="majorHAnsi" w:hAnsiTheme="majorHAnsi" w:cstheme="majorHAnsi"/>
                <w:i/>
                <w:iCs/>
                <w:color w:val="000000"/>
                <w:sz w:val="20"/>
                <w:szCs w:val="20"/>
              </w:rPr>
              <w:t>Transferuri curente cu destinație specială</w:t>
            </w:r>
          </w:p>
        </w:tc>
        <w:tc>
          <w:tcPr>
            <w:tcW w:w="816" w:type="dxa"/>
          </w:tcPr>
          <w:p w14:paraId="33147533"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93,1</w:t>
            </w:r>
          </w:p>
        </w:tc>
        <w:tc>
          <w:tcPr>
            <w:tcW w:w="885" w:type="dxa"/>
          </w:tcPr>
          <w:p w14:paraId="32E0F7E0"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94,4</w:t>
            </w:r>
          </w:p>
        </w:tc>
        <w:tc>
          <w:tcPr>
            <w:tcW w:w="992" w:type="dxa"/>
            <w:hideMark/>
          </w:tcPr>
          <w:p w14:paraId="7B9217C0"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153,2</w:t>
            </w:r>
          </w:p>
        </w:tc>
        <w:tc>
          <w:tcPr>
            <w:tcW w:w="992" w:type="dxa"/>
          </w:tcPr>
          <w:p w14:paraId="2EA6169D"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58,8</w:t>
            </w:r>
          </w:p>
        </w:tc>
        <w:tc>
          <w:tcPr>
            <w:tcW w:w="1001" w:type="dxa"/>
          </w:tcPr>
          <w:p w14:paraId="34BE543C"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162,3</w:t>
            </w:r>
          </w:p>
        </w:tc>
        <w:tc>
          <w:tcPr>
            <w:tcW w:w="1121" w:type="dxa"/>
          </w:tcPr>
          <w:p w14:paraId="04B25B6A"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60,2</w:t>
            </w:r>
          </w:p>
        </w:tc>
        <w:tc>
          <w:tcPr>
            <w:tcW w:w="932" w:type="dxa"/>
          </w:tcPr>
          <w:p w14:paraId="4969AE46"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164,7</w:t>
            </w:r>
          </w:p>
        </w:tc>
      </w:tr>
      <w:tr w:rsidR="007F50CC" w:rsidRPr="003F4D72" w14:paraId="2221F3E2" w14:textId="77777777" w:rsidTr="007F50CC">
        <w:trPr>
          <w:trHeight w:val="31"/>
        </w:trPr>
        <w:tc>
          <w:tcPr>
            <w:cnfStyle w:val="001000000000" w:firstRow="0" w:lastRow="0" w:firstColumn="1" w:lastColumn="0" w:oddVBand="0" w:evenVBand="0" w:oddHBand="0" w:evenHBand="0" w:firstRowFirstColumn="0" w:firstRowLastColumn="0" w:lastRowFirstColumn="0" w:lastRowLastColumn="0"/>
            <w:tcW w:w="2689" w:type="dxa"/>
            <w:hideMark/>
          </w:tcPr>
          <w:p w14:paraId="66B46D2C" w14:textId="32FBF864" w:rsidR="007F50CC" w:rsidRPr="003F4D72" w:rsidRDefault="007F50CC" w:rsidP="000E0D14">
            <w:pPr>
              <w:rPr>
                <w:rFonts w:asciiTheme="majorHAnsi" w:hAnsiTheme="majorHAnsi" w:cstheme="majorHAnsi"/>
                <w:b w:val="0"/>
                <w:i/>
                <w:iCs/>
                <w:color w:val="000000"/>
                <w:sz w:val="20"/>
                <w:szCs w:val="20"/>
              </w:rPr>
            </w:pPr>
            <w:r w:rsidRPr="003F4D72">
              <w:rPr>
                <w:rFonts w:asciiTheme="majorHAnsi" w:hAnsiTheme="majorHAnsi" w:cstheme="majorHAnsi"/>
                <w:i/>
                <w:iCs/>
                <w:color w:val="000000"/>
                <w:sz w:val="20"/>
                <w:szCs w:val="20"/>
              </w:rPr>
              <w:t>Transferuri curente cu destinație generală</w:t>
            </w:r>
          </w:p>
        </w:tc>
        <w:tc>
          <w:tcPr>
            <w:tcW w:w="816" w:type="dxa"/>
          </w:tcPr>
          <w:p w14:paraId="32CD2DBE"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2635,0</w:t>
            </w:r>
          </w:p>
        </w:tc>
        <w:tc>
          <w:tcPr>
            <w:tcW w:w="885" w:type="dxa"/>
          </w:tcPr>
          <w:p w14:paraId="04609610"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2719,3</w:t>
            </w:r>
          </w:p>
        </w:tc>
        <w:tc>
          <w:tcPr>
            <w:tcW w:w="992" w:type="dxa"/>
            <w:hideMark/>
          </w:tcPr>
          <w:p w14:paraId="08699498"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3380,5</w:t>
            </w:r>
          </w:p>
        </w:tc>
        <w:tc>
          <w:tcPr>
            <w:tcW w:w="992" w:type="dxa"/>
          </w:tcPr>
          <w:p w14:paraId="55764836"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661,2</w:t>
            </w:r>
          </w:p>
        </w:tc>
        <w:tc>
          <w:tcPr>
            <w:tcW w:w="1001" w:type="dxa"/>
          </w:tcPr>
          <w:p w14:paraId="35BD13EA"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124,3</w:t>
            </w:r>
          </w:p>
        </w:tc>
        <w:tc>
          <w:tcPr>
            <w:tcW w:w="1121" w:type="dxa"/>
          </w:tcPr>
          <w:p w14:paraId="31B1B8BF"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745,5</w:t>
            </w:r>
          </w:p>
        </w:tc>
        <w:tc>
          <w:tcPr>
            <w:tcW w:w="932" w:type="dxa"/>
          </w:tcPr>
          <w:p w14:paraId="0A094ED5" w14:textId="77777777" w:rsidR="007F50CC" w:rsidRPr="003F4D72" w:rsidRDefault="007F50CC" w:rsidP="007F50CC">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128,3</w:t>
            </w:r>
          </w:p>
        </w:tc>
      </w:tr>
    </w:tbl>
    <w:p w14:paraId="0B95E8EA" w14:textId="0774E4BB" w:rsidR="0059748F" w:rsidRPr="003F4D72" w:rsidRDefault="0059748F" w:rsidP="00D832C9">
      <w:pPr>
        <w:spacing w:after="0" w:line="240" w:lineRule="auto"/>
        <w:jc w:val="both"/>
        <w:rPr>
          <w:rFonts w:asciiTheme="majorHAnsi" w:eastAsia="Times New Roman" w:hAnsiTheme="majorHAnsi" w:cstheme="majorHAnsi"/>
          <w:bCs/>
          <w:i/>
          <w:sz w:val="20"/>
          <w:szCs w:val="20"/>
        </w:rPr>
      </w:pPr>
      <w:r w:rsidRPr="003F4D72">
        <w:rPr>
          <w:rFonts w:asciiTheme="majorHAnsi" w:eastAsia="Times New Roman" w:hAnsiTheme="majorHAnsi" w:cstheme="majorHAnsi"/>
          <w:b/>
          <w:bCs/>
          <w:i/>
          <w:sz w:val="20"/>
          <w:szCs w:val="20"/>
        </w:rPr>
        <w:t>Sursă:</w:t>
      </w:r>
      <w:r w:rsidRPr="003F4D72">
        <w:rPr>
          <w:rFonts w:asciiTheme="majorHAnsi" w:eastAsia="Times New Roman" w:hAnsiTheme="majorHAnsi" w:cstheme="majorHAnsi"/>
          <w:bCs/>
          <w:i/>
          <w:sz w:val="20"/>
          <w:szCs w:val="20"/>
        </w:rPr>
        <w:t xml:space="preserve"> Informații generalizate de echipa de audit din Rapoartele privind executarea fondurilor asigurări</w:t>
      </w:r>
      <w:r w:rsidR="000E0D14" w:rsidRPr="003F4D72">
        <w:rPr>
          <w:rFonts w:asciiTheme="majorHAnsi" w:eastAsia="Times New Roman" w:hAnsiTheme="majorHAnsi" w:cstheme="majorHAnsi"/>
          <w:bCs/>
          <w:i/>
          <w:sz w:val="20"/>
          <w:szCs w:val="20"/>
        </w:rPr>
        <w:t>i</w:t>
      </w:r>
      <w:r w:rsidRPr="003F4D72">
        <w:rPr>
          <w:rFonts w:asciiTheme="majorHAnsi" w:eastAsia="Times New Roman" w:hAnsiTheme="majorHAnsi" w:cstheme="majorHAnsi"/>
          <w:bCs/>
          <w:i/>
          <w:sz w:val="20"/>
          <w:szCs w:val="20"/>
        </w:rPr>
        <w:t xml:space="preserve"> obligatorii de asistenț</w:t>
      </w:r>
      <w:r w:rsidR="00D832C9" w:rsidRPr="003F4D72">
        <w:rPr>
          <w:rFonts w:asciiTheme="majorHAnsi" w:eastAsia="Times New Roman" w:hAnsiTheme="majorHAnsi" w:cstheme="majorHAnsi"/>
          <w:bCs/>
          <w:i/>
          <w:sz w:val="20"/>
          <w:szCs w:val="20"/>
        </w:rPr>
        <w:t>ă medicală pe anii 2018 - 2020.</w:t>
      </w:r>
    </w:p>
    <w:p w14:paraId="11151B3F" w14:textId="77777777" w:rsidR="006707BD" w:rsidRPr="003F4D72" w:rsidRDefault="006707BD" w:rsidP="00757705">
      <w:pPr>
        <w:spacing w:after="0" w:line="276" w:lineRule="auto"/>
        <w:jc w:val="both"/>
        <w:rPr>
          <w:rFonts w:asciiTheme="majorHAnsi" w:eastAsia="Times New Roman" w:hAnsiTheme="majorHAnsi" w:cstheme="majorHAnsi"/>
          <w:bCs/>
          <w:i/>
          <w:sz w:val="20"/>
          <w:szCs w:val="20"/>
        </w:rPr>
      </w:pPr>
    </w:p>
    <w:p w14:paraId="71C3093D" w14:textId="46E62D69" w:rsidR="0059748F" w:rsidRPr="003F4D72" w:rsidRDefault="0059748F" w:rsidP="00757705">
      <w:pPr>
        <w:spacing w:after="0" w:line="276" w:lineRule="auto"/>
        <w:ind w:firstLine="567"/>
        <w:jc w:val="both"/>
        <w:rPr>
          <w:rFonts w:asciiTheme="majorHAnsi" w:eastAsia="Times New Roman" w:hAnsiTheme="majorHAnsi" w:cstheme="majorHAnsi"/>
          <w:noProof/>
          <w:sz w:val="24"/>
          <w:szCs w:val="24"/>
          <w:lang w:eastAsia="ru-RU"/>
        </w:rPr>
      </w:pPr>
      <w:r w:rsidRPr="003F4D72">
        <w:rPr>
          <w:rFonts w:asciiTheme="majorHAnsi" w:eastAsia="Times New Roman" w:hAnsiTheme="majorHAnsi" w:cstheme="majorHAnsi"/>
          <w:noProof/>
          <w:sz w:val="24"/>
          <w:szCs w:val="24"/>
          <w:lang w:eastAsia="ru-RU"/>
        </w:rPr>
        <w:t>Ponderea semnificativă în totalul veniturilor FAOAM o au primele de asigurare obligatorie de asistență medicală în formă de con</w:t>
      </w:r>
      <w:r w:rsidR="00A5360C" w:rsidRPr="003F4D72">
        <w:rPr>
          <w:rFonts w:asciiTheme="majorHAnsi" w:eastAsia="Times New Roman" w:hAnsiTheme="majorHAnsi" w:cstheme="majorHAnsi"/>
          <w:noProof/>
          <w:sz w:val="24"/>
          <w:szCs w:val="24"/>
          <w:lang w:eastAsia="ru-RU"/>
        </w:rPr>
        <w:t>tribuție procentuală la salariu</w:t>
      </w:r>
      <w:r w:rsidRPr="003F4D72">
        <w:rPr>
          <w:rFonts w:asciiTheme="majorHAnsi" w:eastAsia="Times New Roman" w:hAnsiTheme="majorHAnsi" w:cstheme="majorHAnsi"/>
          <w:noProof/>
          <w:sz w:val="24"/>
          <w:szCs w:val="24"/>
          <w:lang w:eastAsia="ru-RU"/>
        </w:rPr>
        <w:t xml:space="preserve"> și alte recompense achitate de angajatori și angajați, care constituie 56</w:t>
      </w:r>
      <w:r w:rsidR="007F50CC" w:rsidRPr="003F4D72">
        <w:rPr>
          <w:rFonts w:asciiTheme="majorHAnsi" w:eastAsia="Times New Roman" w:hAnsiTheme="majorHAnsi" w:cstheme="majorHAnsi"/>
          <w:noProof/>
          <w:sz w:val="24"/>
          <w:szCs w:val="24"/>
          <w:lang w:eastAsia="ru-RU"/>
        </w:rPr>
        <w:t>,2</w:t>
      </w:r>
      <w:r w:rsidRPr="003F4D72">
        <w:rPr>
          <w:rFonts w:asciiTheme="majorHAnsi" w:eastAsia="Times New Roman" w:hAnsiTheme="majorHAnsi" w:cstheme="majorHAnsi"/>
          <w:noProof/>
          <w:sz w:val="24"/>
          <w:szCs w:val="24"/>
          <w:lang w:eastAsia="ru-RU"/>
        </w:rPr>
        <w:t>% (</w:t>
      </w:r>
      <w:r w:rsidRPr="003F4D72">
        <w:rPr>
          <w:rFonts w:asciiTheme="majorHAnsi" w:eastAsia="Times New Roman" w:hAnsiTheme="majorHAnsi" w:cstheme="majorHAnsi"/>
          <w:noProof/>
          <w:sz w:val="24"/>
          <w:szCs w:val="24"/>
        </w:rPr>
        <w:t>4 800</w:t>
      </w:r>
      <w:r w:rsidR="0020429C" w:rsidRPr="003F4D72">
        <w:rPr>
          <w:rFonts w:asciiTheme="majorHAnsi" w:eastAsia="Times New Roman" w:hAnsiTheme="majorHAnsi" w:cstheme="majorHAnsi"/>
          <w:noProof/>
          <w:sz w:val="24"/>
          <w:szCs w:val="24"/>
        </w:rPr>
        <w:t>,5</w:t>
      </w:r>
      <w:r w:rsidRPr="003F4D72">
        <w:rPr>
          <w:rFonts w:asciiTheme="majorHAnsi" w:eastAsia="Times New Roman" w:hAnsiTheme="majorHAnsi" w:cstheme="majorHAnsi"/>
          <w:noProof/>
          <w:sz w:val="24"/>
          <w:szCs w:val="24"/>
        </w:rPr>
        <w:t xml:space="preserve"> </w:t>
      </w:r>
      <w:r w:rsidR="0020429C" w:rsidRPr="003F4D72">
        <w:rPr>
          <w:rFonts w:asciiTheme="majorHAnsi" w:eastAsia="Times New Roman" w:hAnsiTheme="majorHAnsi" w:cstheme="majorHAnsi"/>
          <w:noProof/>
          <w:sz w:val="24"/>
          <w:szCs w:val="24"/>
          <w:lang w:eastAsia="ru-RU"/>
        </w:rPr>
        <w:t>mil.</w:t>
      </w:r>
      <w:r w:rsidR="00A5360C" w:rsidRPr="003F4D72">
        <w:rPr>
          <w:rFonts w:asciiTheme="majorHAnsi" w:eastAsia="Times New Roman" w:hAnsiTheme="majorHAnsi" w:cstheme="majorHAnsi"/>
          <w:noProof/>
          <w:sz w:val="24"/>
          <w:szCs w:val="24"/>
          <w:lang w:eastAsia="ru-RU"/>
        </w:rPr>
        <w:t>lei)</w:t>
      </w:r>
      <w:r w:rsidRPr="003F4D72">
        <w:rPr>
          <w:rFonts w:asciiTheme="majorHAnsi" w:eastAsia="Times New Roman" w:hAnsiTheme="majorHAnsi" w:cstheme="majorHAnsi"/>
          <w:noProof/>
          <w:sz w:val="24"/>
          <w:szCs w:val="24"/>
          <w:lang w:eastAsia="ru-RU"/>
        </w:rPr>
        <w:t xml:space="preserve"> și</w:t>
      </w:r>
      <w:r w:rsidR="00A5360C" w:rsidRPr="003F4D72">
        <w:rPr>
          <w:rFonts w:asciiTheme="majorHAnsi" w:eastAsia="Times New Roman" w:hAnsiTheme="majorHAnsi" w:cstheme="majorHAnsi"/>
          <w:noProof/>
          <w:sz w:val="24"/>
          <w:szCs w:val="24"/>
          <w:lang w:eastAsia="ru-RU"/>
        </w:rPr>
        <w:t>,</w:t>
      </w:r>
      <w:r w:rsidRPr="003F4D72">
        <w:rPr>
          <w:rFonts w:asciiTheme="majorHAnsi" w:eastAsia="Times New Roman" w:hAnsiTheme="majorHAnsi" w:cstheme="majorHAnsi"/>
          <w:noProof/>
          <w:sz w:val="24"/>
          <w:szCs w:val="24"/>
          <w:lang w:eastAsia="ru-RU"/>
        </w:rPr>
        <w:t xml:space="preserve"> respectiv</w:t>
      </w:r>
      <w:r w:rsidR="007F50CC" w:rsidRPr="003F4D72">
        <w:rPr>
          <w:rFonts w:asciiTheme="majorHAnsi" w:eastAsia="Times New Roman" w:hAnsiTheme="majorHAnsi" w:cstheme="majorHAnsi"/>
          <w:noProof/>
          <w:sz w:val="24"/>
          <w:szCs w:val="24"/>
          <w:lang w:eastAsia="ru-RU"/>
        </w:rPr>
        <w:t xml:space="preserve">, transferurile  cu destinaţie generală și specială între bugetul de stat şi fondurile asigurării obligatorii de asistenţă medicală </w:t>
      </w:r>
      <w:r w:rsidR="00EE7FBB" w:rsidRPr="003F4D72">
        <w:rPr>
          <w:rFonts w:asciiTheme="majorHAnsi" w:eastAsia="Times New Roman" w:hAnsiTheme="majorHAnsi" w:cstheme="majorHAnsi"/>
          <w:noProof/>
          <w:sz w:val="24"/>
          <w:szCs w:val="24"/>
          <w:lang w:eastAsia="ru-RU"/>
        </w:rPr>
        <w:t>–</w:t>
      </w:r>
      <w:r w:rsidR="000E0D14" w:rsidRPr="003F4D72">
        <w:rPr>
          <w:rFonts w:asciiTheme="majorHAnsi" w:eastAsia="Times New Roman" w:hAnsiTheme="majorHAnsi" w:cstheme="majorHAnsi"/>
          <w:noProof/>
          <w:sz w:val="24"/>
          <w:szCs w:val="24"/>
          <w:lang w:eastAsia="ru-RU"/>
        </w:rPr>
        <w:t xml:space="preserve"> </w:t>
      </w:r>
      <w:r w:rsidR="00E17C16" w:rsidRPr="003F4D72">
        <w:rPr>
          <w:rFonts w:asciiTheme="majorHAnsi" w:eastAsia="Times New Roman" w:hAnsiTheme="majorHAnsi" w:cstheme="majorHAnsi"/>
          <w:noProof/>
          <w:sz w:val="24"/>
          <w:szCs w:val="24"/>
          <w:lang w:eastAsia="ru-RU"/>
        </w:rPr>
        <w:t>41,4</w:t>
      </w:r>
      <w:r w:rsidRPr="003F4D72">
        <w:rPr>
          <w:rFonts w:asciiTheme="majorHAnsi" w:eastAsia="Times New Roman" w:hAnsiTheme="majorHAnsi" w:cstheme="majorHAnsi"/>
          <w:noProof/>
          <w:sz w:val="24"/>
          <w:szCs w:val="24"/>
          <w:lang w:eastAsia="ru-RU"/>
        </w:rPr>
        <w:t>% (</w:t>
      </w:r>
      <w:r w:rsidR="00E17C16" w:rsidRPr="003F4D72">
        <w:rPr>
          <w:rFonts w:asciiTheme="majorHAnsi" w:eastAsia="Times New Roman" w:hAnsiTheme="majorHAnsi" w:cstheme="majorHAnsi"/>
          <w:noProof/>
          <w:sz w:val="24"/>
          <w:szCs w:val="24"/>
        </w:rPr>
        <w:t>3 533</w:t>
      </w:r>
      <w:r w:rsidR="0020429C" w:rsidRPr="003F4D72">
        <w:rPr>
          <w:rFonts w:asciiTheme="majorHAnsi" w:eastAsia="Times New Roman" w:hAnsiTheme="majorHAnsi" w:cstheme="majorHAnsi"/>
          <w:noProof/>
          <w:sz w:val="24"/>
          <w:szCs w:val="24"/>
        </w:rPr>
        <w:t xml:space="preserve">,7 </w:t>
      </w:r>
      <w:r w:rsidR="0020429C" w:rsidRPr="003F4D72">
        <w:rPr>
          <w:rFonts w:asciiTheme="majorHAnsi" w:eastAsia="Times New Roman" w:hAnsiTheme="majorHAnsi" w:cstheme="majorHAnsi"/>
          <w:noProof/>
          <w:sz w:val="24"/>
          <w:szCs w:val="24"/>
          <w:lang w:eastAsia="ru-RU"/>
        </w:rPr>
        <w:t>mil.</w:t>
      </w:r>
      <w:r w:rsidRPr="003F4D72">
        <w:rPr>
          <w:rFonts w:asciiTheme="majorHAnsi" w:eastAsia="Times New Roman" w:hAnsiTheme="majorHAnsi" w:cstheme="majorHAnsi"/>
          <w:noProof/>
          <w:sz w:val="24"/>
          <w:szCs w:val="24"/>
          <w:lang w:eastAsia="ru-RU"/>
        </w:rPr>
        <w:t xml:space="preserve">lei), urmate de primele de asigurare medicală obligatorie în sumă </w:t>
      </w:r>
      <w:r w:rsidR="00283488" w:rsidRPr="003F4D72">
        <w:rPr>
          <w:rFonts w:asciiTheme="majorHAnsi" w:eastAsia="Times New Roman" w:hAnsiTheme="majorHAnsi" w:cstheme="majorHAnsi"/>
          <w:noProof/>
          <w:sz w:val="24"/>
          <w:szCs w:val="24"/>
          <w:lang w:eastAsia="ru-RU"/>
        </w:rPr>
        <w:t>fixă – 2 % (139</w:t>
      </w:r>
      <w:r w:rsidR="0020429C" w:rsidRPr="003F4D72">
        <w:rPr>
          <w:rFonts w:asciiTheme="majorHAnsi" w:eastAsia="Times New Roman" w:hAnsiTheme="majorHAnsi" w:cstheme="majorHAnsi"/>
          <w:noProof/>
          <w:sz w:val="24"/>
          <w:szCs w:val="24"/>
          <w:lang w:eastAsia="ru-RU"/>
        </w:rPr>
        <w:t>,1</w:t>
      </w:r>
      <w:r w:rsidR="00283488" w:rsidRPr="003F4D72">
        <w:rPr>
          <w:rFonts w:asciiTheme="majorHAnsi" w:eastAsia="Times New Roman" w:hAnsiTheme="majorHAnsi" w:cstheme="majorHAnsi"/>
          <w:noProof/>
          <w:sz w:val="24"/>
          <w:szCs w:val="24"/>
          <w:lang w:eastAsia="ru-RU"/>
        </w:rPr>
        <w:t xml:space="preserve"> </w:t>
      </w:r>
      <w:r w:rsidR="0020429C" w:rsidRPr="003F4D72">
        <w:rPr>
          <w:rFonts w:asciiTheme="majorHAnsi" w:eastAsia="Times New Roman" w:hAnsiTheme="majorHAnsi" w:cstheme="majorHAnsi"/>
          <w:noProof/>
          <w:sz w:val="24"/>
          <w:szCs w:val="24"/>
          <w:lang w:eastAsia="ru-RU"/>
        </w:rPr>
        <w:t>mil.</w:t>
      </w:r>
      <w:r w:rsidR="00283488" w:rsidRPr="003F4D72">
        <w:rPr>
          <w:rFonts w:asciiTheme="majorHAnsi" w:eastAsia="Times New Roman" w:hAnsiTheme="majorHAnsi" w:cstheme="majorHAnsi"/>
          <w:noProof/>
          <w:sz w:val="24"/>
          <w:szCs w:val="24"/>
          <w:lang w:eastAsia="ru-RU"/>
        </w:rPr>
        <w:t xml:space="preserve">lei), care au fost achitate de către </w:t>
      </w:r>
      <w:r w:rsidR="00283488" w:rsidRPr="003F4D72">
        <w:rPr>
          <w:rFonts w:asciiTheme="majorHAnsi" w:hAnsiTheme="majorHAnsi" w:cstheme="majorHAnsi"/>
          <w:noProof/>
          <w:sz w:val="24"/>
          <w:szCs w:val="24"/>
        </w:rPr>
        <w:t>63 210 persoane.</w:t>
      </w:r>
      <w:r w:rsidR="00757705" w:rsidRPr="003F4D72">
        <w:rPr>
          <w:sz w:val="24"/>
          <w:szCs w:val="24"/>
        </w:rPr>
        <w:t xml:space="preserve"> </w:t>
      </w:r>
    </w:p>
    <w:p w14:paraId="624662B1" w14:textId="076900E5" w:rsidR="008F4493" w:rsidRPr="003F4D72" w:rsidRDefault="00D832C9" w:rsidP="00757705">
      <w:pPr>
        <w:tabs>
          <w:tab w:val="left" w:pos="284"/>
        </w:tabs>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Referitor </w:t>
      </w:r>
      <w:r w:rsidR="0059748F" w:rsidRPr="003F4D72">
        <w:rPr>
          <w:rFonts w:asciiTheme="majorHAnsi" w:hAnsiTheme="majorHAnsi" w:cstheme="majorHAnsi"/>
          <w:sz w:val="24"/>
          <w:szCs w:val="24"/>
        </w:rPr>
        <w:t xml:space="preserve">la transferurile cu destinație generală, acestea au fost alocate pentru </w:t>
      </w:r>
      <w:r w:rsidR="003F2F67" w:rsidRPr="003F4D72">
        <w:rPr>
          <w:rFonts w:asciiTheme="majorHAnsi" w:hAnsiTheme="majorHAnsi" w:cstheme="majorHAnsi"/>
          <w:noProof/>
          <w:color w:val="000000"/>
          <w:sz w:val="24"/>
          <w:szCs w:val="24"/>
        </w:rPr>
        <w:t xml:space="preserve">1 629 189 de </w:t>
      </w:r>
      <w:r w:rsidR="003F2F67" w:rsidRPr="003F4D72">
        <w:rPr>
          <w:rFonts w:asciiTheme="majorHAnsi" w:hAnsiTheme="majorHAnsi" w:cstheme="majorHAnsi"/>
          <w:sz w:val="24"/>
          <w:szCs w:val="24"/>
        </w:rPr>
        <w:t xml:space="preserve">persoane care fac parte din </w:t>
      </w:r>
      <w:r w:rsidR="0059748F" w:rsidRPr="003F4D72">
        <w:rPr>
          <w:rFonts w:asciiTheme="majorHAnsi" w:hAnsiTheme="majorHAnsi" w:cstheme="majorHAnsi"/>
          <w:sz w:val="24"/>
          <w:szCs w:val="24"/>
        </w:rPr>
        <w:t>categoriile d</w:t>
      </w:r>
      <w:r w:rsidR="003F2F67" w:rsidRPr="003F4D72">
        <w:rPr>
          <w:rFonts w:asciiTheme="majorHAnsi" w:hAnsiTheme="majorHAnsi" w:cstheme="majorHAnsi"/>
          <w:sz w:val="24"/>
          <w:szCs w:val="24"/>
        </w:rPr>
        <w:t xml:space="preserve">e persoane asigurate de Guvern. Acestea au fost executate </w:t>
      </w:r>
      <w:r w:rsidR="0059748F" w:rsidRPr="003F4D72">
        <w:rPr>
          <w:rFonts w:asciiTheme="majorHAnsi" w:hAnsiTheme="majorHAnsi" w:cstheme="majorHAnsi"/>
          <w:sz w:val="24"/>
          <w:szCs w:val="24"/>
        </w:rPr>
        <w:t xml:space="preserve">în sumă de 3 380,5 </w:t>
      </w:r>
      <w:r w:rsidR="00A5360C" w:rsidRPr="003F4D72">
        <w:rPr>
          <w:rFonts w:asciiTheme="majorHAnsi" w:hAnsiTheme="majorHAnsi" w:cstheme="majorHAnsi"/>
          <w:sz w:val="24"/>
          <w:szCs w:val="24"/>
        </w:rPr>
        <w:t>mil.lei</w:t>
      </w:r>
      <w:r w:rsidR="00EE7FBB" w:rsidRPr="003F4D72">
        <w:rPr>
          <w:rFonts w:asciiTheme="majorHAnsi" w:hAnsiTheme="majorHAnsi" w:cstheme="majorHAnsi"/>
          <w:sz w:val="24"/>
          <w:szCs w:val="24"/>
        </w:rPr>
        <w:t>,</w:t>
      </w:r>
      <w:r w:rsidR="00A5360C" w:rsidRPr="003F4D72">
        <w:rPr>
          <w:rFonts w:asciiTheme="majorHAnsi" w:hAnsiTheme="majorHAnsi" w:cstheme="majorHAnsi"/>
          <w:sz w:val="24"/>
          <w:szCs w:val="24"/>
        </w:rPr>
        <w:t xml:space="preserve"> </w:t>
      </w:r>
      <w:r w:rsidR="0059748F" w:rsidRPr="003F4D72">
        <w:rPr>
          <w:rFonts w:asciiTheme="majorHAnsi" w:hAnsiTheme="majorHAnsi" w:cstheme="majorHAnsi"/>
          <w:sz w:val="24"/>
          <w:szCs w:val="24"/>
        </w:rPr>
        <w:t xml:space="preserve">sau cu </w:t>
      </w:r>
      <w:r w:rsidR="0059748F" w:rsidRPr="003F4D72">
        <w:rPr>
          <w:rFonts w:asciiTheme="majorHAnsi" w:hAnsiTheme="majorHAnsi" w:cstheme="majorHAnsi"/>
          <w:noProof/>
          <w:color w:val="000000"/>
          <w:sz w:val="24"/>
          <w:szCs w:val="24"/>
        </w:rPr>
        <w:t xml:space="preserve">661,2 </w:t>
      </w:r>
      <w:r w:rsidR="0059748F" w:rsidRPr="003F4D72">
        <w:rPr>
          <w:rFonts w:asciiTheme="majorHAnsi" w:hAnsiTheme="majorHAnsi" w:cstheme="majorHAnsi"/>
          <w:sz w:val="24"/>
          <w:szCs w:val="24"/>
        </w:rPr>
        <w:t>mil.l</w:t>
      </w:r>
      <w:r w:rsidR="00A220EE" w:rsidRPr="003F4D72">
        <w:rPr>
          <w:rFonts w:asciiTheme="majorHAnsi" w:hAnsiTheme="majorHAnsi" w:cstheme="majorHAnsi"/>
          <w:sz w:val="24"/>
          <w:szCs w:val="24"/>
        </w:rPr>
        <w:t>ei mai mult decât în anul 2019.</w:t>
      </w:r>
      <w:r w:rsidR="00757705" w:rsidRPr="003F4D72">
        <w:rPr>
          <w:rFonts w:asciiTheme="majorHAnsi" w:hAnsiTheme="majorHAnsi" w:cstheme="majorHAnsi"/>
          <w:noProof/>
          <w:sz w:val="24"/>
          <w:szCs w:val="24"/>
        </w:rPr>
        <w:t xml:space="preserve"> În anul 2020, veniturile acumulate și gestionate de CNAM au fost înregistrate/reflectate corespunzător în evidența contabilă și asigură plenitudinea informațiilor prezentate în Rapoartele Guvernului privind executarea fondurilor de asigurări obligatorii de asistență medicală.</w:t>
      </w:r>
    </w:p>
    <w:p w14:paraId="4145121E" w14:textId="77777777" w:rsidR="007F50CC" w:rsidRPr="003F4D72" w:rsidRDefault="007F50CC" w:rsidP="00E17C16">
      <w:pPr>
        <w:tabs>
          <w:tab w:val="left" w:pos="284"/>
        </w:tabs>
        <w:spacing w:after="0" w:line="276" w:lineRule="auto"/>
        <w:jc w:val="both"/>
        <w:rPr>
          <w:rFonts w:asciiTheme="majorHAnsi" w:hAnsiTheme="majorHAnsi" w:cstheme="majorHAnsi"/>
          <w:sz w:val="24"/>
          <w:szCs w:val="24"/>
        </w:rPr>
      </w:pPr>
    </w:p>
    <w:p w14:paraId="11D4DF5E" w14:textId="4D69189A" w:rsidR="00A220EE" w:rsidRPr="003F4D72" w:rsidRDefault="00E139AE" w:rsidP="00A220EE">
      <w:pPr>
        <w:pStyle w:val="ListParagraph"/>
        <w:numPr>
          <w:ilvl w:val="1"/>
          <w:numId w:val="31"/>
        </w:numPr>
        <w:tabs>
          <w:tab w:val="left" w:pos="426"/>
        </w:tabs>
        <w:spacing w:after="0" w:line="276" w:lineRule="auto"/>
        <w:ind w:left="0" w:firstLine="0"/>
        <w:jc w:val="both"/>
        <w:outlineLvl w:val="1"/>
        <w:rPr>
          <w:rFonts w:asciiTheme="majorHAnsi" w:hAnsiTheme="majorHAnsi" w:cstheme="majorHAnsi"/>
          <w:sz w:val="24"/>
          <w:szCs w:val="24"/>
          <w:lang w:val="ro-MD"/>
        </w:rPr>
      </w:pPr>
      <w:r w:rsidRPr="003F4D72">
        <w:rPr>
          <w:rFonts w:asciiTheme="majorHAnsi" w:eastAsia="Times New Roman" w:hAnsiTheme="majorHAnsi" w:cstheme="majorHAnsi"/>
          <w:b/>
          <w:sz w:val="24"/>
          <w:szCs w:val="24"/>
          <w:lang w:val="ro-MD"/>
        </w:rPr>
        <w:t>Cheltuielile fondurilor asigurării obligatorii de asistență medicală în anul 2020</w:t>
      </w:r>
      <w:r w:rsidR="00E80DB0" w:rsidRPr="003F4D72">
        <w:rPr>
          <w:rFonts w:asciiTheme="majorHAnsi" w:eastAsia="Times New Roman" w:hAnsiTheme="majorHAnsi" w:cstheme="majorHAnsi"/>
          <w:b/>
          <w:sz w:val="24"/>
          <w:szCs w:val="24"/>
          <w:lang w:val="ro-MD"/>
        </w:rPr>
        <w:t xml:space="preserve">, </w:t>
      </w:r>
      <w:r w:rsidR="00EE7FBB" w:rsidRPr="003F4D72">
        <w:rPr>
          <w:rFonts w:asciiTheme="majorHAnsi" w:eastAsia="Times New Roman" w:hAnsiTheme="majorHAnsi" w:cstheme="majorHAnsi"/>
          <w:b/>
          <w:sz w:val="24"/>
          <w:szCs w:val="24"/>
          <w:lang w:val="ro-MD"/>
        </w:rPr>
        <w:t xml:space="preserve">care a coincis cu </w:t>
      </w:r>
      <w:r w:rsidR="00E80DB0" w:rsidRPr="003F4D72">
        <w:rPr>
          <w:rFonts w:asciiTheme="majorHAnsi" w:eastAsia="Times New Roman" w:hAnsiTheme="majorHAnsi" w:cstheme="majorHAnsi"/>
          <w:b/>
          <w:sz w:val="24"/>
          <w:szCs w:val="24"/>
          <w:lang w:val="ro-MD"/>
        </w:rPr>
        <w:t>perioad</w:t>
      </w:r>
      <w:r w:rsidR="00EE7FBB" w:rsidRPr="003F4D72">
        <w:rPr>
          <w:rFonts w:asciiTheme="majorHAnsi" w:eastAsia="Times New Roman" w:hAnsiTheme="majorHAnsi" w:cstheme="majorHAnsi"/>
          <w:b/>
          <w:sz w:val="24"/>
          <w:szCs w:val="24"/>
          <w:lang w:val="ro-MD"/>
        </w:rPr>
        <w:t>a</w:t>
      </w:r>
      <w:r w:rsidR="00E80DB0" w:rsidRPr="003F4D72">
        <w:rPr>
          <w:rFonts w:asciiTheme="majorHAnsi" w:eastAsia="Times New Roman" w:hAnsiTheme="majorHAnsi" w:cstheme="majorHAnsi"/>
          <w:b/>
          <w:sz w:val="24"/>
          <w:szCs w:val="24"/>
          <w:lang w:val="ro-MD"/>
        </w:rPr>
        <w:t xml:space="preserve"> pandemică,</w:t>
      </w:r>
      <w:r w:rsidRPr="003F4D72">
        <w:rPr>
          <w:rFonts w:asciiTheme="majorHAnsi" w:eastAsia="Times New Roman" w:hAnsiTheme="majorHAnsi" w:cstheme="majorHAnsi"/>
          <w:b/>
          <w:sz w:val="24"/>
          <w:szCs w:val="24"/>
          <w:lang w:val="ro-MD"/>
        </w:rPr>
        <w:t xml:space="preserve"> </w:t>
      </w:r>
      <w:r w:rsidR="00A220EE" w:rsidRPr="003F4D72">
        <w:rPr>
          <w:rFonts w:asciiTheme="majorHAnsi" w:eastAsia="Times New Roman" w:hAnsiTheme="majorHAnsi" w:cstheme="majorHAnsi"/>
          <w:b/>
          <w:sz w:val="24"/>
          <w:szCs w:val="24"/>
          <w:lang w:val="ro-MD"/>
        </w:rPr>
        <w:t xml:space="preserve">nu au atins nivelul precizat, </w:t>
      </w:r>
      <w:r w:rsidR="00A220EE" w:rsidRPr="003F4D72">
        <w:rPr>
          <w:rFonts w:asciiTheme="majorHAnsi" w:hAnsiTheme="majorHAnsi" w:cstheme="majorHAnsi"/>
          <w:b/>
          <w:bCs/>
          <w:iCs/>
          <w:sz w:val="24"/>
          <w:szCs w:val="24"/>
          <w:lang w:val="ro-MD"/>
        </w:rPr>
        <w:t>situație determinată de diminuarea volumului de servicii medicale prestate populației cu 511,9 mil.lei, la toate nivel</w:t>
      </w:r>
      <w:r w:rsidR="00EE7FBB" w:rsidRPr="003F4D72">
        <w:rPr>
          <w:rFonts w:asciiTheme="majorHAnsi" w:hAnsiTheme="majorHAnsi" w:cstheme="majorHAnsi"/>
          <w:b/>
          <w:bCs/>
          <w:iCs/>
          <w:sz w:val="24"/>
          <w:szCs w:val="24"/>
          <w:lang w:val="ro-MD"/>
        </w:rPr>
        <w:t>uri</w:t>
      </w:r>
      <w:r w:rsidR="00A220EE" w:rsidRPr="003F4D72">
        <w:rPr>
          <w:rFonts w:asciiTheme="majorHAnsi" w:hAnsiTheme="majorHAnsi" w:cstheme="majorHAnsi"/>
          <w:b/>
          <w:bCs/>
          <w:iCs/>
          <w:sz w:val="24"/>
          <w:szCs w:val="24"/>
          <w:lang w:val="ro-MD"/>
        </w:rPr>
        <w:t>le de asistență medicală</w:t>
      </w:r>
      <w:r w:rsidR="00E17C16" w:rsidRPr="003F4D72">
        <w:rPr>
          <w:rFonts w:asciiTheme="majorHAnsi" w:hAnsiTheme="majorHAnsi" w:cstheme="majorHAnsi"/>
          <w:b/>
          <w:bCs/>
          <w:iCs/>
          <w:sz w:val="24"/>
          <w:szCs w:val="24"/>
          <w:lang w:val="ro-MD"/>
        </w:rPr>
        <w:t>.</w:t>
      </w:r>
      <w:r w:rsidR="00A220EE" w:rsidRPr="003F4D72">
        <w:rPr>
          <w:rFonts w:asciiTheme="majorHAnsi" w:eastAsia="Times New Roman" w:hAnsiTheme="majorHAnsi" w:cstheme="majorHAnsi"/>
          <w:b/>
          <w:sz w:val="24"/>
          <w:szCs w:val="24"/>
          <w:lang w:val="ro-MD"/>
        </w:rPr>
        <w:t xml:space="preserve"> </w:t>
      </w:r>
    </w:p>
    <w:p w14:paraId="2E89E427" w14:textId="17B6DAAA" w:rsidR="00022EEB" w:rsidRPr="003F4D72" w:rsidRDefault="007706DB" w:rsidP="00E17C16">
      <w:pPr>
        <w:pStyle w:val="ListParagraph"/>
        <w:tabs>
          <w:tab w:val="left" w:pos="426"/>
        </w:tabs>
        <w:spacing w:after="0" w:line="276" w:lineRule="auto"/>
        <w:ind w:left="0" w:firstLine="567"/>
        <w:jc w:val="both"/>
        <w:outlineLvl w:val="1"/>
        <w:rPr>
          <w:rFonts w:asciiTheme="majorHAnsi" w:hAnsiTheme="majorHAnsi" w:cstheme="majorHAnsi"/>
          <w:sz w:val="24"/>
          <w:szCs w:val="24"/>
          <w:lang w:val="ro-MD"/>
        </w:rPr>
      </w:pPr>
      <w:r w:rsidRPr="003F4D72">
        <w:rPr>
          <w:rFonts w:asciiTheme="majorHAnsi" w:hAnsiTheme="majorHAnsi" w:cstheme="majorHAnsi"/>
          <w:sz w:val="24"/>
          <w:szCs w:val="24"/>
          <w:lang w:val="ro-MD"/>
        </w:rPr>
        <w:t>Sistemul</w:t>
      </w:r>
      <w:r w:rsidR="00022EEB" w:rsidRPr="003F4D72">
        <w:rPr>
          <w:rFonts w:asciiTheme="majorHAnsi" w:hAnsiTheme="majorHAnsi" w:cstheme="majorHAnsi"/>
          <w:sz w:val="24"/>
          <w:szCs w:val="24"/>
          <w:lang w:val="ro-MD"/>
        </w:rPr>
        <w:t xml:space="preserve"> de asigurări medical</w:t>
      </w:r>
      <w:r w:rsidR="006B1DA1" w:rsidRPr="003F4D72">
        <w:rPr>
          <w:rFonts w:asciiTheme="majorHAnsi" w:hAnsiTheme="majorHAnsi" w:cstheme="majorHAnsi"/>
          <w:sz w:val="24"/>
          <w:szCs w:val="24"/>
          <w:lang w:val="ro-MD"/>
        </w:rPr>
        <w:t xml:space="preserve">e este </w:t>
      </w:r>
      <w:r w:rsidR="00EE7FBB" w:rsidRPr="003F4D72">
        <w:rPr>
          <w:rFonts w:asciiTheme="majorHAnsi" w:hAnsiTheme="majorHAnsi" w:cstheme="majorHAnsi"/>
          <w:sz w:val="24"/>
          <w:szCs w:val="24"/>
          <w:lang w:val="ro-MD"/>
        </w:rPr>
        <w:t xml:space="preserve">unul </w:t>
      </w:r>
      <w:r w:rsidR="006B1DA1" w:rsidRPr="003F4D72">
        <w:rPr>
          <w:rFonts w:asciiTheme="majorHAnsi" w:hAnsiTheme="majorHAnsi" w:cstheme="majorHAnsi"/>
          <w:sz w:val="24"/>
          <w:szCs w:val="24"/>
          <w:lang w:val="ro-MD"/>
        </w:rPr>
        <w:t>complex și sistemic și s-a realizat</w:t>
      </w:r>
      <w:r w:rsidR="00022EEB" w:rsidRPr="003F4D72">
        <w:rPr>
          <w:rFonts w:asciiTheme="majorHAnsi" w:hAnsiTheme="majorHAnsi" w:cstheme="majorHAnsi"/>
          <w:sz w:val="24"/>
          <w:szCs w:val="24"/>
          <w:lang w:val="ro-MD"/>
        </w:rPr>
        <w:t xml:space="preserve"> prin contractarea </w:t>
      </w:r>
      <w:r w:rsidR="006B1DA1" w:rsidRPr="003F4D72">
        <w:rPr>
          <w:rFonts w:asciiTheme="majorHAnsi" w:hAnsiTheme="majorHAnsi" w:cstheme="majorHAnsi"/>
          <w:sz w:val="24"/>
          <w:szCs w:val="24"/>
          <w:lang w:val="ro-MD"/>
        </w:rPr>
        <w:t xml:space="preserve">a 455 de prestatori </w:t>
      </w:r>
      <w:r w:rsidR="00022EEB" w:rsidRPr="003F4D72">
        <w:rPr>
          <w:rFonts w:asciiTheme="majorHAnsi" w:hAnsiTheme="majorHAnsi" w:cstheme="majorHAnsi"/>
          <w:sz w:val="24"/>
          <w:szCs w:val="24"/>
          <w:lang w:val="ro-MD"/>
        </w:rPr>
        <w:t xml:space="preserve">de servicii medicale, cu evidența serviciilor prestate, înregistrate și, respectiv, achitate de către Companie. </w:t>
      </w:r>
    </w:p>
    <w:p w14:paraId="7B027F2F" w14:textId="24169CBE" w:rsidR="0066751C" w:rsidRPr="003F4D72" w:rsidRDefault="00E17C16" w:rsidP="0068189C">
      <w:pPr>
        <w:tabs>
          <w:tab w:val="left" w:pos="540"/>
          <w:tab w:val="left" w:pos="1560"/>
        </w:tabs>
        <w:spacing w:after="0" w:line="276" w:lineRule="auto"/>
        <w:ind w:firstLine="567"/>
        <w:jc w:val="both"/>
        <w:rPr>
          <w:rFonts w:asciiTheme="majorHAnsi" w:eastAsia="Batang" w:hAnsiTheme="majorHAnsi" w:cstheme="majorHAnsi"/>
          <w:sz w:val="24"/>
          <w:szCs w:val="28"/>
        </w:rPr>
      </w:pPr>
      <w:r w:rsidRPr="003F4D72">
        <w:rPr>
          <w:rFonts w:asciiTheme="majorHAnsi" w:hAnsiTheme="majorHAnsi" w:cstheme="majorHAnsi"/>
          <w:sz w:val="24"/>
        </w:rPr>
        <w:lastRenderedPageBreak/>
        <w:t xml:space="preserve">Ponderea cheltuielilor totale executate ale FAOAM în </w:t>
      </w:r>
      <w:r w:rsidRPr="003F4D72">
        <w:rPr>
          <w:rFonts w:asciiTheme="majorHAnsi" w:hAnsiTheme="majorHAnsi" w:cstheme="majorHAnsi"/>
          <w:sz w:val="24"/>
          <w:szCs w:val="24"/>
        </w:rPr>
        <w:t>Bugetul Public Național</w:t>
      </w:r>
      <w:r w:rsidRPr="003F4D72">
        <w:rPr>
          <w:rFonts w:asciiTheme="majorHAnsi" w:hAnsiTheme="majorHAnsi" w:cstheme="majorHAnsi"/>
          <w:sz w:val="24"/>
        </w:rPr>
        <w:t xml:space="preserve"> a constituit 11,5%, iar ponderea în </w:t>
      </w:r>
      <w:r w:rsidRPr="003F4D72">
        <w:rPr>
          <w:rFonts w:asciiTheme="majorHAnsi" w:hAnsiTheme="majorHAnsi" w:cstheme="majorHAnsi"/>
          <w:sz w:val="24"/>
          <w:szCs w:val="24"/>
        </w:rPr>
        <w:t>Produsul Intern Brut</w:t>
      </w:r>
      <w:r w:rsidRPr="003F4D72">
        <w:rPr>
          <w:rFonts w:asciiTheme="majorHAnsi" w:hAnsiTheme="majorHAnsi" w:cstheme="majorHAnsi"/>
          <w:sz w:val="24"/>
        </w:rPr>
        <w:t xml:space="preserve"> - 4,1%</w:t>
      </w:r>
      <w:r w:rsidR="00BD42B3" w:rsidRPr="003F4D72">
        <w:rPr>
          <w:rFonts w:asciiTheme="majorHAnsi" w:hAnsiTheme="majorHAnsi" w:cstheme="majorHAnsi"/>
          <w:sz w:val="24"/>
        </w:rPr>
        <w:t xml:space="preserve">, date reflectate în </w:t>
      </w:r>
      <w:r w:rsidR="00BF7DD3" w:rsidRPr="003F4D72">
        <w:rPr>
          <w:rFonts w:asciiTheme="majorHAnsi" w:hAnsiTheme="majorHAnsi" w:cstheme="majorHAnsi"/>
          <w:sz w:val="24"/>
        </w:rPr>
        <w:t>A</w:t>
      </w:r>
      <w:r w:rsidR="00BD42B3" w:rsidRPr="003F4D72">
        <w:rPr>
          <w:rFonts w:asciiTheme="majorHAnsi" w:hAnsiTheme="majorHAnsi" w:cstheme="majorHAnsi"/>
          <w:sz w:val="24"/>
        </w:rPr>
        <w:t>nexa nr.2</w:t>
      </w:r>
      <w:r w:rsidR="00BF7DD3" w:rsidRPr="003F4D72">
        <w:rPr>
          <w:rFonts w:asciiTheme="majorHAnsi" w:hAnsiTheme="majorHAnsi" w:cstheme="majorHAnsi"/>
          <w:sz w:val="24"/>
        </w:rPr>
        <w:t xml:space="preserve"> la prezentul Raport</w:t>
      </w:r>
      <w:r w:rsidRPr="003F4D72">
        <w:rPr>
          <w:rFonts w:asciiTheme="majorHAnsi" w:hAnsiTheme="majorHAnsi" w:cstheme="majorHAnsi"/>
          <w:sz w:val="24"/>
        </w:rPr>
        <w:t xml:space="preserve">. </w:t>
      </w:r>
      <w:r w:rsidR="00197E43" w:rsidRPr="003F4D72">
        <w:rPr>
          <w:rFonts w:asciiTheme="majorHAnsi" w:hAnsiTheme="majorHAnsi" w:cstheme="majorHAnsi"/>
          <w:sz w:val="24"/>
          <w:szCs w:val="24"/>
        </w:rPr>
        <w:t>C</w:t>
      </w:r>
      <w:r w:rsidR="0066751C" w:rsidRPr="003F4D72">
        <w:rPr>
          <w:rFonts w:asciiTheme="majorHAnsi" w:hAnsiTheme="majorHAnsi" w:cstheme="majorHAnsi"/>
          <w:sz w:val="24"/>
          <w:szCs w:val="24"/>
        </w:rPr>
        <w:t xml:space="preserve">heltuielile </w:t>
      </w:r>
      <w:r w:rsidR="00197E43" w:rsidRPr="003F4D72">
        <w:rPr>
          <w:rFonts w:asciiTheme="majorHAnsi" w:hAnsiTheme="majorHAnsi" w:cstheme="majorHAnsi"/>
          <w:sz w:val="24"/>
          <w:szCs w:val="24"/>
        </w:rPr>
        <w:t>FAOAM</w:t>
      </w:r>
      <w:r w:rsidR="0066751C" w:rsidRPr="003F4D72">
        <w:rPr>
          <w:rFonts w:asciiTheme="majorHAnsi" w:hAnsiTheme="majorHAnsi" w:cstheme="majorHAnsi"/>
          <w:sz w:val="24"/>
          <w:szCs w:val="24"/>
        </w:rPr>
        <w:t xml:space="preserve"> au fost executate în sumă de 8</w:t>
      </w:r>
      <w:r w:rsidR="007706DB" w:rsidRPr="003F4D72">
        <w:rPr>
          <w:rFonts w:asciiTheme="majorHAnsi" w:hAnsiTheme="majorHAnsi" w:cstheme="majorHAnsi"/>
          <w:sz w:val="24"/>
          <w:szCs w:val="24"/>
        </w:rPr>
        <w:t xml:space="preserve"> </w:t>
      </w:r>
      <w:r w:rsidR="008F6721" w:rsidRPr="003F4D72">
        <w:rPr>
          <w:rFonts w:asciiTheme="majorHAnsi" w:hAnsiTheme="majorHAnsi" w:cstheme="majorHAnsi"/>
          <w:sz w:val="24"/>
          <w:szCs w:val="24"/>
        </w:rPr>
        <w:t>405,5 mil.</w:t>
      </w:r>
      <w:r w:rsidR="0066751C" w:rsidRPr="003F4D72">
        <w:rPr>
          <w:rFonts w:asciiTheme="majorHAnsi" w:hAnsiTheme="majorHAnsi" w:cstheme="majorHAnsi"/>
          <w:sz w:val="24"/>
          <w:szCs w:val="24"/>
        </w:rPr>
        <w:t>lei, cu 511,9</w:t>
      </w:r>
      <w:r w:rsidR="008F6721" w:rsidRPr="003F4D72">
        <w:rPr>
          <w:rFonts w:asciiTheme="majorHAnsi" w:hAnsiTheme="majorHAnsi" w:cstheme="majorHAnsi"/>
          <w:sz w:val="24"/>
          <w:szCs w:val="24"/>
        </w:rPr>
        <w:t xml:space="preserve"> mil.</w:t>
      </w:r>
      <w:r w:rsidR="0066751C" w:rsidRPr="003F4D72">
        <w:rPr>
          <w:rFonts w:asciiTheme="majorHAnsi" w:hAnsiTheme="majorHAnsi" w:cstheme="majorHAnsi"/>
          <w:sz w:val="24"/>
          <w:szCs w:val="24"/>
        </w:rPr>
        <w:t>lei mai puțin decât nivelul precizat. A</w:t>
      </w:r>
      <w:r w:rsidR="0066751C" w:rsidRPr="003F4D72">
        <w:rPr>
          <w:rFonts w:asciiTheme="majorHAnsi" w:eastAsia="Batang" w:hAnsiTheme="majorHAnsi" w:cstheme="majorHAnsi"/>
          <w:sz w:val="24"/>
          <w:szCs w:val="28"/>
        </w:rPr>
        <w:t xml:space="preserve">ceste circumstanțe </w:t>
      </w:r>
      <w:r w:rsidR="007706DB" w:rsidRPr="003F4D72">
        <w:rPr>
          <w:rFonts w:asciiTheme="majorHAnsi" w:eastAsia="Batang" w:hAnsiTheme="majorHAnsi" w:cstheme="majorHAnsi"/>
          <w:sz w:val="24"/>
          <w:szCs w:val="28"/>
        </w:rPr>
        <w:t xml:space="preserve">au fost </w:t>
      </w:r>
      <w:r w:rsidR="0066751C" w:rsidRPr="003F4D72">
        <w:rPr>
          <w:rFonts w:asciiTheme="majorHAnsi" w:eastAsia="Batang" w:hAnsiTheme="majorHAnsi" w:cstheme="majorHAnsi"/>
          <w:sz w:val="24"/>
          <w:szCs w:val="28"/>
        </w:rPr>
        <w:t xml:space="preserve">generate de faptul că, în cadrul unor subprograme finanțate din contul mijloacelor </w:t>
      </w:r>
      <w:r w:rsidR="0066751C" w:rsidRPr="003F4D72">
        <w:rPr>
          <w:rFonts w:asciiTheme="majorHAnsi" w:hAnsiTheme="majorHAnsi" w:cstheme="majorHAnsi"/>
          <w:sz w:val="24"/>
          <w:szCs w:val="24"/>
        </w:rPr>
        <w:t>fondul</w:t>
      </w:r>
      <w:r w:rsidR="00BF7DD3" w:rsidRPr="003F4D72">
        <w:rPr>
          <w:rFonts w:asciiTheme="majorHAnsi" w:hAnsiTheme="majorHAnsi" w:cstheme="majorHAnsi"/>
          <w:sz w:val="24"/>
          <w:szCs w:val="24"/>
        </w:rPr>
        <w:t>ui</w:t>
      </w:r>
      <w:r w:rsidR="0066751C" w:rsidRPr="003F4D72">
        <w:rPr>
          <w:rFonts w:asciiTheme="majorHAnsi" w:hAnsiTheme="majorHAnsi" w:cstheme="majorHAnsi"/>
          <w:sz w:val="24"/>
          <w:szCs w:val="24"/>
        </w:rPr>
        <w:t xml:space="preserve"> pentru achitarea serviciilor medicale</w:t>
      </w:r>
      <w:r w:rsidR="0066751C" w:rsidRPr="003F4D72">
        <w:rPr>
          <w:rFonts w:asciiTheme="majorHAnsi" w:eastAsia="Batang" w:hAnsiTheme="majorHAnsi" w:cstheme="majorHAnsi"/>
          <w:sz w:val="24"/>
          <w:szCs w:val="28"/>
        </w:rPr>
        <w:t xml:space="preserve">, nu au fost realizate volumele de asistență medicală în sumă de 489,9 mil.lei, inclusiv: subprogramul </w:t>
      </w:r>
      <w:r w:rsidR="0066751C" w:rsidRPr="003F4D72">
        <w:rPr>
          <w:rFonts w:asciiTheme="majorHAnsi" w:hAnsiTheme="majorHAnsi" w:cstheme="majorHAnsi"/>
          <w:bCs/>
          <w:i/>
          <w:iCs/>
          <w:sz w:val="24"/>
          <w:szCs w:val="28"/>
        </w:rPr>
        <w:t xml:space="preserve">„Asistența medicală spitalicească” </w:t>
      </w:r>
      <w:r w:rsidR="0066751C" w:rsidRPr="003F4D72">
        <w:rPr>
          <w:rFonts w:asciiTheme="majorHAnsi" w:eastAsia="Batang" w:hAnsiTheme="majorHAnsi" w:cstheme="majorHAnsi"/>
          <w:sz w:val="24"/>
          <w:szCs w:val="28"/>
        </w:rPr>
        <w:t xml:space="preserve">– 272,2 mil.lei, subprogramul </w:t>
      </w:r>
      <w:r w:rsidR="0066751C" w:rsidRPr="003F4D72">
        <w:rPr>
          <w:rFonts w:asciiTheme="majorHAnsi" w:hAnsiTheme="majorHAnsi" w:cstheme="majorHAnsi"/>
          <w:bCs/>
          <w:i/>
          <w:iCs/>
          <w:sz w:val="24"/>
          <w:szCs w:val="28"/>
        </w:rPr>
        <w:t xml:space="preserve">„Asistența medicală primară” – </w:t>
      </w:r>
      <w:r w:rsidR="0066751C" w:rsidRPr="003F4D72">
        <w:rPr>
          <w:rFonts w:asciiTheme="majorHAnsi" w:hAnsiTheme="majorHAnsi" w:cstheme="majorHAnsi"/>
          <w:bCs/>
          <w:iCs/>
          <w:sz w:val="24"/>
          <w:szCs w:val="28"/>
        </w:rPr>
        <w:t>115,4 mil.lei</w:t>
      </w:r>
      <w:r w:rsidR="0066751C" w:rsidRPr="003F4D72">
        <w:rPr>
          <w:rFonts w:asciiTheme="majorHAnsi" w:hAnsiTheme="majorHAnsi" w:cstheme="majorHAnsi"/>
          <w:bCs/>
          <w:i/>
          <w:iCs/>
          <w:sz w:val="24"/>
          <w:szCs w:val="28"/>
        </w:rPr>
        <w:t xml:space="preserve"> (inclusiv medicamente compensate </w:t>
      </w:r>
      <w:r w:rsidR="00BF7DD3" w:rsidRPr="003F4D72">
        <w:rPr>
          <w:rFonts w:asciiTheme="majorHAnsi" w:hAnsiTheme="majorHAnsi" w:cstheme="majorHAnsi"/>
          <w:bCs/>
          <w:i/>
          <w:iCs/>
          <w:sz w:val="24"/>
          <w:szCs w:val="28"/>
        </w:rPr>
        <w:t>–</w:t>
      </w:r>
      <w:r w:rsidR="0066751C" w:rsidRPr="003F4D72">
        <w:rPr>
          <w:rFonts w:asciiTheme="majorHAnsi" w:hAnsiTheme="majorHAnsi" w:cstheme="majorHAnsi"/>
          <w:bCs/>
          <w:i/>
          <w:iCs/>
          <w:sz w:val="24"/>
          <w:szCs w:val="28"/>
        </w:rPr>
        <w:t xml:space="preserve"> </w:t>
      </w:r>
      <w:r w:rsidR="0066751C" w:rsidRPr="003F4D72">
        <w:rPr>
          <w:rFonts w:asciiTheme="majorHAnsi" w:hAnsiTheme="majorHAnsi" w:cstheme="majorHAnsi"/>
          <w:bCs/>
          <w:iCs/>
          <w:sz w:val="24"/>
          <w:szCs w:val="28"/>
        </w:rPr>
        <w:t>77,1 mil.lei</w:t>
      </w:r>
      <w:r w:rsidR="0066751C" w:rsidRPr="003F4D72">
        <w:rPr>
          <w:rFonts w:asciiTheme="majorHAnsi" w:hAnsiTheme="majorHAnsi" w:cstheme="majorHAnsi"/>
          <w:bCs/>
          <w:i/>
          <w:iCs/>
          <w:sz w:val="24"/>
          <w:szCs w:val="28"/>
        </w:rPr>
        <w:t>),</w:t>
      </w:r>
      <w:r w:rsidR="00815A71" w:rsidRPr="003F4D72">
        <w:rPr>
          <w:rFonts w:asciiTheme="majorHAnsi" w:hAnsiTheme="majorHAnsi" w:cstheme="majorHAnsi"/>
          <w:bCs/>
          <w:i/>
          <w:iCs/>
          <w:sz w:val="24"/>
          <w:szCs w:val="28"/>
        </w:rPr>
        <w:t xml:space="preserve">  </w:t>
      </w:r>
      <w:r w:rsidR="0066751C" w:rsidRPr="003F4D72">
        <w:rPr>
          <w:rFonts w:asciiTheme="majorHAnsi" w:eastAsia="Batang" w:hAnsiTheme="majorHAnsi" w:cstheme="majorHAnsi"/>
          <w:sz w:val="24"/>
          <w:szCs w:val="28"/>
        </w:rPr>
        <w:t>subprogramul „</w:t>
      </w:r>
      <w:r w:rsidR="0066751C" w:rsidRPr="003F4D72">
        <w:rPr>
          <w:rFonts w:asciiTheme="majorHAnsi" w:eastAsia="Batang" w:hAnsiTheme="majorHAnsi" w:cstheme="majorHAnsi"/>
          <w:i/>
          <w:sz w:val="24"/>
          <w:szCs w:val="28"/>
        </w:rPr>
        <w:t>Servicii medicale de înaltă performanță</w:t>
      </w:r>
      <w:r w:rsidR="0066751C" w:rsidRPr="003F4D72">
        <w:rPr>
          <w:rFonts w:asciiTheme="majorHAnsi" w:eastAsia="Batang" w:hAnsiTheme="majorHAnsi" w:cstheme="majorHAnsi"/>
          <w:sz w:val="24"/>
          <w:szCs w:val="28"/>
        </w:rPr>
        <w:t>” – 45,8 mil.lei</w:t>
      </w:r>
      <w:r w:rsidR="00BF7DD3" w:rsidRPr="003F4D72">
        <w:rPr>
          <w:rFonts w:asciiTheme="majorHAnsi" w:eastAsia="Batang" w:hAnsiTheme="majorHAnsi" w:cstheme="majorHAnsi"/>
          <w:sz w:val="24"/>
          <w:szCs w:val="28"/>
        </w:rPr>
        <w:t>,</w:t>
      </w:r>
      <w:r w:rsidR="0066751C" w:rsidRPr="003F4D72">
        <w:rPr>
          <w:rFonts w:asciiTheme="majorHAnsi" w:eastAsia="Batang" w:hAnsiTheme="majorHAnsi" w:cstheme="majorHAnsi"/>
          <w:sz w:val="24"/>
          <w:szCs w:val="28"/>
        </w:rPr>
        <w:t xml:space="preserve"> subprogramul </w:t>
      </w:r>
      <w:r w:rsidR="0066751C" w:rsidRPr="003F4D72">
        <w:rPr>
          <w:rFonts w:asciiTheme="majorHAnsi" w:hAnsiTheme="majorHAnsi" w:cstheme="majorHAnsi"/>
          <w:bCs/>
          <w:i/>
          <w:iCs/>
          <w:sz w:val="24"/>
          <w:szCs w:val="28"/>
        </w:rPr>
        <w:t xml:space="preserve">„Asistența medicală specializată de ambulatoriu” </w:t>
      </w:r>
      <w:r w:rsidR="0066751C" w:rsidRPr="003F4D72">
        <w:rPr>
          <w:rFonts w:asciiTheme="majorHAnsi" w:eastAsia="Batang" w:hAnsiTheme="majorHAnsi" w:cstheme="majorHAnsi"/>
          <w:sz w:val="24"/>
          <w:szCs w:val="28"/>
        </w:rPr>
        <w:t xml:space="preserve">– 33,6 mil.lei, subprogramul </w:t>
      </w:r>
      <w:r w:rsidR="0066751C" w:rsidRPr="003F4D72">
        <w:rPr>
          <w:rFonts w:asciiTheme="majorHAnsi" w:hAnsiTheme="majorHAnsi" w:cstheme="majorHAnsi"/>
          <w:bCs/>
          <w:i/>
          <w:iCs/>
          <w:sz w:val="24"/>
          <w:szCs w:val="28"/>
        </w:rPr>
        <w:t xml:space="preserve">„Asistența medicală urgentă prespitalicească” – </w:t>
      </w:r>
      <w:r w:rsidR="008F6721" w:rsidRPr="003F4D72">
        <w:rPr>
          <w:rFonts w:asciiTheme="majorHAnsi" w:hAnsiTheme="majorHAnsi" w:cstheme="majorHAnsi"/>
          <w:bCs/>
          <w:iCs/>
          <w:sz w:val="24"/>
          <w:szCs w:val="28"/>
        </w:rPr>
        <w:t xml:space="preserve">14,5 </w:t>
      </w:r>
      <w:r w:rsidR="0066751C" w:rsidRPr="003F4D72">
        <w:rPr>
          <w:rFonts w:asciiTheme="majorHAnsi" w:hAnsiTheme="majorHAnsi" w:cstheme="majorHAnsi"/>
          <w:bCs/>
          <w:iCs/>
          <w:sz w:val="24"/>
          <w:szCs w:val="28"/>
        </w:rPr>
        <w:t>mil.lei</w:t>
      </w:r>
      <w:r w:rsidR="00BF7DD3" w:rsidRPr="003F4D72">
        <w:rPr>
          <w:rFonts w:asciiTheme="majorHAnsi" w:hAnsiTheme="majorHAnsi" w:cstheme="majorHAnsi"/>
          <w:bCs/>
          <w:iCs/>
          <w:sz w:val="24"/>
          <w:szCs w:val="28"/>
        </w:rPr>
        <w:t>,</w:t>
      </w:r>
      <w:r w:rsidR="00815A71" w:rsidRPr="003F4D72">
        <w:rPr>
          <w:rFonts w:asciiTheme="majorHAnsi" w:hAnsiTheme="majorHAnsi" w:cstheme="majorHAnsi"/>
          <w:bCs/>
          <w:i/>
          <w:iCs/>
          <w:sz w:val="24"/>
          <w:szCs w:val="28"/>
        </w:rPr>
        <w:t xml:space="preserve">  </w:t>
      </w:r>
      <w:r w:rsidR="0066751C" w:rsidRPr="003F4D72">
        <w:rPr>
          <w:rFonts w:asciiTheme="majorHAnsi" w:eastAsia="Batang" w:hAnsiTheme="majorHAnsi" w:cstheme="majorHAnsi"/>
          <w:sz w:val="24"/>
          <w:szCs w:val="28"/>
        </w:rPr>
        <w:t>și</w:t>
      </w:r>
      <w:r w:rsidR="00815A71" w:rsidRPr="003F4D72">
        <w:rPr>
          <w:rFonts w:asciiTheme="majorHAnsi" w:eastAsia="Batang" w:hAnsiTheme="majorHAnsi" w:cstheme="majorHAnsi"/>
          <w:sz w:val="24"/>
          <w:szCs w:val="28"/>
        </w:rPr>
        <w:t xml:space="preserve">  </w:t>
      </w:r>
      <w:r w:rsidR="0066751C" w:rsidRPr="003F4D72">
        <w:rPr>
          <w:rFonts w:asciiTheme="majorHAnsi" w:eastAsia="Batang" w:hAnsiTheme="majorHAnsi" w:cstheme="majorHAnsi"/>
          <w:sz w:val="24"/>
          <w:szCs w:val="28"/>
        </w:rPr>
        <w:t xml:space="preserve">subprogramul </w:t>
      </w:r>
      <w:r w:rsidR="0066751C" w:rsidRPr="003F4D72">
        <w:rPr>
          <w:rFonts w:asciiTheme="majorHAnsi" w:hAnsiTheme="majorHAnsi" w:cstheme="majorHAnsi"/>
          <w:bCs/>
          <w:i/>
          <w:iCs/>
          <w:sz w:val="24"/>
          <w:szCs w:val="28"/>
        </w:rPr>
        <w:t xml:space="preserve">„Îngrijiri medicale comunitare </w:t>
      </w:r>
      <w:proofErr w:type="spellStart"/>
      <w:r w:rsidR="0066751C" w:rsidRPr="003F4D72">
        <w:rPr>
          <w:rFonts w:asciiTheme="majorHAnsi" w:hAnsiTheme="majorHAnsi" w:cstheme="majorHAnsi"/>
          <w:bCs/>
          <w:i/>
          <w:iCs/>
          <w:sz w:val="24"/>
          <w:szCs w:val="28"/>
        </w:rPr>
        <w:t>şi</w:t>
      </w:r>
      <w:proofErr w:type="spellEnd"/>
      <w:r w:rsidR="0066751C" w:rsidRPr="003F4D72">
        <w:rPr>
          <w:rFonts w:asciiTheme="majorHAnsi" w:hAnsiTheme="majorHAnsi" w:cstheme="majorHAnsi"/>
          <w:bCs/>
          <w:i/>
          <w:iCs/>
          <w:sz w:val="24"/>
          <w:szCs w:val="28"/>
        </w:rPr>
        <w:t xml:space="preserve"> la domiciliu” </w:t>
      </w:r>
      <w:r w:rsidR="0066751C" w:rsidRPr="003F4D72">
        <w:rPr>
          <w:rFonts w:asciiTheme="majorHAnsi" w:eastAsia="Batang" w:hAnsiTheme="majorHAnsi" w:cstheme="majorHAnsi"/>
          <w:sz w:val="24"/>
          <w:szCs w:val="28"/>
        </w:rPr>
        <w:t>–</w:t>
      </w:r>
      <w:r w:rsidR="0058559B" w:rsidRPr="003F4D72">
        <w:rPr>
          <w:rFonts w:asciiTheme="majorHAnsi" w:eastAsia="Batang" w:hAnsiTheme="majorHAnsi" w:cstheme="majorHAnsi"/>
          <w:sz w:val="24"/>
          <w:szCs w:val="28"/>
        </w:rPr>
        <w:t xml:space="preserve"> </w:t>
      </w:r>
      <w:r w:rsidR="0066751C" w:rsidRPr="003F4D72">
        <w:rPr>
          <w:rFonts w:asciiTheme="majorHAnsi" w:eastAsia="Batang" w:hAnsiTheme="majorHAnsi" w:cstheme="majorHAnsi"/>
          <w:sz w:val="24"/>
          <w:szCs w:val="28"/>
        </w:rPr>
        <w:t xml:space="preserve">8,4 mil.lei. </w:t>
      </w:r>
    </w:p>
    <w:p w14:paraId="1A4C32A9" w14:textId="77777777" w:rsidR="0068189C" w:rsidRPr="003F4D72" w:rsidRDefault="0068189C" w:rsidP="0068189C">
      <w:pPr>
        <w:spacing w:after="0" w:line="276" w:lineRule="auto"/>
        <w:ind w:firstLine="720"/>
        <w:jc w:val="both"/>
        <w:rPr>
          <w:rFonts w:asciiTheme="majorHAnsi" w:hAnsiTheme="majorHAnsi" w:cstheme="majorHAnsi"/>
          <w:sz w:val="24"/>
          <w:szCs w:val="24"/>
          <w:shd w:val="clear" w:color="auto" w:fill="FFFFFF"/>
        </w:rPr>
      </w:pPr>
      <w:r w:rsidRPr="003F4D72">
        <w:rPr>
          <w:rFonts w:asciiTheme="majorHAnsi" w:hAnsiTheme="majorHAnsi" w:cstheme="majorHAnsi"/>
          <w:sz w:val="24"/>
          <w:szCs w:val="24"/>
          <w:shd w:val="clear" w:color="auto" w:fill="FFFFFF"/>
        </w:rPr>
        <w:t xml:space="preserve">În scopul realizării asigurării obligatorii de </w:t>
      </w:r>
      <w:proofErr w:type="spellStart"/>
      <w:r w:rsidRPr="003F4D72">
        <w:rPr>
          <w:rFonts w:asciiTheme="majorHAnsi" w:hAnsiTheme="majorHAnsi" w:cstheme="majorHAnsi"/>
          <w:sz w:val="24"/>
          <w:szCs w:val="24"/>
          <w:shd w:val="clear" w:color="auto" w:fill="FFFFFF"/>
        </w:rPr>
        <w:t>asistenţă</w:t>
      </w:r>
      <w:proofErr w:type="spellEnd"/>
      <w:r w:rsidRPr="003F4D72">
        <w:rPr>
          <w:rFonts w:asciiTheme="majorHAnsi" w:hAnsiTheme="majorHAnsi" w:cstheme="majorHAnsi"/>
          <w:sz w:val="24"/>
          <w:szCs w:val="24"/>
          <w:shd w:val="clear" w:color="auto" w:fill="FFFFFF"/>
        </w:rPr>
        <w:t xml:space="preserve"> medicală, Compania Națională de Asigurări în Medicină constituie, din contul mijloacelor totale acumulate, și gestionează următoarele 5 fonduri</w:t>
      </w:r>
      <w:r w:rsidRPr="003F4D72">
        <w:rPr>
          <w:rFonts w:asciiTheme="majorHAnsi" w:hAnsiTheme="majorHAnsi" w:cstheme="majorHAnsi"/>
          <w:sz w:val="24"/>
          <w:szCs w:val="24"/>
          <w:shd w:val="clear" w:color="auto" w:fill="FFFFFF"/>
          <w:vertAlign w:val="superscript"/>
        </w:rPr>
        <w:footnoteReference w:id="7"/>
      </w:r>
      <w:r w:rsidRPr="003F4D72">
        <w:rPr>
          <w:rFonts w:asciiTheme="majorHAnsi" w:hAnsiTheme="majorHAnsi" w:cstheme="majorHAnsi"/>
          <w:sz w:val="24"/>
          <w:szCs w:val="24"/>
          <w:shd w:val="clear" w:color="auto" w:fill="FFFFFF"/>
        </w:rPr>
        <w:t>:</w:t>
      </w:r>
    </w:p>
    <w:p w14:paraId="78403FC7" w14:textId="77777777" w:rsidR="0068189C" w:rsidRPr="003F4D72" w:rsidRDefault="0068189C" w:rsidP="0068189C">
      <w:pPr>
        <w:spacing w:after="0" w:line="276" w:lineRule="auto"/>
        <w:ind w:firstLine="142"/>
        <w:jc w:val="both"/>
        <w:rPr>
          <w:rFonts w:asciiTheme="majorHAnsi" w:hAnsiTheme="majorHAnsi" w:cstheme="majorHAnsi"/>
          <w:color w:val="333333"/>
          <w:sz w:val="24"/>
          <w:szCs w:val="24"/>
          <w:shd w:val="clear" w:color="auto" w:fill="FFFFFF"/>
        </w:rPr>
      </w:pPr>
      <w:r w:rsidRPr="003F4D72">
        <w:rPr>
          <w:rFonts w:asciiTheme="majorHAnsi" w:hAnsiTheme="majorHAnsi" w:cstheme="majorHAnsi"/>
          <w:noProof/>
          <w:sz w:val="28"/>
          <w:szCs w:val="28"/>
          <w:lang w:val="en-US"/>
        </w:rPr>
        <w:drawing>
          <wp:inline distT="0" distB="0" distL="0" distR="0" wp14:anchorId="21BEA02E" wp14:editId="304CD720">
            <wp:extent cx="5556250" cy="1104680"/>
            <wp:effectExtent l="57150" t="38100" r="63500" b="9588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3DBB2F2" w14:textId="37EE4A25" w:rsidR="0068189C" w:rsidRPr="003F4D72" w:rsidRDefault="00AB4EC3" w:rsidP="0068189C">
      <w:pPr>
        <w:spacing w:after="0" w:line="276" w:lineRule="auto"/>
        <w:jc w:val="center"/>
        <w:rPr>
          <w:rFonts w:asciiTheme="majorHAnsi" w:hAnsiTheme="majorHAnsi" w:cstheme="majorHAnsi"/>
          <w:b/>
          <w:sz w:val="20"/>
          <w:szCs w:val="16"/>
        </w:rPr>
      </w:pPr>
      <w:r w:rsidRPr="003F4D72">
        <w:rPr>
          <w:rFonts w:asciiTheme="majorHAnsi" w:hAnsiTheme="majorHAnsi" w:cstheme="majorHAnsi"/>
          <w:b/>
          <w:i/>
          <w:sz w:val="20"/>
          <w:szCs w:val="16"/>
        </w:rPr>
        <w:t>Figura nr.1</w:t>
      </w:r>
      <w:r w:rsidR="0068189C" w:rsidRPr="003F4D72">
        <w:rPr>
          <w:rFonts w:asciiTheme="majorHAnsi" w:hAnsiTheme="majorHAnsi" w:cstheme="majorHAnsi"/>
          <w:b/>
          <w:i/>
          <w:sz w:val="20"/>
          <w:szCs w:val="16"/>
        </w:rPr>
        <w:t xml:space="preserve">. </w:t>
      </w:r>
      <w:r w:rsidR="0068189C" w:rsidRPr="003F4D72">
        <w:rPr>
          <w:rFonts w:asciiTheme="majorHAnsi" w:hAnsiTheme="majorHAnsi" w:cstheme="majorHAnsi"/>
          <w:b/>
          <w:sz w:val="20"/>
          <w:szCs w:val="16"/>
        </w:rPr>
        <w:t>Componența fondurilor asigurării obligatorii de asistență medicală.</w:t>
      </w:r>
    </w:p>
    <w:p w14:paraId="2E6CDF48" w14:textId="77777777" w:rsidR="0068189C" w:rsidRPr="003F4D72" w:rsidRDefault="0068189C" w:rsidP="0068189C">
      <w:pPr>
        <w:spacing w:after="0" w:line="276" w:lineRule="auto"/>
        <w:jc w:val="center"/>
        <w:rPr>
          <w:rFonts w:asciiTheme="majorHAnsi" w:hAnsiTheme="majorHAnsi" w:cstheme="majorHAnsi"/>
          <w:i/>
          <w:sz w:val="20"/>
          <w:szCs w:val="16"/>
        </w:rPr>
      </w:pPr>
      <w:r w:rsidRPr="003F4D72">
        <w:rPr>
          <w:rFonts w:asciiTheme="majorHAnsi" w:hAnsiTheme="majorHAnsi" w:cstheme="majorHAnsi"/>
          <w:b/>
          <w:i/>
          <w:sz w:val="20"/>
          <w:szCs w:val="16"/>
        </w:rPr>
        <w:t>Sursă:</w:t>
      </w:r>
      <w:r w:rsidRPr="003F4D72">
        <w:rPr>
          <w:rFonts w:asciiTheme="majorHAnsi" w:hAnsiTheme="majorHAnsi" w:cstheme="majorHAnsi"/>
          <w:i/>
          <w:sz w:val="20"/>
          <w:szCs w:val="16"/>
        </w:rPr>
        <w:t xml:space="preserve"> Întocmit de către auditor.</w:t>
      </w:r>
    </w:p>
    <w:p w14:paraId="6405F8BE" w14:textId="77777777" w:rsidR="0068189C" w:rsidRPr="003F4D72" w:rsidRDefault="0068189C" w:rsidP="0066751C">
      <w:pPr>
        <w:tabs>
          <w:tab w:val="left" w:pos="540"/>
          <w:tab w:val="left" w:pos="1560"/>
        </w:tabs>
        <w:spacing w:after="0" w:line="276" w:lineRule="auto"/>
        <w:ind w:firstLine="567"/>
        <w:jc w:val="both"/>
        <w:rPr>
          <w:rFonts w:asciiTheme="majorHAnsi" w:eastAsia="Batang" w:hAnsiTheme="majorHAnsi" w:cstheme="majorHAnsi"/>
          <w:sz w:val="24"/>
          <w:szCs w:val="28"/>
        </w:rPr>
      </w:pPr>
    </w:p>
    <w:p w14:paraId="0FC2F621" w14:textId="1287DC79" w:rsidR="00AB4EC3" w:rsidRPr="003F4D72" w:rsidRDefault="00AB4EC3" w:rsidP="00AB4EC3">
      <w:pPr>
        <w:spacing w:after="0" w:line="276" w:lineRule="auto"/>
        <w:ind w:firstLine="567"/>
        <w:jc w:val="both"/>
        <w:rPr>
          <w:rFonts w:asciiTheme="majorHAnsi" w:hAnsiTheme="majorHAnsi" w:cstheme="majorHAnsi"/>
          <w:b/>
          <w:bCs/>
          <w:sz w:val="24"/>
          <w:szCs w:val="24"/>
        </w:rPr>
      </w:pPr>
      <w:r w:rsidRPr="003F4D72">
        <w:rPr>
          <w:rFonts w:asciiTheme="majorHAnsi" w:hAnsiTheme="majorHAnsi" w:cstheme="majorHAnsi"/>
          <w:sz w:val="24"/>
          <w:szCs w:val="24"/>
        </w:rPr>
        <w:t xml:space="preserve">În anul 2020, ponderea cea mai semnificativă în totalul cheltuielilor executate de 8 405,5 mil.lei revine cheltuielilor pentru achitarea serviciilor medicale curente, care au constituit 8 270,1 </w:t>
      </w:r>
      <w:r w:rsidR="003C46D4" w:rsidRPr="003F4D72">
        <w:rPr>
          <w:rFonts w:asciiTheme="majorHAnsi" w:hAnsiTheme="majorHAnsi" w:cstheme="majorHAnsi"/>
          <w:sz w:val="24"/>
          <w:szCs w:val="24"/>
        </w:rPr>
        <w:t>mil.lei (98%), date prezentate î</w:t>
      </w:r>
      <w:r w:rsidRPr="003F4D72">
        <w:rPr>
          <w:rFonts w:asciiTheme="majorHAnsi" w:hAnsiTheme="majorHAnsi" w:cstheme="majorHAnsi"/>
          <w:sz w:val="24"/>
          <w:szCs w:val="24"/>
        </w:rPr>
        <w:t>n tabelul de mai jos:</w:t>
      </w:r>
    </w:p>
    <w:p w14:paraId="48A7723E" w14:textId="77777777" w:rsidR="00AB4EC3" w:rsidRPr="003F4D72" w:rsidRDefault="00AB4EC3" w:rsidP="00AB4EC3">
      <w:pPr>
        <w:spacing w:after="0" w:line="276" w:lineRule="auto"/>
        <w:ind w:firstLine="567"/>
        <w:jc w:val="both"/>
        <w:rPr>
          <w:rFonts w:asciiTheme="majorHAnsi" w:eastAsia="Times New Roman" w:hAnsiTheme="majorHAnsi" w:cstheme="majorHAnsi"/>
          <w:iCs/>
          <w:sz w:val="24"/>
          <w:szCs w:val="24"/>
        </w:rPr>
      </w:pPr>
    </w:p>
    <w:p w14:paraId="128D0812" w14:textId="0121D152" w:rsidR="00AB4EC3" w:rsidRPr="003F4D72" w:rsidRDefault="00AB4EC3" w:rsidP="00AB4EC3">
      <w:pPr>
        <w:spacing w:after="0" w:line="276" w:lineRule="auto"/>
        <w:ind w:firstLine="567"/>
        <w:jc w:val="center"/>
        <w:rPr>
          <w:rFonts w:asciiTheme="majorHAnsi" w:eastAsia="Times New Roman" w:hAnsiTheme="majorHAnsi" w:cstheme="majorHAnsi"/>
          <w:b/>
          <w:iCs/>
          <w:sz w:val="24"/>
          <w:szCs w:val="24"/>
        </w:rPr>
      </w:pPr>
      <w:r w:rsidRPr="003F4D72">
        <w:rPr>
          <w:rFonts w:asciiTheme="majorHAnsi" w:eastAsia="Times New Roman" w:hAnsiTheme="majorHAnsi" w:cstheme="majorHAnsi"/>
          <w:b/>
          <w:iCs/>
          <w:sz w:val="24"/>
          <w:szCs w:val="24"/>
        </w:rPr>
        <w:t>Dinamica cheltuielilor fondurilor asigurări</w:t>
      </w:r>
      <w:r w:rsidR="000E0D14" w:rsidRPr="003F4D72">
        <w:rPr>
          <w:rFonts w:asciiTheme="majorHAnsi" w:eastAsia="Times New Roman" w:hAnsiTheme="majorHAnsi" w:cstheme="majorHAnsi"/>
          <w:b/>
          <w:iCs/>
          <w:sz w:val="24"/>
          <w:szCs w:val="24"/>
        </w:rPr>
        <w:t>i</w:t>
      </w:r>
      <w:r w:rsidRPr="003F4D72">
        <w:rPr>
          <w:rFonts w:asciiTheme="majorHAnsi" w:eastAsia="Times New Roman" w:hAnsiTheme="majorHAnsi" w:cstheme="majorHAnsi"/>
          <w:b/>
          <w:iCs/>
          <w:sz w:val="24"/>
          <w:szCs w:val="24"/>
        </w:rPr>
        <w:t xml:space="preserve"> obligatorii de asistență medicală în anul 2020, în comparație cu anii 2018 și 2019</w:t>
      </w:r>
    </w:p>
    <w:p w14:paraId="1A359A79" w14:textId="3A5A9B1A" w:rsidR="00E139AE" w:rsidRPr="003F4D72" w:rsidRDefault="00E139AE" w:rsidP="00752A33">
      <w:pPr>
        <w:spacing w:after="0" w:line="276" w:lineRule="auto"/>
        <w:jc w:val="right"/>
        <w:rPr>
          <w:rFonts w:asciiTheme="majorHAnsi" w:hAnsiTheme="majorHAnsi" w:cstheme="majorHAnsi"/>
          <w:sz w:val="20"/>
          <w:szCs w:val="24"/>
        </w:rPr>
      </w:pPr>
      <w:r w:rsidRPr="003F4D72">
        <w:rPr>
          <w:rFonts w:asciiTheme="majorHAnsi" w:eastAsia="Times New Roman" w:hAnsiTheme="majorHAnsi" w:cstheme="majorHAnsi"/>
          <w:sz w:val="20"/>
          <w:szCs w:val="24"/>
        </w:rPr>
        <w:t>Tabelul nr.</w:t>
      </w:r>
      <w:r w:rsidR="00AB4EC3" w:rsidRPr="003F4D72">
        <w:rPr>
          <w:rFonts w:asciiTheme="majorHAnsi" w:eastAsia="Times New Roman" w:hAnsiTheme="majorHAnsi" w:cstheme="majorHAnsi"/>
          <w:sz w:val="20"/>
          <w:szCs w:val="24"/>
        </w:rPr>
        <w:t>2</w:t>
      </w:r>
      <w:r w:rsidR="00EB0A52" w:rsidRPr="003F4D72">
        <w:rPr>
          <w:rFonts w:asciiTheme="majorHAnsi" w:eastAsia="Times New Roman" w:hAnsiTheme="majorHAnsi" w:cstheme="majorHAnsi"/>
          <w:sz w:val="20"/>
          <w:szCs w:val="24"/>
        </w:rPr>
        <w:t>,</w:t>
      </w:r>
      <w:r w:rsidR="00815A71" w:rsidRPr="003F4D72">
        <w:rPr>
          <w:rFonts w:asciiTheme="majorHAnsi" w:eastAsia="Times New Roman" w:hAnsiTheme="majorHAnsi" w:cstheme="majorHAnsi"/>
          <w:sz w:val="20"/>
          <w:szCs w:val="24"/>
        </w:rPr>
        <w:t xml:space="preserve"> </w:t>
      </w:r>
      <w:r w:rsidR="00EB0A52" w:rsidRPr="003F4D72">
        <w:rPr>
          <w:rFonts w:asciiTheme="majorHAnsi" w:eastAsia="Times New Roman" w:hAnsiTheme="majorHAnsi" w:cstheme="majorHAnsi"/>
          <w:sz w:val="20"/>
          <w:szCs w:val="24"/>
        </w:rPr>
        <w:t>mil.lei</w:t>
      </w:r>
    </w:p>
    <w:tbl>
      <w:tblPr>
        <w:tblStyle w:val="GridTable1Light"/>
        <w:tblW w:w="9443" w:type="dxa"/>
        <w:tblLook w:val="04A0" w:firstRow="1" w:lastRow="0" w:firstColumn="1" w:lastColumn="0" w:noHBand="0" w:noVBand="1"/>
      </w:tblPr>
      <w:tblGrid>
        <w:gridCol w:w="2856"/>
        <w:gridCol w:w="960"/>
        <w:gridCol w:w="933"/>
        <w:gridCol w:w="866"/>
        <w:gridCol w:w="816"/>
        <w:gridCol w:w="1143"/>
        <w:gridCol w:w="772"/>
        <w:gridCol w:w="1097"/>
      </w:tblGrid>
      <w:tr w:rsidR="00E139AE" w:rsidRPr="003F4D72" w14:paraId="2553948D" w14:textId="77777777" w:rsidTr="00A220E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101" w:type="dxa"/>
            <w:vMerge w:val="restart"/>
            <w:hideMark/>
          </w:tcPr>
          <w:p w14:paraId="1573C710" w14:textId="77777777" w:rsidR="00E139AE" w:rsidRPr="003F4D72" w:rsidRDefault="00E139AE" w:rsidP="00DF6811">
            <w:pPr>
              <w:jc w:val="center"/>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Indicatori</w:t>
            </w:r>
          </w:p>
        </w:tc>
        <w:tc>
          <w:tcPr>
            <w:tcW w:w="2827" w:type="dxa"/>
            <w:gridSpan w:val="3"/>
            <w:hideMark/>
          </w:tcPr>
          <w:p w14:paraId="15A85FA5" w14:textId="77777777" w:rsidR="00E139AE" w:rsidRPr="003F4D72" w:rsidRDefault="00E139AE" w:rsidP="00DF68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Anii</w:t>
            </w:r>
          </w:p>
        </w:tc>
        <w:tc>
          <w:tcPr>
            <w:tcW w:w="1778" w:type="dxa"/>
            <w:gridSpan w:val="2"/>
            <w:hideMark/>
          </w:tcPr>
          <w:p w14:paraId="776A0492" w14:textId="38338097" w:rsidR="00E139AE" w:rsidRPr="003F4D72" w:rsidRDefault="00E139AE" w:rsidP="00DF68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Devieri</w:t>
            </w:r>
            <w:r w:rsidR="00815A71" w:rsidRPr="003F4D72">
              <w:rPr>
                <w:rFonts w:asciiTheme="majorHAnsi" w:hAnsiTheme="majorHAnsi" w:cstheme="majorHAnsi"/>
                <w:color w:val="000000"/>
                <w:sz w:val="20"/>
                <w:szCs w:val="20"/>
              </w:rPr>
              <w:t>,</w:t>
            </w:r>
            <w:r w:rsidRPr="003F4D72">
              <w:rPr>
                <w:rFonts w:asciiTheme="majorHAnsi" w:hAnsiTheme="majorHAnsi" w:cstheme="majorHAnsi"/>
                <w:color w:val="000000"/>
                <w:sz w:val="20"/>
                <w:szCs w:val="20"/>
              </w:rPr>
              <w:t xml:space="preserve"> 2020/2019</w:t>
            </w:r>
          </w:p>
        </w:tc>
        <w:tc>
          <w:tcPr>
            <w:tcW w:w="1737" w:type="dxa"/>
            <w:gridSpan w:val="2"/>
            <w:hideMark/>
          </w:tcPr>
          <w:p w14:paraId="393E47C1" w14:textId="76BF1601" w:rsidR="00E139AE" w:rsidRPr="003F4D72" w:rsidRDefault="00E139AE" w:rsidP="00DF68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Devieri</w:t>
            </w:r>
            <w:r w:rsidR="00815A71" w:rsidRPr="003F4D72">
              <w:rPr>
                <w:rFonts w:asciiTheme="majorHAnsi" w:hAnsiTheme="majorHAnsi" w:cstheme="majorHAnsi"/>
                <w:color w:val="000000"/>
                <w:sz w:val="20"/>
                <w:szCs w:val="20"/>
              </w:rPr>
              <w:t>,</w:t>
            </w:r>
            <w:r w:rsidRPr="003F4D72">
              <w:rPr>
                <w:rFonts w:asciiTheme="majorHAnsi" w:hAnsiTheme="majorHAnsi" w:cstheme="majorHAnsi"/>
                <w:color w:val="000000"/>
                <w:sz w:val="20"/>
                <w:szCs w:val="20"/>
              </w:rPr>
              <w:t xml:space="preserve"> 2020/2018</w:t>
            </w:r>
          </w:p>
        </w:tc>
      </w:tr>
      <w:tr w:rsidR="00E139AE" w:rsidRPr="003F4D72" w14:paraId="0B47F30C" w14:textId="77777777" w:rsidTr="00A220EE">
        <w:trPr>
          <w:trHeight w:val="488"/>
        </w:trPr>
        <w:tc>
          <w:tcPr>
            <w:cnfStyle w:val="001000000000" w:firstRow="0" w:lastRow="0" w:firstColumn="1" w:lastColumn="0" w:oddVBand="0" w:evenVBand="0" w:oddHBand="0" w:evenHBand="0" w:firstRowFirstColumn="0" w:firstRowLastColumn="0" w:lastRowFirstColumn="0" w:lastRowLastColumn="0"/>
            <w:tcW w:w="3101" w:type="dxa"/>
            <w:vMerge/>
            <w:hideMark/>
          </w:tcPr>
          <w:p w14:paraId="1276AC1C" w14:textId="77777777" w:rsidR="00E139AE" w:rsidRPr="003F4D72" w:rsidRDefault="00E139AE" w:rsidP="00DF6811">
            <w:pPr>
              <w:rPr>
                <w:rFonts w:asciiTheme="majorHAnsi" w:hAnsiTheme="majorHAnsi" w:cstheme="majorHAnsi"/>
                <w:b w:val="0"/>
                <w:bCs w:val="0"/>
                <w:color w:val="000000"/>
                <w:sz w:val="20"/>
                <w:szCs w:val="20"/>
              </w:rPr>
            </w:pPr>
          </w:p>
        </w:tc>
        <w:tc>
          <w:tcPr>
            <w:tcW w:w="989" w:type="dxa"/>
            <w:hideMark/>
          </w:tcPr>
          <w:p w14:paraId="6DB55B34"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2018</w:t>
            </w:r>
          </w:p>
        </w:tc>
        <w:tc>
          <w:tcPr>
            <w:tcW w:w="958" w:type="dxa"/>
            <w:hideMark/>
          </w:tcPr>
          <w:p w14:paraId="6178BA19"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2019</w:t>
            </w:r>
          </w:p>
        </w:tc>
        <w:tc>
          <w:tcPr>
            <w:tcW w:w="879" w:type="dxa"/>
            <w:hideMark/>
          </w:tcPr>
          <w:p w14:paraId="6F88339C"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2020</w:t>
            </w:r>
          </w:p>
        </w:tc>
        <w:tc>
          <w:tcPr>
            <w:tcW w:w="823" w:type="dxa"/>
            <w:hideMark/>
          </w:tcPr>
          <w:p w14:paraId="5730E267"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c>
          <w:tcPr>
            <w:tcW w:w="954" w:type="dxa"/>
            <w:hideMark/>
          </w:tcPr>
          <w:p w14:paraId="096A77A4"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c>
          <w:tcPr>
            <w:tcW w:w="771" w:type="dxa"/>
            <w:hideMark/>
          </w:tcPr>
          <w:p w14:paraId="547C8979"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c>
          <w:tcPr>
            <w:tcW w:w="966" w:type="dxa"/>
            <w:hideMark/>
          </w:tcPr>
          <w:p w14:paraId="48B2B7F4"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sz w:val="20"/>
                <w:szCs w:val="20"/>
              </w:rPr>
            </w:pPr>
            <w:r w:rsidRPr="003F4D72">
              <w:rPr>
                <w:rFonts w:asciiTheme="majorHAnsi" w:hAnsiTheme="majorHAnsi" w:cstheme="majorHAnsi"/>
                <w:b/>
                <w:bCs/>
                <w:color w:val="000000"/>
                <w:sz w:val="20"/>
                <w:szCs w:val="20"/>
              </w:rPr>
              <w:t>%</w:t>
            </w:r>
          </w:p>
        </w:tc>
      </w:tr>
      <w:tr w:rsidR="00E139AE" w:rsidRPr="003F4D72" w14:paraId="1895C2E7" w14:textId="77777777" w:rsidTr="00A220EE">
        <w:trPr>
          <w:trHeight w:val="281"/>
        </w:trPr>
        <w:tc>
          <w:tcPr>
            <w:cnfStyle w:val="001000000000" w:firstRow="0" w:lastRow="0" w:firstColumn="1" w:lastColumn="0" w:oddVBand="0" w:evenVBand="0" w:oddHBand="0" w:evenHBand="0" w:firstRowFirstColumn="0" w:firstRowLastColumn="0" w:lastRowFirstColumn="0" w:lastRowLastColumn="0"/>
            <w:tcW w:w="3101" w:type="dxa"/>
            <w:hideMark/>
          </w:tcPr>
          <w:p w14:paraId="6243B9F2" w14:textId="77777777" w:rsidR="00E139AE" w:rsidRPr="003F4D72" w:rsidRDefault="00E139AE" w:rsidP="00DF6811">
            <w:pPr>
              <w:jc w:val="center"/>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1</w:t>
            </w:r>
          </w:p>
        </w:tc>
        <w:tc>
          <w:tcPr>
            <w:tcW w:w="989" w:type="dxa"/>
            <w:hideMark/>
          </w:tcPr>
          <w:p w14:paraId="5B4167A8"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2</w:t>
            </w:r>
          </w:p>
        </w:tc>
        <w:tc>
          <w:tcPr>
            <w:tcW w:w="958" w:type="dxa"/>
            <w:hideMark/>
          </w:tcPr>
          <w:p w14:paraId="773283B3"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3</w:t>
            </w:r>
          </w:p>
        </w:tc>
        <w:tc>
          <w:tcPr>
            <w:tcW w:w="879" w:type="dxa"/>
            <w:hideMark/>
          </w:tcPr>
          <w:p w14:paraId="67F36AE7"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4</w:t>
            </w:r>
          </w:p>
        </w:tc>
        <w:tc>
          <w:tcPr>
            <w:tcW w:w="823" w:type="dxa"/>
            <w:hideMark/>
          </w:tcPr>
          <w:p w14:paraId="005909F2"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5=4-3</w:t>
            </w:r>
          </w:p>
        </w:tc>
        <w:tc>
          <w:tcPr>
            <w:tcW w:w="954" w:type="dxa"/>
            <w:hideMark/>
          </w:tcPr>
          <w:p w14:paraId="72DF3D36"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 6=4*100/3</w:t>
            </w:r>
          </w:p>
        </w:tc>
        <w:tc>
          <w:tcPr>
            <w:tcW w:w="771" w:type="dxa"/>
            <w:hideMark/>
          </w:tcPr>
          <w:p w14:paraId="793C3893"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7=4-2</w:t>
            </w:r>
          </w:p>
        </w:tc>
        <w:tc>
          <w:tcPr>
            <w:tcW w:w="966" w:type="dxa"/>
            <w:hideMark/>
          </w:tcPr>
          <w:p w14:paraId="165366A7" w14:textId="77777777" w:rsidR="00E139AE" w:rsidRPr="003F4D72" w:rsidRDefault="00E139AE" w:rsidP="00DF681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Cs/>
                <w:color w:val="000000"/>
                <w:sz w:val="20"/>
                <w:szCs w:val="20"/>
              </w:rPr>
            </w:pPr>
            <w:r w:rsidRPr="003F4D72">
              <w:rPr>
                <w:rFonts w:asciiTheme="majorHAnsi" w:hAnsiTheme="majorHAnsi" w:cstheme="majorHAnsi"/>
                <w:b/>
                <w:bCs/>
                <w:iCs/>
                <w:color w:val="000000"/>
                <w:sz w:val="20"/>
                <w:szCs w:val="20"/>
              </w:rPr>
              <w:t>8=4*100/2</w:t>
            </w:r>
          </w:p>
        </w:tc>
      </w:tr>
      <w:tr w:rsidR="00E139AE" w:rsidRPr="003F4D72" w14:paraId="42541D77" w14:textId="77777777" w:rsidTr="00A220EE">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14:paraId="4462CE2B" w14:textId="77777777" w:rsidR="00E139AE" w:rsidRPr="003F4D72" w:rsidRDefault="00E139AE" w:rsidP="003F4D72">
            <w:pPr>
              <w:jc w:val="both"/>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Cheltuieli precizate</w:t>
            </w:r>
          </w:p>
        </w:tc>
        <w:tc>
          <w:tcPr>
            <w:tcW w:w="989" w:type="dxa"/>
            <w:vAlign w:val="center"/>
          </w:tcPr>
          <w:p w14:paraId="1D8C0E95"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6733,3</w:t>
            </w:r>
          </w:p>
        </w:tc>
        <w:tc>
          <w:tcPr>
            <w:tcW w:w="958" w:type="dxa"/>
            <w:vAlign w:val="center"/>
          </w:tcPr>
          <w:p w14:paraId="21181E22"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7709,8</w:t>
            </w:r>
          </w:p>
        </w:tc>
        <w:tc>
          <w:tcPr>
            <w:tcW w:w="879" w:type="dxa"/>
            <w:vAlign w:val="center"/>
          </w:tcPr>
          <w:p w14:paraId="3548B413"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8917,4</w:t>
            </w:r>
          </w:p>
        </w:tc>
        <w:tc>
          <w:tcPr>
            <w:tcW w:w="823" w:type="dxa"/>
            <w:vAlign w:val="center"/>
          </w:tcPr>
          <w:p w14:paraId="41311FCF"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1207,6</w:t>
            </w:r>
          </w:p>
        </w:tc>
        <w:tc>
          <w:tcPr>
            <w:tcW w:w="954" w:type="dxa"/>
            <w:vAlign w:val="center"/>
          </w:tcPr>
          <w:p w14:paraId="149E190D"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115,7</w:t>
            </w:r>
          </w:p>
        </w:tc>
        <w:tc>
          <w:tcPr>
            <w:tcW w:w="771" w:type="dxa"/>
            <w:vAlign w:val="center"/>
          </w:tcPr>
          <w:p w14:paraId="1033BAD4"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2184,1</w:t>
            </w:r>
          </w:p>
        </w:tc>
        <w:tc>
          <w:tcPr>
            <w:tcW w:w="966" w:type="dxa"/>
            <w:vAlign w:val="center"/>
          </w:tcPr>
          <w:p w14:paraId="2B9305D9"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132,4</w:t>
            </w:r>
          </w:p>
        </w:tc>
      </w:tr>
      <w:tr w:rsidR="00E139AE" w:rsidRPr="003F4D72" w14:paraId="79D577EA" w14:textId="77777777" w:rsidTr="00BB05EA">
        <w:trPr>
          <w:trHeight w:val="60"/>
        </w:trPr>
        <w:tc>
          <w:tcPr>
            <w:cnfStyle w:val="001000000000" w:firstRow="0" w:lastRow="0" w:firstColumn="1" w:lastColumn="0" w:oddVBand="0" w:evenVBand="0" w:oddHBand="0" w:evenHBand="0" w:firstRowFirstColumn="0" w:firstRowLastColumn="0" w:lastRowFirstColumn="0" w:lastRowLastColumn="0"/>
            <w:tcW w:w="3101" w:type="dxa"/>
            <w:hideMark/>
          </w:tcPr>
          <w:p w14:paraId="2FFB2A95" w14:textId="77777777" w:rsidR="00E139AE" w:rsidRPr="003F4D72" w:rsidRDefault="00A220EE" w:rsidP="00DF6811">
            <w:pPr>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Cheltuieli</w:t>
            </w:r>
            <w:r w:rsidR="00E139AE" w:rsidRPr="003F4D72">
              <w:rPr>
                <w:rFonts w:asciiTheme="majorHAnsi" w:hAnsiTheme="majorHAnsi" w:cstheme="majorHAnsi"/>
                <w:color w:val="000000"/>
                <w:sz w:val="20"/>
                <w:szCs w:val="20"/>
              </w:rPr>
              <w:t xml:space="preserve"> executate, inclusiv:</w:t>
            </w:r>
          </w:p>
        </w:tc>
        <w:tc>
          <w:tcPr>
            <w:tcW w:w="989" w:type="dxa"/>
            <w:vAlign w:val="center"/>
          </w:tcPr>
          <w:p w14:paraId="519D737D"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6714,1</w:t>
            </w:r>
          </w:p>
        </w:tc>
        <w:tc>
          <w:tcPr>
            <w:tcW w:w="958" w:type="dxa"/>
            <w:vAlign w:val="center"/>
          </w:tcPr>
          <w:p w14:paraId="206468B1"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7489,7</w:t>
            </w:r>
          </w:p>
        </w:tc>
        <w:tc>
          <w:tcPr>
            <w:tcW w:w="879" w:type="dxa"/>
            <w:vAlign w:val="center"/>
          </w:tcPr>
          <w:p w14:paraId="4710FF74"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8405,5</w:t>
            </w:r>
          </w:p>
        </w:tc>
        <w:tc>
          <w:tcPr>
            <w:tcW w:w="823" w:type="dxa"/>
            <w:vAlign w:val="center"/>
          </w:tcPr>
          <w:p w14:paraId="7224E4F9"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915,8</w:t>
            </w:r>
          </w:p>
        </w:tc>
        <w:tc>
          <w:tcPr>
            <w:tcW w:w="954" w:type="dxa"/>
            <w:vAlign w:val="center"/>
          </w:tcPr>
          <w:p w14:paraId="0C710A83"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112,2</w:t>
            </w:r>
          </w:p>
        </w:tc>
        <w:tc>
          <w:tcPr>
            <w:tcW w:w="771" w:type="dxa"/>
            <w:vAlign w:val="center"/>
          </w:tcPr>
          <w:p w14:paraId="67AD0659"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1691,4</w:t>
            </w:r>
          </w:p>
        </w:tc>
        <w:tc>
          <w:tcPr>
            <w:tcW w:w="966" w:type="dxa"/>
            <w:vAlign w:val="center"/>
          </w:tcPr>
          <w:p w14:paraId="73D97E76"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125,2</w:t>
            </w:r>
          </w:p>
        </w:tc>
      </w:tr>
      <w:tr w:rsidR="00E139AE" w:rsidRPr="003F4D72" w14:paraId="762E1B40" w14:textId="77777777" w:rsidTr="00A220EE">
        <w:trPr>
          <w:trHeight w:val="376"/>
        </w:trPr>
        <w:tc>
          <w:tcPr>
            <w:cnfStyle w:val="001000000000" w:firstRow="0" w:lastRow="0" w:firstColumn="1" w:lastColumn="0" w:oddVBand="0" w:evenVBand="0" w:oddHBand="0" w:evenHBand="0" w:firstRowFirstColumn="0" w:firstRowLastColumn="0" w:lastRowFirstColumn="0" w:lastRowLastColumn="0"/>
            <w:tcW w:w="3101" w:type="dxa"/>
            <w:hideMark/>
          </w:tcPr>
          <w:p w14:paraId="0D664060" w14:textId="77777777" w:rsidR="00E139AE" w:rsidRPr="003F4D72" w:rsidRDefault="00E139AE" w:rsidP="003F4D72">
            <w:pPr>
              <w:jc w:val="both"/>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Fondul pentru achitarea serviciilor medicale curente (fondul de bază)</w:t>
            </w:r>
          </w:p>
        </w:tc>
        <w:tc>
          <w:tcPr>
            <w:tcW w:w="989" w:type="dxa"/>
            <w:vAlign w:val="center"/>
          </w:tcPr>
          <w:p w14:paraId="26C059CD"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6586,3</w:t>
            </w:r>
          </w:p>
        </w:tc>
        <w:tc>
          <w:tcPr>
            <w:tcW w:w="958" w:type="dxa"/>
            <w:vAlign w:val="center"/>
          </w:tcPr>
          <w:p w14:paraId="3C41C66B"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7333,7</w:t>
            </w:r>
          </w:p>
        </w:tc>
        <w:tc>
          <w:tcPr>
            <w:tcW w:w="879" w:type="dxa"/>
            <w:vAlign w:val="center"/>
          </w:tcPr>
          <w:p w14:paraId="4265D282"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sz w:val="20"/>
                <w:szCs w:val="20"/>
              </w:rPr>
            </w:pPr>
            <w:r w:rsidRPr="003F4D72">
              <w:rPr>
                <w:rFonts w:asciiTheme="majorHAnsi" w:hAnsiTheme="majorHAnsi" w:cstheme="majorHAnsi"/>
                <w:bCs/>
                <w:iCs/>
                <w:sz w:val="20"/>
                <w:szCs w:val="20"/>
              </w:rPr>
              <w:t>8270,1</w:t>
            </w:r>
          </w:p>
        </w:tc>
        <w:tc>
          <w:tcPr>
            <w:tcW w:w="823" w:type="dxa"/>
            <w:vAlign w:val="center"/>
          </w:tcPr>
          <w:p w14:paraId="5749A4AF"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936,4</w:t>
            </w:r>
          </w:p>
        </w:tc>
        <w:tc>
          <w:tcPr>
            <w:tcW w:w="954" w:type="dxa"/>
            <w:vAlign w:val="center"/>
          </w:tcPr>
          <w:p w14:paraId="3F3FB726"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F4D72">
              <w:rPr>
                <w:rFonts w:asciiTheme="majorHAnsi" w:hAnsiTheme="majorHAnsi" w:cstheme="majorHAnsi"/>
                <w:color w:val="000000"/>
                <w:sz w:val="20"/>
                <w:szCs w:val="20"/>
              </w:rPr>
              <w:t>112,8</w:t>
            </w:r>
          </w:p>
        </w:tc>
        <w:tc>
          <w:tcPr>
            <w:tcW w:w="771" w:type="dxa"/>
            <w:vAlign w:val="center"/>
          </w:tcPr>
          <w:p w14:paraId="0A620406"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1683,8</w:t>
            </w:r>
          </w:p>
        </w:tc>
        <w:tc>
          <w:tcPr>
            <w:tcW w:w="966" w:type="dxa"/>
            <w:vAlign w:val="center"/>
          </w:tcPr>
          <w:p w14:paraId="6D411E23"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125,6</w:t>
            </w:r>
          </w:p>
        </w:tc>
      </w:tr>
      <w:tr w:rsidR="00E139AE" w:rsidRPr="003F4D72" w14:paraId="4DAA1ED3" w14:textId="77777777" w:rsidTr="00A220EE">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14:paraId="61D84DE0" w14:textId="77777777" w:rsidR="00E139AE" w:rsidRPr="003F4D72" w:rsidRDefault="00E139AE" w:rsidP="003F4D72">
            <w:pPr>
              <w:jc w:val="both"/>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lastRenderedPageBreak/>
              <w:t xml:space="preserve">Fondul de rezervă al asigurării obligatorii de </w:t>
            </w:r>
            <w:proofErr w:type="spellStart"/>
            <w:r w:rsidRPr="003F4D72">
              <w:rPr>
                <w:rFonts w:asciiTheme="majorHAnsi" w:hAnsiTheme="majorHAnsi" w:cstheme="majorHAnsi"/>
                <w:color w:val="000000"/>
                <w:sz w:val="20"/>
                <w:szCs w:val="20"/>
              </w:rPr>
              <w:t>asistenţă</w:t>
            </w:r>
            <w:proofErr w:type="spellEnd"/>
            <w:r w:rsidRPr="003F4D72">
              <w:rPr>
                <w:rFonts w:asciiTheme="majorHAnsi" w:hAnsiTheme="majorHAnsi" w:cstheme="majorHAnsi"/>
                <w:color w:val="000000"/>
                <w:sz w:val="20"/>
                <w:szCs w:val="20"/>
              </w:rPr>
              <w:t xml:space="preserve"> medicală</w:t>
            </w:r>
          </w:p>
        </w:tc>
        <w:tc>
          <w:tcPr>
            <w:tcW w:w="989" w:type="dxa"/>
            <w:vAlign w:val="center"/>
          </w:tcPr>
          <w:p w14:paraId="42306C4E"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0,0</w:t>
            </w:r>
          </w:p>
        </w:tc>
        <w:tc>
          <w:tcPr>
            <w:tcW w:w="958" w:type="dxa"/>
            <w:vAlign w:val="center"/>
          </w:tcPr>
          <w:p w14:paraId="56B7D5AF"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0,0</w:t>
            </w:r>
          </w:p>
        </w:tc>
        <w:tc>
          <w:tcPr>
            <w:tcW w:w="879" w:type="dxa"/>
            <w:vAlign w:val="center"/>
          </w:tcPr>
          <w:p w14:paraId="658D833F"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10,0</w:t>
            </w:r>
          </w:p>
        </w:tc>
        <w:tc>
          <w:tcPr>
            <w:tcW w:w="823" w:type="dxa"/>
            <w:vAlign w:val="center"/>
          </w:tcPr>
          <w:p w14:paraId="00F0FE94"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10,0</w:t>
            </w:r>
          </w:p>
        </w:tc>
        <w:tc>
          <w:tcPr>
            <w:tcW w:w="954" w:type="dxa"/>
            <w:vAlign w:val="center"/>
          </w:tcPr>
          <w:p w14:paraId="38631C74"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c>
          <w:tcPr>
            <w:tcW w:w="771" w:type="dxa"/>
            <w:vAlign w:val="center"/>
          </w:tcPr>
          <w:p w14:paraId="4D4759D2"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10,0</w:t>
            </w:r>
          </w:p>
        </w:tc>
        <w:tc>
          <w:tcPr>
            <w:tcW w:w="966" w:type="dxa"/>
            <w:vAlign w:val="center"/>
          </w:tcPr>
          <w:p w14:paraId="454D9DC3"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p>
        </w:tc>
      </w:tr>
      <w:tr w:rsidR="00E139AE" w:rsidRPr="003F4D72" w14:paraId="2DA6B49B" w14:textId="77777777" w:rsidTr="00A220EE">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14:paraId="126D6E74" w14:textId="77777777" w:rsidR="00E139AE" w:rsidRPr="003F4D72" w:rsidRDefault="00E139AE" w:rsidP="003F4D72">
            <w:pPr>
              <w:jc w:val="both"/>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Fondul măsurilor de profilaxie (de prevenire a riscurilor de îmbolnăvire)</w:t>
            </w:r>
          </w:p>
        </w:tc>
        <w:tc>
          <w:tcPr>
            <w:tcW w:w="989" w:type="dxa"/>
            <w:vAlign w:val="center"/>
          </w:tcPr>
          <w:p w14:paraId="0B331DE7"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11,7</w:t>
            </w:r>
          </w:p>
        </w:tc>
        <w:tc>
          <w:tcPr>
            <w:tcW w:w="958" w:type="dxa"/>
            <w:vAlign w:val="center"/>
          </w:tcPr>
          <w:p w14:paraId="430EDE84"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22,0</w:t>
            </w:r>
          </w:p>
        </w:tc>
        <w:tc>
          <w:tcPr>
            <w:tcW w:w="879" w:type="dxa"/>
            <w:vAlign w:val="center"/>
          </w:tcPr>
          <w:p w14:paraId="2C7B3F40"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25,3</w:t>
            </w:r>
          </w:p>
        </w:tc>
        <w:tc>
          <w:tcPr>
            <w:tcW w:w="823" w:type="dxa"/>
            <w:vAlign w:val="center"/>
          </w:tcPr>
          <w:p w14:paraId="0F36572A"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3,3</w:t>
            </w:r>
          </w:p>
        </w:tc>
        <w:tc>
          <w:tcPr>
            <w:tcW w:w="954" w:type="dxa"/>
            <w:vAlign w:val="center"/>
          </w:tcPr>
          <w:p w14:paraId="32BAA2BA"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F4D72">
              <w:rPr>
                <w:rFonts w:asciiTheme="majorHAnsi" w:hAnsiTheme="majorHAnsi" w:cstheme="majorHAnsi"/>
                <w:color w:val="000000"/>
                <w:sz w:val="20"/>
                <w:szCs w:val="20"/>
              </w:rPr>
              <w:t>115,0</w:t>
            </w:r>
          </w:p>
        </w:tc>
        <w:tc>
          <w:tcPr>
            <w:tcW w:w="771" w:type="dxa"/>
            <w:vAlign w:val="center"/>
          </w:tcPr>
          <w:p w14:paraId="3D018373"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13,6</w:t>
            </w:r>
          </w:p>
        </w:tc>
        <w:tc>
          <w:tcPr>
            <w:tcW w:w="966" w:type="dxa"/>
            <w:vAlign w:val="center"/>
          </w:tcPr>
          <w:p w14:paraId="7E1CB05C"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216,2</w:t>
            </w:r>
          </w:p>
        </w:tc>
      </w:tr>
      <w:tr w:rsidR="00E139AE" w:rsidRPr="003F4D72" w14:paraId="5C40F441" w14:textId="77777777" w:rsidTr="00A220EE">
        <w:trPr>
          <w:trHeight w:val="218"/>
        </w:trPr>
        <w:tc>
          <w:tcPr>
            <w:cnfStyle w:val="001000000000" w:firstRow="0" w:lastRow="0" w:firstColumn="1" w:lastColumn="0" w:oddVBand="0" w:evenVBand="0" w:oddHBand="0" w:evenHBand="0" w:firstRowFirstColumn="0" w:firstRowLastColumn="0" w:lastRowFirstColumn="0" w:lastRowLastColumn="0"/>
            <w:tcW w:w="3101" w:type="dxa"/>
            <w:hideMark/>
          </w:tcPr>
          <w:p w14:paraId="6F6B6976" w14:textId="77777777" w:rsidR="00E139AE" w:rsidRPr="003F4D72" w:rsidRDefault="00E139AE" w:rsidP="003F4D72">
            <w:pPr>
              <w:jc w:val="both"/>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 xml:space="preserve">Fondul de dezvoltare </w:t>
            </w:r>
            <w:proofErr w:type="spellStart"/>
            <w:r w:rsidRPr="003F4D72">
              <w:rPr>
                <w:rFonts w:asciiTheme="majorHAnsi" w:hAnsiTheme="majorHAnsi" w:cstheme="majorHAnsi"/>
                <w:color w:val="000000"/>
                <w:sz w:val="20"/>
                <w:szCs w:val="20"/>
              </w:rPr>
              <w:t>şi</w:t>
            </w:r>
            <w:proofErr w:type="spellEnd"/>
            <w:r w:rsidRPr="003F4D72">
              <w:rPr>
                <w:rFonts w:asciiTheme="majorHAnsi" w:hAnsiTheme="majorHAnsi" w:cstheme="majorHAnsi"/>
                <w:color w:val="000000"/>
                <w:sz w:val="20"/>
                <w:szCs w:val="20"/>
              </w:rPr>
              <w:t xml:space="preserve"> modernizare a prestatorilor publici de servicii medicale</w:t>
            </w:r>
          </w:p>
        </w:tc>
        <w:tc>
          <w:tcPr>
            <w:tcW w:w="989" w:type="dxa"/>
            <w:vAlign w:val="center"/>
          </w:tcPr>
          <w:p w14:paraId="06B9B4D4"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38,1</w:t>
            </w:r>
          </w:p>
        </w:tc>
        <w:tc>
          <w:tcPr>
            <w:tcW w:w="958" w:type="dxa"/>
            <w:vAlign w:val="center"/>
          </w:tcPr>
          <w:p w14:paraId="1D5ADE4B"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55,3</w:t>
            </w:r>
          </w:p>
        </w:tc>
        <w:tc>
          <w:tcPr>
            <w:tcW w:w="879" w:type="dxa"/>
            <w:vAlign w:val="center"/>
          </w:tcPr>
          <w:p w14:paraId="420E9C57"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19,9</w:t>
            </w:r>
          </w:p>
        </w:tc>
        <w:tc>
          <w:tcPr>
            <w:tcW w:w="823" w:type="dxa"/>
            <w:vAlign w:val="center"/>
          </w:tcPr>
          <w:p w14:paraId="45909F2E"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-35,4</w:t>
            </w:r>
          </w:p>
        </w:tc>
        <w:tc>
          <w:tcPr>
            <w:tcW w:w="954" w:type="dxa"/>
            <w:vAlign w:val="center"/>
          </w:tcPr>
          <w:p w14:paraId="58377EED"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F4D72">
              <w:rPr>
                <w:rFonts w:asciiTheme="majorHAnsi" w:hAnsiTheme="majorHAnsi" w:cstheme="majorHAnsi"/>
                <w:color w:val="000000"/>
                <w:sz w:val="20"/>
                <w:szCs w:val="20"/>
              </w:rPr>
              <w:t>36,0</w:t>
            </w:r>
          </w:p>
        </w:tc>
        <w:tc>
          <w:tcPr>
            <w:tcW w:w="771" w:type="dxa"/>
            <w:vAlign w:val="center"/>
          </w:tcPr>
          <w:p w14:paraId="640D346B"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-18,2</w:t>
            </w:r>
          </w:p>
        </w:tc>
        <w:tc>
          <w:tcPr>
            <w:tcW w:w="966" w:type="dxa"/>
            <w:vAlign w:val="center"/>
          </w:tcPr>
          <w:p w14:paraId="69A0E368"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52,2</w:t>
            </w:r>
          </w:p>
        </w:tc>
      </w:tr>
      <w:tr w:rsidR="00E139AE" w:rsidRPr="003F4D72" w14:paraId="081B7695" w14:textId="77777777" w:rsidTr="00A220EE">
        <w:trPr>
          <w:trHeight w:val="218"/>
        </w:trPr>
        <w:tc>
          <w:tcPr>
            <w:cnfStyle w:val="001000000000" w:firstRow="0" w:lastRow="0" w:firstColumn="1" w:lastColumn="0" w:oddVBand="0" w:evenVBand="0" w:oddHBand="0" w:evenHBand="0" w:firstRowFirstColumn="0" w:firstRowLastColumn="0" w:lastRowFirstColumn="0" w:lastRowLastColumn="0"/>
            <w:tcW w:w="3101" w:type="dxa"/>
          </w:tcPr>
          <w:p w14:paraId="42E75BE5" w14:textId="77777777" w:rsidR="00E139AE" w:rsidRPr="003F4D72" w:rsidRDefault="00E139AE" w:rsidP="003F4D72">
            <w:pPr>
              <w:jc w:val="both"/>
              <w:rPr>
                <w:rFonts w:asciiTheme="majorHAnsi" w:hAnsiTheme="majorHAnsi" w:cstheme="majorHAnsi"/>
                <w:b w:val="0"/>
                <w:bCs w:val="0"/>
                <w:color w:val="000000"/>
                <w:sz w:val="20"/>
                <w:szCs w:val="20"/>
              </w:rPr>
            </w:pPr>
            <w:r w:rsidRPr="003F4D72">
              <w:rPr>
                <w:rFonts w:asciiTheme="majorHAnsi" w:hAnsiTheme="majorHAnsi" w:cstheme="majorHAnsi"/>
                <w:color w:val="000000"/>
                <w:sz w:val="20"/>
                <w:szCs w:val="20"/>
              </w:rPr>
              <w:t xml:space="preserve">Fondul de administrare al sistemului de asigurare obligatorie de </w:t>
            </w:r>
            <w:proofErr w:type="spellStart"/>
            <w:r w:rsidRPr="003F4D72">
              <w:rPr>
                <w:rFonts w:asciiTheme="majorHAnsi" w:hAnsiTheme="majorHAnsi" w:cstheme="majorHAnsi"/>
                <w:color w:val="000000"/>
                <w:sz w:val="20"/>
                <w:szCs w:val="20"/>
              </w:rPr>
              <w:t>asistenţă</w:t>
            </w:r>
            <w:proofErr w:type="spellEnd"/>
            <w:r w:rsidRPr="003F4D72">
              <w:rPr>
                <w:rFonts w:asciiTheme="majorHAnsi" w:hAnsiTheme="majorHAnsi" w:cstheme="majorHAnsi"/>
                <w:color w:val="000000"/>
                <w:sz w:val="20"/>
                <w:szCs w:val="20"/>
              </w:rPr>
              <w:t xml:space="preserve"> medicală</w:t>
            </w:r>
          </w:p>
        </w:tc>
        <w:tc>
          <w:tcPr>
            <w:tcW w:w="989" w:type="dxa"/>
            <w:vAlign w:val="center"/>
          </w:tcPr>
          <w:p w14:paraId="40BD4AD1"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3F4D72">
              <w:rPr>
                <w:rFonts w:asciiTheme="majorHAnsi" w:hAnsiTheme="majorHAnsi" w:cstheme="majorHAnsi"/>
                <w:bCs/>
                <w:color w:val="000000"/>
                <w:sz w:val="20"/>
                <w:szCs w:val="20"/>
              </w:rPr>
              <w:t>77,8</w:t>
            </w:r>
          </w:p>
        </w:tc>
        <w:tc>
          <w:tcPr>
            <w:tcW w:w="958" w:type="dxa"/>
            <w:vAlign w:val="center"/>
          </w:tcPr>
          <w:p w14:paraId="38EBF99C"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78,7</w:t>
            </w:r>
          </w:p>
        </w:tc>
        <w:tc>
          <w:tcPr>
            <w:tcW w:w="879" w:type="dxa"/>
            <w:vAlign w:val="center"/>
          </w:tcPr>
          <w:p w14:paraId="4FD3ACAA"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80,2</w:t>
            </w:r>
          </w:p>
        </w:tc>
        <w:tc>
          <w:tcPr>
            <w:tcW w:w="823" w:type="dxa"/>
            <w:vAlign w:val="center"/>
          </w:tcPr>
          <w:p w14:paraId="0693CB2E"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1,5</w:t>
            </w:r>
          </w:p>
        </w:tc>
        <w:tc>
          <w:tcPr>
            <w:tcW w:w="954" w:type="dxa"/>
            <w:vAlign w:val="center"/>
          </w:tcPr>
          <w:p w14:paraId="6EE659E2"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3F4D72">
              <w:rPr>
                <w:rFonts w:asciiTheme="majorHAnsi" w:hAnsiTheme="majorHAnsi" w:cstheme="majorHAnsi"/>
                <w:color w:val="000000"/>
                <w:sz w:val="20"/>
                <w:szCs w:val="20"/>
              </w:rPr>
              <w:t>101,9</w:t>
            </w:r>
          </w:p>
        </w:tc>
        <w:tc>
          <w:tcPr>
            <w:tcW w:w="771" w:type="dxa"/>
            <w:vAlign w:val="center"/>
          </w:tcPr>
          <w:p w14:paraId="16131975"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2,4</w:t>
            </w:r>
          </w:p>
        </w:tc>
        <w:tc>
          <w:tcPr>
            <w:tcW w:w="966" w:type="dxa"/>
            <w:vAlign w:val="center"/>
          </w:tcPr>
          <w:p w14:paraId="75C455C6" w14:textId="77777777" w:rsidR="00E139AE" w:rsidRPr="003F4D72" w:rsidRDefault="00E139AE" w:rsidP="00A220E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color w:val="000000"/>
                <w:sz w:val="20"/>
                <w:szCs w:val="20"/>
              </w:rPr>
            </w:pPr>
            <w:r w:rsidRPr="003F4D72">
              <w:rPr>
                <w:rFonts w:asciiTheme="majorHAnsi" w:hAnsiTheme="majorHAnsi" w:cstheme="majorHAnsi"/>
                <w:bCs/>
                <w:iCs/>
                <w:color w:val="000000"/>
                <w:sz w:val="20"/>
                <w:szCs w:val="20"/>
              </w:rPr>
              <w:t>103,1</w:t>
            </w:r>
          </w:p>
        </w:tc>
      </w:tr>
    </w:tbl>
    <w:p w14:paraId="20A0EA1A" w14:textId="0967F595" w:rsidR="00E139AE" w:rsidRPr="003F4D72" w:rsidRDefault="00E139AE" w:rsidP="00E139AE">
      <w:pPr>
        <w:spacing w:line="276" w:lineRule="auto"/>
        <w:jc w:val="both"/>
        <w:rPr>
          <w:rFonts w:asciiTheme="majorHAnsi" w:hAnsiTheme="majorHAnsi" w:cstheme="majorHAnsi"/>
          <w:sz w:val="24"/>
          <w:szCs w:val="24"/>
        </w:rPr>
      </w:pPr>
      <w:r w:rsidRPr="003F4D72">
        <w:rPr>
          <w:rFonts w:asciiTheme="majorHAnsi" w:hAnsiTheme="majorHAnsi" w:cstheme="majorHAnsi"/>
          <w:b/>
          <w:i/>
          <w:sz w:val="20"/>
          <w:szCs w:val="24"/>
        </w:rPr>
        <w:t>Surs</w:t>
      </w:r>
      <w:r w:rsidR="009916EF" w:rsidRPr="003F4D72">
        <w:rPr>
          <w:rFonts w:asciiTheme="majorHAnsi" w:hAnsiTheme="majorHAnsi" w:cstheme="majorHAnsi"/>
          <w:b/>
          <w:i/>
          <w:sz w:val="20"/>
          <w:szCs w:val="24"/>
        </w:rPr>
        <w:t>ă</w:t>
      </w:r>
      <w:r w:rsidRPr="003F4D72">
        <w:rPr>
          <w:rFonts w:asciiTheme="majorHAnsi" w:hAnsiTheme="majorHAnsi" w:cstheme="majorHAnsi"/>
          <w:b/>
          <w:i/>
          <w:sz w:val="20"/>
          <w:szCs w:val="24"/>
        </w:rPr>
        <w:t>:</w:t>
      </w:r>
      <w:r w:rsidRPr="003F4D72">
        <w:rPr>
          <w:rFonts w:asciiTheme="majorHAnsi" w:hAnsiTheme="majorHAnsi" w:cstheme="majorHAnsi"/>
          <w:sz w:val="18"/>
        </w:rPr>
        <w:t xml:space="preserve"> </w:t>
      </w:r>
      <w:r w:rsidRPr="003F4D72">
        <w:rPr>
          <w:rFonts w:asciiTheme="majorHAnsi" w:hAnsiTheme="majorHAnsi" w:cstheme="majorHAnsi"/>
          <w:i/>
          <w:sz w:val="20"/>
        </w:rPr>
        <w:t>Informații generalizate din Rapoartele privind executarea fondurilor asigurării obligatorii de asistență medicală pe anii 2018-2020</w:t>
      </w:r>
      <w:r w:rsidR="00213CF9" w:rsidRPr="003F4D72">
        <w:rPr>
          <w:rFonts w:asciiTheme="majorHAnsi" w:hAnsiTheme="majorHAnsi" w:cstheme="majorHAnsi"/>
          <w:i/>
          <w:sz w:val="20"/>
        </w:rPr>
        <w:t>.</w:t>
      </w:r>
    </w:p>
    <w:p w14:paraId="2BD2624C" w14:textId="6E0279BB" w:rsidR="008C1DDD" w:rsidRPr="003F4D72" w:rsidRDefault="00E139AE" w:rsidP="0068189C">
      <w:pPr>
        <w:spacing w:after="0" w:line="276" w:lineRule="auto"/>
        <w:ind w:firstLine="567"/>
        <w:jc w:val="both"/>
        <w:rPr>
          <w:rFonts w:asciiTheme="majorHAnsi" w:hAnsiTheme="majorHAnsi" w:cstheme="majorHAnsi"/>
          <w:sz w:val="20"/>
          <w:szCs w:val="20"/>
        </w:rPr>
      </w:pPr>
      <w:r w:rsidRPr="003F4D72">
        <w:rPr>
          <w:rFonts w:asciiTheme="majorHAnsi" w:eastAsia="Times New Roman" w:hAnsiTheme="majorHAnsi" w:cstheme="majorHAnsi"/>
          <w:iCs/>
          <w:sz w:val="24"/>
          <w:szCs w:val="24"/>
        </w:rPr>
        <w:t>Cu referire la subprogramele de cheltuieli, structurate pe tipuri de asistență medicală, se denotă</w:t>
      </w:r>
      <w:r w:rsidR="00815A71" w:rsidRPr="003F4D72">
        <w:rPr>
          <w:rFonts w:asciiTheme="majorHAnsi" w:eastAsia="Times New Roman" w:hAnsiTheme="majorHAnsi" w:cstheme="majorHAnsi"/>
          <w:iCs/>
          <w:sz w:val="24"/>
          <w:szCs w:val="24"/>
        </w:rPr>
        <w:t xml:space="preserve"> că</w:t>
      </w:r>
      <w:r w:rsidRPr="003F4D72">
        <w:rPr>
          <w:rFonts w:asciiTheme="majorHAnsi" w:eastAsia="Times New Roman" w:hAnsiTheme="majorHAnsi" w:cstheme="majorHAnsi"/>
          <w:iCs/>
          <w:sz w:val="24"/>
          <w:szCs w:val="24"/>
        </w:rPr>
        <w:t>, la fel ca și în anii precedenți, ponderea cea mai semnificativă o deține asistența medicală spitalicească</w:t>
      </w:r>
      <w:r w:rsidR="00815A71" w:rsidRPr="003F4D72">
        <w:rPr>
          <w:rFonts w:asciiTheme="majorHAnsi" w:eastAsia="Times New Roman" w:hAnsiTheme="majorHAnsi" w:cstheme="majorHAnsi"/>
          <w:iCs/>
          <w:sz w:val="24"/>
          <w:szCs w:val="24"/>
        </w:rPr>
        <w:t>,</w:t>
      </w:r>
      <w:r w:rsidRPr="003F4D72">
        <w:rPr>
          <w:rFonts w:asciiTheme="majorHAnsi" w:eastAsia="Times New Roman" w:hAnsiTheme="majorHAnsi" w:cstheme="majorHAnsi"/>
          <w:iCs/>
          <w:sz w:val="24"/>
          <w:szCs w:val="24"/>
        </w:rPr>
        <w:t xml:space="preserve"> în cuantum de </w:t>
      </w:r>
      <w:r w:rsidR="00F3796A" w:rsidRPr="003F4D72">
        <w:rPr>
          <w:rFonts w:asciiTheme="majorHAnsi" w:eastAsia="Times New Roman" w:hAnsiTheme="majorHAnsi" w:cstheme="majorHAnsi"/>
          <w:sz w:val="24"/>
          <w:szCs w:val="24"/>
        </w:rPr>
        <w:t>4 242,1 mil.lei</w:t>
      </w:r>
      <w:r w:rsidR="00815A71" w:rsidRPr="003F4D72">
        <w:rPr>
          <w:rFonts w:asciiTheme="majorHAnsi" w:eastAsia="Times New Roman" w:hAnsiTheme="majorHAnsi" w:cstheme="majorHAnsi"/>
          <w:sz w:val="24"/>
          <w:szCs w:val="24"/>
        </w:rPr>
        <w:t>,</w:t>
      </w:r>
      <w:r w:rsidR="00F3796A" w:rsidRPr="003F4D72">
        <w:rPr>
          <w:rFonts w:asciiTheme="majorHAnsi" w:eastAsia="Times New Roman" w:hAnsiTheme="majorHAnsi" w:cstheme="majorHAnsi"/>
          <w:sz w:val="24"/>
          <w:szCs w:val="24"/>
        </w:rPr>
        <w:t xml:space="preserve"> </w:t>
      </w:r>
      <w:r w:rsidRPr="003F4D72">
        <w:rPr>
          <w:rFonts w:asciiTheme="majorHAnsi" w:eastAsia="Times New Roman" w:hAnsiTheme="majorHAnsi" w:cstheme="majorHAnsi"/>
          <w:sz w:val="24"/>
          <w:szCs w:val="24"/>
        </w:rPr>
        <w:t xml:space="preserve">sau 50,5% </w:t>
      </w:r>
      <w:r w:rsidRPr="003F4D72">
        <w:rPr>
          <w:rFonts w:asciiTheme="majorHAnsi" w:eastAsia="Times New Roman" w:hAnsiTheme="majorHAnsi" w:cstheme="majorHAnsi"/>
          <w:iCs/>
          <w:sz w:val="24"/>
          <w:szCs w:val="24"/>
        </w:rPr>
        <w:t xml:space="preserve">din totalul cheltuielilor, fiind urmată de asistența medicală primară – </w:t>
      </w:r>
      <w:r w:rsidR="00F3796A" w:rsidRPr="003F4D72">
        <w:rPr>
          <w:rFonts w:asciiTheme="majorHAnsi" w:eastAsia="Times New Roman" w:hAnsiTheme="majorHAnsi" w:cstheme="majorHAnsi"/>
          <w:sz w:val="24"/>
          <w:szCs w:val="24"/>
        </w:rPr>
        <w:t>2 243,2 mil.</w:t>
      </w:r>
      <w:r w:rsidR="003C46D4" w:rsidRPr="003F4D72">
        <w:rPr>
          <w:rFonts w:asciiTheme="majorHAnsi" w:eastAsia="Times New Roman" w:hAnsiTheme="majorHAnsi" w:cstheme="majorHAnsi"/>
          <w:sz w:val="24"/>
          <w:szCs w:val="24"/>
        </w:rPr>
        <w:t xml:space="preserve">lei </w:t>
      </w:r>
      <w:r w:rsidRPr="003F4D72">
        <w:rPr>
          <w:rFonts w:asciiTheme="majorHAnsi" w:eastAsia="Times New Roman" w:hAnsiTheme="majorHAnsi" w:cstheme="majorHAnsi"/>
          <w:sz w:val="24"/>
          <w:szCs w:val="24"/>
        </w:rPr>
        <w:t>(26,7%)</w:t>
      </w:r>
      <w:r w:rsidRPr="003F4D72">
        <w:rPr>
          <w:rFonts w:asciiTheme="majorHAnsi" w:eastAsia="Times New Roman" w:hAnsiTheme="majorHAnsi" w:cstheme="majorHAnsi"/>
          <w:iCs/>
          <w:sz w:val="24"/>
          <w:szCs w:val="24"/>
        </w:rPr>
        <w:t>, asistența medicală urgentă prespitalicească – 790,7 mil.lei (9,4%), asistența medicală de ambulatoriu – 748,2 mil.lei (8,9%) etc.</w:t>
      </w:r>
      <w:r w:rsidR="000726AC" w:rsidRPr="003F4D72">
        <w:rPr>
          <w:rFonts w:asciiTheme="majorHAnsi" w:eastAsia="Times New Roman" w:hAnsiTheme="majorHAnsi" w:cstheme="majorHAnsi"/>
          <w:iCs/>
          <w:sz w:val="24"/>
          <w:szCs w:val="24"/>
        </w:rPr>
        <w:t xml:space="preserve"> </w:t>
      </w:r>
      <w:r w:rsidR="008C1DDD" w:rsidRPr="003F4D72">
        <w:rPr>
          <w:rFonts w:asciiTheme="majorHAnsi" w:hAnsiTheme="majorHAnsi" w:cstheme="majorHAnsi"/>
          <w:sz w:val="24"/>
          <w:szCs w:val="24"/>
        </w:rPr>
        <w:t xml:space="preserve">Structura cheltuielilor pe tipuri de subprograme se prezintă în </w:t>
      </w:r>
      <w:r w:rsidR="00815A71" w:rsidRPr="003F4D72">
        <w:rPr>
          <w:rFonts w:asciiTheme="majorHAnsi" w:hAnsiTheme="majorHAnsi" w:cstheme="majorHAnsi"/>
          <w:sz w:val="24"/>
          <w:szCs w:val="24"/>
        </w:rPr>
        <w:t>A</w:t>
      </w:r>
      <w:r w:rsidR="008C1DDD" w:rsidRPr="003F4D72">
        <w:rPr>
          <w:rFonts w:asciiTheme="majorHAnsi" w:hAnsiTheme="majorHAnsi" w:cstheme="majorHAnsi"/>
          <w:sz w:val="24"/>
          <w:szCs w:val="24"/>
        </w:rPr>
        <w:t xml:space="preserve">nexa </w:t>
      </w:r>
      <w:r w:rsidR="00CE3F34" w:rsidRPr="003F4D72">
        <w:rPr>
          <w:rFonts w:asciiTheme="majorHAnsi" w:hAnsiTheme="majorHAnsi" w:cstheme="majorHAnsi"/>
          <w:sz w:val="24"/>
          <w:szCs w:val="24"/>
        </w:rPr>
        <w:t>nr.3</w:t>
      </w:r>
      <w:r w:rsidR="008C1DDD" w:rsidRPr="003F4D72">
        <w:rPr>
          <w:rFonts w:asciiTheme="majorHAnsi" w:hAnsiTheme="majorHAnsi" w:cstheme="majorHAnsi"/>
          <w:sz w:val="24"/>
          <w:szCs w:val="24"/>
        </w:rPr>
        <w:t xml:space="preserve"> la prezentul </w:t>
      </w:r>
      <w:r w:rsidR="00815A71" w:rsidRPr="003F4D72">
        <w:rPr>
          <w:rFonts w:asciiTheme="majorHAnsi" w:hAnsiTheme="majorHAnsi" w:cstheme="majorHAnsi"/>
          <w:sz w:val="24"/>
          <w:szCs w:val="24"/>
        </w:rPr>
        <w:t>R</w:t>
      </w:r>
      <w:r w:rsidR="008C1DDD" w:rsidRPr="003F4D72">
        <w:rPr>
          <w:rFonts w:asciiTheme="majorHAnsi" w:hAnsiTheme="majorHAnsi" w:cstheme="majorHAnsi"/>
          <w:sz w:val="24"/>
          <w:szCs w:val="24"/>
        </w:rPr>
        <w:t>aport de audit.</w:t>
      </w:r>
    </w:p>
    <w:p w14:paraId="26BE08A0" w14:textId="252E0651" w:rsidR="008C1DDD" w:rsidRPr="003F4D72" w:rsidRDefault="008C1DDD" w:rsidP="00B244EF">
      <w:pPr>
        <w:pStyle w:val="NormalWeb"/>
        <w:spacing w:line="276" w:lineRule="auto"/>
        <w:rPr>
          <w:rFonts w:asciiTheme="majorHAnsi" w:hAnsiTheme="majorHAnsi" w:cstheme="majorHAnsi"/>
          <w:lang w:val="ro-MD"/>
        </w:rPr>
      </w:pPr>
      <w:r w:rsidRPr="003F4D72">
        <w:rPr>
          <w:rFonts w:asciiTheme="majorHAnsi" w:hAnsiTheme="majorHAnsi" w:cstheme="majorHAnsi"/>
          <w:lang w:val="ro-MD"/>
        </w:rPr>
        <w:t>În anul 2020</w:t>
      </w:r>
      <w:r w:rsidR="00815A71" w:rsidRPr="003F4D72">
        <w:rPr>
          <w:rFonts w:asciiTheme="majorHAnsi" w:hAnsiTheme="majorHAnsi" w:cstheme="majorHAnsi"/>
          <w:lang w:val="ro-MD"/>
        </w:rPr>
        <w:t>,</w:t>
      </w:r>
      <w:r w:rsidRPr="003F4D72">
        <w:rPr>
          <w:rFonts w:asciiTheme="majorHAnsi" w:hAnsiTheme="majorHAnsi" w:cstheme="majorHAnsi"/>
          <w:lang w:val="ro-MD"/>
        </w:rPr>
        <w:t xml:space="preserve"> CNAM a alocat </w:t>
      </w:r>
      <w:r w:rsidR="002D39AF" w:rsidRPr="003F4D72">
        <w:rPr>
          <w:rFonts w:asciiTheme="majorHAnsi" w:hAnsiTheme="majorHAnsi" w:cstheme="majorHAnsi"/>
          <w:noProof/>
          <w:lang w:val="ro-MD"/>
        </w:rPr>
        <w:t>37</w:t>
      </w:r>
      <w:r w:rsidRPr="003F4D72">
        <w:rPr>
          <w:rFonts w:asciiTheme="majorHAnsi" w:hAnsiTheme="majorHAnsi" w:cstheme="majorHAnsi"/>
          <w:noProof/>
          <w:lang w:val="ro-MD"/>
        </w:rPr>
        <w:t>,7 mil.lei</w:t>
      </w:r>
      <w:r w:rsidR="003F4D72" w:rsidRPr="003F4D72">
        <w:rPr>
          <w:rFonts w:asciiTheme="majorHAnsi" w:hAnsiTheme="majorHAnsi" w:cstheme="majorHAnsi"/>
          <w:noProof/>
          <w:lang w:val="ro-MD"/>
        </w:rPr>
        <w:t xml:space="preserve"> </w:t>
      </w:r>
      <w:r w:rsidRPr="003F4D72">
        <w:rPr>
          <w:rFonts w:asciiTheme="majorHAnsi" w:hAnsiTheme="majorHAnsi" w:cstheme="majorHAnsi"/>
          <w:noProof/>
          <w:lang w:val="ro-MD"/>
        </w:rPr>
        <w:t xml:space="preserve"> </w:t>
      </w:r>
      <w:r w:rsidR="003F4D72" w:rsidRPr="003F4D72">
        <w:rPr>
          <w:rFonts w:asciiTheme="majorHAnsi" w:hAnsiTheme="majorHAnsi" w:cstheme="majorHAnsi"/>
          <w:noProof/>
          <w:lang w:val="ro-MD"/>
        </w:rPr>
        <w:t xml:space="preserve">pentru achiziționarea în regim de urgență a testelor pentru depistarea infecției cu Covid-19, a </w:t>
      </w:r>
      <w:r w:rsidR="003F4D72" w:rsidRPr="003F4D72">
        <w:rPr>
          <w:rFonts w:asciiTheme="majorHAnsi" w:hAnsiTheme="majorHAnsi" w:cstheme="majorHAnsi"/>
          <w:lang w:val="ro-MD"/>
        </w:rPr>
        <w:t>mănușilor și măștilor medicale, și anume</w:t>
      </w:r>
      <w:r w:rsidR="003F4D72" w:rsidRPr="003F4D72">
        <w:rPr>
          <w:rFonts w:asciiTheme="majorHAnsi" w:hAnsiTheme="majorHAnsi" w:cstheme="majorHAnsi"/>
          <w:noProof/>
          <w:lang w:val="ro-MD"/>
        </w:rPr>
        <w:t xml:space="preserve"> </w:t>
      </w:r>
      <w:r w:rsidRPr="003F4D72">
        <w:rPr>
          <w:rFonts w:asciiTheme="majorHAnsi" w:hAnsiTheme="majorHAnsi" w:cstheme="majorHAnsi"/>
          <w:noProof/>
          <w:lang w:val="ro-MD"/>
        </w:rPr>
        <w:t>din sursele fondului de dezvoltare</w:t>
      </w:r>
      <w:r w:rsidR="00815A71" w:rsidRPr="003F4D72">
        <w:rPr>
          <w:rFonts w:asciiTheme="majorHAnsi" w:hAnsiTheme="majorHAnsi" w:cstheme="majorHAnsi"/>
          <w:noProof/>
          <w:lang w:val="ro-MD"/>
        </w:rPr>
        <w:t xml:space="preserve"> </w:t>
      </w:r>
      <w:r w:rsidRPr="003F4D72">
        <w:rPr>
          <w:rFonts w:asciiTheme="majorHAnsi" w:hAnsiTheme="majorHAnsi" w:cstheme="majorHAnsi"/>
          <w:noProof/>
          <w:lang w:val="ro-MD"/>
        </w:rPr>
        <w:t xml:space="preserve">- 20,0 mil.lei, </w:t>
      </w:r>
      <w:r w:rsidR="00587424" w:rsidRPr="003F4D72">
        <w:rPr>
          <w:rFonts w:asciiTheme="majorHAnsi" w:hAnsiTheme="majorHAnsi" w:cstheme="majorHAnsi"/>
          <w:noProof/>
          <w:lang w:val="ro-MD"/>
        </w:rPr>
        <w:t xml:space="preserve">din </w:t>
      </w:r>
      <w:r w:rsidRPr="003F4D72">
        <w:rPr>
          <w:rFonts w:asciiTheme="majorHAnsi" w:hAnsiTheme="majorHAnsi" w:cstheme="majorHAnsi"/>
          <w:noProof/>
          <w:lang w:val="ro-MD"/>
        </w:rPr>
        <w:t>fondul de rezervă</w:t>
      </w:r>
      <w:r w:rsidR="00815A71" w:rsidRPr="003F4D72">
        <w:rPr>
          <w:rFonts w:asciiTheme="majorHAnsi" w:hAnsiTheme="majorHAnsi" w:cstheme="majorHAnsi"/>
          <w:noProof/>
          <w:lang w:val="ro-MD"/>
        </w:rPr>
        <w:t xml:space="preserve"> </w:t>
      </w:r>
      <w:r w:rsidR="00587424" w:rsidRPr="003F4D72">
        <w:rPr>
          <w:rFonts w:asciiTheme="majorHAnsi" w:hAnsiTheme="majorHAnsi" w:cstheme="majorHAnsi"/>
          <w:noProof/>
          <w:lang w:val="ro-MD"/>
        </w:rPr>
        <w:t>–</w:t>
      </w:r>
      <w:r w:rsidRPr="003F4D72">
        <w:rPr>
          <w:rFonts w:asciiTheme="majorHAnsi" w:hAnsiTheme="majorHAnsi" w:cstheme="majorHAnsi"/>
          <w:noProof/>
          <w:lang w:val="ro-MD"/>
        </w:rPr>
        <w:t xml:space="preserve"> 10,0 mil.lei</w:t>
      </w:r>
      <w:r w:rsidR="00815A71" w:rsidRPr="003F4D72">
        <w:rPr>
          <w:rFonts w:asciiTheme="majorHAnsi" w:hAnsiTheme="majorHAnsi" w:cstheme="majorHAnsi"/>
          <w:noProof/>
          <w:lang w:val="ro-MD"/>
        </w:rPr>
        <w:t>,</w:t>
      </w:r>
      <w:r w:rsidRPr="003F4D72">
        <w:rPr>
          <w:rFonts w:asciiTheme="majorHAnsi" w:hAnsiTheme="majorHAnsi" w:cstheme="majorHAnsi"/>
          <w:noProof/>
          <w:lang w:val="ro-MD"/>
        </w:rPr>
        <w:t xml:space="preserve"> </w:t>
      </w:r>
      <w:r w:rsidR="003F4D72" w:rsidRPr="003F4D72">
        <w:rPr>
          <w:rFonts w:asciiTheme="majorHAnsi" w:hAnsiTheme="majorHAnsi" w:cstheme="majorHAnsi"/>
          <w:noProof/>
          <w:lang w:val="ro-MD"/>
        </w:rPr>
        <w:t xml:space="preserve">precum </w:t>
      </w:r>
      <w:r w:rsidRPr="003F4D72">
        <w:rPr>
          <w:rFonts w:asciiTheme="majorHAnsi" w:hAnsiTheme="majorHAnsi" w:cstheme="majorHAnsi"/>
          <w:noProof/>
          <w:lang w:val="ro-MD"/>
        </w:rPr>
        <w:t xml:space="preserve">și </w:t>
      </w:r>
      <w:r w:rsidR="00587424" w:rsidRPr="003F4D72">
        <w:rPr>
          <w:rFonts w:asciiTheme="majorHAnsi" w:hAnsiTheme="majorHAnsi" w:cstheme="majorHAnsi"/>
          <w:noProof/>
          <w:lang w:val="ro-MD"/>
        </w:rPr>
        <w:t xml:space="preserve">din </w:t>
      </w:r>
      <w:r w:rsidRPr="003F4D72">
        <w:rPr>
          <w:rFonts w:asciiTheme="majorHAnsi" w:hAnsiTheme="majorHAnsi" w:cstheme="majorHAnsi"/>
          <w:noProof/>
          <w:lang w:val="ro-MD"/>
        </w:rPr>
        <w:t>fo</w:t>
      </w:r>
      <w:r w:rsidR="002D39AF" w:rsidRPr="003F4D72">
        <w:rPr>
          <w:rFonts w:asciiTheme="majorHAnsi" w:hAnsiTheme="majorHAnsi" w:cstheme="majorHAnsi"/>
          <w:noProof/>
          <w:lang w:val="ro-MD"/>
        </w:rPr>
        <w:t>ndul m</w:t>
      </w:r>
      <w:r w:rsidR="00815A71" w:rsidRPr="003F4D72">
        <w:rPr>
          <w:rFonts w:asciiTheme="majorHAnsi" w:hAnsiTheme="majorHAnsi" w:cstheme="majorHAnsi"/>
          <w:noProof/>
          <w:lang w:val="ro-MD"/>
        </w:rPr>
        <w:t>ă</w:t>
      </w:r>
      <w:r w:rsidR="002D39AF" w:rsidRPr="003F4D72">
        <w:rPr>
          <w:rFonts w:asciiTheme="majorHAnsi" w:hAnsiTheme="majorHAnsi" w:cstheme="majorHAnsi"/>
          <w:noProof/>
          <w:lang w:val="ro-MD"/>
        </w:rPr>
        <w:t>surilor de profilaxie – 7</w:t>
      </w:r>
      <w:r w:rsidRPr="003F4D72">
        <w:rPr>
          <w:rFonts w:asciiTheme="majorHAnsi" w:hAnsiTheme="majorHAnsi" w:cstheme="majorHAnsi"/>
          <w:noProof/>
          <w:lang w:val="ro-MD"/>
        </w:rPr>
        <w:t>,7 mil.lei</w:t>
      </w:r>
      <w:r w:rsidRPr="003F4D72">
        <w:rPr>
          <w:rStyle w:val="FootnoteReference"/>
          <w:rFonts w:asciiTheme="majorHAnsi" w:hAnsiTheme="majorHAnsi" w:cstheme="majorHAnsi"/>
          <w:noProof/>
          <w:lang w:val="ro-MD"/>
        </w:rPr>
        <w:footnoteReference w:id="8"/>
      </w:r>
      <w:r w:rsidR="002D39AF" w:rsidRPr="003F4D72">
        <w:rPr>
          <w:rFonts w:asciiTheme="majorHAnsi" w:hAnsiTheme="majorHAnsi" w:cstheme="majorHAnsi"/>
          <w:lang w:val="ro-MD"/>
        </w:rPr>
        <w:t>.</w:t>
      </w:r>
      <w:r w:rsidR="00815A71" w:rsidRPr="003F4D72">
        <w:rPr>
          <w:rFonts w:asciiTheme="majorHAnsi" w:hAnsiTheme="majorHAnsi" w:cstheme="majorHAnsi"/>
          <w:lang w:val="ro-MD"/>
        </w:rPr>
        <w:t xml:space="preserve">  </w:t>
      </w:r>
      <w:r w:rsidRPr="003F4D72">
        <w:rPr>
          <w:rFonts w:asciiTheme="majorHAnsi" w:hAnsiTheme="majorHAnsi" w:cstheme="majorHAnsi"/>
          <w:bCs/>
          <w:lang w:val="ro-MD"/>
        </w:rPr>
        <w:t>De menționat că</w:t>
      </w:r>
      <w:r w:rsidR="00815A71" w:rsidRPr="003F4D72">
        <w:rPr>
          <w:rFonts w:asciiTheme="majorHAnsi" w:hAnsiTheme="majorHAnsi" w:cstheme="majorHAnsi"/>
          <w:bCs/>
          <w:lang w:val="ro-MD"/>
        </w:rPr>
        <w:t>,</w:t>
      </w:r>
      <w:r w:rsidRPr="003F4D72">
        <w:rPr>
          <w:rFonts w:asciiTheme="majorHAnsi" w:hAnsiTheme="majorHAnsi" w:cstheme="majorHAnsi"/>
          <w:bCs/>
          <w:lang w:val="ro-MD"/>
        </w:rPr>
        <w:t xml:space="preserve"> deși aceste fonduri urmau a fi </w:t>
      </w:r>
      <w:r w:rsidRPr="003F4D72">
        <w:rPr>
          <w:rFonts w:asciiTheme="majorHAnsi" w:hAnsiTheme="majorHAnsi" w:cstheme="majorHAnsi"/>
          <w:iCs/>
          <w:lang w:val="ro-MD"/>
        </w:rPr>
        <w:t xml:space="preserve">realizate la dezvoltarea și modernizarea prestatorilor publici de servicii medicale, </w:t>
      </w:r>
      <w:r w:rsidR="00587424" w:rsidRPr="003F4D72">
        <w:rPr>
          <w:rFonts w:asciiTheme="majorHAnsi" w:hAnsiTheme="majorHAnsi" w:cstheme="majorHAnsi"/>
          <w:iCs/>
          <w:lang w:val="ro-MD"/>
        </w:rPr>
        <w:t xml:space="preserve">întreprinderea </w:t>
      </w:r>
      <w:r w:rsidRPr="003F4D72">
        <w:rPr>
          <w:rFonts w:asciiTheme="majorHAnsi" w:hAnsiTheme="majorHAnsi" w:cstheme="majorHAnsi"/>
          <w:iCs/>
          <w:lang w:val="ro-MD"/>
        </w:rPr>
        <w:t>m</w:t>
      </w:r>
      <w:r w:rsidRPr="003F4D72">
        <w:rPr>
          <w:rFonts w:asciiTheme="majorHAnsi" w:hAnsiTheme="majorHAnsi" w:cstheme="majorHAnsi"/>
          <w:lang w:val="ro-MD"/>
        </w:rPr>
        <w:t>ăsurilor de reducere a riscurilor de îmbolnăvire, situația epidemiologică dificilă, provocată de infecția Covid-19, a impus necesitatea implementării unor măsuri de finanțare suplimentare.</w:t>
      </w:r>
    </w:p>
    <w:p w14:paraId="3C7E4D85" w14:textId="77777777" w:rsidR="00E9741A" w:rsidRPr="003F4D72" w:rsidRDefault="00E9741A" w:rsidP="00692EC8">
      <w:pPr>
        <w:spacing w:after="0" w:line="276" w:lineRule="auto"/>
        <w:jc w:val="both"/>
        <w:rPr>
          <w:rFonts w:asciiTheme="majorHAnsi" w:hAnsiTheme="majorHAnsi" w:cstheme="majorHAnsi"/>
          <w:sz w:val="24"/>
          <w:szCs w:val="28"/>
        </w:rPr>
      </w:pPr>
    </w:p>
    <w:p w14:paraId="5470C966" w14:textId="315E0A01" w:rsidR="00EC4CF3" w:rsidRPr="003F4D72" w:rsidRDefault="003B34C9" w:rsidP="00081A3A">
      <w:pPr>
        <w:pStyle w:val="ListParagraph"/>
        <w:numPr>
          <w:ilvl w:val="1"/>
          <w:numId w:val="31"/>
        </w:numPr>
        <w:spacing w:after="0" w:line="276" w:lineRule="auto"/>
        <w:ind w:left="0" w:firstLine="284"/>
        <w:jc w:val="both"/>
        <w:rPr>
          <w:rFonts w:asciiTheme="majorHAnsi" w:hAnsiTheme="majorHAnsi" w:cstheme="majorHAnsi"/>
          <w:b/>
          <w:sz w:val="24"/>
          <w:szCs w:val="28"/>
          <w:lang w:val="ro-MD"/>
        </w:rPr>
      </w:pPr>
      <w:r w:rsidRPr="003F4D72">
        <w:rPr>
          <w:rFonts w:asciiTheme="majorHAnsi" w:hAnsiTheme="majorHAnsi" w:cstheme="majorHAnsi"/>
          <w:b/>
          <w:sz w:val="24"/>
          <w:szCs w:val="28"/>
          <w:lang w:val="ro-MD"/>
        </w:rPr>
        <w:t>I</w:t>
      </w:r>
      <w:r w:rsidR="00945CD3" w:rsidRPr="003F4D72">
        <w:rPr>
          <w:rFonts w:asciiTheme="majorHAnsi" w:hAnsiTheme="majorHAnsi" w:cstheme="majorHAnsi"/>
          <w:b/>
          <w:sz w:val="24"/>
          <w:szCs w:val="28"/>
          <w:lang w:val="ro-MD"/>
        </w:rPr>
        <w:t>nstituții</w:t>
      </w:r>
      <w:r w:rsidRPr="003F4D72">
        <w:rPr>
          <w:rFonts w:asciiTheme="majorHAnsi" w:hAnsiTheme="majorHAnsi" w:cstheme="majorHAnsi"/>
          <w:b/>
          <w:sz w:val="24"/>
          <w:szCs w:val="28"/>
          <w:lang w:val="ro-MD"/>
        </w:rPr>
        <w:t>le</w:t>
      </w:r>
      <w:r w:rsidR="00945CD3" w:rsidRPr="003F4D72">
        <w:rPr>
          <w:rFonts w:asciiTheme="majorHAnsi" w:hAnsiTheme="majorHAnsi" w:cstheme="majorHAnsi"/>
          <w:b/>
          <w:sz w:val="24"/>
          <w:szCs w:val="28"/>
          <w:lang w:val="ro-MD"/>
        </w:rPr>
        <w:t xml:space="preserve"> medicale spitalicești au beneficiat de mijloace financiare</w:t>
      </w:r>
      <w:r w:rsidR="005A5D6A" w:rsidRPr="003F4D72">
        <w:rPr>
          <w:rFonts w:asciiTheme="majorHAnsi" w:hAnsiTheme="majorHAnsi" w:cstheme="majorHAnsi"/>
          <w:b/>
          <w:sz w:val="24"/>
          <w:szCs w:val="28"/>
          <w:lang w:val="ro-MD"/>
        </w:rPr>
        <w:t xml:space="preserve"> </w:t>
      </w:r>
      <w:r w:rsidR="00677F1E" w:rsidRPr="003F4D72">
        <w:rPr>
          <w:rFonts w:asciiTheme="majorHAnsi" w:hAnsiTheme="majorHAnsi" w:cstheme="majorHAnsi"/>
          <w:b/>
          <w:sz w:val="24"/>
          <w:szCs w:val="28"/>
          <w:lang w:val="ro-MD"/>
        </w:rPr>
        <w:t xml:space="preserve">în sumă de </w:t>
      </w:r>
      <w:r w:rsidR="002A6988" w:rsidRPr="003F4D72">
        <w:rPr>
          <w:rFonts w:asciiTheme="majorHAnsi" w:hAnsiTheme="majorHAnsi" w:cstheme="majorHAnsi"/>
          <w:b/>
          <w:sz w:val="24"/>
          <w:szCs w:val="28"/>
          <w:lang w:val="ro-MD"/>
        </w:rPr>
        <w:t>619,2 mil.</w:t>
      </w:r>
      <w:r w:rsidR="005A5D6A" w:rsidRPr="003F4D72">
        <w:rPr>
          <w:rFonts w:asciiTheme="majorHAnsi" w:hAnsiTheme="majorHAnsi" w:cstheme="majorHAnsi"/>
          <w:b/>
          <w:sz w:val="24"/>
          <w:szCs w:val="28"/>
          <w:lang w:val="ro-MD"/>
        </w:rPr>
        <w:t>lei</w:t>
      </w:r>
      <w:r w:rsidR="00EB79E7" w:rsidRPr="003F4D72">
        <w:rPr>
          <w:rFonts w:asciiTheme="majorHAnsi" w:hAnsiTheme="majorHAnsi" w:cstheme="majorHAnsi"/>
          <w:b/>
          <w:sz w:val="24"/>
          <w:szCs w:val="28"/>
          <w:lang w:val="ro-MD"/>
        </w:rPr>
        <w:t>,</w:t>
      </w:r>
      <w:r w:rsidR="005A5D6A" w:rsidRPr="003F4D72">
        <w:rPr>
          <w:rFonts w:asciiTheme="majorHAnsi" w:hAnsiTheme="majorHAnsi" w:cstheme="majorHAnsi"/>
          <w:b/>
          <w:sz w:val="24"/>
          <w:szCs w:val="28"/>
          <w:lang w:val="ro-MD"/>
        </w:rPr>
        <w:t xml:space="preserve"> </w:t>
      </w:r>
      <w:r w:rsidR="00D411B3" w:rsidRPr="003F4D72">
        <w:rPr>
          <w:rFonts w:asciiTheme="majorHAnsi" w:hAnsiTheme="majorHAnsi" w:cstheme="majorHAnsi"/>
          <w:b/>
          <w:sz w:val="24"/>
          <w:szCs w:val="28"/>
          <w:lang w:val="ro-MD"/>
        </w:rPr>
        <w:t>care</w:t>
      </w:r>
      <w:r w:rsidR="006B4731" w:rsidRPr="003F4D72">
        <w:rPr>
          <w:rFonts w:asciiTheme="majorHAnsi" w:hAnsiTheme="majorHAnsi" w:cstheme="majorHAnsi"/>
          <w:b/>
          <w:sz w:val="24"/>
          <w:szCs w:val="28"/>
          <w:lang w:val="ro-MD"/>
        </w:rPr>
        <w:t xml:space="preserve"> </w:t>
      </w:r>
      <w:r w:rsidR="00EB79E7" w:rsidRPr="003F4D72">
        <w:rPr>
          <w:rFonts w:asciiTheme="majorHAnsi" w:hAnsiTheme="majorHAnsi" w:cstheme="majorHAnsi"/>
          <w:b/>
          <w:sz w:val="24"/>
          <w:szCs w:val="28"/>
          <w:lang w:val="ro-MD"/>
        </w:rPr>
        <w:t>au fost destinate acoperirii</w:t>
      </w:r>
      <w:r w:rsidR="006B4731" w:rsidRPr="003F4D72">
        <w:rPr>
          <w:rFonts w:asciiTheme="majorHAnsi" w:hAnsiTheme="majorHAnsi" w:cstheme="majorHAnsi"/>
          <w:b/>
          <w:sz w:val="24"/>
          <w:szCs w:val="28"/>
          <w:lang w:val="ro-MD"/>
        </w:rPr>
        <w:t xml:space="preserve"> </w:t>
      </w:r>
      <w:r w:rsidR="00EB79E7" w:rsidRPr="003F4D72">
        <w:rPr>
          <w:rFonts w:asciiTheme="majorHAnsi" w:hAnsiTheme="majorHAnsi" w:cstheme="majorHAnsi"/>
          <w:b/>
          <w:sz w:val="24"/>
          <w:szCs w:val="28"/>
          <w:lang w:val="ro-MD"/>
        </w:rPr>
        <w:t xml:space="preserve">volumelor contractuale nerealizate </w:t>
      </w:r>
      <w:r w:rsidR="006B4731" w:rsidRPr="003F4D72">
        <w:rPr>
          <w:rFonts w:asciiTheme="majorHAnsi" w:hAnsiTheme="majorHAnsi" w:cstheme="majorHAnsi"/>
          <w:b/>
          <w:sz w:val="24"/>
          <w:szCs w:val="28"/>
          <w:lang w:val="ro-MD"/>
        </w:rPr>
        <w:t>prin servicii medicale</w:t>
      </w:r>
      <w:r w:rsidRPr="003F4D72">
        <w:rPr>
          <w:rFonts w:asciiTheme="majorHAnsi" w:hAnsiTheme="majorHAnsi" w:cstheme="majorHAnsi"/>
          <w:b/>
          <w:sz w:val="24"/>
          <w:szCs w:val="28"/>
          <w:lang w:val="ro-MD"/>
        </w:rPr>
        <w:t xml:space="preserve"> în situația pandemică.</w:t>
      </w:r>
    </w:p>
    <w:p w14:paraId="05EB1EFB" w14:textId="3366DE84" w:rsidR="00677F1E" w:rsidRPr="003F4D72" w:rsidRDefault="005A5D6A" w:rsidP="004B7684">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Î</w:t>
      </w:r>
      <w:r w:rsidR="0097413C" w:rsidRPr="003F4D72">
        <w:rPr>
          <w:rFonts w:asciiTheme="majorHAnsi" w:hAnsiTheme="majorHAnsi" w:cstheme="majorHAnsi"/>
          <w:sz w:val="24"/>
          <w:szCs w:val="24"/>
        </w:rPr>
        <w:t xml:space="preserve">n temeiul </w:t>
      </w:r>
      <w:r w:rsidR="0097413C" w:rsidRPr="003F4D72">
        <w:rPr>
          <w:rFonts w:asciiTheme="majorHAnsi" w:hAnsiTheme="majorHAnsi" w:cstheme="majorHAnsi"/>
          <w:sz w:val="24"/>
          <w:szCs w:val="28"/>
        </w:rPr>
        <w:t>Legii nr.69</w:t>
      </w:r>
      <w:r w:rsidR="00A860D1" w:rsidRPr="003F4D72">
        <w:rPr>
          <w:rFonts w:asciiTheme="majorHAnsi" w:hAnsiTheme="majorHAnsi" w:cstheme="majorHAnsi"/>
          <w:sz w:val="24"/>
          <w:szCs w:val="28"/>
        </w:rPr>
        <w:t xml:space="preserve"> din 21.05.2020</w:t>
      </w:r>
      <w:r w:rsidR="0097413C" w:rsidRPr="003F4D72">
        <w:rPr>
          <w:rStyle w:val="FootnoteReference"/>
          <w:rFonts w:asciiTheme="majorHAnsi" w:hAnsiTheme="majorHAnsi" w:cstheme="majorHAnsi"/>
          <w:sz w:val="24"/>
          <w:szCs w:val="28"/>
        </w:rPr>
        <w:footnoteReference w:id="9"/>
      </w:r>
      <w:r w:rsidR="0097413C" w:rsidRPr="003F4D72">
        <w:rPr>
          <w:rFonts w:asciiTheme="majorHAnsi" w:hAnsiTheme="majorHAnsi" w:cstheme="majorHAnsi"/>
          <w:sz w:val="24"/>
          <w:szCs w:val="28"/>
        </w:rPr>
        <w:t xml:space="preserve"> </w:t>
      </w:r>
      <w:r w:rsidR="0097413C" w:rsidRPr="003F4D72">
        <w:rPr>
          <w:rFonts w:asciiTheme="majorHAnsi" w:hAnsiTheme="majorHAnsi" w:cstheme="majorHAnsi"/>
          <w:sz w:val="24"/>
          <w:szCs w:val="24"/>
        </w:rPr>
        <w:t>și pct.5</w:t>
      </w:r>
      <w:r w:rsidR="00587424" w:rsidRPr="003F4D72">
        <w:rPr>
          <w:rFonts w:asciiTheme="majorHAnsi" w:hAnsiTheme="majorHAnsi" w:cstheme="majorHAnsi"/>
          <w:sz w:val="24"/>
          <w:szCs w:val="24"/>
        </w:rPr>
        <w:t xml:space="preserve"> </w:t>
      </w:r>
      <w:r w:rsidR="0097413C" w:rsidRPr="003F4D72">
        <w:rPr>
          <w:rFonts w:asciiTheme="majorHAnsi" w:hAnsiTheme="majorHAnsi" w:cstheme="majorHAnsi"/>
          <w:sz w:val="24"/>
          <w:szCs w:val="24"/>
        </w:rPr>
        <w:t xml:space="preserve">din Dispoziția Comisiei pentru Situații Excepționale a Republicii Moldova </w:t>
      </w:r>
      <w:r w:rsidRPr="003F4D72">
        <w:rPr>
          <w:rFonts w:asciiTheme="majorHAnsi" w:hAnsiTheme="majorHAnsi" w:cstheme="majorHAnsi"/>
          <w:sz w:val="24"/>
          <w:szCs w:val="24"/>
        </w:rPr>
        <w:t xml:space="preserve">nr.2 din 20.03.2020, pe perioada stării de urgență </w:t>
      </w:r>
      <w:r w:rsidR="00E1201E" w:rsidRPr="003F4D72">
        <w:rPr>
          <w:rFonts w:asciiTheme="majorHAnsi" w:hAnsiTheme="majorHAnsi" w:cstheme="majorHAnsi"/>
          <w:sz w:val="24"/>
          <w:szCs w:val="24"/>
        </w:rPr>
        <w:t xml:space="preserve">CNAM a achitat lunar plăți în avans în mărime de 80% din 1/12 parte din suma contractuală </w:t>
      </w:r>
      <w:r w:rsidR="0040290D" w:rsidRPr="003F4D72">
        <w:rPr>
          <w:rFonts w:asciiTheme="majorHAnsi" w:hAnsiTheme="majorHAnsi" w:cstheme="majorHAnsi"/>
          <w:sz w:val="24"/>
          <w:szCs w:val="24"/>
        </w:rPr>
        <w:t xml:space="preserve">pentru </w:t>
      </w:r>
      <w:r w:rsidR="00E1201E" w:rsidRPr="003F4D72">
        <w:rPr>
          <w:rFonts w:asciiTheme="majorHAnsi" w:hAnsiTheme="majorHAnsi" w:cstheme="majorHAnsi"/>
          <w:sz w:val="24"/>
          <w:szCs w:val="24"/>
        </w:rPr>
        <w:t>instituțiile medicale</w:t>
      </w:r>
      <w:r w:rsidR="00CB0B33" w:rsidRPr="003F4D72">
        <w:rPr>
          <w:rFonts w:asciiTheme="majorHAnsi" w:hAnsiTheme="majorHAnsi" w:cstheme="majorHAnsi"/>
          <w:sz w:val="24"/>
          <w:szCs w:val="24"/>
        </w:rPr>
        <w:t xml:space="preserve"> publice </w:t>
      </w:r>
      <w:r w:rsidR="0040290D" w:rsidRPr="003F4D72">
        <w:rPr>
          <w:rFonts w:asciiTheme="majorHAnsi" w:hAnsiTheme="majorHAnsi" w:cstheme="majorHAnsi"/>
          <w:sz w:val="24"/>
          <w:szCs w:val="24"/>
        </w:rPr>
        <w:t>care nu au executat</w:t>
      </w:r>
      <w:r w:rsidR="00CB0B33" w:rsidRPr="003F4D72">
        <w:rPr>
          <w:rFonts w:asciiTheme="majorHAnsi" w:hAnsiTheme="majorHAnsi" w:cstheme="majorHAnsi"/>
          <w:sz w:val="24"/>
          <w:szCs w:val="24"/>
        </w:rPr>
        <w:t xml:space="preserve"> volumul de </w:t>
      </w:r>
      <w:proofErr w:type="spellStart"/>
      <w:r w:rsidR="00CB0B33" w:rsidRPr="003F4D72">
        <w:rPr>
          <w:rFonts w:asciiTheme="majorHAnsi" w:hAnsiTheme="majorHAnsi" w:cstheme="majorHAnsi"/>
          <w:sz w:val="24"/>
          <w:szCs w:val="24"/>
        </w:rPr>
        <w:t>asistenţă</w:t>
      </w:r>
      <w:proofErr w:type="spellEnd"/>
      <w:r w:rsidR="00CB0B33" w:rsidRPr="003F4D72">
        <w:rPr>
          <w:rFonts w:asciiTheme="majorHAnsi" w:hAnsiTheme="majorHAnsi" w:cstheme="majorHAnsi"/>
          <w:sz w:val="24"/>
          <w:szCs w:val="24"/>
        </w:rPr>
        <w:t xml:space="preserve"> medicală prevăzut în contractele de prestare a serviciilor medicale.</w:t>
      </w:r>
      <w:r w:rsidR="00E1201E" w:rsidRPr="003F4D72">
        <w:rPr>
          <w:rFonts w:asciiTheme="majorHAnsi" w:hAnsiTheme="majorHAnsi" w:cstheme="majorHAnsi"/>
          <w:sz w:val="24"/>
          <w:szCs w:val="24"/>
        </w:rPr>
        <w:t xml:space="preserve"> </w:t>
      </w:r>
    </w:p>
    <w:p w14:paraId="28103D41" w14:textId="392F3B1D" w:rsidR="005A5D6A" w:rsidRPr="003F4D72" w:rsidRDefault="00B71AE3" w:rsidP="004B7684">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lastRenderedPageBreak/>
        <w:t xml:space="preserve">Această măsură a avut drept scop asigurarea </w:t>
      </w:r>
      <w:r w:rsidR="00243C81" w:rsidRPr="003F4D72">
        <w:rPr>
          <w:rFonts w:asciiTheme="majorHAnsi" w:eastAsiaTheme="minorHAnsi" w:hAnsiTheme="majorHAnsi" w:cstheme="majorHAnsi"/>
          <w:sz w:val="24"/>
          <w:szCs w:val="24"/>
        </w:rPr>
        <w:t>continuității desfășurării activităților</w:t>
      </w:r>
      <w:r w:rsidR="00CD6CC1" w:rsidRPr="003F4D72">
        <w:rPr>
          <w:rFonts w:asciiTheme="majorHAnsi" w:eastAsiaTheme="minorHAnsi" w:hAnsiTheme="majorHAnsi" w:cstheme="majorHAnsi"/>
          <w:sz w:val="24"/>
          <w:szCs w:val="24"/>
        </w:rPr>
        <w:t>,</w:t>
      </w:r>
      <w:r w:rsidR="00D411B3" w:rsidRPr="003F4D72">
        <w:rPr>
          <w:rFonts w:asciiTheme="majorHAnsi" w:eastAsiaTheme="minorHAnsi" w:hAnsiTheme="majorHAnsi" w:cstheme="majorHAnsi"/>
          <w:sz w:val="24"/>
          <w:szCs w:val="24"/>
        </w:rPr>
        <w:t xml:space="preserve"> </w:t>
      </w:r>
      <w:r w:rsidR="00F94B61" w:rsidRPr="003F4D72">
        <w:rPr>
          <w:rFonts w:asciiTheme="majorHAnsi" w:eastAsiaTheme="minorHAnsi" w:hAnsiTheme="majorHAnsi" w:cstheme="majorHAnsi"/>
          <w:sz w:val="24"/>
          <w:szCs w:val="24"/>
        </w:rPr>
        <w:t xml:space="preserve">dispunerea de mijloace financiare necesare pentru </w:t>
      </w:r>
      <w:r w:rsidR="00701B77" w:rsidRPr="003F4D72">
        <w:rPr>
          <w:rFonts w:asciiTheme="majorHAnsi" w:eastAsiaTheme="minorHAnsi" w:hAnsiTheme="majorHAnsi" w:cstheme="majorHAnsi"/>
          <w:sz w:val="24"/>
          <w:szCs w:val="24"/>
        </w:rPr>
        <w:t>acoper</w:t>
      </w:r>
      <w:r w:rsidR="00677F1E" w:rsidRPr="003F4D72">
        <w:rPr>
          <w:rFonts w:asciiTheme="majorHAnsi" w:eastAsiaTheme="minorHAnsi" w:hAnsiTheme="majorHAnsi" w:cstheme="majorHAnsi"/>
          <w:sz w:val="24"/>
          <w:szCs w:val="24"/>
        </w:rPr>
        <w:t xml:space="preserve">irea cheltuielilor de personal și </w:t>
      </w:r>
      <w:r w:rsidR="00701B77" w:rsidRPr="003F4D72">
        <w:rPr>
          <w:rFonts w:asciiTheme="majorHAnsi" w:eastAsiaTheme="minorHAnsi" w:hAnsiTheme="majorHAnsi" w:cstheme="majorHAnsi"/>
          <w:sz w:val="24"/>
          <w:szCs w:val="24"/>
        </w:rPr>
        <w:t>onorarea obligațiunilor contr</w:t>
      </w:r>
      <w:r w:rsidR="00677F1E" w:rsidRPr="003F4D72">
        <w:rPr>
          <w:rFonts w:asciiTheme="majorHAnsi" w:eastAsiaTheme="minorHAnsi" w:hAnsiTheme="majorHAnsi" w:cstheme="majorHAnsi"/>
          <w:sz w:val="24"/>
          <w:szCs w:val="24"/>
        </w:rPr>
        <w:t>actuale cu operatorii economici</w:t>
      </w:r>
      <w:r w:rsidR="00CD6CC1" w:rsidRPr="003F4D72">
        <w:rPr>
          <w:rFonts w:asciiTheme="majorHAnsi" w:eastAsiaTheme="minorHAnsi" w:hAnsiTheme="majorHAnsi" w:cstheme="majorHAnsi"/>
          <w:sz w:val="24"/>
          <w:szCs w:val="24"/>
        </w:rPr>
        <w:t xml:space="preserve"> </w:t>
      </w:r>
      <w:r w:rsidR="00677F1E" w:rsidRPr="003F4D72">
        <w:rPr>
          <w:rFonts w:asciiTheme="majorHAnsi" w:eastAsiaTheme="minorHAnsi" w:hAnsiTheme="majorHAnsi" w:cstheme="majorHAnsi"/>
          <w:sz w:val="24"/>
          <w:szCs w:val="24"/>
        </w:rPr>
        <w:t>etc.</w:t>
      </w:r>
    </w:p>
    <w:p w14:paraId="120AB7B0" w14:textId="261ABEAD" w:rsidR="00991CCD" w:rsidRPr="003F4D72" w:rsidRDefault="00E9741A" w:rsidP="004B7684">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8"/>
        </w:rPr>
        <w:t>Astfel</w:t>
      </w:r>
      <w:r w:rsidR="00F94B61" w:rsidRPr="003F4D72">
        <w:rPr>
          <w:rFonts w:asciiTheme="majorHAnsi" w:hAnsiTheme="majorHAnsi" w:cstheme="majorHAnsi"/>
          <w:sz w:val="24"/>
          <w:szCs w:val="28"/>
        </w:rPr>
        <w:t>,</w:t>
      </w:r>
      <w:r w:rsidRPr="003F4D72">
        <w:rPr>
          <w:rFonts w:asciiTheme="majorHAnsi" w:hAnsiTheme="majorHAnsi" w:cstheme="majorHAnsi"/>
          <w:sz w:val="24"/>
          <w:szCs w:val="28"/>
        </w:rPr>
        <w:t xml:space="preserve"> în perioada stării de urgență</w:t>
      </w:r>
      <w:r w:rsidR="00CD6CC1" w:rsidRPr="003F4D72">
        <w:rPr>
          <w:rFonts w:asciiTheme="majorHAnsi" w:hAnsiTheme="majorHAnsi" w:cstheme="majorHAnsi"/>
          <w:sz w:val="24"/>
          <w:szCs w:val="28"/>
        </w:rPr>
        <w:t>,</w:t>
      </w:r>
      <w:r w:rsidRPr="003F4D72">
        <w:rPr>
          <w:rFonts w:asciiTheme="majorHAnsi" w:hAnsiTheme="majorHAnsi" w:cstheme="majorHAnsi"/>
          <w:sz w:val="24"/>
          <w:szCs w:val="28"/>
        </w:rPr>
        <w:t xml:space="preserve"> </w:t>
      </w:r>
      <w:r w:rsidR="0068002F" w:rsidRPr="003F4D72">
        <w:rPr>
          <w:rFonts w:asciiTheme="majorHAnsi" w:hAnsiTheme="majorHAnsi" w:cstheme="majorHAnsi"/>
          <w:sz w:val="24"/>
          <w:szCs w:val="28"/>
        </w:rPr>
        <w:t>CNAM</w:t>
      </w:r>
      <w:r w:rsidRPr="003F4D72">
        <w:rPr>
          <w:rFonts w:asciiTheme="majorHAnsi" w:hAnsiTheme="majorHAnsi" w:cstheme="majorHAnsi"/>
          <w:sz w:val="24"/>
          <w:szCs w:val="28"/>
        </w:rPr>
        <w:t xml:space="preserve"> a </w:t>
      </w:r>
      <w:r w:rsidR="00677F1E" w:rsidRPr="003F4D72">
        <w:rPr>
          <w:rFonts w:asciiTheme="majorHAnsi" w:hAnsiTheme="majorHAnsi" w:cstheme="majorHAnsi"/>
          <w:sz w:val="24"/>
          <w:szCs w:val="28"/>
        </w:rPr>
        <w:t>achitat</w:t>
      </w:r>
      <w:r w:rsidRPr="003F4D72">
        <w:rPr>
          <w:rFonts w:asciiTheme="majorHAnsi" w:hAnsiTheme="majorHAnsi" w:cstheme="majorHAnsi"/>
          <w:sz w:val="24"/>
          <w:szCs w:val="28"/>
        </w:rPr>
        <w:t xml:space="preserve"> pentru 57 de instituții medicale spitalicești </w:t>
      </w:r>
      <w:r w:rsidR="00677F1E" w:rsidRPr="003F4D72">
        <w:rPr>
          <w:rFonts w:asciiTheme="majorHAnsi" w:hAnsiTheme="majorHAnsi" w:cstheme="majorHAnsi"/>
          <w:sz w:val="24"/>
          <w:szCs w:val="28"/>
        </w:rPr>
        <w:t xml:space="preserve">mijloace financiare în sumă de </w:t>
      </w:r>
      <w:r w:rsidR="008F6721" w:rsidRPr="003F4D72">
        <w:rPr>
          <w:rFonts w:asciiTheme="majorHAnsi" w:hAnsiTheme="majorHAnsi" w:cstheme="majorHAnsi"/>
          <w:sz w:val="24"/>
          <w:szCs w:val="28"/>
        </w:rPr>
        <w:t>619,2 mil.</w:t>
      </w:r>
      <w:r w:rsidR="00677F1E" w:rsidRPr="003F4D72">
        <w:rPr>
          <w:rFonts w:asciiTheme="majorHAnsi" w:hAnsiTheme="majorHAnsi" w:cstheme="majorHAnsi"/>
          <w:sz w:val="24"/>
          <w:szCs w:val="28"/>
        </w:rPr>
        <w:t xml:space="preserve">lei (15 % din </w:t>
      </w:r>
      <w:r w:rsidR="0076388E" w:rsidRPr="003F4D72">
        <w:rPr>
          <w:rFonts w:asciiTheme="majorHAnsi" w:hAnsiTheme="majorHAnsi" w:cstheme="majorHAnsi"/>
          <w:sz w:val="24"/>
          <w:szCs w:val="28"/>
        </w:rPr>
        <w:t>4</w:t>
      </w:r>
      <w:r w:rsidR="000529CC" w:rsidRPr="003F4D72">
        <w:rPr>
          <w:rFonts w:asciiTheme="majorHAnsi" w:hAnsiTheme="majorHAnsi" w:cstheme="majorHAnsi"/>
          <w:sz w:val="24"/>
          <w:szCs w:val="28"/>
        </w:rPr>
        <w:t xml:space="preserve"> </w:t>
      </w:r>
      <w:r w:rsidR="0076388E" w:rsidRPr="003F4D72">
        <w:rPr>
          <w:rFonts w:asciiTheme="majorHAnsi" w:hAnsiTheme="majorHAnsi" w:cstheme="majorHAnsi"/>
          <w:sz w:val="24"/>
          <w:szCs w:val="28"/>
        </w:rPr>
        <w:t xml:space="preserve">242,1 mil.lei </w:t>
      </w:r>
      <w:r w:rsidR="00CD6CC1" w:rsidRPr="003F4D72">
        <w:rPr>
          <w:rFonts w:asciiTheme="majorHAnsi" w:hAnsiTheme="majorHAnsi" w:cstheme="majorHAnsi"/>
          <w:sz w:val="24"/>
          <w:szCs w:val="28"/>
        </w:rPr>
        <w:t>–</w:t>
      </w:r>
      <w:r w:rsidR="0076388E" w:rsidRPr="003F4D72">
        <w:rPr>
          <w:rFonts w:asciiTheme="majorHAnsi" w:hAnsiTheme="majorHAnsi" w:cstheme="majorHAnsi"/>
          <w:sz w:val="24"/>
          <w:szCs w:val="28"/>
        </w:rPr>
        <w:t xml:space="preserve"> </w:t>
      </w:r>
      <w:r w:rsidR="00677F1E" w:rsidRPr="003F4D72">
        <w:rPr>
          <w:rFonts w:asciiTheme="majorHAnsi" w:hAnsiTheme="majorHAnsi" w:cstheme="majorHAnsi"/>
          <w:sz w:val="24"/>
          <w:szCs w:val="28"/>
        </w:rPr>
        <w:t>totalul mijl</w:t>
      </w:r>
      <w:r w:rsidR="00EB79E7" w:rsidRPr="003F4D72">
        <w:rPr>
          <w:rFonts w:asciiTheme="majorHAnsi" w:hAnsiTheme="majorHAnsi" w:cstheme="majorHAnsi"/>
          <w:sz w:val="24"/>
          <w:szCs w:val="28"/>
        </w:rPr>
        <w:t>oacelor financiare de executa</w:t>
      </w:r>
      <w:r w:rsidR="00CD6CC1" w:rsidRPr="003F4D72">
        <w:rPr>
          <w:rFonts w:asciiTheme="majorHAnsi" w:hAnsiTheme="majorHAnsi" w:cstheme="majorHAnsi"/>
          <w:sz w:val="24"/>
          <w:szCs w:val="28"/>
        </w:rPr>
        <w:t>r</w:t>
      </w:r>
      <w:r w:rsidR="00EB79E7" w:rsidRPr="003F4D72">
        <w:rPr>
          <w:rFonts w:asciiTheme="majorHAnsi" w:hAnsiTheme="majorHAnsi" w:cstheme="majorHAnsi"/>
          <w:sz w:val="24"/>
          <w:szCs w:val="28"/>
        </w:rPr>
        <w:t xml:space="preserve">e </w:t>
      </w:r>
      <w:r w:rsidR="00991CCD" w:rsidRPr="003F4D72">
        <w:rPr>
          <w:rFonts w:asciiTheme="majorHAnsi" w:hAnsiTheme="majorHAnsi" w:cstheme="majorHAnsi"/>
          <w:sz w:val="24"/>
          <w:szCs w:val="28"/>
        </w:rPr>
        <w:t xml:space="preserve">pe subprogramul </w:t>
      </w:r>
      <w:r w:rsidR="00677F1E" w:rsidRPr="003F4D72">
        <w:rPr>
          <w:rFonts w:asciiTheme="majorHAnsi" w:hAnsiTheme="majorHAnsi" w:cstheme="majorHAnsi"/>
          <w:sz w:val="24"/>
          <w:szCs w:val="28"/>
        </w:rPr>
        <w:t xml:space="preserve">AMS) </w:t>
      </w:r>
      <w:r w:rsidRPr="003F4D72">
        <w:rPr>
          <w:rFonts w:asciiTheme="majorHAnsi" w:hAnsiTheme="majorHAnsi" w:cstheme="majorHAnsi"/>
          <w:sz w:val="24"/>
          <w:szCs w:val="28"/>
        </w:rPr>
        <w:t>destinate pentru acoperirea vol</w:t>
      </w:r>
      <w:r w:rsidR="00377ED1" w:rsidRPr="003F4D72">
        <w:rPr>
          <w:rFonts w:asciiTheme="majorHAnsi" w:hAnsiTheme="majorHAnsi" w:cstheme="majorHAnsi"/>
          <w:sz w:val="24"/>
          <w:szCs w:val="28"/>
        </w:rPr>
        <w:t xml:space="preserve">umelor contractuale neexecutate, </w:t>
      </w:r>
      <w:r w:rsidR="00CE3F34" w:rsidRPr="003F4D72">
        <w:rPr>
          <w:rFonts w:asciiTheme="majorHAnsi" w:hAnsiTheme="majorHAnsi" w:cstheme="majorHAnsi"/>
          <w:sz w:val="24"/>
          <w:szCs w:val="28"/>
        </w:rPr>
        <w:t xml:space="preserve">situație redată în </w:t>
      </w:r>
      <w:r w:rsidR="00CD6CC1" w:rsidRPr="003F4D72">
        <w:rPr>
          <w:rFonts w:asciiTheme="majorHAnsi" w:hAnsiTheme="majorHAnsi" w:cstheme="majorHAnsi"/>
          <w:sz w:val="24"/>
          <w:szCs w:val="28"/>
        </w:rPr>
        <w:t>A</w:t>
      </w:r>
      <w:r w:rsidR="00CE3F34" w:rsidRPr="003F4D72">
        <w:rPr>
          <w:rFonts w:asciiTheme="majorHAnsi" w:hAnsiTheme="majorHAnsi" w:cstheme="majorHAnsi"/>
          <w:sz w:val="24"/>
          <w:szCs w:val="28"/>
        </w:rPr>
        <w:t>nexa nr.4</w:t>
      </w:r>
      <w:r w:rsidR="00CD6CC1" w:rsidRPr="003F4D72">
        <w:rPr>
          <w:rFonts w:asciiTheme="majorHAnsi" w:hAnsiTheme="majorHAnsi" w:cstheme="majorHAnsi"/>
          <w:sz w:val="24"/>
          <w:szCs w:val="28"/>
        </w:rPr>
        <w:t xml:space="preserve"> la prezentul Raport</w:t>
      </w:r>
      <w:r w:rsidR="00377ED1" w:rsidRPr="003F4D72">
        <w:rPr>
          <w:rFonts w:asciiTheme="majorHAnsi" w:hAnsiTheme="majorHAnsi" w:cstheme="majorHAnsi"/>
          <w:sz w:val="24"/>
          <w:szCs w:val="28"/>
        </w:rPr>
        <w:t>.</w:t>
      </w:r>
      <w:r w:rsidR="00815A71" w:rsidRPr="003F4D72">
        <w:rPr>
          <w:rFonts w:asciiTheme="majorHAnsi" w:hAnsiTheme="majorHAnsi" w:cstheme="majorHAnsi"/>
          <w:sz w:val="24"/>
          <w:szCs w:val="28"/>
        </w:rPr>
        <w:t xml:space="preserve">  </w:t>
      </w:r>
    </w:p>
    <w:p w14:paraId="612DF57E" w14:textId="5CFBF448" w:rsidR="000F4859" w:rsidRPr="003F4D72" w:rsidRDefault="00991CCD" w:rsidP="00916BD7">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I</w:t>
      </w:r>
      <w:r w:rsidR="00B131DF" w:rsidRPr="003F4D72">
        <w:rPr>
          <w:rFonts w:asciiTheme="majorHAnsi" w:hAnsiTheme="majorHAnsi" w:cstheme="majorHAnsi"/>
          <w:sz w:val="24"/>
          <w:szCs w:val="24"/>
        </w:rPr>
        <w:t>nstituțiile medicale care în anul 2020 au avut cel mai mare număr de</w:t>
      </w:r>
      <w:r w:rsidR="001A263D" w:rsidRPr="003F4D72">
        <w:rPr>
          <w:rFonts w:asciiTheme="majorHAnsi" w:hAnsiTheme="majorHAnsi" w:cstheme="majorHAnsi"/>
          <w:sz w:val="24"/>
          <w:szCs w:val="24"/>
        </w:rPr>
        <w:t xml:space="preserve"> servicii spitalicești nerealizate</w:t>
      </w:r>
      <w:r w:rsidR="00CD6CC1" w:rsidRPr="003F4D72">
        <w:rPr>
          <w:rFonts w:asciiTheme="majorHAnsi" w:hAnsiTheme="majorHAnsi" w:cstheme="majorHAnsi"/>
          <w:sz w:val="24"/>
          <w:szCs w:val="24"/>
        </w:rPr>
        <w:t>,</w:t>
      </w:r>
      <w:r w:rsidR="001A263D" w:rsidRPr="003F4D72">
        <w:rPr>
          <w:rFonts w:asciiTheme="majorHAnsi" w:hAnsiTheme="majorHAnsi" w:cstheme="majorHAnsi"/>
          <w:sz w:val="24"/>
          <w:szCs w:val="24"/>
        </w:rPr>
        <w:t xml:space="preserve"> comparativ cu volumul de asistenț</w:t>
      </w:r>
      <w:r w:rsidRPr="003F4D72">
        <w:rPr>
          <w:rFonts w:asciiTheme="majorHAnsi" w:hAnsiTheme="majorHAnsi" w:cstheme="majorHAnsi"/>
          <w:sz w:val="24"/>
          <w:szCs w:val="24"/>
        </w:rPr>
        <w:t>ă medicală contractată inițial, se prezintă</w:t>
      </w:r>
      <w:r w:rsidR="00CD6CC1" w:rsidRPr="003F4D72">
        <w:rPr>
          <w:rFonts w:asciiTheme="majorHAnsi" w:hAnsiTheme="majorHAnsi" w:cstheme="majorHAnsi"/>
          <w:sz w:val="24"/>
          <w:szCs w:val="24"/>
        </w:rPr>
        <w:t>,</w:t>
      </w:r>
      <w:r w:rsidRPr="003F4D72">
        <w:rPr>
          <w:rFonts w:asciiTheme="majorHAnsi" w:hAnsiTheme="majorHAnsi" w:cstheme="majorHAnsi"/>
          <w:sz w:val="24"/>
          <w:szCs w:val="24"/>
        </w:rPr>
        <w:t xml:space="preserve"> după cum urmează:</w:t>
      </w:r>
    </w:p>
    <w:p w14:paraId="7E926FE7" w14:textId="19556096" w:rsidR="000F4859" w:rsidRPr="003F4D72" w:rsidRDefault="000F4859" w:rsidP="000F4859">
      <w:pPr>
        <w:pStyle w:val="ListParagraph"/>
        <w:spacing w:after="0" w:line="276" w:lineRule="auto"/>
        <w:ind w:left="0" w:firstLine="567"/>
        <w:jc w:val="center"/>
        <w:rPr>
          <w:rFonts w:asciiTheme="majorHAnsi" w:eastAsia="Times New Roman" w:hAnsiTheme="majorHAnsi" w:cstheme="majorHAnsi"/>
          <w:noProof/>
          <w:sz w:val="20"/>
          <w:szCs w:val="24"/>
          <w:lang w:val="ro-MD" w:eastAsia="ru-RU"/>
        </w:rPr>
      </w:pPr>
      <w:r w:rsidRPr="003F4D72">
        <w:rPr>
          <w:rFonts w:asciiTheme="majorHAnsi" w:hAnsiTheme="majorHAnsi" w:cstheme="majorHAnsi"/>
          <w:b/>
          <w:sz w:val="24"/>
          <w:szCs w:val="28"/>
          <w:lang w:val="ro-MD"/>
        </w:rPr>
        <w:t>Instituțiile medicale spitalicești care au beneficiat de mijloace financiare destinate acoperirii volumelor contractuale nerealizate</w:t>
      </w:r>
    </w:p>
    <w:p w14:paraId="4F87AB3A" w14:textId="44FED086" w:rsidR="00F956A9" w:rsidRPr="003F4D72" w:rsidRDefault="00B402C7" w:rsidP="00B402C7">
      <w:pPr>
        <w:pStyle w:val="ListParagraph"/>
        <w:spacing w:after="0" w:line="276" w:lineRule="auto"/>
        <w:ind w:left="0" w:firstLine="567"/>
        <w:jc w:val="right"/>
        <w:rPr>
          <w:rFonts w:asciiTheme="majorHAnsi" w:hAnsiTheme="majorHAnsi"/>
          <w:sz w:val="20"/>
          <w:szCs w:val="28"/>
          <w:lang w:val="ro-MD"/>
        </w:rPr>
      </w:pPr>
      <w:r w:rsidRPr="003F4D72">
        <w:rPr>
          <w:rFonts w:asciiTheme="majorHAnsi" w:eastAsia="Times New Roman" w:hAnsiTheme="majorHAnsi" w:cstheme="majorHAnsi"/>
          <w:noProof/>
          <w:sz w:val="20"/>
          <w:szCs w:val="24"/>
          <w:lang w:val="ro-MD" w:eastAsia="ru-RU"/>
        </w:rPr>
        <w:t>Tabelul nr.</w:t>
      </w:r>
      <w:r w:rsidR="00AB4EC3" w:rsidRPr="003F4D72">
        <w:rPr>
          <w:rFonts w:asciiTheme="majorHAnsi" w:eastAsia="Times New Roman" w:hAnsiTheme="majorHAnsi" w:cstheme="majorHAnsi"/>
          <w:noProof/>
          <w:sz w:val="20"/>
          <w:szCs w:val="24"/>
          <w:lang w:val="ro-MD" w:eastAsia="ru-RU"/>
        </w:rPr>
        <w:t>3</w:t>
      </w:r>
      <w:r w:rsidR="00EB79E7" w:rsidRPr="003F4D72">
        <w:rPr>
          <w:rFonts w:asciiTheme="majorHAnsi" w:eastAsia="Times New Roman" w:hAnsiTheme="majorHAnsi" w:cstheme="majorHAnsi"/>
          <w:noProof/>
          <w:sz w:val="20"/>
          <w:szCs w:val="24"/>
          <w:lang w:val="ro-MD" w:eastAsia="ru-RU"/>
        </w:rPr>
        <w:t>, mii lei</w:t>
      </w:r>
    </w:p>
    <w:tbl>
      <w:tblPr>
        <w:tblStyle w:val="GridTable1Light"/>
        <w:tblW w:w="0" w:type="auto"/>
        <w:tblLook w:val="04A0" w:firstRow="1" w:lastRow="0" w:firstColumn="1" w:lastColumn="0" w:noHBand="0" w:noVBand="1"/>
      </w:tblPr>
      <w:tblGrid>
        <w:gridCol w:w="3114"/>
        <w:gridCol w:w="1984"/>
        <w:gridCol w:w="1276"/>
        <w:gridCol w:w="1276"/>
        <w:gridCol w:w="1700"/>
      </w:tblGrid>
      <w:tr w:rsidR="00B131DF" w:rsidRPr="003F4D72" w14:paraId="0AD80A3B" w14:textId="77777777" w:rsidTr="000F485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3114" w:type="dxa"/>
            <w:hideMark/>
          </w:tcPr>
          <w:p w14:paraId="22C0BC58" w14:textId="77777777" w:rsidR="00F956A9" w:rsidRPr="003F4D72" w:rsidRDefault="00F956A9" w:rsidP="00543011">
            <w:pPr>
              <w:jc w:val="center"/>
              <w:rPr>
                <w:rFonts w:asciiTheme="majorHAnsi" w:eastAsia="Times New Roman" w:hAnsiTheme="majorHAnsi" w:cstheme="majorHAnsi"/>
                <w:b w:val="0"/>
                <w:bCs w:val="0"/>
                <w:sz w:val="20"/>
                <w:szCs w:val="20"/>
              </w:rPr>
            </w:pPr>
            <w:r w:rsidRPr="003F4D72">
              <w:rPr>
                <w:rFonts w:asciiTheme="majorHAnsi" w:eastAsia="Times New Roman" w:hAnsiTheme="majorHAnsi" w:cstheme="majorHAnsi"/>
                <w:b w:val="0"/>
                <w:bCs w:val="0"/>
                <w:sz w:val="20"/>
                <w:szCs w:val="20"/>
              </w:rPr>
              <w:t>Denumirea prestatorului de servicii medicale</w:t>
            </w:r>
          </w:p>
        </w:tc>
        <w:tc>
          <w:tcPr>
            <w:tcW w:w="1984" w:type="dxa"/>
            <w:hideMark/>
          </w:tcPr>
          <w:p w14:paraId="57064180" w14:textId="77777777" w:rsidR="00F956A9" w:rsidRPr="003F4D72" w:rsidRDefault="00F956A9" w:rsidP="00EB79E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 xml:space="preserve">Suma destinată acoperirii volumelor contractuale neexecutate pe perioada stării de urgență în sănătate publică </w:t>
            </w:r>
          </w:p>
        </w:tc>
        <w:tc>
          <w:tcPr>
            <w:tcW w:w="1276" w:type="dxa"/>
            <w:hideMark/>
          </w:tcPr>
          <w:p w14:paraId="260BBAEC" w14:textId="49F93CDA" w:rsidR="00B131DF" w:rsidRPr="003F4D72" w:rsidRDefault="00F956A9" w:rsidP="005430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 xml:space="preserve">Numărul de cazuri </w:t>
            </w:r>
            <w:r w:rsidR="00B131DF" w:rsidRPr="003F4D72">
              <w:rPr>
                <w:rFonts w:asciiTheme="majorHAnsi" w:eastAsia="Times New Roman" w:hAnsiTheme="majorHAnsi" w:cstheme="majorHAnsi"/>
                <w:sz w:val="20"/>
                <w:szCs w:val="20"/>
              </w:rPr>
              <w:t>tratate</w:t>
            </w:r>
            <w:r w:rsidR="009916EF" w:rsidRPr="003F4D72">
              <w:rPr>
                <w:rFonts w:asciiTheme="majorHAnsi" w:eastAsia="Times New Roman" w:hAnsiTheme="majorHAnsi" w:cstheme="majorHAnsi"/>
                <w:sz w:val="20"/>
                <w:szCs w:val="20"/>
              </w:rPr>
              <w:t>,</w:t>
            </w:r>
          </w:p>
          <w:p w14:paraId="2B0EA708" w14:textId="77777777" w:rsidR="00F956A9" w:rsidRPr="003F4D72" w:rsidRDefault="00F956A9" w:rsidP="005430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contractat inițial</w:t>
            </w:r>
          </w:p>
        </w:tc>
        <w:tc>
          <w:tcPr>
            <w:tcW w:w="1276" w:type="dxa"/>
            <w:hideMark/>
          </w:tcPr>
          <w:p w14:paraId="6C2AB9B1" w14:textId="3FEC1999" w:rsidR="00F956A9" w:rsidRPr="003F4D72" w:rsidRDefault="00F956A9" w:rsidP="005430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 xml:space="preserve">Numărul de cazuri </w:t>
            </w:r>
            <w:r w:rsidR="00B131DF" w:rsidRPr="003F4D72">
              <w:rPr>
                <w:rFonts w:asciiTheme="majorHAnsi" w:eastAsia="Times New Roman" w:hAnsiTheme="majorHAnsi" w:cstheme="majorHAnsi"/>
                <w:sz w:val="20"/>
                <w:szCs w:val="20"/>
              </w:rPr>
              <w:t>tratate</w:t>
            </w:r>
            <w:r w:rsidR="009916EF" w:rsidRPr="003F4D72">
              <w:rPr>
                <w:rFonts w:asciiTheme="majorHAnsi" w:eastAsia="Times New Roman" w:hAnsiTheme="majorHAnsi" w:cstheme="majorHAnsi"/>
                <w:sz w:val="20"/>
                <w:szCs w:val="20"/>
              </w:rPr>
              <w:t>,</w:t>
            </w:r>
            <w:r w:rsidR="00B131DF" w:rsidRPr="003F4D72">
              <w:rPr>
                <w:rFonts w:asciiTheme="majorHAnsi" w:eastAsia="Times New Roman" w:hAnsiTheme="majorHAnsi" w:cstheme="majorHAnsi"/>
                <w:sz w:val="20"/>
                <w:szCs w:val="20"/>
              </w:rPr>
              <w:t xml:space="preserve"> </w:t>
            </w:r>
            <w:r w:rsidRPr="003F4D72">
              <w:rPr>
                <w:rFonts w:asciiTheme="majorHAnsi" w:eastAsia="Times New Roman" w:hAnsiTheme="majorHAnsi" w:cstheme="majorHAnsi"/>
                <w:sz w:val="20"/>
                <w:szCs w:val="20"/>
              </w:rPr>
              <w:t>executate</w:t>
            </w:r>
          </w:p>
        </w:tc>
        <w:tc>
          <w:tcPr>
            <w:tcW w:w="1700" w:type="dxa"/>
            <w:hideMark/>
          </w:tcPr>
          <w:p w14:paraId="3E22A8B2" w14:textId="77777777" w:rsidR="00B131DF" w:rsidRPr="003F4D72" w:rsidRDefault="007E08C3" w:rsidP="005430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 xml:space="preserve">Numărul cazurilor </w:t>
            </w:r>
            <w:r w:rsidR="00B131DF" w:rsidRPr="003F4D72">
              <w:rPr>
                <w:rFonts w:asciiTheme="majorHAnsi" w:eastAsia="Times New Roman" w:hAnsiTheme="majorHAnsi" w:cstheme="majorHAnsi"/>
                <w:sz w:val="20"/>
                <w:szCs w:val="20"/>
              </w:rPr>
              <w:t>tratate</w:t>
            </w:r>
          </w:p>
          <w:p w14:paraId="52AE95FF" w14:textId="64EE9518" w:rsidR="00B131DF" w:rsidRPr="003F4D72" w:rsidRDefault="00F956A9" w:rsidP="005430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contractate</w:t>
            </w:r>
            <w:r w:rsidR="007E08C3" w:rsidRPr="003F4D72">
              <w:rPr>
                <w:rFonts w:asciiTheme="majorHAnsi" w:eastAsia="Times New Roman" w:hAnsiTheme="majorHAnsi" w:cstheme="majorHAnsi"/>
                <w:sz w:val="20"/>
                <w:szCs w:val="20"/>
              </w:rPr>
              <w:t xml:space="preserve"> inițial</w:t>
            </w:r>
            <w:r w:rsidR="009916EF" w:rsidRPr="003F4D72">
              <w:rPr>
                <w:rFonts w:asciiTheme="majorHAnsi" w:eastAsia="Times New Roman" w:hAnsiTheme="majorHAnsi" w:cstheme="majorHAnsi"/>
                <w:sz w:val="20"/>
                <w:szCs w:val="20"/>
              </w:rPr>
              <w:t>,</w:t>
            </w:r>
            <w:r w:rsidR="007E08C3" w:rsidRPr="003F4D72">
              <w:rPr>
                <w:rFonts w:asciiTheme="majorHAnsi" w:eastAsia="Times New Roman" w:hAnsiTheme="majorHAnsi" w:cstheme="majorHAnsi"/>
                <w:sz w:val="20"/>
                <w:szCs w:val="20"/>
              </w:rPr>
              <w:t xml:space="preserve"> comparativ cu</w:t>
            </w:r>
            <w:r w:rsidRPr="003F4D72">
              <w:rPr>
                <w:rFonts w:asciiTheme="majorHAnsi" w:eastAsia="Times New Roman" w:hAnsiTheme="majorHAnsi" w:cstheme="majorHAnsi"/>
                <w:sz w:val="20"/>
                <w:szCs w:val="20"/>
              </w:rPr>
              <w:t xml:space="preserve"> </w:t>
            </w:r>
            <w:r w:rsidR="00B131DF" w:rsidRPr="003F4D72">
              <w:rPr>
                <w:rFonts w:asciiTheme="majorHAnsi" w:eastAsia="Times New Roman" w:hAnsiTheme="majorHAnsi" w:cstheme="majorHAnsi"/>
                <w:sz w:val="20"/>
                <w:szCs w:val="20"/>
              </w:rPr>
              <w:t>cazurile tratate</w:t>
            </w:r>
          </w:p>
          <w:p w14:paraId="0EBD2F9B" w14:textId="77777777" w:rsidR="00F956A9" w:rsidRPr="003F4D72" w:rsidRDefault="00F956A9" w:rsidP="0054301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executate</w:t>
            </w:r>
          </w:p>
        </w:tc>
      </w:tr>
      <w:tr w:rsidR="00B131DF" w:rsidRPr="003F4D72" w14:paraId="6434DF48" w14:textId="77777777" w:rsidTr="000F4859">
        <w:trPr>
          <w:trHeight w:val="60"/>
        </w:trPr>
        <w:tc>
          <w:tcPr>
            <w:cnfStyle w:val="001000000000" w:firstRow="0" w:lastRow="0" w:firstColumn="1" w:lastColumn="0" w:oddVBand="0" w:evenVBand="0" w:oddHBand="0" w:evenHBand="0" w:firstRowFirstColumn="0" w:firstRowLastColumn="0" w:lastRowFirstColumn="0" w:lastRowLastColumn="0"/>
            <w:tcW w:w="3114" w:type="dxa"/>
          </w:tcPr>
          <w:p w14:paraId="1D0D2066" w14:textId="77777777" w:rsidR="00B131DF" w:rsidRPr="003F4D72" w:rsidRDefault="00B131DF" w:rsidP="00543011">
            <w:pPr>
              <w:jc w:val="center"/>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1</w:t>
            </w:r>
          </w:p>
        </w:tc>
        <w:tc>
          <w:tcPr>
            <w:tcW w:w="1984" w:type="dxa"/>
          </w:tcPr>
          <w:p w14:paraId="1BA0ADEB" w14:textId="77777777" w:rsidR="00B131DF" w:rsidRPr="003F4D72" w:rsidRDefault="00B131DF" w:rsidP="005430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rPr>
            </w:pPr>
            <w:r w:rsidRPr="003F4D72">
              <w:rPr>
                <w:rFonts w:asciiTheme="majorHAnsi" w:eastAsia="Times New Roman" w:hAnsiTheme="majorHAnsi" w:cstheme="majorHAnsi"/>
                <w:bCs/>
                <w:sz w:val="20"/>
                <w:szCs w:val="20"/>
              </w:rPr>
              <w:t>2</w:t>
            </w:r>
          </w:p>
        </w:tc>
        <w:tc>
          <w:tcPr>
            <w:tcW w:w="1276" w:type="dxa"/>
          </w:tcPr>
          <w:p w14:paraId="7E3CC112" w14:textId="77777777" w:rsidR="00B131DF" w:rsidRPr="003F4D72" w:rsidRDefault="00B131DF" w:rsidP="005430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rPr>
            </w:pPr>
            <w:r w:rsidRPr="003F4D72">
              <w:rPr>
                <w:rFonts w:asciiTheme="majorHAnsi" w:eastAsia="Times New Roman" w:hAnsiTheme="majorHAnsi" w:cstheme="majorHAnsi"/>
                <w:bCs/>
                <w:sz w:val="20"/>
                <w:szCs w:val="20"/>
              </w:rPr>
              <w:t>3</w:t>
            </w:r>
          </w:p>
        </w:tc>
        <w:tc>
          <w:tcPr>
            <w:tcW w:w="1276" w:type="dxa"/>
          </w:tcPr>
          <w:p w14:paraId="7BC7D249" w14:textId="77777777" w:rsidR="00B131DF" w:rsidRPr="003F4D72" w:rsidRDefault="00B131DF" w:rsidP="005430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rPr>
            </w:pPr>
            <w:r w:rsidRPr="003F4D72">
              <w:rPr>
                <w:rFonts w:asciiTheme="majorHAnsi" w:eastAsia="Times New Roman" w:hAnsiTheme="majorHAnsi" w:cstheme="majorHAnsi"/>
                <w:bCs/>
                <w:sz w:val="20"/>
                <w:szCs w:val="20"/>
              </w:rPr>
              <w:t>4</w:t>
            </w:r>
          </w:p>
        </w:tc>
        <w:tc>
          <w:tcPr>
            <w:tcW w:w="1700" w:type="dxa"/>
          </w:tcPr>
          <w:p w14:paraId="3BDB3960" w14:textId="77777777" w:rsidR="00B131DF" w:rsidRPr="003F4D72" w:rsidRDefault="00B131DF" w:rsidP="0054301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rPr>
            </w:pPr>
            <w:r w:rsidRPr="003F4D72">
              <w:rPr>
                <w:rFonts w:asciiTheme="majorHAnsi" w:eastAsia="Times New Roman" w:hAnsiTheme="majorHAnsi" w:cstheme="majorHAnsi"/>
                <w:bCs/>
                <w:sz w:val="20"/>
                <w:szCs w:val="20"/>
              </w:rPr>
              <w:t>5=3-4</w:t>
            </w:r>
          </w:p>
        </w:tc>
      </w:tr>
      <w:tr w:rsidR="00B131DF" w:rsidRPr="003F4D72" w14:paraId="1B85AD1F" w14:textId="77777777" w:rsidTr="000F4859">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B66AAF7"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Spitalul Clinic Republican „</w:t>
            </w:r>
            <w:proofErr w:type="spellStart"/>
            <w:r w:rsidRPr="003F4D72">
              <w:rPr>
                <w:rFonts w:asciiTheme="majorHAnsi" w:eastAsia="Times New Roman" w:hAnsiTheme="majorHAnsi" w:cstheme="majorHAnsi"/>
                <w:sz w:val="20"/>
                <w:szCs w:val="20"/>
              </w:rPr>
              <w:t>Timofei</w:t>
            </w:r>
            <w:proofErr w:type="spellEnd"/>
            <w:r w:rsidRPr="003F4D72">
              <w:rPr>
                <w:rFonts w:asciiTheme="majorHAnsi" w:eastAsia="Times New Roman" w:hAnsiTheme="majorHAnsi" w:cstheme="majorHAnsi"/>
                <w:sz w:val="20"/>
                <w:szCs w:val="20"/>
              </w:rPr>
              <w:t xml:space="preserve"> </w:t>
            </w:r>
            <w:proofErr w:type="spellStart"/>
            <w:r w:rsidRPr="003F4D72">
              <w:rPr>
                <w:rFonts w:asciiTheme="majorHAnsi" w:eastAsia="Times New Roman" w:hAnsiTheme="majorHAnsi" w:cstheme="majorHAnsi"/>
                <w:sz w:val="20"/>
                <w:szCs w:val="20"/>
              </w:rPr>
              <w:t>Moșneaga</w:t>
            </w:r>
            <w:proofErr w:type="spellEnd"/>
            <w:r w:rsidRPr="003F4D72">
              <w:rPr>
                <w:rFonts w:asciiTheme="majorHAnsi" w:eastAsia="Times New Roman" w:hAnsiTheme="majorHAnsi" w:cstheme="majorHAnsi"/>
                <w:sz w:val="20"/>
                <w:szCs w:val="20"/>
              </w:rPr>
              <w:t>”</w:t>
            </w:r>
          </w:p>
        </w:tc>
        <w:tc>
          <w:tcPr>
            <w:tcW w:w="1984" w:type="dxa"/>
            <w:noWrap/>
            <w:hideMark/>
          </w:tcPr>
          <w:p w14:paraId="0CB9AF75" w14:textId="77777777" w:rsidR="00F956A9" w:rsidRPr="003F4D72" w:rsidRDefault="00EB79E7" w:rsidP="00EB79E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84 455,5</w:t>
            </w:r>
          </w:p>
        </w:tc>
        <w:tc>
          <w:tcPr>
            <w:tcW w:w="1276" w:type="dxa"/>
            <w:noWrap/>
            <w:hideMark/>
          </w:tcPr>
          <w:p w14:paraId="4A8CDA4B"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25191</w:t>
            </w:r>
          </w:p>
        </w:tc>
        <w:tc>
          <w:tcPr>
            <w:tcW w:w="1276" w:type="dxa"/>
            <w:noWrap/>
            <w:hideMark/>
          </w:tcPr>
          <w:p w14:paraId="189F5154"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12693</w:t>
            </w:r>
          </w:p>
        </w:tc>
        <w:tc>
          <w:tcPr>
            <w:tcW w:w="1700" w:type="dxa"/>
            <w:noWrap/>
            <w:hideMark/>
          </w:tcPr>
          <w:p w14:paraId="32FFD470"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12498</w:t>
            </w:r>
          </w:p>
        </w:tc>
      </w:tr>
      <w:tr w:rsidR="00B131DF" w:rsidRPr="003F4D72" w14:paraId="5DBF64B0" w14:textId="77777777" w:rsidTr="000F4859">
        <w:trPr>
          <w:trHeight w:val="22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24F4F55"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Institutul Mamei și Copilului</w:t>
            </w:r>
          </w:p>
        </w:tc>
        <w:tc>
          <w:tcPr>
            <w:tcW w:w="1984" w:type="dxa"/>
            <w:noWrap/>
            <w:hideMark/>
          </w:tcPr>
          <w:p w14:paraId="67A35E3F" w14:textId="77777777" w:rsidR="00F956A9" w:rsidRPr="003F4D72" w:rsidRDefault="00EB79E7"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66 963,4</w:t>
            </w:r>
          </w:p>
        </w:tc>
        <w:tc>
          <w:tcPr>
            <w:tcW w:w="1276" w:type="dxa"/>
            <w:noWrap/>
            <w:hideMark/>
          </w:tcPr>
          <w:p w14:paraId="01638629"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41297</w:t>
            </w:r>
          </w:p>
        </w:tc>
        <w:tc>
          <w:tcPr>
            <w:tcW w:w="1276" w:type="dxa"/>
            <w:noWrap/>
            <w:hideMark/>
          </w:tcPr>
          <w:p w14:paraId="621E7C41"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30273</w:t>
            </w:r>
          </w:p>
        </w:tc>
        <w:tc>
          <w:tcPr>
            <w:tcW w:w="1700" w:type="dxa"/>
            <w:noWrap/>
            <w:hideMark/>
          </w:tcPr>
          <w:p w14:paraId="4691ADA5"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11024</w:t>
            </w:r>
          </w:p>
        </w:tc>
      </w:tr>
      <w:tr w:rsidR="00B131DF" w:rsidRPr="003F4D72" w14:paraId="530E1718" w14:textId="77777777" w:rsidTr="000F4859">
        <w:trPr>
          <w:trHeight w:val="95"/>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286944C"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Institutul de Medicină Urgentă</w:t>
            </w:r>
          </w:p>
        </w:tc>
        <w:tc>
          <w:tcPr>
            <w:tcW w:w="1984" w:type="dxa"/>
            <w:noWrap/>
            <w:hideMark/>
          </w:tcPr>
          <w:p w14:paraId="4FF3F1B6" w14:textId="77777777" w:rsidR="00F956A9" w:rsidRPr="003F4D72" w:rsidRDefault="00EB79E7"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43 596,7</w:t>
            </w:r>
          </w:p>
        </w:tc>
        <w:tc>
          <w:tcPr>
            <w:tcW w:w="1276" w:type="dxa"/>
            <w:noWrap/>
            <w:hideMark/>
          </w:tcPr>
          <w:p w14:paraId="5C8CC59B"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21469</w:t>
            </w:r>
          </w:p>
        </w:tc>
        <w:tc>
          <w:tcPr>
            <w:tcW w:w="1276" w:type="dxa"/>
            <w:noWrap/>
            <w:hideMark/>
          </w:tcPr>
          <w:p w14:paraId="1F85BA21"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13145</w:t>
            </w:r>
          </w:p>
        </w:tc>
        <w:tc>
          <w:tcPr>
            <w:tcW w:w="1700" w:type="dxa"/>
            <w:noWrap/>
            <w:hideMark/>
          </w:tcPr>
          <w:p w14:paraId="68425043"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8324</w:t>
            </w:r>
          </w:p>
        </w:tc>
      </w:tr>
      <w:tr w:rsidR="00B131DF" w:rsidRPr="003F4D72" w14:paraId="2E4108B7" w14:textId="77777777" w:rsidTr="000F4859">
        <w:trPr>
          <w:trHeight w:val="127"/>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E98DE1E"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Spitalul Clinic Bălți</w:t>
            </w:r>
          </w:p>
        </w:tc>
        <w:tc>
          <w:tcPr>
            <w:tcW w:w="1984" w:type="dxa"/>
            <w:noWrap/>
            <w:hideMark/>
          </w:tcPr>
          <w:p w14:paraId="298DFC0B" w14:textId="77777777" w:rsidR="00F956A9" w:rsidRPr="003F4D72" w:rsidRDefault="00EB79E7"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32 354,8</w:t>
            </w:r>
          </w:p>
        </w:tc>
        <w:tc>
          <w:tcPr>
            <w:tcW w:w="1276" w:type="dxa"/>
            <w:noWrap/>
            <w:hideMark/>
          </w:tcPr>
          <w:p w14:paraId="470AEEFD"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30952</w:t>
            </w:r>
          </w:p>
        </w:tc>
        <w:tc>
          <w:tcPr>
            <w:tcW w:w="1276" w:type="dxa"/>
            <w:noWrap/>
            <w:hideMark/>
          </w:tcPr>
          <w:p w14:paraId="097F3435"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22156</w:t>
            </w:r>
          </w:p>
        </w:tc>
        <w:tc>
          <w:tcPr>
            <w:tcW w:w="1700" w:type="dxa"/>
            <w:noWrap/>
            <w:hideMark/>
          </w:tcPr>
          <w:p w14:paraId="700295FD"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8796</w:t>
            </w:r>
          </w:p>
        </w:tc>
      </w:tr>
      <w:tr w:rsidR="00B131DF" w:rsidRPr="003F4D72" w14:paraId="5113EC0A" w14:textId="77777777" w:rsidTr="000F4859">
        <w:trPr>
          <w:trHeight w:val="287"/>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FF82D6C"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Spitalul Clinic Municipal „Gheorghe Paladi”</w:t>
            </w:r>
          </w:p>
        </w:tc>
        <w:tc>
          <w:tcPr>
            <w:tcW w:w="1984" w:type="dxa"/>
            <w:noWrap/>
            <w:hideMark/>
          </w:tcPr>
          <w:p w14:paraId="3EF35303" w14:textId="77777777" w:rsidR="00F956A9" w:rsidRPr="003F4D72" w:rsidRDefault="00EB79E7" w:rsidP="00EB79E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30 050,4 </w:t>
            </w:r>
          </w:p>
        </w:tc>
        <w:tc>
          <w:tcPr>
            <w:tcW w:w="1276" w:type="dxa"/>
            <w:noWrap/>
            <w:hideMark/>
          </w:tcPr>
          <w:p w14:paraId="17C47E92"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28150</w:t>
            </w:r>
          </w:p>
        </w:tc>
        <w:tc>
          <w:tcPr>
            <w:tcW w:w="1276" w:type="dxa"/>
            <w:noWrap/>
            <w:hideMark/>
          </w:tcPr>
          <w:p w14:paraId="683870C4"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20826</w:t>
            </w:r>
          </w:p>
        </w:tc>
        <w:tc>
          <w:tcPr>
            <w:tcW w:w="1700" w:type="dxa"/>
            <w:noWrap/>
            <w:hideMark/>
          </w:tcPr>
          <w:p w14:paraId="584B0537"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7324</w:t>
            </w:r>
          </w:p>
        </w:tc>
      </w:tr>
      <w:tr w:rsidR="00B131DF" w:rsidRPr="003F4D72" w14:paraId="3D85AB65" w14:textId="77777777" w:rsidTr="000F4859">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04532C67"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Spitalul Clinic al Ministerului Sănătății, Muncii și Protecției Sociale</w:t>
            </w:r>
          </w:p>
        </w:tc>
        <w:tc>
          <w:tcPr>
            <w:tcW w:w="1984" w:type="dxa"/>
            <w:noWrap/>
            <w:hideMark/>
          </w:tcPr>
          <w:p w14:paraId="05DB2D0F" w14:textId="77777777" w:rsidR="00F956A9" w:rsidRPr="003F4D72" w:rsidRDefault="00EB79E7"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23 470,2</w:t>
            </w:r>
          </w:p>
        </w:tc>
        <w:tc>
          <w:tcPr>
            <w:tcW w:w="1276" w:type="dxa"/>
            <w:noWrap/>
            <w:hideMark/>
          </w:tcPr>
          <w:p w14:paraId="445C506C"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6420</w:t>
            </w:r>
          </w:p>
        </w:tc>
        <w:tc>
          <w:tcPr>
            <w:tcW w:w="1276" w:type="dxa"/>
            <w:noWrap/>
            <w:hideMark/>
          </w:tcPr>
          <w:p w14:paraId="24860D03"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2706</w:t>
            </w:r>
          </w:p>
        </w:tc>
        <w:tc>
          <w:tcPr>
            <w:tcW w:w="1700" w:type="dxa"/>
            <w:noWrap/>
            <w:hideMark/>
          </w:tcPr>
          <w:p w14:paraId="45ADF465"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3714</w:t>
            </w:r>
          </w:p>
        </w:tc>
      </w:tr>
      <w:tr w:rsidR="00B131DF" w:rsidRPr="003F4D72" w14:paraId="3DB70C00" w14:textId="77777777" w:rsidTr="000F4859">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C0D2053"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 xml:space="preserve">IMSP Spitalul Clinic Municipal de Copii „V. </w:t>
            </w:r>
            <w:proofErr w:type="spellStart"/>
            <w:r w:rsidRPr="003F4D72">
              <w:rPr>
                <w:rFonts w:asciiTheme="majorHAnsi" w:eastAsia="Times New Roman" w:hAnsiTheme="majorHAnsi" w:cstheme="majorHAnsi"/>
                <w:sz w:val="20"/>
                <w:szCs w:val="20"/>
              </w:rPr>
              <w:t>Ignatenco</w:t>
            </w:r>
            <w:proofErr w:type="spellEnd"/>
            <w:r w:rsidRPr="003F4D72">
              <w:rPr>
                <w:rFonts w:asciiTheme="majorHAnsi" w:eastAsia="Times New Roman" w:hAnsiTheme="majorHAnsi" w:cstheme="majorHAnsi"/>
                <w:sz w:val="20"/>
                <w:szCs w:val="20"/>
              </w:rPr>
              <w:t>”</w:t>
            </w:r>
          </w:p>
        </w:tc>
        <w:tc>
          <w:tcPr>
            <w:tcW w:w="1984" w:type="dxa"/>
            <w:noWrap/>
            <w:hideMark/>
          </w:tcPr>
          <w:p w14:paraId="2E9DF9CD" w14:textId="77777777" w:rsidR="00F956A9" w:rsidRPr="003F4D72" w:rsidRDefault="00EB79E7" w:rsidP="00EB79E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21 906,6 </w:t>
            </w:r>
          </w:p>
        </w:tc>
        <w:tc>
          <w:tcPr>
            <w:tcW w:w="1276" w:type="dxa"/>
            <w:noWrap/>
            <w:hideMark/>
          </w:tcPr>
          <w:p w14:paraId="7D850BA7"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14100</w:t>
            </w:r>
          </w:p>
        </w:tc>
        <w:tc>
          <w:tcPr>
            <w:tcW w:w="1276" w:type="dxa"/>
            <w:noWrap/>
            <w:hideMark/>
          </w:tcPr>
          <w:p w14:paraId="741D123B"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8552</w:t>
            </w:r>
          </w:p>
        </w:tc>
        <w:tc>
          <w:tcPr>
            <w:tcW w:w="1700" w:type="dxa"/>
            <w:noWrap/>
            <w:hideMark/>
          </w:tcPr>
          <w:p w14:paraId="1A515859"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5548</w:t>
            </w:r>
          </w:p>
        </w:tc>
      </w:tr>
      <w:tr w:rsidR="00B131DF" w:rsidRPr="003F4D72" w14:paraId="2BBE5A57" w14:textId="77777777" w:rsidTr="000F4859">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32542249"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Spitalul Clinic Municipal „Sfântul Arhanghel Mihail”</w:t>
            </w:r>
          </w:p>
        </w:tc>
        <w:tc>
          <w:tcPr>
            <w:tcW w:w="1984" w:type="dxa"/>
            <w:noWrap/>
            <w:hideMark/>
          </w:tcPr>
          <w:p w14:paraId="60B40C88" w14:textId="77777777" w:rsidR="00F956A9" w:rsidRPr="003F4D72" w:rsidRDefault="00EB79E7" w:rsidP="00EB79E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18 237,6 </w:t>
            </w:r>
          </w:p>
        </w:tc>
        <w:tc>
          <w:tcPr>
            <w:tcW w:w="1276" w:type="dxa"/>
            <w:noWrap/>
            <w:hideMark/>
          </w:tcPr>
          <w:p w14:paraId="76519837"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10410</w:t>
            </w:r>
          </w:p>
        </w:tc>
        <w:tc>
          <w:tcPr>
            <w:tcW w:w="1276" w:type="dxa"/>
            <w:noWrap/>
            <w:hideMark/>
          </w:tcPr>
          <w:p w14:paraId="33497BE1"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2881</w:t>
            </w:r>
          </w:p>
        </w:tc>
        <w:tc>
          <w:tcPr>
            <w:tcW w:w="1700" w:type="dxa"/>
            <w:noWrap/>
            <w:hideMark/>
          </w:tcPr>
          <w:p w14:paraId="252230FF"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7529</w:t>
            </w:r>
          </w:p>
        </w:tc>
      </w:tr>
      <w:tr w:rsidR="00B131DF" w:rsidRPr="003F4D72" w14:paraId="78F0A58A" w14:textId="77777777" w:rsidTr="000F4859">
        <w:trPr>
          <w:trHeight w:val="145"/>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09C7BD2"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Institutul de Cardiologie</w:t>
            </w:r>
          </w:p>
        </w:tc>
        <w:tc>
          <w:tcPr>
            <w:tcW w:w="1984" w:type="dxa"/>
            <w:noWrap/>
            <w:hideMark/>
          </w:tcPr>
          <w:p w14:paraId="4E46F451" w14:textId="77777777" w:rsidR="00F956A9" w:rsidRPr="003F4D72" w:rsidRDefault="00EB79E7"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17 078,0</w:t>
            </w:r>
          </w:p>
        </w:tc>
        <w:tc>
          <w:tcPr>
            <w:tcW w:w="1276" w:type="dxa"/>
            <w:noWrap/>
            <w:hideMark/>
          </w:tcPr>
          <w:p w14:paraId="131796C7"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9492</w:t>
            </w:r>
          </w:p>
        </w:tc>
        <w:tc>
          <w:tcPr>
            <w:tcW w:w="1276" w:type="dxa"/>
            <w:noWrap/>
            <w:hideMark/>
          </w:tcPr>
          <w:p w14:paraId="0B00117C"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6425</w:t>
            </w:r>
          </w:p>
        </w:tc>
        <w:tc>
          <w:tcPr>
            <w:tcW w:w="1700" w:type="dxa"/>
            <w:noWrap/>
            <w:hideMark/>
          </w:tcPr>
          <w:p w14:paraId="1CAB7693"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3067</w:t>
            </w:r>
          </w:p>
        </w:tc>
      </w:tr>
      <w:tr w:rsidR="00B131DF" w:rsidRPr="003F4D72" w14:paraId="77C177B0" w14:textId="77777777" w:rsidTr="000F4859">
        <w:trPr>
          <w:trHeight w:val="31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30B8B8E"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Institutul de Neurologie și Neurochirurgie „</w:t>
            </w:r>
            <w:proofErr w:type="spellStart"/>
            <w:r w:rsidRPr="003F4D72">
              <w:rPr>
                <w:rFonts w:asciiTheme="majorHAnsi" w:eastAsia="Times New Roman" w:hAnsiTheme="majorHAnsi" w:cstheme="majorHAnsi"/>
                <w:sz w:val="20"/>
                <w:szCs w:val="20"/>
              </w:rPr>
              <w:t>Diomid</w:t>
            </w:r>
            <w:proofErr w:type="spellEnd"/>
            <w:r w:rsidRPr="003F4D72">
              <w:rPr>
                <w:rFonts w:asciiTheme="majorHAnsi" w:eastAsia="Times New Roman" w:hAnsiTheme="majorHAnsi" w:cstheme="majorHAnsi"/>
                <w:sz w:val="20"/>
                <w:szCs w:val="20"/>
              </w:rPr>
              <w:t xml:space="preserve"> Gherman”</w:t>
            </w:r>
          </w:p>
        </w:tc>
        <w:tc>
          <w:tcPr>
            <w:tcW w:w="1984" w:type="dxa"/>
            <w:noWrap/>
            <w:hideMark/>
          </w:tcPr>
          <w:p w14:paraId="2CF59A22" w14:textId="77777777" w:rsidR="00F956A9" w:rsidRPr="003F4D72" w:rsidRDefault="00EB79E7"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15 225,3</w:t>
            </w:r>
          </w:p>
        </w:tc>
        <w:tc>
          <w:tcPr>
            <w:tcW w:w="1276" w:type="dxa"/>
            <w:noWrap/>
            <w:hideMark/>
          </w:tcPr>
          <w:p w14:paraId="6526D222"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4530</w:t>
            </w:r>
          </w:p>
        </w:tc>
        <w:tc>
          <w:tcPr>
            <w:tcW w:w="1276" w:type="dxa"/>
            <w:noWrap/>
            <w:hideMark/>
          </w:tcPr>
          <w:p w14:paraId="1D583CA5"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3118</w:t>
            </w:r>
          </w:p>
        </w:tc>
        <w:tc>
          <w:tcPr>
            <w:tcW w:w="1700" w:type="dxa"/>
            <w:noWrap/>
            <w:hideMark/>
          </w:tcPr>
          <w:p w14:paraId="5D1B34B2"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1412</w:t>
            </w:r>
          </w:p>
        </w:tc>
      </w:tr>
      <w:tr w:rsidR="00B131DF" w:rsidRPr="003F4D72" w14:paraId="2D56DC8C" w14:textId="77777777" w:rsidTr="000F4859">
        <w:trPr>
          <w:trHeight w:val="99"/>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41991C6" w14:textId="77777777" w:rsidR="00F956A9" w:rsidRPr="003F4D72" w:rsidRDefault="00F956A9" w:rsidP="00BB05EA">
            <w:pPr>
              <w:jc w:val="both"/>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IMSP Institutul Oncologic</w:t>
            </w:r>
          </w:p>
        </w:tc>
        <w:tc>
          <w:tcPr>
            <w:tcW w:w="1984" w:type="dxa"/>
            <w:noWrap/>
            <w:hideMark/>
          </w:tcPr>
          <w:p w14:paraId="73FA3610" w14:textId="77777777" w:rsidR="00F956A9" w:rsidRPr="003F4D72" w:rsidRDefault="00EB79E7" w:rsidP="00EB79E7">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15 026,5 </w:t>
            </w:r>
          </w:p>
        </w:tc>
        <w:tc>
          <w:tcPr>
            <w:tcW w:w="1276" w:type="dxa"/>
            <w:noWrap/>
            <w:hideMark/>
          </w:tcPr>
          <w:p w14:paraId="60F8FB8C"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24502</w:t>
            </w:r>
          </w:p>
        </w:tc>
        <w:tc>
          <w:tcPr>
            <w:tcW w:w="1276" w:type="dxa"/>
            <w:noWrap/>
            <w:hideMark/>
          </w:tcPr>
          <w:p w14:paraId="4AD70DE3"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21541</w:t>
            </w:r>
          </w:p>
        </w:tc>
        <w:tc>
          <w:tcPr>
            <w:tcW w:w="1700" w:type="dxa"/>
            <w:noWrap/>
            <w:hideMark/>
          </w:tcPr>
          <w:p w14:paraId="373CAA1D" w14:textId="77777777" w:rsidR="00F956A9" w:rsidRPr="003F4D72" w:rsidRDefault="00F956A9" w:rsidP="00F956A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2961</w:t>
            </w:r>
          </w:p>
        </w:tc>
      </w:tr>
      <w:tr w:rsidR="00B84D03" w:rsidRPr="003F4D72" w14:paraId="554A4472" w14:textId="77777777" w:rsidTr="000F4859">
        <w:trPr>
          <w:trHeight w:val="64"/>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857C1AB" w14:textId="77777777" w:rsidR="00B84D03" w:rsidRPr="003F4D72" w:rsidRDefault="00B84D03" w:rsidP="00B84D03">
            <w:pPr>
              <w:rPr>
                <w:rFonts w:asciiTheme="majorHAnsi" w:eastAsia="Times New Roman" w:hAnsiTheme="majorHAnsi" w:cstheme="majorHAnsi"/>
                <w:b w:val="0"/>
                <w:sz w:val="20"/>
                <w:szCs w:val="20"/>
              </w:rPr>
            </w:pPr>
            <w:r w:rsidRPr="003F4D72">
              <w:rPr>
                <w:rFonts w:asciiTheme="majorHAnsi" w:eastAsia="Times New Roman" w:hAnsiTheme="majorHAnsi" w:cstheme="majorHAnsi"/>
                <w:sz w:val="20"/>
                <w:szCs w:val="20"/>
              </w:rPr>
              <w:t>TOTAL:</w:t>
            </w:r>
          </w:p>
        </w:tc>
        <w:tc>
          <w:tcPr>
            <w:tcW w:w="1984" w:type="dxa"/>
            <w:noWrap/>
            <w:hideMark/>
          </w:tcPr>
          <w:p w14:paraId="59ADC304" w14:textId="77777777" w:rsidR="00B84D03" w:rsidRPr="003F4D72" w:rsidRDefault="00B84D03" w:rsidP="00B84D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368 365,0</w:t>
            </w:r>
          </w:p>
        </w:tc>
        <w:tc>
          <w:tcPr>
            <w:tcW w:w="1276" w:type="dxa"/>
            <w:noWrap/>
            <w:hideMark/>
          </w:tcPr>
          <w:p w14:paraId="7A1F6111" w14:textId="77777777" w:rsidR="00B84D03" w:rsidRPr="003F4D72" w:rsidRDefault="00B84D03" w:rsidP="00B84D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216513</w:t>
            </w:r>
          </w:p>
        </w:tc>
        <w:tc>
          <w:tcPr>
            <w:tcW w:w="1276" w:type="dxa"/>
            <w:noWrap/>
            <w:hideMark/>
          </w:tcPr>
          <w:p w14:paraId="20DBC99B" w14:textId="77777777" w:rsidR="00B84D03" w:rsidRPr="003F4D72" w:rsidRDefault="00B84D03" w:rsidP="00B84D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144316</w:t>
            </w:r>
          </w:p>
        </w:tc>
        <w:tc>
          <w:tcPr>
            <w:tcW w:w="1700" w:type="dxa"/>
            <w:noWrap/>
            <w:hideMark/>
          </w:tcPr>
          <w:p w14:paraId="2AD1FFAC" w14:textId="77777777" w:rsidR="00B84D03" w:rsidRPr="003F4D72" w:rsidRDefault="00B84D03" w:rsidP="00B84D0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72197</w:t>
            </w:r>
          </w:p>
        </w:tc>
      </w:tr>
    </w:tbl>
    <w:p w14:paraId="70E4E466" w14:textId="6B11ABF1" w:rsidR="00F956A9" w:rsidRPr="003F4D72" w:rsidRDefault="001A097E" w:rsidP="00916BD7">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w:t>
      </w:r>
      <w:r w:rsidR="009916EF" w:rsidRPr="003F4D72">
        <w:rPr>
          <w:rFonts w:asciiTheme="majorHAnsi" w:eastAsia="Times New Roman" w:hAnsiTheme="majorHAnsi" w:cstheme="majorHAnsi"/>
          <w:b/>
          <w:i/>
          <w:noProof/>
          <w:sz w:val="20"/>
          <w:szCs w:val="20"/>
          <w:lang w:eastAsia="ru-RU"/>
        </w:rPr>
        <w:t>ă</w:t>
      </w:r>
      <w:r w:rsidRPr="003F4D72">
        <w:rPr>
          <w:rFonts w:asciiTheme="majorHAnsi" w:eastAsia="Times New Roman" w:hAnsiTheme="majorHAnsi" w:cstheme="majorHAnsi"/>
          <w:b/>
          <w:i/>
          <w:noProof/>
          <w:sz w:val="20"/>
          <w:szCs w:val="20"/>
          <w:lang w:eastAsia="ru-RU"/>
        </w:rPr>
        <w:t>:</w:t>
      </w:r>
      <w:r w:rsidRPr="003F4D72">
        <w:rPr>
          <w:rFonts w:asciiTheme="majorHAnsi" w:eastAsia="Times New Roman" w:hAnsiTheme="majorHAnsi" w:cstheme="majorHAnsi"/>
          <w:i/>
          <w:noProof/>
          <w:sz w:val="20"/>
          <w:szCs w:val="20"/>
          <w:lang w:eastAsia="ru-RU"/>
        </w:rPr>
        <w:t xml:space="preserve"> Contractele de acordare a asistenței medicale (de prestare a serviciilor medicale) în cadrul asigurării obligatorii de asistență medicală pentru anul 2020</w:t>
      </w:r>
      <w:r w:rsidR="009916EF" w:rsidRPr="003F4D72">
        <w:rPr>
          <w:rFonts w:asciiTheme="majorHAnsi" w:eastAsia="Times New Roman" w:hAnsiTheme="majorHAnsi" w:cstheme="majorHAnsi"/>
          <w:i/>
          <w:noProof/>
          <w:sz w:val="20"/>
          <w:szCs w:val="20"/>
          <w:lang w:eastAsia="ru-RU"/>
        </w:rPr>
        <w:t>.</w:t>
      </w:r>
    </w:p>
    <w:p w14:paraId="181B1744" w14:textId="669BDE70" w:rsidR="00B131DF" w:rsidRPr="003F4D72" w:rsidRDefault="00B131DF" w:rsidP="00C35736">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Auditul relevă că cele mai semnificative </w:t>
      </w:r>
      <w:r w:rsidRPr="003F4D72">
        <w:rPr>
          <w:rFonts w:asciiTheme="majorHAnsi" w:eastAsia="Times New Roman" w:hAnsiTheme="majorHAnsi" w:cstheme="majorHAnsi"/>
          <w:bCs/>
          <w:sz w:val="24"/>
          <w:szCs w:val="24"/>
        </w:rPr>
        <w:t xml:space="preserve">mijloace financiare au fost alocate </w:t>
      </w:r>
      <w:r w:rsidRPr="003F4D72">
        <w:rPr>
          <w:rFonts w:asciiTheme="majorHAnsi" w:hAnsiTheme="majorHAnsi" w:cstheme="majorHAnsi"/>
          <w:sz w:val="24"/>
          <w:szCs w:val="24"/>
        </w:rPr>
        <w:t xml:space="preserve">instituțiilor medicale spitalicești care au fost </w:t>
      </w:r>
      <w:r w:rsidR="004F4D6A" w:rsidRPr="003F4D72">
        <w:rPr>
          <w:rFonts w:asciiTheme="majorHAnsi" w:hAnsiTheme="majorHAnsi" w:cstheme="majorHAnsi"/>
          <w:sz w:val="24"/>
          <w:szCs w:val="24"/>
        </w:rPr>
        <w:t>desemnate de MSMPS</w:t>
      </w:r>
      <w:r w:rsidR="004F4D6A" w:rsidRPr="003F4D72">
        <w:rPr>
          <w:rStyle w:val="FootnoteReference"/>
          <w:rFonts w:asciiTheme="majorHAnsi" w:hAnsiTheme="majorHAnsi" w:cstheme="majorHAnsi"/>
          <w:sz w:val="24"/>
          <w:szCs w:val="24"/>
        </w:rPr>
        <w:footnoteReference w:id="10"/>
      </w:r>
      <w:r w:rsidRPr="003F4D72">
        <w:rPr>
          <w:rFonts w:asciiTheme="majorHAnsi" w:hAnsiTheme="majorHAnsi" w:cstheme="majorHAnsi"/>
          <w:sz w:val="24"/>
          <w:szCs w:val="24"/>
        </w:rPr>
        <w:t xml:space="preserve"> în acordarea asistenței medicale pentru </w:t>
      </w:r>
      <w:r w:rsidR="0040472C" w:rsidRPr="003F4D72">
        <w:rPr>
          <w:rFonts w:asciiTheme="majorHAnsi" w:hAnsiTheme="majorHAnsi" w:cstheme="majorHAnsi"/>
          <w:sz w:val="24"/>
          <w:szCs w:val="24"/>
        </w:rPr>
        <w:lastRenderedPageBreak/>
        <w:t>pacienții internați cu forme</w:t>
      </w:r>
      <w:r w:rsidRPr="003F4D72">
        <w:rPr>
          <w:rFonts w:asciiTheme="majorHAnsi" w:hAnsiTheme="majorHAnsi" w:cstheme="majorHAnsi"/>
          <w:sz w:val="24"/>
          <w:szCs w:val="24"/>
        </w:rPr>
        <w:t xml:space="preserve"> </w:t>
      </w:r>
      <w:r w:rsidR="0040472C" w:rsidRPr="003F4D72">
        <w:rPr>
          <w:rFonts w:asciiTheme="majorHAnsi" w:hAnsiTheme="majorHAnsi" w:cstheme="majorHAnsi"/>
          <w:sz w:val="24"/>
          <w:szCs w:val="24"/>
        </w:rPr>
        <w:t xml:space="preserve">medii </w:t>
      </w:r>
      <w:r w:rsidR="004F4D6A" w:rsidRPr="003F4D72">
        <w:rPr>
          <w:rFonts w:asciiTheme="majorHAnsi" w:hAnsiTheme="majorHAnsi" w:cstheme="majorHAnsi"/>
          <w:sz w:val="24"/>
          <w:szCs w:val="24"/>
        </w:rPr>
        <w:t xml:space="preserve">de Covid-19 </w:t>
      </w:r>
      <w:r w:rsidR="0040472C" w:rsidRPr="003F4D72">
        <w:rPr>
          <w:rFonts w:asciiTheme="majorHAnsi" w:hAnsiTheme="majorHAnsi" w:cstheme="majorHAnsi"/>
          <w:sz w:val="24"/>
          <w:szCs w:val="24"/>
        </w:rPr>
        <w:t>și forme severe</w:t>
      </w:r>
      <w:r w:rsidR="004F4D6A" w:rsidRPr="003F4D72">
        <w:rPr>
          <w:rFonts w:asciiTheme="majorHAnsi" w:hAnsiTheme="majorHAnsi" w:cstheme="majorHAnsi"/>
          <w:sz w:val="24"/>
          <w:szCs w:val="24"/>
        </w:rPr>
        <w:t xml:space="preserve"> cu insuficiență respiratorie și necesitate în respirație dirijată</w:t>
      </w:r>
      <w:r w:rsidRPr="003F4D72">
        <w:rPr>
          <w:rFonts w:asciiTheme="majorHAnsi" w:hAnsiTheme="majorHAnsi" w:cstheme="majorHAnsi"/>
          <w:sz w:val="24"/>
          <w:szCs w:val="24"/>
        </w:rPr>
        <w:t>.</w:t>
      </w:r>
      <w:r w:rsidR="001A263D" w:rsidRPr="003F4D72">
        <w:rPr>
          <w:rFonts w:asciiTheme="majorHAnsi" w:hAnsiTheme="majorHAnsi" w:cstheme="majorHAnsi"/>
          <w:sz w:val="24"/>
          <w:szCs w:val="24"/>
        </w:rPr>
        <w:t xml:space="preserve"> </w:t>
      </w:r>
      <w:r w:rsidR="00251961" w:rsidRPr="003F4D72">
        <w:rPr>
          <w:rFonts w:asciiTheme="majorHAnsi" w:hAnsiTheme="majorHAnsi" w:cstheme="majorHAnsi"/>
          <w:sz w:val="24"/>
          <w:szCs w:val="24"/>
        </w:rPr>
        <w:t>C</w:t>
      </w:r>
      <w:r w:rsidR="001A263D" w:rsidRPr="003F4D72">
        <w:rPr>
          <w:rFonts w:asciiTheme="majorHAnsi" w:hAnsiTheme="majorHAnsi" w:cstheme="majorHAnsi"/>
          <w:sz w:val="24"/>
          <w:szCs w:val="24"/>
        </w:rPr>
        <w:t xml:space="preserve">apacitatea spitalelor pentru </w:t>
      </w:r>
      <w:r w:rsidR="004F4D6A" w:rsidRPr="003F4D72">
        <w:rPr>
          <w:rFonts w:asciiTheme="majorHAnsi" w:hAnsiTheme="majorHAnsi" w:cstheme="majorHAnsi"/>
          <w:sz w:val="24"/>
          <w:szCs w:val="24"/>
        </w:rPr>
        <w:t>prestarea altor</w:t>
      </w:r>
      <w:r w:rsidR="001A263D" w:rsidRPr="003F4D72">
        <w:rPr>
          <w:rFonts w:asciiTheme="majorHAnsi" w:hAnsiTheme="majorHAnsi" w:cstheme="majorHAnsi"/>
          <w:sz w:val="24"/>
          <w:szCs w:val="24"/>
        </w:rPr>
        <w:t xml:space="preserve"> servicii a fost redusă, iar serviciile de sănătate ordinare au fost suspendate pentru a evita contactul personal și pentru a concentra resursele asupra pandemiei.</w:t>
      </w:r>
    </w:p>
    <w:p w14:paraId="62584911" w14:textId="77777777" w:rsidR="00D331DD" w:rsidRPr="003F4D72" w:rsidRDefault="00251961" w:rsidP="00C35736">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Pandemia a afectat volumul de mijloace financiare ale instituțiilor medicale spitalicești, deoarece finanțarea acestora este corelată cu numărul de servicii </w:t>
      </w:r>
      <w:r w:rsidR="004B7684" w:rsidRPr="003F4D72">
        <w:rPr>
          <w:rFonts w:asciiTheme="majorHAnsi" w:hAnsiTheme="majorHAnsi" w:cstheme="majorHAnsi"/>
          <w:sz w:val="24"/>
          <w:szCs w:val="24"/>
        </w:rPr>
        <w:t xml:space="preserve">efectuate, </w:t>
      </w:r>
      <w:r w:rsidRPr="003F4D72">
        <w:rPr>
          <w:rFonts w:asciiTheme="majorHAnsi" w:hAnsiTheme="majorHAnsi" w:cstheme="majorHAnsi"/>
          <w:sz w:val="24"/>
          <w:szCs w:val="24"/>
        </w:rPr>
        <w:t xml:space="preserve">metoda de contractare și de finanțare </w:t>
      </w:r>
      <w:r w:rsidR="004B7684" w:rsidRPr="003F4D72">
        <w:rPr>
          <w:rFonts w:asciiTheme="majorHAnsi" w:hAnsiTheme="majorHAnsi" w:cstheme="majorHAnsi"/>
          <w:sz w:val="24"/>
          <w:szCs w:val="24"/>
        </w:rPr>
        <w:t>fiind</w:t>
      </w:r>
      <w:r w:rsidRPr="003F4D72">
        <w:rPr>
          <w:rFonts w:asciiTheme="majorHAnsi" w:hAnsiTheme="majorHAnsi" w:cstheme="majorHAnsi"/>
          <w:sz w:val="24"/>
          <w:szCs w:val="24"/>
        </w:rPr>
        <w:t xml:space="preserve"> pe</w:t>
      </w:r>
      <w:r w:rsidR="004B7684" w:rsidRPr="003F4D72">
        <w:rPr>
          <w:rFonts w:asciiTheme="majorHAnsi" w:hAnsiTheme="majorHAnsi" w:cstheme="majorHAnsi"/>
          <w:sz w:val="24"/>
          <w:szCs w:val="24"/>
        </w:rPr>
        <w:t>r</w:t>
      </w:r>
      <w:r w:rsidRPr="003F4D72">
        <w:rPr>
          <w:rFonts w:asciiTheme="majorHAnsi" w:hAnsiTheme="majorHAnsi" w:cstheme="majorHAnsi"/>
          <w:sz w:val="24"/>
          <w:szCs w:val="24"/>
        </w:rPr>
        <w:t xml:space="preserve"> „caz tratat”. </w:t>
      </w:r>
    </w:p>
    <w:p w14:paraId="32B78D06" w14:textId="3EEE0006" w:rsidR="003205E8" w:rsidRPr="003F4D72" w:rsidRDefault="00251961" w:rsidP="00916BD7">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Astfel, finanțarea </w:t>
      </w:r>
      <w:r w:rsidR="00D331DD" w:rsidRPr="003F4D72">
        <w:rPr>
          <w:rFonts w:asciiTheme="majorHAnsi" w:hAnsiTheme="majorHAnsi" w:cstheme="majorHAnsi"/>
          <w:sz w:val="24"/>
          <w:szCs w:val="24"/>
        </w:rPr>
        <w:t xml:space="preserve">spitalelor </w:t>
      </w:r>
      <w:r w:rsidRPr="003F4D72">
        <w:rPr>
          <w:rFonts w:asciiTheme="majorHAnsi" w:hAnsiTheme="majorHAnsi" w:cstheme="majorHAnsi"/>
          <w:sz w:val="24"/>
          <w:szCs w:val="24"/>
        </w:rPr>
        <w:t>depinde direct de serviciile medicale prestate, pe când în cazul asistenței m</w:t>
      </w:r>
      <w:r w:rsidR="00533FF6" w:rsidRPr="003F4D72">
        <w:rPr>
          <w:rFonts w:asciiTheme="majorHAnsi" w:hAnsiTheme="majorHAnsi" w:cstheme="majorHAnsi"/>
          <w:sz w:val="24"/>
          <w:szCs w:val="24"/>
        </w:rPr>
        <w:t>edicale</w:t>
      </w:r>
      <w:r w:rsidRPr="003F4D72">
        <w:rPr>
          <w:rFonts w:asciiTheme="majorHAnsi" w:hAnsiTheme="majorHAnsi" w:cstheme="majorHAnsi"/>
          <w:sz w:val="24"/>
          <w:szCs w:val="24"/>
        </w:rPr>
        <w:t xml:space="preserve"> p</w:t>
      </w:r>
      <w:r w:rsidR="00864E8B" w:rsidRPr="003F4D72">
        <w:rPr>
          <w:rFonts w:asciiTheme="majorHAnsi" w:hAnsiTheme="majorHAnsi" w:cstheme="majorHAnsi"/>
          <w:sz w:val="24"/>
          <w:szCs w:val="24"/>
        </w:rPr>
        <w:t xml:space="preserve">rimare și </w:t>
      </w:r>
      <w:r w:rsidR="009916EF" w:rsidRPr="003F4D72">
        <w:rPr>
          <w:rFonts w:asciiTheme="majorHAnsi" w:hAnsiTheme="majorHAnsi" w:cstheme="majorHAnsi"/>
          <w:sz w:val="24"/>
          <w:szCs w:val="24"/>
        </w:rPr>
        <w:t xml:space="preserve">celei </w:t>
      </w:r>
      <w:r w:rsidR="00D331DD" w:rsidRPr="003F4D72">
        <w:rPr>
          <w:rFonts w:asciiTheme="majorHAnsi" w:hAnsiTheme="majorHAnsi" w:cstheme="majorHAnsi"/>
          <w:sz w:val="24"/>
          <w:szCs w:val="24"/>
        </w:rPr>
        <w:t>specializate</w:t>
      </w:r>
      <w:r w:rsidRPr="003F4D72">
        <w:rPr>
          <w:rFonts w:asciiTheme="majorHAnsi" w:hAnsiTheme="majorHAnsi" w:cstheme="majorHAnsi"/>
          <w:sz w:val="24"/>
          <w:szCs w:val="24"/>
        </w:rPr>
        <w:t xml:space="preserve"> de ambulatoriu</w:t>
      </w:r>
      <w:r w:rsidR="009916EF" w:rsidRPr="003F4D72">
        <w:rPr>
          <w:rFonts w:asciiTheme="majorHAnsi" w:hAnsiTheme="majorHAnsi" w:cstheme="majorHAnsi"/>
          <w:sz w:val="24"/>
          <w:szCs w:val="24"/>
        </w:rPr>
        <w:t>,</w:t>
      </w:r>
      <w:r w:rsidR="00D331DD" w:rsidRPr="003F4D72">
        <w:rPr>
          <w:rFonts w:asciiTheme="majorHAnsi" w:hAnsiTheme="majorHAnsi" w:cstheme="majorHAnsi"/>
          <w:sz w:val="24"/>
          <w:szCs w:val="24"/>
        </w:rPr>
        <w:t xml:space="preserve"> metoda de plată </w:t>
      </w:r>
      <w:r w:rsidR="00026068" w:rsidRPr="003F4D72">
        <w:rPr>
          <w:rFonts w:asciiTheme="majorHAnsi" w:hAnsiTheme="majorHAnsi" w:cstheme="majorHAnsi"/>
          <w:sz w:val="24"/>
          <w:szCs w:val="24"/>
        </w:rPr>
        <w:t xml:space="preserve">după principiul </w:t>
      </w:r>
      <w:r w:rsidR="009916EF" w:rsidRPr="003F4D72">
        <w:rPr>
          <w:rFonts w:asciiTheme="majorHAnsi" w:hAnsiTheme="majorHAnsi" w:cstheme="majorHAnsi"/>
          <w:sz w:val="24"/>
          <w:szCs w:val="24"/>
        </w:rPr>
        <w:t>„</w:t>
      </w:r>
      <w:r w:rsidR="00026068" w:rsidRPr="003F4D72">
        <w:rPr>
          <w:rFonts w:asciiTheme="majorHAnsi" w:hAnsiTheme="majorHAnsi" w:cstheme="majorHAnsi"/>
          <w:sz w:val="24"/>
          <w:szCs w:val="24"/>
        </w:rPr>
        <w:t xml:space="preserve">per </w:t>
      </w:r>
      <w:proofErr w:type="spellStart"/>
      <w:r w:rsidR="00026068" w:rsidRPr="003F4D72">
        <w:rPr>
          <w:rFonts w:asciiTheme="majorHAnsi" w:hAnsiTheme="majorHAnsi" w:cstheme="majorHAnsi"/>
          <w:sz w:val="24"/>
          <w:szCs w:val="24"/>
        </w:rPr>
        <w:t>capita</w:t>
      </w:r>
      <w:proofErr w:type="spellEnd"/>
      <w:r w:rsidR="00026068" w:rsidRPr="003F4D72">
        <w:rPr>
          <w:rFonts w:asciiTheme="majorHAnsi" w:hAnsiTheme="majorHAnsi" w:cstheme="majorHAnsi"/>
          <w:sz w:val="24"/>
          <w:szCs w:val="24"/>
        </w:rPr>
        <w:t>”</w:t>
      </w:r>
      <w:r w:rsidR="007A3A40" w:rsidRPr="003F4D72">
        <w:rPr>
          <w:rFonts w:asciiTheme="majorHAnsi" w:hAnsiTheme="majorHAnsi" w:cstheme="majorHAnsi"/>
          <w:sz w:val="24"/>
          <w:szCs w:val="24"/>
        </w:rPr>
        <w:t xml:space="preserve"> </w:t>
      </w:r>
      <w:r w:rsidR="00D331DD" w:rsidRPr="003F4D72">
        <w:rPr>
          <w:rFonts w:asciiTheme="majorHAnsi" w:hAnsiTheme="majorHAnsi" w:cstheme="majorHAnsi"/>
          <w:sz w:val="24"/>
          <w:szCs w:val="24"/>
        </w:rPr>
        <w:t>nu</w:t>
      </w:r>
      <w:r w:rsidR="007A3A40" w:rsidRPr="003F4D72">
        <w:rPr>
          <w:rFonts w:asciiTheme="majorHAnsi" w:hAnsiTheme="majorHAnsi" w:cstheme="majorHAnsi"/>
          <w:sz w:val="24"/>
          <w:szCs w:val="24"/>
        </w:rPr>
        <w:t xml:space="preserve"> </w:t>
      </w:r>
      <w:r w:rsidR="009916EF" w:rsidRPr="003F4D72">
        <w:rPr>
          <w:rFonts w:asciiTheme="majorHAnsi" w:hAnsiTheme="majorHAnsi" w:cstheme="majorHAnsi"/>
          <w:sz w:val="24"/>
          <w:szCs w:val="24"/>
        </w:rPr>
        <w:t>a fost</w:t>
      </w:r>
      <w:r w:rsidR="007A3A40" w:rsidRPr="003F4D72">
        <w:rPr>
          <w:rFonts w:asciiTheme="majorHAnsi" w:hAnsiTheme="majorHAnsi" w:cstheme="majorHAnsi"/>
          <w:sz w:val="24"/>
          <w:szCs w:val="24"/>
        </w:rPr>
        <w:t xml:space="preserve"> afectat</w:t>
      </w:r>
      <w:r w:rsidR="009916EF" w:rsidRPr="003F4D72">
        <w:rPr>
          <w:rFonts w:asciiTheme="majorHAnsi" w:hAnsiTheme="majorHAnsi" w:cstheme="majorHAnsi"/>
          <w:sz w:val="24"/>
          <w:szCs w:val="24"/>
        </w:rPr>
        <w:t>ă</w:t>
      </w:r>
      <w:r w:rsidR="000C2110" w:rsidRPr="003F4D72">
        <w:rPr>
          <w:rFonts w:asciiTheme="majorHAnsi" w:hAnsiTheme="majorHAnsi" w:cstheme="majorHAnsi"/>
          <w:sz w:val="24"/>
          <w:szCs w:val="24"/>
        </w:rPr>
        <w:t xml:space="preserve"> de numărul de servicii medicale acordate cetățenilor. </w:t>
      </w:r>
      <w:r w:rsidR="00894D9E" w:rsidRPr="003F4D72">
        <w:rPr>
          <w:rFonts w:asciiTheme="majorHAnsi" w:hAnsiTheme="majorHAnsi" w:cstheme="majorHAnsi"/>
          <w:sz w:val="24"/>
          <w:szCs w:val="24"/>
        </w:rPr>
        <w:t>D</w:t>
      </w:r>
      <w:r w:rsidR="004B0F78" w:rsidRPr="003F4D72">
        <w:rPr>
          <w:rFonts w:asciiTheme="majorHAnsi" w:hAnsiTheme="majorHAnsi" w:cstheme="majorHAnsi"/>
          <w:sz w:val="24"/>
          <w:szCs w:val="24"/>
        </w:rPr>
        <w:t>eși nivelul vizitelor</w:t>
      </w:r>
      <w:r w:rsidR="009F77FF" w:rsidRPr="003F4D72">
        <w:rPr>
          <w:rFonts w:asciiTheme="majorHAnsi" w:hAnsiTheme="majorHAnsi" w:cstheme="majorHAnsi"/>
          <w:sz w:val="24"/>
          <w:szCs w:val="24"/>
        </w:rPr>
        <w:t xml:space="preserve"> </w:t>
      </w:r>
      <w:r w:rsidR="00613B34" w:rsidRPr="003F4D72">
        <w:rPr>
          <w:rFonts w:asciiTheme="majorHAnsi" w:hAnsiTheme="majorHAnsi" w:cstheme="majorHAnsi"/>
          <w:sz w:val="24"/>
          <w:szCs w:val="24"/>
        </w:rPr>
        <w:t xml:space="preserve">a scăzut semnificativ în trimestrul II, cu 31,4 % </w:t>
      </w:r>
      <w:r w:rsidR="009F77FF" w:rsidRPr="003F4D72">
        <w:rPr>
          <w:rFonts w:asciiTheme="majorHAnsi" w:hAnsiTheme="majorHAnsi" w:cstheme="majorHAnsi"/>
          <w:sz w:val="24"/>
          <w:szCs w:val="24"/>
        </w:rPr>
        <w:t>la medicii de familie și</w:t>
      </w:r>
      <w:r w:rsidR="00B61A71" w:rsidRPr="003F4D72">
        <w:rPr>
          <w:rFonts w:asciiTheme="majorHAnsi" w:hAnsiTheme="majorHAnsi" w:cstheme="majorHAnsi"/>
          <w:sz w:val="24"/>
          <w:szCs w:val="24"/>
        </w:rPr>
        <w:t xml:space="preserve"> cu</w:t>
      </w:r>
      <w:r w:rsidR="009F77FF" w:rsidRPr="003F4D72">
        <w:rPr>
          <w:rFonts w:asciiTheme="majorHAnsi" w:hAnsiTheme="majorHAnsi" w:cstheme="majorHAnsi"/>
          <w:sz w:val="24"/>
          <w:szCs w:val="24"/>
        </w:rPr>
        <w:t xml:space="preserve"> </w:t>
      </w:r>
      <w:r w:rsidR="00613B34" w:rsidRPr="003F4D72">
        <w:rPr>
          <w:rFonts w:asciiTheme="majorHAnsi" w:hAnsiTheme="majorHAnsi" w:cstheme="majorHAnsi"/>
          <w:sz w:val="24"/>
          <w:szCs w:val="24"/>
        </w:rPr>
        <w:t xml:space="preserve">54,1% la </w:t>
      </w:r>
      <w:r w:rsidR="009F77FF" w:rsidRPr="003F4D72">
        <w:rPr>
          <w:rFonts w:asciiTheme="majorHAnsi" w:hAnsiTheme="majorHAnsi" w:cstheme="majorHAnsi"/>
          <w:sz w:val="24"/>
          <w:szCs w:val="24"/>
        </w:rPr>
        <w:t>specialiști,</w:t>
      </w:r>
      <w:r w:rsidR="00613B34" w:rsidRPr="003F4D72">
        <w:rPr>
          <w:rFonts w:asciiTheme="majorHAnsi" w:hAnsiTheme="majorHAnsi" w:cstheme="majorHAnsi"/>
          <w:sz w:val="24"/>
          <w:szCs w:val="24"/>
        </w:rPr>
        <w:t xml:space="preserve"> </w:t>
      </w:r>
      <w:r w:rsidR="009F77FF" w:rsidRPr="003F4D72">
        <w:rPr>
          <w:rFonts w:asciiTheme="majorHAnsi" w:hAnsiTheme="majorHAnsi" w:cstheme="majorHAnsi"/>
          <w:sz w:val="24"/>
          <w:szCs w:val="24"/>
        </w:rPr>
        <w:t>mijloacele financiare alocate</w:t>
      </w:r>
      <w:r w:rsidR="00C25A67" w:rsidRPr="003F4D72">
        <w:rPr>
          <w:rFonts w:asciiTheme="majorHAnsi" w:hAnsiTheme="majorHAnsi" w:cstheme="majorHAnsi"/>
          <w:sz w:val="24"/>
          <w:szCs w:val="24"/>
        </w:rPr>
        <w:t xml:space="preserve"> au rămas aceleași, date prezentate în tabel:</w:t>
      </w:r>
    </w:p>
    <w:p w14:paraId="4AAC7316" w14:textId="77777777" w:rsidR="00916BD7" w:rsidRPr="003F4D72" w:rsidRDefault="00916BD7" w:rsidP="00916BD7">
      <w:pPr>
        <w:spacing w:after="0" w:line="276" w:lineRule="auto"/>
        <w:ind w:firstLine="567"/>
        <w:jc w:val="both"/>
        <w:rPr>
          <w:rFonts w:asciiTheme="majorHAnsi" w:hAnsiTheme="majorHAnsi" w:cstheme="majorHAnsi"/>
          <w:sz w:val="24"/>
          <w:szCs w:val="24"/>
        </w:rPr>
      </w:pPr>
    </w:p>
    <w:p w14:paraId="5F70E59F" w14:textId="765E4371" w:rsidR="003205E8" w:rsidRPr="003F4D72" w:rsidRDefault="003205E8" w:rsidP="003205E8">
      <w:pPr>
        <w:pStyle w:val="ListParagraph"/>
        <w:spacing w:after="0" w:line="276" w:lineRule="auto"/>
        <w:ind w:left="0" w:firstLine="567"/>
        <w:jc w:val="center"/>
        <w:rPr>
          <w:rFonts w:asciiTheme="majorHAnsi" w:hAnsiTheme="majorHAnsi" w:cstheme="majorHAnsi"/>
          <w:b/>
          <w:sz w:val="24"/>
          <w:szCs w:val="20"/>
          <w:lang w:val="ro-MD"/>
        </w:rPr>
      </w:pPr>
      <w:r w:rsidRPr="003F4D72">
        <w:rPr>
          <w:rFonts w:asciiTheme="majorHAnsi" w:hAnsiTheme="majorHAnsi" w:cstheme="majorHAnsi"/>
          <w:b/>
          <w:sz w:val="24"/>
          <w:szCs w:val="20"/>
          <w:lang w:val="ro-MD"/>
        </w:rPr>
        <w:t xml:space="preserve">Volumul asistenței medicale contractate, facturate și achitate în cadrul asistenței medicale primare și </w:t>
      </w:r>
      <w:r w:rsidR="009916EF" w:rsidRPr="003F4D72">
        <w:rPr>
          <w:rFonts w:asciiTheme="majorHAnsi" w:hAnsiTheme="majorHAnsi" w:cstheme="majorHAnsi"/>
          <w:b/>
          <w:sz w:val="24"/>
          <w:szCs w:val="20"/>
          <w:lang w:val="ro-MD"/>
        </w:rPr>
        <w:t xml:space="preserve">asistenței </w:t>
      </w:r>
      <w:r w:rsidRPr="003F4D72">
        <w:rPr>
          <w:rFonts w:asciiTheme="majorHAnsi" w:hAnsiTheme="majorHAnsi" w:cstheme="majorHAnsi"/>
          <w:b/>
          <w:sz w:val="24"/>
          <w:szCs w:val="20"/>
          <w:lang w:val="ro-MD"/>
        </w:rPr>
        <w:t>specializate de ambulator</w:t>
      </w:r>
      <w:r w:rsidR="00486FFF" w:rsidRPr="003F4D72">
        <w:rPr>
          <w:rFonts w:asciiTheme="majorHAnsi" w:hAnsiTheme="majorHAnsi" w:cstheme="majorHAnsi"/>
          <w:b/>
          <w:sz w:val="24"/>
          <w:szCs w:val="20"/>
          <w:lang w:val="ro-MD"/>
        </w:rPr>
        <w:t>iu</w:t>
      </w:r>
      <w:r w:rsidRPr="003F4D72">
        <w:rPr>
          <w:rFonts w:asciiTheme="majorHAnsi" w:hAnsiTheme="majorHAnsi" w:cstheme="majorHAnsi"/>
          <w:b/>
          <w:sz w:val="24"/>
          <w:szCs w:val="20"/>
          <w:lang w:val="ro-MD"/>
        </w:rPr>
        <w:t>, în anul 2020</w:t>
      </w:r>
    </w:p>
    <w:p w14:paraId="1963B790" w14:textId="3011E3A4" w:rsidR="00B402C7" w:rsidRPr="003F4D72" w:rsidRDefault="00B402C7" w:rsidP="00B402C7">
      <w:pPr>
        <w:pStyle w:val="ListParagraph"/>
        <w:spacing w:after="0" w:line="276" w:lineRule="auto"/>
        <w:ind w:left="0" w:firstLine="567"/>
        <w:jc w:val="right"/>
        <w:rPr>
          <w:rFonts w:asciiTheme="majorHAnsi" w:hAnsiTheme="majorHAnsi"/>
          <w:sz w:val="20"/>
          <w:szCs w:val="28"/>
          <w:lang w:val="ro-MD"/>
        </w:rPr>
      </w:pPr>
      <w:r w:rsidRPr="003F4D72">
        <w:rPr>
          <w:rFonts w:asciiTheme="majorHAnsi" w:eastAsia="Times New Roman" w:hAnsiTheme="majorHAnsi" w:cstheme="majorHAnsi"/>
          <w:noProof/>
          <w:sz w:val="20"/>
          <w:szCs w:val="24"/>
          <w:lang w:val="ro-MD" w:eastAsia="ru-RU"/>
        </w:rPr>
        <w:t>Tabelul nr.</w:t>
      </w:r>
      <w:r w:rsidR="00374EB9" w:rsidRPr="003F4D72">
        <w:rPr>
          <w:rFonts w:asciiTheme="majorHAnsi" w:eastAsia="Times New Roman" w:hAnsiTheme="majorHAnsi" w:cstheme="majorHAnsi"/>
          <w:noProof/>
          <w:sz w:val="20"/>
          <w:szCs w:val="24"/>
          <w:lang w:val="ro-MD" w:eastAsia="ru-RU"/>
        </w:rPr>
        <w:t>4</w:t>
      </w:r>
      <w:r w:rsidRPr="003F4D72">
        <w:rPr>
          <w:rFonts w:asciiTheme="majorHAnsi" w:eastAsia="Times New Roman" w:hAnsiTheme="majorHAnsi" w:cstheme="majorHAnsi"/>
          <w:noProof/>
          <w:sz w:val="20"/>
          <w:szCs w:val="24"/>
          <w:lang w:val="ro-MD" w:eastAsia="ru-RU"/>
        </w:rPr>
        <w:t xml:space="preserve">, </w:t>
      </w:r>
      <w:r w:rsidR="00480EC3" w:rsidRPr="003F4D72">
        <w:rPr>
          <w:rFonts w:asciiTheme="majorHAnsi" w:eastAsia="Times New Roman" w:hAnsiTheme="majorHAnsi" w:cstheme="majorHAnsi"/>
          <w:noProof/>
          <w:sz w:val="20"/>
          <w:szCs w:val="24"/>
          <w:lang w:val="ro-MD" w:eastAsia="ru-RU"/>
        </w:rPr>
        <w:t xml:space="preserve">mii </w:t>
      </w:r>
      <w:r w:rsidRPr="003F4D72">
        <w:rPr>
          <w:rFonts w:asciiTheme="majorHAnsi" w:eastAsia="Times New Roman" w:hAnsiTheme="majorHAnsi" w:cstheme="majorHAnsi"/>
          <w:noProof/>
          <w:sz w:val="20"/>
          <w:szCs w:val="24"/>
          <w:lang w:val="ro-MD" w:eastAsia="ru-RU"/>
        </w:rPr>
        <w:t>lei</w:t>
      </w:r>
    </w:p>
    <w:tbl>
      <w:tblPr>
        <w:tblStyle w:val="GridTable1Light"/>
        <w:tblW w:w="0" w:type="auto"/>
        <w:tblLook w:val="04A0" w:firstRow="1" w:lastRow="0" w:firstColumn="1" w:lastColumn="0" w:noHBand="0" w:noVBand="1"/>
      </w:tblPr>
      <w:tblGrid>
        <w:gridCol w:w="2337"/>
        <w:gridCol w:w="2337"/>
        <w:gridCol w:w="2338"/>
        <w:gridCol w:w="2338"/>
      </w:tblGrid>
      <w:tr w:rsidR="009F77FF" w:rsidRPr="003F4D72" w14:paraId="56628F66" w14:textId="77777777" w:rsidTr="009F7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2185C257" w14:textId="77777777" w:rsidR="009F77FF" w:rsidRPr="003F4D72" w:rsidRDefault="009F77FF" w:rsidP="009F77FF">
            <w:pPr>
              <w:jc w:val="center"/>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Volumul asistenței medicale contractate</w:t>
            </w:r>
          </w:p>
        </w:tc>
        <w:tc>
          <w:tcPr>
            <w:tcW w:w="2337" w:type="dxa"/>
            <w:vAlign w:val="center"/>
          </w:tcPr>
          <w:p w14:paraId="237D51D5" w14:textId="77777777" w:rsidR="009F77FF" w:rsidRPr="003F4D72" w:rsidRDefault="009F77FF" w:rsidP="009F77F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Suma facturată</w:t>
            </w:r>
          </w:p>
        </w:tc>
        <w:tc>
          <w:tcPr>
            <w:tcW w:w="2338" w:type="dxa"/>
            <w:vAlign w:val="center"/>
          </w:tcPr>
          <w:p w14:paraId="19B92422" w14:textId="77777777" w:rsidR="009F77FF" w:rsidRPr="003F4D72" w:rsidRDefault="009F77FF" w:rsidP="009F77F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16"/>
              </w:rPr>
            </w:pPr>
            <w:r w:rsidRPr="003F4D72">
              <w:rPr>
                <w:rFonts w:asciiTheme="majorHAnsi" w:eastAsia="Times New Roman" w:hAnsiTheme="majorHAnsi" w:cstheme="majorHAnsi"/>
                <w:sz w:val="20"/>
                <w:szCs w:val="16"/>
              </w:rPr>
              <w:t>Servicii medicale nevalidate</w:t>
            </w:r>
          </w:p>
        </w:tc>
        <w:tc>
          <w:tcPr>
            <w:tcW w:w="2338" w:type="dxa"/>
            <w:vAlign w:val="center"/>
          </w:tcPr>
          <w:p w14:paraId="6EABF854" w14:textId="77777777" w:rsidR="009F77FF" w:rsidRPr="003F4D72" w:rsidRDefault="009F77FF" w:rsidP="009F77F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Suma achitată</w:t>
            </w:r>
          </w:p>
        </w:tc>
      </w:tr>
      <w:tr w:rsidR="009F77FF" w:rsidRPr="003F4D72" w14:paraId="17BE6DD4" w14:textId="77777777" w:rsidTr="009F77FF">
        <w:tc>
          <w:tcPr>
            <w:cnfStyle w:val="001000000000" w:firstRow="0" w:lastRow="0" w:firstColumn="1" w:lastColumn="0" w:oddVBand="0" w:evenVBand="0" w:oddHBand="0" w:evenHBand="0" w:firstRowFirstColumn="0" w:firstRowLastColumn="0" w:lastRowFirstColumn="0" w:lastRowLastColumn="0"/>
            <w:tcW w:w="2337" w:type="dxa"/>
            <w:vAlign w:val="center"/>
          </w:tcPr>
          <w:p w14:paraId="1E2410A7" w14:textId="77777777" w:rsidR="009F77FF" w:rsidRPr="003F4D72" w:rsidRDefault="009F77FF" w:rsidP="009F77FF">
            <w:pPr>
              <w:jc w:val="center"/>
              <w:rPr>
                <w:rFonts w:asciiTheme="majorHAnsi" w:eastAsia="Times New Roman" w:hAnsiTheme="majorHAnsi" w:cstheme="majorHAnsi"/>
                <w:bCs w:val="0"/>
                <w:sz w:val="20"/>
                <w:szCs w:val="16"/>
              </w:rPr>
            </w:pPr>
            <w:r w:rsidRPr="003F4D72">
              <w:rPr>
                <w:rFonts w:asciiTheme="majorHAnsi" w:eastAsia="Times New Roman" w:hAnsiTheme="majorHAnsi" w:cstheme="majorHAnsi"/>
                <w:sz w:val="20"/>
                <w:szCs w:val="16"/>
              </w:rPr>
              <w:t>1</w:t>
            </w:r>
          </w:p>
        </w:tc>
        <w:tc>
          <w:tcPr>
            <w:tcW w:w="2337" w:type="dxa"/>
            <w:vAlign w:val="center"/>
          </w:tcPr>
          <w:p w14:paraId="689F8CEA" w14:textId="77777777" w:rsidR="009F77FF" w:rsidRPr="003F4D72" w:rsidRDefault="009F77FF" w:rsidP="009F77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16"/>
              </w:rPr>
            </w:pPr>
            <w:r w:rsidRPr="003F4D72">
              <w:rPr>
                <w:rFonts w:asciiTheme="majorHAnsi" w:eastAsia="Times New Roman" w:hAnsiTheme="majorHAnsi" w:cstheme="majorHAnsi"/>
                <w:b/>
                <w:bCs/>
                <w:sz w:val="20"/>
                <w:szCs w:val="16"/>
              </w:rPr>
              <w:t>2</w:t>
            </w:r>
          </w:p>
        </w:tc>
        <w:tc>
          <w:tcPr>
            <w:tcW w:w="2338" w:type="dxa"/>
            <w:vAlign w:val="center"/>
          </w:tcPr>
          <w:p w14:paraId="4BEDDA54" w14:textId="77777777" w:rsidR="009F77FF" w:rsidRPr="003F4D72" w:rsidRDefault="009F77FF" w:rsidP="009F77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3</w:t>
            </w:r>
          </w:p>
        </w:tc>
        <w:tc>
          <w:tcPr>
            <w:tcW w:w="2338" w:type="dxa"/>
            <w:vAlign w:val="center"/>
          </w:tcPr>
          <w:p w14:paraId="7EDDA2E0" w14:textId="77777777" w:rsidR="009F77FF" w:rsidRPr="003F4D72" w:rsidRDefault="009F77FF" w:rsidP="009F77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16"/>
              </w:rPr>
            </w:pPr>
            <w:r w:rsidRPr="003F4D72">
              <w:rPr>
                <w:rFonts w:asciiTheme="majorHAnsi" w:eastAsia="Times New Roman" w:hAnsiTheme="majorHAnsi" w:cstheme="majorHAnsi"/>
                <w:bCs/>
                <w:sz w:val="20"/>
                <w:szCs w:val="16"/>
              </w:rPr>
              <w:t>4=2-3</w:t>
            </w:r>
          </w:p>
        </w:tc>
      </w:tr>
      <w:tr w:rsidR="009F77FF" w:rsidRPr="003F4D72" w14:paraId="237290AB" w14:textId="77777777" w:rsidTr="009F77FF">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14:paraId="7F881AA1" w14:textId="77777777" w:rsidR="009F77FF" w:rsidRPr="003F4D72" w:rsidRDefault="009F77FF" w:rsidP="009F77FF">
            <w:pPr>
              <w:spacing w:line="276" w:lineRule="auto"/>
              <w:jc w:val="center"/>
              <w:rPr>
                <w:rFonts w:asciiTheme="majorHAnsi" w:hAnsiTheme="majorHAnsi" w:cstheme="majorHAnsi"/>
                <w:sz w:val="20"/>
                <w:szCs w:val="24"/>
              </w:rPr>
            </w:pPr>
            <w:r w:rsidRPr="003F4D72">
              <w:rPr>
                <w:rFonts w:asciiTheme="majorHAnsi" w:eastAsia="Times New Roman" w:hAnsiTheme="majorHAnsi" w:cstheme="majorHAnsi"/>
                <w:sz w:val="20"/>
                <w:szCs w:val="16"/>
              </w:rPr>
              <w:t>Asistența medicală primară</w:t>
            </w:r>
          </w:p>
        </w:tc>
      </w:tr>
      <w:tr w:rsidR="009F77FF" w:rsidRPr="003F4D72" w14:paraId="3139842D" w14:textId="77777777" w:rsidTr="009F77FF">
        <w:tc>
          <w:tcPr>
            <w:cnfStyle w:val="001000000000" w:firstRow="0" w:lastRow="0" w:firstColumn="1" w:lastColumn="0" w:oddVBand="0" w:evenVBand="0" w:oddHBand="0" w:evenHBand="0" w:firstRowFirstColumn="0" w:firstRowLastColumn="0" w:lastRowFirstColumn="0" w:lastRowLastColumn="0"/>
            <w:tcW w:w="2337" w:type="dxa"/>
            <w:vAlign w:val="center"/>
          </w:tcPr>
          <w:p w14:paraId="7D24C576" w14:textId="77777777" w:rsidR="009F77FF" w:rsidRPr="003F4D72" w:rsidRDefault="00480EC3" w:rsidP="00480EC3">
            <w:pPr>
              <w:jc w:val="center"/>
              <w:rPr>
                <w:rFonts w:asciiTheme="majorHAnsi" w:eastAsia="Times New Roman" w:hAnsiTheme="majorHAnsi" w:cstheme="majorHAnsi"/>
                <w:b w:val="0"/>
                <w:sz w:val="20"/>
                <w:szCs w:val="16"/>
              </w:rPr>
            </w:pPr>
            <w:r w:rsidRPr="003F4D72">
              <w:rPr>
                <w:rFonts w:asciiTheme="majorHAnsi" w:eastAsia="Times New Roman" w:hAnsiTheme="majorHAnsi" w:cstheme="majorHAnsi"/>
                <w:sz w:val="20"/>
                <w:szCs w:val="16"/>
              </w:rPr>
              <w:t xml:space="preserve">1 702 978,6 </w:t>
            </w:r>
          </w:p>
        </w:tc>
        <w:tc>
          <w:tcPr>
            <w:tcW w:w="2337" w:type="dxa"/>
            <w:vAlign w:val="center"/>
          </w:tcPr>
          <w:p w14:paraId="06B83BCD" w14:textId="77777777" w:rsidR="009F77FF" w:rsidRPr="003F4D72" w:rsidRDefault="009F77FF" w:rsidP="009F77F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1</w:t>
            </w:r>
            <w:r w:rsidR="00480EC3" w:rsidRPr="003F4D72">
              <w:rPr>
                <w:rFonts w:asciiTheme="majorHAnsi" w:eastAsia="Times New Roman" w:hAnsiTheme="majorHAnsi" w:cstheme="majorHAnsi"/>
                <w:sz w:val="20"/>
                <w:szCs w:val="16"/>
              </w:rPr>
              <w:t xml:space="preserve"> 702 978,6 </w:t>
            </w:r>
          </w:p>
        </w:tc>
        <w:tc>
          <w:tcPr>
            <w:tcW w:w="2338" w:type="dxa"/>
            <w:vAlign w:val="center"/>
          </w:tcPr>
          <w:p w14:paraId="64DAEBBB" w14:textId="77777777" w:rsidR="009F77FF" w:rsidRPr="003F4D72" w:rsidRDefault="00480EC3" w:rsidP="00480EC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 xml:space="preserve">2 863,8 </w:t>
            </w:r>
          </w:p>
        </w:tc>
        <w:tc>
          <w:tcPr>
            <w:tcW w:w="2338" w:type="dxa"/>
            <w:vAlign w:val="center"/>
          </w:tcPr>
          <w:p w14:paraId="3D9250FB" w14:textId="77777777" w:rsidR="009F77FF" w:rsidRPr="003F4D72" w:rsidRDefault="009F77FF" w:rsidP="00480EC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1</w:t>
            </w:r>
            <w:r w:rsidR="00480EC3" w:rsidRPr="003F4D72">
              <w:rPr>
                <w:rFonts w:asciiTheme="majorHAnsi" w:eastAsia="Times New Roman" w:hAnsiTheme="majorHAnsi" w:cstheme="majorHAnsi"/>
                <w:sz w:val="20"/>
                <w:szCs w:val="16"/>
              </w:rPr>
              <w:t xml:space="preserve"> 700 114,</w:t>
            </w:r>
            <w:r w:rsidRPr="003F4D72">
              <w:rPr>
                <w:rFonts w:asciiTheme="majorHAnsi" w:eastAsia="Times New Roman" w:hAnsiTheme="majorHAnsi" w:cstheme="majorHAnsi"/>
                <w:sz w:val="20"/>
                <w:szCs w:val="16"/>
              </w:rPr>
              <w:t>8</w:t>
            </w:r>
          </w:p>
        </w:tc>
      </w:tr>
      <w:tr w:rsidR="009F77FF" w:rsidRPr="003F4D72" w14:paraId="71B546BD" w14:textId="77777777" w:rsidTr="009F77FF">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14:paraId="069087C5" w14:textId="77777777" w:rsidR="009F77FF" w:rsidRPr="003F4D72" w:rsidRDefault="009F77FF" w:rsidP="009F77FF">
            <w:pPr>
              <w:spacing w:line="276" w:lineRule="auto"/>
              <w:jc w:val="center"/>
              <w:rPr>
                <w:rFonts w:asciiTheme="majorHAnsi" w:hAnsiTheme="majorHAnsi" w:cstheme="majorHAnsi"/>
                <w:sz w:val="20"/>
                <w:szCs w:val="24"/>
              </w:rPr>
            </w:pPr>
            <w:r w:rsidRPr="003F4D72">
              <w:rPr>
                <w:rFonts w:asciiTheme="majorHAnsi" w:eastAsia="Times New Roman" w:hAnsiTheme="majorHAnsi" w:cstheme="majorHAnsi"/>
                <w:sz w:val="20"/>
                <w:szCs w:val="16"/>
              </w:rPr>
              <w:t xml:space="preserve">Asistența medicală specializată de </w:t>
            </w:r>
            <w:proofErr w:type="spellStart"/>
            <w:r w:rsidRPr="003F4D72">
              <w:rPr>
                <w:rFonts w:asciiTheme="majorHAnsi" w:eastAsia="Times New Roman" w:hAnsiTheme="majorHAnsi" w:cstheme="majorHAnsi"/>
                <w:sz w:val="20"/>
                <w:szCs w:val="16"/>
              </w:rPr>
              <w:t>ambulator</w:t>
            </w:r>
            <w:proofErr w:type="spellEnd"/>
          </w:p>
        </w:tc>
      </w:tr>
      <w:tr w:rsidR="009F77FF" w:rsidRPr="003F4D72" w14:paraId="7F9DCFF7" w14:textId="77777777" w:rsidTr="009F77FF">
        <w:tc>
          <w:tcPr>
            <w:cnfStyle w:val="001000000000" w:firstRow="0" w:lastRow="0" w:firstColumn="1" w:lastColumn="0" w:oddVBand="0" w:evenVBand="0" w:oddHBand="0" w:evenHBand="0" w:firstRowFirstColumn="0" w:firstRowLastColumn="0" w:lastRowFirstColumn="0" w:lastRowLastColumn="0"/>
            <w:tcW w:w="2337" w:type="dxa"/>
            <w:vAlign w:val="center"/>
          </w:tcPr>
          <w:p w14:paraId="5267A703" w14:textId="77777777" w:rsidR="009F77FF" w:rsidRPr="003F4D72" w:rsidRDefault="00480EC3" w:rsidP="009F77FF">
            <w:pPr>
              <w:jc w:val="center"/>
              <w:rPr>
                <w:rFonts w:asciiTheme="majorHAnsi" w:eastAsia="Times New Roman" w:hAnsiTheme="majorHAnsi" w:cstheme="majorHAnsi"/>
                <w:b w:val="0"/>
                <w:bCs w:val="0"/>
                <w:sz w:val="20"/>
                <w:szCs w:val="16"/>
              </w:rPr>
            </w:pPr>
            <w:r w:rsidRPr="003F4D72">
              <w:rPr>
                <w:rFonts w:asciiTheme="majorHAnsi" w:eastAsia="Times New Roman" w:hAnsiTheme="majorHAnsi" w:cstheme="majorHAnsi"/>
                <w:sz w:val="20"/>
                <w:szCs w:val="16"/>
              </w:rPr>
              <w:t>781 816,7</w:t>
            </w:r>
          </w:p>
        </w:tc>
        <w:tc>
          <w:tcPr>
            <w:tcW w:w="2337" w:type="dxa"/>
            <w:vAlign w:val="center"/>
          </w:tcPr>
          <w:p w14:paraId="6D7EFCB9" w14:textId="77777777" w:rsidR="009F77FF" w:rsidRPr="003F4D72" w:rsidRDefault="00480EC3" w:rsidP="00480EC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 xml:space="preserve">770 950,4 </w:t>
            </w:r>
          </w:p>
        </w:tc>
        <w:tc>
          <w:tcPr>
            <w:tcW w:w="2338" w:type="dxa"/>
            <w:vAlign w:val="center"/>
          </w:tcPr>
          <w:p w14:paraId="3BB22EDB" w14:textId="77777777" w:rsidR="009F77FF" w:rsidRPr="003F4D72" w:rsidRDefault="009F77FF" w:rsidP="00480EC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4</w:t>
            </w:r>
            <w:r w:rsidR="00480EC3" w:rsidRPr="003F4D72">
              <w:rPr>
                <w:rFonts w:asciiTheme="majorHAnsi" w:eastAsia="Times New Roman" w:hAnsiTheme="majorHAnsi" w:cstheme="majorHAnsi"/>
                <w:sz w:val="20"/>
                <w:szCs w:val="16"/>
              </w:rPr>
              <w:t xml:space="preserve"> 970,</w:t>
            </w:r>
            <w:r w:rsidRPr="003F4D72">
              <w:rPr>
                <w:rFonts w:asciiTheme="majorHAnsi" w:eastAsia="Times New Roman" w:hAnsiTheme="majorHAnsi" w:cstheme="majorHAnsi"/>
                <w:sz w:val="20"/>
                <w:szCs w:val="16"/>
              </w:rPr>
              <w:t>0</w:t>
            </w:r>
          </w:p>
        </w:tc>
        <w:tc>
          <w:tcPr>
            <w:tcW w:w="2338" w:type="dxa"/>
            <w:vAlign w:val="center"/>
          </w:tcPr>
          <w:p w14:paraId="3DBC65E5" w14:textId="77777777" w:rsidR="009F77FF" w:rsidRPr="003F4D72" w:rsidRDefault="009F77FF" w:rsidP="00480EC3">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16"/>
              </w:rPr>
            </w:pPr>
            <w:r w:rsidRPr="003F4D72">
              <w:rPr>
                <w:rFonts w:asciiTheme="majorHAnsi" w:eastAsia="Times New Roman" w:hAnsiTheme="majorHAnsi" w:cstheme="majorHAnsi"/>
                <w:sz w:val="20"/>
                <w:szCs w:val="16"/>
              </w:rPr>
              <w:t>7</w:t>
            </w:r>
            <w:r w:rsidR="00480EC3" w:rsidRPr="003F4D72">
              <w:rPr>
                <w:rFonts w:asciiTheme="majorHAnsi" w:eastAsia="Times New Roman" w:hAnsiTheme="majorHAnsi" w:cstheme="majorHAnsi"/>
                <w:sz w:val="20"/>
                <w:szCs w:val="16"/>
              </w:rPr>
              <w:t>65 983,7</w:t>
            </w:r>
          </w:p>
        </w:tc>
      </w:tr>
    </w:tbl>
    <w:p w14:paraId="64402566" w14:textId="4B83CE08" w:rsidR="001A097E" w:rsidRPr="003F4D72" w:rsidRDefault="001A097E" w:rsidP="001A097E">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w:t>
      </w:r>
      <w:r w:rsidR="009916EF" w:rsidRPr="003F4D72">
        <w:rPr>
          <w:rFonts w:asciiTheme="majorHAnsi" w:eastAsia="Times New Roman" w:hAnsiTheme="majorHAnsi" w:cstheme="majorHAnsi"/>
          <w:b/>
          <w:i/>
          <w:noProof/>
          <w:sz w:val="20"/>
          <w:szCs w:val="20"/>
          <w:lang w:eastAsia="ru-RU"/>
        </w:rPr>
        <w:t>ă</w:t>
      </w:r>
      <w:r w:rsidRPr="003F4D72">
        <w:rPr>
          <w:rFonts w:asciiTheme="majorHAnsi" w:eastAsia="Times New Roman" w:hAnsiTheme="majorHAnsi" w:cstheme="majorHAnsi"/>
          <w:i/>
          <w:noProof/>
          <w:sz w:val="20"/>
          <w:szCs w:val="20"/>
          <w:lang w:eastAsia="ru-RU"/>
        </w:rPr>
        <w:t>: Informație elaborată în baza contractelor încheiate cu prestatorii de servicii medicale, facturi</w:t>
      </w:r>
      <w:r w:rsidR="009916EF" w:rsidRPr="003F4D72">
        <w:rPr>
          <w:rFonts w:asciiTheme="majorHAnsi" w:eastAsia="Times New Roman" w:hAnsiTheme="majorHAnsi" w:cstheme="majorHAnsi"/>
          <w:i/>
          <w:noProof/>
          <w:sz w:val="20"/>
          <w:szCs w:val="20"/>
          <w:lang w:eastAsia="ru-RU"/>
        </w:rPr>
        <w:t>lor</w:t>
      </w:r>
      <w:r w:rsidRPr="003F4D72">
        <w:rPr>
          <w:rFonts w:asciiTheme="majorHAnsi" w:eastAsia="Times New Roman" w:hAnsiTheme="majorHAnsi" w:cstheme="majorHAnsi"/>
          <w:i/>
          <w:noProof/>
          <w:sz w:val="20"/>
          <w:szCs w:val="20"/>
          <w:lang w:eastAsia="ru-RU"/>
        </w:rPr>
        <w:t>, ordine</w:t>
      </w:r>
      <w:r w:rsidR="009916EF" w:rsidRPr="003F4D72">
        <w:rPr>
          <w:rFonts w:asciiTheme="majorHAnsi" w:eastAsia="Times New Roman" w:hAnsiTheme="majorHAnsi" w:cstheme="majorHAnsi"/>
          <w:i/>
          <w:noProof/>
          <w:sz w:val="20"/>
          <w:szCs w:val="20"/>
          <w:lang w:eastAsia="ru-RU"/>
        </w:rPr>
        <w:t>lor</w:t>
      </w:r>
      <w:r w:rsidRPr="003F4D72">
        <w:rPr>
          <w:rFonts w:asciiTheme="majorHAnsi" w:eastAsia="Times New Roman" w:hAnsiTheme="majorHAnsi" w:cstheme="majorHAnsi"/>
          <w:i/>
          <w:noProof/>
          <w:sz w:val="20"/>
          <w:szCs w:val="20"/>
          <w:lang w:eastAsia="ru-RU"/>
        </w:rPr>
        <w:t xml:space="preserve"> de plată. </w:t>
      </w:r>
    </w:p>
    <w:p w14:paraId="0BE79ED6" w14:textId="77777777" w:rsidR="009F77FF" w:rsidRPr="003F4D72" w:rsidRDefault="009F77FF" w:rsidP="00B014B0">
      <w:pPr>
        <w:spacing w:after="0" w:line="276" w:lineRule="auto"/>
        <w:ind w:firstLine="567"/>
        <w:jc w:val="both"/>
        <w:rPr>
          <w:rFonts w:asciiTheme="majorHAnsi" w:hAnsiTheme="majorHAnsi" w:cstheme="majorHAnsi"/>
          <w:sz w:val="24"/>
          <w:szCs w:val="24"/>
        </w:rPr>
      </w:pPr>
    </w:p>
    <w:p w14:paraId="4FC536FB" w14:textId="32714524" w:rsidR="00C25A67" w:rsidRPr="003F4D72" w:rsidRDefault="00C25A67" w:rsidP="00480EC3">
      <w:pPr>
        <w:spacing w:after="0" w:line="276" w:lineRule="auto"/>
        <w:ind w:firstLine="567"/>
        <w:jc w:val="both"/>
        <w:rPr>
          <w:rFonts w:asciiTheme="majorHAnsi" w:hAnsiTheme="majorHAnsi"/>
          <w:iCs/>
          <w:sz w:val="24"/>
          <w:szCs w:val="24"/>
        </w:rPr>
      </w:pPr>
      <w:r w:rsidRPr="003F4D72">
        <w:rPr>
          <w:rFonts w:asciiTheme="majorHAnsi" w:hAnsiTheme="majorHAnsi"/>
          <w:iCs/>
          <w:sz w:val="24"/>
          <w:szCs w:val="24"/>
        </w:rPr>
        <w:t>Aceste circumstanțe au fost generate de</w:t>
      </w:r>
      <w:r w:rsidR="00C17395" w:rsidRPr="003F4D72">
        <w:rPr>
          <w:rFonts w:asciiTheme="majorHAnsi" w:hAnsiTheme="majorHAnsi"/>
          <w:iCs/>
          <w:sz w:val="24"/>
          <w:szCs w:val="24"/>
        </w:rPr>
        <w:t xml:space="preserve"> </w:t>
      </w:r>
      <w:r w:rsidR="000B6581" w:rsidRPr="003F4D72">
        <w:rPr>
          <w:rFonts w:asciiTheme="majorHAnsi" w:hAnsiTheme="majorHAnsi"/>
          <w:sz w:val="24"/>
          <w:szCs w:val="24"/>
        </w:rPr>
        <w:t xml:space="preserve">faptul că metoda de contractare și achitare a asistenței medicale </w:t>
      </w:r>
      <w:r w:rsidR="000C7FB3" w:rsidRPr="003F4D72">
        <w:rPr>
          <w:rFonts w:asciiTheme="majorHAnsi" w:hAnsiTheme="majorHAnsi"/>
          <w:sz w:val="24"/>
          <w:szCs w:val="24"/>
        </w:rPr>
        <w:t xml:space="preserve">primare </w:t>
      </w:r>
      <w:r w:rsidR="000B6581" w:rsidRPr="003F4D72">
        <w:rPr>
          <w:rFonts w:asciiTheme="majorHAnsi" w:hAnsiTheme="majorHAnsi"/>
          <w:sz w:val="24"/>
          <w:szCs w:val="24"/>
        </w:rPr>
        <w:t>și specializate de ambulator</w:t>
      </w:r>
      <w:r w:rsidR="00486FFF" w:rsidRPr="003F4D72">
        <w:rPr>
          <w:rFonts w:asciiTheme="majorHAnsi" w:hAnsiTheme="majorHAnsi"/>
          <w:sz w:val="24"/>
          <w:szCs w:val="24"/>
        </w:rPr>
        <w:t>iu</w:t>
      </w:r>
      <w:r w:rsidR="000B6581" w:rsidRPr="003F4D72">
        <w:rPr>
          <w:rFonts w:asciiTheme="majorHAnsi" w:hAnsiTheme="majorHAnsi"/>
          <w:sz w:val="24"/>
          <w:szCs w:val="24"/>
        </w:rPr>
        <w:t xml:space="preserve"> se efectuează conform principiului „per </w:t>
      </w:r>
      <w:proofErr w:type="spellStart"/>
      <w:r w:rsidR="000B6581" w:rsidRPr="003F4D72">
        <w:rPr>
          <w:rFonts w:asciiTheme="majorHAnsi" w:hAnsiTheme="majorHAnsi"/>
          <w:sz w:val="24"/>
          <w:szCs w:val="24"/>
        </w:rPr>
        <w:t>capita</w:t>
      </w:r>
      <w:proofErr w:type="spellEnd"/>
      <w:r w:rsidR="000B6581" w:rsidRPr="003F4D72">
        <w:rPr>
          <w:rFonts w:asciiTheme="majorHAnsi" w:hAnsiTheme="majorHAnsi"/>
          <w:sz w:val="24"/>
          <w:szCs w:val="24"/>
        </w:rPr>
        <w:t>”, care presupune alocarea mijloacelor financiare în funcție de numărul persoanelor</w:t>
      </w:r>
      <w:r w:rsidR="004E606B" w:rsidRPr="003F4D72">
        <w:rPr>
          <w:rFonts w:asciiTheme="majorHAnsi" w:hAnsiTheme="majorHAnsi"/>
          <w:sz w:val="24"/>
          <w:szCs w:val="24"/>
        </w:rPr>
        <w:t xml:space="preserve"> din</w:t>
      </w:r>
      <w:r w:rsidR="000B6581" w:rsidRPr="003F4D72">
        <w:rPr>
          <w:rFonts w:asciiTheme="majorHAnsi" w:hAnsiTheme="majorHAnsi"/>
          <w:sz w:val="24"/>
          <w:szCs w:val="24"/>
        </w:rPr>
        <w:t xml:space="preserve"> </w:t>
      </w:r>
      <w:r w:rsidR="004E606B" w:rsidRPr="003F4D72">
        <w:rPr>
          <w:rFonts w:asciiTheme="majorHAnsi" w:hAnsiTheme="majorHAnsi"/>
          <w:sz w:val="24"/>
          <w:szCs w:val="24"/>
        </w:rPr>
        <w:t xml:space="preserve"> </w:t>
      </w:r>
      <w:r w:rsidR="000B6581" w:rsidRPr="003F4D72">
        <w:rPr>
          <w:rFonts w:asciiTheme="majorHAnsi" w:hAnsiTheme="majorHAnsi"/>
          <w:sz w:val="24"/>
          <w:szCs w:val="24"/>
        </w:rPr>
        <w:t>evidenț</w:t>
      </w:r>
      <w:r w:rsidR="004E606B" w:rsidRPr="003F4D72">
        <w:rPr>
          <w:rFonts w:asciiTheme="majorHAnsi" w:hAnsiTheme="majorHAnsi"/>
          <w:sz w:val="24"/>
          <w:szCs w:val="24"/>
        </w:rPr>
        <w:t>a</w:t>
      </w:r>
      <w:r w:rsidR="000B6581" w:rsidRPr="003F4D72">
        <w:rPr>
          <w:rFonts w:asciiTheme="majorHAnsi" w:hAnsiTheme="majorHAnsi"/>
          <w:sz w:val="24"/>
          <w:szCs w:val="24"/>
        </w:rPr>
        <w:t xml:space="preserve"> instituți</w:t>
      </w:r>
      <w:r w:rsidR="004E606B" w:rsidRPr="003F4D72">
        <w:rPr>
          <w:rFonts w:asciiTheme="majorHAnsi" w:hAnsiTheme="majorHAnsi"/>
          <w:sz w:val="24"/>
          <w:szCs w:val="24"/>
        </w:rPr>
        <w:t>ei</w:t>
      </w:r>
      <w:r w:rsidR="000B6581" w:rsidRPr="003F4D72">
        <w:rPr>
          <w:rFonts w:asciiTheme="majorHAnsi" w:hAnsiTheme="majorHAnsi"/>
          <w:sz w:val="24"/>
          <w:szCs w:val="24"/>
        </w:rPr>
        <w:t xml:space="preserve"> medical</w:t>
      </w:r>
      <w:r w:rsidR="004E606B" w:rsidRPr="003F4D72">
        <w:rPr>
          <w:rFonts w:asciiTheme="majorHAnsi" w:hAnsiTheme="majorHAnsi"/>
          <w:sz w:val="24"/>
          <w:szCs w:val="24"/>
        </w:rPr>
        <w:t>e</w:t>
      </w:r>
      <w:r w:rsidR="000B6581" w:rsidRPr="003F4D72">
        <w:rPr>
          <w:rFonts w:asciiTheme="majorHAnsi" w:hAnsiTheme="majorHAnsi"/>
          <w:sz w:val="24"/>
          <w:szCs w:val="24"/>
        </w:rPr>
        <w:t>.</w:t>
      </w:r>
    </w:p>
    <w:p w14:paraId="5BDB20B6" w14:textId="1288AC28" w:rsidR="00864E8B" w:rsidRPr="003F4D72" w:rsidRDefault="00CA2EE9" w:rsidP="00480EC3">
      <w:pPr>
        <w:spacing w:after="0" w:line="276" w:lineRule="auto"/>
        <w:ind w:firstLine="567"/>
        <w:jc w:val="both"/>
        <w:rPr>
          <w:rFonts w:asciiTheme="majorHAnsi" w:hAnsiTheme="majorHAnsi"/>
          <w:sz w:val="24"/>
          <w:szCs w:val="28"/>
        </w:rPr>
      </w:pPr>
      <w:r w:rsidRPr="003F4D72">
        <w:rPr>
          <w:rFonts w:asciiTheme="majorHAnsi" w:hAnsiTheme="majorHAnsi"/>
          <w:iCs/>
          <w:sz w:val="24"/>
          <w:szCs w:val="24"/>
        </w:rPr>
        <w:t>I</w:t>
      </w:r>
      <w:r w:rsidR="0003121B" w:rsidRPr="003F4D72">
        <w:rPr>
          <w:rFonts w:asciiTheme="majorHAnsi" w:hAnsiTheme="majorHAnsi" w:cstheme="majorHAnsi"/>
          <w:sz w:val="24"/>
          <w:szCs w:val="28"/>
        </w:rPr>
        <w:t xml:space="preserve">nstituțiile medicale raportează Companiei numărul de vizite, </w:t>
      </w:r>
      <w:r w:rsidRPr="003F4D72">
        <w:rPr>
          <w:rFonts w:asciiTheme="majorHAnsi" w:hAnsiTheme="majorHAnsi" w:cstheme="majorHAnsi"/>
          <w:sz w:val="24"/>
          <w:szCs w:val="28"/>
        </w:rPr>
        <w:t xml:space="preserve">iar </w:t>
      </w:r>
      <w:r w:rsidRPr="003F4D72">
        <w:rPr>
          <w:rFonts w:asciiTheme="majorHAnsi" w:hAnsiTheme="majorHAnsi"/>
          <w:sz w:val="24"/>
          <w:szCs w:val="24"/>
        </w:rPr>
        <w:t>în factura aferentă acestor servicii se indică doar valoarea totală a serviciilor medicale.</w:t>
      </w:r>
      <w:r w:rsidRPr="003F4D72">
        <w:rPr>
          <w:rFonts w:asciiTheme="majorHAnsi" w:eastAsia="Times New Roman" w:hAnsiTheme="majorHAnsi" w:cs="Times New Roman"/>
          <w:sz w:val="24"/>
          <w:szCs w:val="24"/>
        </w:rPr>
        <w:t xml:space="preserve"> Utilizarea rezultativă a mijloacelor </w:t>
      </w:r>
      <w:r w:rsidR="001041B6" w:rsidRPr="003F4D72">
        <w:rPr>
          <w:rFonts w:asciiTheme="majorHAnsi" w:eastAsia="Times New Roman" w:hAnsiTheme="majorHAnsi" w:cs="Times New Roman"/>
          <w:sz w:val="24"/>
          <w:szCs w:val="24"/>
        </w:rPr>
        <w:t>și persoanele care au beneficiat de servicii medicale nu este posibil de evaluat, iar</w:t>
      </w:r>
      <w:r w:rsidR="001041B6" w:rsidRPr="003F4D72">
        <w:rPr>
          <w:rFonts w:asciiTheme="majorHAnsi" w:hAnsiTheme="majorHAnsi"/>
          <w:sz w:val="24"/>
          <w:szCs w:val="28"/>
        </w:rPr>
        <w:t xml:space="preserve"> </w:t>
      </w:r>
      <w:r w:rsidR="001041B6" w:rsidRPr="003F4D72">
        <w:rPr>
          <w:rFonts w:asciiTheme="majorHAnsi" w:hAnsiTheme="majorHAnsi" w:cstheme="majorHAnsi"/>
          <w:sz w:val="24"/>
          <w:szCs w:val="24"/>
        </w:rPr>
        <w:t>a</w:t>
      </w:r>
      <w:r w:rsidR="00864E8B" w:rsidRPr="003F4D72">
        <w:rPr>
          <w:rFonts w:asciiTheme="majorHAnsi" w:hAnsiTheme="majorHAnsi" w:cstheme="majorHAnsi"/>
          <w:sz w:val="24"/>
          <w:szCs w:val="24"/>
        </w:rPr>
        <w:t>cest aspect este relevant deoarece</w:t>
      </w:r>
      <w:r w:rsidR="00486FFF" w:rsidRPr="003F4D72">
        <w:rPr>
          <w:rFonts w:asciiTheme="majorHAnsi" w:hAnsiTheme="majorHAnsi" w:cstheme="majorHAnsi"/>
          <w:sz w:val="24"/>
          <w:szCs w:val="24"/>
        </w:rPr>
        <w:t>,</w:t>
      </w:r>
      <w:r w:rsidR="00864E8B" w:rsidRPr="003F4D72">
        <w:rPr>
          <w:rFonts w:asciiTheme="majorHAnsi" w:hAnsiTheme="majorHAnsi" w:cstheme="majorHAnsi"/>
          <w:sz w:val="24"/>
          <w:szCs w:val="24"/>
        </w:rPr>
        <w:t xml:space="preserve"> la nivelul acestor tipuri de asistență medicală</w:t>
      </w:r>
      <w:r w:rsidR="00486FFF" w:rsidRPr="003F4D72">
        <w:rPr>
          <w:rFonts w:asciiTheme="majorHAnsi" w:hAnsiTheme="majorHAnsi" w:cstheme="majorHAnsi"/>
          <w:sz w:val="24"/>
          <w:szCs w:val="24"/>
        </w:rPr>
        <w:t>,</w:t>
      </w:r>
      <w:r w:rsidR="00864E8B" w:rsidRPr="003F4D72">
        <w:rPr>
          <w:rFonts w:asciiTheme="majorHAnsi" w:hAnsiTheme="majorHAnsi" w:cstheme="majorHAnsi"/>
          <w:sz w:val="24"/>
          <w:szCs w:val="24"/>
        </w:rPr>
        <w:t xml:space="preserve"> sunt prestate servicii medicale de profilaxie, prevenire, diagnostic și tratament amb</w:t>
      </w:r>
      <w:r w:rsidR="00480EC3" w:rsidRPr="003F4D72">
        <w:rPr>
          <w:rFonts w:asciiTheme="majorHAnsi" w:hAnsiTheme="majorHAnsi" w:cstheme="majorHAnsi"/>
          <w:sz w:val="24"/>
          <w:szCs w:val="24"/>
        </w:rPr>
        <w:t>ulatoriu.</w:t>
      </w:r>
    </w:p>
    <w:p w14:paraId="0082C4AE" w14:textId="3E76359E" w:rsidR="00B402C7" w:rsidRPr="003F4D72" w:rsidRDefault="001041B6" w:rsidP="00480EC3">
      <w:pPr>
        <w:spacing w:after="0" w:line="276" w:lineRule="auto"/>
        <w:ind w:firstLine="567"/>
        <w:jc w:val="both"/>
        <w:rPr>
          <w:rFonts w:asciiTheme="majorHAnsi" w:hAnsiTheme="majorHAnsi" w:cstheme="majorHAnsi"/>
          <w:sz w:val="24"/>
          <w:szCs w:val="16"/>
        </w:rPr>
      </w:pPr>
      <w:r w:rsidRPr="003F4D72">
        <w:rPr>
          <w:rFonts w:asciiTheme="majorHAnsi" w:hAnsiTheme="majorHAnsi" w:cstheme="majorHAnsi"/>
          <w:sz w:val="24"/>
          <w:szCs w:val="24"/>
        </w:rPr>
        <w:t xml:space="preserve">În </w:t>
      </w:r>
      <w:r w:rsidR="00486FFF" w:rsidRPr="003F4D72">
        <w:rPr>
          <w:rFonts w:asciiTheme="majorHAnsi" w:hAnsiTheme="majorHAnsi" w:cstheme="majorHAnsi"/>
          <w:sz w:val="24"/>
          <w:szCs w:val="24"/>
        </w:rPr>
        <w:t xml:space="preserve">acest </w:t>
      </w:r>
      <w:r w:rsidRPr="003F4D72">
        <w:rPr>
          <w:rFonts w:asciiTheme="majorHAnsi" w:hAnsiTheme="majorHAnsi" w:cstheme="majorHAnsi"/>
          <w:sz w:val="24"/>
          <w:szCs w:val="24"/>
        </w:rPr>
        <w:t>context</w:t>
      </w:r>
      <w:r w:rsidR="00486FFF" w:rsidRPr="003F4D72">
        <w:rPr>
          <w:rFonts w:asciiTheme="majorHAnsi" w:hAnsiTheme="majorHAnsi" w:cstheme="majorHAnsi"/>
          <w:sz w:val="24"/>
          <w:szCs w:val="24"/>
        </w:rPr>
        <w:t>,</w:t>
      </w:r>
      <w:r w:rsidRPr="003F4D72">
        <w:rPr>
          <w:rFonts w:asciiTheme="majorHAnsi" w:hAnsiTheme="majorHAnsi" w:cstheme="majorHAnsi"/>
          <w:sz w:val="24"/>
          <w:szCs w:val="24"/>
        </w:rPr>
        <w:t xml:space="preserve"> se </w:t>
      </w:r>
      <w:r w:rsidR="00816C83" w:rsidRPr="003F4D72">
        <w:rPr>
          <w:rFonts w:asciiTheme="majorHAnsi" w:hAnsiTheme="majorHAnsi" w:cstheme="majorHAnsi"/>
          <w:sz w:val="24"/>
          <w:szCs w:val="24"/>
        </w:rPr>
        <w:t>mențion</w:t>
      </w:r>
      <w:r w:rsidRPr="003F4D72">
        <w:rPr>
          <w:rFonts w:asciiTheme="majorHAnsi" w:hAnsiTheme="majorHAnsi" w:cstheme="majorHAnsi"/>
          <w:sz w:val="24"/>
          <w:szCs w:val="24"/>
        </w:rPr>
        <w:t xml:space="preserve">ează </w:t>
      </w:r>
      <w:r w:rsidR="00816C83" w:rsidRPr="003F4D72">
        <w:rPr>
          <w:rFonts w:asciiTheme="majorHAnsi" w:hAnsiTheme="majorHAnsi" w:cstheme="majorHAnsi"/>
          <w:sz w:val="24"/>
          <w:szCs w:val="24"/>
        </w:rPr>
        <w:t>că S</w:t>
      </w:r>
      <w:r w:rsidR="00864E8B" w:rsidRPr="003F4D72">
        <w:rPr>
          <w:rFonts w:asciiTheme="majorHAnsi" w:hAnsiTheme="majorHAnsi" w:cstheme="majorHAnsi"/>
          <w:sz w:val="24"/>
          <w:szCs w:val="24"/>
        </w:rPr>
        <w:t>istemul Informațional Automatizat „Asistența Medicală Primară”</w:t>
      </w:r>
      <w:r w:rsidR="00864E8B" w:rsidRPr="003F4D72">
        <w:rPr>
          <w:rFonts w:asciiTheme="majorHAnsi" w:hAnsiTheme="majorHAnsi" w:cstheme="majorHAnsi"/>
          <w:sz w:val="24"/>
          <w:szCs w:val="16"/>
        </w:rPr>
        <w:t xml:space="preserve"> nu oferă posibilitatea de a evalua și monitoriza rezultatele activității instituției de profil, inclusiv: persoanele investigate, tipul și cuantumul serviciilor și a investigațiilor prestate, diagnosticul</w:t>
      </w:r>
      <w:r w:rsidR="00C8295C" w:rsidRPr="003F4D72">
        <w:rPr>
          <w:rFonts w:asciiTheme="majorHAnsi" w:hAnsiTheme="majorHAnsi" w:cstheme="majorHAnsi"/>
          <w:sz w:val="24"/>
          <w:szCs w:val="16"/>
        </w:rPr>
        <w:t xml:space="preserve"> stabilit, tratamentul prescris</w:t>
      </w:r>
      <w:r w:rsidR="00862506" w:rsidRPr="003F4D72">
        <w:rPr>
          <w:rFonts w:asciiTheme="majorHAnsi" w:hAnsiTheme="majorHAnsi" w:cstheme="majorHAnsi"/>
          <w:sz w:val="24"/>
          <w:szCs w:val="16"/>
        </w:rPr>
        <w:t xml:space="preserve"> </w:t>
      </w:r>
      <w:r w:rsidR="00864E8B" w:rsidRPr="003F4D72">
        <w:rPr>
          <w:rFonts w:asciiTheme="majorHAnsi" w:hAnsiTheme="majorHAnsi" w:cstheme="majorHAnsi"/>
          <w:sz w:val="24"/>
          <w:szCs w:val="16"/>
        </w:rPr>
        <w:t>et</w:t>
      </w:r>
      <w:r w:rsidR="00C8295C" w:rsidRPr="003F4D72">
        <w:rPr>
          <w:rFonts w:asciiTheme="majorHAnsi" w:hAnsiTheme="majorHAnsi" w:cstheme="majorHAnsi"/>
          <w:sz w:val="24"/>
          <w:szCs w:val="16"/>
        </w:rPr>
        <w:t>c.</w:t>
      </w:r>
    </w:p>
    <w:p w14:paraId="4824A78A" w14:textId="011B5E26" w:rsidR="00C8295C" w:rsidRPr="003F4D72" w:rsidRDefault="00C8295C" w:rsidP="00787047">
      <w:pPr>
        <w:spacing w:after="0" w:line="276" w:lineRule="auto"/>
        <w:jc w:val="both"/>
        <w:rPr>
          <w:rFonts w:asciiTheme="majorHAnsi" w:hAnsiTheme="majorHAnsi" w:cstheme="majorHAnsi"/>
          <w:sz w:val="24"/>
          <w:szCs w:val="16"/>
        </w:rPr>
      </w:pPr>
    </w:p>
    <w:p w14:paraId="11F7758E" w14:textId="77777777" w:rsidR="00916BD7" w:rsidRPr="003F4D72" w:rsidRDefault="00916BD7" w:rsidP="00787047">
      <w:pPr>
        <w:spacing w:after="0" w:line="276" w:lineRule="auto"/>
        <w:jc w:val="both"/>
        <w:rPr>
          <w:rFonts w:asciiTheme="majorHAnsi" w:hAnsiTheme="majorHAnsi" w:cstheme="majorHAnsi"/>
          <w:sz w:val="24"/>
          <w:szCs w:val="16"/>
        </w:rPr>
      </w:pPr>
    </w:p>
    <w:p w14:paraId="14E376B9" w14:textId="30C05E43" w:rsidR="00C8295C" w:rsidRPr="003F4D72" w:rsidRDefault="003655E8" w:rsidP="00787047">
      <w:pPr>
        <w:pStyle w:val="ListParagraph"/>
        <w:numPr>
          <w:ilvl w:val="0"/>
          <w:numId w:val="15"/>
        </w:numPr>
        <w:spacing w:after="0" w:line="276" w:lineRule="auto"/>
        <w:ind w:left="0" w:firstLine="426"/>
        <w:jc w:val="both"/>
        <w:rPr>
          <w:rFonts w:asciiTheme="majorHAnsi" w:hAnsiTheme="majorHAnsi" w:cstheme="majorHAnsi"/>
          <w:b/>
          <w:sz w:val="28"/>
          <w:szCs w:val="16"/>
          <w:lang w:val="ro-MD"/>
        </w:rPr>
      </w:pPr>
      <w:r w:rsidRPr="003F4D72">
        <w:rPr>
          <w:rFonts w:asciiTheme="majorHAnsi" w:hAnsiTheme="majorHAnsi" w:cstheme="majorHAnsi"/>
          <w:b/>
          <w:sz w:val="28"/>
          <w:szCs w:val="16"/>
          <w:lang w:val="ro-MD"/>
        </w:rPr>
        <w:t>ALTE INFORMAȚII</w:t>
      </w:r>
    </w:p>
    <w:p w14:paraId="46B95914" w14:textId="1D6BD00A" w:rsidR="003655E8" w:rsidRPr="003F4D72" w:rsidRDefault="003655E8" w:rsidP="003F4D72">
      <w:pPr>
        <w:spacing w:line="276" w:lineRule="auto"/>
        <w:jc w:val="both"/>
        <w:rPr>
          <w:rFonts w:asciiTheme="majorHAnsi" w:hAnsiTheme="majorHAnsi" w:cstheme="majorHAnsi"/>
          <w:noProof/>
          <w:sz w:val="24"/>
          <w:szCs w:val="24"/>
        </w:rPr>
      </w:pPr>
      <w:r w:rsidRPr="003F4D72">
        <w:rPr>
          <w:rFonts w:asciiTheme="majorHAnsi" w:hAnsiTheme="majorHAnsi" w:cstheme="majorHAnsi"/>
          <w:b/>
          <w:sz w:val="24"/>
          <w:szCs w:val="24"/>
        </w:rPr>
        <w:t xml:space="preserve">5.1. </w:t>
      </w:r>
      <w:r w:rsidR="00E002B7" w:rsidRPr="003F4D72">
        <w:rPr>
          <w:rFonts w:asciiTheme="majorHAnsi" w:hAnsiTheme="majorHAnsi" w:cstheme="majorHAnsi"/>
          <w:b/>
          <w:sz w:val="24"/>
          <w:szCs w:val="24"/>
        </w:rPr>
        <w:t>Anul 2020 a determinat modificarea metodei de contractare</w:t>
      </w:r>
      <w:r w:rsidR="003656FB" w:rsidRPr="003F4D72">
        <w:rPr>
          <w:rFonts w:asciiTheme="majorHAnsi" w:hAnsiTheme="majorHAnsi" w:cstheme="majorHAnsi"/>
          <w:b/>
          <w:sz w:val="24"/>
          <w:szCs w:val="24"/>
        </w:rPr>
        <w:t>,</w:t>
      </w:r>
      <w:r w:rsidR="00E002B7" w:rsidRPr="003F4D72">
        <w:rPr>
          <w:rFonts w:asciiTheme="majorHAnsi" w:hAnsiTheme="majorHAnsi" w:cstheme="majorHAnsi"/>
          <w:b/>
          <w:sz w:val="24"/>
          <w:szCs w:val="24"/>
        </w:rPr>
        <w:t xml:space="preserve"> de la </w:t>
      </w:r>
      <w:r w:rsidR="00862506" w:rsidRPr="003F4D72">
        <w:rPr>
          <w:rFonts w:asciiTheme="majorHAnsi" w:eastAsiaTheme="minorHAnsi" w:hAnsiTheme="majorHAnsi" w:cstheme="majorHAnsi"/>
          <w:b/>
          <w:bCs/>
          <w:i/>
          <w:iCs/>
          <w:noProof/>
          <w:sz w:val="24"/>
          <w:szCs w:val="24"/>
        </w:rPr>
        <w:t>„</w:t>
      </w:r>
      <w:r w:rsidR="00E002B7" w:rsidRPr="003F4D72">
        <w:rPr>
          <w:rFonts w:asciiTheme="majorHAnsi" w:eastAsiaTheme="minorHAnsi" w:hAnsiTheme="majorHAnsi" w:cstheme="majorHAnsi"/>
          <w:b/>
          <w:bCs/>
          <w:i/>
          <w:iCs/>
          <w:noProof/>
          <w:sz w:val="24"/>
          <w:szCs w:val="24"/>
        </w:rPr>
        <w:t>per capita”</w:t>
      </w:r>
      <w:r w:rsidR="00815A71" w:rsidRPr="003F4D72">
        <w:rPr>
          <w:rFonts w:asciiTheme="majorHAnsi" w:eastAsiaTheme="minorHAnsi" w:hAnsiTheme="majorHAnsi" w:cstheme="majorHAnsi"/>
          <w:b/>
          <w:bCs/>
          <w:iCs/>
          <w:noProof/>
          <w:sz w:val="24"/>
          <w:szCs w:val="24"/>
        </w:rPr>
        <w:t xml:space="preserve"> </w:t>
      </w:r>
      <w:r w:rsidR="00E002B7" w:rsidRPr="003F4D72">
        <w:rPr>
          <w:rFonts w:asciiTheme="majorHAnsi" w:eastAsiaTheme="minorHAnsi" w:hAnsiTheme="majorHAnsi" w:cstheme="majorHAnsi"/>
          <w:b/>
          <w:bCs/>
          <w:iCs/>
          <w:noProof/>
          <w:sz w:val="24"/>
          <w:szCs w:val="24"/>
        </w:rPr>
        <w:t xml:space="preserve">la </w:t>
      </w:r>
      <w:r w:rsidR="00862506" w:rsidRPr="003F4D72">
        <w:rPr>
          <w:rFonts w:asciiTheme="majorHAnsi" w:eastAsiaTheme="minorHAnsi" w:hAnsiTheme="majorHAnsi" w:cstheme="majorHAnsi"/>
          <w:b/>
          <w:bCs/>
          <w:i/>
          <w:iCs/>
          <w:noProof/>
          <w:sz w:val="24"/>
          <w:szCs w:val="24"/>
        </w:rPr>
        <w:t>„</w:t>
      </w:r>
      <w:r w:rsidR="00E002B7" w:rsidRPr="003F4D72">
        <w:rPr>
          <w:rFonts w:asciiTheme="majorHAnsi" w:eastAsiaTheme="minorHAnsi" w:hAnsiTheme="majorHAnsi" w:cstheme="majorHAnsi"/>
          <w:b/>
          <w:bCs/>
          <w:i/>
          <w:iCs/>
          <w:noProof/>
          <w:sz w:val="24"/>
          <w:szCs w:val="24"/>
        </w:rPr>
        <w:t>bugetul global”</w:t>
      </w:r>
      <w:r w:rsidR="00E002B7" w:rsidRPr="003F4D72">
        <w:rPr>
          <w:rFonts w:asciiTheme="majorHAnsi" w:eastAsiaTheme="minorHAnsi" w:hAnsiTheme="majorHAnsi" w:cstheme="majorHAnsi"/>
          <w:b/>
          <w:bCs/>
          <w:iCs/>
          <w:noProof/>
          <w:sz w:val="24"/>
          <w:szCs w:val="24"/>
        </w:rPr>
        <w:t xml:space="preserve">, ceea ce nu oferă evaluarea atingerii indicatorilor de rezultat la </w:t>
      </w:r>
      <w:r w:rsidRPr="003F4D72">
        <w:rPr>
          <w:rFonts w:asciiTheme="majorHAnsi" w:hAnsiTheme="majorHAnsi" w:cstheme="majorHAnsi"/>
          <w:b/>
          <w:bCs/>
          <w:sz w:val="24"/>
          <w:szCs w:val="24"/>
        </w:rPr>
        <w:t xml:space="preserve">finanțarea </w:t>
      </w:r>
      <w:r w:rsidR="00E002B7" w:rsidRPr="003F4D72">
        <w:rPr>
          <w:rFonts w:asciiTheme="majorHAnsi" w:hAnsiTheme="majorHAnsi" w:cstheme="majorHAnsi"/>
          <w:b/>
          <w:bCs/>
          <w:sz w:val="24"/>
          <w:szCs w:val="24"/>
        </w:rPr>
        <w:t>volumul</w:t>
      </w:r>
      <w:r w:rsidR="00862506" w:rsidRPr="003F4D72">
        <w:rPr>
          <w:rFonts w:asciiTheme="majorHAnsi" w:hAnsiTheme="majorHAnsi" w:cstheme="majorHAnsi"/>
          <w:b/>
          <w:bCs/>
          <w:sz w:val="24"/>
          <w:szCs w:val="24"/>
        </w:rPr>
        <w:t>ui</w:t>
      </w:r>
      <w:r w:rsidR="00E002B7" w:rsidRPr="003F4D72">
        <w:rPr>
          <w:rFonts w:asciiTheme="majorHAnsi" w:hAnsiTheme="majorHAnsi" w:cstheme="majorHAnsi"/>
          <w:b/>
          <w:bCs/>
          <w:sz w:val="24"/>
          <w:szCs w:val="24"/>
        </w:rPr>
        <w:t xml:space="preserve"> de asistență urgentă prespitalicească</w:t>
      </w:r>
      <w:r w:rsidRPr="003F4D72">
        <w:rPr>
          <w:rFonts w:asciiTheme="majorHAnsi" w:hAnsiTheme="majorHAnsi" w:cstheme="majorHAnsi"/>
          <w:b/>
          <w:bCs/>
          <w:sz w:val="24"/>
          <w:szCs w:val="24"/>
        </w:rPr>
        <w:t xml:space="preserve"> </w:t>
      </w:r>
      <w:r w:rsidR="00E002B7" w:rsidRPr="003F4D72">
        <w:rPr>
          <w:rFonts w:asciiTheme="majorHAnsi" w:hAnsiTheme="majorHAnsi" w:cstheme="majorHAnsi"/>
          <w:b/>
          <w:bCs/>
          <w:sz w:val="24"/>
          <w:szCs w:val="24"/>
        </w:rPr>
        <w:t>(790,7 mil.lei).</w:t>
      </w:r>
    </w:p>
    <w:p w14:paraId="4F9B3D51" w14:textId="77777777" w:rsidR="003655E8" w:rsidRPr="003F4D72" w:rsidRDefault="003655E8" w:rsidP="003655E8">
      <w:pPr>
        <w:spacing w:after="0" w:line="276" w:lineRule="auto"/>
        <w:ind w:firstLine="567"/>
        <w:jc w:val="both"/>
        <w:rPr>
          <w:rFonts w:asciiTheme="majorHAnsi" w:eastAsia="Times New Roman" w:hAnsiTheme="majorHAnsi" w:cstheme="majorHAnsi"/>
          <w:noProof/>
          <w:sz w:val="24"/>
          <w:szCs w:val="24"/>
          <w:lang w:eastAsia="ru-RU"/>
        </w:rPr>
      </w:pPr>
      <w:r w:rsidRPr="003F4D72">
        <w:rPr>
          <w:rFonts w:asciiTheme="majorHAnsi" w:eastAsia="Times New Roman" w:hAnsiTheme="majorHAnsi" w:cstheme="majorHAnsi"/>
          <w:noProof/>
          <w:sz w:val="24"/>
          <w:szCs w:val="24"/>
          <w:lang w:eastAsia="ru-RU"/>
        </w:rPr>
        <w:t>Centrul Naţional de Asistenţă Medicală Urgentă Prespitalicească este unicul prestator de asistenţă medicală urgentă prespitalicească, responsabil la nivel naţional de asigurarea accesibilităţii, operativităţii şi calităţii serviciilor urgente prespitalicești pentru toată populaţia</w:t>
      </w:r>
      <w:r w:rsidRPr="003F4D72">
        <w:rPr>
          <w:rFonts w:asciiTheme="majorHAnsi" w:eastAsia="Times New Roman" w:hAnsiTheme="majorHAnsi" w:cstheme="majorHAnsi"/>
          <w:noProof/>
          <w:sz w:val="24"/>
          <w:szCs w:val="24"/>
          <w:vertAlign w:val="superscript"/>
          <w:lang w:eastAsia="ru-RU"/>
        </w:rPr>
        <w:footnoteReference w:id="11"/>
      </w:r>
      <w:r w:rsidRPr="003F4D72">
        <w:rPr>
          <w:rFonts w:asciiTheme="majorHAnsi" w:eastAsia="Times New Roman" w:hAnsiTheme="majorHAnsi" w:cstheme="majorHAnsi"/>
          <w:noProof/>
          <w:sz w:val="24"/>
          <w:szCs w:val="24"/>
          <w:lang w:eastAsia="ru-RU"/>
        </w:rPr>
        <w:t>.</w:t>
      </w:r>
    </w:p>
    <w:p w14:paraId="118C193B" w14:textId="3FC261B7" w:rsidR="003655E8" w:rsidRPr="003F4D72" w:rsidRDefault="003655E8" w:rsidP="003655E8">
      <w:pPr>
        <w:spacing w:after="0" w:line="276" w:lineRule="auto"/>
        <w:ind w:firstLine="567"/>
        <w:jc w:val="both"/>
        <w:rPr>
          <w:rFonts w:asciiTheme="majorHAnsi" w:eastAsiaTheme="minorHAnsi" w:hAnsiTheme="majorHAnsi" w:cstheme="majorHAnsi"/>
          <w:bCs/>
          <w:iCs/>
          <w:noProof/>
          <w:sz w:val="24"/>
          <w:szCs w:val="24"/>
        </w:rPr>
      </w:pPr>
      <w:r w:rsidRPr="003F4D72">
        <w:rPr>
          <w:rFonts w:asciiTheme="majorHAnsi" w:eastAsiaTheme="minorHAnsi" w:hAnsiTheme="majorHAnsi" w:cstheme="majorHAnsi"/>
          <w:noProof/>
          <w:sz w:val="24"/>
          <w:szCs w:val="24"/>
        </w:rPr>
        <w:t>Se relevă că</w:t>
      </w:r>
      <w:r w:rsidR="003656FB" w:rsidRPr="003F4D72">
        <w:rPr>
          <w:rFonts w:asciiTheme="majorHAnsi" w:eastAsiaTheme="minorHAnsi" w:hAnsiTheme="majorHAnsi" w:cstheme="majorHAnsi"/>
          <w:noProof/>
          <w:sz w:val="24"/>
          <w:szCs w:val="24"/>
        </w:rPr>
        <w:t>,</w:t>
      </w:r>
      <w:r w:rsidRPr="003F4D72">
        <w:rPr>
          <w:rFonts w:asciiTheme="majorHAnsi" w:eastAsiaTheme="minorHAnsi" w:hAnsiTheme="majorHAnsi" w:cstheme="majorHAnsi"/>
          <w:noProof/>
          <w:sz w:val="24"/>
          <w:szCs w:val="24"/>
        </w:rPr>
        <w:t xml:space="preserve"> </w:t>
      </w:r>
      <w:r w:rsidR="003656FB" w:rsidRPr="003F4D72">
        <w:rPr>
          <w:rFonts w:asciiTheme="majorHAnsi" w:eastAsiaTheme="minorHAnsi" w:hAnsiTheme="majorHAnsi" w:cstheme="majorHAnsi"/>
          <w:noProof/>
          <w:sz w:val="24"/>
          <w:szCs w:val="24"/>
        </w:rPr>
        <w:t xml:space="preserve">în </w:t>
      </w:r>
      <w:r w:rsidRPr="003F4D72">
        <w:rPr>
          <w:rFonts w:asciiTheme="majorHAnsi" w:eastAsiaTheme="minorHAnsi" w:hAnsiTheme="majorHAnsi" w:cstheme="majorHAnsi"/>
          <w:noProof/>
          <w:sz w:val="24"/>
          <w:szCs w:val="24"/>
        </w:rPr>
        <w:t>anul 2020</w:t>
      </w:r>
      <w:r w:rsidR="003656FB" w:rsidRPr="003F4D72">
        <w:rPr>
          <w:rFonts w:asciiTheme="majorHAnsi" w:eastAsiaTheme="minorHAnsi" w:hAnsiTheme="majorHAnsi" w:cstheme="majorHAnsi"/>
          <w:noProof/>
          <w:sz w:val="24"/>
          <w:szCs w:val="24"/>
        </w:rPr>
        <w:t>,</w:t>
      </w:r>
      <w:r w:rsidRPr="003F4D72">
        <w:rPr>
          <w:rFonts w:asciiTheme="majorHAnsi" w:eastAsiaTheme="minorHAnsi" w:hAnsiTheme="majorHAnsi" w:cstheme="majorHAnsi"/>
          <w:noProof/>
          <w:sz w:val="24"/>
          <w:szCs w:val="24"/>
        </w:rPr>
        <w:t xml:space="preserve"> contractarea serviciilor urgente prespitalicești a avut loc după metoda </w:t>
      </w:r>
      <w:r w:rsidR="003656FB" w:rsidRPr="003F4D72">
        <w:rPr>
          <w:rFonts w:asciiTheme="majorHAnsi" w:eastAsiaTheme="minorHAnsi" w:hAnsiTheme="majorHAnsi" w:cstheme="majorHAnsi"/>
          <w:i/>
          <w:noProof/>
          <w:sz w:val="24"/>
          <w:szCs w:val="24"/>
        </w:rPr>
        <w:t>„</w:t>
      </w:r>
      <w:r w:rsidRPr="003F4D72">
        <w:rPr>
          <w:rFonts w:asciiTheme="majorHAnsi" w:eastAsiaTheme="minorHAnsi" w:hAnsiTheme="majorHAnsi" w:cstheme="majorHAnsi"/>
          <w:i/>
          <w:noProof/>
          <w:sz w:val="24"/>
          <w:szCs w:val="24"/>
        </w:rPr>
        <w:t>buget global</w:t>
      </w:r>
      <w:r w:rsidR="00D6659D" w:rsidRPr="003F4D72">
        <w:rPr>
          <w:rFonts w:asciiTheme="majorHAnsi" w:eastAsiaTheme="minorHAnsi" w:hAnsiTheme="majorHAnsi" w:cstheme="majorHAnsi"/>
          <w:noProof/>
          <w:sz w:val="24"/>
          <w:szCs w:val="24"/>
        </w:rPr>
        <w:t>”</w:t>
      </w:r>
      <w:r w:rsidR="00FB3581" w:rsidRPr="003F4D72">
        <w:rPr>
          <w:rFonts w:asciiTheme="majorHAnsi" w:eastAsiaTheme="minorHAnsi" w:hAnsiTheme="majorHAnsi" w:cstheme="majorHAnsi"/>
          <w:noProof/>
          <w:sz w:val="24"/>
          <w:szCs w:val="24"/>
        </w:rPr>
        <w:t xml:space="preserve"> </w:t>
      </w:r>
      <w:r w:rsidR="00D6659D" w:rsidRPr="003F4D72">
        <w:rPr>
          <w:rFonts w:asciiTheme="majorHAnsi" w:eastAsiaTheme="minorHAnsi" w:hAnsiTheme="majorHAnsi" w:cstheme="majorHAnsi"/>
          <w:noProof/>
          <w:sz w:val="24"/>
          <w:szCs w:val="24"/>
        </w:rPr>
        <w:t>(</w:t>
      </w:r>
      <w:r w:rsidR="00FB3581" w:rsidRPr="003F4D72">
        <w:rPr>
          <w:rFonts w:asciiTheme="majorHAnsi" w:eastAsiaTheme="minorHAnsi" w:hAnsiTheme="majorHAnsi" w:cstheme="majorHAnsi"/>
          <w:noProof/>
          <w:sz w:val="24"/>
          <w:szCs w:val="24"/>
        </w:rPr>
        <w:t>Ordinul MSMPS și CNAM nr.1515/375-A din 31.12.2019</w:t>
      </w:r>
      <w:r w:rsidR="00D6659D" w:rsidRPr="003F4D72">
        <w:rPr>
          <w:rFonts w:asciiTheme="majorHAnsi" w:eastAsiaTheme="minorHAnsi" w:hAnsiTheme="majorHAnsi" w:cstheme="majorHAnsi"/>
          <w:noProof/>
          <w:sz w:val="24"/>
          <w:szCs w:val="24"/>
        </w:rPr>
        <w:t>)</w:t>
      </w:r>
      <w:r w:rsidRPr="003F4D72">
        <w:rPr>
          <w:rStyle w:val="FootnoteReference"/>
          <w:rFonts w:asciiTheme="majorHAnsi" w:hAnsiTheme="majorHAnsi" w:cstheme="majorHAnsi"/>
          <w:noProof/>
          <w:sz w:val="24"/>
          <w:szCs w:val="24"/>
        </w:rPr>
        <w:footnoteReference w:id="12"/>
      </w:r>
      <w:r w:rsidRPr="003F4D72">
        <w:rPr>
          <w:rFonts w:asciiTheme="majorHAnsi" w:eastAsiaTheme="minorHAnsi" w:hAnsiTheme="majorHAnsi" w:cstheme="majorHAnsi"/>
          <w:noProof/>
          <w:sz w:val="24"/>
          <w:szCs w:val="24"/>
        </w:rPr>
        <w:t xml:space="preserve">, iar în anul 2019 aceste tipuri de servicii se contractau după principiul </w:t>
      </w:r>
      <w:r w:rsidR="003656FB" w:rsidRPr="003F4D72">
        <w:rPr>
          <w:rFonts w:asciiTheme="majorHAnsi" w:eastAsiaTheme="minorHAnsi" w:hAnsiTheme="majorHAnsi" w:cstheme="majorHAnsi"/>
          <w:i/>
          <w:noProof/>
          <w:sz w:val="24"/>
          <w:szCs w:val="24"/>
        </w:rPr>
        <w:t>„</w:t>
      </w:r>
      <w:r w:rsidRPr="003F4D72">
        <w:rPr>
          <w:rFonts w:asciiTheme="majorHAnsi" w:eastAsiaTheme="minorHAnsi" w:hAnsiTheme="majorHAnsi" w:cstheme="majorHAnsi"/>
          <w:i/>
          <w:noProof/>
          <w:sz w:val="24"/>
          <w:szCs w:val="24"/>
        </w:rPr>
        <w:t>per capita</w:t>
      </w:r>
      <w:r w:rsidR="002E1C8D" w:rsidRPr="003F4D72">
        <w:rPr>
          <w:rFonts w:asciiTheme="majorHAnsi" w:eastAsiaTheme="minorHAnsi" w:hAnsiTheme="majorHAnsi" w:cstheme="majorHAnsi"/>
          <w:noProof/>
          <w:sz w:val="24"/>
          <w:szCs w:val="24"/>
        </w:rPr>
        <w:t>”(Ordinul MSMPS şi CNAM nr.1592/594-A din 28.12.2018)</w:t>
      </w:r>
      <w:r w:rsidRPr="003F4D72">
        <w:rPr>
          <w:rStyle w:val="FootnoteReference"/>
          <w:rFonts w:asciiTheme="majorHAnsi" w:eastAsiaTheme="minorHAnsi" w:hAnsiTheme="majorHAnsi" w:cstheme="majorHAnsi"/>
          <w:i/>
          <w:noProof/>
          <w:sz w:val="24"/>
          <w:szCs w:val="24"/>
        </w:rPr>
        <w:footnoteReference w:id="13"/>
      </w:r>
      <w:r w:rsidRPr="003F4D72">
        <w:rPr>
          <w:rFonts w:asciiTheme="majorHAnsi" w:eastAsiaTheme="minorHAnsi" w:hAnsiTheme="majorHAnsi" w:cstheme="majorHAnsi"/>
          <w:i/>
          <w:noProof/>
          <w:sz w:val="24"/>
          <w:szCs w:val="24"/>
        </w:rPr>
        <w:t>.</w:t>
      </w:r>
      <w:r w:rsidRPr="003F4D72">
        <w:rPr>
          <w:rFonts w:asciiTheme="majorHAnsi" w:eastAsiaTheme="minorHAnsi" w:hAnsiTheme="majorHAnsi" w:cstheme="majorHAnsi"/>
          <w:noProof/>
          <w:sz w:val="24"/>
          <w:szCs w:val="24"/>
        </w:rPr>
        <w:t xml:space="preserve"> Astfel, se denotă că</w:t>
      </w:r>
      <w:r w:rsidR="003656FB" w:rsidRPr="003F4D72">
        <w:rPr>
          <w:rFonts w:asciiTheme="majorHAnsi" w:eastAsiaTheme="minorHAnsi" w:hAnsiTheme="majorHAnsi" w:cstheme="majorHAnsi"/>
          <w:noProof/>
          <w:sz w:val="24"/>
          <w:szCs w:val="24"/>
        </w:rPr>
        <w:t>,</w:t>
      </w:r>
      <w:r w:rsidRPr="003F4D72">
        <w:rPr>
          <w:rFonts w:asciiTheme="majorHAnsi" w:eastAsiaTheme="minorHAnsi" w:hAnsiTheme="majorHAnsi" w:cstheme="majorHAnsi"/>
          <w:b/>
          <w:i/>
          <w:noProof/>
          <w:sz w:val="24"/>
          <w:szCs w:val="24"/>
        </w:rPr>
        <w:t xml:space="preserve"> </w:t>
      </w:r>
      <w:r w:rsidRPr="003F4D72">
        <w:rPr>
          <w:rFonts w:asciiTheme="majorHAnsi" w:eastAsiaTheme="minorHAnsi" w:hAnsiTheme="majorHAnsi" w:cstheme="majorHAnsi"/>
          <w:bCs/>
          <w:iCs/>
          <w:noProof/>
          <w:sz w:val="24"/>
          <w:szCs w:val="24"/>
        </w:rPr>
        <w:t>contractarea și finanțarea </w:t>
      </w:r>
      <w:r w:rsidR="003656FB" w:rsidRPr="003F4D72">
        <w:rPr>
          <w:rFonts w:asciiTheme="majorHAnsi" w:eastAsiaTheme="minorHAnsi" w:hAnsiTheme="majorHAnsi" w:cstheme="majorHAnsi"/>
          <w:bCs/>
          <w:i/>
          <w:iCs/>
          <w:noProof/>
          <w:sz w:val="24"/>
          <w:szCs w:val="24"/>
        </w:rPr>
        <w:t>„</w:t>
      </w:r>
      <w:r w:rsidRPr="003F4D72">
        <w:rPr>
          <w:rFonts w:asciiTheme="majorHAnsi" w:eastAsiaTheme="minorHAnsi" w:hAnsiTheme="majorHAnsi" w:cstheme="majorHAnsi"/>
          <w:bCs/>
          <w:i/>
          <w:iCs/>
          <w:noProof/>
          <w:sz w:val="24"/>
          <w:szCs w:val="24"/>
        </w:rPr>
        <w:t>per capita”</w:t>
      </w:r>
      <w:r w:rsidRPr="003F4D72">
        <w:rPr>
          <w:rFonts w:asciiTheme="majorHAnsi" w:eastAsiaTheme="minorHAnsi" w:hAnsiTheme="majorHAnsi" w:cstheme="majorHAnsi"/>
          <w:bCs/>
          <w:iCs/>
          <w:noProof/>
          <w:sz w:val="24"/>
          <w:szCs w:val="24"/>
        </w:rPr>
        <w:t xml:space="preserve"> presupune o limită exactă de stabilire a volumului finanțării</w:t>
      </w:r>
      <w:r w:rsidRPr="003F4D72">
        <w:rPr>
          <w:rFonts w:asciiTheme="majorHAnsi" w:eastAsiaTheme="minorHAnsi" w:hAnsiTheme="majorHAnsi" w:cstheme="majorHAnsi"/>
          <w:noProof/>
          <w:sz w:val="24"/>
          <w:szCs w:val="24"/>
        </w:rPr>
        <w:t>, corelat cu numărul de persoane* tariful aprobat anual</w:t>
      </w:r>
      <w:r w:rsidRPr="003F4D72">
        <w:rPr>
          <w:rFonts w:asciiTheme="majorHAnsi" w:eastAsiaTheme="minorHAnsi" w:hAnsiTheme="majorHAnsi" w:cstheme="majorHAnsi"/>
          <w:bCs/>
          <w:iCs/>
          <w:noProof/>
          <w:sz w:val="24"/>
          <w:szCs w:val="24"/>
        </w:rPr>
        <w:t>, pe c</w:t>
      </w:r>
      <w:r w:rsidR="003656FB" w:rsidRPr="003F4D72">
        <w:rPr>
          <w:rFonts w:asciiTheme="majorHAnsi" w:eastAsiaTheme="minorHAnsi" w:hAnsiTheme="majorHAnsi" w:cstheme="majorHAnsi"/>
          <w:bCs/>
          <w:iCs/>
          <w:noProof/>
          <w:sz w:val="24"/>
          <w:szCs w:val="24"/>
        </w:rPr>
        <w:t>â</w:t>
      </w:r>
      <w:r w:rsidRPr="003F4D72">
        <w:rPr>
          <w:rFonts w:asciiTheme="majorHAnsi" w:eastAsiaTheme="minorHAnsi" w:hAnsiTheme="majorHAnsi" w:cstheme="majorHAnsi"/>
          <w:bCs/>
          <w:iCs/>
          <w:noProof/>
          <w:sz w:val="24"/>
          <w:szCs w:val="24"/>
        </w:rPr>
        <w:t>nd</w:t>
      </w:r>
      <w:r w:rsidR="00815A71" w:rsidRPr="003F4D72">
        <w:rPr>
          <w:rFonts w:asciiTheme="majorHAnsi" w:eastAsiaTheme="minorHAnsi" w:hAnsiTheme="majorHAnsi" w:cstheme="majorHAnsi"/>
          <w:bCs/>
          <w:iCs/>
          <w:noProof/>
          <w:sz w:val="24"/>
          <w:szCs w:val="24"/>
        </w:rPr>
        <w:t xml:space="preserve"> </w:t>
      </w:r>
      <w:r w:rsidR="003656FB" w:rsidRPr="003F4D72">
        <w:rPr>
          <w:rFonts w:asciiTheme="majorHAnsi" w:eastAsiaTheme="minorHAnsi" w:hAnsiTheme="majorHAnsi" w:cstheme="majorHAnsi"/>
          <w:bCs/>
          <w:i/>
          <w:iCs/>
          <w:noProof/>
          <w:sz w:val="24"/>
          <w:szCs w:val="24"/>
        </w:rPr>
        <w:t>„</w:t>
      </w:r>
      <w:r w:rsidRPr="003F4D72">
        <w:rPr>
          <w:rFonts w:asciiTheme="majorHAnsi" w:eastAsiaTheme="minorHAnsi" w:hAnsiTheme="majorHAnsi" w:cstheme="majorHAnsi"/>
          <w:bCs/>
          <w:i/>
          <w:iCs/>
          <w:noProof/>
          <w:sz w:val="24"/>
          <w:szCs w:val="24"/>
        </w:rPr>
        <w:t>bugetul global”</w:t>
      </w:r>
      <w:r w:rsidRPr="003F4D72">
        <w:rPr>
          <w:rFonts w:asciiTheme="majorHAnsi" w:eastAsiaTheme="minorHAnsi" w:hAnsiTheme="majorHAnsi" w:cstheme="majorHAnsi"/>
          <w:bCs/>
          <w:iCs/>
          <w:noProof/>
          <w:sz w:val="24"/>
          <w:szCs w:val="24"/>
        </w:rPr>
        <w:t xml:space="preserve"> oferă posibilitatea de</w:t>
      </w:r>
      <w:r w:rsidR="003656FB" w:rsidRPr="003F4D72">
        <w:rPr>
          <w:rFonts w:asciiTheme="majorHAnsi" w:eastAsiaTheme="minorHAnsi" w:hAnsiTheme="majorHAnsi" w:cstheme="majorHAnsi"/>
          <w:bCs/>
          <w:iCs/>
          <w:noProof/>
          <w:sz w:val="24"/>
          <w:szCs w:val="24"/>
        </w:rPr>
        <w:t xml:space="preserve"> </w:t>
      </w:r>
      <w:r w:rsidRPr="003F4D72">
        <w:rPr>
          <w:rFonts w:asciiTheme="majorHAnsi" w:eastAsiaTheme="minorHAnsi" w:hAnsiTheme="majorHAnsi" w:cstheme="majorHAnsi"/>
          <w:bCs/>
          <w:iCs/>
          <w:noProof/>
          <w:sz w:val="24"/>
          <w:szCs w:val="24"/>
        </w:rPr>
        <w:t>a contracta și finanța instituția în lipsa unor criterii, necesități și argumentări corelate cu volumul de servicii medicale prestare cetățenilor.</w:t>
      </w:r>
    </w:p>
    <w:p w14:paraId="46B0A6E1" w14:textId="69714E9F" w:rsidR="003655E8" w:rsidRPr="003F4D72" w:rsidRDefault="008773F0" w:rsidP="003655E8">
      <w:pPr>
        <w:spacing w:after="0" w:line="276" w:lineRule="auto"/>
        <w:ind w:firstLine="567"/>
        <w:jc w:val="both"/>
        <w:rPr>
          <w:rFonts w:asciiTheme="majorHAnsi" w:eastAsiaTheme="minorHAnsi" w:hAnsiTheme="majorHAnsi" w:cstheme="majorHAnsi"/>
          <w:noProof/>
          <w:sz w:val="24"/>
          <w:szCs w:val="24"/>
        </w:rPr>
      </w:pPr>
      <w:r w:rsidRPr="003F4D72">
        <w:rPr>
          <w:rFonts w:asciiTheme="majorHAnsi" w:eastAsiaTheme="minorHAnsi" w:hAnsiTheme="majorHAnsi" w:cstheme="majorHAnsi"/>
          <w:noProof/>
          <w:sz w:val="24"/>
          <w:szCs w:val="24"/>
        </w:rPr>
        <w:t>A</w:t>
      </w:r>
      <w:r w:rsidR="003655E8" w:rsidRPr="003F4D72">
        <w:rPr>
          <w:rFonts w:asciiTheme="majorHAnsi" w:eastAsiaTheme="minorHAnsi" w:hAnsiTheme="majorHAnsi" w:cstheme="majorHAnsi"/>
          <w:noProof/>
          <w:sz w:val="24"/>
          <w:szCs w:val="24"/>
        </w:rPr>
        <w:t xml:space="preserve">ctele normative nu prevăd expres criteriile de contractare și finanțare în baza „bugetului global”, </w:t>
      </w:r>
      <w:r w:rsidRPr="003F4D72">
        <w:rPr>
          <w:rFonts w:asciiTheme="majorHAnsi" w:eastAsiaTheme="minorHAnsi" w:hAnsiTheme="majorHAnsi" w:cstheme="majorHAnsi"/>
          <w:noProof/>
          <w:sz w:val="24"/>
          <w:szCs w:val="24"/>
        </w:rPr>
        <w:t xml:space="preserve">iar motivațiile </w:t>
      </w:r>
      <w:r w:rsidR="003655E8" w:rsidRPr="003F4D72">
        <w:rPr>
          <w:rFonts w:asciiTheme="majorHAnsi" w:eastAsiaTheme="minorHAnsi" w:hAnsiTheme="majorHAnsi" w:cstheme="majorHAnsi"/>
          <w:noProof/>
          <w:sz w:val="24"/>
          <w:szCs w:val="24"/>
        </w:rPr>
        <w:t>CNAM</w:t>
      </w:r>
      <w:r w:rsidRPr="003F4D72">
        <w:rPr>
          <w:rStyle w:val="FootnoteReference"/>
          <w:rFonts w:asciiTheme="majorHAnsi" w:eastAsiaTheme="minorHAnsi" w:hAnsiTheme="majorHAnsi" w:cstheme="majorHAnsi"/>
          <w:noProof/>
          <w:sz w:val="24"/>
          <w:szCs w:val="24"/>
        </w:rPr>
        <w:footnoteReference w:id="14"/>
      </w:r>
      <w:r w:rsidR="00D33C3B" w:rsidRPr="003F4D72">
        <w:rPr>
          <w:rFonts w:asciiTheme="majorHAnsi" w:eastAsiaTheme="minorHAnsi" w:hAnsiTheme="majorHAnsi" w:cstheme="majorHAnsi"/>
          <w:noProof/>
          <w:sz w:val="24"/>
          <w:szCs w:val="24"/>
        </w:rPr>
        <w:t xml:space="preserve"> nu justifică achitarea acestor servicii în lipsa indicatorilor de rezultat</w:t>
      </w:r>
      <w:r w:rsidR="00D6659D" w:rsidRPr="003F4D72">
        <w:rPr>
          <w:rStyle w:val="FootnoteReference"/>
          <w:rFonts w:asciiTheme="majorHAnsi" w:eastAsiaTheme="minorHAnsi" w:hAnsiTheme="majorHAnsi" w:cstheme="majorHAnsi"/>
          <w:noProof/>
          <w:sz w:val="24"/>
          <w:szCs w:val="24"/>
        </w:rPr>
        <w:footnoteReference w:id="15"/>
      </w:r>
      <w:r w:rsidR="00D33C3B" w:rsidRPr="003F4D72">
        <w:rPr>
          <w:rFonts w:asciiTheme="majorHAnsi" w:eastAsiaTheme="minorHAnsi" w:hAnsiTheme="majorHAnsi" w:cstheme="majorHAnsi"/>
          <w:noProof/>
          <w:sz w:val="24"/>
          <w:szCs w:val="24"/>
        </w:rPr>
        <w:t>.</w:t>
      </w:r>
    </w:p>
    <w:p w14:paraId="01FED34B" w14:textId="6D98D404" w:rsidR="003655E8" w:rsidRPr="003F4D72" w:rsidRDefault="002C24CA" w:rsidP="003655E8">
      <w:pPr>
        <w:tabs>
          <w:tab w:val="left" w:pos="142"/>
        </w:tabs>
        <w:spacing w:after="0" w:line="276" w:lineRule="auto"/>
        <w:ind w:firstLine="567"/>
        <w:jc w:val="both"/>
        <w:rPr>
          <w:rFonts w:asciiTheme="majorHAnsi" w:eastAsiaTheme="minorHAnsi" w:hAnsiTheme="majorHAnsi" w:cstheme="majorHAnsi"/>
          <w:i/>
          <w:noProof/>
          <w:sz w:val="24"/>
          <w:szCs w:val="24"/>
        </w:rPr>
      </w:pPr>
      <w:r w:rsidRPr="003F4D72">
        <w:rPr>
          <w:rFonts w:asciiTheme="majorHAnsi" w:eastAsiaTheme="minorHAnsi" w:hAnsiTheme="majorHAnsi" w:cstheme="majorHAnsi"/>
          <w:noProof/>
          <w:sz w:val="24"/>
          <w:szCs w:val="24"/>
        </w:rPr>
        <w:t>Totodată,</w:t>
      </w:r>
      <w:r w:rsidR="003655E8" w:rsidRPr="003F4D72">
        <w:rPr>
          <w:rFonts w:asciiTheme="majorHAnsi" w:eastAsiaTheme="minorHAnsi" w:hAnsiTheme="majorHAnsi" w:cstheme="majorHAnsi"/>
          <w:noProof/>
          <w:sz w:val="24"/>
          <w:szCs w:val="24"/>
        </w:rPr>
        <w:t xml:space="preserve"> </w:t>
      </w:r>
      <w:r w:rsidR="00DB4CEB" w:rsidRPr="003F4D72">
        <w:rPr>
          <w:rFonts w:asciiTheme="majorHAnsi" w:eastAsiaTheme="minorHAnsi" w:hAnsiTheme="majorHAnsi" w:cstheme="majorHAnsi"/>
          <w:noProof/>
          <w:sz w:val="24"/>
          <w:szCs w:val="24"/>
        </w:rPr>
        <w:t xml:space="preserve">la </w:t>
      </w:r>
      <w:r w:rsidR="003655E8" w:rsidRPr="003F4D72">
        <w:rPr>
          <w:rFonts w:asciiTheme="majorHAnsi" w:eastAsiaTheme="minorHAnsi" w:hAnsiTheme="majorHAnsi" w:cstheme="majorHAnsi"/>
          <w:noProof/>
          <w:sz w:val="24"/>
          <w:szCs w:val="24"/>
        </w:rPr>
        <w:t xml:space="preserve">modificarea principiului de contractare a serviciilor medicale urgente prespitalicești, MSMPS a </w:t>
      </w:r>
      <w:r w:rsidRPr="003F4D72">
        <w:rPr>
          <w:rFonts w:asciiTheme="majorHAnsi" w:eastAsiaTheme="minorHAnsi" w:hAnsiTheme="majorHAnsi" w:cstheme="majorHAnsi"/>
          <w:noProof/>
          <w:sz w:val="24"/>
          <w:szCs w:val="24"/>
        </w:rPr>
        <w:t>informat că</w:t>
      </w:r>
      <w:r w:rsidR="003655E8" w:rsidRPr="003F4D72">
        <w:rPr>
          <w:rFonts w:asciiTheme="majorHAnsi" w:eastAsiaTheme="minorHAnsi" w:hAnsiTheme="majorHAnsi" w:cstheme="majorHAnsi"/>
          <w:i/>
          <w:noProof/>
          <w:sz w:val="24"/>
          <w:szCs w:val="24"/>
        </w:rPr>
        <w:t xml:space="preserve"> necesitatea planificării volumului de finanțare a serviciilor medicale în dependență de numărul populației deservite și tariful </w:t>
      </w:r>
      <w:r w:rsidR="00DB4CEB" w:rsidRPr="003F4D72">
        <w:rPr>
          <w:rFonts w:asciiTheme="majorHAnsi" w:eastAsiaTheme="minorHAnsi" w:hAnsiTheme="majorHAnsi" w:cstheme="majorHAnsi"/>
          <w:i/>
          <w:noProof/>
          <w:sz w:val="24"/>
          <w:szCs w:val="24"/>
        </w:rPr>
        <w:t>„</w:t>
      </w:r>
      <w:r w:rsidR="003655E8" w:rsidRPr="003F4D72">
        <w:rPr>
          <w:rFonts w:asciiTheme="majorHAnsi" w:eastAsiaTheme="minorHAnsi" w:hAnsiTheme="majorHAnsi" w:cstheme="majorHAnsi"/>
          <w:i/>
          <w:noProof/>
          <w:sz w:val="24"/>
          <w:szCs w:val="24"/>
        </w:rPr>
        <w:t xml:space="preserve">per capita” a </w:t>
      </w:r>
      <w:r w:rsidR="00DB4CEB" w:rsidRPr="003F4D72">
        <w:rPr>
          <w:rFonts w:asciiTheme="majorHAnsi" w:eastAsiaTheme="minorHAnsi" w:hAnsiTheme="majorHAnsi" w:cstheme="majorHAnsi"/>
          <w:i/>
          <w:noProof/>
          <w:sz w:val="24"/>
          <w:szCs w:val="24"/>
        </w:rPr>
        <w:t>„</w:t>
      </w:r>
      <w:r w:rsidR="003655E8" w:rsidRPr="003F4D72">
        <w:rPr>
          <w:rFonts w:asciiTheme="majorHAnsi" w:eastAsiaTheme="minorHAnsi" w:hAnsiTheme="majorHAnsi" w:cstheme="majorHAnsi"/>
          <w:i/>
          <w:noProof/>
          <w:sz w:val="24"/>
          <w:szCs w:val="24"/>
        </w:rPr>
        <w:t xml:space="preserve">decăzut de la sine”, bugetul CNAMUP fiind cel prevăzut în Legea anuală a FAOAM. </w:t>
      </w:r>
    </w:p>
    <w:p w14:paraId="27FC97A6" w14:textId="27E13CE2" w:rsidR="003655E8" w:rsidRPr="003F4D72" w:rsidRDefault="003655E8" w:rsidP="003655E8">
      <w:pPr>
        <w:tabs>
          <w:tab w:val="left" w:pos="142"/>
        </w:tabs>
        <w:spacing w:after="0" w:line="276" w:lineRule="auto"/>
        <w:ind w:firstLine="567"/>
        <w:jc w:val="both"/>
        <w:rPr>
          <w:rFonts w:asciiTheme="majorHAnsi" w:eastAsiaTheme="minorHAnsi" w:hAnsiTheme="majorHAnsi" w:cstheme="majorHAnsi"/>
          <w:noProof/>
          <w:color w:val="000000"/>
          <w:szCs w:val="28"/>
        </w:rPr>
      </w:pPr>
      <w:r w:rsidRPr="003F4D72">
        <w:rPr>
          <w:rFonts w:asciiTheme="majorHAnsi" w:hAnsiTheme="majorHAnsi" w:cstheme="majorHAnsi"/>
          <w:sz w:val="24"/>
        </w:rPr>
        <w:t xml:space="preserve">Aceste circumstanțe nu oferă posibilitatea de evaluare a mijloacelor financiare aprobate și achitate pentru asistența medicală urgentă prespitalicească, în condițiile în care la baza contractării </w:t>
      </w:r>
      <w:proofErr w:type="spellStart"/>
      <w:r w:rsidRPr="003F4D72">
        <w:rPr>
          <w:rFonts w:asciiTheme="majorHAnsi" w:hAnsiTheme="majorHAnsi" w:cstheme="majorHAnsi"/>
          <w:sz w:val="24"/>
        </w:rPr>
        <w:t>şi</w:t>
      </w:r>
      <w:proofErr w:type="spellEnd"/>
      <w:r w:rsidRPr="003F4D72">
        <w:rPr>
          <w:rFonts w:asciiTheme="majorHAnsi" w:hAnsiTheme="majorHAnsi" w:cstheme="majorHAnsi"/>
          <w:sz w:val="24"/>
        </w:rPr>
        <w:t xml:space="preserve"> finanțării acestora nu au fost </w:t>
      </w:r>
      <w:r w:rsidR="00004F58" w:rsidRPr="003F4D72">
        <w:rPr>
          <w:rFonts w:asciiTheme="majorHAnsi" w:hAnsiTheme="majorHAnsi" w:cstheme="majorHAnsi"/>
          <w:sz w:val="24"/>
        </w:rPr>
        <w:t xml:space="preserve">indicatori, </w:t>
      </w:r>
      <w:r w:rsidRPr="003F4D72">
        <w:rPr>
          <w:rFonts w:asciiTheme="majorHAnsi" w:hAnsiTheme="majorHAnsi" w:cstheme="majorHAnsi"/>
          <w:sz w:val="24"/>
        </w:rPr>
        <w:t xml:space="preserve">calcule </w:t>
      </w:r>
      <w:proofErr w:type="spellStart"/>
      <w:r w:rsidRPr="003F4D72">
        <w:rPr>
          <w:rFonts w:asciiTheme="majorHAnsi" w:hAnsiTheme="majorHAnsi" w:cstheme="majorHAnsi"/>
          <w:sz w:val="24"/>
        </w:rPr>
        <w:t>şi</w:t>
      </w:r>
      <w:proofErr w:type="spellEnd"/>
      <w:r w:rsidRPr="003F4D72">
        <w:rPr>
          <w:rFonts w:asciiTheme="majorHAnsi" w:hAnsiTheme="majorHAnsi" w:cstheme="majorHAnsi"/>
          <w:sz w:val="24"/>
        </w:rPr>
        <w:t xml:space="preserve"> criterii justificative.</w:t>
      </w:r>
    </w:p>
    <w:p w14:paraId="53F6BEDB" w14:textId="2C77116F" w:rsidR="00916BD7" w:rsidRPr="003F4D72" w:rsidRDefault="003655E8" w:rsidP="003F4D72">
      <w:pPr>
        <w:tabs>
          <w:tab w:val="left" w:pos="142"/>
        </w:tabs>
        <w:spacing w:line="276" w:lineRule="auto"/>
        <w:ind w:firstLine="567"/>
        <w:jc w:val="both"/>
        <w:rPr>
          <w:rFonts w:asciiTheme="majorHAnsi" w:hAnsiTheme="majorHAnsi" w:cstheme="majorHAnsi"/>
          <w:sz w:val="24"/>
          <w:szCs w:val="24"/>
        </w:rPr>
      </w:pPr>
      <w:r w:rsidRPr="003F4D72">
        <w:rPr>
          <w:rFonts w:asciiTheme="majorHAnsi" w:eastAsiaTheme="minorHAnsi" w:hAnsiTheme="majorHAnsi" w:cstheme="majorHAnsi"/>
          <w:noProof/>
          <w:sz w:val="24"/>
          <w:szCs w:val="24"/>
        </w:rPr>
        <w:t>Evaluarea volumului de mijloace financiare contractate și achitate pentru serviciile urgente prespitalicești</w:t>
      </w:r>
      <w:r w:rsidRPr="003F4D72">
        <w:rPr>
          <w:rFonts w:asciiTheme="majorHAnsi" w:hAnsiTheme="majorHAnsi" w:cstheme="majorHAnsi"/>
          <w:sz w:val="24"/>
          <w:szCs w:val="24"/>
        </w:rPr>
        <w:t xml:space="preserve"> în anul 2019</w:t>
      </w:r>
      <w:r w:rsidR="00F85D03" w:rsidRPr="003F4D72">
        <w:rPr>
          <w:rFonts w:asciiTheme="majorHAnsi" w:hAnsiTheme="majorHAnsi" w:cstheme="majorHAnsi"/>
          <w:sz w:val="24"/>
          <w:szCs w:val="24"/>
        </w:rPr>
        <w:t>,</w:t>
      </w:r>
      <w:r w:rsidRPr="003F4D72">
        <w:rPr>
          <w:rFonts w:asciiTheme="majorHAnsi" w:hAnsiTheme="majorHAnsi" w:cstheme="majorHAnsi"/>
          <w:sz w:val="24"/>
          <w:szCs w:val="24"/>
        </w:rPr>
        <w:t xml:space="preserve"> comparativ cu anul 2020, a stabilit că mijloacele financiare alocate în </w:t>
      </w:r>
      <w:r w:rsidRPr="003F4D72">
        <w:rPr>
          <w:rFonts w:asciiTheme="majorHAnsi" w:hAnsiTheme="majorHAnsi" w:cstheme="majorHAnsi"/>
          <w:sz w:val="24"/>
          <w:szCs w:val="24"/>
        </w:rPr>
        <w:lastRenderedPageBreak/>
        <w:t xml:space="preserve">baza </w:t>
      </w:r>
      <w:r w:rsidR="00F85D03" w:rsidRPr="003F4D72">
        <w:rPr>
          <w:rFonts w:asciiTheme="majorHAnsi" w:hAnsiTheme="majorHAnsi" w:cstheme="majorHAnsi"/>
          <w:sz w:val="24"/>
          <w:szCs w:val="24"/>
        </w:rPr>
        <w:t>„</w:t>
      </w:r>
      <w:r w:rsidRPr="003F4D72">
        <w:rPr>
          <w:rFonts w:asciiTheme="majorHAnsi" w:hAnsiTheme="majorHAnsi" w:cstheme="majorHAnsi"/>
          <w:sz w:val="24"/>
          <w:szCs w:val="24"/>
        </w:rPr>
        <w:t>bugetului</w:t>
      </w:r>
      <w:r w:rsidR="00815A71" w:rsidRPr="003F4D72">
        <w:rPr>
          <w:rFonts w:asciiTheme="majorHAnsi" w:hAnsiTheme="majorHAnsi" w:cstheme="majorHAnsi"/>
          <w:sz w:val="24"/>
          <w:szCs w:val="24"/>
        </w:rPr>
        <w:t xml:space="preserve"> </w:t>
      </w:r>
      <w:r w:rsidRPr="003F4D72">
        <w:rPr>
          <w:rFonts w:asciiTheme="majorHAnsi" w:hAnsiTheme="majorHAnsi" w:cstheme="majorHAnsi"/>
          <w:sz w:val="24"/>
          <w:szCs w:val="24"/>
        </w:rPr>
        <w:t>global” s-au majorat, în timp ce CNAMUP deservește același număr de populație, situație redată în tabelul de mai jos:</w:t>
      </w:r>
    </w:p>
    <w:p w14:paraId="58FCA42F" w14:textId="17606C4B" w:rsidR="00610CEF" w:rsidRPr="003F4D72" w:rsidRDefault="004311A4" w:rsidP="004311A4">
      <w:pPr>
        <w:tabs>
          <w:tab w:val="left" w:pos="142"/>
        </w:tabs>
        <w:spacing w:after="0" w:line="276" w:lineRule="auto"/>
        <w:ind w:firstLine="567"/>
        <w:jc w:val="center"/>
        <w:rPr>
          <w:rFonts w:asciiTheme="majorHAnsi" w:hAnsiTheme="majorHAnsi" w:cstheme="majorHAnsi"/>
          <w:b/>
          <w:sz w:val="24"/>
          <w:szCs w:val="24"/>
        </w:rPr>
      </w:pPr>
      <w:r w:rsidRPr="003F4D72">
        <w:rPr>
          <w:rFonts w:asciiTheme="majorHAnsi" w:hAnsiTheme="majorHAnsi" w:cstheme="majorHAnsi"/>
          <w:b/>
          <w:sz w:val="24"/>
          <w:szCs w:val="24"/>
        </w:rPr>
        <w:t>Contractarea și finanțarea asistenței medicale urgente prespitalicești</w:t>
      </w:r>
    </w:p>
    <w:p w14:paraId="18EBEF3E" w14:textId="150CE31E" w:rsidR="003655E8" w:rsidRPr="003F4D72" w:rsidRDefault="00610CEF" w:rsidP="003655E8">
      <w:pPr>
        <w:spacing w:after="0"/>
        <w:ind w:firstLine="567"/>
        <w:jc w:val="right"/>
        <w:rPr>
          <w:rFonts w:asciiTheme="majorHAnsi" w:hAnsiTheme="majorHAnsi" w:cstheme="majorHAnsi"/>
          <w:sz w:val="20"/>
          <w:szCs w:val="20"/>
        </w:rPr>
      </w:pPr>
      <w:r w:rsidRPr="003F4D72">
        <w:rPr>
          <w:rFonts w:asciiTheme="majorHAnsi" w:hAnsiTheme="majorHAnsi" w:cstheme="majorHAnsi"/>
          <w:sz w:val="20"/>
          <w:szCs w:val="20"/>
        </w:rPr>
        <w:t>Tabelul nr.5</w:t>
      </w:r>
      <w:r w:rsidR="003655E8" w:rsidRPr="003F4D72">
        <w:rPr>
          <w:rFonts w:asciiTheme="majorHAnsi" w:hAnsiTheme="majorHAnsi" w:cstheme="majorHAnsi"/>
          <w:sz w:val="20"/>
          <w:szCs w:val="20"/>
        </w:rPr>
        <w:t>, mii lei</w:t>
      </w:r>
    </w:p>
    <w:tbl>
      <w:tblPr>
        <w:tblStyle w:val="GridTable1Light"/>
        <w:tblW w:w="0" w:type="auto"/>
        <w:tblLook w:val="04A0" w:firstRow="1" w:lastRow="0" w:firstColumn="1" w:lastColumn="0" w:noHBand="0" w:noVBand="1"/>
      </w:tblPr>
      <w:tblGrid>
        <w:gridCol w:w="539"/>
        <w:gridCol w:w="1029"/>
        <w:gridCol w:w="1829"/>
        <w:gridCol w:w="1276"/>
        <w:gridCol w:w="2977"/>
        <w:gridCol w:w="1700"/>
      </w:tblGrid>
      <w:tr w:rsidR="003655E8" w:rsidRPr="003F4D72" w14:paraId="0F2DD4EE" w14:textId="77777777" w:rsidTr="0036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 w:type="dxa"/>
          </w:tcPr>
          <w:p w14:paraId="2E45E24F" w14:textId="77777777" w:rsidR="003655E8" w:rsidRPr="003F4D72" w:rsidRDefault="003655E8" w:rsidP="003655E8">
            <w:pPr>
              <w:jc w:val="center"/>
              <w:rPr>
                <w:rFonts w:asciiTheme="majorHAnsi" w:hAnsiTheme="majorHAnsi" w:cstheme="majorHAnsi"/>
                <w:b w:val="0"/>
                <w:sz w:val="20"/>
              </w:rPr>
            </w:pPr>
            <w:r w:rsidRPr="003F4D72">
              <w:rPr>
                <w:rFonts w:asciiTheme="majorHAnsi" w:hAnsiTheme="majorHAnsi" w:cstheme="majorHAnsi"/>
                <w:sz w:val="20"/>
              </w:rPr>
              <w:t>Nr. d/o</w:t>
            </w:r>
          </w:p>
        </w:tc>
        <w:tc>
          <w:tcPr>
            <w:tcW w:w="1029" w:type="dxa"/>
          </w:tcPr>
          <w:p w14:paraId="4A07C0CC"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Anul</w:t>
            </w:r>
          </w:p>
        </w:tc>
        <w:tc>
          <w:tcPr>
            <w:tcW w:w="1829" w:type="dxa"/>
          </w:tcPr>
          <w:p w14:paraId="267C329E"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3F4D72">
              <w:rPr>
                <w:rFonts w:asciiTheme="majorHAnsi" w:hAnsiTheme="majorHAnsi" w:cstheme="majorHAnsi"/>
                <w:sz w:val="20"/>
              </w:rPr>
              <w:t>Profil/Serviciu</w:t>
            </w:r>
          </w:p>
        </w:tc>
        <w:tc>
          <w:tcPr>
            <w:tcW w:w="1276" w:type="dxa"/>
          </w:tcPr>
          <w:p w14:paraId="05AEAF71"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3F4D72">
              <w:rPr>
                <w:rFonts w:asciiTheme="majorHAnsi" w:hAnsiTheme="majorHAnsi" w:cstheme="majorHAnsi"/>
                <w:sz w:val="20"/>
              </w:rPr>
              <w:t xml:space="preserve">Tarif per </w:t>
            </w:r>
            <w:proofErr w:type="spellStart"/>
            <w:r w:rsidRPr="003F4D72">
              <w:rPr>
                <w:rFonts w:asciiTheme="majorHAnsi" w:hAnsiTheme="majorHAnsi" w:cstheme="majorHAnsi"/>
                <w:sz w:val="20"/>
              </w:rPr>
              <w:t>capita</w:t>
            </w:r>
            <w:proofErr w:type="spellEnd"/>
            <w:r w:rsidRPr="003F4D72">
              <w:rPr>
                <w:rFonts w:asciiTheme="majorHAnsi" w:hAnsiTheme="majorHAnsi" w:cstheme="majorHAnsi"/>
                <w:sz w:val="20"/>
              </w:rPr>
              <w:t xml:space="preserve"> (lei)</w:t>
            </w:r>
          </w:p>
        </w:tc>
        <w:tc>
          <w:tcPr>
            <w:tcW w:w="2977" w:type="dxa"/>
          </w:tcPr>
          <w:p w14:paraId="198D45F0"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3F4D72">
              <w:rPr>
                <w:rFonts w:asciiTheme="majorHAnsi" w:hAnsiTheme="majorHAnsi" w:cstheme="majorHAnsi"/>
                <w:sz w:val="20"/>
              </w:rPr>
              <w:t>Numărul persoanelor identic celor înregistrate în IMS ce prestează AMP din teritoriul deservit</w:t>
            </w:r>
          </w:p>
        </w:tc>
        <w:tc>
          <w:tcPr>
            <w:tcW w:w="1700" w:type="dxa"/>
          </w:tcPr>
          <w:p w14:paraId="5BC0D164"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rPr>
            </w:pPr>
            <w:r w:rsidRPr="003F4D72">
              <w:rPr>
                <w:rFonts w:asciiTheme="majorHAnsi" w:hAnsiTheme="majorHAnsi" w:cstheme="majorHAnsi"/>
                <w:sz w:val="20"/>
              </w:rPr>
              <w:t xml:space="preserve">Suma </w:t>
            </w:r>
          </w:p>
        </w:tc>
      </w:tr>
      <w:tr w:rsidR="003655E8" w:rsidRPr="003F4D72" w14:paraId="151E90BA" w14:textId="77777777" w:rsidTr="003655E8">
        <w:tc>
          <w:tcPr>
            <w:cnfStyle w:val="001000000000" w:firstRow="0" w:lastRow="0" w:firstColumn="1" w:lastColumn="0" w:oddVBand="0" w:evenVBand="0" w:oddHBand="0" w:evenHBand="0" w:firstRowFirstColumn="0" w:firstRowLastColumn="0" w:lastRowFirstColumn="0" w:lastRowLastColumn="0"/>
            <w:tcW w:w="9350" w:type="dxa"/>
            <w:gridSpan w:val="6"/>
          </w:tcPr>
          <w:p w14:paraId="6C4E5BA4" w14:textId="77777777" w:rsidR="003655E8" w:rsidRPr="003F4D72" w:rsidRDefault="003655E8" w:rsidP="003655E8">
            <w:pPr>
              <w:rPr>
                <w:rFonts w:asciiTheme="majorHAnsi" w:hAnsiTheme="majorHAnsi" w:cstheme="majorHAnsi"/>
                <w:sz w:val="20"/>
              </w:rPr>
            </w:pPr>
            <w:r w:rsidRPr="003F4D72">
              <w:rPr>
                <w:rFonts w:asciiTheme="majorHAnsi" w:hAnsiTheme="majorHAnsi" w:cstheme="majorHAnsi"/>
                <w:sz w:val="20"/>
              </w:rPr>
              <w:t xml:space="preserve">Per </w:t>
            </w:r>
            <w:proofErr w:type="spellStart"/>
            <w:r w:rsidRPr="003F4D72">
              <w:rPr>
                <w:rFonts w:asciiTheme="majorHAnsi" w:hAnsiTheme="majorHAnsi" w:cstheme="majorHAnsi"/>
                <w:sz w:val="20"/>
              </w:rPr>
              <w:t>capita</w:t>
            </w:r>
            <w:proofErr w:type="spellEnd"/>
          </w:p>
        </w:tc>
      </w:tr>
      <w:tr w:rsidR="003655E8" w:rsidRPr="003F4D72" w14:paraId="4219D586" w14:textId="77777777" w:rsidTr="003655E8">
        <w:tc>
          <w:tcPr>
            <w:cnfStyle w:val="001000000000" w:firstRow="0" w:lastRow="0" w:firstColumn="1" w:lastColumn="0" w:oddVBand="0" w:evenVBand="0" w:oddHBand="0" w:evenHBand="0" w:firstRowFirstColumn="0" w:firstRowLastColumn="0" w:lastRowFirstColumn="0" w:lastRowLastColumn="0"/>
            <w:tcW w:w="539" w:type="dxa"/>
          </w:tcPr>
          <w:p w14:paraId="50A2E3A5" w14:textId="77777777" w:rsidR="003655E8" w:rsidRPr="003F4D72" w:rsidRDefault="003655E8" w:rsidP="003655E8">
            <w:pPr>
              <w:jc w:val="center"/>
              <w:rPr>
                <w:rFonts w:asciiTheme="majorHAnsi" w:hAnsiTheme="majorHAnsi" w:cstheme="majorHAnsi"/>
                <w:sz w:val="20"/>
              </w:rPr>
            </w:pPr>
            <w:r w:rsidRPr="003F4D72">
              <w:rPr>
                <w:rFonts w:asciiTheme="majorHAnsi" w:hAnsiTheme="majorHAnsi" w:cstheme="majorHAnsi"/>
                <w:sz w:val="20"/>
              </w:rPr>
              <w:t>1</w:t>
            </w:r>
          </w:p>
        </w:tc>
        <w:tc>
          <w:tcPr>
            <w:tcW w:w="1029" w:type="dxa"/>
          </w:tcPr>
          <w:p w14:paraId="14041400"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2019</w:t>
            </w:r>
          </w:p>
        </w:tc>
        <w:tc>
          <w:tcPr>
            <w:tcW w:w="1829" w:type="dxa"/>
          </w:tcPr>
          <w:p w14:paraId="7B7FFC6B" w14:textId="5B5225E0" w:rsidR="003655E8" w:rsidRPr="003F4D72" w:rsidRDefault="003655E8" w:rsidP="003655E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 xml:space="preserve">AMU </w:t>
            </w:r>
            <w:r w:rsidR="00B75908" w:rsidRPr="003F4D72">
              <w:rPr>
                <w:rFonts w:asciiTheme="majorHAnsi" w:hAnsiTheme="majorHAnsi" w:cstheme="majorHAnsi"/>
                <w:sz w:val="20"/>
              </w:rPr>
              <w:t>„</w:t>
            </w:r>
            <w:r w:rsidRPr="003F4D72">
              <w:rPr>
                <w:rFonts w:asciiTheme="majorHAnsi" w:hAnsiTheme="majorHAnsi" w:cstheme="majorHAnsi"/>
                <w:sz w:val="20"/>
              </w:rPr>
              <w:t xml:space="preserve">per </w:t>
            </w:r>
            <w:proofErr w:type="spellStart"/>
            <w:r w:rsidRPr="003F4D72">
              <w:rPr>
                <w:rFonts w:asciiTheme="majorHAnsi" w:hAnsiTheme="majorHAnsi" w:cstheme="majorHAnsi"/>
                <w:sz w:val="20"/>
              </w:rPr>
              <w:t>capita</w:t>
            </w:r>
            <w:proofErr w:type="spellEnd"/>
            <w:r w:rsidR="00B75908" w:rsidRPr="003F4D72">
              <w:rPr>
                <w:rFonts w:asciiTheme="majorHAnsi" w:hAnsiTheme="majorHAnsi" w:cstheme="majorHAnsi"/>
                <w:sz w:val="20"/>
              </w:rPr>
              <w:t>”</w:t>
            </w:r>
          </w:p>
        </w:tc>
        <w:tc>
          <w:tcPr>
            <w:tcW w:w="1276" w:type="dxa"/>
          </w:tcPr>
          <w:p w14:paraId="78038C74"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165,9113</w:t>
            </w:r>
          </w:p>
        </w:tc>
        <w:tc>
          <w:tcPr>
            <w:tcW w:w="2977" w:type="dxa"/>
          </w:tcPr>
          <w:p w14:paraId="3B303A73"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3 386 434</w:t>
            </w:r>
          </w:p>
        </w:tc>
        <w:tc>
          <w:tcPr>
            <w:tcW w:w="1700" w:type="dxa"/>
          </w:tcPr>
          <w:p w14:paraId="443F0E7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561 847,7</w:t>
            </w:r>
          </w:p>
        </w:tc>
      </w:tr>
      <w:tr w:rsidR="003655E8" w:rsidRPr="003F4D72" w14:paraId="3D6D2D8F" w14:textId="77777777" w:rsidTr="003655E8">
        <w:tc>
          <w:tcPr>
            <w:cnfStyle w:val="001000000000" w:firstRow="0" w:lastRow="0" w:firstColumn="1" w:lastColumn="0" w:oddVBand="0" w:evenVBand="0" w:oddHBand="0" w:evenHBand="0" w:firstRowFirstColumn="0" w:firstRowLastColumn="0" w:lastRowFirstColumn="0" w:lastRowLastColumn="0"/>
            <w:tcW w:w="9350" w:type="dxa"/>
            <w:gridSpan w:val="6"/>
          </w:tcPr>
          <w:p w14:paraId="742152AA" w14:textId="77777777" w:rsidR="003655E8" w:rsidRPr="003F4D72" w:rsidRDefault="003655E8" w:rsidP="003655E8">
            <w:pPr>
              <w:jc w:val="center"/>
              <w:rPr>
                <w:rFonts w:asciiTheme="majorHAnsi" w:hAnsiTheme="majorHAnsi" w:cstheme="majorHAnsi"/>
                <w:sz w:val="20"/>
              </w:rPr>
            </w:pPr>
            <w:r w:rsidRPr="003F4D72">
              <w:rPr>
                <w:rFonts w:asciiTheme="majorHAnsi" w:hAnsiTheme="majorHAnsi" w:cstheme="majorHAnsi"/>
                <w:sz w:val="20"/>
              </w:rPr>
              <w:t>Buget global</w:t>
            </w:r>
          </w:p>
        </w:tc>
      </w:tr>
      <w:tr w:rsidR="003655E8" w:rsidRPr="003F4D72" w14:paraId="54DD02C8" w14:textId="77777777" w:rsidTr="003655E8">
        <w:tc>
          <w:tcPr>
            <w:cnfStyle w:val="001000000000" w:firstRow="0" w:lastRow="0" w:firstColumn="1" w:lastColumn="0" w:oddVBand="0" w:evenVBand="0" w:oddHBand="0" w:evenHBand="0" w:firstRowFirstColumn="0" w:firstRowLastColumn="0" w:lastRowFirstColumn="0" w:lastRowLastColumn="0"/>
            <w:tcW w:w="539" w:type="dxa"/>
          </w:tcPr>
          <w:p w14:paraId="20798CB6" w14:textId="77777777" w:rsidR="003655E8" w:rsidRPr="003F4D72" w:rsidRDefault="003655E8" w:rsidP="003655E8">
            <w:pPr>
              <w:jc w:val="center"/>
              <w:rPr>
                <w:rFonts w:asciiTheme="majorHAnsi" w:hAnsiTheme="majorHAnsi" w:cstheme="majorHAnsi"/>
                <w:sz w:val="20"/>
              </w:rPr>
            </w:pPr>
            <w:r w:rsidRPr="003F4D72">
              <w:rPr>
                <w:rFonts w:asciiTheme="majorHAnsi" w:hAnsiTheme="majorHAnsi" w:cstheme="majorHAnsi"/>
                <w:sz w:val="20"/>
              </w:rPr>
              <w:t>2</w:t>
            </w:r>
          </w:p>
        </w:tc>
        <w:tc>
          <w:tcPr>
            <w:tcW w:w="1029" w:type="dxa"/>
          </w:tcPr>
          <w:p w14:paraId="7217D9B6"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2020</w:t>
            </w:r>
          </w:p>
        </w:tc>
        <w:tc>
          <w:tcPr>
            <w:tcW w:w="1829" w:type="dxa"/>
          </w:tcPr>
          <w:p w14:paraId="180812C8" w14:textId="77777777" w:rsidR="003655E8" w:rsidRPr="003F4D72" w:rsidRDefault="003655E8" w:rsidP="003655E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3F4D72">
              <w:rPr>
                <w:rFonts w:asciiTheme="majorHAnsi" w:hAnsiTheme="majorHAnsi" w:cstheme="majorHAnsi"/>
                <w:sz w:val="20"/>
              </w:rPr>
              <w:t>Buget Global AMU</w:t>
            </w:r>
          </w:p>
        </w:tc>
        <w:tc>
          <w:tcPr>
            <w:tcW w:w="1276" w:type="dxa"/>
          </w:tcPr>
          <w:p w14:paraId="08C5394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3F4D72">
              <w:rPr>
                <w:rFonts w:asciiTheme="majorHAnsi" w:hAnsiTheme="majorHAnsi" w:cstheme="majorHAnsi"/>
                <w:b/>
                <w:sz w:val="20"/>
              </w:rPr>
              <w:t>X</w:t>
            </w:r>
          </w:p>
        </w:tc>
        <w:tc>
          <w:tcPr>
            <w:tcW w:w="2977" w:type="dxa"/>
          </w:tcPr>
          <w:p w14:paraId="1133429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3F4D72">
              <w:rPr>
                <w:rFonts w:asciiTheme="majorHAnsi" w:hAnsiTheme="majorHAnsi" w:cstheme="majorHAnsi"/>
                <w:b/>
                <w:sz w:val="20"/>
              </w:rPr>
              <w:t>X</w:t>
            </w:r>
          </w:p>
        </w:tc>
        <w:tc>
          <w:tcPr>
            <w:tcW w:w="1700" w:type="dxa"/>
          </w:tcPr>
          <w:p w14:paraId="768E86F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3F4D72">
              <w:rPr>
                <w:rFonts w:asciiTheme="majorHAnsi" w:hAnsiTheme="majorHAnsi" w:cstheme="majorHAnsi"/>
                <w:b/>
                <w:sz w:val="20"/>
              </w:rPr>
              <w:t>706 608,5</w:t>
            </w:r>
          </w:p>
        </w:tc>
      </w:tr>
      <w:tr w:rsidR="003655E8" w:rsidRPr="003F4D72" w14:paraId="540FE20E" w14:textId="77777777" w:rsidTr="003655E8">
        <w:tc>
          <w:tcPr>
            <w:cnfStyle w:val="001000000000" w:firstRow="0" w:lastRow="0" w:firstColumn="1" w:lastColumn="0" w:oddVBand="0" w:evenVBand="0" w:oddHBand="0" w:evenHBand="0" w:firstRowFirstColumn="0" w:firstRowLastColumn="0" w:lastRowFirstColumn="0" w:lastRowLastColumn="0"/>
            <w:tcW w:w="3397" w:type="dxa"/>
            <w:gridSpan w:val="3"/>
          </w:tcPr>
          <w:p w14:paraId="3DC0841B" w14:textId="52FBA74C" w:rsidR="003655E8" w:rsidRPr="003F4D72" w:rsidRDefault="003655E8" w:rsidP="00B75908">
            <w:pPr>
              <w:jc w:val="center"/>
              <w:rPr>
                <w:rFonts w:asciiTheme="majorHAnsi" w:hAnsiTheme="majorHAnsi" w:cstheme="majorHAnsi"/>
                <w:b w:val="0"/>
                <w:sz w:val="20"/>
              </w:rPr>
            </w:pPr>
            <w:r w:rsidRPr="003F4D72">
              <w:rPr>
                <w:rFonts w:asciiTheme="majorHAnsi" w:hAnsiTheme="majorHAnsi" w:cstheme="majorHAnsi"/>
                <w:sz w:val="20"/>
              </w:rPr>
              <w:t>Estimat de audit</w:t>
            </w:r>
            <w:r w:rsidR="00815A71" w:rsidRPr="003F4D72">
              <w:rPr>
                <w:rFonts w:asciiTheme="majorHAnsi" w:hAnsiTheme="majorHAnsi" w:cstheme="majorHAnsi"/>
                <w:sz w:val="20"/>
              </w:rPr>
              <w:t xml:space="preserve"> </w:t>
            </w:r>
            <w:r w:rsidRPr="003F4D72">
              <w:rPr>
                <w:rFonts w:asciiTheme="majorHAnsi" w:hAnsiTheme="majorHAnsi" w:cstheme="majorHAnsi"/>
                <w:sz w:val="20"/>
              </w:rPr>
              <w:t xml:space="preserve">în cazul aplicării în anul 2020 a principiului de contractare </w:t>
            </w:r>
            <w:r w:rsidR="00B75908" w:rsidRPr="003F4D72">
              <w:rPr>
                <w:rFonts w:asciiTheme="majorHAnsi" w:hAnsiTheme="majorHAnsi" w:cstheme="majorHAnsi"/>
                <w:sz w:val="20"/>
              </w:rPr>
              <w:t>„</w:t>
            </w:r>
            <w:r w:rsidRPr="003F4D72">
              <w:rPr>
                <w:rFonts w:asciiTheme="majorHAnsi" w:hAnsiTheme="majorHAnsi" w:cstheme="majorHAnsi"/>
                <w:sz w:val="20"/>
              </w:rPr>
              <w:t xml:space="preserve">per </w:t>
            </w:r>
            <w:proofErr w:type="spellStart"/>
            <w:r w:rsidRPr="003F4D72">
              <w:rPr>
                <w:rFonts w:asciiTheme="majorHAnsi" w:hAnsiTheme="majorHAnsi" w:cstheme="majorHAnsi"/>
                <w:sz w:val="20"/>
              </w:rPr>
              <w:t>capita</w:t>
            </w:r>
            <w:proofErr w:type="spellEnd"/>
            <w:r w:rsidRPr="003F4D72">
              <w:rPr>
                <w:rFonts w:asciiTheme="majorHAnsi" w:hAnsiTheme="majorHAnsi" w:cstheme="majorHAnsi"/>
                <w:sz w:val="20"/>
              </w:rPr>
              <w:t>”</w:t>
            </w:r>
          </w:p>
        </w:tc>
        <w:tc>
          <w:tcPr>
            <w:tcW w:w="1276" w:type="dxa"/>
          </w:tcPr>
          <w:p w14:paraId="1D98C44C"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sz w:val="20"/>
              </w:rPr>
            </w:pPr>
            <w:r w:rsidRPr="003F4D72">
              <w:rPr>
                <w:rFonts w:asciiTheme="majorHAnsi" w:hAnsiTheme="majorHAnsi" w:cstheme="majorHAnsi"/>
                <w:b/>
                <w:sz w:val="20"/>
              </w:rPr>
              <w:t>165,9113</w:t>
            </w:r>
          </w:p>
        </w:tc>
        <w:tc>
          <w:tcPr>
            <w:tcW w:w="2977" w:type="dxa"/>
          </w:tcPr>
          <w:p w14:paraId="08AF4BD7"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3F4D72">
              <w:rPr>
                <w:rFonts w:asciiTheme="majorHAnsi" w:hAnsiTheme="majorHAnsi" w:cstheme="majorHAnsi"/>
                <w:b/>
                <w:sz w:val="20"/>
              </w:rPr>
              <w:t>3 415 969</w:t>
            </w:r>
          </w:p>
        </w:tc>
        <w:tc>
          <w:tcPr>
            <w:tcW w:w="1700" w:type="dxa"/>
          </w:tcPr>
          <w:p w14:paraId="47FD1B5F"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0"/>
              </w:rPr>
            </w:pPr>
            <w:r w:rsidRPr="003F4D72">
              <w:rPr>
                <w:rFonts w:asciiTheme="majorHAnsi" w:hAnsiTheme="majorHAnsi" w:cstheme="majorHAnsi"/>
                <w:b/>
                <w:sz w:val="20"/>
              </w:rPr>
              <w:t xml:space="preserve">566 747,8 </w:t>
            </w:r>
          </w:p>
        </w:tc>
      </w:tr>
    </w:tbl>
    <w:p w14:paraId="00600510" w14:textId="77777777" w:rsidR="003655E8" w:rsidRPr="003F4D72" w:rsidRDefault="003655E8" w:rsidP="003655E8">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Sursa</w:t>
      </w:r>
      <w:r w:rsidRPr="003F4D72">
        <w:rPr>
          <w:rFonts w:asciiTheme="majorHAnsi" w:eastAsia="Times New Roman" w:hAnsiTheme="majorHAnsi" w:cstheme="majorHAnsi"/>
          <w:i/>
          <w:noProof/>
          <w:sz w:val="20"/>
          <w:szCs w:val="20"/>
          <w:lang w:eastAsia="ru-RU"/>
        </w:rPr>
        <w:t>: Elaborat de audit în baza contractelor încheiate cu CNAMUP pentru anii 2019 și 2020.</w:t>
      </w:r>
    </w:p>
    <w:p w14:paraId="7EAEDF58" w14:textId="77777777" w:rsidR="003655E8" w:rsidRPr="003F4D72" w:rsidRDefault="003655E8" w:rsidP="003655E8">
      <w:pPr>
        <w:spacing w:after="0" w:line="276" w:lineRule="auto"/>
        <w:jc w:val="both"/>
        <w:rPr>
          <w:rFonts w:asciiTheme="majorHAnsi" w:hAnsiTheme="majorHAnsi" w:cstheme="majorHAnsi"/>
          <w:noProof/>
          <w:sz w:val="20"/>
          <w:szCs w:val="20"/>
        </w:rPr>
      </w:pPr>
    </w:p>
    <w:p w14:paraId="15BB3D71" w14:textId="43066ED7" w:rsidR="003655E8" w:rsidRPr="003F4D72" w:rsidRDefault="003655E8" w:rsidP="003655E8">
      <w:pPr>
        <w:spacing w:after="0" w:line="276" w:lineRule="auto"/>
        <w:ind w:firstLine="567"/>
        <w:jc w:val="both"/>
        <w:rPr>
          <w:rFonts w:asciiTheme="majorHAnsi" w:eastAsiaTheme="minorHAnsi" w:hAnsiTheme="majorHAnsi" w:cstheme="majorHAnsi"/>
          <w:noProof/>
          <w:color w:val="000000"/>
          <w:sz w:val="24"/>
          <w:szCs w:val="24"/>
        </w:rPr>
      </w:pPr>
      <w:r w:rsidRPr="003F4D72">
        <w:rPr>
          <w:rFonts w:asciiTheme="majorHAnsi" w:eastAsiaTheme="minorHAnsi" w:hAnsiTheme="majorHAnsi" w:cstheme="majorHAnsi"/>
          <w:noProof/>
          <w:sz w:val="24"/>
          <w:szCs w:val="24"/>
        </w:rPr>
        <w:t xml:space="preserve">Mijloacele financiare contractate după metoda </w:t>
      </w:r>
      <w:r w:rsidR="00B75908" w:rsidRPr="003F4D72">
        <w:rPr>
          <w:rFonts w:asciiTheme="majorHAnsi" w:eastAsiaTheme="minorHAnsi" w:hAnsiTheme="majorHAnsi" w:cstheme="majorHAnsi"/>
          <w:noProof/>
          <w:sz w:val="24"/>
          <w:szCs w:val="24"/>
        </w:rPr>
        <w:t>„</w:t>
      </w:r>
      <w:r w:rsidRPr="003F4D72">
        <w:rPr>
          <w:rFonts w:asciiTheme="majorHAnsi" w:eastAsiaTheme="minorHAnsi" w:hAnsiTheme="majorHAnsi" w:cstheme="majorHAnsi"/>
          <w:noProof/>
          <w:sz w:val="24"/>
          <w:szCs w:val="24"/>
        </w:rPr>
        <w:t xml:space="preserve">buget global” și achitate CNAMUP în anul 2020 au constituit 706 608,5 mii lei. Astfel, la aplicarea metodei de contractare </w:t>
      </w:r>
      <w:r w:rsidR="00B75908" w:rsidRPr="003F4D72">
        <w:rPr>
          <w:rFonts w:asciiTheme="majorHAnsi" w:eastAsiaTheme="minorHAnsi" w:hAnsiTheme="majorHAnsi" w:cstheme="majorHAnsi"/>
          <w:noProof/>
          <w:sz w:val="24"/>
          <w:szCs w:val="24"/>
        </w:rPr>
        <w:t>„</w:t>
      </w:r>
      <w:r w:rsidRPr="003F4D72">
        <w:rPr>
          <w:rFonts w:asciiTheme="majorHAnsi" w:eastAsiaTheme="minorHAnsi" w:hAnsiTheme="majorHAnsi" w:cstheme="majorHAnsi"/>
          <w:i/>
          <w:noProof/>
          <w:sz w:val="24"/>
          <w:szCs w:val="24"/>
        </w:rPr>
        <w:t>per capita”,</w:t>
      </w:r>
      <w:r w:rsidRPr="003F4D72">
        <w:rPr>
          <w:rFonts w:asciiTheme="majorHAnsi" w:eastAsiaTheme="minorHAnsi" w:hAnsiTheme="majorHAnsi" w:cstheme="majorHAnsi"/>
          <w:noProof/>
          <w:sz w:val="24"/>
          <w:szCs w:val="24"/>
        </w:rPr>
        <w:t xml:space="preserve"> volumul serviciilor contractate de CNAMUP, pentru prestarea servicilor de asistență medicală urgentă prespitalicească în anul 2020, urma să constituie </w:t>
      </w:r>
      <w:r w:rsidRPr="003F4D72">
        <w:rPr>
          <w:rFonts w:asciiTheme="majorHAnsi" w:eastAsiaTheme="minorHAnsi" w:hAnsiTheme="majorHAnsi" w:cstheme="majorHAnsi"/>
          <w:noProof/>
          <w:color w:val="000000"/>
          <w:sz w:val="24"/>
          <w:szCs w:val="24"/>
        </w:rPr>
        <w:t>566 747,9 mii lei</w:t>
      </w:r>
      <w:r w:rsidR="00B75908" w:rsidRPr="003F4D72">
        <w:rPr>
          <w:rFonts w:asciiTheme="majorHAnsi" w:eastAsiaTheme="minorHAnsi" w:hAnsiTheme="majorHAnsi" w:cstheme="majorHAnsi"/>
          <w:noProof/>
          <w:color w:val="000000"/>
          <w:sz w:val="24"/>
          <w:szCs w:val="24"/>
        </w:rPr>
        <w:t>,</w:t>
      </w:r>
      <w:r w:rsidRPr="003F4D72">
        <w:rPr>
          <w:rFonts w:asciiTheme="majorHAnsi" w:eastAsiaTheme="minorHAnsi" w:hAnsiTheme="majorHAnsi" w:cstheme="majorHAnsi"/>
          <w:noProof/>
          <w:color w:val="000000"/>
          <w:sz w:val="24"/>
          <w:szCs w:val="24"/>
        </w:rPr>
        <w:t xml:space="preserve"> sau cu 139 860,6 mii lei mai puțin </w:t>
      </w:r>
      <w:r w:rsidR="00B75908" w:rsidRPr="003F4D72">
        <w:rPr>
          <w:rFonts w:asciiTheme="majorHAnsi" w:eastAsiaTheme="minorHAnsi" w:hAnsiTheme="majorHAnsi" w:cstheme="majorHAnsi"/>
          <w:noProof/>
          <w:color w:val="000000"/>
          <w:sz w:val="24"/>
          <w:szCs w:val="24"/>
        </w:rPr>
        <w:t xml:space="preserve">față de </w:t>
      </w:r>
      <w:r w:rsidRPr="003F4D72">
        <w:rPr>
          <w:rFonts w:asciiTheme="majorHAnsi" w:eastAsiaTheme="minorHAnsi" w:hAnsiTheme="majorHAnsi" w:cstheme="majorHAnsi"/>
          <w:noProof/>
          <w:color w:val="000000"/>
          <w:sz w:val="24"/>
          <w:szCs w:val="24"/>
        </w:rPr>
        <w:t xml:space="preserve">metoda de contractare </w:t>
      </w:r>
      <w:r w:rsidR="00B75908" w:rsidRPr="003F4D72">
        <w:rPr>
          <w:rFonts w:asciiTheme="majorHAnsi" w:eastAsiaTheme="minorHAnsi" w:hAnsiTheme="majorHAnsi" w:cstheme="majorHAnsi"/>
          <w:i/>
          <w:noProof/>
          <w:color w:val="000000"/>
          <w:sz w:val="24"/>
          <w:szCs w:val="24"/>
        </w:rPr>
        <w:t>„</w:t>
      </w:r>
      <w:r w:rsidRPr="003F4D72">
        <w:rPr>
          <w:rFonts w:asciiTheme="majorHAnsi" w:eastAsiaTheme="minorHAnsi" w:hAnsiTheme="majorHAnsi" w:cstheme="majorHAnsi"/>
          <w:i/>
          <w:noProof/>
          <w:color w:val="000000"/>
          <w:sz w:val="24"/>
          <w:szCs w:val="24"/>
        </w:rPr>
        <w:t>buget global”</w:t>
      </w:r>
      <w:r w:rsidRPr="003F4D72">
        <w:rPr>
          <w:rFonts w:asciiTheme="majorHAnsi" w:eastAsiaTheme="minorHAnsi" w:hAnsiTheme="majorHAnsi" w:cstheme="majorHAnsi"/>
          <w:noProof/>
          <w:color w:val="000000"/>
          <w:sz w:val="24"/>
          <w:szCs w:val="24"/>
        </w:rPr>
        <w:t>.</w:t>
      </w:r>
    </w:p>
    <w:p w14:paraId="4B30CD53" w14:textId="02111E12" w:rsidR="003655E8" w:rsidRDefault="003655E8" w:rsidP="003655E8">
      <w:pPr>
        <w:spacing w:after="0" w:line="276" w:lineRule="auto"/>
        <w:ind w:firstLine="567"/>
        <w:jc w:val="both"/>
        <w:rPr>
          <w:rFonts w:asciiTheme="majorHAnsi" w:eastAsia="Times New Roman" w:hAnsiTheme="majorHAnsi" w:cstheme="majorHAnsi"/>
          <w:noProof/>
          <w:sz w:val="24"/>
          <w:szCs w:val="24"/>
          <w:lang w:eastAsia="ru-RU"/>
        </w:rPr>
      </w:pPr>
      <w:r w:rsidRPr="003F4D72">
        <w:rPr>
          <w:rFonts w:asciiTheme="majorHAnsi" w:eastAsiaTheme="minorHAnsi" w:hAnsiTheme="majorHAnsi" w:cstheme="majorHAnsi"/>
          <w:bCs/>
          <w:iCs/>
          <w:noProof/>
          <w:sz w:val="24"/>
          <w:szCs w:val="24"/>
        </w:rPr>
        <w:t xml:space="preserve">Astfel, impactul contractării prin </w:t>
      </w:r>
      <w:r w:rsidR="00C50FB4" w:rsidRPr="003F4D72">
        <w:rPr>
          <w:rFonts w:asciiTheme="majorHAnsi" w:eastAsiaTheme="minorHAnsi" w:hAnsiTheme="majorHAnsi" w:cstheme="majorHAnsi"/>
          <w:bCs/>
          <w:i/>
          <w:iCs/>
          <w:noProof/>
          <w:sz w:val="24"/>
          <w:szCs w:val="24"/>
        </w:rPr>
        <w:t>„</w:t>
      </w:r>
      <w:r w:rsidRPr="003F4D72">
        <w:rPr>
          <w:rFonts w:asciiTheme="majorHAnsi" w:eastAsiaTheme="minorHAnsi" w:hAnsiTheme="majorHAnsi" w:cstheme="majorHAnsi"/>
          <w:bCs/>
          <w:i/>
          <w:iCs/>
          <w:noProof/>
          <w:sz w:val="24"/>
          <w:szCs w:val="24"/>
        </w:rPr>
        <w:t>buget global”</w:t>
      </w:r>
      <w:r w:rsidRPr="003F4D72">
        <w:rPr>
          <w:rFonts w:asciiTheme="majorHAnsi" w:eastAsiaTheme="minorHAnsi" w:hAnsiTheme="majorHAnsi" w:cstheme="majorHAnsi"/>
          <w:bCs/>
          <w:iCs/>
          <w:noProof/>
          <w:sz w:val="24"/>
          <w:szCs w:val="24"/>
        </w:rPr>
        <w:t> poate afecta nivelul de realizare a serviciilor sau reducerea volumului de servicii medicale, întruc</w:t>
      </w:r>
      <w:r w:rsidR="00C50FB4" w:rsidRPr="003F4D72">
        <w:rPr>
          <w:rFonts w:asciiTheme="majorHAnsi" w:eastAsiaTheme="minorHAnsi" w:hAnsiTheme="majorHAnsi" w:cstheme="majorHAnsi"/>
          <w:bCs/>
          <w:iCs/>
          <w:noProof/>
          <w:sz w:val="24"/>
          <w:szCs w:val="24"/>
        </w:rPr>
        <w:t>â</w:t>
      </w:r>
      <w:r w:rsidRPr="003F4D72">
        <w:rPr>
          <w:rFonts w:asciiTheme="majorHAnsi" w:eastAsiaTheme="minorHAnsi" w:hAnsiTheme="majorHAnsi" w:cstheme="majorHAnsi"/>
          <w:bCs/>
          <w:iCs/>
          <w:noProof/>
          <w:sz w:val="24"/>
          <w:szCs w:val="24"/>
        </w:rPr>
        <w:t>t metoda de contractare și finanțare nu are la bază numărul de servicii acordate. În acest context</w:t>
      </w:r>
      <w:r w:rsidR="00C50FB4" w:rsidRPr="003F4D72">
        <w:rPr>
          <w:rFonts w:asciiTheme="majorHAnsi" w:eastAsiaTheme="minorHAnsi" w:hAnsiTheme="majorHAnsi" w:cstheme="majorHAnsi"/>
          <w:bCs/>
          <w:iCs/>
          <w:noProof/>
          <w:sz w:val="24"/>
          <w:szCs w:val="24"/>
        </w:rPr>
        <w:t>,</w:t>
      </w:r>
      <w:r w:rsidRPr="003F4D72">
        <w:rPr>
          <w:rFonts w:asciiTheme="majorHAnsi" w:eastAsiaTheme="minorHAnsi" w:hAnsiTheme="majorHAnsi" w:cstheme="majorHAnsi"/>
          <w:bCs/>
          <w:iCs/>
          <w:noProof/>
          <w:sz w:val="24"/>
          <w:szCs w:val="24"/>
        </w:rPr>
        <w:t xml:space="preserve"> </w:t>
      </w:r>
      <w:r w:rsidRPr="003F4D72">
        <w:rPr>
          <w:rFonts w:asciiTheme="majorHAnsi" w:eastAsia="Times New Roman" w:hAnsiTheme="majorHAnsi" w:cstheme="majorHAnsi"/>
          <w:noProof/>
          <w:sz w:val="24"/>
          <w:szCs w:val="24"/>
          <w:lang w:eastAsia="ru-RU"/>
        </w:rPr>
        <w:t>se denotă că în anul 2020</w:t>
      </w:r>
      <w:r w:rsidR="00C50FB4" w:rsidRPr="003F4D72">
        <w:rPr>
          <w:rFonts w:asciiTheme="majorHAnsi" w:eastAsia="Times New Roman" w:hAnsiTheme="majorHAnsi" w:cstheme="majorHAnsi"/>
          <w:noProof/>
          <w:sz w:val="24"/>
          <w:szCs w:val="24"/>
          <w:lang w:eastAsia="ru-RU"/>
        </w:rPr>
        <w:t>,</w:t>
      </w:r>
      <w:r w:rsidRPr="003F4D72">
        <w:rPr>
          <w:rFonts w:asciiTheme="majorHAnsi" w:eastAsia="Times New Roman" w:hAnsiTheme="majorHAnsi" w:cstheme="majorHAnsi"/>
          <w:noProof/>
          <w:sz w:val="24"/>
          <w:szCs w:val="24"/>
          <w:lang w:eastAsia="ru-RU"/>
        </w:rPr>
        <w:t xml:space="preserve"> potrivit informații</w:t>
      </w:r>
      <w:r w:rsidR="00C50FB4" w:rsidRPr="003F4D72">
        <w:rPr>
          <w:rFonts w:asciiTheme="majorHAnsi" w:eastAsia="Times New Roman" w:hAnsiTheme="majorHAnsi" w:cstheme="majorHAnsi"/>
          <w:noProof/>
          <w:sz w:val="24"/>
          <w:szCs w:val="24"/>
          <w:lang w:eastAsia="ru-RU"/>
        </w:rPr>
        <w:t>lor</w:t>
      </w:r>
      <w:r w:rsidRPr="003F4D72">
        <w:rPr>
          <w:rFonts w:asciiTheme="majorHAnsi" w:eastAsia="Times New Roman" w:hAnsiTheme="majorHAnsi" w:cstheme="majorHAnsi"/>
          <w:noProof/>
          <w:sz w:val="24"/>
          <w:szCs w:val="24"/>
          <w:lang w:eastAsia="ru-RU"/>
        </w:rPr>
        <w:t xml:space="preserve"> prezentate, 26 820 </w:t>
      </w:r>
      <w:r w:rsidR="00C50FB4" w:rsidRPr="003F4D72">
        <w:rPr>
          <w:rFonts w:asciiTheme="majorHAnsi" w:eastAsia="Times New Roman" w:hAnsiTheme="majorHAnsi" w:cstheme="majorHAnsi"/>
          <w:noProof/>
          <w:sz w:val="24"/>
          <w:szCs w:val="24"/>
          <w:lang w:eastAsia="ru-RU"/>
        </w:rPr>
        <w:t xml:space="preserve">de </w:t>
      </w:r>
      <w:r w:rsidRPr="003F4D72">
        <w:rPr>
          <w:rFonts w:asciiTheme="majorHAnsi" w:eastAsia="Times New Roman" w:hAnsiTheme="majorHAnsi" w:cstheme="majorHAnsi"/>
          <w:noProof/>
          <w:sz w:val="24"/>
          <w:szCs w:val="24"/>
          <w:lang w:eastAsia="ru-RU"/>
        </w:rPr>
        <w:t xml:space="preserve">solicitări înregistrate ale cetățenilor privind serviciile medicale urgente nu au fost prestate, iar CNAMUP a motivat că aceste servicii medicale </w:t>
      </w:r>
      <w:r w:rsidR="008957D4" w:rsidRPr="003F4D72">
        <w:rPr>
          <w:rFonts w:asciiTheme="majorHAnsi" w:eastAsia="Times New Roman" w:hAnsiTheme="majorHAnsi" w:cstheme="majorHAnsi"/>
          <w:noProof/>
          <w:sz w:val="24"/>
          <w:szCs w:val="24"/>
          <w:lang w:eastAsia="ru-RU"/>
        </w:rPr>
        <w:t>potrivit normelor</w:t>
      </w:r>
      <w:r w:rsidR="007E524A" w:rsidRPr="003F4D72">
        <w:rPr>
          <w:rStyle w:val="FootnoteReference"/>
          <w:rFonts w:asciiTheme="majorHAnsi" w:eastAsia="Times New Roman" w:hAnsiTheme="majorHAnsi" w:cstheme="majorHAnsi"/>
          <w:noProof/>
          <w:sz w:val="24"/>
          <w:szCs w:val="24"/>
          <w:lang w:eastAsia="ru-RU"/>
        </w:rPr>
        <w:footnoteReference w:id="16"/>
      </w:r>
      <w:r w:rsidR="008957D4" w:rsidRPr="003F4D72">
        <w:rPr>
          <w:rFonts w:asciiTheme="majorHAnsi" w:eastAsia="Times New Roman" w:hAnsiTheme="majorHAnsi" w:cstheme="majorHAnsi"/>
          <w:noProof/>
          <w:sz w:val="24"/>
          <w:szCs w:val="24"/>
          <w:lang w:eastAsia="ru-RU"/>
        </w:rPr>
        <w:t xml:space="preserve"> </w:t>
      </w:r>
      <w:r w:rsidRPr="003F4D72">
        <w:rPr>
          <w:rFonts w:asciiTheme="majorHAnsi" w:eastAsia="Times New Roman" w:hAnsiTheme="majorHAnsi" w:cstheme="majorHAnsi"/>
          <w:noProof/>
          <w:sz w:val="24"/>
          <w:szCs w:val="24"/>
          <w:lang w:eastAsia="ru-RU"/>
        </w:rPr>
        <w:t xml:space="preserve">sunt clasificate ca </w:t>
      </w:r>
      <w:r w:rsidR="00C50FB4" w:rsidRPr="003F4D72">
        <w:rPr>
          <w:rFonts w:asciiTheme="majorHAnsi" w:eastAsia="Times New Roman" w:hAnsiTheme="majorHAnsi" w:cstheme="majorHAnsi"/>
          <w:noProof/>
          <w:sz w:val="24"/>
          <w:szCs w:val="24"/>
          <w:lang w:eastAsia="ru-RU"/>
        </w:rPr>
        <w:t>„</w:t>
      </w:r>
      <w:r w:rsidRPr="003F4D72">
        <w:rPr>
          <w:rFonts w:asciiTheme="majorHAnsi" w:eastAsia="Times New Roman" w:hAnsiTheme="majorHAnsi" w:cstheme="majorHAnsi"/>
          <w:noProof/>
          <w:sz w:val="24"/>
          <w:szCs w:val="24"/>
          <w:lang w:eastAsia="ru-RU"/>
        </w:rPr>
        <w:t xml:space="preserve">solicitări inutile”, date prezentate în tabelul de mai jos: </w:t>
      </w:r>
    </w:p>
    <w:p w14:paraId="65BB4352" w14:textId="77777777" w:rsidR="003F4D72" w:rsidRPr="003F4D72" w:rsidRDefault="003F4D72" w:rsidP="003655E8">
      <w:pPr>
        <w:spacing w:after="0" w:line="276" w:lineRule="auto"/>
        <w:ind w:firstLine="567"/>
        <w:jc w:val="both"/>
        <w:rPr>
          <w:rFonts w:asciiTheme="majorHAnsi" w:eastAsia="Times New Roman" w:hAnsiTheme="majorHAnsi" w:cstheme="majorHAnsi"/>
          <w:noProof/>
          <w:sz w:val="24"/>
          <w:szCs w:val="24"/>
          <w:lang w:eastAsia="ru-RU"/>
        </w:rPr>
      </w:pPr>
    </w:p>
    <w:p w14:paraId="2A41C89D" w14:textId="732611AC" w:rsidR="003655E8" w:rsidRPr="003F4D72" w:rsidRDefault="00C06EA1" w:rsidP="00C06EA1">
      <w:pPr>
        <w:spacing w:after="0" w:line="276" w:lineRule="auto"/>
        <w:ind w:firstLine="567"/>
        <w:jc w:val="center"/>
        <w:rPr>
          <w:rFonts w:asciiTheme="majorHAnsi" w:eastAsiaTheme="minorHAnsi" w:hAnsiTheme="majorHAnsi" w:cstheme="majorHAnsi"/>
          <w:b/>
          <w:bCs/>
          <w:iCs/>
          <w:noProof/>
          <w:sz w:val="24"/>
          <w:szCs w:val="24"/>
        </w:rPr>
      </w:pPr>
      <w:r w:rsidRPr="003F4D72">
        <w:rPr>
          <w:rFonts w:asciiTheme="majorHAnsi" w:eastAsiaTheme="minorHAnsi" w:hAnsiTheme="majorHAnsi" w:cstheme="majorHAnsi"/>
          <w:b/>
          <w:bCs/>
          <w:iCs/>
          <w:noProof/>
          <w:sz w:val="24"/>
          <w:szCs w:val="24"/>
        </w:rPr>
        <w:t>Serviciile medicale urgente care nu au fost acordate la solicitările cetățenilor</w:t>
      </w:r>
    </w:p>
    <w:p w14:paraId="38B9F23F" w14:textId="20FC55C3" w:rsidR="003655E8" w:rsidRPr="003F4D72" w:rsidRDefault="00051302" w:rsidP="003655E8">
      <w:pPr>
        <w:spacing w:after="0" w:line="276" w:lineRule="auto"/>
        <w:ind w:firstLine="567"/>
        <w:jc w:val="right"/>
        <w:rPr>
          <w:rFonts w:asciiTheme="majorHAnsi" w:eastAsia="Times New Roman" w:hAnsiTheme="majorHAnsi" w:cstheme="majorHAnsi"/>
          <w:noProof/>
          <w:sz w:val="20"/>
          <w:szCs w:val="24"/>
          <w:lang w:eastAsia="ru-RU"/>
        </w:rPr>
      </w:pPr>
      <w:r w:rsidRPr="003F4D72">
        <w:rPr>
          <w:rFonts w:asciiTheme="majorHAnsi" w:eastAsia="Times New Roman" w:hAnsiTheme="majorHAnsi" w:cstheme="majorHAnsi"/>
          <w:noProof/>
          <w:sz w:val="20"/>
          <w:szCs w:val="24"/>
          <w:lang w:eastAsia="ru-RU"/>
        </w:rPr>
        <w:t>Tabelul nr.6</w:t>
      </w:r>
    </w:p>
    <w:tbl>
      <w:tblPr>
        <w:tblStyle w:val="GridTable1Light"/>
        <w:tblW w:w="5000" w:type="pct"/>
        <w:tblLook w:val="04A0" w:firstRow="1" w:lastRow="0" w:firstColumn="1" w:lastColumn="0" w:noHBand="0" w:noVBand="1"/>
      </w:tblPr>
      <w:tblGrid>
        <w:gridCol w:w="4462"/>
        <w:gridCol w:w="1834"/>
        <w:gridCol w:w="1464"/>
        <w:gridCol w:w="1590"/>
      </w:tblGrid>
      <w:tr w:rsidR="003655E8" w:rsidRPr="003F4D72" w14:paraId="04099C24" w14:textId="77777777" w:rsidTr="003655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86" w:type="pct"/>
            <w:vMerge w:val="restart"/>
            <w:hideMark/>
          </w:tcPr>
          <w:p w14:paraId="508F321A" w14:textId="77777777" w:rsidR="003655E8" w:rsidRPr="003F4D72" w:rsidRDefault="003655E8" w:rsidP="003655E8">
            <w:pPr>
              <w:jc w:val="cente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Indicator</w:t>
            </w:r>
          </w:p>
        </w:tc>
        <w:tc>
          <w:tcPr>
            <w:tcW w:w="981" w:type="pct"/>
            <w:vMerge w:val="restart"/>
            <w:hideMark/>
          </w:tcPr>
          <w:p w14:paraId="2081F9C5"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Total solicitări neîntemeiate/ inutile</w:t>
            </w:r>
          </w:p>
        </w:tc>
        <w:tc>
          <w:tcPr>
            <w:tcW w:w="1634" w:type="pct"/>
            <w:gridSpan w:val="2"/>
            <w:hideMark/>
          </w:tcPr>
          <w:p w14:paraId="3557CABE"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Inclusiv</w:t>
            </w:r>
          </w:p>
        </w:tc>
      </w:tr>
      <w:tr w:rsidR="003655E8" w:rsidRPr="003F4D72" w14:paraId="60D4DC5E"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vMerge/>
            <w:hideMark/>
          </w:tcPr>
          <w:p w14:paraId="7FB7BEA2" w14:textId="77777777" w:rsidR="003655E8" w:rsidRPr="003F4D72" w:rsidRDefault="003655E8" w:rsidP="003655E8">
            <w:pPr>
              <w:rPr>
                <w:rFonts w:asciiTheme="majorHAnsi" w:eastAsia="Times New Roman" w:hAnsiTheme="majorHAnsi" w:cs="Times New Roman"/>
                <w:color w:val="000000"/>
                <w:sz w:val="20"/>
                <w:szCs w:val="20"/>
              </w:rPr>
            </w:pPr>
          </w:p>
        </w:tc>
        <w:tc>
          <w:tcPr>
            <w:tcW w:w="981" w:type="pct"/>
            <w:vMerge/>
            <w:hideMark/>
          </w:tcPr>
          <w:p w14:paraId="47193779" w14:textId="77777777" w:rsidR="003655E8" w:rsidRPr="003F4D72" w:rsidRDefault="003655E8" w:rsidP="003655E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p>
        </w:tc>
        <w:tc>
          <w:tcPr>
            <w:tcW w:w="783" w:type="pct"/>
            <w:hideMark/>
          </w:tcPr>
          <w:p w14:paraId="2D720914" w14:textId="084B8FDD" w:rsidR="003655E8" w:rsidRPr="003F4D72" w:rsidRDefault="00D007AC"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u</w:t>
            </w:r>
            <w:r w:rsidR="003655E8" w:rsidRPr="003F4D72">
              <w:rPr>
                <w:rFonts w:asciiTheme="majorHAnsi" w:eastAsia="Times New Roman" w:hAnsiTheme="majorHAnsi" w:cs="Times New Roman"/>
                <w:b/>
                <w:bCs/>
                <w:color w:val="000000"/>
                <w:sz w:val="20"/>
                <w:szCs w:val="20"/>
              </w:rPr>
              <w:t>rban</w:t>
            </w:r>
          </w:p>
        </w:tc>
        <w:tc>
          <w:tcPr>
            <w:tcW w:w="851" w:type="pct"/>
            <w:hideMark/>
          </w:tcPr>
          <w:p w14:paraId="0AD3223B" w14:textId="55DAC163" w:rsidR="003655E8" w:rsidRPr="003F4D72" w:rsidRDefault="00D007AC"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r</w:t>
            </w:r>
            <w:r w:rsidR="003655E8" w:rsidRPr="003F4D72">
              <w:rPr>
                <w:rFonts w:asciiTheme="majorHAnsi" w:eastAsia="Times New Roman" w:hAnsiTheme="majorHAnsi" w:cs="Times New Roman"/>
                <w:b/>
                <w:bCs/>
                <w:color w:val="000000"/>
                <w:sz w:val="20"/>
                <w:szCs w:val="20"/>
              </w:rPr>
              <w:t>ural</w:t>
            </w:r>
          </w:p>
        </w:tc>
      </w:tr>
      <w:tr w:rsidR="003655E8" w:rsidRPr="003F4D72" w14:paraId="5C633160"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6116DF0F"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Lista pacientului la adresa indicată în solicitare</w:t>
            </w:r>
          </w:p>
        </w:tc>
        <w:tc>
          <w:tcPr>
            <w:tcW w:w="981" w:type="pct"/>
            <w:vAlign w:val="center"/>
            <w:hideMark/>
          </w:tcPr>
          <w:p w14:paraId="4578254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8784</w:t>
            </w:r>
          </w:p>
        </w:tc>
        <w:tc>
          <w:tcPr>
            <w:tcW w:w="783" w:type="pct"/>
            <w:vAlign w:val="center"/>
            <w:hideMark/>
          </w:tcPr>
          <w:p w14:paraId="2D3B050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6159</w:t>
            </w:r>
          </w:p>
        </w:tc>
        <w:tc>
          <w:tcPr>
            <w:tcW w:w="851" w:type="pct"/>
            <w:vAlign w:val="center"/>
            <w:hideMark/>
          </w:tcPr>
          <w:p w14:paraId="4C3D07DB"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2625</w:t>
            </w:r>
          </w:p>
        </w:tc>
      </w:tr>
      <w:tr w:rsidR="003655E8" w:rsidRPr="003F4D72" w14:paraId="2DB8B6B4"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646A2164"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Refuz de examinare</w:t>
            </w:r>
          </w:p>
        </w:tc>
        <w:tc>
          <w:tcPr>
            <w:tcW w:w="981" w:type="pct"/>
            <w:vAlign w:val="center"/>
            <w:hideMark/>
          </w:tcPr>
          <w:p w14:paraId="568FDA4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1424</w:t>
            </w:r>
          </w:p>
        </w:tc>
        <w:tc>
          <w:tcPr>
            <w:tcW w:w="783" w:type="pct"/>
            <w:vAlign w:val="center"/>
            <w:hideMark/>
          </w:tcPr>
          <w:p w14:paraId="67B5FE0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962</w:t>
            </w:r>
          </w:p>
        </w:tc>
        <w:tc>
          <w:tcPr>
            <w:tcW w:w="851" w:type="pct"/>
            <w:vAlign w:val="center"/>
            <w:hideMark/>
          </w:tcPr>
          <w:p w14:paraId="4BDE6440"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462</w:t>
            </w:r>
          </w:p>
        </w:tc>
      </w:tr>
      <w:tr w:rsidR="003655E8" w:rsidRPr="003F4D72" w14:paraId="62172142"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noWrap/>
            <w:hideMark/>
          </w:tcPr>
          <w:p w14:paraId="2245EDDC"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Solicitare falsă</w:t>
            </w:r>
          </w:p>
        </w:tc>
        <w:tc>
          <w:tcPr>
            <w:tcW w:w="981" w:type="pct"/>
            <w:vAlign w:val="center"/>
            <w:hideMark/>
          </w:tcPr>
          <w:p w14:paraId="6FC2DBEC"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1158</w:t>
            </w:r>
          </w:p>
        </w:tc>
        <w:tc>
          <w:tcPr>
            <w:tcW w:w="783" w:type="pct"/>
            <w:vAlign w:val="center"/>
            <w:hideMark/>
          </w:tcPr>
          <w:p w14:paraId="217BE61F"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681</w:t>
            </w:r>
          </w:p>
        </w:tc>
        <w:tc>
          <w:tcPr>
            <w:tcW w:w="851" w:type="pct"/>
            <w:vAlign w:val="center"/>
            <w:hideMark/>
          </w:tcPr>
          <w:p w14:paraId="2937F0A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477</w:t>
            </w:r>
          </w:p>
        </w:tc>
      </w:tr>
      <w:tr w:rsidR="003655E8" w:rsidRPr="003F4D72" w14:paraId="10A63518"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2C63D9D6"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Solicitare anulată</w:t>
            </w:r>
          </w:p>
        </w:tc>
        <w:tc>
          <w:tcPr>
            <w:tcW w:w="981" w:type="pct"/>
            <w:vAlign w:val="center"/>
            <w:hideMark/>
          </w:tcPr>
          <w:p w14:paraId="0DA8C00F"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5803</w:t>
            </w:r>
          </w:p>
        </w:tc>
        <w:tc>
          <w:tcPr>
            <w:tcW w:w="783" w:type="pct"/>
            <w:vAlign w:val="center"/>
            <w:hideMark/>
          </w:tcPr>
          <w:p w14:paraId="1DDCC6B5"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2907</w:t>
            </w:r>
          </w:p>
        </w:tc>
        <w:tc>
          <w:tcPr>
            <w:tcW w:w="851" w:type="pct"/>
            <w:vAlign w:val="center"/>
            <w:hideMark/>
          </w:tcPr>
          <w:p w14:paraId="39BFDDA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2896</w:t>
            </w:r>
          </w:p>
        </w:tc>
      </w:tr>
      <w:tr w:rsidR="003655E8" w:rsidRPr="003F4D72" w14:paraId="3BEC518C"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534F97C2"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Solicitare suspendată</w:t>
            </w:r>
          </w:p>
        </w:tc>
        <w:tc>
          <w:tcPr>
            <w:tcW w:w="981" w:type="pct"/>
            <w:vAlign w:val="center"/>
            <w:hideMark/>
          </w:tcPr>
          <w:p w14:paraId="2F7DD69A"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76</w:t>
            </w:r>
          </w:p>
        </w:tc>
        <w:tc>
          <w:tcPr>
            <w:tcW w:w="783" w:type="pct"/>
            <w:vAlign w:val="center"/>
            <w:hideMark/>
          </w:tcPr>
          <w:p w14:paraId="099EA5B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45</w:t>
            </w:r>
          </w:p>
        </w:tc>
        <w:tc>
          <w:tcPr>
            <w:tcW w:w="851" w:type="pct"/>
            <w:vAlign w:val="center"/>
            <w:hideMark/>
          </w:tcPr>
          <w:p w14:paraId="26483A2B"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31</w:t>
            </w:r>
          </w:p>
        </w:tc>
      </w:tr>
      <w:tr w:rsidR="003655E8" w:rsidRPr="003F4D72" w14:paraId="4D1148C6"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74013E19"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Practic sănătos</w:t>
            </w:r>
          </w:p>
        </w:tc>
        <w:tc>
          <w:tcPr>
            <w:tcW w:w="981" w:type="pct"/>
            <w:vAlign w:val="center"/>
            <w:hideMark/>
          </w:tcPr>
          <w:p w14:paraId="6EB847E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939</w:t>
            </w:r>
          </w:p>
        </w:tc>
        <w:tc>
          <w:tcPr>
            <w:tcW w:w="783" w:type="pct"/>
            <w:vAlign w:val="center"/>
            <w:hideMark/>
          </w:tcPr>
          <w:p w14:paraId="2EAB6ED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538</w:t>
            </w:r>
          </w:p>
        </w:tc>
        <w:tc>
          <w:tcPr>
            <w:tcW w:w="851" w:type="pct"/>
            <w:vAlign w:val="center"/>
            <w:hideMark/>
          </w:tcPr>
          <w:p w14:paraId="01C7122F"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401</w:t>
            </w:r>
          </w:p>
        </w:tc>
      </w:tr>
      <w:tr w:rsidR="003655E8" w:rsidRPr="003F4D72" w14:paraId="5230A282"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2B21BA83"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Deces până la sosirea echipei AMU</w:t>
            </w:r>
          </w:p>
        </w:tc>
        <w:tc>
          <w:tcPr>
            <w:tcW w:w="981" w:type="pct"/>
            <w:vAlign w:val="center"/>
            <w:hideMark/>
          </w:tcPr>
          <w:p w14:paraId="47FCF14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5488</w:t>
            </w:r>
          </w:p>
        </w:tc>
        <w:tc>
          <w:tcPr>
            <w:tcW w:w="783" w:type="pct"/>
            <w:vAlign w:val="center"/>
            <w:hideMark/>
          </w:tcPr>
          <w:p w14:paraId="4DC03742"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3062</w:t>
            </w:r>
          </w:p>
        </w:tc>
        <w:tc>
          <w:tcPr>
            <w:tcW w:w="851" w:type="pct"/>
            <w:vAlign w:val="center"/>
            <w:hideMark/>
          </w:tcPr>
          <w:p w14:paraId="6214C75A"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2426</w:t>
            </w:r>
          </w:p>
        </w:tc>
      </w:tr>
      <w:tr w:rsidR="003655E8" w:rsidRPr="003F4D72" w14:paraId="6C51829E"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2ED734C3"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Nu se poate ajunge la locul solicitării</w:t>
            </w:r>
          </w:p>
        </w:tc>
        <w:tc>
          <w:tcPr>
            <w:tcW w:w="981" w:type="pct"/>
            <w:vAlign w:val="center"/>
            <w:hideMark/>
          </w:tcPr>
          <w:p w14:paraId="110FE706"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156</w:t>
            </w:r>
          </w:p>
        </w:tc>
        <w:tc>
          <w:tcPr>
            <w:tcW w:w="783" w:type="pct"/>
            <w:vAlign w:val="center"/>
            <w:hideMark/>
          </w:tcPr>
          <w:p w14:paraId="2A1E7DEA"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44</w:t>
            </w:r>
          </w:p>
        </w:tc>
        <w:tc>
          <w:tcPr>
            <w:tcW w:w="851" w:type="pct"/>
            <w:vAlign w:val="center"/>
            <w:hideMark/>
          </w:tcPr>
          <w:p w14:paraId="6ED13E57"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112</w:t>
            </w:r>
          </w:p>
        </w:tc>
      </w:tr>
      <w:tr w:rsidR="003655E8" w:rsidRPr="003F4D72" w14:paraId="1BCB43AF"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0E0CE0B6"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Total IMSP CNAMUP</w:t>
            </w:r>
          </w:p>
        </w:tc>
        <w:tc>
          <w:tcPr>
            <w:tcW w:w="981" w:type="pct"/>
            <w:vAlign w:val="center"/>
            <w:hideMark/>
          </w:tcPr>
          <w:p w14:paraId="1F155C9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26504</w:t>
            </w:r>
          </w:p>
        </w:tc>
        <w:tc>
          <w:tcPr>
            <w:tcW w:w="783" w:type="pct"/>
            <w:vAlign w:val="center"/>
            <w:hideMark/>
          </w:tcPr>
          <w:p w14:paraId="118DE8B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16407</w:t>
            </w:r>
          </w:p>
        </w:tc>
        <w:tc>
          <w:tcPr>
            <w:tcW w:w="851" w:type="pct"/>
            <w:vAlign w:val="center"/>
            <w:hideMark/>
          </w:tcPr>
          <w:p w14:paraId="0C25A8D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10097</w:t>
            </w:r>
          </w:p>
        </w:tc>
      </w:tr>
      <w:tr w:rsidR="003655E8" w:rsidRPr="003F4D72" w14:paraId="5A6C44EE"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5FF0428D" w14:textId="167A5CE8"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lastRenderedPageBreak/>
              <w:t xml:space="preserve">Solicitări neîntemeiate efectuate de SRL </w:t>
            </w:r>
            <w:r w:rsidR="00D007AC" w:rsidRPr="003F4D72">
              <w:rPr>
                <w:rFonts w:asciiTheme="majorHAnsi" w:eastAsia="Times New Roman" w:hAnsiTheme="majorHAnsi" w:cs="Times New Roman"/>
                <w:color w:val="000000"/>
                <w:sz w:val="20"/>
                <w:szCs w:val="20"/>
              </w:rPr>
              <w:t>„</w:t>
            </w:r>
            <w:proofErr w:type="spellStart"/>
            <w:r w:rsidRPr="003F4D72">
              <w:rPr>
                <w:rFonts w:asciiTheme="majorHAnsi" w:eastAsia="Times New Roman" w:hAnsiTheme="majorHAnsi" w:cs="Times New Roman"/>
                <w:color w:val="000000"/>
                <w:sz w:val="20"/>
                <w:szCs w:val="20"/>
              </w:rPr>
              <w:t>Calmet-Nalcas</w:t>
            </w:r>
            <w:proofErr w:type="spellEnd"/>
            <w:r w:rsidR="00D007AC" w:rsidRPr="003F4D72">
              <w:rPr>
                <w:rFonts w:asciiTheme="majorHAnsi" w:eastAsia="Times New Roman" w:hAnsiTheme="majorHAnsi" w:cs="Times New Roman"/>
                <w:color w:val="000000"/>
                <w:sz w:val="20"/>
                <w:szCs w:val="20"/>
              </w:rPr>
              <w:t>”</w:t>
            </w:r>
            <w:r w:rsidRPr="003F4D72">
              <w:rPr>
                <w:rFonts w:asciiTheme="majorHAnsi" w:eastAsia="Times New Roman" w:hAnsiTheme="majorHAnsi" w:cs="Times New Roman"/>
                <w:color w:val="000000"/>
                <w:sz w:val="20"/>
                <w:szCs w:val="20"/>
              </w:rPr>
              <w:t xml:space="preserve"> și </w:t>
            </w:r>
            <w:r w:rsidR="00D007AC" w:rsidRPr="003F4D72">
              <w:rPr>
                <w:rFonts w:asciiTheme="majorHAnsi" w:eastAsia="Times New Roman" w:hAnsiTheme="majorHAnsi" w:cs="Times New Roman"/>
                <w:color w:val="000000"/>
                <w:sz w:val="20"/>
                <w:szCs w:val="20"/>
              </w:rPr>
              <w:t>„</w:t>
            </w:r>
            <w:proofErr w:type="spellStart"/>
            <w:r w:rsidRPr="003F4D72">
              <w:rPr>
                <w:rFonts w:asciiTheme="majorHAnsi" w:eastAsia="Times New Roman" w:hAnsiTheme="majorHAnsi" w:cs="Times New Roman"/>
                <w:color w:val="000000"/>
                <w:sz w:val="20"/>
                <w:szCs w:val="20"/>
              </w:rPr>
              <w:t>Alvimed</w:t>
            </w:r>
            <w:proofErr w:type="spellEnd"/>
            <w:r w:rsidR="00D007AC" w:rsidRPr="003F4D72">
              <w:rPr>
                <w:rFonts w:asciiTheme="majorHAnsi" w:eastAsia="Times New Roman" w:hAnsiTheme="majorHAnsi" w:cs="Times New Roman"/>
                <w:color w:val="000000"/>
                <w:sz w:val="20"/>
                <w:szCs w:val="20"/>
              </w:rPr>
              <w:t>”</w:t>
            </w:r>
          </w:p>
        </w:tc>
        <w:tc>
          <w:tcPr>
            <w:tcW w:w="981" w:type="pct"/>
            <w:vAlign w:val="center"/>
            <w:hideMark/>
          </w:tcPr>
          <w:p w14:paraId="1F35FAFC"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316</w:t>
            </w:r>
          </w:p>
        </w:tc>
        <w:tc>
          <w:tcPr>
            <w:tcW w:w="783" w:type="pct"/>
            <w:vAlign w:val="center"/>
            <w:hideMark/>
          </w:tcPr>
          <w:p w14:paraId="74EA4E44"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x</w:t>
            </w:r>
          </w:p>
        </w:tc>
        <w:tc>
          <w:tcPr>
            <w:tcW w:w="851" w:type="pct"/>
            <w:vAlign w:val="center"/>
            <w:hideMark/>
          </w:tcPr>
          <w:p w14:paraId="5BC973CC" w14:textId="16BA3E4F" w:rsidR="003655E8" w:rsidRPr="003F4D72" w:rsidRDefault="00093F82"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X</w:t>
            </w:r>
          </w:p>
        </w:tc>
      </w:tr>
      <w:tr w:rsidR="003655E8" w:rsidRPr="003F4D72" w14:paraId="3CFA4D84"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2386" w:type="pct"/>
            <w:hideMark/>
          </w:tcPr>
          <w:p w14:paraId="069D46EA" w14:textId="77777777" w:rsidR="003655E8" w:rsidRPr="003F4D72" w:rsidRDefault="003655E8" w:rsidP="003655E8">
            <w:pPr>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TOTAL:</w:t>
            </w:r>
          </w:p>
        </w:tc>
        <w:tc>
          <w:tcPr>
            <w:tcW w:w="981" w:type="pct"/>
            <w:vAlign w:val="center"/>
            <w:hideMark/>
          </w:tcPr>
          <w:p w14:paraId="5AB63A6D"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26820</w:t>
            </w:r>
          </w:p>
        </w:tc>
        <w:tc>
          <w:tcPr>
            <w:tcW w:w="783" w:type="pct"/>
            <w:vAlign w:val="center"/>
            <w:hideMark/>
          </w:tcPr>
          <w:p w14:paraId="1BEC4303"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x</w:t>
            </w:r>
          </w:p>
        </w:tc>
        <w:tc>
          <w:tcPr>
            <w:tcW w:w="851" w:type="pct"/>
            <w:vAlign w:val="center"/>
            <w:hideMark/>
          </w:tcPr>
          <w:p w14:paraId="51D394A5" w14:textId="36B28D1E" w:rsidR="003655E8" w:rsidRPr="003F4D72" w:rsidRDefault="00093F82"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X</w:t>
            </w:r>
          </w:p>
        </w:tc>
      </w:tr>
    </w:tbl>
    <w:p w14:paraId="697C970B" w14:textId="7BF963E5" w:rsidR="003655E8" w:rsidRPr="003F4D72" w:rsidRDefault="003655E8" w:rsidP="003655E8">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w:t>
      </w:r>
      <w:r w:rsidR="00D007AC" w:rsidRPr="003F4D72">
        <w:rPr>
          <w:rFonts w:asciiTheme="majorHAnsi" w:eastAsia="Times New Roman" w:hAnsiTheme="majorHAnsi" w:cstheme="majorHAnsi"/>
          <w:b/>
          <w:i/>
          <w:noProof/>
          <w:sz w:val="20"/>
          <w:szCs w:val="20"/>
          <w:lang w:eastAsia="ru-RU"/>
        </w:rPr>
        <w:t>ă</w:t>
      </w:r>
      <w:r w:rsidRPr="003F4D72">
        <w:rPr>
          <w:rFonts w:asciiTheme="majorHAnsi" w:eastAsia="Times New Roman" w:hAnsiTheme="majorHAnsi" w:cstheme="majorHAnsi"/>
          <w:b/>
          <w:i/>
          <w:noProof/>
          <w:sz w:val="20"/>
          <w:szCs w:val="20"/>
          <w:lang w:eastAsia="ru-RU"/>
        </w:rPr>
        <w:t>:</w:t>
      </w:r>
      <w:r w:rsidRPr="003F4D72">
        <w:rPr>
          <w:rFonts w:asciiTheme="majorHAnsi" w:eastAsia="Times New Roman" w:hAnsiTheme="majorHAnsi" w:cstheme="majorHAnsi"/>
          <w:i/>
          <w:noProof/>
          <w:sz w:val="20"/>
          <w:szCs w:val="20"/>
          <w:lang w:eastAsia="ru-RU"/>
        </w:rPr>
        <w:t xml:space="preserve"> Informația prezentată de CNAMUP</w:t>
      </w:r>
      <w:r w:rsidR="00916BD7" w:rsidRPr="003F4D72">
        <w:rPr>
          <w:rFonts w:asciiTheme="majorHAnsi" w:eastAsia="Times New Roman" w:hAnsiTheme="majorHAnsi" w:cstheme="majorHAnsi"/>
          <w:i/>
          <w:noProof/>
          <w:sz w:val="20"/>
          <w:szCs w:val="20"/>
          <w:lang w:eastAsia="ru-RU"/>
        </w:rPr>
        <w:t>.</w:t>
      </w:r>
    </w:p>
    <w:p w14:paraId="6BBB75E2" w14:textId="77777777" w:rsidR="003655E8" w:rsidRPr="003F4D72" w:rsidRDefault="003655E8" w:rsidP="003655E8">
      <w:pPr>
        <w:spacing w:after="0" w:line="276" w:lineRule="auto"/>
        <w:ind w:firstLine="567"/>
        <w:jc w:val="both"/>
        <w:rPr>
          <w:rFonts w:asciiTheme="majorHAnsi" w:eastAsiaTheme="minorHAnsi" w:hAnsiTheme="majorHAnsi"/>
          <w:b/>
          <w:noProof/>
          <w:sz w:val="24"/>
          <w:szCs w:val="24"/>
        </w:rPr>
      </w:pPr>
    </w:p>
    <w:p w14:paraId="71C947E3" w14:textId="297A5249" w:rsidR="00C06EA1" w:rsidRPr="003F4D72" w:rsidRDefault="003655E8" w:rsidP="00AD00F2">
      <w:pPr>
        <w:spacing w:after="0" w:line="276" w:lineRule="auto"/>
        <w:ind w:firstLine="567"/>
        <w:jc w:val="both"/>
        <w:rPr>
          <w:rFonts w:asciiTheme="majorHAnsi" w:eastAsia="Times New Roman" w:hAnsiTheme="majorHAnsi" w:cstheme="majorHAnsi"/>
          <w:noProof/>
          <w:sz w:val="24"/>
          <w:szCs w:val="24"/>
          <w:lang w:eastAsia="ru-RU"/>
        </w:rPr>
      </w:pPr>
      <w:r w:rsidRPr="003F4D72">
        <w:rPr>
          <w:rFonts w:asciiTheme="majorHAnsi" w:eastAsiaTheme="minorHAnsi" w:hAnsiTheme="majorHAnsi" w:cstheme="majorHAnsi"/>
          <w:noProof/>
          <w:color w:val="000000"/>
          <w:sz w:val="24"/>
          <w:szCs w:val="24"/>
        </w:rPr>
        <w:t xml:space="preserve">Stabilirea volumului de finanțare a acestor servicii în lipsa unor criterii corelate cu volumul de asistență medicală prestată </w:t>
      </w:r>
      <w:r w:rsidR="007C34B4" w:rsidRPr="003F4D72">
        <w:rPr>
          <w:rFonts w:asciiTheme="majorHAnsi" w:eastAsiaTheme="minorHAnsi" w:hAnsiTheme="majorHAnsi" w:cstheme="majorHAnsi"/>
          <w:noProof/>
          <w:color w:val="000000"/>
          <w:sz w:val="24"/>
          <w:szCs w:val="24"/>
        </w:rPr>
        <w:t xml:space="preserve">derivă </w:t>
      </w:r>
      <w:r w:rsidRPr="003F4D72">
        <w:rPr>
          <w:rFonts w:asciiTheme="majorHAnsi" w:eastAsia="Times New Roman" w:hAnsiTheme="majorHAnsi" w:cstheme="majorHAnsi"/>
          <w:noProof/>
          <w:sz w:val="24"/>
          <w:szCs w:val="24"/>
          <w:lang w:eastAsia="ru-RU"/>
        </w:rPr>
        <w:t>din analiza și evaluarea specificului raportării acestor servicii</w:t>
      </w:r>
      <w:r w:rsidR="00162D9B" w:rsidRPr="003F4D72">
        <w:rPr>
          <w:rFonts w:asciiTheme="majorHAnsi" w:eastAsia="Times New Roman" w:hAnsiTheme="majorHAnsi" w:cstheme="majorHAnsi"/>
          <w:noProof/>
          <w:sz w:val="24"/>
          <w:szCs w:val="24"/>
          <w:lang w:eastAsia="ru-RU"/>
        </w:rPr>
        <w:t>,</w:t>
      </w:r>
      <w:r w:rsidRPr="003F4D72">
        <w:rPr>
          <w:rFonts w:asciiTheme="majorHAnsi" w:eastAsia="Times New Roman" w:hAnsiTheme="majorHAnsi" w:cstheme="majorHAnsi"/>
          <w:noProof/>
          <w:sz w:val="24"/>
          <w:szCs w:val="24"/>
          <w:lang w:eastAsia="ru-RU"/>
        </w:rPr>
        <w:t xml:space="preserve"> și anume a solicitărilor efectuate de către CNAMUP. </w:t>
      </w:r>
    </w:p>
    <w:p w14:paraId="75B9A3DA" w14:textId="54B38B5E" w:rsidR="00C06EA1" w:rsidRPr="003F4D72" w:rsidRDefault="00C06EA1" w:rsidP="00C06EA1">
      <w:pPr>
        <w:pStyle w:val="ListParagraph"/>
        <w:spacing w:after="0" w:line="276" w:lineRule="auto"/>
        <w:ind w:left="0" w:firstLine="567"/>
        <w:jc w:val="center"/>
        <w:rPr>
          <w:rFonts w:asciiTheme="majorHAnsi" w:hAnsiTheme="majorHAnsi"/>
          <w:b/>
          <w:sz w:val="24"/>
          <w:szCs w:val="28"/>
          <w:lang w:val="ro-MD"/>
        </w:rPr>
      </w:pPr>
      <w:r w:rsidRPr="003F4D72">
        <w:rPr>
          <w:rFonts w:asciiTheme="majorHAnsi" w:eastAsia="Times New Roman" w:hAnsiTheme="majorHAnsi" w:cstheme="majorHAnsi"/>
          <w:b/>
          <w:noProof/>
          <w:sz w:val="24"/>
          <w:szCs w:val="24"/>
          <w:lang w:val="ro-MD" w:eastAsia="ru-RU"/>
        </w:rPr>
        <w:t>Solicitările efectuate și volumul de asistență medicală urgentă prespitalicească facturată și achitată în anul 2020</w:t>
      </w:r>
    </w:p>
    <w:p w14:paraId="32F42F81" w14:textId="691F73DC" w:rsidR="003655E8" w:rsidRPr="003F4D72" w:rsidRDefault="00C06EA1" w:rsidP="003655E8">
      <w:pPr>
        <w:pStyle w:val="ListParagraph"/>
        <w:spacing w:after="0" w:line="276" w:lineRule="auto"/>
        <w:ind w:left="0" w:firstLine="567"/>
        <w:jc w:val="right"/>
        <w:rPr>
          <w:rFonts w:asciiTheme="majorHAnsi" w:hAnsiTheme="majorHAnsi"/>
          <w:sz w:val="20"/>
          <w:szCs w:val="28"/>
          <w:lang w:val="ro-MD"/>
        </w:rPr>
      </w:pPr>
      <w:r w:rsidRPr="003F4D72">
        <w:rPr>
          <w:rFonts w:asciiTheme="majorHAnsi" w:eastAsia="Times New Roman" w:hAnsiTheme="majorHAnsi" w:cstheme="majorHAnsi"/>
          <w:noProof/>
          <w:sz w:val="20"/>
          <w:szCs w:val="24"/>
          <w:lang w:val="ro-MD" w:eastAsia="ru-RU"/>
        </w:rPr>
        <w:t>Tabelul nr.7</w:t>
      </w:r>
      <w:r w:rsidR="003655E8" w:rsidRPr="003F4D72">
        <w:rPr>
          <w:rFonts w:asciiTheme="majorHAnsi" w:eastAsia="Times New Roman" w:hAnsiTheme="majorHAnsi" w:cstheme="majorHAnsi"/>
          <w:noProof/>
          <w:sz w:val="20"/>
          <w:szCs w:val="24"/>
          <w:lang w:val="ro-MD" w:eastAsia="ru-RU"/>
        </w:rPr>
        <w:t>, mii lei</w:t>
      </w:r>
    </w:p>
    <w:tbl>
      <w:tblPr>
        <w:tblStyle w:val="GridTable1Light"/>
        <w:tblW w:w="5000" w:type="pct"/>
        <w:tblLook w:val="04A0" w:firstRow="1" w:lastRow="0" w:firstColumn="1" w:lastColumn="0" w:noHBand="0" w:noVBand="1"/>
      </w:tblPr>
      <w:tblGrid>
        <w:gridCol w:w="3060"/>
        <w:gridCol w:w="2773"/>
        <w:gridCol w:w="3517"/>
      </w:tblGrid>
      <w:tr w:rsidR="003655E8" w:rsidRPr="003F4D72" w14:paraId="3AFE9646" w14:textId="77777777" w:rsidTr="003655E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36" w:type="pct"/>
          </w:tcPr>
          <w:p w14:paraId="5CCF2AD9" w14:textId="77777777" w:rsidR="003655E8" w:rsidRPr="003F4D72" w:rsidRDefault="003655E8" w:rsidP="003655E8">
            <w:pPr>
              <w:jc w:val="center"/>
              <w:rPr>
                <w:rFonts w:asciiTheme="majorHAnsi" w:eastAsia="Times New Roman" w:hAnsiTheme="majorHAnsi" w:cstheme="majorHAnsi"/>
                <w:b w:val="0"/>
                <w:bCs w:val="0"/>
                <w:noProof/>
                <w:color w:val="000000"/>
                <w:sz w:val="20"/>
                <w:szCs w:val="24"/>
              </w:rPr>
            </w:pPr>
            <w:r w:rsidRPr="003F4D72">
              <w:rPr>
                <w:rFonts w:asciiTheme="majorHAnsi" w:eastAsia="Times New Roman" w:hAnsiTheme="majorHAnsi" w:cstheme="majorHAnsi"/>
                <w:noProof/>
                <w:color w:val="000000"/>
                <w:sz w:val="20"/>
                <w:szCs w:val="24"/>
              </w:rPr>
              <w:t>Anul 2020</w:t>
            </w:r>
          </w:p>
        </w:tc>
        <w:tc>
          <w:tcPr>
            <w:tcW w:w="1483" w:type="pct"/>
          </w:tcPr>
          <w:p w14:paraId="12ABAF83"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4"/>
              </w:rPr>
            </w:pPr>
            <w:r w:rsidRPr="003F4D72">
              <w:rPr>
                <w:rFonts w:asciiTheme="majorHAnsi" w:eastAsia="Times New Roman" w:hAnsiTheme="majorHAnsi" w:cstheme="majorHAnsi"/>
                <w:noProof/>
                <w:color w:val="000000"/>
                <w:sz w:val="20"/>
                <w:szCs w:val="24"/>
              </w:rPr>
              <w:t>Numărul de solicitări efectuate</w:t>
            </w:r>
          </w:p>
        </w:tc>
        <w:tc>
          <w:tcPr>
            <w:tcW w:w="1881" w:type="pct"/>
          </w:tcPr>
          <w:p w14:paraId="5F78DE8C"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4"/>
              </w:rPr>
            </w:pPr>
            <w:r w:rsidRPr="003F4D72">
              <w:rPr>
                <w:rFonts w:asciiTheme="majorHAnsi" w:eastAsia="Times New Roman" w:hAnsiTheme="majorHAnsi" w:cstheme="majorHAnsi"/>
                <w:noProof/>
                <w:color w:val="000000"/>
                <w:sz w:val="20"/>
                <w:szCs w:val="24"/>
              </w:rPr>
              <w:t>Volumul de asistență medicală urgentă prespitalicească facturată și achitată</w:t>
            </w:r>
          </w:p>
        </w:tc>
      </w:tr>
      <w:tr w:rsidR="003655E8" w:rsidRPr="003F4D72" w14:paraId="2C8A17A0" w14:textId="77777777" w:rsidTr="006A63CF">
        <w:trPr>
          <w:trHeight w:val="30"/>
        </w:trPr>
        <w:tc>
          <w:tcPr>
            <w:cnfStyle w:val="001000000000" w:firstRow="0" w:lastRow="0" w:firstColumn="1" w:lastColumn="0" w:oddVBand="0" w:evenVBand="0" w:oddHBand="0" w:evenHBand="0" w:firstRowFirstColumn="0" w:firstRowLastColumn="0" w:lastRowFirstColumn="0" w:lastRowLastColumn="0"/>
            <w:tcW w:w="1636" w:type="pct"/>
            <w:hideMark/>
          </w:tcPr>
          <w:p w14:paraId="53D7C71B" w14:textId="77777777" w:rsidR="003655E8" w:rsidRPr="003F4D72" w:rsidRDefault="003655E8" w:rsidP="003655E8">
            <w:pPr>
              <w:jc w:val="both"/>
              <w:rPr>
                <w:rFonts w:asciiTheme="majorHAnsi" w:eastAsia="Times New Roman" w:hAnsiTheme="majorHAnsi" w:cstheme="majorHAnsi"/>
                <w:bCs w:val="0"/>
                <w:color w:val="000000"/>
                <w:sz w:val="20"/>
                <w:szCs w:val="24"/>
              </w:rPr>
            </w:pPr>
            <w:r w:rsidRPr="003F4D72">
              <w:rPr>
                <w:rFonts w:asciiTheme="majorHAnsi" w:eastAsia="Times New Roman" w:hAnsiTheme="majorHAnsi" w:cstheme="majorHAnsi"/>
                <w:noProof/>
                <w:color w:val="000000"/>
                <w:sz w:val="20"/>
                <w:szCs w:val="24"/>
              </w:rPr>
              <w:t xml:space="preserve"> Total trimestrul I </w:t>
            </w:r>
          </w:p>
        </w:tc>
        <w:tc>
          <w:tcPr>
            <w:tcW w:w="1483" w:type="pct"/>
            <w:hideMark/>
          </w:tcPr>
          <w:p w14:paraId="17FE422F"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 xml:space="preserve">231 910 </w:t>
            </w:r>
          </w:p>
        </w:tc>
        <w:tc>
          <w:tcPr>
            <w:tcW w:w="1881" w:type="pct"/>
            <w:hideMark/>
          </w:tcPr>
          <w:p w14:paraId="103DC3B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176 652,1</w:t>
            </w:r>
          </w:p>
        </w:tc>
      </w:tr>
      <w:tr w:rsidR="003655E8" w:rsidRPr="003F4D72" w14:paraId="1A624C9B" w14:textId="77777777" w:rsidTr="006A63CF">
        <w:trPr>
          <w:trHeight w:val="61"/>
        </w:trPr>
        <w:tc>
          <w:tcPr>
            <w:cnfStyle w:val="001000000000" w:firstRow="0" w:lastRow="0" w:firstColumn="1" w:lastColumn="0" w:oddVBand="0" w:evenVBand="0" w:oddHBand="0" w:evenHBand="0" w:firstRowFirstColumn="0" w:firstRowLastColumn="0" w:lastRowFirstColumn="0" w:lastRowLastColumn="0"/>
            <w:tcW w:w="1636" w:type="pct"/>
            <w:hideMark/>
          </w:tcPr>
          <w:p w14:paraId="48B92E4A" w14:textId="77777777" w:rsidR="003655E8" w:rsidRPr="003F4D72" w:rsidRDefault="003655E8" w:rsidP="003655E8">
            <w:pPr>
              <w:jc w:val="both"/>
              <w:rPr>
                <w:rFonts w:asciiTheme="majorHAnsi" w:eastAsia="Times New Roman" w:hAnsiTheme="majorHAnsi" w:cstheme="majorHAnsi"/>
                <w:bCs w:val="0"/>
                <w:color w:val="000000"/>
                <w:sz w:val="20"/>
                <w:szCs w:val="24"/>
              </w:rPr>
            </w:pPr>
            <w:r w:rsidRPr="003F4D72">
              <w:rPr>
                <w:rFonts w:asciiTheme="majorHAnsi" w:eastAsia="Times New Roman" w:hAnsiTheme="majorHAnsi" w:cstheme="majorHAnsi"/>
                <w:noProof/>
                <w:color w:val="000000"/>
                <w:sz w:val="20"/>
                <w:szCs w:val="24"/>
              </w:rPr>
              <w:t xml:space="preserve"> Total trimestrul II </w:t>
            </w:r>
          </w:p>
        </w:tc>
        <w:tc>
          <w:tcPr>
            <w:tcW w:w="1483" w:type="pct"/>
            <w:hideMark/>
          </w:tcPr>
          <w:p w14:paraId="0331AC92"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 xml:space="preserve">172 414 </w:t>
            </w:r>
          </w:p>
        </w:tc>
        <w:tc>
          <w:tcPr>
            <w:tcW w:w="1881" w:type="pct"/>
            <w:hideMark/>
          </w:tcPr>
          <w:p w14:paraId="23B60ECB"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176 652,1</w:t>
            </w:r>
          </w:p>
        </w:tc>
      </w:tr>
      <w:tr w:rsidR="003655E8" w:rsidRPr="003F4D72" w14:paraId="52165A9C" w14:textId="77777777" w:rsidTr="006A63CF">
        <w:trPr>
          <w:trHeight w:val="151"/>
        </w:trPr>
        <w:tc>
          <w:tcPr>
            <w:cnfStyle w:val="001000000000" w:firstRow="0" w:lastRow="0" w:firstColumn="1" w:lastColumn="0" w:oddVBand="0" w:evenVBand="0" w:oddHBand="0" w:evenHBand="0" w:firstRowFirstColumn="0" w:firstRowLastColumn="0" w:lastRowFirstColumn="0" w:lastRowLastColumn="0"/>
            <w:tcW w:w="1636" w:type="pct"/>
            <w:hideMark/>
          </w:tcPr>
          <w:p w14:paraId="48218C08" w14:textId="77777777" w:rsidR="003655E8" w:rsidRPr="003F4D72" w:rsidRDefault="003655E8" w:rsidP="003655E8">
            <w:pPr>
              <w:jc w:val="both"/>
              <w:rPr>
                <w:rFonts w:asciiTheme="majorHAnsi" w:eastAsia="Times New Roman" w:hAnsiTheme="majorHAnsi" w:cstheme="majorHAnsi"/>
                <w:bCs w:val="0"/>
                <w:color w:val="000000"/>
                <w:sz w:val="20"/>
                <w:szCs w:val="24"/>
              </w:rPr>
            </w:pPr>
            <w:r w:rsidRPr="003F4D72">
              <w:rPr>
                <w:rFonts w:asciiTheme="majorHAnsi" w:eastAsia="Times New Roman" w:hAnsiTheme="majorHAnsi" w:cstheme="majorHAnsi"/>
                <w:noProof/>
                <w:color w:val="000000"/>
                <w:sz w:val="20"/>
                <w:szCs w:val="24"/>
              </w:rPr>
              <w:t xml:space="preserve"> Total trimestrul III </w:t>
            </w:r>
          </w:p>
        </w:tc>
        <w:tc>
          <w:tcPr>
            <w:tcW w:w="1483" w:type="pct"/>
            <w:hideMark/>
          </w:tcPr>
          <w:p w14:paraId="4A05F1D0"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 xml:space="preserve">186 646 </w:t>
            </w:r>
          </w:p>
        </w:tc>
        <w:tc>
          <w:tcPr>
            <w:tcW w:w="1881" w:type="pct"/>
            <w:hideMark/>
          </w:tcPr>
          <w:p w14:paraId="611A896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212 988,2</w:t>
            </w:r>
          </w:p>
        </w:tc>
      </w:tr>
      <w:tr w:rsidR="003655E8" w:rsidRPr="003F4D72" w14:paraId="7F8BC5A9" w14:textId="77777777" w:rsidTr="006A63CF">
        <w:trPr>
          <w:trHeight w:val="85"/>
        </w:trPr>
        <w:tc>
          <w:tcPr>
            <w:cnfStyle w:val="001000000000" w:firstRow="0" w:lastRow="0" w:firstColumn="1" w:lastColumn="0" w:oddVBand="0" w:evenVBand="0" w:oddHBand="0" w:evenHBand="0" w:firstRowFirstColumn="0" w:firstRowLastColumn="0" w:lastRowFirstColumn="0" w:lastRowLastColumn="0"/>
            <w:tcW w:w="1636" w:type="pct"/>
            <w:hideMark/>
          </w:tcPr>
          <w:p w14:paraId="3E9EE7DE" w14:textId="77777777" w:rsidR="003655E8" w:rsidRPr="003F4D72" w:rsidRDefault="003655E8" w:rsidP="003655E8">
            <w:pPr>
              <w:jc w:val="both"/>
              <w:rPr>
                <w:rFonts w:asciiTheme="majorHAnsi" w:eastAsia="Times New Roman" w:hAnsiTheme="majorHAnsi" w:cstheme="majorHAnsi"/>
                <w:bCs w:val="0"/>
                <w:color w:val="000000"/>
                <w:sz w:val="20"/>
                <w:szCs w:val="24"/>
              </w:rPr>
            </w:pPr>
            <w:r w:rsidRPr="003F4D72">
              <w:rPr>
                <w:rFonts w:asciiTheme="majorHAnsi" w:eastAsia="Times New Roman" w:hAnsiTheme="majorHAnsi" w:cstheme="majorHAnsi"/>
                <w:noProof/>
                <w:color w:val="000000"/>
                <w:sz w:val="20"/>
                <w:szCs w:val="24"/>
              </w:rPr>
              <w:t xml:space="preserve"> Total trimestrul IV </w:t>
            </w:r>
          </w:p>
        </w:tc>
        <w:tc>
          <w:tcPr>
            <w:tcW w:w="1483" w:type="pct"/>
            <w:hideMark/>
          </w:tcPr>
          <w:p w14:paraId="7131F747"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 xml:space="preserve">198 105 </w:t>
            </w:r>
          </w:p>
        </w:tc>
        <w:tc>
          <w:tcPr>
            <w:tcW w:w="1881" w:type="pct"/>
            <w:hideMark/>
          </w:tcPr>
          <w:p w14:paraId="24E85183"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20"/>
                <w:szCs w:val="24"/>
              </w:rPr>
            </w:pPr>
            <w:r w:rsidRPr="003F4D72">
              <w:rPr>
                <w:rFonts w:asciiTheme="majorHAnsi" w:eastAsia="Times New Roman" w:hAnsiTheme="majorHAnsi" w:cstheme="majorHAnsi"/>
                <w:bCs/>
                <w:noProof/>
                <w:color w:val="000000"/>
                <w:sz w:val="20"/>
                <w:szCs w:val="24"/>
              </w:rPr>
              <w:t>224 431,9</w:t>
            </w:r>
          </w:p>
        </w:tc>
      </w:tr>
      <w:tr w:rsidR="003655E8" w:rsidRPr="003F4D72" w14:paraId="79D7CB37" w14:textId="77777777" w:rsidTr="006A63CF">
        <w:trPr>
          <w:trHeight w:val="50"/>
        </w:trPr>
        <w:tc>
          <w:tcPr>
            <w:cnfStyle w:val="001000000000" w:firstRow="0" w:lastRow="0" w:firstColumn="1" w:lastColumn="0" w:oddVBand="0" w:evenVBand="0" w:oddHBand="0" w:evenHBand="0" w:firstRowFirstColumn="0" w:firstRowLastColumn="0" w:lastRowFirstColumn="0" w:lastRowLastColumn="0"/>
            <w:tcW w:w="1636" w:type="pct"/>
            <w:hideMark/>
          </w:tcPr>
          <w:p w14:paraId="302AD1A4" w14:textId="77777777" w:rsidR="003655E8" w:rsidRPr="003F4D72" w:rsidRDefault="003655E8" w:rsidP="006A63CF">
            <w:pPr>
              <w:rPr>
                <w:rFonts w:asciiTheme="majorHAnsi" w:eastAsia="Times New Roman" w:hAnsiTheme="majorHAnsi" w:cstheme="majorHAnsi"/>
                <w:b w:val="0"/>
                <w:bCs w:val="0"/>
                <w:color w:val="000000"/>
                <w:sz w:val="20"/>
                <w:szCs w:val="24"/>
              </w:rPr>
            </w:pPr>
            <w:r w:rsidRPr="003F4D72">
              <w:rPr>
                <w:rFonts w:asciiTheme="majorHAnsi" w:eastAsia="Times New Roman" w:hAnsiTheme="majorHAnsi" w:cstheme="majorHAnsi"/>
                <w:noProof/>
                <w:color w:val="000000"/>
                <w:sz w:val="20"/>
                <w:szCs w:val="24"/>
              </w:rPr>
              <w:t xml:space="preserve"> TOTAL: </w:t>
            </w:r>
          </w:p>
        </w:tc>
        <w:tc>
          <w:tcPr>
            <w:tcW w:w="1483" w:type="pct"/>
            <w:hideMark/>
          </w:tcPr>
          <w:p w14:paraId="75B9541F"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4"/>
              </w:rPr>
            </w:pPr>
            <w:r w:rsidRPr="003F4D72">
              <w:rPr>
                <w:rFonts w:asciiTheme="majorHAnsi" w:eastAsia="Times New Roman" w:hAnsiTheme="majorHAnsi" w:cstheme="majorHAnsi"/>
                <w:b/>
                <w:bCs/>
                <w:noProof/>
                <w:color w:val="000000"/>
                <w:sz w:val="20"/>
                <w:szCs w:val="24"/>
              </w:rPr>
              <w:t xml:space="preserve">789 075 </w:t>
            </w:r>
          </w:p>
        </w:tc>
        <w:tc>
          <w:tcPr>
            <w:tcW w:w="1881" w:type="pct"/>
            <w:hideMark/>
          </w:tcPr>
          <w:p w14:paraId="61DD176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4"/>
              </w:rPr>
            </w:pPr>
            <w:r w:rsidRPr="003F4D72">
              <w:rPr>
                <w:rFonts w:asciiTheme="majorHAnsi" w:eastAsia="Times New Roman" w:hAnsiTheme="majorHAnsi" w:cstheme="majorHAnsi"/>
                <w:b/>
                <w:bCs/>
                <w:noProof/>
                <w:color w:val="000000"/>
                <w:sz w:val="20"/>
                <w:szCs w:val="24"/>
              </w:rPr>
              <w:t>790 724,30</w:t>
            </w:r>
          </w:p>
        </w:tc>
      </w:tr>
    </w:tbl>
    <w:p w14:paraId="669C0666" w14:textId="55A56910" w:rsidR="003655E8" w:rsidRPr="003F4D72" w:rsidRDefault="003655E8" w:rsidP="003655E8">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w:t>
      </w:r>
      <w:r w:rsidR="00162D9B" w:rsidRPr="003F4D72">
        <w:rPr>
          <w:rFonts w:asciiTheme="majorHAnsi" w:eastAsia="Times New Roman" w:hAnsiTheme="majorHAnsi" w:cstheme="majorHAnsi"/>
          <w:b/>
          <w:i/>
          <w:noProof/>
          <w:sz w:val="20"/>
          <w:szCs w:val="20"/>
          <w:lang w:eastAsia="ru-RU"/>
        </w:rPr>
        <w:t>ă</w:t>
      </w:r>
      <w:r w:rsidRPr="003F4D72">
        <w:rPr>
          <w:rFonts w:asciiTheme="majorHAnsi" w:eastAsia="Times New Roman" w:hAnsiTheme="majorHAnsi" w:cstheme="majorHAnsi"/>
          <w:i/>
          <w:noProof/>
          <w:sz w:val="20"/>
          <w:szCs w:val="20"/>
          <w:lang w:eastAsia="ru-RU"/>
        </w:rPr>
        <w:t xml:space="preserve">: Dările de seamă </w:t>
      </w:r>
      <w:r w:rsidR="00162D9B" w:rsidRPr="003F4D72">
        <w:rPr>
          <w:rFonts w:asciiTheme="majorHAnsi" w:eastAsia="Times New Roman" w:hAnsiTheme="majorHAnsi" w:cstheme="majorHAnsi"/>
          <w:i/>
          <w:noProof/>
          <w:sz w:val="20"/>
          <w:szCs w:val="20"/>
          <w:lang w:eastAsia="ru-RU"/>
        </w:rPr>
        <w:t xml:space="preserve">privind </w:t>
      </w:r>
      <w:r w:rsidRPr="003F4D72">
        <w:rPr>
          <w:rFonts w:asciiTheme="majorHAnsi" w:eastAsia="Times New Roman" w:hAnsiTheme="majorHAnsi" w:cstheme="majorHAnsi"/>
          <w:i/>
          <w:noProof/>
          <w:sz w:val="20"/>
          <w:szCs w:val="20"/>
          <w:lang w:eastAsia="ru-RU"/>
        </w:rPr>
        <w:t>volumul acordat de asistență medicală urgentă prespitalicească</w:t>
      </w:r>
      <w:r w:rsidR="00162D9B" w:rsidRPr="003F4D72">
        <w:rPr>
          <w:rFonts w:asciiTheme="majorHAnsi" w:eastAsia="Times New Roman" w:hAnsiTheme="majorHAnsi" w:cstheme="majorHAnsi"/>
          <w:i/>
          <w:noProof/>
          <w:sz w:val="20"/>
          <w:szCs w:val="20"/>
          <w:lang w:eastAsia="ru-RU"/>
        </w:rPr>
        <w:t>,</w:t>
      </w:r>
      <w:r w:rsidRPr="003F4D72">
        <w:rPr>
          <w:rFonts w:asciiTheme="majorHAnsi" w:eastAsia="Times New Roman" w:hAnsiTheme="majorHAnsi" w:cstheme="majorHAnsi"/>
          <w:i/>
          <w:noProof/>
          <w:sz w:val="20"/>
          <w:szCs w:val="20"/>
          <w:lang w:eastAsia="ru-RU"/>
        </w:rPr>
        <w:t xml:space="preserve"> facturile prezentate de CNAMUP și ordinele de plată ale CNAM</w:t>
      </w:r>
      <w:r w:rsidR="006A63CF" w:rsidRPr="003F4D72">
        <w:rPr>
          <w:rFonts w:asciiTheme="majorHAnsi" w:eastAsia="Times New Roman" w:hAnsiTheme="majorHAnsi" w:cstheme="majorHAnsi"/>
          <w:i/>
          <w:noProof/>
          <w:sz w:val="20"/>
          <w:szCs w:val="20"/>
          <w:lang w:eastAsia="ru-RU"/>
        </w:rPr>
        <w:t>.</w:t>
      </w:r>
    </w:p>
    <w:p w14:paraId="5D25AA11" w14:textId="45BC7D87" w:rsidR="003655E8" w:rsidRPr="003F4D72" w:rsidRDefault="00162D9B" w:rsidP="009321A4">
      <w:pPr>
        <w:spacing w:after="0" w:line="276" w:lineRule="auto"/>
        <w:ind w:firstLine="567"/>
        <w:jc w:val="both"/>
        <w:rPr>
          <w:rFonts w:asciiTheme="majorHAnsi" w:eastAsia="Times New Roman" w:hAnsiTheme="majorHAnsi" w:cs="Times New Roman"/>
          <w:noProof/>
          <w:sz w:val="24"/>
          <w:szCs w:val="24"/>
          <w:lang w:eastAsia="ru-RU"/>
        </w:rPr>
      </w:pPr>
      <w:r w:rsidRPr="003F4D72">
        <w:rPr>
          <w:rFonts w:asciiTheme="majorHAnsi" w:eastAsiaTheme="minorHAnsi" w:hAnsiTheme="majorHAnsi"/>
          <w:noProof/>
          <w:sz w:val="24"/>
          <w:szCs w:val="24"/>
        </w:rPr>
        <w:t>Ca u</w:t>
      </w:r>
      <w:r w:rsidR="003655E8" w:rsidRPr="003F4D72">
        <w:rPr>
          <w:rFonts w:asciiTheme="majorHAnsi" w:eastAsiaTheme="minorHAnsi" w:hAnsiTheme="majorHAnsi"/>
          <w:noProof/>
          <w:sz w:val="24"/>
          <w:szCs w:val="24"/>
        </w:rPr>
        <w:t>rmare a analizei</w:t>
      </w:r>
      <w:r w:rsidRPr="003F4D72">
        <w:rPr>
          <w:rFonts w:asciiTheme="majorHAnsi" w:eastAsiaTheme="minorHAnsi" w:hAnsiTheme="majorHAnsi"/>
          <w:noProof/>
          <w:sz w:val="24"/>
          <w:szCs w:val="24"/>
        </w:rPr>
        <w:t xml:space="preserve"> efectuate</w:t>
      </w:r>
      <w:r w:rsidR="003655E8" w:rsidRPr="003F4D72">
        <w:rPr>
          <w:rFonts w:asciiTheme="majorHAnsi" w:eastAsiaTheme="minorHAnsi" w:hAnsiTheme="majorHAnsi"/>
          <w:noProof/>
          <w:sz w:val="24"/>
          <w:szCs w:val="24"/>
        </w:rPr>
        <w:t>, auditul denotă că</w:t>
      </w:r>
      <w:r w:rsidRPr="003F4D72">
        <w:rPr>
          <w:rFonts w:asciiTheme="majorHAnsi" w:eastAsiaTheme="minorHAnsi" w:hAnsiTheme="majorHAnsi"/>
          <w:noProof/>
          <w:sz w:val="24"/>
          <w:szCs w:val="24"/>
        </w:rPr>
        <w:t>,</w:t>
      </w:r>
      <w:r w:rsidR="003655E8" w:rsidRPr="003F4D72">
        <w:rPr>
          <w:rFonts w:asciiTheme="majorHAnsi" w:eastAsiaTheme="minorHAnsi" w:hAnsiTheme="majorHAnsi"/>
          <w:noProof/>
          <w:sz w:val="24"/>
          <w:szCs w:val="24"/>
        </w:rPr>
        <w:t xml:space="preserve"> d</w:t>
      </w:r>
      <w:r w:rsidR="003655E8" w:rsidRPr="003F4D72">
        <w:rPr>
          <w:rFonts w:asciiTheme="majorHAnsi" w:eastAsia="Calibri" w:hAnsiTheme="majorHAnsi" w:cs="Times New Roman"/>
          <w:noProof/>
          <w:sz w:val="24"/>
          <w:szCs w:val="24"/>
        </w:rPr>
        <w:t xml:space="preserve">eși </w:t>
      </w:r>
      <w:r w:rsidR="003655E8" w:rsidRPr="003F4D72">
        <w:rPr>
          <w:rFonts w:asciiTheme="majorHAnsi" w:eastAsia="Times New Roman" w:hAnsiTheme="majorHAnsi" w:cs="Times New Roman"/>
          <w:noProof/>
          <w:sz w:val="24"/>
          <w:szCs w:val="24"/>
          <w:lang w:eastAsia="ru-RU"/>
        </w:rPr>
        <w:t>numărul de solicitări efectuate și numărul de persoane cărora li s</w:t>
      </w:r>
      <w:r w:rsidR="005B4CE8" w:rsidRPr="003F4D72">
        <w:rPr>
          <w:rFonts w:asciiTheme="majorHAnsi" w:eastAsia="Times New Roman" w:hAnsiTheme="majorHAnsi" w:cs="Times New Roman"/>
          <w:noProof/>
          <w:sz w:val="24"/>
          <w:szCs w:val="24"/>
          <w:lang w:eastAsia="ru-RU"/>
        </w:rPr>
        <w:t>-</w:t>
      </w:r>
      <w:r w:rsidR="003655E8" w:rsidRPr="003F4D72">
        <w:rPr>
          <w:rFonts w:asciiTheme="majorHAnsi" w:eastAsia="Times New Roman" w:hAnsiTheme="majorHAnsi" w:cs="Times New Roman"/>
          <w:noProof/>
          <w:sz w:val="24"/>
          <w:szCs w:val="24"/>
          <w:lang w:eastAsia="ru-RU"/>
        </w:rPr>
        <w:t xml:space="preserve">a acordat asistență medicală de urgență </w:t>
      </w:r>
      <w:r w:rsidR="009321A4" w:rsidRPr="003F4D72">
        <w:rPr>
          <w:rFonts w:asciiTheme="majorHAnsi" w:eastAsia="Times New Roman" w:hAnsiTheme="majorHAnsi" w:cs="Times New Roman"/>
          <w:noProof/>
          <w:sz w:val="24"/>
          <w:szCs w:val="24"/>
          <w:lang w:eastAsia="ru-RU"/>
        </w:rPr>
        <w:t xml:space="preserve">evaluează de la un trimestru la altul, finanțarea s-a efectuat indiferent de volumul de servicii. </w:t>
      </w:r>
    </w:p>
    <w:p w14:paraId="08FA423E" w14:textId="77777777" w:rsidR="003655E8" w:rsidRPr="003F4D72" w:rsidRDefault="003655E8" w:rsidP="003655E8">
      <w:pPr>
        <w:spacing w:after="0" w:line="276" w:lineRule="auto"/>
        <w:ind w:firstLine="720"/>
        <w:jc w:val="both"/>
        <w:rPr>
          <w:rFonts w:asciiTheme="majorHAnsi" w:eastAsia="Times New Roman" w:hAnsiTheme="majorHAnsi" w:cs="Times New Roman"/>
          <w:noProof/>
          <w:sz w:val="24"/>
          <w:szCs w:val="24"/>
          <w:lang w:eastAsia="ru-RU"/>
        </w:rPr>
      </w:pPr>
    </w:p>
    <w:p w14:paraId="03CC05DD" w14:textId="0D9CB48F" w:rsidR="003655E8" w:rsidRPr="003F4D72" w:rsidRDefault="003655E8" w:rsidP="003655E8">
      <w:pPr>
        <w:spacing w:after="0" w:line="276" w:lineRule="auto"/>
        <w:ind w:firstLine="567"/>
        <w:jc w:val="both"/>
        <w:rPr>
          <w:rFonts w:asciiTheme="majorHAnsi" w:eastAsiaTheme="minorHAnsi" w:hAnsiTheme="majorHAnsi" w:cstheme="majorHAnsi"/>
          <w:b/>
          <w:i/>
          <w:noProof/>
          <w:sz w:val="24"/>
          <w:szCs w:val="24"/>
        </w:rPr>
      </w:pPr>
      <w:r w:rsidRPr="003F4D72">
        <w:rPr>
          <w:rFonts w:asciiTheme="majorHAnsi" w:eastAsiaTheme="minorHAnsi" w:hAnsiTheme="majorHAnsi" w:cstheme="majorHAnsi"/>
          <w:b/>
          <w:noProof/>
          <w:sz w:val="24"/>
          <w:szCs w:val="24"/>
        </w:rPr>
        <w:t>5.2. Deși CNAMUP este</w:t>
      </w:r>
      <w:r w:rsidRPr="003F4D72">
        <w:rPr>
          <w:rFonts w:asciiTheme="majorHAnsi" w:hAnsiTheme="majorHAnsi" w:cstheme="majorHAnsi"/>
          <w:b/>
          <w:sz w:val="24"/>
          <w:szCs w:val="24"/>
          <w:shd w:val="clear" w:color="auto" w:fill="FFFFFF"/>
        </w:rPr>
        <w:t xml:space="preserve"> unicul prestator de </w:t>
      </w:r>
      <w:proofErr w:type="spellStart"/>
      <w:r w:rsidRPr="003F4D72">
        <w:rPr>
          <w:rFonts w:asciiTheme="majorHAnsi" w:hAnsiTheme="majorHAnsi" w:cstheme="majorHAnsi"/>
          <w:b/>
          <w:sz w:val="24"/>
          <w:szCs w:val="24"/>
          <w:shd w:val="clear" w:color="auto" w:fill="FFFFFF"/>
        </w:rPr>
        <w:t>asistenţă</w:t>
      </w:r>
      <w:proofErr w:type="spellEnd"/>
      <w:r w:rsidRPr="003F4D72">
        <w:rPr>
          <w:rFonts w:asciiTheme="majorHAnsi" w:hAnsiTheme="majorHAnsi" w:cstheme="majorHAnsi"/>
          <w:b/>
          <w:sz w:val="24"/>
          <w:szCs w:val="24"/>
          <w:shd w:val="clear" w:color="auto" w:fill="FFFFFF"/>
        </w:rPr>
        <w:t xml:space="preserve"> medicală urgentă prespitalicească, acesta a contractat servicii medicale urgente prespitalicești de la două instituții medicale private (2</w:t>
      </w:r>
      <w:r w:rsidR="00A43096">
        <w:rPr>
          <w:rFonts w:asciiTheme="majorHAnsi" w:hAnsiTheme="majorHAnsi" w:cstheme="majorHAnsi"/>
          <w:b/>
          <w:sz w:val="24"/>
          <w:szCs w:val="24"/>
          <w:shd w:val="clear" w:color="auto" w:fill="FFFFFF"/>
        </w:rPr>
        <w:t>1</w:t>
      </w:r>
      <w:r w:rsidRPr="003F4D72">
        <w:rPr>
          <w:rFonts w:asciiTheme="majorHAnsi" w:hAnsiTheme="majorHAnsi" w:cstheme="majorHAnsi"/>
          <w:b/>
          <w:sz w:val="24"/>
          <w:szCs w:val="24"/>
          <w:shd w:val="clear" w:color="auto" w:fill="FFFFFF"/>
        </w:rPr>
        <w:t>,0 mil.lei).</w:t>
      </w:r>
    </w:p>
    <w:p w14:paraId="4509B1BF" w14:textId="0BF932B3" w:rsidR="003655E8" w:rsidRPr="003F4D72" w:rsidRDefault="003655E8" w:rsidP="003655E8">
      <w:pPr>
        <w:spacing w:after="0" w:line="276" w:lineRule="auto"/>
        <w:ind w:firstLine="567"/>
        <w:jc w:val="both"/>
        <w:rPr>
          <w:rFonts w:asciiTheme="majorHAnsi" w:hAnsiTheme="majorHAnsi" w:cstheme="majorHAnsi"/>
          <w:noProof/>
          <w:sz w:val="24"/>
        </w:rPr>
      </w:pPr>
      <w:r w:rsidRPr="003F4D72">
        <w:rPr>
          <w:rFonts w:asciiTheme="majorHAnsi" w:hAnsiTheme="majorHAnsi" w:cstheme="majorHAnsi"/>
          <w:noProof/>
          <w:sz w:val="24"/>
        </w:rPr>
        <w:t xml:space="preserve">În anul 2020 CNAM a contractat servicii medicale urgente prespitalicești de la CNAMUP, acesta fiind </w:t>
      </w:r>
      <w:r w:rsidRPr="003F4D72">
        <w:rPr>
          <w:rFonts w:asciiTheme="majorHAnsi" w:hAnsiTheme="majorHAnsi" w:cstheme="majorHAnsi"/>
          <w:sz w:val="24"/>
        </w:rPr>
        <w:t>unicul prestator de asistență medicală urgentă prespitalicească care dispune de capacități suficiente pentru prestarea serviciilor respective pentru toată populația Republicii Moldova</w:t>
      </w:r>
      <w:r w:rsidRPr="003F4D72">
        <w:rPr>
          <w:rStyle w:val="FootnoteReference"/>
          <w:rFonts w:asciiTheme="majorHAnsi" w:hAnsiTheme="majorHAnsi" w:cstheme="majorHAnsi"/>
          <w:sz w:val="24"/>
        </w:rPr>
        <w:footnoteReference w:id="17"/>
      </w:r>
      <w:r w:rsidRPr="003F4D72">
        <w:rPr>
          <w:rFonts w:asciiTheme="majorHAnsi" w:hAnsiTheme="majorHAnsi" w:cstheme="majorHAnsi"/>
          <w:noProof/>
          <w:sz w:val="24"/>
        </w:rPr>
        <w:t xml:space="preserve">. </w:t>
      </w:r>
    </w:p>
    <w:p w14:paraId="1FF4CAA6" w14:textId="721AAE41" w:rsidR="003655E8" w:rsidRPr="003F4D72" w:rsidRDefault="003655E8" w:rsidP="003655E8">
      <w:pPr>
        <w:spacing w:after="0" w:line="276" w:lineRule="auto"/>
        <w:ind w:firstLine="567"/>
        <w:jc w:val="both"/>
        <w:rPr>
          <w:rFonts w:asciiTheme="majorHAnsi" w:hAnsiTheme="majorHAnsi" w:cstheme="majorHAnsi"/>
          <w:bCs/>
          <w:color w:val="000000"/>
          <w:sz w:val="24"/>
        </w:rPr>
      </w:pPr>
      <w:r w:rsidRPr="003F4D72">
        <w:rPr>
          <w:rFonts w:asciiTheme="majorHAnsi" w:hAnsiTheme="majorHAnsi" w:cstheme="majorHAnsi"/>
          <w:noProof/>
          <w:sz w:val="24"/>
        </w:rPr>
        <w:t xml:space="preserve">Evaluările auditului au stabilit că în anul 2020 CNAMUP a contractat </w:t>
      </w:r>
      <w:r w:rsidRPr="003F4D72">
        <w:rPr>
          <w:rFonts w:asciiTheme="majorHAnsi" w:hAnsiTheme="majorHAnsi" w:cstheme="majorHAnsi"/>
          <w:bCs/>
          <w:color w:val="000000"/>
          <w:sz w:val="24"/>
        </w:rPr>
        <w:t>servicii de acordare a asistenței medicale urgente</w:t>
      </w:r>
      <w:r w:rsidRPr="003F4D72">
        <w:rPr>
          <w:rFonts w:asciiTheme="majorHAnsi" w:hAnsiTheme="majorHAnsi" w:cstheme="majorHAnsi"/>
          <w:noProof/>
          <w:sz w:val="24"/>
        </w:rPr>
        <w:t xml:space="preserve"> de la două instituții medicale private</w:t>
      </w:r>
      <w:r w:rsidRPr="003F4D72">
        <w:rPr>
          <w:rFonts w:asciiTheme="majorHAnsi" w:hAnsiTheme="majorHAnsi" w:cstheme="majorHAnsi"/>
          <w:bCs/>
          <w:color w:val="000000"/>
          <w:sz w:val="24"/>
        </w:rPr>
        <w:t>, care urmau să presteze servicii de asistență urgentă pentru unele teritorii din mun. Chișinău și mun. Bălți.</w:t>
      </w:r>
    </w:p>
    <w:p w14:paraId="0D0F091E" w14:textId="6A16F670" w:rsidR="003655E8" w:rsidRPr="003F4D72" w:rsidRDefault="003655E8" w:rsidP="003655E8">
      <w:pPr>
        <w:pStyle w:val="NormalWeb"/>
        <w:spacing w:line="276" w:lineRule="auto"/>
        <w:rPr>
          <w:rFonts w:asciiTheme="majorHAnsi" w:hAnsiTheme="majorHAnsi" w:cstheme="majorHAnsi"/>
          <w:bCs/>
          <w:lang w:val="ro-MD"/>
        </w:rPr>
      </w:pPr>
      <w:r w:rsidRPr="003F4D72">
        <w:rPr>
          <w:rFonts w:asciiTheme="majorHAnsi" w:hAnsiTheme="majorHAnsi" w:cstheme="majorHAnsi"/>
          <w:bCs/>
          <w:color w:val="000000"/>
          <w:lang w:val="ro-MD"/>
        </w:rPr>
        <w:t>Este relevant de menționat că prevederile normative</w:t>
      </w:r>
      <w:r w:rsidRPr="003F4D72">
        <w:rPr>
          <w:rStyle w:val="FootnoteReference"/>
          <w:rFonts w:asciiTheme="majorHAnsi" w:hAnsiTheme="majorHAnsi" w:cstheme="majorHAnsi"/>
          <w:bCs/>
          <w:color w:val="000000"/>
          <w:lang w:val="ro-MD"/>
        </w:rPr>
        <w:footnoteReference w:id="18"/>
      </w:r>
      <w:r w:rsidRPr="003F4D72">
        <w:rPr>
          <w:rFonts w:asciiTheme="majorHAnsi" w:hAnsiTheme="majorHAnsi" w:cstheme="majorHAnsi"/>
          <w:bCs/>
          <w:color w:val="000000"/>
          <w:lang w:val="ro-MD"/>
        </w:rPr>
        <w:t xml:space="preserve"> stabilesc că prestatorul</w:t>
      </w:r>
      <w:r w:rsidR="00B61A71" w:rsidRPr="003F4D72">
        <w:rPr>
          <w:rFonts w:asciiTheme="majorHAnsi" w:hAnsiTheme="majorHAnsi" w:cstheme="majorHAnsi"/>
          <w:bCs/>
          <w:color w:val="000000"/>
          <w:lang w:val="ro-MD"/>
        </w:rPr>
        <w:t>,</w:t>
      </w:r>
      <w:r w:rsidRPr="003F4D72">
        <w:rPr>
          <w:rFonts w:asciiTheme="majorHAnsi" w:hAnsiTheme="majorHAnsi" w:cstheme="majorHAnsi"/>
          <w:bCs/>
          <w:color w:val="000000"/>
          <w:lang w:val="ro-MD"/>
        </w:rPr>
        <w:t xml:space="preserve"> CNAMUP</w:t>
      </w:r>
      <w:r w:rsidR="00B61A71" w:rsidRPr="003F4D72">
        <w:rPr>
          <w:rFonts w:asciiTheme="majorHAnsi" w:hAnsiTheme="majorHAnsi" w:cstheme="majorHAnsi"/>
          <w:bCs/>
          <w:color w:val="000000"/>
          <w:lang w:val="ro-MD"/>
        </w:rPr>
        <w:t>,</w:t>
      </w:r>
      <w:r w:rsidRPr="003F4D72">
        <w:rPr>
          <w:rFonts w:asciiTheme="majorHAnsi" w:hAnsiTheme="majorHAnsi" w:cstheme="majorHAnsi"/>
          <w:bCs/>
          <w:color w:val="000000"/>
          <w:lang w:val="ro-MD"/>
        </w:rPr>
        <w:t xml:space="preserve"> se obligă să acorde persoanelor </w:t>
      </w:r>
      <w:proofErr w:type="spellStart"/>
      <w:r w:rsidRPr="003F4D72">
        <w:rPr>
          <w:rFonts w:asciiTheme="majorHAnsi" w:hAnsiTheme="majorHAnsi" w:cstheme="majorHAnsi"/>
          <w:bCs/>
          <w:color w:val="000000"/>
          <w:lang w:val="ro-MD"/>
        </w:rPr>
        <w:t>asistenţă</w:t>
      </w:r>
      <w:proofErr w:type="spellEnd"/>
      <w:r w:rsidRPr="003F4D72">
        <w:rPr>
          <w:rFonts w:asciiTheme="majorHAnsi" w:hAnsiTheme="majorHAnsi" w:cstheme="majorHAnsi"/>
          <w:bCs/>
          <w:color w:val="000000"/>
          <w:lang w:val="ro-MD"/>
        </w:rPr>
        <w:t xml:space="preserve"> medicală calificată </w:t>
      </w:r>
      <w:proofErr w:type="spellStart"/>
      <w:r w:rsidRPr="003F4D72">
        <w:rPr>
          <w:rFonts w:asciiTheme="majorHAnsi" w:hAnsiTheme="majorHAnsi" w:cstheme="majorHAnsi"/>
          <w:bCs/>
          <w:color w:val="000000"/>
          <w:lang w:val="ro-MD"/>
        </w:rPr>
        <w:t>şi</w:t>
      </w:r>
      <w:proofErr w:type="spellEnd"/>
      <w:r w:rsidRPr="003F4D72">
        <w:rPr>
          <w:rFonts w:asciiTheme="majorHAnsi" w:hAnsiTheme="majorHAnsi" w:cstheme="majorHAnsi"/>
          <w:bCs/>
          <w:color w:val="000000"/>
          <w:lang w:val="ro-MD"/>
        </w:rPr>
        <w:t xml:space="preserve"> de calitate, în volumul prevăzut în Programul unic </w:t>
      </w:r>
      <w:proofErr w:type="spellStart"/>
      <w:r w:rsidRPr="003F4D72">
        <w:rPr>
          <w:rFonts w:asciiTheme="majorHAnsi" w:hAnsiTheme="majorHAnsi" w:cstheme="majorHAnsi"/>
          <w:bCs/>
          <w:color w:val="000000"/>
          <w:lang w:val="ro-MD"/>
        </w:rPr>
        <w:t>şi</w:t>
      </w:r>
      <w:proofErr w:type="spellEnd"/>
      <w:r w:rsidRPr="003F4D72">
        <w:rPr>
          <w:rFonts w:asciiTheme="majorHAnsi" w:hAnsiTheme="majorHAnsi" w:cstheme="majorHAnsi"/>
          <w:bCs/>
          <w:color w:val="000000"/>
          <w:lang w:val="ro-MD"/>
        </w:rPr>
        <w:t xml:space="preserve"> </w:t>
      </w:r>
      <w:r w:rsidR="00042F08" w:rsidRPr="003F4D72">
        <w:rPr>
          <w:rFonts w:asciiTheme="majorHAnsi" w:hAnsiTheme="majorHAnsi" w:cstheme="majorHAnsi"/>
          <w:bCs/>
          <w:color w:val="000000"/>
          <w:lang w:val="ro-MD"/>
        </w:rPr>
        <w:t xml:space="preserve">de </w:t>
      </w:r>
      <w:r w:rsidRPr="003F4D72">
        <w:rPr>
          <w:rFonts w:asciiTheme="majorHAnsi" w:hAnsiTheme="majorHAnsi" w:cstheme="majorHAnsi"/>
          <w:bCs/>
          <w:color w:val="000000"/>
          <w:lang w:val="ro-MD"/>
        </w:rPr>
        <w:t xml:space="preserve">Contract (cu anexele respective), inclusiv prin încheierea unor contracte cu </w:t>
      </w:r>
      <w:r w:rsidRPr="003F4D72">
        <w:rPr>
          <w:rFonts w:asciiTheme="majorHAnsi" w:hAnsiTheme="majorHAnsi" w:cstheme="majorHAnsi"/>
          <w:bCs/>
          <w:color w:val="000000"/>
          <w:lang w:val="ro-MD"/>
        </w:rPr>
        <w:lastRenderedPageBreak/>
        <w:t xml:space="preserve">alți prestatori, </w:t>
      </w:r>
      <w:r w:rsidRPr="003F4D72">
        <w:rPr>
          <w:rFonts w:asciiTheme="majorHAnsi" w:hAnsiTheme="majorHAnsi" w:cstheme="majorHAnsi"/>
          <w:bCs/>
          <w:i/>
          <w:color w:val="000000"/>
          <w:lang w:val="ro-MD"/>
        </w:rPr>
        <w:t>în caz de imposibilitate obiectivă de prestare a acestuia</w:t>
      </w:r>
      <w:r w:rsidRPr="003F4D72">
        <w:rPr>
          <w:rFonts w:asciiTheme="majorHAnsi" w:hAnsiTheme="majorHAnsi" w:cstheme="majorHAnsi"/>
          <w:bCs/>
          <w:color w:val="000000"/>
          <w:lang w:val="ro-MD"/>
        </w:rPr>
        <w:t xml:space="preserve">, conform Normelor metodologice de aplicare a Programului unic </w:t>
      </w:r>
      <w:proofErr w:type="spellStart"/>
      <w:r w:rsidRPr="003F4D72">
        <w:rPr>
          <w:rFonts w:asciiTheme="majorHAnsi" w:hAnsiTheme="majorHAnsi" w:cstheme="majorHAnsi"/>
          <w:bCs/>
          <w:color w:val="000000"/>
          <w:lang w:val="ro-MD"/>
        </w:rPr>
        <w:t>şi</w:t>
      </w:r>
      <w:proofErr w:type="spellEnd"/>
      <w:r w:rsidRPr="003F4D72">
        <w:rPr>
          <w:rFonts w:asciiTheme="majorHAnsi" w:hAnsiTheme="majorHAnsi" w:cstheme="majorHAnsi"/>
          <w:bCs/>
          <w:color w:val="000000"/>
          <w:lang w:val="ro-MD"/>
        </w:rPr>
        <w:t xml:space="preserve"> cerințelor Protocoalelor Clinice </w:t>
      </w:r>
      <w:proofErr w:type="spellStart"/>
      <w:r w:rsidRPr="003F4D72">
        <w:rPr>
          <w:rFonts w:asciiTheme="majorHAnsi" w:hAnsiTheme="majorHAnsi" w:cstheme="majorHAnsi"/>
          <w:bCs/>
          <w:lang w:val="ro-MD"/>
        </w:rPr>
        <w:t>Naţionale</w:t>
      </w:r>
      <w:proofErr w:type="spellEnd"/>
      <w:r w:rsidRPr="003F4D72">
        <w:rPr>
          <w:rFonts w:asciiTheme="majorHAnsi" w:hAnsiTheme="majorHAnsi" w:cstheme="majorHAnsi"/>
          <w:bCs/>
          <w:lang w:val="ro-MD"/>
        </w:rPr>
        <w:t>.</w:t>
      </w:r>
    </w:p>
    <w:p w14:paraId="14DD69F7" w14:textId="0DF9100A" w:rsidR="003655E8" w:rsidRPr="003F4D72" w:rsidRDefault="003655E8" w:rsidP="003655E8">
      <w:pPr>
        <w:pStyle w:val="ListParagraph"/>
        <w:spacing w:after="0" w:line="276" w:lineRule="auto"/>
        <w:ind w:left="0" w:firstLine="567"/>
        <w:jc w:val="both"/>
        <w:rPr>
          <w:rFonts w:asciiTheme="majorHAnsi" w:hAnsiTheme="majorHAnsi" w:cstheme="majorHAnsi"/>
          <w:sz w:val="24"/>
          <w:shd w:val="clear" w:color="auto" w:fill="FFFFFF"/>
          <w:lang w:val="ro-MD"/>
        </w:rPr>
      </w:pPr>
      <w:r w:rsidRPr="003F4D72">
        <w:rPr>
          <w:rFonts w:asciiTheme="majorHAnsi" w:hAnsiTheme="majorHAnsi" w:cstheme="majorHAnsi"/>
          <w:sz w:val="24"/>
          <w:lang w:val="ro-MD"/>
        </w:rPr>
        <w:t xml:space="preserve">Se relevă că </w:t>
      </w:r>
      <w:r w:rsidR="002F6325" w:rsidRPr="003F4D72">
        <w:rPr>
          <w:rFonts w:asciiTheme="majorHAnsi" w:hAnsiTheme="majorHAnsi" w:cstheme="majorHAnsi"/>
          <w:sz w:val="24"/>
          <w:lang w:val="ro-MD"/>
        </w:rPr>
        <w:t xml:space="preserve">auditul nu a dispus de </w:t>
      </w:r>
      <w:r w:rsidR="002F6325" w:rsidRPr="003F4D72">
        <w:rPr>
          <w:rFonts w:asciiTheme="majorHAnsi" w:hAnsiTheme="majorHAnsi" w:cstheme="majorHAnsi"/>
          <w:sz w:val="24"/>
          <w:shd w:val="clear" w:color="auto" w:fill="FFFFFF"/>
          <w:lang w:val="ro-MD"/>
        </w:rPr>
        <w:t>informații/calcule</w:t>
      </w:r>
      <w:r w:rsidRPr="003F4D72">
        <w:rPr>
          <w:rFonts w:asciiTheme="majorHAnsi" w:hAnsiTheme="majorHAnsi" w:cstheme="majorHAnsi"/>
          <w:sz w:val="24"/>
          <w:shd w:val="clear" w:color="auto" w:fill="FFFFFF"/>
          <w:lang w:val="ro-MD"/>
        </w:rPr>
        <w:t xml:space="preserve"> ce ar </w:t>
      </w:r>
      <w:r w:rsidRPr="003F4D72">
        <w:rPr>
          <w:rFonts w:asciiTheme="majorHAnsi" w:hAnsiTheme="majorHAnsi" w:cstheme="majorHAnsi"/>
          <w:sz w:val="24"/>
          <w:lang w:val="ro-MD"/>
        </w:rPr>
        <w:t xml:space="preserve">justifica imposibilitatea obiectivă de prestare a serviciilor medicale urgente prespitalicești pentru </w:t>
      </w:r>
      <w:r w:rsidRPr="003F4D72">
        <w:rPr>
          <w:rFonts w:asciiTheme="majorHAnsi" w:hAnsiTheme="majorHAnsi" w:cstheme="majorHAnsi"/>
          <w:bCs/>
          <w:sz w:val="24"/>
          <w:lang w:val="ro-MD"/>
        </w:rPr>
        <w:t>unele teritorii din mun. Chișinău și mun. Bălți</w:t>
      </w:r>
      <w:r w:rsidR="00D20A0C" w:rsidRPr="003F4D72">
        <w:rPr>
          <w:rFonts w:asciiTheme="majorHAnsi" w:hAnsiTheme="majorHAnsi" w:cstheme="majorHAnsi"/>
          <w:bCs/>
          <w:sz w:val="24"/>
          <w:lang w:val="ro-MD"/>
        </w:rPr>
        <w:t>,</w:t>
      </w:r>
      <w:r w:rsidRPr="003F4D72">
        <w:rPr>
          <w:rFonts w:asciiTheme="majorHAnsi" w:hAnsiTheme="majorHAnsi" w:cstheme="majorHAnsi"/>
          <w:sz w:val="24"/>
          <w:lang w:val="ro-MD"/>
        </w:rPr>
        <w:t xml:space="preserve"> pentru care a încheiat contracte de prestare a serviciilor medicale cu </w:t>
      </w:r>
      <w:r w:rsidRPr="003F4D72">
        <w:rPr>
          <w:rFonts w:asciiTheme="majorHAnsi" w:hAnsiTheme="majorHAnsi" w:cstheme="majorHAnsi"/>
          <w:sz w:val="24"/>
          <w:shd w:val="clear" w:color="auto" w:fill="FFFFFF"/>
          <w:lang w:val="ro-MD"/>
        </w:rPr>
        <w:t xml:space="preserve">SRL </w:t>
      </w:r>
      <w:r w:rsidR="00F8266E" w:rsidRPr="003F4D72">
        <w:rPr>
          <w:rFonts w:asciiTheme="majorHAnsi" w:hAnsiTheme="majorHAnsi" w:cstheme="majorHAnsi"/>
          <w:sz w:val="24"/>
          <w:shd w:val="clear" w:color="auto" w:fill="FFFFFF"/>
          <w:lang w:val="ro-MD"/>
        </w:rPr>
        <w:t>„</w:t>
      </w:r>
      <w:proofErr w:type="spellStart"/>
      <w:r w:rsidRPr="003F4D72">
        <w:rPr>
          <w:rFonts w:asciiTheme="majorHAnsi" w:hAnsiTheme="majorHAnsi" w:cstheme="majorHAnsi"/>
          <w:sz w:val="24"/>
          <w:shd w:val="clear" w:color="auto" w:fill="FFFFFF"/>
          <w:lang w:val="ro-MD"/>
        </w:rPr>
        <w:t>Alvimed</w:t>
      </w:r>
      <w:proofErr w:type="spellEnd"/>
      <w:r w:rsidR="00F8266E" w:rsidRPr="003F4D72">
        <w:rPr>
          <w:rFonts w:asciiTheme="majorHAnsi" w:hAnsiTheme="majorHAnsi" w:cstheme="majorHAnsi"/>
          <w:sz w:val="24"/>
          <w:shd w:val="clear" w:color="auto" w:fill="FFFFFF"/>
          <w:lang w:val="ro-MD"/>
        </w:rPr>
        <w:t>”</w:t>
      </w:r>
      <w:r w:rsidRPr="003F4D72">
        <w:rPr>
          <w:rFonts w:asciiTheme="majorHAnsi" w:hAnsiTheme="majorHAnsi" w:cstheme="majorHAnsi"/>
          <w:sz w:val="24"/>
          <w:shd w:val="clear" w:color="auto" w:fill="FFFFFF"/>
          <w:lang w:val="ro-MD"/>
        </w:rPr>
        <w:t xml:space="preserve"> și SRL </w:t>
      </w:r>
      <w:r w:rsidR="00F8266E" w:rsidRPr="003F4D72">
        <w:rPr>
          <w:rFonts w:asciiTheme="majorHAnsi" w:hAnsiTheme="majorHAnsi" w:cstheme="majorHAnsi"/>
          <w:sz w:val="24"/>
          <w:shd w:val="clear" w:color="auto" w:fill="FFFFFF"/>
          <w:lang w:val="ro-MD"/>
        </w:rPr>
        <w:t>„</w:t>
      </w:r>
      <w:proofErr w:type="spellStart"/>
      <w:r w:rsidRPr="003F4D72">
        <w:rPr>
          <w:rFonts w:asciiTheme="majorHAnsi" w:hAnsiTheme="majorHAnsi" w:cstheme="majorHAnsi"/>
          <w:sz w:val="24"/>
          <w:shd w:val="clear" w:color="auto" w:fill="FFFFFF"/>
          <w:lang w:val="ro-MD"/>
        </w:rPr>
        <w:t>Calmet-Nalcas</w:t>
      </w:r>
      <w:proofErr w:type="spellEnd"/>
      <w:r w:rsidR="00F8266E" w:rsidRPr="003F4D72">
        <w:rPr>
          <w:rFonts w:asciiTheme="majorHAnsi" w:hAnsiTheme="majorHAnsi" w:cstheme="majorHAnsi"/>
          <w:sz w:val="24"/>
          <w:shd w:val="clear" w:color="auto" w:fill="FFFFFF"/>
          <w:lang w:val="ro-MD"/>
        </w:rPr>
        <w:t>”</w:t>
      </w:r>
      <w:r w:rsidRPr="003F4D72">
        <w:rPr>
          <w:rFonts w:asciiTheme="majorHAnsi" w:hAnsiTheme="majorHAnsi" w:cstheme="majorHAnsi"/>
          <w:sz w:val="24"/>
          <w:shd w:val="clear" w:color="auto" w:fill="FFFFFF"/>
          <w:lang w:val="ro-MD"/>
        </w:rPr>
        <w:t>.</w:t>
      </w:r>
      <w:r w:rsidR="00FC0124" w:rsidRPr="003F4D72">
        <w:rPr>
          <w:rFonts w:asciiTheme="majorHAnsi" w:hAnsiTheme="majorHAnsi" w:cstheme="majorHAnsi"/>
          <w:sz w:val="24"/>
          <w:shd w:val="clear" w:color="auto" w:fill="FFFFFF"/>
          <w:lang w:val="ro-MD"/>
        </w:rPr>
        <w:t xml:space="preserve"> CNAMUP </w:t>
      </w:r>
      <w:r w:rsidR="00F83CD5" w:rsidRPr="003F4D72">
        <w:rPr>
          <w:rFonts w:asciiTheme="majorHAnsi" w:hAnsiTheme="majorHAnsi" w:cstheme="majorHAnsi"/>
          <w:sz w:val="24"/>
          <w:shd w:val="clear" w:color="auto" w:fill="FFFFFF"/>
          <w:lang w:val="ro-MD"/>
        </w:rPr>
        <w:t>a informat despre suficiența criteriilor stabilite regulamentar</w:t>
      </w:r>
      <w:r w:rsidR="00F83CD5" w:rsidRPr="003F4D72">
        <w:rPr>
          <w:rStyle w:val="FootnoteReference"/>
          <w:rFonts w:asciiTheme="majorHAnsi" w:hAnsiTheme="majorHAnsi" w:cstheme="majorHAnsi"/>
          <w:sz w:val="24"/>
          <w:shd w:val="clear" w:color="auto" w:fill="FFFFFF"/>
          <w:lang w:val="ro-MD"/>
        </w:rPr>
        <w:footnoteReference w:id="19"/>
      </w:r>
      <w:r w:rsidR="00F83CD5" w:rsidRPr="003F4D72">
        <w:rPr>
          <w:rFonts w:asciiTheme="majorHAnsi" w:hAnsiTheme="majorHAnsi" w:cstheme="majorHAnsi"/>
          <w:sz w:val="24"/>
          <w:shd w:val="clear" w:color="auto" w:fill="FFFFFF"/>
          <w:lang w:val="ro-MD"/>
        </w:rPr>
        <w:t xml:space="preserve"> de care s-a condus.</w:t>
      </w:r>
    </w:p>
    <w:p w14:paraId="0D36E6B3" w14:textId="1042334C" w:rsidR="003655E8" w:rsidRPr="003F4D72" w:rsidRDefault="003655E8" w:rsidP="003655E8">
      <w:pPr>
        <w:pStyle w:val="ListParagraph"/>
        <w:spacing w:after="0" w:line="276" w:lineRule="auto"/>
        <w:ind w:left="0" w:firstLine="567"/>
        <w:jc w:val="both"/>
        <w:rPr>
          <w:rFonts w:asciiTheme="majorHAnsi" w:hAnsiTheme="majorHAnsi" w:cstheme="majorHAnsi"/>
          <w:sz w:val="24"/>
          <w:lang w:val="ro-MD"/>
        </w:rPr>
      </w:pPr>
      <w:r w:rsidRPr="003F4D72">
        <w:rPr>
          <w:rFonts w:asciiTheme="majorHAnsi" w:hAnsiTheme="majorHAnsi" w:cstheme="majorHAnsi"/>
          <w:sz w:val="24"/>
          <w:shd w:val="clear" w:color="auto" w:fill="FFFFFF"/>
          <w:lang w:val="ro-MD"/>
        </w:rPr>
        <w:t xml:space="preserve">La acest aspect auditul denotă că volumul serviciilor medicale de urgență prestate populației în anul 2020 au constituit 789,1 mii </w:t>
      </w:r>
      <w:r w:rsidR="00F8266E" w:rsidRPr="003F4D72">
        <w:rPr>
          <w:rFonts w:asciiTheme="majorHAnsi" w:hAnsiTheme="majorHAnsi" w:cstheme="majorHAnsi"/>
          <w:sz w:val="24"/>
          <w:shd w:val="clear" w:color="auto" w:fill="FFFFFF"/>
          <w:lang w:val="ro-MD"/>
        </w:rPr>
        <w:t xml:space="preserve">de </w:t>
      </w:r>
      <w:r w:rsidRPr="003F4D72">
        <w:rPr>
          <w:rFonts w:asciiTheme="majorHAnsi" w:hAnsiTheme="majorHAnsi" w:cstheme="majorHAnsi"/>
          <w:sz w:val="24"/>
          <w:shd w:val="clear" w:color="auto" w:fill="FFFFFF"/>
          <w:lang w:val="ro-MD"/>
        </w:rPr>
        <w:t>solicitări</w:t>
      </w:r>
      <w:r w:rsidR="00F8266E" w:rsidRPr="003F4D72">
        <w:rPr>
          <w:rFonts w:asciiTheme="majorHAnsi" w:hAnsiTheme="majorHAnsi" w:cstheme="majorHAnsi"/>
          <w:sz w:val="24"/>
          <w:shd w:val="clear" w:color="auto" w:fill="FFFFFF"/>
          <w:lang w:val="ro-MD"/>
        </w:rPr>
        <w:t>,</w:t>
      </w:r>
      <w:r w:rsidRPr="003F4D72">
        <w:rPr>
          <w:rFonts w:asciiTheme="majorHAnsi" w:hAnsiTheme="majorHAnsi" w:cstheme="majorHAnsi"/>
          <w:sz w:val="24"/>
          <w:shd w:val="clear" w:color="auto" w:fill="FFFFFF"/>
          <w:lang w:val="ro-MD"/>
        </w:rPr>
        <w:t xml:space="preserve"> cu 62,8 mii mai puține comparativ cu 851,9 mii efectuate de către CNAMUP în anul 2019.</w:t>
      </w:r>
    </w:p>
    <w:p w14:paraId="450A9158" w14:textId="56B6AF9E" w:rsidR="00AE760D" w:rsidRPr="003F4D72" w:rsidRDefault="003655E8" w:rsidP="003F4D72">
      <w:pPr>
        <w:spacing w:line="276" w:lineRule="auto"/>
        <w:ind w:firstLine="567"/>
        <w:jc w:val="both"/>
        <w:rPr>
          <w:rFonts w:asciiTheme="majorHAnsi" w:eastAsiaTheme="minorHAnsi" w:hAnsiTheme="majorHAnsi" w:cstheme="majorHAnsi"/>
          <w:bCs/>
          <w:color w:val="000000"/>
          <w:sz w:val="24"/>
          <w:szCs w:val="24"/>
        </w:rPr>
      </w:pPr>
      <w:r w:rsidRPr="003F4D72">
        <w:rPr>
          <w:rFonts w:asciiTheme="majorHAnsi" w:hAnsiTheme="majorHAnsi" w:cstheme="majorHAnsi"/>
          <w:noProof/>
          <w:sz w:val="24"/>
        </w:rPr>
        <w:t xml:space="preserve">Verificările denotă că CNAMUP a achiziționat </w:t>
      </w:r>
      <w:r w:rsidRPr="003F4D72">
        <w:rPr>
          <w:rFonts w:asciiTheme="majorHAnsi" w:hAnsiTheme="majorHAnsi" w:cstheme="majorHAnsi"/>
          <w:bCs/>
          <w:color w:val="000000"/>
          <w:sz w:val="24"/>
        </w:rPr>
        <w:t>servicii de acordare a asistenței medicale urgente prespitalicești, în sumă de 20 939,2 mii lei</w:t>
      </w:r>
      <w:r w:rsidR="00F8266E" w:rsidRPr="003F4D72">
        <w:rPr>
          <w:rFonts w:asciiTheme="majorHAnsi" w:hAnsiTheme="majorHAnsi" w:cstheme="majorHAnsi"/>
          <w:bCs/>
          <w:color w:val="000000"/>
          <w:sz w:val="24"/>
        </w:rPr>
        <w:t>,</w:t>
      </w:r>
      <w:r w:rsidRPr="003F4D72">
        <w:rPr>
          <w:rFonts w:asciiTheme="majorHAnsi" w:hAnsiTheme="majorHAnsi" w:cstheme="majorHAnsi"/>
          <w:bCs/>
          <w:color w:val="000000"/>
          <w:sz w:val="24"/>
        </w:rPr>
        <w:t xml:space="preserve"> prin aplicarea pe parcursul anului (pentru fiecare instituție medicală privată) a două proceduri de achiziție publică: negocieri directe</w:t>
      </w:r>
      <w:r w:rsidRPr="003F4D72">
        <w:rPr>
          <w:rStyle w:val="FootnoteReference"/>
          <w:rFonts w:asciiTheme="majorHAnsi" w:hAnsiTheme="majorHAnsi" w:cstheme="majorHAnsi"/>
          <w:bCs/>
          <w:color w:val="000000"/>
          <w:sz w:val="24"/>
        </w:rPr>
        <w:footnoteReference w:id="20"/>
      </w:r>
      <w:r w:rsidRPr="003F4D72">
        <w:rPr>
          <w:rFonts w:asciiTheme="majorHAnsi" w:hAnsiTheme="majorHAnsi" w:cstheme="majorHAnsi"/>
          <w:bCs/>
          <w:color w:val="000000"/>
          <w:sz w:val="24"/>
        </w:rPr>
        <w:t xml:space="preserve"> și licitație deschisă</w:t>
      </w:r>
      <w:r w:rsidRPr="003F4D72">
        <w:rPr>
          <w:rStyle w:val="FootnoteReference"/>
          <w:rFonts w:asciiTheme="majorHAnsi" w:hAnsiTheme="majorHAnsi" w:cstheme="majorHAnsi"/>
          <w:bCs/>
          <w:color w:val="000000"/>
          <w:sz w:val="24"/>
        </w:rPr>
        <w:footnoteReference w:id="21"/>
      </w:r>
      <w:r w:rsidRPr="003F4D72">
        <w:rPr>
          <w:rFonts w:asciiTheme="majorHAnsi" w:hAnsiTheme="majorHAnsi" w:cstheme="majorHAnsi"/>
          <w:bCs/>
          <w:color w:val="000000"/>
          <w:sz w:val="24"/>
        </w:rPr>
        <w:t xml:space="preserve">, </w:t>
      </w:r>
      <w:r w:rsidRPr="003F4D72">
        <w:rPr>
          <w:rFonts w:asciiTheme="majorHAnsi" w:eastAsiaTheme="minorHAnsi" w:hAnsiTheme="majorHAnsi" w:cstheme="majorHAnsi"/>
          <w:bCs/>
          <w:color w:val="000000"/>
          <w:sz w:val="24"/>
          <w:szCs w:val="24"/>
        </w:rPr>
        <w:t>date prezentate în tabelul de mai jos:</w:t>
      </w:r>
    </w:p>
    <w:p w14:paraId="59503048" w14:textId="397C2567" w:rsidR="00C946B9" w:rsidRPr="003F4D72" w:rsidRDefault="00C946B9" w:rsidP="00C946B9">
      <w:pPr>
        <w:spacing w:after="0" w:line="276" w:lineRule="auto"/>
        <w:ind w:firstLine="567"/>
        <w:jc w:val="both"/>
        <w:rPr>
          <w:rFonts w:asciiTheme="majorHAnsi" w:eastAsiaTheme="minorHAnsi" w:hAnsiTheme="majorHAnsi" w:cstheme="majorHAnsi"/>
          <w:b/>
          <w:bCs/>
          <w:color w:val="000000"/>
          <w:sz w:val="24"/>
          <w:szCs w:val="24"/>
        </w:rPr>
      </w:pPr>
      <w:r w:rsidRPr="003F4D72">
        <w:rPr>
          <w:rFonts w:asciiTheme="majorHAnsi" w:eastAsiaTheme="minorHAnsi" w:hAnsiTheme="majorHAnsi" w:cstheme="majorHAnsi"/>
          <w:b/>
          <w:bCs/>
          <w:color w:val="000000"/>
          <w:sz w:val="24"/>
          <w:szCs w:val="24"/>
        </w:rPr>
        <w:t>Informați</w:t>
      </w:r>
      <w:r w:rsidR="00F8266E" w:rsidRPr="003F4D72">
        <w:rPr>
          <w:rFonts w:asciiTheme="majorHAnsi" w:eastAsiaTheme="minorHAnsi" w:hAnsiTheme="majorHAnsi" w:cstheme="majorHAnsi"/>
          <w:b/>
          <w:bCs/>
          <w:color w:val="000000"/>
          <w:sz w:val="24"/>
          <w:szCs w:val="24"/>
        </w:rPr>
        <w:t>i</w:t>
      </w:r>
      <w:r w:rsidRPr="003F4D72">
        <w:rPr>
          <w:rFonts w:asciiTheme="majorHAnsi" w:eastAsiaTheme="minorHAnsi" w:hAnsiTheme="majorHAnsi" w:cstheme="majorHAnsi"/>
          <w:b/>
          <w:bCs/>
          <w:color w:val="000000"/>
          <w:sz w:val="24"/>
          <w:szCs w:val="24"/>
        </w:rPr>
        <w:t xml:space="preserve"> privind contractare</w:t>
      </w:r>
      <w:r w:rsidR="00D07B1A" w:rsidRPr="003F4D72">
        <w:rPr>
          <w:rFonts w:asciiTheme="majorHAnsi" w:eastAsiaTheme="minorHAnsi" w:hAnsiTheme="majorHAnsi" w:cstheme="majorHAnsi"/>
          <w:b/>
          <w:bCs/>
          <w:color w:val="000000"/>
          <w:sz w:val="24"/>
          <w:szCs w:val="24"/>
        </w:rPr>
        <w:t>a</w:t>
      </w:r>
      <w:r w:rsidRPr="003F4D72">
        <w:rPr>
          <w:rFonts w:asciiTheme="majorHAnsi" w:eastAsiaTheme="minorHAnsi" w:hAnsiTheme="majorHAnsi" w:cstheme="majorHAnsi"/>
          <w:b/>
          <w:bCs/>
          <w:color w:val="000000"/>
          <w:sz w:val="24"/>
          <w:szCs w:val="24"/>
        </w:rPr>
        <w:t xml:space="preserve"> serviciilor medicale urgente prespitalicești în anul 2020</w:t>
      </w:r>
    </w:p>
    <w:p w14:paraId="59877C2E" w14:textId="6D06A3B3" w:rsidR="003655E8" w:rsidRPr="003F4D72" w:rsidRDefault="003655E8" w:rsidP="003655E8">
      <w:pPr>
        <w:spacing w:after="0" w:line="276" w:lineRule="auto"/>
        <w:ind w:firstLine="720"/>
        <w:jc w:val="right"/>
        <w:rPr>
          <w:rFonts w:asciiTheme="majorHAnsi" w:eastAsiaTheme="minorHAnsi" w:hAnsiTheme="majorHAnsi" w:cstheme="majorHAnsi"/>
          <w:bCs/>
          <w:color w:val="000000"/>
          <w:sz w:val="20"/>
          <w:szCs w:val="28"/>
        </w:rPr>
      </w:pPr>
      <w:r w:rsidRPr="003F4D72">
        <w:rPr>
          <w:rFonts w:asciiTheme="majorHAnsi" w:eastAsiaTheme="minorHAnsi" w:hAnsiTheme="majorHAnsi" w:cstheme="majorHAnsi"/>
          <w:bCs/>
          <w:color w:val="000000"/>
          <w:sz w:val="20"/>
          <w:szCs w:val="28"/>
        </w:rPr>
        <w:t>Tabelul nr.</w:t>
      </w:r>
      <w:r w:rsidR="00C06EA1" w:rsidRPr="003F4D72">
        <w:rPr>
          <w:rFonts w:asciiTheme="majorHAnsi" w:eastAsiaTheme="minorHAnsi" w:hAnsiTheme="majorHAnsi" w:cstheme="majorHAnsi"/>
          <w:bCs/>
          <w:color w:val="000000"/>
          <w:sz w:val="20"/>
          <w:szCs w:val="28"/>
        </w:rPr>
        <w:t>8</w:t>
      </w:r>
      <w:r w:rsidRPr="003F4D72">
        <w:rPr>
          <w:rFonts w:asciiTheme="majorHAnsi" w:eastAsiaTheme="minorHAnsi" w:hAnsiTheme="majorHAnsi" w:cstheme="majorHAnsi"/>
          <w:bCs/>
          <w:color w:val="000000"/>
          <w:sz w:val="20"/>
          <w:szCs w:val="28"/>
        </w:rPr>
        <w:t>, mii lei</w:t>
      </w:r>
    </w:p>
    <w:tbl>
      <w:tblPr>
        <w:tblStyle w:val="GridTable1Light"/>
        <w:tblW w:w="5003" w:type="pct"/>
        <w:tblInd w:w="-5" w:type="dxa"/>
        <w:tblLook w:val="04A0" w:firstRow="1" w:lastRow="0" w:firstColumn="1" w:lastColumn="0" w:noHBand="0" w:noVBand="1"/>
      </w:tblPr>
      <w:tblGrid>
        <w:gridCol w:w="1575"/>
        <w:gridCol w:w="1143"/>
        <w:gridCol w:w="846"/>
        <w:gridCol w:w="1203"/>
        <w:gridCol w:w="1143"/>
        <w:gridCol w:w="796"/>
        <w:gridCol w:w="1278"/>
        <w:gridCol w:w="1372"/>
      </w:tblGrid>
      <w:tr w:rsidR="003655E8" w:rsidRPr="003F4D72" w14:paraId="5392A574" w14:textId="77777777" w:rsidTr="003655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2" w:type="pct"/>
            <w:vMerge w:val="restart"/>
            <w:hideMark/>
          </w:tcPr>
          <w:p w14:paraId="3DB3CD06" w14:textId="77777777" w:rsidR="003655E8" w:rsidRPr="003F4D72" w:rsidRDefault="003655E8" w:rsidP="003655E8">
            <w:pPr>
              <w:jc w:val="center"/>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 xml:space="preserve">Denumirea </w:t>
            </w:r>
          </w:p>
          <w:p w14:paraId="35CD30A1" w14:textId="77777777" w:rsidR="003655E8" w:rsidRPr="003F4D72" w:rsidRDefault="003655E8" w:rsidP="003655E8">
            <w:pPr>
              <w:jc w:val="center"/>
              <w:rPr>
                <w:rFonts w:asciiTheme="majorHAnsi" w:eastAsiaTheme="minorHAnsi" w:hAnsiTheme="majorHAnsi" w:cstheme="majorHAnsi"/>
                <w:color w:val="000000"/>
                <w:sz w:val="20"/>
                <w:szCs w:val="20"/>
              </w:rPr>
            </w:pPr>
            <w:r w:rsidRPr="003F4D72">
              <w:rPr>
                <w:rFonts w:asciiTheme="majorHAnsi" w:hAnsiTheme="majorHAnsi" w:cstheme="majorHAnsi"/>
                <w:color w:val="000000"/>
                <w:sz w:val="20"/>
              </w:rPr>
              <w:t>instituției medicale private</w:t>
            </w:r>
          </w:p>
        </w:tc>
        <w:tc>
          <w:tcPr>
            <w:tcW w:w="1706" w:type="pct"/>
            <w:gridSpan w:val="3"/>
            <w:hideMark/>
          </w:tcPr>
          <w:p w14:paraId="1BCF54FA" w14:textId="6AB3B48F"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Ianuarie-</w:t>
            </w:r>
            <w:r w:rsidR="00F8266E" w:rsidRPr="003F4D72">
              <w:rPr>
                <w:rFonts w:asciiTheme="majorHAnsi" w:eastAsiaTheme="minorHAnsi" w:hAnsiTheme="majorHAnsi" w:cstheme="majorHAnsi"/>
                <w:color w:val="000000"/>
                <w:sz w:val="20"/>
                <w:szCs w:val="20"/>
              </w:rPr>
              <w:t>f</w:t>
            </w:r>
            <w:r w:rsidRPr="003F4D72">
              <w:rPr>
                <w:rFonts w:asciiTheme="majorHAnsi" w:eastAsiaTheme="minorHAnsi" w:hAnsiTheme="majorHAnsi" w:cstheme="majorHAnsi"/>
                <w:color w:val="000000"/>
                <w:sz w:val="20"/>
                <w:szCs w:val="20"/>
              </w:rPr>
              <w:t>ebruarie 2020</w:t>
            </w:r>
          </w:p>
        </w:tc>
        <w:tc>
          <w:tcPr>
            <w:tcW w:w="1719" w:type="pct"/>
            <w:gridSpan w:val="3"/>
            <w:hideMark/>
          </w:tcPr>
          <w:p w14:paraId="7BFBAF0B" w14:textId="0B22D17B" w:rsidR="003655E8" w:rsidRPr="003F4D72" w:rsidRDefault="003655E8" w:rsidP="00F8266E">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Martie-</w:t>
            </w:r>
            <w:r w:rsidR="00F8266E" w:rsidRPr="003F4D72">
              <w:rPr>
                <w:rFonts w:asciiTheme="majorHAnsi" w:eastAsiaTheme="minorHAnsi" w:hAnsiTheme="majorHAnsi" w:cstheme="majorHAnsi"/>
                <w:color w:val="000000"/>
                <w:sz w:val="20"/>
                <w:szCs w:val="20"/>
              </w:rPr>
              <w:t>d</w:t>
            </w:r>
            <w:r w:rsidRPr="003F4D72">
              <w:rPr>
                <w:rFonts w:asciiTheme="majorHAnsi" w:eastAsiaTheme="minorHAnsi" w:hAnsiTheme="majorHAnsi" w:cstheme="majorHAnsi"/>
                <w:color w:val="000000"/>
                <w:sz w:val="20"/>
                <w:szCs w:val="20"/>
              </w:rPr>
              <w:t>ecembrie 2020</w:t>
            </w:r>
          </w:p>
        </w:tc>
        <w:tc>
          <w:tcPr>
            <w:tcW w:w="734" w:type="pct"/>
            <w:vMerge w:val="restart"/>
            <w:hideMark/>
          </w:tcPr>
          <w:p w14:paraId="017729FE" w14:textId="77777777" w:rsidR="003655E8" w:rsidRPr="003F4D72" w:rsidRDefault="003655E8"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Suma totală contractată pentru anul 2020</w:t>
            </w:r>
          </w:p>
        </w:tc>
      </w:tr>
      <w:tr w:rsidR="003655E8" w:rsidRPr="003F4D72" w14:paraId="1C2A31BA"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842" w:type="pct"/>
            <w:vMerge/>
            <w:hideMark/>
          </w:tcPr>
          <w:p w14:paraId="3BE2251D" w14:textId="77777777" w:rsidR="003655E8" w:rsidRPr="003F4D72" w:rsidRDefault="003655E8" w:rsidP="003655E8">
            <w:pPr>
              <w:jc w:val="center"/>
              <w:rPr>
                <w:rFonts w:asciiTheme="majorHAnsi" w:eastAsiaTheme="minorHAnsi" w:hAnsiTheme="majorHAnsi" w:cstheme="majorHAnsi"/>
                <w:color w:val="000000"/>
                <w:sz w:val="20"/>
                <w:szCs w:val="20"/>
              </w:rPr>
            </w:pPr>
          </w:p>
        </w:tc>
        <w:tc>
          <w:tcPr>
            <w:tcW w:w="611" w:type="pct"/>
            <w:hideMark/>
          </w:tcPr>
          <w:p w14:paraId="6DB6A3E5" w14:textId="59CA2035" w:rsidR="003655E8" w:rsidRPr="003F4D72" w:rsidRDefault="00F8266E"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populația contractată</w:t>
            </w:r>
          </w:p>
        </w:tc>
        <w:tc>
          <w:tcPr>
            <w:tcW w:w="452" w:type="pct"/>
            <w:hideMark/>
          </w:tcPr>
          <w:p w14:paraId="12BA8AA5" w14:textId="51CB1501" w:rsidR="003655E8" w:rsidRPr="003F4D72" w:rsidRDefault="00F8266E" w:rsidP="00F8266E">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 xml:space="preserve">tarif </w:t>
            </w:r>
            <w:r w:rsidRPr="003F4D72">
              <w:rPr>
                <w:rFonts w:asciiTheme="majorHAnsi" w:eastAsiaTheme="minorHAnsi" w:hAnsiTheme="majorHAnsi" w:cstheme="majorHAnsi"/>
                <w:i/>
                <w:iCs/>
                <w:color w:val="000000"/>
                <w:sz w:val="20"/>
                <w:szCs w:val="20"/>
              </w:rPr>
              <w:t xml:space="preserve">„per </w:t>
            </w:r>
            <w:proofErr w:type="spellStart"/>
            <w:r w:rsidRPr="003F4D72">
              <w:rPr>
                <w:rFonts w:asciiTheme="majorHAnsi" w:eastAsiaTheme="minorHAnsi" w:hAnsiTheme="majorHAnsi" w:cstheme="majorHAnsi"/>
                <w:i/>
                <w:iCs/>
                <w:color w:val="000000"/>
                <w:sz w:val="20"/>
                <w:szCs w:val="20"/>
              </w:rPr>
              <w:t>capita</w:t>
            </w:r>
            <w:proofErr w:type="spellEnd"/>
            <w:r w:rsidRPr="003F4D72">
              <w:rPr>
                <w:rFonts w:asciiTheme="majorHAnsi" w:eastAsiaTheme="minorHAnsi" w:hAnsiTheme="majorHAnsi" w:cstheme="majorHAnsi"/>
                <w:i/>
                <w:iCs/>
                <w:color w:val="000000"/>
                <w:sz w:val="20"/>
                <w:szCs w:val="20"/>
              </w:rPr>
              <w:t>”</w:t>
            </w:r>
          </w:p>
        </w:tc>
        <w:tc>
          <w:tcPr>
            <w:tcW w:w="643" w:type="pct"/>
            <w:hideMark/>
          </w:tcPr>
          <w:p w14:paraId="19659890" w14:textId="20AEDC00" w:rsidR="003655E8" w:rsidRPr="003F4D72" w:rsidRDefault="00F8266E"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valoarea contractului</w:t>
            </w:r>
          </w:p>
        </w:tc>
        <w:tc>
          <w:tcPr>
            <w:tcW w:w="611" w:type="pct"/>
            <w:hideMark/>
          </w:tcPr>
          <w:p w14:paraId="699A7DC3" w14:textId="3A74756B" w:rsidR="003655E8" w:rsidRPr="003F4D72" w:rsidRDefault="00F8266E"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populația contractată</w:t>
            </w:r>
          </w:p>
        </w:tc>
        <w:tc>
          <w:tcPr>
            <w:tcW w:w="425" w:type="pct"/>
            <w:hideMark/>
          </w:tcPr>
          <w:p w14:paraId="66D79D8B" w14:textId="76F19F7A" w:rsidR="003655E8" w:rsidRPr="003F4D72" w:rsidRDefault="00F8266E" w:rsidP="00F8266E">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 xml:space="preserve">tarif </w:t>
            </w:r>
            <w:r w:rsidRPr="003F4D72">
              <w:rPr>
                <w:rFonts w:asciiTheme="majorHAnsi" w:eastAsiaTheme="minorHAnsi" w:hAnsiTheme="majorHAnsi" w:cstheme="majorHAnsi"/>
                <w:i/>
                <w:iCs/>
                <w:color w:val="000000"/>
                <w:sz w:val="20"/>
                <w:szCs w:val="20"/>
              </w:rPr>
              <w:t xml:space="preserve">„per </w:t>
            </w:r>
            <w:proofErr w:type="spellStart"/>
            <w:r w:rsidRPr="003F4D72">
              <w:rPr>
                <w:rFonts w:asciiTheme="majorHAnsi" w:eastAsiaTheme="minorHAnsi" w:hAnsiTheme="majorHAnsi" w:cstheme="majorHAnsi"/>
                <w:i/>
                <w:iCs/>
                <w:color w:val="000000"/>
                <w:sz w:val="20"/>
                <w:szCs w:val="20"/>
              </w:rPr>
              <w:t>capita</w:t>
            </w:r>
            <w:proofErr w:type="spellEnd"/>
            <w:r w:rsidRPr="003F4D72">
              <w:rPr>
                <w:rFonts w:asciiTheme="majorHAnsi" w:eastAsiaTheme="minorHAnsi" w:hAnsiTheme="majorHAnsi" w:cstheme="majorHAnsi"/>
                <w:i/>
                <w:iCs/>
                <w:color w:val="000000"/>
                <w:sz w:val="20"/>
                <w:szCs w:val="20"/>
              </w:rPr>
              <w:t>”</w:t>
            </w:r>
          </w:p>
        </w:tc>
        <w:tc>
          <w:tcPr>
            <w:tcW w:w="682" w:type="pct"/>
            <w:hideMark/>
          </w:tcPr>
          <w:p w14:paraId="78C3D96D" w14:textId="10B29AE3" w:rsidR="003655E8" w:rsidRPr="003F4D72" w:rsidRDefault="00F8266E"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valoarea contractului</w:t>
            </w:r>
          </w:p>
        </w:tc>
        <w:tc>
          <w:tcPr>
            <w:tcW w:w="734" w:type="pct"/>
            <w:vMerge/>
            <w:hideMark/>
          </w:tcPr>
          <w:p w14:paraId="0C791513"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bCs/>
                <w:color w:val="000000"/>
                <w:sz w:val="20"/>
                <w:szCs w:val="20"/>
              </w:rPr>
            </w:pPr>
          </w:p>
        </w:tc>
      </w:tr>
      <w:tr w:rsidR="003655E8" w:rsidRPr="003F4D72" w14:paraId="49D45C61"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842" w:type="pct"/>
            <w:vMerge/>
          </w:tcPr>
          <w:p w14:paraId="19C26C69" w14:textId="77777777" w:rsidR="003655E8" w:rsidRPr="003F4D72" w:rsidRDefault="003655E8" w:rsidP="003655E8">
            <w:pPr>
              <w:jc w:val="center"/>
              <w:rPr>
                <w:rFonts w:asciiTheme="majorHAnsi" w:eastAsiaTheme="minorHAnsi" w:hAnsiTheme="majorHAnsi" w:cstheme="majorHAnsi"/>
                <w:color w:val="000000"/>
                <w:sz w:val="20"/>
                <w:szCs w:val="20"/>
              </w:rPr>
            </w:pPr>
          </w:p>
        </w:tc>
        <w:tc>
          <w:tcPr>
            <w:tcW w:w="1706" w:type="pct"/>
            <w:gridSpan w:val="3"/>
            <w:vAlign w:val="center"/>
          </w:tcPr>
          <w:p w14:paraId="52C5C8B1" w14:textId="48E70CB9" w:rsidR="003655E8" w:rsidRPr="003F4D72" w:rsidRDefault="00F8266E"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color w:val="000000"/>
                <w:sz w:val="20"/>
                <w:szCs w:val="20"/>
              </w:rPr>
            </w:pPr>
            <w:r w:rsidRPr="003F4D72">
              <w:rPr>
                <w:rFonts w:asciiTheme="majorHAnsi" w:hAnsiTheme="majorHAnsi" w:cstheme="majorHAnsi"/>
                <w:b/>
                <w:sz w:val="20"/>
                <w:szCs w:val="20"/>
              </w:rPr>
              <w:t>negociere fără publicarea prealabilă a unui anunț de participare</w:t>
            </w:r>
          </w:p>
        </w:tc>
        <w:tc>
          <w:tcPr>
            <w:tcW w:w="1719" w:type="pct"/>
            <w:gridSpan w:val="3"/>
            <w:vAlign w:val="center"/>
          </w:tcPr>
          <w:p w14:paraId="08B11242" w14:textId="427E0111" w:rsidR="003655E8" w:rsidRPr="003F4D72" w:rsidRDefault="00F8266E"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color w:val="000000"/>
                <w:sz w:val="20"/>
                <w:szCs w:val="20"/>
              </w:rPr>
            </w:pPr>
            <w:r w:rsidRPr="003F4D72">
              <w:rPr>
                <w:rFonts w:asciiTheme="majorHAnsi" w:hAnsiTheme="majorHAnsi" w:cstheme="majorHAnsi"/>
                <w:b/>
                <w:sz w:val="20"/>
                <w:szCs w:val="20"/>
              </w:rPr>
              <w:t>licitație deschisă</w:t>
            </w:r>
          </w:p>
        </w:tc>
        <w:tc>
          <w:tcPr>
            <w:tcW w:w="734" w:type="pct"/>
            <w:vMerge/>
          </w:tcPr>
          <w:p w14:paraId="0C162D4B"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bCs/>
                <w:color w:val="000000"/>
                <w:sz w:val="20"/>
                <w:szCs w:val="20"/>
              </w:rPr>
            </w:pPr>
          </w:p>
        </w:tc>
      </w:tr>
      <w:tr w:rsidR="003655E8" w:rsidRPr="003F4D72" w14:paraId="44328ED8"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842" w:type="pct"/>
            <w:hideMark/>
          </w:tcPr>
          <w:p w14:paraId="72E8CFAD" w14:textId="1E3B2039" w:rsidR="003655E8" w:rsidRPr="003F4D72" w:rsidRDefault="003655E8" w:rsidP="003655E8">
            <w:pPr>
              <w:jc w:val="center"/>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 xml:space="preserve">SRL </w:t>
            </w:r>
            <w:r w:rsidR="00F8266E" w:rsidRPr="003F4D72">
              <w:rPr>
                <w:rFonts w:asciiTheme="majorHAnsi" w:eastAsiaTheme="minorHAnsi" w:hAnsiTheme="majorHAnsi" w:cstheme="majorHAnsi"/>
                <w:color w:val="000000"/>
                <w:sz w:val="20"/>
                <w:szCs w:val="20"/>
              </w:rPr>
              <w:t>„</w:t>
            </w:r>
            <w:proofErr w:type="spellStart"/>
            <w:r w:rsidRPr="003F4D72">
              <w:rPr>
                <w:rFonts w:asciiTheme="majorHAnsi" w:eastAsiaTheme="minorHAnsi" w:hAnsiTheme="majorHAnsi" w:cstheme="majorHAnsi"/>
                <w:color w:val="000000"/>
                <w:sz w:val="20"/>
                <w:szCs w:val="20"/>
              </w:rPr>
              <w:t>Calmet-Nalcas</w:t>
            </w:r>
            <w:proofErr w:type="spellEnd"/>
            <w:r w:rsidR="00F8266E" w:rsidRPr="003F4D72">
              <w:rPr>
                <w:rFonts w:asciiTheme="majorHAnsi" w:eastAsiaTheme="minorHAnsi" w:hAnsiTheme="majorHAnsi" w:cstheme="majorHAnsi"/>
                <w:color w:val="000000"/>
                <w:sz w:val="20"/>
                <w:szCs w:val="20"/>
              </w:rPr>
              <w:t>”</w:t>
            </w:r>
          </w:p>
        </w:tc>
        <w:tc>
          <w:tcPr>
            <w:tcW w:w="611" w:type="pct"/>
            <w:hideMark/>
          </w:tcPr>
          <w:p w14:paraId="687402E7"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96 728</w:t>
            </w:r>
          </w:p>
        </w:tc>
        <w:tc>
          <w:tcPr>
            <w:tcW w:w="452" w:type="pct"/>
            <w:hideMark/>
          </w:tcPr>
          <w:p w14:paraId="45A036DA"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28,2</w:t>
            </w:r>
          </w:p>
        </w:tc>
        <w:tc>
          <w:tcPr>
            <w:tcW w:w="643" w:type="pct"/>
            <w:hideMark/>
          </w:tcPr>
          <w:p w14:paraId="2E65285B"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 xml:space="preserve">2 724,8 </w:t>
            </w:r>
          </w:p>
        </w:tc>
        <w:tc>
          <w:tcPr>
            <w:tcW w:w="611" w:type="pct"/>
            <w:hideMark/>
          </w:tcPr>
          <w:p w14:paraId="79C9F8C2"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96 728</w:t>
            </w:r>
          </w:p>
        </w:tc>
        <w:tc>
          <w:tcPr>
            <w:tcW w:w="425" w:type="pct"/>
            <w:hideMark/>
          </w:tcPr>
          <w:p w14:paraId="5459122D"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140,8</w:t>
            </w:r>
          </w:p>
        </w:tc>
        <w:tc>
          <w:tcPr>
            <w:tcW w:w="682" w:type="pct"/>
            <w:hideMark/>
          </w:tcPr>
          <w:p w14:paraId="781B312B"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13 622,5</w:t>
            </w:r>
          </w:p>
        </w:tc>
        <w:tc>
          <w:tcPr>
            <w:tcW w:w="734" w:type="pct"/>
            <w:hideMark/>
          </w:tcPr>
          <w:p w14:paraId="463A433E"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16 347,4</w:t>
            </w:r>
          </w:p>
        </w:tc>
      </w:tr>
      <w:tr w:rsidR="003655E8" w:rsidRPr="003F4D72" w14:paraId="6A60DAE2"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842" w:type="pct"/>
            <w:hideMark/>
          </w:tcPr>
          <w:p w14:paraId="629ECED5" w14:textId="10844EC7" w:rsidR="003655E8" w:rsidRPr="003F4D72" w:rsidRDefault="003655E8" w:rsidP="003655E8">
            <w:pPr>
              <w:jc w:val="center"/>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 xml:space="preserve">SRL </w:t>
            </w:r>
            <w:r w:rsidR="00F8266E" w:rsidRPr="003F4D72">
              <w:rPr>
                <w:rFonts w:asciiTheme="majorHAnsi" w:eastAsiaTheme="minorHAnsi" w:hAnsiTheme="majorHAnsi" w:cstheme="majorHAnsi"/>
                <w:color w:val="000000"/>
                <w:sz w:val="20"/>
                <w:szCs w:val="20"/>
              </w:rPr>
              <w:t>„</w:t>
            </w:r>
            <w:proofErr w:type="spellStart"/>
            <w:r w:rsidRPr="003F4D72">
              <w:rPr>
                <w:rFonts w:asciiTheme="majorHAnsi" w:eastAsiaTheme="minorHAnsi" w:hAnsiTheme="majorHAnsi" w:cstheme="majorHAnsi"/>
                <w:color w:val="000000"/>
                <w:sz w:val="20"/>
                <w:szCs w:val="20"/>
              </w:rPr>
              <w:t>Alvimed</w:t>
            </w:r>
            <w:proofErr w:type="spellEnd"/>
            <w:r w:rsidR="00F8266E" w:rsidRPr="003F4D72">
              <w:rPr>
                <w:rFonts w:asciiTheme="majorHAnsi" w:eastAsiaTheme="minorHAnsi" w:hAnsiTheme="majorHAnsi" w:cstheme="majorHAnsi"/>
                <w:color w:val="000000"/>
                <w:sz w:val="20"/>
                <w:szCs w:val="20"/>
              </w:rPr>
              <w:t>”</w:t>
            </w:r>
          </w:p>
        </w:tc>
        <w:tc>
          <w:tcPr>
            <w:tcW w:w="611" w:type="pct"/>
            <w:hideMark/>
          </w:tcPr>
          <w:p w14:paraId="01719D7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27 170</w:t>
            </w:r>
          </w:p>
        </w:tc>
        <w:tc>
          <w:tcPr>
            <w:tcW w:w="452" w:type="pct"/>
            <w:hideMark/>
          </w:tcPr>
          <w:p w14:paraId="7EB2C122"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28,2</w:t>
            </w:r>
          </w:p>
        </w:tc>
        <w:tc>
          <w:tcPr>
            <w:tcW w:w="643" w:type="pct"/>
            <w:hideMark/>
          </w:tcPr>
          <w:p w14:paraId="2AA82C9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765,4</w:t>
            </w:r>
          </w:p>
        </w:tc>
        <w:tc>
          <w:tcPr>
            <w:tcW w:w="611" w:type="pct"/>
            <w:hideMark/>
          </w:tcPr>
          <w:p w14:paraId="10C27565"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27 170</w:t>
            </w:r>
          </w:p>
        </w:tc>
        <w:tc>
          <w:tcPr>
            <w:tcW w:w="425" w:type="pct"/>
            <w:hideMark/>
          </w:tcPr>
          <w:p w14:paraId="0F1E5872"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140,8</w:t>
            </w:r>
          </w:p>
        </w:tc>
        <w:tc>
          <w:tcPr>
            <w:tcW w:w="682" w:type="pct"/>
            <w:hideMark/>
          </w:tcPr>
          <w:p w14:paraId="1A33BC19"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3 826,4</w:t>
            </w:r>
          </w:p>
        </w:tc>
        <w:tc>
          <w:tcPr>
            <w:tcW w:w="734" w:type="pct"/>
            <w:hideMark/>
          </w:tcPr>
          <w:p w14:paraId="4DC3C4C7"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4 591,8</w:t>
            </w:r>
          </w:p>
        </w:tc>
      </w:tr>
      <w:tr w:rsidR="003655E8" w:rsidRPr="003F4D72" w14:paraId="235C0C13"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842" w:type="pct"/>
            <w:hideMark/>
          </w:tcPr>
          <w:p w14:paraId="20BA1314" w14:textId="77777777" w:rsidR="003655E8" w:rsidRPr="003F4D72" w:rsidRDefault="003655E8" w:rsidP="003655E8">
            <w:pPr>
              <w:jc w:val="center"/>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Total:</w:t>
            </w:r>
          </w:p>
        </w:tc>
        <w:tc>
          <w:tcPr>
            <w:tcW w:w="611" w:type="pct"/>
            <w:hideMark/>
          </w:tcPr>
          <w:p w14:paraId="1D7AAD3A"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w:t>
            </w:r>
          </w:p>
        </w:tc>
        <w:tc>
          <w:tcPr>
            <w:tcW w:w="452" w:type="pct"/>
            <w:hideMark/>
          </w:tcPr>
          <w:p w14:paraId="06543E13"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w:t>
            </w:r>
          </w:p>
        </w:tc>
        <w:tc>
          <w:tcPr>
            <w:tcW w:w="643" w:type="pct"/>
            <w:hideMark/>
          </w:tcPr>
          <w:p w14:paraId="68DE14A0"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bCs/>
                <w:color w:val="000000"/>
                <w:sz w:val="20"/>
                <w:szCs w:val="20"/>
              </w:rPr>
            </w:pPr>
            <w:r w:rsidRPr="003F4D72">
              <w:rPr>
                <w:rFonts w:asciiTheme="majorHAnsi" w:eastAsiaTheme="minorHAnsi" w:hAnsiTheme="majorHAnsi" w:cstheme="majorHAnsi"/>
                <w:b/>
                <w:bCs/>
                <w:color w:val="000000"/>
                <w:sz w:val="20"/>
                <w:szCs w:val="20"/>
              </w:rPr>
              <w:t>3 490,2</w:t>
            </w:r>
          </w:p>
        </w:tc>
        <w:tc>
          <w:tcPr>
            <w:tcW w:w="611" w:type="pct"/>
            <w:hideMark/>
          </w:tcPr>
          <w:p w14:paraId="2ACA2108"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w:t>
            </w:r>
          </w:p>
        </w:tc>
        <w:tc>
          <w:tcPr>
            <w:tcW w:w="425" w:type="pct"/>
            <w:hideMark/>
          </w:tcPr>
          <w:p w14:paraId="276200C1"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000000"/>
                <w:sz w:val="20"/>
                <w:szCs w:val="20"/>
              </w:rPr>
            </w:pPr>
            <w:r w:rsidRPr="003F4D72">
              <w:rPr>
                <w:rFonts w:asciiTheme="majorHAnsi" w:eastAsiaTheme="minorHAnsi" w:hAnsiTheme="majorHAnsi" w:cstheme="majorHAnsi"/>
                <w:color w:val="000000"/>
                <w:sz w:val="20"/>
                <w:szCs w:val="20"/>
              </w:rPr>
              <w:t>-</w:t>
            </w:r>
          </w:p>
        </w:tc>
        <w:tc>
          <w:tcPr>
            <w:tcW w:w="682" w:type="pct"/>
            <w:hideMark/>
          </w:tcPr>
          <w:p w14:paraId="75C3C593"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bCs/>
                <w:color w:val="000000"/>
                <w:sz w:val="20"/>
                <w:szCs w:val="20"/>
              </w:rPr>
            </w:pPr>
            <w:r w:rsidRPr="003F4D72">
              <w:rPr>
                <w:rFonts w:asciiTheme="majorHAnsi" w:eastAsiaTheme="minorHAnsi" w:hAnsiTheme="majorHAnsi" w:cstheme="majorHAnsi"/>
                <w:b/>
                <w:bCs/>
                <w:color w:val="000000"/>
                <w:sz w:val="20"/>
                <w:szCs w:val="20"/>
              </w:rPr>
              <w:t>17 448,9</w:t>
            </w:r>
          </w:p>
        </w:tc>
        <w:tc>
          <w:tcPr>
            <w:tcW w:w="734" w:type="pct"/>
            <w:hideMark/>
          </w:tcPr>
          <w:p w14:paraId="727F93F5" w14:textId="77777777" w:rsidR="003655E8" w:rsidRPr="003F4D72" w:rsidRDefault="003655E8"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b/>
                <w:bCs/>
                <w:color w:val="000000"/>
                <w:sz w:val="20"/>
                <w:szCs w:val="20"/>
              </w:rPr>
            </w:pPr>
            <w:r w:rsidRPr="003F4D72">
              <w:rPr>
                <w:rFonts w:asciiTheme="majorHAnsi" w:eastAsiaTheme="minorHAnsi" w:hAnsiTheme="majorHAnsi" w:cstheme="majorHAnsi"/>
                <w:b/>
                <w:bCs/>
                <w:color w:val="000000"/>
                <w:sz w:val="20"/>
                <w:szCs w:val="20"/>
              </w:rPr>
              <w:t>20 939,2</w:t>
            </w:r>
          </w:p>
        </w:tc>
      </w:tr>
    </w:tbl>
    <w:p w14:paraId="1D48084D" w14:textId="2E7FFC8A" w:rsidR="003655E8" w:rsidRPr="003F4D72" w:rsidRDefault="003655E8" w:rsidP="003655E8">
      <w:pPr>
        <w:spacing w:line="276" w:lineRule="auto"/>
        <w:ind w:left="720"/>
        <w:jc w:val="both"/>
        <w:rPr>
          <w:rFonts w:asciiTheme="majorHAnsi" w:eastAsiaTheme="minorHAnsi" w:hAnsiTheme="majorHAnsi" w:cstheme="majorHAnsi"/>
          <w:i/>
          <w:noProof/>
          <w:sz w:val="20"/>
          <w:szCs w:val="28"/>
        </w:rPr>
      </w:pPr>
      <w:r w:rsidRPr="003F4D72">
        <w:rPr>
          <w:rFonts w:asciiTheme="majorHAnsi" w:eastAsiaTheme="minorHAnsi" w:hAnsiTheme="majorHAnsi" w:cstheme="majorHAnsi"/>
          <w:b/>
          <w:i/>
          <w:noProof/>
          <w:sz w:val="20"/>
          <w:szCs w:val="28"/>
        </w:rPr>
        <w:t>Surs</w:t>
      </w:r>
      <w:r w:rsidR="00F8266E" w:rsidRPr="003F4D72">
        <w:rPr>
          <w:rFonts w:asciiTheme="majorHAnsi" w:eastAsiaTheme="minorHAnsi" w:hAnsiTheme="majorHAnsi" w:cstheme="majorHAnsi"/>
          <w:b/>
          <w:i/>
          <w:noProof/>
          <w:sz w:val="20"/>
          <w:szCs w:val="28"/>
        </w:rPr>
        <w:t>ă</w:t>
      </w:r>
      <w:r w:rsidRPr="003F4D72">
        <w:rPr>
          <w:rFonts w:asciiTheme="majorHAnsi" w:eastAsiaTheme="minorHAnsi" w:hAnsiTheme="majorHAnsi" w:cstheme="majorHAnsi"/>
          <w:b/>
          <w:i/>
          <w:noProof/>
          <w:sz w:val="20"/>
          <w:szCs w:val="28"/>
        </w:rPr>
        <w:t>:</w:t>
      </w:r>
      <w:r w:rsidRPr="003F4D72">
        <w:rPr>
          <w:rFonts w:asciiTheme="majorHAnsi" w:eastAsiaTheme="minorHAnsi" w:hAnsiTheme="majorHAnsi" w:cstheme="majorHAnsi"/>
          <w:i/>
          <w:noProof/>
          <w:sz w:val="20"/>
          <w:szCs w:val="28"/>
        </w:rPr>
        <w:t xml:space="preserve"> Elaborat de audit în baza informației prezentate de CNAMUP</w:t>
      </w:r>
      <w:r w:rsidR="00F8266E" w:rsidRPr="003F4D72">
        <w:rPr>
          <w:rFonts w:asciiTheme="majorHAnsi" w:eastAsiaTheme="minorHAnsi" w:hAnsiTheme="majorHAnsi" w:cstheme="majorHAnsi"/>
          <w:i/>
          <w:noProof/>
          <w:sz w:val="20"/>
          <w:szCs w:val="28"/>
        </w:rPr>
        <w:t>.</w:t>
      </w:r>
    </w:p>
    <w:p w14:paraId="6F732BD1" w14:textId="20BD4DCB" w:rsidR="003655E8" w:rsidRPr="003F4D72" w:rsidRDefault="003655E8" w:rsidP="003655E8">
      <w:pPr>
        <w:spacing w:after="0" w:line="276" w:lineRule="auto"/>
        <w:ind w:firstLine="567"/>
        <w:jc w:val="both"/>
        <w:rPr>
          <w:rFonts w:asciiTheme="majorHAnsi" w:hAnsiTheme="majorHAnsi" w:cstheme="majorHAnsi"/>
          <w:sz w:val="24"/>
        </w:rPr>
      </w:pPr>
      <w:r w:rsidRPr="003F4D72">
        <w:rPr>
          <w:rFonts w:asciiTheme="majorHAnsi" w:hAnsiTheme="majorHAnsi" w:cstheme="majorHAnsi"/>
          <w:sz w:val="24"/>
          <w:shd w:val="clear" w:color="auto" w:fill="FFFFFF"/>
        </w:rPr>
        <w:t>Potrivit datelor, se relevă că</w:t>
      </w:r>
      <w:r w:rsidR="00F8266E" w:rsidRPr="003F4D72">
        <w:rPr>
          <w:rFonts w:asciiTheme="majorHAnsi" w:hAnsiTheme="majorHAnsi" w:cstheme="majorHAnsi"/>
          <w:sz w:val="24"/>
          <w:shd w:val="clear" w:color="auto" w:fill="FFFFFF"/>
        </w:rPr>
        <w:t>,</w:t>
      </w:r>
      <w:r w:rsidRPr="003F4D72">
        <w:rPr>
          <w:rFonts w:asciiTheme="majorHAnsi" w:hAnsiTheme="majorHAnsi" w:cstheme="majorHAnsi"/>
          <w:sz w:val="24"/>
          <w:shd w:val="clear" w:color="auto" w:fill="FFFFFF"/>
        </w:rPr>
        <w:t xml:space="preserve"> deși populația și teritoriul de deservire a</w:t>
      </w:r>
      <w:r w:rsidR="00130A70" w:rsidRPr="003F4D72">
        <w:rPr>
          <w:rFonts w:asciiTheme="majorHAnsi" w:hAnsiTheme="majorHAnsi" w:cstheme="majorHAnsi"/>
          <w:sz w:val="24"/>
          <w:shd w:val="clear" w:color="auto" w:fill="FFFFFF"/>
        </w:rPr>
        <w:t>le</w:t>
      </w:r>
      <w:r w:rsidRPr="003F4D72">
        <w:rPr>
          <w:rFonts w:asciiTheme="majorHAnsi" w:hAnsiTheme="majorHAnsi" w:cstheme="majorHAnsi"/>
          <w:sz w:val="24"/>
          <w:shd w:val="clear" w:color="auto" w:fill="FFFFFF"/>
        </w:rPr>
        <w:t xml:space="preserve"> instituțiilor medicale private a</w:t>
      </w:r>
      <w:r w:rsidR="00130A70" w:rsidRPr="003F4D72">
        <w:rPr>
          <w:rFonts w:asciiTheme="majorHAnsi" w:hAnsiTheme="majorHAnsi" w:cstheme="majorHAnsi"/>
          <w:sz w:val="24"/>
          <w:shd w:val="clear" w:color="auto" w:fill="FFFFFF"/>
        </w:rPr>
        <w:t>u</w:t>
      </w:r>
      <w:r w:rsidRPr="003F4D72">
        <w:rPr>
          <w:rFonts w:asciiTheme="majorHAnsi" w:hAnsiTheme="majorHAnsi" w:cstheme="majorHAnsi"/>
          <w:sz w:val="24"/>
          <w:shd w:val="clear" w:color="auto" w:fill="FFFFFF"/>
        </w:rPr>
        <w:t xml:space="preserve"> rămas constant</w:t>
      </w:r>
      <w:r w:rsidR="00130A70" w:rsidRPr="003F4D72">
        <w:rPr>
          <w:rFonts w:asciiTheme="majorHAnsi" w:hAnsiTheme="majorHAnsi" w:cstheme="majorHAnsi"/>
          <w:sz w:val="24"/>
          <w:shd w:val="clear" w:color="auto" w:fill="FFFFFF"/>
        </w:rPr>
        <w:t>e</w:t>
      </w:r>
      <w:r w:rsidRPr="003F4D72">
        <w:rPr>
          <w:rFonts w:asciiTheme="majorHAnsi" w:hAnsiTheme="majorHAnsi" w:cstheme="majorHAnsi"/>
          <w:sz w:val="24"/>
          <w:shd w:val="clear" w:color="auto" w:fill="FFFFFF"/>
        </w:rPr>
        <w:t xml:space="preserve">, valoarea contractelor s-a majorat, fiind aplicat inițial tariful </w:t>
      </w:r>
      <w:r w:rsidR="00130A70" w:rsidRPr="003F4D72">
        <w:rPr>
          <w:rFonts w:asciiTheme="majorHAnsi" w:hAnsiTheme="majorHAnsi" w:cstheme="majorHAnsi"/>
          <w:sz w:val="24"/>
          <w:shd w:val="clear" w:color="auto" w:fill="FFFFFF"/>
        </w:rPr>
        <w:t>„</w:t>
      </w:r>
      <w:r w:rsidRPr="003F4D72">
        <w:rPr>
          <w:rFonts w:asciiTheme="majorHAnsi" w:hAnsiTheme="majorHAnsi" w:cstheme="majorHAnsi"/>
          <w:sz w:val="24"/>
          <w:shd w:val="clear" w:color="auto" w:fill="FFFFFF"/>
        </w:rPr>
        <w:t xml:space="preserve">per </w:t>
      </w:r>
      <w:proofErr w:type="spellStart"/>
      <w:r w:rsidRPr="003F4D72">
        <w:rPr>
          <w:rFonts w:asciiTheme="majorHAnsi" w:hAnsiTheme="majorHAnsi" w:cstheme="majorHAnsi"/>
          <w:sz w:val="24"/>
          <w:shd w:val="clear" w:color="auto" w:fill="FFFFFF"/>
        </w:rPr>
        <w:t>capita</w:t>
      </w:r>
      <w:proofErr w:type="spellEnd"/>
      <w:r w:rsidRPr="003F4D72">
        <w:rPr>
          <w:rFonts w:asciiTheme="majorHAnsi" w:hAnsiTheme="majorHAnsi" w:cstheme="majorHAnsi"/>
          <w:sz w:val="24"/>
          <w:shd w:val="clear" w:color="auto" w:fill="FFFFFF"/>
        </w:rPr>
        <w:t xml:space="preserve">” </w:t>
      </w:r>
      <w:r w:rsidRPr="003F4D72">
        <w:rPr>
          <w:rFonts w:asciiTheme="majorHAnsi" w:hAnsiTheme="majorHAnsi" w:cstheme="majorHAnsi"/>
          <w:sz w:val="24"/>
        </w:rPr>
        <w:t xml:space="preserve">de 28,2 lei, tarif care nu este </w:t>
      </w:r>
      <w:r w:rsidRPr="003F4D72">
        <w:rPr>
          <w:rFonts w:asciiTheme="majorHAnsi" w:hAnsiTheme="majorHAnsi" w:cstheme="majorHAnsi"/>
          <w:sz w:val="24"/>
          <w:shd w:val="clear" w:color="auto" w:fill="FFFFFF"/>
        </w:rPr>
        <w:t xml:space="preserve">aprobat prin acte normative. </w:t>
      </w:r>
      <w:r w:rsidRPr="003F4D72">
        <w:rPr>
          <w:rFonts w:asciiTheme="majorHAnsi" w:hAnsiTheme="majorHAnsi" w:cstheme="majorHAnsi"/>
          <w:sz w:val="24"/>
        </w:rPr>
        <w:t>Ulterior</w:t>
      </w:r>
      <w:r w:rsidR="00130A70" w:rsidRPr="003F4D72">
        <w:rPr>
          <w:rFonts w:asciiTheme="majorHAnsi" w:hAnsiTheme="majorHAnsi" w:cstheme="majorHAnsi"/>
          <w:sz w:val="24"/>
        </w:rPr>
        <w:t>,</w:t>
      </w:r>
      <w:r w:rsidRPr="003F4D72">
        <w:rPr>
          <w:rFonts w:asciiTheme="majorHAnsi" w:hAnsiTheme="majorHAnsi" w:cstheme="majorHAnsi"/>
          <w:sz w:val="24"/>
        </w:rPr>
        <w:t xml:space="preserve"> </w:t>
      </w:r>
      <w:r w:rsidRPr="003F4D72">
        <w:rPr>
          <w:rFonts w:asciiTheme="majorHAnsi" w:hAnsiTheme="majorHAnsi" w:cstheme="majorHAnsi"/>
          <w:sz w:val="24"/>
          <w:shd w:val="clear" w:color="auto" w:fill="FFFFFF"/>
        </w:rPr>
        <w:t>serviciile pentru lun</w:t>
      </w:r>
      <w:r w:rsidR="00130A70" w:rsidRPr="003F4D72">
        <w:rPr>
          <w:rFonts w:asciiTheme="majorHAnsi" w:hAnsiTheme="majorHAnsi" w:cstheme="majorHAnsi"/>
          <w:sz w:val="24"/>
          <w:shd w:val="clear" w:color="auto" w:fill="FFFFFF"/>
        </w:rPr>
        <w:t>ile</w:t>
      </w:r>
      <w:r w:rsidRPr="003F4D72">
        <w:rPr>
          <w:rFonts w:asciiTheme="majorHAnsi" w:hAnsiTheme="majorHAnsi" w:cstheme="majorHAnsi"/>
          <w:sz w:val="24"/>
          <w:shd w:val="clear" w:color="auto" w:fill="FFFFFF"/>
        </w:rPr>
        <w:t xml:space="preserve"> februarie – decembrie</w:t>
      </w:r>
      <w:r w:rsidRPr="003F4D72">
        <w:rPr>
          <w:rFonts w:asciiTheme="majorHAnsi" w:hAnsiTheme="majorHAnsi" w:cstheme="majorHAnsi"/>
          <w:sz w:val="24"/>
        </w:rPr>
        <w:t xml:space="preserve"> s-a</w:t>
      </w:r>
      <w:r w:rsidR="00130A70" w:rsidRPr="003F4D72">
        <w:rPr>
          <w:rFonts w:asciiTheme="majorHAnsi" w:hAnsiTheme="majorHAnsi" w:cstheme="majorHAnsi"/>
          <w:sz w:val="24"/>
        </w:rPr>
        <w:t>u</w:t>
      </w:r>
      <w:r w:rsidRPr="003F4D72">
        <w:rPr>
          <w:rFonts w:asciiTheme="majorHAnsi" w:hAnsiTheme="majorHAnsi" w:cstheme="majorHAnsi"/>
          <w:sz w:val="24"/>
        </w:rPr>
        <w:t xml:space="preserve"> efectuat </w:t>
      </w:r>
      <w:r w:rsidRPr="003F4D72">
        <w:rPr>
          <w:rFonts w:asciiTheme="majorHAnsi" w:hAnsiTheme="majorHAnsi" w:cstheme="majorHAnsi"/>
          <w:sz w:val="24"/>
          <w:shd w:val="clear" w:color="auto" w:fill="FFFFFF"/>
        </w:rPr>
        <w:t xml:space="preserve">după principiul </w:t>
      </w:r>
      <w:r w:rsidR="008D546D" w:rsidRPr="003F4D72">
        <w:rPr>
          <w:rFonts w:asciiTheme="majorHAnsi" w:hAnsiTheme="majorHAnsi" w:cstheme="majorHAnsi"/>
          <w:sz w:val="24"/>
          <w:shd w:val="clear" w:color="auto" w:fill="FFFFFF"/>
        </w:rPr>
        <w:t>„</w:t>
      </w:r>
      <w:r w:rsidRPr="003F4D72">
        <w:rPr>
          <w:rFonts w:asciiTheme="majorHAnsi" w:hAnsiTheme="majorHAnsi" w:cstheme="majorHAnsi"/>
          <w:sz w:val="24"/>
          <w:shd w:val="clear" w:color="auto" w:fill="FFFFFF"/>
        </w:rPr>
        <w:t>buget global”</w:t>
      </w:r>
      <w:r w:rsidR="008D546D" w:rsidRPr="003F4D72">
        <w:rPr>
          <w:rFonts w:asciiTheme="majorHAnsi" w:hAnsiTheme="majorHAnsi" w:cstheme="majorHAnsi"/>
          <w:sz w:val="24"/>
          <w:shd w:val="clear" w:color="auto" w:fill="FFFFFF"/>
        </w:rPr>
        <w:t>,</w:t>
      </w:r>
      <w:r w:rsidRPr="003F4D72">
        <w:rPr>
          <w:rFonts w:asciiTheme="majorHAnsi" w:hAnsiTheme="majorHAnsi" w:cstheme="majorHAnsi"/>
          <w:sz w:val="24"/>
          <w:shd w:val="clear" w:color="auto" w:fill="FFFFFF"/>
        </w:rPr>
        <w:t xml:space="preserve"> </w:t>
      </w:r>
      <w:r w:rsidRPr="003F4D72">
        <w:rPr>
          <w:rFonts w:asciiTheme="majorHAnsi" w:hAnsiTheme="majorHAnsi" w:cstheme="majorHAnsi"/>
          <w:sz w:val="24"/>
        </w:rPr>
        <w:t>fiind contractate cu 140,8 lei, deși în oferte instituțiile medicale private au indicat tariful de 169 lei.</w:t>
      </w:r>
    </w:p>
    <w:p w14:paraId="6193B251" w14:textId="77777777" w:rsidR="003655E8" w:rsidRPr="003F4D72" w:rsidRDefault="003655E8" w:rsidP="003655E8">
      <w:pPr>
        <w:spacing w:after="0" w:line="276" w:lineRule="auto"/>
        <w:ind w:firstLine="567"/>
        <w:jc w:val="both"/>
        <w:rPr>
          <w:rFonts w:asciiTheme="majorHAnsi" w:hAnsiTheme="majorHAnsi" w:cstheme="majorHAnsi"/>
          <w:sz w:val="24"/>
        </w:rPr>
      </w:pPr>
      <w:r w:rsidRPr="003F4D72">
        <w:rPr>
          <w:rFonts w:asciiTheme="majorHAnsi" w:hAnsiTheme="majorHAnsi" w:cstheme="majorHAnsi"/>
          <w:sz w:val="24"/>
        </w:rPr>
        <w:lastRenderedPageBreak/>
        <w:t xml:space="preserve">În aspectul </w:t>
      </w:r>
      <w:r w:rsidRPr="003F4D72">
        <w:rPr>
          <w:rFonts w:asciiTheme="majorHAnsi" w:hAnsiTheme="majorHAnsi" w:cstheme="majorHAnsi"/>
          <w:i/>
          <w:sz w:val="24"/>
        </w:rPr>
        <w:t xml:space="preserve">regularității </w:t>
      </w:r>
      <w:r w:rsidRPr="003F4D72">
        <w:rPr>
          <w:rFonts w:asciiTheme="majorHAnsi" w:hAnsiTheme="majorHAnsi" w:cstheme="majorHAnsi"/>
          <w:sz w:val="24"/>
        </w:rPr>
        <w:t>contractării instituțiilor medicale private și achitării de către CNAMUP a serviciilor prespitalicești de asistență medicală urgentă din mijloacele financiare a FAOAM, acordate de către CNAM în baza contractului încheiat cu CNAMUP, auditul public extern menționează următoarele.</w:t>
      </w:r>
    </w:p>
    <w:p w14:paraId="7A2CCA8E" w14:textId="63CFDA6C" w:rsidR="003655E8" w:rsidRPr="003F4D72" w:rsidRDefault="003655E8" w:rsidP="003655E8">
      <w:pPr>
        <w:spacing w:after="0" w:line="276" w:lineRule="auto"/>
        <w:ind w:firstLine="567"/>
        <w:jc w:val="both"/>
        <w:rPr>
          <w:rFonts w:asciiTheme="majorHAnsi" w:hAnsiTheme="majorHAnsi" w:cstheme="majorHAnsi"/>
          <w:sz w:val="24"/>
        </w:rPr>
      </w:pPr>
      <w:r w:rsidRPr="003F4D72">
        <w:rPr>
          <w:rFonts w:asciiTheme="majorHAnsi" w:hAnsiTheme="majorHAnsi" w:cstheme="majorHAnsi"/>
          <w:sz w:val="24"/>
          <w:shd w:val="clear" w:color="auto" w:fill="FFFFFF"/>
        </w:rPr>
        <w:t xml:space="preserve">CNAMUP a aplicat procedura de achiziție a serviciilor medicale prin negociere fără publicarea prealabilă a unui anunț de participare, cu desfășurarea ulterioară a procedurii de licitație deschisă, deși serviciile medicale nu se supun reglementărilor și nu cad sub incidența Legii </w:t>
      </w:r>
      <w:r w:rsidR="008D546D" w:rsidRPr="003F4D72">
        <w:rPr>
          <w:rFonts w:asciiTheme="majorHAnsi" w:hAnsiTheme="majorHAnsi" w:cstheme="majorHAnsi"/>
          <w:sz w:val="24"/>
          <w:shd w:val="clear" w:color="auto" w:fill="FFFFFF"/>
        </w:rPr>
        <w:t>nr.</w:t>
      </w:r>
      <w:r w:rsidRPr="003F4D72">
        <w:rPr>
          <w:rFonts w:asciiTheme="majorHAnsi" w:hAnsiTheme="majorHAnsi" w:cstheme="majorHAnsi"/>
          <w:sz w:val="24"/>
          <w:shd w:val="clear" w:color="auto" w:fill="FFFFFF"/>
        </w:rPr>
        <w:t>131 din 03.07.2015 privind achizițiile publice.</w:t>
      </w:r>
    </w:p>
    <w:p w14:paraId="23639077" w14:textId="195E36A5" w:rsidR="003655E8" w:rsidRPr="003F4D72" w:rsidRDefault="003655E8" w:rsidP="003655E8">
      <w:pPr>
        <w:spacing w:after="0" w:line="276" w:lineRule="auto"/>
        <w:ind w:firstLine="567"/>
        <w:contextualSpacing/>
        <w:jc w:val="both"/>
        <w:rPr>
          <w:rFonts w:asciiTheme="majorHAnsi" w:eastAsiaTheme="minorHAnsi" w:hAnsiTheme="majorHAnsi" w:cstheme="majorHAnsi"/>
          <w:i/>
          <w:sz w:val="24"/>
          <w:shd w:val="clear" w:color="auto" w:fill="FFFFFF"/>
        </w:rPr>
      </w:pPr>
      <w:r w:rsidRPr="003F4D72">
        <w:rPr>
          <w:rFonts w:asciiTheme="majorHAnsi" w:hAnsiTheme="majorHAnsi" w:cstheme="majorHAnsi"/>
          <w:sz w:val="24"/>
        </w:rPr>
        <w:t xml:space="preserve">Totodată, deși CNAM este unicul administrator al FAOAM, în contractele încheiate </w:t>
      </w:r>
      <w:r w:rsidRPr="003F4D72">
        <w:rPr>
          <w:rFonts w:asciiTheme="majorHAnsi" w:hAnsiTheme="majorHAnsi" w:cstheme="majorHAnsi"/>
          <w:noProof/>
          <w:sz w:val="24"/>
        </w:rPr>
        <w:t>între CNAMUP și instituții medicale private</w:t>
      </w:r>
      <w:r w:rsidRPr="003F4D72">
        <w:rPr>
          <w:rFonts w:asciiTheme="majorHAnsi" w:hAnsiTheme="majorHAnsi" w:cstheme="majorHAnsi"/>
          <w:bCs/>
          <w:color w:val="000000"/>
          <w:sz w:val="24"/>
        </w:rPr>
        <w:t>, CNAMUP dispune de prevederi de gestionare a mijloacelor financiare provenite din fondurile de asigurări, și anume:</w:t>
      </w:r>
      <w:r w:rsidRPr="003F4D72">
        <w:rPr>
          <w:rFonts w:asciiTheme="majorHAnsi" w:eastAsiaTheme="minorHAnsi" w:hAnsiTheme="majorHAnsi" w:cstheme="majorHAnsi"/>
          <w:sz w:val="24"/>
          <w:shd w:val="clear" w:color="auto" w:fill="FFFFFF"/>
        </w:rPr>
        <w:t xml:space="preserve"> </w:t>
      </w:r>
      <w:r w:rsidRPr="003F4D72">
        <w:rPr>
          <w:rFonts w:asciiTheme="majorHAnsi" w:eastAsiaTheme="minorHAnsi" w:hAnsiTheme="majorHAnsi" w:cstheme="majorHAnsi"/>
          <w:i/>
          <w:sz w:val="24"/>
          <w:shd w:val="clear" w:color="auto" w:fill="FFFFFF"/>
        </w:rPr>
        <w:t xml:space="preserve">instituția (CNAMUP) se obligă să verifice respectarea corespunderii cu clauzele contractului de acordare a asistenței medicale a volumului, calității, termenelor </w:t>
      </w:r>
      <w:proofErr w:type="spellStart"/>
      <w:r w:rsidRPr="003F4D72">
        <w:rPr>
          <w:rFonts w:asciiTheme="majorHAnsi" w:eastAsiaTheme="minorHAnsi" w:hAnsiTheme="majorHAnsi" w:cstheme="majorHAnsi"/>
          <w:i/>
          <w:sz w:val="24"/>
          <w:shd w:val="clear" w:color="auto" w:fill="FFFFFF"/>
        </w:rPr>
        <w:t>şi</w:t>
      </w:r>
      <w:proofErr w:type="spellEnd"/>
      <w:r w:rsidRPr="003F4D72">
        <w:rPr>
          <w:rFonts w:asciiTheme="majorHAnsi" w:eastAsiaTheme="minorHAnsi" w:hAnsiTheme="majorHAnsi" w:cstheme="majorHAnsi"/>
          <w:i/>
          <w:sz w:val="24"/>
          <w:shd w:val="clear" w:color="auto" w:fill="FFFFFF"/>
        </w:rPr>
        <w:t xml:space="preserve"> costului asistenței medicale acordate persoanelor, precum și gestionarea mijloacelor financiare provenite din FAOAM (pct.3.2 din contracte), inclusiv dacă echipele instituțiilor medicale private care au acordat servicii medicale urgente prespitalicești au fost dotate corespunzător prevederilor ordinului MSMPS nr.430 din 03.04.2019 (pct.3.2 din contracte)</w:t>
      </w:r>
      <w:r w:rsidR="008D546D" w:rsidRPr="003F4D72">
        <w:rPr>
          <w:rFonts w:asciiTheme="majorHAnsi" w:eastAsiaTheme="minorHAnsi" w:hAnsiTheme="majorHAnsi" w:cstheme="majorHAnsi"/>
          <w:i/>
          <w:sz w:val="24"/>
          <w:shd w:val="clear" w:color="auto" w:fill="FFFFFF"/>
        </w:rPr>
        <w:t xml:space="preserve"> </w:t>
      </w:r>
      <w:r w:rsidRPr="003F4D72">
        <w:rPr>
          <w:rFonts w:asciiTheme="majorHAnsi" w:eastAsiaTheme="minorHAnsi" w:hAnsiTheme="majorHAnsi" w:cstheme="majorHAnsi"/>
          <w:i/>
          <w:sz w:val="24"/>
          <w:shd w:val="clear" w:color="auto" w:fill="FFFFFF"/>
        </w:rPr>
        <w:t>etc.</w:t>
      </w:r>
    </w:p>
    <w:p w14:paraId="4FF3F59D" w14:textId="309A940C" w:rsidR="00775A1E" w:rsidRPr="003F4D72" w:rsidRDefault="00BC0C67" w:rsidP="00B26F2C">
      <w:pPr>
        <w:spacing w:after="0" w:line="276" w:lineRule="auto"/>
        <w:ind w:firstLine="567"/>
        <w:jc w:val="both"/>
        <w:rPr>
          <w:rFonts w:asciiTheme="majorHAnsi" w:hAnsiTheme="majorHAnsi" w:cstheme="majorHAnsi"/>
          <w:sz w:val="24"/>
          <w:shd w:val="clear" w:color="auto" w:fill="FFFFFF"/>
        </w:rPr>
      </w:pPr>
      <w:r w:rsidRPr="003F4D72">
        <w:rPr>
          <w:rFonts w:asciiTheme="majorHAnsi" w:hAnsiTheme="majorHAnsi" w:cstheme="majorHAnsi"/>
          <w:sz w:val="24"/>
          <w:shd w:val="clear" w:color="auto" w:fill="FFFFFF"/>
        </w:rPr>
        <w:t>În opinia auditului</w:t>
      </w:r>
      <w:r w:rsidR="008D546D" w:rsidRPr="003F4D72">
        <w:rPr>
          <w:rFonts w:asciiTheme="majorHAnsi" w:hAnsiTheme="majorHAnsi" w:cstheme="majorHAnsi"/>
          <w:sz w:val="24"/>
          <w:shd w:val="clear" w:color="auto" w:fill="FFFFFF"/>
        </w:rPr>
        <w:t>,</w:t>
      </w:r>
      <w:r w:rsidRPr="003F4D72">
        <w:rPr>
          <w:rFonts w:asciiTheme="majorHAnsi" w:hAnsiTheme="majorHAnsi" w:cstheme="majorHAnsi"/>
          <w:sz w:val="24"/>
          <w:shd w:val="clear" w:color="auto" w:fill="FFFFFF"/>
        </w:rPr>
        <w:t xml:space="preserve"> evaluările menționate nu se încadrează în atribuțiile instituției medicale, deoarece procesele de contractare, evaluare a volumului de servicii medicale din FAOAM </w:t>
      </w:r>
      <w:r w:rsidR="008D546D" w:rsidRPr="003F4D72">
        <w:rPr>
          <w:rFonts w:asciiTheme="majorHAnsi" w:hAnsiTheme="majorHAnsi" w:cstheme="majorHAnsi"/>
          <w:sz w:val="24"/>
          <w:shd w:val="clear" w:color="auto" w:fill="FFFFFF"/>
        </w:rPr>
        <w:t>revin</w:t>
      </w:r>
      <w:r w:rsidRPr="003F4D72">
        <w:rPr>
          <w:rFonts w:asciiTheme="majorHAnsi" w:hAnsiTheme="majorHAnsi" w:cstheme="majorHAnsi"/>
          <w:sz w:val="24"/>
          <w:shd w:val="clear" w:color="auto" w:fill="FFFFFF"/>
        </w:rPr>
        <w:t xml:space="preserve"> CNAM. Totodată, în această situație </w:t>
      </w:r>
      <w:r w:rsidR="003655E8" w:rsidRPr="003F4D72">
        <w:rPr>
          <w:rFonts w:asciiTheme="majorHAnsi" w:hAnsiTheme="majorHAnsi" w:cstheme="majorHAnsi"/>
          <w:sz w:val="24"/>
          <w:shd w:val="clear" w:color="auto" w:fill="FFFFFF"/>
        </w:rPr>
        <w:t xml:space="preserve">CNAM nu dispune de </w:t>
      </w:r>
      <w:r w:rsidR="003655E8" w:rsidRPr="003F4D72">
        <w:rPr>
          <w:rFonts w:asciiTheme="majorHAnsi" w:hAnsiTheme="majorHAnsi" w:cstheme="majorHAnsi"/>
          <w:sz w:val="24"/>
        </w:rPr>
        <w:t>posibilitatea evaluării</w:t>
      </w:r>
      <w:r w:rsidR="003655E8" w:rsidRPr="003F4D72">
        <w:rPr>
          <w:rFonts w:asciiTheme="majorHAnsi" w:hAnsiTheme="majorHAnsi" w:cstheme="majorHAnsi"/>
          <w:sz w:val="24"/>
          <w:shd w:val="clear" w:color="auto" w:fill="FFFFFF"/>
        </w:rPr>
        <w:t xml:space="preserve"> și monitorizării volumului de asistență medicală prestat de către SRL </w:t>
      </w:r>
      <w:r w:rsidR="008D546D" w:rsidRPr="003F4D72">
        <w:rPr>
          <w:rFonts w:asciiTheme="majorHAnsi" w:hAnsiTheme="majorHAnsi" w:cstheme="majorHAnsi"/>
          <w:sz w:val="24"/>
          <w:shd w:val="clear" w:color="auto" w:fill="FFFFFF"/>
        </w:rPr>
        <w:t>„</w:t>
      </w:r>
      <w:proofErr w:type="spellStart"/>
      <w:r w:rsidR="003655E8" w:rsidRPr="003F4D72">
        <w:rPr>
          <w:rFonts w:asciiTheme="majorHAnsi" w:hAnsiTheme="majorHAnsi" w:cstheme="majorHAnsi"/>
          <w:sz w:val="24"/>
          <w:shd w:val="clear" w:color="auto" w:fill="FFFFFF"/>
        </w:rPr>
        <w:t>Alvimed</w:t>
      </w:r>
      <w:proofErr w:type="spellEnd"/>
      <w:r w:rsidR="008D546D" w:rsidRPr="003F4D72">
        <w:rPr>
          <w:rFonts w:asciiTheme="majorHAnsi" w:hAnsiTheme="majorHAnsi" w:cstheme="majorHAnsi"/>
          <w:sz w:val="24"/>
          <w:shd w:val="clear" w:color="auto" w:fill="FFFFFF"/>
        </w:rPr>
        <w:t>”</w:t>
      </w:r>
      <w:r w:rsidR="003655E8" w:rsidRPr="003F4D72">
        <w:rPr>
          <w:rFonts w:asciiTheme="majorHAnsi" w:hAnsiTheme="majorHAnsi" w:cstheme="majorHAnsi"/>
          <w:sz w:val="24"/>
          <w:shd w:val="clear" w:color="auto" w:fill="FFFFFF"/>
        </w:rPr>
        <w:t xml:space="preserve"> și SRL </w:t>
      </w:r>
      <w:r w:rsidR="008D546D" w:rsidRPr="003F4D72">
        <w:rPr>
          <w:rFonts w:asciiTheme="majorHAnsi" w:hAnsiTheme="majorHAnsi" w:cstheme="majorHAnsi"/>
          <w:sz w:val="24"/>
          <w:shd w:val="clear" w:color="auto" w:fill="FFFFFF"/>
        </w:rPr>
        <w:t>„</w:t>
      </w:r>
      <w:proofErr w:type="spellStart"/>
      <w:r w:rsidR="003655E8" w:rsidRPr="003F4D72">
        <w:rPr>
          <w:rFonts w:asciiTheme="majorHAnsi" w:hAnsiTheme="majorHAnsi" w:cstheme="majorHAnsi"/>
          <w:sz w:val="24"/>
          <w:shd w:val="clear" w:color="auto" w:fill="FFFFFF"/>
        </w:rPr>
        <w:t>Calmet-Nalcas</w:t>
      </w:r>
      <w:proofErr w:type="spellEnd"/>
      <w:r w:rsidR="008D546D" w:rsidRPr="003F4D72">
        <w:rPr>
          <w:rFonts w:asciiTheme="majorHAnsi" w:hAnsiTheme="majorHAnsi" w:cstheme="majorHAnsi"/>
          <w:sz w:val="24"/>
          <w:shd w:val="clear" w:color="auto" w:fill="FFFFFF"/>
        </w:rPr>
        <w:t>”,</w:t>
      </w:r>
      <w:r w:rsidR="003655E8" w:rsidRPr="003F4D72">
        <w:rPr>
          <w:rFonts w:asciiTheme="majorHAnsi" w:hAnsiTheme="majorHAnsi" w:cstheme="majorHAnsi"/>
          <w:sz w:val="24"/>
          <w:shd w:val="clear" w:color="auto" w:fill="FFFFFF"/>
        </w:rPr>
        <w:t xml:space="preserve"> </w:t>
      </w:r>
      <w:r w:rsidR="008D546D" w:rsidRPr="003F4D72">
        <w:rPr>
          <w:rFonts w:asciiTheme="majorHAnsi" w:hAnsiTheme="majorHAnsi" w:cstheme="majorHAnsi"/>
          <w:sz w:val="24"/>
          <w:shd w:val="clear" w:color="auto" w:fill="FFFFFF"/>
        </w:rPr>
        <w:t>inclusiv</w:t>
      </w:r>
      <w:r w:rsidR="003655E8" w:rsidRPr="003F4D72">
        <w:rPr>
          <w:rFonts w:asciiTheme="majorHAnsi" w:hAnsiTheme="majorHAnsi" w:cstheme="majorHAnsi"/>
          <w:sz w:val="24"/>
          <w:shd w:val="clear" w:color="auto" w:fill="FFFFFF"/>
        </w:rPr>
        <w:t xml:space="preserve"> verificarea utilizării mijloacelor financiare</w:t>
      </w:r>
      <w:r w:rsidRPr="003F4D72">
        <w:rPr>
          <w:rFonts w:asciiTheme="majorHAnsi" w:hAnsiTheme="majorHAnsi" w:cstheme="majorHAnsi"/>
          <w:sz w:val="24"/>
          <w:shd w:val="clear" w:color="auto" w:fill="FFFFFF"/>
        </w:rPr>
        <w:t>.</w:t>
      </w:r>
    </w:p>
    <w:p w14:paraId="150FB9D7" w14:textId="77777777" w:rsidR="00775A1E" w:rsidRPr="003F4D72" w:rsidRDefault="00775A1E" w:rsidP="003655E8">
      <w:pPr>
        <w:spacing w:after="0"/>
        <w:jc w:val="both"/>
        <w:rPr>
          <w:rFonts w:asciiTheme="majorHAnsi" w:hAnsiTheme="majorHAnsi" w:cstheme="majorHAnsi"/>
          <w:b/>
          <w:sz w:val="24"/>
          <w:szCs w:val="24"/>
        </w:rPr>
      </w:pPr>
    </w:p>
    <w:p w14:paraId="60C7E1E6" w14:textId="36002683" w:rsidR="003655E8" w:rsidRPr="003F4D72" w:rsidRDefault="00023B8B" w:rsidP="003655E8">
      <w:pPr>
        <w:spacing w:after="0"/>
        <w:jc w:val="both"/>
        <w:rPr>
          <w:rFonts w:asciiTheme="majorHAnsi" w:hAnsiTheme="majorHAnsi" w:cstheme="majorHAnsi"/>
          <w:b/>
          <w:bCs/>
          <w:iCs/>
          <w:sz w:val="24"/>
          <w:szCs w:val="24"/>
        </w:rPr>
      </w:pPr>
      <w:r w:rsidRPr="003F4D72">
        <w:rPr>
          <w:rFonts w:asciiTheme="majorHAnsi" w:hAnsiTheme="majorHAnsi" w:cstheme="majorHAnsi"/>
          <w:b/>
          <w:sz w:val="24"/>
          <w:szCs w:val="24"/>
        </w:rPr>
        <w:t>5.3</w:t>
      </w:r>
      <w:r w:rsidR="003655E8" w:rsidRPr="003F4D72">
        <w:rPr>
          <w:rFonts w:asciiTheme="majorHAnsi" w:hAnsiTheme="majorHAnsi" w:cstheme="majorHAnsi"/>
          <w:b/>
          <w:sz w:val="24"/>
          <w:szCs w:val="24"/>
        </w:rPr>
        <w:t>.</w:t>
      </w:r>
      <w:r w:rsidR="003655E8" w:rsidRPr="003F4D72">
        <w:rPr>
          <w:rFonts w:asciiTheme="majorHAnsi" w:hAnsiTheme="majorHAnsi" w:cstheme="majorHAnsi"/>
          <w:b/>
          <w:bCs/>
          <w:iCs/>
          <w:sz w:val="24"/>
          <w:szCs w:val="24"/>
        </w:rPr>
        <w:t xml:space="preserve"> Tarifele aplicate la contractarea și finanțarea IMSP nu sunt bazate pe costurile serviciilor medicale, prestate de către instituțiile medicale.</w:t>
      </w:r>
    </w:p>
    <w:p w14:paraId="6F322817" w14:textId="77777777" w:rsidR="003655E8" w:rsidRPr="003F4D72" w:rsidRDefault="003655E8" w:rsidP="003655E8">
      <w:pPr>
        <w:pStyle w:val="NormalWeb"/>
        <w:spacing w:line="276" w:lineRule="auto"/>
        <w:ind w:firstLine="709"/>
        <w:rPr>
          <w:rFonts w:asciiTheme="majorHAnsi" w:hAnsiTheme="majorHAnsi" w:cstheme="majorHAnsi"/>
          <w:szCs w:val="28"/>
          <w:lang w:val="ro-MD"/>
        </w:rPr>
      </w:pPr>
      <w:r w:rsidRPr="003F4D72">
        <w:rPr>
          <w:rFonts w:asciiTheme="majorHAnsi" w:hAnsiTheme="majorHAnsi" w:cstheme="majorHAnsi"/>
          <w:szCs w:val="28"/>
          <w:lang w:val="ro-MD"/>
        </w:rPr>
        <w:t>În anul 2020 contractarea și achitarea serviciilor medicale s-a efectuat cu aplicarea tarifelor</w:t>
      </w:r>
      <w:r w:rsidRPr="003F4D72">
        <w:rPr>
          <w:rStyle w:val="FootnoteReference"/>
          <w:rFonts w:asciiTheme="majorHAnsi" w:hAnsiTheme="majorHAnsi" w:cstheme="majorHAnsi"/>
          <w:szCs w:val="28"/>
          <w:lang w:val="ro-MD"/>
        </w:rPr>
        <w:footnoteReference w:id="22"/>
      </w:r>
      <w:r w:rsidRPr="003F4D72">
        <w:rPr>
          <w:rFonts w:asciiTheme="majorHAnsi" w:hAnsiTheme="majorHAnsi" w:cstheme="majorHAnsi"/>
          <w:szCs w:val="28"/>
          <w:lang w:val="ro-MD"/>
        </w:rPr>
        <w:t xml:space="preserve"> aprobate de MSMPS</w:t>
      </w:r>
      <w:r w:rsidRPr="003F4D72">
        <w:rPr>
          <w:rStyle w:val="FootnoteReference"/>
          <w:rFonts w:asciiTheme="majorHAnsi" w:hAnsiTheme="majorHAnsi" w:cstheme="majorHAnsi"/>
          <w:szCs w:val="28"/>
          <w:lang w:val="ro-MD"/>
        </w:rPr>
        <w:footnoteReference w:id="23"/>
      </w:r>
      <w:r w:rsidRPr="003F4D72">
        <w:rPr>
          <w:rFonts w:asciiTheme="majorHAnsi" w:hAnsiTheme="majorHAnsi" w:cstheme="majorHAnsi"/>
          <w:szCs w:val="28"/>
          <w:lang w:val="ro-MD"/>
        </w:rPr>
        <w:t>, iar serviciile medicale în cadrul programelor speciale, cazurile cronice de geriatrie și reabilitare au fost contractate cu aplicarea tarifelor aprobate pentru anul 2019</w:t>
      </w:r>
      <w:r w:rsidRPr="003F4D72">
        <w:rPr>
          <w:rStyle w:val="FootnoteReference"/>
          <w:rFonts w:asciiTheme="majorHAnsi" w:hAnsiTheme="majorHAnsi" w:cstheme="majorHAnsi"/>
          <w:szCs w:val="28"/>
          <w:lang w:val="ro-MD"/>
        </w:rPr>
        <w:footnoteReference w:id="24"/>
      </w:r>
      <w:r w:rsidRPr="003F4D72">
        <w:rPr>
          <w:rFonts w:asciiTheme="majorHAnsi" w:hAnsiTheme="majorHAnsi" w:cstheme="majorHAnsi"/>
          <w:szCs w:val="28"/>
          <w:lang w:val="ro-MD"/>
        </w:rPr>
        <w:t xml:space="preserve">. Pentru serviciile medicale destinate tratamentului spitalicesc al pacienților infectați cu Covid-19 a fost aprobat și contractat </w:t>
      </w:r>
      <w:r w:rsidRPr="003F4D72">
        <w:rPr>
          <w:rFonts w:asciiTheme="majorHAnsi" w:hAnsiTheme="majorHAnsi" w:cstheme="majorHAnsi"/>
          <w:i/>
          <w:szCs w:val="28"/>
          <w:lang w:val="ro-MD"/>
        </w:rPr>
        <w:t xml:space="preserve">programul special </w:t>
      </w:r>
      <w:proofErr w:type="spellStart"/>
      <w:r w:rsidRPr="003F4D72">
        <w:rPr>
          <w:rFonts w:asciiTheme="majorHAnsi" w:hAnsiTheme="majorHAnsi" w:cstheme="majorHAnsi"/>
          <w:i/>
          <w:szCs w:val="28"/>
          <w:lang w:val="ro-MD"/>
        </w:rPr>
        <w:t>Covid</w:t>
      </w:r>
      <w:proofErr w:type="spellEnd"/>
      <w:r w:rsidRPr="003F4D72">
        <w:rPr>
          <w:rFonts w:asciiTheme="majorHAnsi" w:hAnsiTheme="majorHAnsi" w:cstheme="majorHAnsi"/>
          <w:i/>
          <w:szCs w:val="28"/>
          <w:lang w:val="ro-MD"/>
        </w:rPr>
        <w:t xml:space="preserve"> -19</w:t>
      </w:r>
      <w:r w:rsidRPr="003F4D72">
        <w:rPr>
          <w:rFonts w:asciiTheme="majorHAnsi" w:hAnsiTheme="majorHAnsi" w:cstheme="majorHAnsi"/>
          <w:szCs w:val="28"/>
          <w:lang w:val="ro-MD"/>
        </w:rPr>
        <w:t xml:space="preserve">, iar tariful pentru un caz tratat a constituit 4667 lei. </w:t>
      </w:r>
    </w:p>
    <w:p w14:paraId="7238FE00" w14:textId="4E377485" w:rsidR="003655E8" w:rsidRPr="003F4D72" w:rsidRDefault="003655E8" w:rsidP="003655E8">
      <w:pPr>
        <w:pStyle w:val="NormalWeb"/>
        <w:spacing w:line="276" w:lineRule="auto"/>
        <w:ind w:firstLine="709"/>
        <w:rPr>
          <w:rFonts w:asciiTheme="majorHAnsi" w:hAnsiTheme="majorHAnsi" w:cstheme="majorHAnsi"/>
          <w:lang w:val="ro-MD"/>
        </w:rPr>
      </w:pPr>
      <w:r w:rsidRPr="003F4D72">
        <w:rPr>
          <w:rFonts w:asciiTheme="majorHAnsi" w:hAnsiTheme="majorHAnsi" w:cstheme="majorHAnsi"/>
          <w:lang w:val="ro-MD"/>
        </w:rPr>
        <w:t xml:space="preserve">Deși cadrul normativ stabilește cerințe exacte cu privite la componența și elementele de constituire a tarifelor, tarifele serviciilor medicale nu au fost ajustate reieșind din </w:t>
      </w:r>
      <w:r w:rsidRPr="003F4D72">
        <w:rPr>
          <w:rFonts w:asciiTheme="majorHAnsi" w:hAnsiTheme="majorHAnsi" w:cstheme="majorHAnsi"/>
          <w:color w:val="333333"/>
          <w:lang w:val="ro-MD"/>
        </w:rPr>
        <w:t>componența </w:t>
      </w:r>
      <w:r w:rsidRPr="003F4D72">
        <w:rPr>
          <w:rFonts w:asciiTheme="majorHAnsi" w:hAnsiTheme="majorHAnsi" w:cstheme="majorHAnsi"/>
          <w:lang w:val="ro-MD"/>
        </w:rPr>
        <w:t>costurilor /cheltuielilor</w:t>
      </w:r>
      <w:r w:rsidRPr="003F4D72">
        <w:rPr>
          <w:rFonts w:asciiTheme="majorHAnsi" w:hAnsiTheme="majorHAnsi" w:cstheme="majorHAnsi"/>
          <w:shd w:val="clear" w:color="auto" w:fill="FFFFFF"/>
          <w:lang w:val="ro-MD"/>
        </w:rPr>
        <w:t>.</w:t>
      </w:r>
      <w:r w:rsidR="00815A71" w:rsidRPr="003F4D72">
        <w:rPr>
          <w:rFonts w:asciiTheme="majorHAnsi" w:hAnsiTheme="majorHAnsi" w:cstheme="majorHAnsi"/>
          <w:shd w:val="clear" w:color="auto" w:fill="FFFFFF"/>
          <w:lang w:val="ro-MD"/>
        </w:rPr>
        <w:t xml:space="preserve"> </w:t>
      </w:r>
      <w:r w:rsidRPr="003F4D72">
        <w:rPr>
          <w:rFonts w:asciiTheme="majorHAnsi" w:hAnsiTheme="majorHAnsi" w:cstheme="majorHAnsi"/>
          <w:iCs/>
          <w:szCs w:val="28"/>
          <w:lang w:val="ro-MD"/>
        </w:rPr>
        <w:t xml:space="preserve">Astfel, în condițiile în care salariile de funcție ale angajaților </w:t>
      </w:r>
      <w:r w:rsidRPr="003F4D72">
        <w:rPr>
          <w:rFonts w:asciiTheme="majorHAnsi" w:hAnsiTheme="majorHAnsi" w:cstheme="majorHAnsi"/>
          <w:iCs/>
          <w:szCs w:val="28"/>
          <w:lang w:val="ro-MD"/>
        </w:rPr>
        <w:lastRenderedPageBreak/>
        <w:t>din instituțiile medicale au fost majorate cu 30 %</w:t>
      </w:r>
      <w:r w:rsidRPr="003F4D72">
        <w:rPr>
          <w:rStyle w:val="FootnoteReference"/>
          <w:rFonts w:asciiTheme="majorHAnsi" w:hAnsiTheme="majorHAnsi" w:cstheme="majorHAnsi"/>
          <w:iCs/>
          <w:szCs w:val="28"/>
          <w:lang w:val="ro-MD"/>
        </w:rPr>
        <w:footnoteReference w:id="25"/>
      </w:r>
      <w:r w:rsidRPr="003F4D72">
        <w:rPr>
          <w:rFonts w:asciiTheme="majorHAnsi" w:hAnsiTheme="majorHAnsi" w:cstheme="majorHAnsi"/>
          <w:iCs/>
          <w:szCs w:val="28"/>
          <w:lang w:val="ro-MD"/>
        </w:rPr>
        <w:t xml:space="preserve">, în funcție de categoria de personal, aceste creșteri salariale nu au fost incluse în tarifele serviciilor medicale, fiind acordate separat </w:t>
      </w:r>
      <w:r w:rsidRPr="003F4D72">
        <w:rPr>
          <w:rFonts w:asciiTheme="majorHAnsi" w:hAnsiTheme="majorHAnsi" w:cstheme="majorHAnsi"/>
          <w:szCs w:val="28"/>
          <w:lang w:val="ro-MD"/>
        </w:rPr>
        <w:t>sub formă de „subvenții pentru acoperirea creșterii cheltuielilor de personal”.</w:t>
      </w:r>
      <w:r w:rsidRPr="003F4D72">
        <w:rPr>
          <w:rFonts w:asciiTheme="majorHAnsi" w:hAnsiTheme="majorHAnsi"/>
          <w:lang w:val="ro-MD"/>
        </w:rPr>
        <w:t xml:space="preserve"> </w:t>
      </w:r>
    </w:p>
    <w:p w14:paraId="0F754BC0" w14:textId="407DFFDD" w:rsidR="003655E8" w:rsidRPr="003F4D72" w:rsidRDefault="003655E8" w:rsidP="003655E8">
      <w:pPr>
        <w:spacing w:after="0" w:line="276" w:lineRule="auto"/>
        <w:ind w:firstLine="709"/>
        <w:jc w:val="both"/>
        <w:rPr>
          <w:rFonts w:asciiTheme="majorHAnsi" w:hAnsiTheme="majorHAnsi" w:cstheme="majorHAnsi"/>
          <w:bCs/>
          <w:iCs/>
          <w:color w:val="000000"/>
          <w:sz w:val="24"/>
          <w:szCs w:val="24"/>
        </w:rPr>
      </w:pPr>
      <w:r w:rsidRPr="003F4D72">
        <w:rPr>
          <w:rFonts w:asciiTheme="majorHAnsi" w:hAnsiTheme="majorHAnsi" w:cstheme="majorHAnsi"/>
          <w:bCs/>
          <w:iCs/>
          <w:color w:val="000000"/>
          <w:sz w:val="24"/>
          <w:szCs w:val="24"/>
        </w:rPr>
        <w:t xml:space="preserve">În anul 2020, CNAM a acordat subvenții pentru acoperirea creșterii cheltuielilor de personal, în sumă de 354,9 mil.lei, pentru 313 instituții medico-sanitare publice, dintre care: </w:t>
      </w:r>
      <w:r w:rsidRPr="003F4D72">
        <w:rPr>
          <w:rFonts w:asciiTheme="majorHAnsi" w:hAnsiTheme="majorHAnsi" w:cstheme="majorHAnsi"/>
          <w:iCs/>
          <w:sz w:val="24"/>
          <w:szCs w:val="24"/>
        </w:rPr>
        <w:t xml:space="preserve">247 </w:t>
      </w:r>
      <w:r w:rsidR="009E4B4F" w:rsidRPr="003F4D72">
        <w:rPr>
          <w:rFonts w:asciiTheme="majorHAnsi" w:hAnsiTheme="majorHAnsi" w:cstheme="majorHAnsi"/>
          <w:iCs/>
          <w:sz w:val="24"/>
          <w:szCs w:val="24"/>
        </w:rPr>
        <w:t xml:space="preserve">de </w:t>
      </w:r>
      <w:r w:rsidRPr="003F4D72">
        <w:rPr>
          <w:rFonts w:asciiTheme="majorHAnsi" w:hAnsiTheme="majorHAnsi" w:cstheme="majorHAnsi"/>
          <w:bCs/>
          <w:iCs/>
          <w:color w:val="000000"/>
          <w:sz w:val="24"/>
          <w:szCs w:val="24"/>
        </w:rPr>
        <w:t xml:space="preserve">instituții care prestează asistență medicală primară – 100,8 mil.lei, </w:t>
      </w:r>
      <w:r w:rsidRPr="003F4D72">
        <w:rPr>
          <w:rFonts w:asciiTheme="majorHAnsi" w:hAnsiTheme="majorHAnsi" w:cstheme="majorHAnsi"/>
          <w:iCs/>
          <w:sz w:val="24"/>
          <w:szCs w:val="24"/>
        </w:rPr>
        <w:t xml:space="preserve">72 </w:t>
      </w:r>
      <w:r w:rsidR="009E4B4F" w:rsidRPr="003F4D72">
        <w:rPr>
          <w:rFonts w:asciiTheme="majorHAnsi" w:hAnsiTheme="majorHAnsi" w:cstheme="majorHAnsi"/>
          <w:iCs/>
          <w:sz w:val="24"/>
          <w:szCs w:val="24"/>
        </w:rPr>
        <w:t xml:space="preserve">de </w:t>
      </w:r>
      <w:r w:rsidRPr="003F4D72">
        <w:rPr>
          <w:rFonts w:asciiTheme="majorHAnsi" w:hAnsiTheme="majorHAnsi" w:cstheme="majorHAnsi"/>
          <w:bCs/>
          <w:iCs/>
          <w:color w:val="000000"/>
          <w:sz w:val="24"/>
          <w:szCs w:val="24"/>
        </w:rPr>
        <w:t xml:space="preserve">instituții care prestează asistență specializată de ambulatoriu – 33,3 mil.lei; 61 </w:t>
      </w:r>
      <w:r w:rsidR="009E4B4F" w:rsidRPr="003F4D72">
        <w:rPr>
          <w:rFonts w:asciiTheme="majorHAnsi" w:hAnsiTheme="majorHAnsi" w:cstheme="majorHAnsi"/>
          <w:bCs/>
          <w:iCs/>
          <w:color w:val="000000"/>
          <w:sz w:val="24"/>
          <w:szCs w:val="24"/>
        </w:rPr>
        <w:t xml:space="preserve">de </w:t>
      </w:r>
      <w:r w:rsidRPr="003F4D72">
        <w:rPr>
          <w:rFonts w:asciiTheme="majorHAnsi" w:hAnsiTheme="majorHAnsi" w:cstheme="majorHAnsi"/>
          <w:bCs/>
          <w:iCs/>
          <w:color w:val="000000"/>
          <w:sz w:val="24"/>
          <w:szCs w:val="24"/>
        </w:rPr>
        <w:t>instituții care acordă asistență medicală spitalicească – 187,5 mil.lei, unicului prestator de asistență medicală urgentă prespitalicească – 33,2 mil.lei.</w:t>
      </w:r>
    </w:p>
    <w:p w14:paraId="21E7C112" w14:textId="388E85D7" w:rsidR="003655E8" w:rsidRPr="003F4D72" w:rsidRDefault="003655E8" w:rsidP="003655E8">
      <w:pPr>
        <w:pStyle w:val="NormalWeb"/>
        <w:spacing w:line="276" w:lineRule="auto"/>
        <w:rPr>
          <w:rFonts w:ascii="Calibri Light" w:hAnsi="Calibri Light"/>
          <w:lang w:val="ro-MD"/>
        </w:rPr>
      </w:pPr>
      <w:r w:rsidRPr="003F4D72">
        <w:rPr>
          <w:rFonts w:asciiTheme="majorHAnsi" w:hAnsiTheme="majorHAnsi" w:cstheme="majorHAnsi"/>
          <w:szCs w:val="28"/>
          <w:lang w:val="ro-MD"/>
        </w:rPr>
        <w:t>Auditul denotă că cheltuielile aferente majorării remunerării muncii urmau a fi incluse în tarife, revăzute și aprobate corespunzător</w:t>
      </w:r>
      <w:r w:rsidR="009E4B4F" w:rsidRPr="003F4D72">
        <w:rPr>
          <w:rFonts w:asciiTheme="majorHAnsi" w:hAnsiTheme="majorHAnsi" w:cstheme="majorHAnsi"/>
          <w:szCs w:val="28"/>
          <w:lang w:val="ro-MD"/>
        </w:rPr>
        <w:t>,</w:t>
      </w:r>
      <w:r w:rsidRPr="003F4D72">
        <w:rPr>
          <w:rFonts w:asciiTheme="majorHAnsi" w:hAnsiTheme="majorHAnsi" w:cstheme="majorHAnsi"/>
          <w:szCs w:val="28"/>
          <w:lang w:val="ro-MD"/>
        </w:rPr>
        <w:t xml:space="preserve"> și aplicate la etapa de contractare a prestatorilor de servicii. </w:t>
      </w:r>
      <w:r w:rsidRPr="003F4D72">
        <w:rPr>
          <w:rFonts w:asciiTheme="majorHAnsi" w:hAnsiTheme="majorHAnsi"/>
          <w:lang w:val="ro-MD"/>
        </w:rPr>
        <w:t>Aceste aspecte sunt susținute de cadrul normativ în vigoare, care specifică că fondurile de asigurări urmează să</w:t>
      </w:r>
      <w:r w:rsidRPr="003F4D72">
        <w:rPr>
          <w:rFonts w:asciiTheme="majorHAnsi" w:hAnsiTheme="majorHAnsi"/>
          <w:i/>
          <w:shd w:val="clear" w:color="auto" w:fill="FFFFFF"/>
          <w:lang w:val="ro-MD"/>
        </w:rPr>
        <w:t xml:space="preserve"> acopere cheltuielile de tratare a maladiilor</w:t>
      </w:r>
      <w:r w:rsidRPr="003F4D72">
        <w:rPr>
          <w:rStyle w:val="FootnoteReference"/>
          <w:rFonts w:eastAsiaTheme="majorEastAsia"/>
          <w:i/>
          <w:shd w:val="clear" w:color="auto" w:fill="FFFFFF"/>
          <w:lang w:val="ro-MD"/>
        </w:rPr>
        <w:footnoteReference w:id="26"/>
      </w:r>
      <w:r w:rsidRPr="003F4D72">
        <w:rPr>
          <w:rFonts w:asciiTheme="majorHAnsi" w:hAnsiTheme="majorHAnsi"/>
          <w:i/>
          <w:shd w:val="clear" w:color="auto" w:fill="FFFFFF"/>
          <w:lang w:val="ro-MD"/>
        </w:rPr>
        <w:t xml:space="preserve">, iar la contractarea serviciilor medicale, </w:t>
      </w:r>
      <w:r w:rsidRPr="003F4D72">
        <w:rPr>
          <w:rFonts w:ascii="Calibri Light" w:hAnsi="Calibri Light"/>
          <w:shd w:val="clear" w:color="auto" w:fill="FFFFFF"/>
          <w:lang w:val="ro-MD"/>
        </w:rPr>
        <w:t xml:space="preserve">tarifele trebuie să se bazeze pe principiul aferent criteriilor de componență a </w:t>
      </w:r>
      <w:r w:rsidRPr="003F4D72">
        <w:rPr>
          <w:rFonts w:ascii="Calibri Light" w:hAnsi="Calibri Light"/>
          <w:lang w:val="ro-MD"/>
        </w:rPr>
        <w:t>costurilor/</w:t>
      </w:r>
      <w:r w:rsidRPr="003F4D72">
        <w:rPr>
          <w:rFonts w:ascii="Calibri Light" w:hAnsi="Calibri Light"/>
          <w:shd w:val="clear" w:color="auto" w:fill="FFFFFF"/>
          <w:lang w:val="ro-MD"/>
        </w:rPr>
        <w:t>cheltuielilor, care urmează a fi incluse în costul serviciilor medico-sanitare</w:t>
      </w:r>
      <w:r w:rsidRPr="003F4D72">
        <w:rPr>
          <w:rStyle w:val="FootnoteReference"/>
          <w:rFonts w:ascii="Calibri Light" w:eastAsiaTheme="majorEastAsia" w:hAnsi="Calibri Light"/>
          <w:shd w:val="clear" w:color="auto" w:fill="FFFFFF"/>
          <w:lang w:val="ro-MD"/>
        </w:rPr>
        <w:footnoteReference w:id="27"/>
      </w:r>
      <w:r w:rsidRPr="003F4D72">
        <w:rPr>
          <w:rFonts w:ascii="Calibri Light" w:hAnsi="Calibri Light"/>
          <w:shd w:val="clear" w:color="auto" w:fill="FFFFFF"/>
          <w:lang w:val="ro-MD"/>
        </w:rPr>
        <w:t>.</w:t>
      </w:r>
    </w:p>
    <w:p w14:paraId="52E68B7B" w14:textId="5304830B" w:rsidR="003655E8" w:rsidRPr="003F4D72" w:rsidRDefault="003655E8" w:rsidP="003655E8">
      <w:pPr>
        <w:pStyle w:val="NormalWeb"/>
        <w:spacing w:line="276" w:lineRule="auto"/>
        <w:rPr>
          <w:rFonts w:asciiTheme="majorHAnsi" w:hAnsiTheme="majorHAnsi" w:cstheme="majorHAnsi"/>
          <w:b/>
          <w:lang w:val="ro-MD"/>
        </w:rPr>
      </w:pPr>
      <w:r w:rsidRPr="003F4D72">
        <w:rPr>
          <w:rFonts w:asciiTheme="majorHAnsi" w:hAnsiTheme="majorHAnsi" w:cstheme="majorHAnsi"/>
          <w:szCs w:val="28"/>
          <w:lang w:val="ro-MD"/>
        </w:rPr>
        <w:t>Această recomandare a fost înaintată către MSMPS și CNAM în misiunea de audit din anul precedent, care nu a fost implementată, deși costurile serviciilor medicale vizează prestarea serviciilor medicale și accesul la servicii</w:t>
      </w:r>
      <w:r w:rsidR="009E4B4F" w:rsidRPr="003F4D72">
        <w:rPr>
          <w:rFonts w:asciiTheme="majorHAnsi" w:hAnsiTheme="majorHAnsi" w:cstheme="majorHAnsi"/>
          <w:szCs w:val="28"/>
          <w:lang w:val="ro-MD"/>
        </w:rPr>
        <w:t>le</w:t>
      </w:r>
      <w:r w:rsidRPr="003F4D72">
        <w:rPr>
          <w:rFonts w:asciiTheme="majorHAnsi" w:hAnsiTheme="majorHAnsi" w:cstheme="majorHAnsi"/>
          <w:szCs w:val="28"/>
          <w:lang w:val="ro-MD"/>
        </w:rPr>
        <w:t xml:space="preserve"> necesare cetățenilor.</w:t>
      </w:r>
    </w:p>
    <w:p w14:paraId="58C27993" w14:textId="77777777" w:rsidR="00C8295C" w:rsidRPr="003F4D72" w:rsidRDefault="00C8295C" w:rsidP="00787047">
      <w:pPr>
        <w:spacing w:after="0" w:line="276" w:lineRule="auto"/>
        <w:jc w:val="both"/>
        <w:rPr>
          <w:rFonts w:asciiTheme="majorHAnsi" w:hAnsiTheme="majorHAnsi" w:cstheme="majorHAnsi"/>
          <w:sz w:val="24"/>
          <w:szCs w:val="16"/>
        </w:rPr>
      </w:pPr>
    </w:p>
    <w:p w14:paraId="68543459" w14:textId="6967387D" w:rsidR="00787047" w:rsidRPr="003F4D72" w:rsidRDefault="00023B8B" w:rsidP="00787047">
      <w:pPr>
        <w:spacing w:after="0" w:line="276" w:lineRule="auto"/>
        <w:jc w:val="both"/>
        <w:rPr>
          <w:rFonts w:asciiTheme="majorHAnsi" w:hAnsiTheme="majorHAnsi" w:cstheme="majorHAnsi"/>
          <w:b/>
          <w:bCs/>
          <w:iCs/>
          <w:sz w:val="24"/>
          <w:szCs w:val="24"/>
        </w:rPr>
      </w:pPr>
      <w:r w:rsidRPr="003F4D72">
        <w:rPr>
          <w:rFonts w:asciiTheme="majorHAnsi" w:hAnsiTheme="majorHAnsi" w:cstheme="majorHAnsi"/>
          <w:b/>
          <w:bCs/>
          <w:iCs/>
          <w:sz w:val="24"/>
          <w:szCs w:val="24"/>
        </w:rPr>
        <w:t>5</w:t>
      </w:r>
      <w:r w:rsidR="000838D9" w:rsidRPr="003F4D72">
        <w:rPr>
          <w:rFonts w:asciiTheme="majorHAnsi" w:hAnsiTheme="majorHAnsi" w:cstheme="majorHAnsi"/>
          <w:b/>
          <w:bCs/>
          <w:iCs/>
          <w:sz w:val="24"/>
          <w:szCs w:val="24"/>
        </w:rPr>
        <w:t>.4.</w:t>
      </w:r>
      <w:r w:rsidR="00787047" w:rsidRPr="003F4D72">
        <w:rPr>
          <w:rFonts w:asciiTheme="majorHAnsi" w:hAnsiTheme="majorHAnsi" w:cstheme="majorHAnsi"/>
          <w:b/>
          <w:bCs/>
          <w:iCs/>
          <w:sz w:val="24"/>
          <w:szCs w:val="24"/>
        </w:rPr>
        <w:t xml:space="preserve"> </w:t>
      </w:r>
      <w:r w:rsidR="001934D8" w:rsidRPr="003F4D72">
        <w:rPr>
          <w:rFonts w:asciiTheme="majorHAnsi" w:hAnsiTheme="majorHAnsi" w:cstheme="majorHAnsi"/>
          <w:b/>
          <w:bCs/>
          <w:iCs/>
          <w:sz w:val="24"/>
          <w:szCs w:val="24"/>
        </w:rPr>
        <w:t>Unele instituții medicale cu profil Covid-19, în perioada stării de urgență în sănătate publică, au efectuat 2915 internări programate, deși aceste tipuri de servicii urmau a fi sistate pentru a diminua riscul de infectare a cadrelor medicale și a pacienților.</w:t>
      </w:r>
    </w:p>
    <w:p w14:paraId="01692BAA" w14:textId="343B4987" w:rsidR="00787047" w:rsidRPr="003F4D72" w:rsidRDefault="00787047" w:rsidP="00787047">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În temeiul Dispoziției Comisiei pentru Situații Excepționale a Republicii Moldova</w:t>
      </w:r>
      <w:r w:rsidRPr="003F4D72">
        <w:rPr>
          <w:rFonts w:asciiTheme="majorHAnsi" w:eastAsia="Times New Roman" w:hAnsiTheme="majorHAnsi" w:cstheme="majorHAnsi"/>
          <w:sz w:val="24"/>
          <w:szCs w:val="28"/>
          <w:vertAlign w:val="superscript"/>
          <w:lang w:eastAsia="ru-RU"/>
        </w:rPr>
        <w:footnoteReference w:id="28"/>
      </w:r>
      <w:r w:rsidRPr="003F4D72">
        <w:rPr>
          <w:rFonts w:asciiTheme="majorHAnsi" w:eastAsia="Times New Roman" w:hAnsiTheme="majorHAnsi" w:cstheme="majorHAnsi"/>
          <w:sz w:val="24"/>
          <w:szCs w:val="28"/>
          <w:lang w:eastAsia="ru-RU"/>
        </w:rPr>
        <w:t xml:space="preserve"> și ordinului MSMPS</w:t>
      </w:r>
      <w:r w:rsidRPr="003F4D72">
        <w:rPr>
          <w:rStyle w:val="FootnoteReference"/>
          <w:rFonts w:asciiTheme="majorHAnsi" w:eastAsia="Times New Roman" w:hAnsiTheme="majorHAnsi" w:cstheme="majorHAnsi"/>
          <w:sz w:val="24"/>
          <w:szCs w:val="28"/>
          <w:lang w:eastAsia="ru-RU"/>
        </w:rPr>
        <w:footnoteReference w:id="29"/>
      </w:r>
      <w:r w:rsidR="009E4B4F" w:rsidRPr="003F4D72">
        <w:rPr>
          <w:rFonts w:asciiTheme="majorHAnsi" w:eastAsia="Times New Roman" w:hAnsiTheme="majorHAnsi" w:cstheme="majorHAnsi"/>
          <w:sz w:val="24"/>
          <w:szCs w:val="28"/>
          <w:lang w:eastAsia="ru-RU"/>
        </w:rPr>
        <w:t>,</w:t>
      </w:r>
      <w:r w:rsidRPr="003F4D72">
        <w:rPr>
          <w:rFonts w:asciiTheme="majorHAnsi" w:eastAsia="Times New Roman" w:hAnsiTheme="majorHAnsi" w:cstheme="majorHAnsi"/>
          <w:sz w:val="24"/>
          <w:szCs w:val="28"/>
          <w:lang w:eastAsia="ru-RU"/>
        </w:rPr>
        <w:t xml:space="preserve"> în perioada stării de urgență au fost sistate internările programate în instituțiile medico-sanitare indiferent de forma juridică de proprietate și organizare. În situația de amploare a pandemiei, aceste măsuri au avut drept scop diminuarea fluxului de pacienți și limitarea răspândirii infecției atât în rândul personalului medical</w:t>
      </w:r>
      <w:r w:rsidR="009E4B4F" w:rsidRPr="003F4D72">
        <w:rPr>
          <w:rFonts w:asciiTheme="majorHAnsi" w:eastAsia="Times New Roman" w:hAnsiTheme="majorHAnsi" w:cstheme="majorHAnsi"/>
          <w:sz w:val="24"/>
          <w:szCs w:val="28"/>
          <w:lang w:eastAsia="ru-RU"/>
        </w:rPr>
        <w:t>,</w:t>
      </w:r>
      <w:r w:rsidRPr="003F4D72">
        <w:rPr>
          <w:rFonts w:asciiTheme="majorHAnsi" w:eastAsia="Times New Roman" w:hAnsiTheme="majorHAnsi" w:cstheme="majorHAnsi"/>
          <w:sz w:val="24"/>
          <w:szCs w:val="28"/>
          <w:lang w:eastAsia="ru-RU"/>
        </w:rPr>
        <w:t xml:space="preserve"> cât și </w:t>
      </w:r>
      <w:r w:rsidR="009E4B4F" w:rsidRPr="003F4D72">
        <w:rPr>
          <w:rFonts w:asciiTheme="majorHAnsi" w:eastAsia="Times New Roman" w:hAnsiTheme="majorHAnsi" w:cstheme="majorHAnsi"/>
          <w:sz w:val="24"/>
          <w:szCs w:val="28"/>
          <w:lang w:eastAsia="ru-RU"/>
        </w:rPr>
        <w:t xml:space="preserve">al </w:t>
      </w:r>
      <w:r w:rsidRPr="003F4D72">
        <w:rPr>
          <w:rFonts w:asciiTheme="majorHAnsi" w:eastAsia="Times New Roman" w:hAnsiTheme="majorHAnsi" w:cstheme="majorHAnsi"/>
          <w:sz w:val="24"/>
          <w:szCs w:val="28"/>
          <w:lang w:eastAsia="ru-RU"/>
        </w:rPr>
        <w:t>pacienți</w:t>
      </w:r>
      <w:r w:rsidR="009E4B4F" w:rsidRPr="003F4D72">
        <w:rPr>
          <w:rFonts w:asciiTheme="majorHAnsi" w:eastAsia="Times New Roman" w:hAnsiTheme="majorHAnsi" w:cstheme="majorHAnsi"/>
          <w:sz w:val="24"/>
          <w:szCs w:val="28"/>
          <w:lang w:eastAsia="ru-RU"/>
        </w:rPr>
        <w:t>lor</w:t>
      </w:r>
      <w:r w:rsidRPr="003F4D72">
        <w:rPr>
          <w:rFonts w:asciiTheme="majorHAnsi" w:eastAsia="Times New Roman" w:hAnsiTheme="majorHAnsi" w:cstheme="majorHAnsi"/>
          <w:sz w:val="24"/>
          <w:szCs w:val="28"/>
          <w:lang w:eastAsia="ru-RU"/>
        </w:rPr>
        <w:t>.</w:t>
      </w:r>
    </w:p>
    <w:p w14:paraId="3ABCD527" w14:textId="4B1900C6" w:rsidR="00787047" w:rsidRPr="003F4D72" w:rsidRDefault="00787047" w:rsidP="00787047">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 xml:space="preserve">Evaluările auditului prin analiza SI </w:t>
      </w:r>
      <w:r w:rsidR="00946F9D" w:rsidRPr="003F4D72">
        <w:rPr>
          <w:rFonts w:asciiTheme="majorHAnsi" w:eastAsia="Times New Roman" w:hAnsiTheme="majorHAnsi" w:cstheme="majorHAnsi"/>
          <w:sz w:val="24"/>
          <w:szCs w:val="28"/>
          <w:lang w:eastAsia="ru-RU"/>
        </w:rPr>
        <w:t>„</w:t>
      </w:r>
      <w:r w:rsidR="000838D9" w:rsidRPr="003F4D72">
        <w:rPr>
          <w:rFonts w:asciiTheme="majorHAnsi" w:eastAsia="Times New Roman" w:hAnsiTheme="majorHAnsi" w:cstheme="majorHAnsi"/>
          <w:sz w:val="24"/>
          <w:szCs w:val="28"/>
          <w:lang w:eastAsia="ru-RU"/>
        </w:rPr>
        <w:t>Evidența</w:t>
      </w:r>
      <w:r w:rsidRPr="003F4D72">
        <w:rPr>
          <w:rFonts w:asciiTheme="majorHAnsi" w:eastAsia="Times New Roman" w:hAnsiTheme="majorHAnsi" w:cstheme="majorHAnsi"/>
          <w:sz w:val="24"/>
          <w:szCs w:val="28"/>
          <w:lang w:eastAsia="ru-RU"/>
        </w:rPr>
        <w:t xml:space="preserve"> </w:t>
      </w:r>
      <w:proofErr w:type="spellStart"/>
      <w:r w:rsidRPr="003F4D72">
        <w:rPr>
          <w:rFonts w:asciiTheme="majorHAnsi" w:eastAsia="Times New Roman" w:hAnsiTheme="majorHAnsi" w:cstheme="majorHAnsi"/>
          <w:sz w:val="24"/>
          <w:szCs w:val="28"/>
          <w:lang w:eastAsia="ru-RU"/>
        </w:rPr>
        <w:t>şi</w:t>
      </w:r>
      <w:proofErr w:type="spellEnd"/>
      <w:r w:rsidRPr="003F4D72">
        <w:rPr>
          <w:rFonts w:asciiTheme="majorHAnsi" w:eastAsia="Times New Roman" w:hAnsiTheme="majorHAnsi" w:cstheme="majorHAnsi"/>
          <w:sz w:val="24"/>
          <w:szCs w:val="28"/>
          <w:lang w:eastAsia="ru-RU"/>
        </w:rPr>
        <w:t xml:space="preserve"> raportarea serviciilor medicale în sistem DRG-online” denotă că</w:t>
      </w:r>
      <w:r w:rsidR="00946F9D" w:rsidRPr="003F4D72">
        <w:rPr>
          <w:rFonts w:asciiTheme="majorHAnsi" w:eastAsia="Times New Roman" w:hAnsiTheme="majorHAnsi" w:cstheme="majorHAnsi"/>
          <w:sz w:val="24"/>
          <w:szCs w:val="28"/>
          <w:lang w:eastAsia="ru-RU"/>
        </w:rPr>
        <w:t>,</w:t>
      </w:r>
      <w:r w:rsidRPr="003F4D72">
        <w:rPr>
          <w:rFonts w:asciiTheme="majorHAnsi" w:eastAsia="Times New Roman" w:hAnsiTheme="majorHAnsi" w:cstheme="majorHAnsi"/>
          <w:sz w:val="24"/>
          <w:szCs w:val="28"/>
          <w:lang w:eastAsia="ru-RU"/>
        </w:rPr>
        <w:t xml:space="preserve"> în perioada stării de urgență în sănătate, 52 de instituții medicale publice au programat, internat și prestat servicii medicale spitalicești pentru 2</w:t>
      </w:r>
      <w:r w:rsidR="00D9573B" w:rsidRPr="003F4D72">
        <w:rPr>
          <w:rFonts w:asciiTheme="majorHAnsi" w:eastAsia="Times New Roman" w:hAnsiTheme="majorHAnsi" w:cstheme="majorHAnsi"/>
          <w:sz w:val="24"/>
          <w:szCs w:val="28"/>
          <w:lang w:eastAsia="ru-RU"/>
        </w:rPr>
        <w:t xml:space="preserve"> </w:t>
      </w:r>
      <w:r w:rsidRPr="003F4D72">
        <w:rPr>
          <w:rFonts w:asciiTheme="majorHAnsi" w:eastAsia="Times New Roman" w:hAnsiTheme="majorHAnsi" w:cstheme="majorHAnsi"/>
          <w:sz w:val="24"/>
          <w:szCs w:val="28"/>
          <w:lang w:eastAsia="ru-RU"/>
        </w:rPr>
        <w:t>915 persoane</w:t>
      </w:r>
      <w:r w:rsidR="00A37672" w:rsidRPr="003F4D72">
        <w:rPr>
          <w:rFonts w:asciiTheme="majorHAnsi" w:eastAsia="Times New Roman" w:hAnsiTheme="majorHAnsi" w:cstheme="majorHAnsi"/>
          <w:sz w:val="24"/>
          <w:szCs w:val="28"/>
          <w:lang w:eastAsia="ru-RU"/>
        </w:rPr>
        <w:t xml:space="preserve">, informație prezentată în </w:t>
      </w:r>
      <w:r w:rsidR="00946F9D" w:rsidRPr="003F4D72">
        <w:rPr>
          <w:rFonts w:asciiTheme="majorHAnsi" w:eastAsia="Times New Roman" w:hAnsiTheme="majorHAnsi" w:cstheme="majorHAnsi"/>
          <w:sz w:val="24"/>
          <w:szCs w:val="28"/>
          <w:lang w:eastAsia="ru-RU"/>
        </w:rPr>
        <w:t>A</w:t>
      </w:r>
      <w:r w:rsidR="00A37672" w:rsidRPr="003F4D72">
        <w:rPr>
          <w:rFonts w:asciiTheme="majorHAnsi" w:eastAsia="Times New Roman" w:hAnsiTheme="majorHAnsi" w:cstheme="majorHAnsi"/>
          <w:sz w:val="24"/>
          <w:szCs w:val="28"/>
          <w:lang w:eastAsia="ru-RU"/>
        </w:rPr>
        <w:t>nexa nr.</w:t>
      </w:r>
      <w:r w:rsidR="005D6831" w:rsidRPr="003F4D72">
        <w:rPr>
          <w:rFonts w:asciiTheme="majorHAnsi" w:eastAsia="Times New Roman" w:hAnsiTheme="majorHAnsi" w:cstheme="majorHAnsi"/>
          <w:sz w:val="24"/>
          <w:szCs w:val="28"/>
          <w:lang w:eastAsia="ru-RU"/>
        </w:rPr>
        <w:t>5</w:t>
      </w:r>
      <w:r w:rsidR="00A37672" w:rsidRPr="003F4D72">
        <w:rPr>
          <w:rFonts w:asciiTheme="majorHAnsi" w:eastAsia="Times New Roman" w:hAnsiTheme="majorHAnsi" w:cstheme="majorHAnsi"/>
          <w:sz w:val="24"/>
          <w:szCs w:val="28"/>
          <w:lang w:eastAsia="ru-RU"/>
        </w:rPr>
        <w:t xml:space="preserve"> la prezentul </w:t>
      </w:r>
      <w:r w:rsidR="00946F9D" w:rsidRPr="003F4D72">
        <w:rPr>
          <w:rFonts w:asciiTheme="majorHAnsi" w:eastAsia="Times New Roman" w:hAnsiTheme="majorHAnsi" w:cstheme="majorHAnsi"/>
          <w:sz w:val="24"/>
          <w:szCs w:val="28"/>
          <w:lang w:eastAsia="ru-RU"/>
        </w:rPr>
        <w:t>R</w:t>
      </w:r>
      <w:r w:rsidR="00A37672" w:rsidRPr="003F4D72">
        <w:rPr>
          <w:rFonts w:asciiTheme="majorHAnsi" w:eastAsia="Times New Roman" w:hAnsiTheme="majorHAnsi" w:cstheme="majorHAnsi"/>
          <w:sz w:val="24"/>
          <w:szCs w:val="28"/>
          <w:lang w:eastAsia="ru-RU"/>
        </w:rPr>
        <w:t>aport de audit</w:t>
      </w:r>
      <w:r w:rsidRPr="003F4D72">
        <w:rPr>
          <w:rFonts w:asciiTheme="majorHAnsi" w:eastAsia="Times New Roman" w:hAnsiTheme="majorHAnsi" w:cstheme="majorHAnsi"/>
          <w:sz w:val="24"/>
          <w:szCs w:val="28"/>
          <w:lang w:eastAsia="ru-RU"/>
        </w:rPr>
        <w:t>. De asemenea, 3 instituții medicale private au efectuat 328 de internări programate în perioada de urgență.</w:t>
      </w:r>
    </w:p>
    <w:p w14:paraId="26587870" w14:textId="193F8B77" w:rsidR="00EB0A52" w:rsidRPr="003F4D72" w:rsidRDefault="00787047" w:rsidP="00820336">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lastRenderedPageBreak/>
        <w:t xml:space="preserve">Se relevă că 43 </w:t>
      </w:r>
      <w:r w:rsidR="00946F9D" w:rsidRPr="003F4D72">
        <w:rPr>
          <w:rFonts w:asciiTheme="majorHAnsi" w:hAnsiTheme="majorHAnsi" w:cstheme="majorHAnsi"/>
          <w:sz w:val="24"/>
          <w:szCs w:val="24"/>
        </w:rPr>
        <w:t xml:space="preserve">de </w:t>
      </w:r>
      <w:r w:rsidRPr="003F4D72">
        <w:rPr>
          <w:rFonts w:asciiTheme="majorHAnsi" w:hAnsiTheme="majorHAnsi" w:cstheme="majorHAnsi"/>
          <w:sz w:val="24"/>
          <w:szCs w:val="24"/>
        </w:rPr>
        <w:t>instituții medico-sanitare publice care au prestat servicii medicale programate, potrivit ordinelor MSMPS</w:t>
      </w:r>
      <w:r w:rsidRPr="003F4D72">
        <w:rPr>
          <w:rStyle w:val="FootnoteReference"/>
          <w:rFonts w:asciiTheme="majorHAnsi" w:hAnsiTheme="majorHAnsi" w:cstheme="majorHAnsi"/>
          <w:sz w:val="24"/>
          <w:szCs w:val="24"/>
        </w:rPr>
        <w:footnoteReference w:id="30"/>
      </w:r>
      <w:r w:rsidRPr="003F4D72">
        <w:rPr>
          <w:rFonts w:asciiTheme="majorHAnsi" w:hAnsiTheme="majorHAnsi" w:cstheme="majorHAnsi"/>
          <w:sz w:val="24"/>
          <w:szCs w:val="24"/>
        </w:rPr>
        <w:t xml:space="preserve"> au fost implicate în acordarea asistenței medicale pentru persoanele care întrunesc criteriile definiției de caz Covid-19. Totodată, cele mai multe internări programate au fost efectuate de către unele instituții medicale care au tratat pacienții confirmați cu Covid-19, inclusiv cu forme medii și grave, date pr</w:t>
      </w:r>
      <w:r w:rsidR="00820336" w:rsidRPr="003F4D72">
        <w:rPr>
          <w:rFonts w:asciiTheme="majorHAnsi" w:hAnsiTheme="majorHAnsi" w:cstheme="majorHAnsi"/>
          <w:sz w:val="24"/>
          <w:szCs w:val="24"/>
        </w:rPr>
        <w:t>ezentate în tabelul ce urmează:</w:t>
      </w:r>
    </w:p>
    <w:p w14:paraId="4F9EBE0B" w14:textId="77786BD7" w:rsidR="00477698" w:rsidRPr="003F4D72" w:rsidRDefault="00477698" w:rsidP="00820336">
      <w:pPr>
        <w:spacing w:after="0" w:line="276" w:lineRule="auto"/>
        <w:ind w:firstLine="567"/>
        <w:jc w:val="both"/>
        <w:rPr>
          <w:rFonts w:asciiTheme="majorHAnsi" w:hAnsiTheme="majorHAnsi" w:cstheme="majorHAnsi"/>
          <w:b/>
          <w:sz w:val="24"/>
          <w:szCs w:val="24"/>
        </w:rPr>
      </w:pPr>
      <w:r w:rsidRPr="003F4D72">
        <w:rPr>
          <w:rFonts w:asciiTheme="majorHAnsi" w:hAnsiTheme="majorHAnsi" w:cstheme="majorHAnsi"/>
          <w:b/>
          <w:sz w:val="24"/>
          <w:szCs w:val="24"/>
        </w:rPr>
        <w:t>Informația privind serviciile medicale programate acordate în perioada stării de urgență</w:t>
      </w:r>
    </w:p>
    <w:p w14:paraId="2B112D31" w14:textId="39116BA6" w:rsidR="00787047" w:rsidRPr="003F4D72" w:rsidRDefault="000A347E" w:rsidP="00787047">
      <w:pPr>
        <w:pStyle w:val="ListParagraph"/>
        <w:spacing w:after="0" w:line="276" w:lineRule="auto"/>
        <w:ind w:left="0" w:firstLine="567"/>
        <w:jc w:val="right"/>
        <w:rPr>
          <w:rFonts w:asciiTheme="majorHAnsi" w:hAnsiTheme="majorHAnsi"/>
          <w:sz w:val="20"/>
          <w:szCs w:val="28"/>
          <w:lang w:val="ro-MD"/>
        </w:rPr>
      </w:pPr>
      <w:r w:rsidRPr="003F4D72">
        <w:rPr>
          <w:rFonts w:asciiTheme="majorHAnsi" w:eastAsia="Times New Roman" w:hAnsiTheme="majorHAnsi" w:cstheme="majorHAnsi"/>
          <w:noProof/>
          <w:sz w:val="20"/>
          <w:szCs w:val="24"/>
          <w:lang w:val="ro-MD" w:eastAsia="ru-RU"/>
        </w:rPr>
        <w:t>Tabelul nr.9</w:t>
      </w:r>
    </w:p>
    <w:tbl>
      <w:tblPr>
        <w:tblStyle w:val="GridTable1Light"/>
        <w:tblW w:w="9498" w:type="dxa"/>
        <w:tblLook w:val="04A0" w:firstRow="1" w:lastRow="0" w:firstColumn="1" w:lastColumn="0" w:noHBand="0" w:noVBand="1"/>
      </w:tblPr>
      <w:tblGrid>
        <w:gridCol w:w="3260"/>
        <w:gridCol w:w="1843"/>
        <w:gridCol w:w="4395"/>
      </w:tblGrid>
      <w:tr w:rsidR="00787047" w:rsidRPr="003F4D72" w14:paraId="587BA861" w14:textId="77777777" w:rsidTr="00F14CCD">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60" w:type="dxa"/>
            <w:hideMark/>
          </w:tcPr>
          <w:p w14:paraId="4CFF75BC" w14:textId="77777777" w:rsidR="00787047" w:rsidRPr="003F4D72" w:rsidRDefault="00787047" w:rsidP="00F14CCD">
            <w:pPr>
              <w:jc w:val="center"/>
              <w:rPr>
                <w:rFonts w:asciiTheme="majorHAnsi" w:hAnsiTheme="majorHAnsi" w:cstheme="majorHAnsi"/>
                <w:b w:val="0"/>
                <w:bCs w:val="0"/>
                <w:sz w:val="20"/>
                <w:szCs w:val="20"/>
              </w:rPr>
            </w:pPr>
            <w:r w:rsidRPr="003F4D72">
              <w:rPr>
                <w:rFonts w:asciiTheme="majorHAnsi" w:hAnsiTheme="majorHAnsi" w:cstheme="majorHAnsi"/>
                <w:b w:val="0"/>
                <w:bCs w:val="0"/>
                <w:sz w:val="20"/>
                <w:szCs w:val="20"/>
              </w:rPr>
              <w:t>Denumirea instituției medicale</w:t>
            </w:r>
          </w:p>
        </w:tc>
        <w:tc>
          <w:tcPr>
            <w:tcW w:w="1843" w:type="dxa"/>
            <w:hideMark/>
          </w:tcPr>
          <w:p w14:paraId="7F548B54" w14:textId="77777777" w:rsidR="00787047" w:rsidRPr="003F4D72" w:rsidRDefault="00787047" w:rsidP="00F14CC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sidRPr="003F4D72">
              <w:rPr>
                <w:rFonts w:asciiTheme="majorHAnsi" w:hAnsiTheme="majorHAnsi" w:cstheme="majorHAnsi"/>
                <w:sz w:val="20"/>
                <w:szCs w:val="20"/>
              </w:rPr>
              <w:t>Numărul internărilor programate în perioada de stării de urgență</w:t>
            </w:r>
          </w:p>
        </w:tc>
        <w:tc>
          <w:tcPr>
            <w:tcW w:w="4395" w:type="dxa"/>
          </w:tcPr>
          <w:p w14:paraId="69721424" w14:textId="77777777" w:rsidR="00787047" w:rsidRPr="003F4D72" w:rsidRDefault="00787047" w:rsidP="00F14CC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sidRPr="003F4D72">
              <w:rPr>
                <w:rFonts w:asciiTheme="majorHAnsi" w:hAnsiTheme="majorHAnsi" w:cstheme="majorHAnsi"/>
                <w:sz w:val="20"/>
                <w:szCs w:val="20"/>
              </w:rPr>
              <w:t>Contingent de pacienți conform formei clinice</w:t>
            </w:r>
          </w:p>
        </w:tc>
      </w:tr>
      <w:tr w:rsidR="00787047" w:rsidRPr="003F4D72" w14:paraId="5BDB620D"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AF78262"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Spitalul Clinic Municipal nr.1</w:t>
            </w:r>
          </w:p>
        </w:tc>
        <w:tc>
          <w:tcPr>
            <w:tcW w:w="1843" w:type="dxa"/>
            <w:noWrap/>
            <w:hideMark/>
          </w:tcPr>
          <w:p w14:paraId="2451A7B8"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957</w:t>
            </w:r>
          </w:p>
        </w:tc>
        <w:tc>
          <w:tcPr>
            <w:tcW w:w="4395" w:type="dxa"/>
          </w:tcPr>
          <w:p w14:paraId="6B9C0792"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Adulți suspecți și confirmați cu forme medii și grave</w:t>
            </w:r>
          </w:p>
        </w:tc>
      </w:tr>
      <w:tr w:rsidR="00787047" w:rsidRPr="003F4D72" w14:paraId="5B9E8555"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0A4D69DD" w14:textId="35D61E69"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Institutul</w:t>
            </w:r>
            <w:r w:rsidR="00815A71" w:rsidRPr="003F4D72">
              <w:rPr>
                <w:rFonts w:asciiTheme="majorHAnsi" w:hAnsiTheme="majorHAnsi" w:cstheme="majorHAnsi"/>
                <w:sz w:val="20"/>
                <w:szCs w:val="20"/>
              </w:rPr>
              <w:t xml:space="preserve"> </w:t>
            </w:r>
            <w:r w:rsidRPr="003F4D72">
              <w:rPr>
                <w:rFonts w:asciiTheme="majorHAnsi" w:hAnsiTheme="majorHAnsi" w:cstheme="majorHAnsi"/>
                <w:sz w:val="20"/>
                <w:szCs w:val="20"/>
              </w:rPr>
              <w:t>Mamei si Copilului</w:t>
            </w:r>
          </w:p>
        </w:tc>
        <w:tc>
          <w:tcPr>
            <w:tcW w:w="1843" w:type="dxa"/>
            <w:noWrap/>
            <w:hideMark/>
          </w:tcPr>
          <w:p w14:paraId="56E2EE4B"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207</w:t>
            </w:r>
          </w:p>
        </w:tc>
        <w:tc>
          <w:tcPr>
            <w:tcW w:w="4395" w:type="dxa"/>
          </w:tcPr>
          <w:p w14:paraId="5ADC9720"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Copii cu forme grave și extrem de grave</w:t>
            </w:r>
          </w:p>
        </w:tc>
      </w:tr>
      <w:tr w:rsidR="00787047" w:rsidRPr="003F4D72" w14:paraId="53A77FA6" w14:textId="77777777" w:rsidTr="00477698">
        <w:trPr>
          <w:trHeight w:val="432"/>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B6DFE7E" w14:textId="7259753D" w:rsidR="00787047" w:rsidRPr="003F4D72" w:rsidRDefault="00787047" w:rsidP="00946F9D">
            <w:pPr>
              <w:spacing w:line="276" w:lineRule="auto"/>
              <w:rPr>
                <w:rFonts w:asciiTheme="majorHAnsi" w:hAnsiTheme="majorHAnsi" w:cstheme="majorHAnsi"/>
                <w:sz w:val="20"/>
                <w:szCs w:val="20"/>
              </w:rPr>
            </w:pPr>
            <w:r w:rsidRPr="003F4D72">
              <w:rPr>
                <w:rFonts w:asciiTheme="majorHAnsi" w:hAnsiTheme="majorHAnsi" w:cstheme="majorHAnsi"/>
                <w:sz w:val="20"/>
                <w:szCs w:val="20"/>
              </w:rPr>
              <w:t xml:space="preserve">IMSP Institutul de </w:t>
            </w:r>
            <w:proofErr w:type="spellStart"/>
            <w:r w:rsidRPr="003F4D72">
              <w:rPr>
                <w:rFonts w:asciiTheme="majorHAnsi" w:hAnsiTheme="majorHAnsi" w:cstheme="majorHAnsi"/>
                <w:sz w:val="20"/>
                <w:szCs w:val="20"/>
              </w:rPr>
              <w:t>Ftiziopneumologie</w:t>
            </w:r>
            <w:proofErr w:type="spellEnd"/>
            <w:r w:rsidRPr="003F4D72">
              <w:rPr>
                <w:rFonts w:asciiTheme="majorHAnsi" w:hAnsiTheme="majorHAnsi" w:cstheme="majorHAnsi"/>
                <w:sz w:val="20"/>
                <w:szCs w:val="20"/>
              </w:rPr>
              <w:t xml:space="preserve"> </w:t>
            </w:r>
            <w:r w:rsidR="00946F9D" w:rsidRPr="003F4D72">
              <w:rPr>
                <w:rFonts w:asciiTheme="majorHAnsi" w:hAnsiTheme="majorHAnsi" w:cstheme="majorHAnsi"/>
                <w:sz w:val="20"/>
                <w:szCs w:val="20"/>
              </w:rPr>
              <w:t>„</w:t>
            </w:r>
            <w:r w:rsidRPr="003F4D72">
              <w:rPr>
                <w:rFonts w:asciiTheme="majorHAnsi" w:hAnsiTheme="majorHAnsi" w:cstheme="majorHAnsi"/>
                <w:sz w:val="20"/>
                <w:szCs w:val="20"/>
              </w:rPr>
              <w:t xml:space="preserve">Chiril </w:t>
            </w:r>
            <w:proofErr w:type="spellStart"/>
            <w:r w:rsidRPr="003F4D72">
              <w:rPr>
                <w:rFonts w:asciiTheme="majorHAnsi" w:hAnsiTheme="majorHAnsi" w:cstheme="majorHAnsi"/>
                <w:sz w:val="20"/>
                <w:szCs w:val="20"/>
              </w:rPr>
              <w:t>Draganiuc</w:t>
            </w:r>
            <w:proofErr w:type="spellEnd"/>
            <w:r w:rsidRPr="003F4D72">
              <w:rPr>
                <w:rFonts w:asciiTheme="majorHAnsi" w:hAnsiTheme="majorHAnsi" w:cstheme="majorHAnsi"/>
                <w:sz w:val="20"/>
                <w:szCs w:val="20"/>
              </w:rPr>
              <w:t>"</w:t>
            </w:r>
          </w:p>
        </w:tc>
        <w:tc>
          <w:tcPr>
            <w:tcW w:w="1843" w:type="dxa"/>
            <w:noWrap/>
            <w:hideMark/>
          </w:tcPr>
          <w:p w14:paraId="75C92833"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178</w:t>
            </w:r>
          </w:p>
        </w:tc>
        <w:tc>
          <w:tcPr>
            <w:tcW w:w="4395" w:type="dxa"/>
          </w:tcPr>
          <w:p w14:paraId="41181341"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Adulți caz suspect și confirmați</w:t>
            </w:r>
          </w:p>
        </w:tc>
      </w:tr>
      <w:tr w:rsidR="00787047" w:rsidRPr="003F4D72" w14:paraId="2280AD4F"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BD8F7BE"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 xml:space="preserve">IMSP Spitalul Raional </w:t>
            </w:r>
            <w:proofErr w:type="spellStart"/>
            <w:r w:rsidRPr="003F4D72">
              <w:rPr>
                <w:rFonts w:asciiTheme="majorHAnsi" w:hAnsiTheme="majorHAnsi" w:cstheme="majorHAnsi"/>
                <w:sz w:val="20"/>
                <w:szCs w:val="20"/>
              </w:rPr>
              <w:t>Edineț</w:t>
            </w:r>
            <w:proofErr w:type="spellEnd"/>
          </w:p>
        </w:tc>
        <w:tc>
          <w:tcPr>
            <w:tcW w:w="1843" w:type="dxa"/>
            <w:noWrap/>
            <w:hideMark/>
          </w:tcPr>
          <w:p w14:paraId="2DA51834"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117</w:t>
            </w:r>
          </w:p>
        </w:tc>
        <w:tc>
          <w:tcPr>
            <w:tcW w:w="4395" w:type="dxa"/>
          </w:tcPr>
          <w:p w14:paraId="319E571C"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Adulți, gravide și copii caz suspect, precum și adulți confirmați</w:t>
            </w:r>
          </w:p>
        </w:tc>
      </w:tr>
      <w:tr w:rsidR="00787047" w:rsidRPr="003F4D72" w14:paraId="65358824"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D8564E6"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Spitalul Raional Cantemir</w:t>
            </w:r>
          </w:p>
        </w:tc>
        <w:tc>
          <w:tcPr>
            <w:tcW w:w="1843" w:type="dxa"/>
            <w:noWrap/>
            <w:hideMark/>
          </w:tcPr>
          <w:p w14:paraId="417CA40C"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89</w:t>
            </w:r>
          </w:p>
        </w:tc>
        <w:tc>
          <w:tcPr>
            <w:tcW w:w="4395" w:type="dxa"/>
          </w:tcPr>
          <w:p w14:paraId="65AE27B0"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Pacienți adulți caz suspect și confirmat cu indicații de spitalizare, copii și gravide caz suspect</w:t>
            </w:r>
          </w:p>
        </w:tc>
      </w:tr>
      <w:tr w:rsidR="00787047" w:rsidRPr="003F4D72" w14:paraId="1964BC55"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51B4BAEC"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Spitalul Raional Criuleni</w:t>
            </w:r>
          </w:p>
        </w:tc>
        <w:tc>
          <w:tcPr>
            <w:tcW w:w="1843" w:type="dxa"/>
            <w:noWrap/>
            <w:hideMark/>
          </w:tcPr>
          <w:p w14:paraId="1D73D484"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77</w:t>
            </w:r>
          </w:p>
        </w:tc>
        <w:tc>
          <w:tcPr>
            <w:tcW w:w="4395" w:type="dxa"/>
          </w:tcPr>
          <w:p w14:paraId="7FAC8B30"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Adulți, gravide și copii caz suspect</w:t>
            </w:r>
          </w:p>
        </w:tc>
      </w:tr>
      <w:tr w:rsidR="00787047" w:rsidRPr="003F4D72" w14:paraId="326A0E5B"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899C126"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Spitalul Raional Ungheni</w:t>
            </w:r>
          </w:p>
        </w:tc>
        <w:tc>
          <w:tcPr>
            <w:tcW w:w="1843" w:type="dxa"/>
            <w:noWrap/>
            <w:hideMark/>
          </w:tcPr>
          <w:p w14:paraId="4D93B874"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76</w:t>
            </w:r>
          </w:p>
        </w:tc>
        <w:tc>
          <w:tcPr>
            <w:tcW w:w="4395" w:type="dxa"/>
          </w:tcPr>
          <w:p w14:paraId="37181854"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Pacienți adulți caz suspect și confirmat cu indicații de spitalizare, copii și gravide caz suspect</w:t>
            </w:r>
          </w:p>
        </w:tc>
      </w:tr>
      <w:tr w:rsidR="00787047" w:rsidRPr="003F4D72" w14:paraId="4417F0F3"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29B5899C"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Institutul de Cardiologie</w:t>
            </w:r>
          </w:p>
        </w:tc>
        <w:tc>
          <w:tcPr>
            <w:tcW w:w="1843" w:type="dxa"/>
            <w:noWrap/>
            <w:hideMark/>
          </w:tcPr>
          <w:p w14:paraId="346CE344"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60</w:t>
            </w:r>
          </w:p>
        </w:tc>
        <w:tc>
          <w:tcPr>
            <w:tcW w:w="4395" w:type="dxa"/>
          </w:tcPr>
          <w:p w14:paraId="50576704"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Pacienți adulți caz suspect și confirmat</w:t>
            </w:r>
          </w:p>
        </w:tc>
      </w:tr>
      <w:tr w:rsidR="00787047" w:rsidRPr="003F4D72" w14:paraId="3B9271E2" w14:textId="77777777" w:rsidTr="00F14CCD">
        <w:trPr>
          <w:trHeight w:val="29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658374B7" w14:textId="77777777" w:rsidR="00787047" w:rsidRPr="003F4D72" w:rsidRDefault="00787047" w:rsidP="00F14CCD">
            <w:pPr>
              <w:spacing w:line="276" w:lineRule="auto"/>
              <w:rPr>
                <w:rFonts w:asciiTheme="majorHAnsi" w:hAnsiTheme="majorHAnsi" w:cstheme="majorHAnsi"/>
                <w:sz w:val="20"/>
                <w:szCs w:val="20"/>
              </w:rPr>
            </w:pPr>
            <w:r w:rsidRPr="003F4D72">
              <w:rPr>
                <w:rFonts w:asciiTheme="majorHAnsi" w:hAnsiTheme="majorHAnsi" w:cstheme="majorHAnsi"/>
                <w:sz w:val="20"/>
                <w:szCs w:val="20"/>
              </w:rPr>
              <w:t>IMSP Spitalul Raional Hâncești</w:t>
            </w:r>
          </w:p>
        </w:tc>
        <w:tc>
          <w:tcPr>
            <w:tcW w:w="1843" w:type="dxa"/>
            <w:noWrap/>
            <w:hideMark/>
          </w:tcPr>
          <w:p w14:paraId="7F217388" w14:textId="77777777" w:rsidR="00787047" w:rsidRPr="003F4D72" w:rsidRDefault="00787047" w:rsidP="00F14CCD">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60</w:t>
            </w:r>
          </w:p>
        </w:tc>
        <w:tc>
          <w:tcPr>
            <w:tcW w:w="4395" w:type="dxa"/>
          </w:tcPr>
          <w:p w14:paraId="415A2D8E" w14:textId="77777777" w:rsidR="00787047" w:rsidRPr="003F4D72" w:rsidRDefault="00787047" w:rsidP="00F14CC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F4D72">
              <w:rPr>
                <w:rFonts w:asciiTheme="majorHAnsi" w:hAnsiTheme="majorHAnsi" w:cstheme="majorHAnsi"/>
                <w:sz w:val="20"/>
                <w:szCs w:val="20"/>
              </w:rPr>
              <w:t>Adulți, gravide și copii caz suspect, precum și adulți confirmați</w:t>
            </w:r>
          </w:p>
        </w:tc>
      </w:tr>
    </w:tbl>
    <w:p w14:paraId="7C27C802" w14:textId="6CF38FDB" w:rsidR="00787047" w:rsidRPr="003F4D72" w:rsidRDefault="00787047" w:rsidP="00787047">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Sursa</w:t>
      </w:r>
      <w:r w:rsidRPr="003F4D72">
        <w:rPr>
          <w:rFonts w:asciiTheme="majorHAnsi" w:eastAsia="Times New Roman" w:hAnsiTheme="majorHAnsi" w:cstheme="majorHAnsi"/>
          <w:i/>
          <w:noProof/>
          <w:sz w:val="20"/>
          <w:szCs w:val="20"/>
          <w:lang w:eastAsia="ru-RU"/>
        </w:rPr>
        <w:t xml:space="preserve">: Informații </w:t>
      </w:r>
      <w:r w:rsidR="00F46FE4" w:rsidRPr="003F4D72">
        <w:rPr>
          <w:rFonts w:asciiTheme="majorHAnsi" w:eastAsia="Times New Roman" w:hAnsiTheme="majorHAnsi" w:cstheme="majorHAnsi"/>
          <w:i/>
          <w:noProof/>
          <w:sz w:val="20"/>
          <w:szCs w:val="20"/>
          <w:lang w:eastAsia="ru-RU"/>
        </w:rPr>
        <w:t xml:space="preserve">din </w:t>
      </w:r>
      <w:r w:rsidRPr="003F4D72">
        <w:rPr>
          <w:rFonts w:asciiTheme="majorHAnsi" w:eastAsia="Times New Roman" w:hAnsiTheme="majorHAnsi" w:cstheme="majorHAnsi"/>
          <w:i/>
          <w:noProof/>
          <w:sz w:val="20"/>
          <w:szCs w:val="20"/>
          <w:lang w:eastAsia="ru-RU"/>
        </w:rPr>
        <w:t xml:space="preserve">SI </w:t>
      </w:r>
      <w:r w:rsidR="00946F9D" w:rsidRPr="003F4D72">
        <w:rPr>
          <w:rFonts w:asciiTheme="majorHAnsi" w:eastAsia="Times New Roman" w:hAnsiTheme="majorHAnsi" w:cstheme="majorHAnsi"/>
          <w:i/>
          <w:noProof/>
          <w:sz w:val="20"/>
          <w:szCs w:val="20"/>
          <w:lang w:eastAsia="ru-RU"/>
        </w:rPr>
        <w:t>„</w:t>
      </w:r>
      <w:r w:rsidRPr="003F4D72">
        <w:rPr>
          <w:rFonts w:asciiTheme="majorHAnsi" w:eastAsia="Times New Roman" w:hAnsiTheme="majorHAnsi" w:cstheme="majorHAnsi"/>
          <w:i/>
          <w:noProof/>
          <w:sz w:val="20"/>
          <w:szCs w:val="20"/>
          <w:lang w:eastAsia="ru-RU"/>
        </w:rPr>
        <w:t xml:space="preserve">Evidența şi raportarea serviciilor </w:t>
      </w:r>
      <w:r w:rsidR="00F46FE4" w:rsidRPr="003F4D72">
        <w:rPr>
          <w:rFonts w:asciiTheme="majorHAnsi" w:eastAsia="Times New Roman" w:hAnsiTheme="majorHAnsi" w:cstheme="majorHAnsi"/>
          <w:i/>
          <w:noProof/>
          <w:sz w:val="20"/>
          <w:szCs w:val="20"/>
          <w:lang w:eastAsia="ru-RU"/>
        </w:rPr>
        <w:t>medicale în sistem DRG-online”.</w:t>
      </w:r>
    </w:p>
    <w:p w14:paraId="1D30FDEC" w14:textId="77777777" w:rsidR="00787047" w:rsidRPr="003F4D72" w:rsidRDefault="00787047" w:rsidP="00787047">
      <w:pPr>
        <w:spacing w:after="0" w:line="276" w:lineRule="auto"/>
        <w:ind w:firstLine="567"/>
        <w:jc w:val="both"/>
        <w:rPr>
          <w:rFonts w:asciiTheme="majorHAnsi" w:hAnsiTheme="majorHAnsi" w:cstheme="majorHAnsi"/>
          <w:sz w:val="24"/>
          <w:szCs w:val="24"/>
        </w:rPr>
      </w:pPr>
    </w:p>
    <w:p w14:paraId="7B8A10AF" w14:textId="56E2B793" w:rsidR="00787047" w:rsidRPr="003F4D72" w:rsidRDefault="00787047" w:rsidP="00787047">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În situația expusă</w:t>
      </w:r>
      <w:r w:rsidR="00946F9D" w:rsidRPr="003F4D72">
        <w:rPr>
          <w:rFonts w:asciiTheme="majorHAnsi" w:hAnsiTheme="majorHAnsi" w:cstheme="majorHAnsi"/>
          <w:sz w:val="24"/>
          <w:szCs w:val="24"/>
        </w:rPr>
        <w:t>,</w:t>
      </w:r>
      <w:r w:rsidRPr="003F4D72">
        <w:rPr>
          <w:rFonts w:asciiTheme="majorHAnsi" w:hAnsiTheme="majorHAnsi" w:cstheme="majorHAnsi"/>
          <w:sz w:val="24"/>
          <w:szCs w:val="24"/>
        </w:rPr>
        <w:t xml:space="preserve"> se relevă că instituțiile medicale nu au asigurat întreprinderea măsurilor de vigilență sporită privind îmbolnăvirile prin COVID-19</w:t>
      </w:r>
      <w:r w:rsidR="00946F9D" w:rsidRPr="003F4D72">
        <w:rPr>
          <w:rFonts w:asciiTheme="majorHAnsi" w:hAnsiTheme="majorHAnsi" w:cstheme="majorHAnsi"/>
          <w:sz w:val="24"/>
          <w:szCs w:val="24"/>
        </w:rPr>
        <w:t>,</w:t>
      </w:r>
      <w:r w:rsidR="00815A71" w:rsidRPr="003F4D72">
        <w:rPr>
          <w:rFonts w:asciiTheme="majorHAnsi" w:hAnsiTheme="majorHAnsi" w:cstheme="majorHAnsi"/>
          <w:sz w:val="24"/>
          <w:szCs w:val="24"/>
        </w:rPr>
        <w:t xml:space="preserve"> </w:t>
      </w:r>
      <w:r w:rsidRPr="003F4D72">
        <w:rPr>
          <w:rFonts w:asciiTheme="majorHAnsi" w:hAnsiTheme="majorHAnsi" w:cstheme="majorHAnsi"/>
          <w:sz w:val="24"/>
          <w:szCs w:val="24"/>
        </w:rPr>
        <w:t xml:space="preserve">în vederea prevenirii răspândirii infecției prin minimizarea numărului de vizite și a fluxului de pacienți. </w:t>
      </w:r>
    </w:p>
    <w:p w14:paraId="7AAF147D" w14:textId="68308DBE" w:rsidR="00787047" w:rsidRPr="003F4D72" w:rsidRDefault="00787047" w:rsidP="00787047">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La acest aspect menționăm că</w:t>
      </w:r>
      <w:r w:rsidR="00946F9D" w:rsidRPr="003F4D72">
        <w:rPr>
          <w:rFonts w:asciiTheme="majorHAnsi" w:hAnsiTheme="majorHAnsi" w:cstheme="majorHAnsi"/>
          <w:sz w:val="24"/>
          <w:szCs w:val="24"/>
        </w:rPr>
        <w:t>,</w:t>
      </w:r>
      <w:r w:rsidRPr="003F4D72">
        <w:rPr>
          <w:rFonts w:asciiTheme="majorHAnsi" w:hAnsiTheme="majorHAnsi" w:cstheme="majorHAnsi"/>
          <w:sz w:val="24"/>
          <w:szCs w:val="24"/>
        </w:rPr>
        <w:t xml:space="preserve"> deși internările programate au fost sistate de către alte instituții medico-sanitare publice, pentru aceste cazuri tratate </w:t>
      </w:r>
      <w:r w:rsidR="00366CCC" w:rsidRPr="003F4D72">
        <w:rPr>
          <w:rFonts w:asciiTheme="majorHAnsi" w:hAnsiTheme="majorHAnsi" w:cstheme="majorHAnsi"/>
          <w:sz w:val="24"/>
          <w:szCs w:val="24"/>
        </w:rPr>
        <w:t>CNAM</w:t>
      </w:r>
      <w:r w:rsidRPr="003F4D72">
        <w:rPr>
          <w:rFonts w:asciiTheme="majorHAnsi" w:hAnsiTheme="majorHAnsi" w:cstheme="majorHAnsi"/>
          <w:sz w:val="24"/>
          <w:szCs w:val="24"/>
        </w:rPr>
        <w:t xml:space="preserve"> a finanțat cheltuielile, inclusiv </w:t>
      </w:r>
      <w:r w:rsidR="00FA3E6A" w:rsidRPr="003F4D72">
        <w:rPr>
          <w:rFonts w:asciiTheme="majorHAnsi" w:hAnsiTheme="majorHAnsi" w:cstheme="majorHAnsi"/>
          <w:sz w:val="24"/>
          <w:szCs w:val="24"/>
        </w:rPr>
        <w:t xml:space="preserve">pentru unele servicii medicale prestate de către </w:t>
      </w:r>
      <w:r w:rsidRPr="003F4D72">
        <w:rPr>
          <w:rFonts w:asciiTheme="majorHAnsi" w:hAnsiTheme="majorHAnsi" w:cstheme="majorHAnsi"/>
          <w:sz w:val="24"/>
          <w:szCs w:val="24"/>
        </w:rPr>
        <w:t>instituți</w:t>
      </w:r>
      <w:r w:rsidR="00FA3E6A" w:rsidRPr="003F4D72">
        <w:rPr>
          <w:rFonts w:asciiTheme="majorHAnsi" w:hAnsiTheme="majorHAnsi" w:cstheme="majorHAnsi"/>
          <w:sz w:val="24"/>
          <w:szCs w:val="24"/>
        </w:rPr>
        <w:t>ile</w:t>
      </w:r>
      <w:r w:rsidRPr="003F4D72">
        <w:rPr>
          <w:rFonts w:asciiTheme="majorHAnsi" w:hAnsiTheme="majorHAnsi" w:cstheme="majorHAnsi"/>
          <w:sz w:val="24"/>
          <w:szCs w:val="24"/>
        </w:rPr>
        <w:t xml:space="preserve"> </w:t>
      </w:r>
      <w:r w:rsidR="00FA3E6A" w:rsidRPr="003F4D72">
        <w:rPr>
          <w:rFonts w:asciiTheme="majorHAnsi" w:hAnsiTheme="majorHAnsi" w:cstheme="majorHAnsi"/>
          <w:sz w:val="24"/>
          <w:szCs w:val="24"/>
        </w:rPr>
        <w:t xml:space="preserve">medicale </w:t>
      </w:r>
      <w:r w:rsidRPr="003F4D72">
        <w:rPr>
          <w:rFonts w:asciiTheme="majorHAnsi" w:hAnsiTheme="majorHAnsi" w:cstheme="majorHAnsi"/>
          <w:sz w:val="24"/>
          <w:szCs w:val="24"/>
        </w:rPr>
        <w:t>privat</w:t>
      </w:r>
      <w:r w:rsidR="00FA3E6A" w:rsidRPr="003F4D72">
        <w:rPr>
          <w:rFonts w:asciiTheme="majorHAnsi" w:hAnsiTheme="majorHAnsi" w:cstheme="majorHAnsi"/>
          <w:sz w:val="24"/>
          <w:szCs w:val="24"/>
        </w:rPr>
        <w:t>e</w:t>
      </w:r>
      <w:r w:rsidRPr="003F4D72">
        <w:rPr>
          <w:rFonts w:asciiTheme="majorHAnsi" w:hAnsiTheme="majorHAnsi" w:cstheme="majorHAnsi"/>
          <w:sz w:val="24"/>
          <w:szCs w:val="24"/>
        </w:rPr>
        <w:t xml:space="preserve">, care pe parcursul perioadei de urgență a efectuat </w:t>
      </w:r>
      <w:r w:rsidR="00FA3E6A" w:rsidRPr="003F4D72">
        <w:rPr>
          <w:rFonts w:asciiTheme="majorHAnsi" w:hAnsiTheme="majorHAnsi" w:cstheme="majorHAnsi"/>
          <w:sz w:val="24"/>
          <w:szCs w:val="24"/>
        </w:rPr>
        <w:t xml:space="preserve">329 </w:t>
      </w:r>
      <w:r w:rsidR="00946F9D" w:rsidRPr="003F4D72">
        <w:rPr>
          <w:rFonts w:asciiTheme="majorHAnsi" w:hAnsiTheme="majorHAnsi" w:cstheme="majorHAnsi"/>
          <w:sz w:val="24"/>
          <w:szCs w:val="24"/>
        </w:rPr>
        <w:t xml:space="preserve">de </w:t>
      </w:r>
      <w:r w:rsidRPr="003F4D72">
        <w:rPr>
          <w:rFonts w:asciiTheme="majorHAnsi" w:hAnsiTheme="majorHAnsi" w:cstheme="majorHAnsi"/>
          <w:sz w:val="24"/>
          <w:szCs w:val="24"/>
        </w:rPr>
        <w:t>internări programate.</w:t>
      </w:r>
    </w:p>
    <w:p w14:paraId="31E841F7" w14:textId="77777777" w:rsidR="006C7E5B" w:rsidRPr="003F4D72" w:rsidRDefault="006C7E5B" w:rsidP="00787047">
      <w:pPr>
        <w:spacing w:after="0" w:line="276" w:lineRule="auto"/>
        <w:ind w:firstLine="567"/>
        <w:jc w:val="both"/>
        <w:rPr>
          <w:rFonts w:asciiTheme="majorHAnsi" w:hAnsiTheme="majorHAnsi" w:cstheme="majorHAnsi"/>
          <w:sz w:val="24"/>
          <w:szCs w:val="24"/>
        </w:rPr>
      </w:pPr>
    </w:p>
    <w:p w14:paraId="10C7CC98" w14:textId="10D8F01E" w:rsidR="003655E8" w:rsidRPr="003F4D72" w:rsidRDefault="00023B8B" w:rsidP="003655E8">
      <w:pPr>
        <w:spacing w:after="0" w:line="276" w:lineRule="auto"/>
        <w:jc w:val="both"/>
        <w:rPr>
          <w:rFonts w:asciiTheme="majorHAnsi" w:hAnsiTheme="majorHAnsi" w:cstheme="majorHAnsi"/>
          <w:b/>
          <w:bCs/>
          <w:iCs/>
          <w:sz w:val="24"/>
          <w:szCs w:val="24"/>
        </w:rPr>
      </w:pPr>
      <w:r w:rsidRPr="003F4D72">
        <w:rPr>
          <w:rFonts w:asciiTheme="majorHAnsi" w:hAnsiTheme="majorHAnsi" w:cstheme="majorHAnsi"/>
          <w:b/>
          <w:bCs/>
          <w:iCs/>
          <w:sz w:val="24"/>
          <w:szCs w:val="24"/>
        </w:rPr>
        <w:t>5.5</w:t>
      </w:r>
      <w:r w:rsidR="003655E8" w:rsidRPr="003F4D72">
        <w:rPr>
          <w:rFonts w:asciiTheme="majorHAnsi" w:hAnsiTheme="majorHAnsi" w:cstheme="majorHAnsi"/>
          <w:b/>
          <w:bCs/>
          <w:iCs/>
          <w:sz w:val="24"/>
          <w:szCs w:val="24"/>
        </w:rPr>
        <w:t xml:space="preserve">. Prestarea serviciilor de urgență în cadrul programelor speciale s-a efectuat cu </w:t>
      </w:r>
      <w:r w:rsidR="00D24D33" w:rsidRPr="003F4D72">
        <w:rPr>
          <w:rFonts w:asciiTheme="majorHAnsi" w:hAnsiTheme="majorHAnsi" w:cstheme="majorHAnsi"/>
          <w:b/>
          <w:bCs/>
          <w:iCs/>
          <w:sz w:val="24"/>
          <w:szCs w:val="24"/>
        </w:rPr>
        <w:t>abateri de la graficul</w:t>
      </w:r>
      <w:r w:rsidR="003655E8" w:rsidRPr="003F4D72">
        <w:rPr>
          <w:rFonts w:asciiTheme="majorHAnsi" w:hAnsiTheme="majorHAnsi" w:cstheme="majorHAnsi"/>
          <w:b/>
          <w:bCs/>
          <w:iCs/>
          <w:sz w:val="24"/>
          <w:szCs w:val="24"/>
        </w:rPr>
        <w:t xml:space="preserve"> stabilit, ceea ce a condiționat redirecționarea pacienților și, respectiv, a mijloacelor financiare către </w:t>
      </w:r>
      <w:r w:rsidR="00562B20" w:rsidRPr="003F4D72">
        <w:rPr>
          <w:rFonts w:asciiTheme="majorHAnsi" w:hAnsiTheme="majorHAnsi" w:cstheme="majorHAnsi"/>
          <w:b/>
          <w:bCs/>
          <w:iCs/>
          <w:sz w:val="24"/>
          <w:szCs w:val="24"/>
        </w:rPr>
        <w:t>alte instituții</w:t>
      </w:r>
      <w:r w:rsidR="003655E8" w:rsidRPr="003F4D72">
        <w:rPr>
          <w:rFonts w:asciiTheme="majorHAnsi" w:hAnsiTheme="majorHAnsi" w:cstheme="majorHAnsi"/>
          <w:b/>
          <w:bCs/>
          <w:iCs/>
          <w:sz w:val="24"/>
          <w:szCs w:val="24"/>
        </w:rPr>
        <w:t xml:space="preserve"> medicale (</w:t>
      </w:r>
      <w:r w:rsidR="00D24D33" w:rsidRPr="003F4D72">
        <w:rPr>
          <w:rFonts w:asciiTheme="majorHAnsi" w:hAnsiTheme="majorHAnsi" w:cstheme="majorHAnsi"/>
          <w:b/>
          <w:bCs/>
          <w:iCs/>
          <w:sz w:val="24"/>
          <w:szCs w:val="24"/>
        </w:rPr>
        <w:t>2,0</w:t>
      </w:r>
      <w:r w:rsidR="003655E8" w:rsidRPr="003F4D72">
        <w:rPr>
          <w:rFonts w:asciiTheme="majorHAnsi" w:hAnsiTheme="majorHAnsi" w:cstheme="majorHAnsi"/>
          <w:b/>
          <w:bCs/>
          <w:iCs/>
          <w:sz w:val="24"/>
          <w:szCs w:val="24"/>
        </w:rPr>
        <w:t xml:space="preserve"> mil.lei)</w:t>
      </w:r>
      <w:r w:rsidR="00BE50FD" w:rsidRPr="003F4D72">
        <w:rPr>
          <w:rFonts w:asciiTheme="majorHAnsi" w:hAnsiTheme="majorHAnsi" w:cstheme="majorHAnsi"/>
          <w:b/>
          <w:bCs/>
          <w:iCs/>
          <w:sz w:val="24"/>
          <w:szCs w:val="24"/>
        </w:rPr>
        <w:t>.</w:t>
      </w:r>
    </w:p>
    <w:p w14:paraId="5C00AD65" w14:textId="77858D12" w:rsidR="003655E8" w:rsidRPr="003F4D72" w:rsidRDefault="003655E8" w:rsidP="006C7E5B">
      <w:pPr>
        <w:pStyle w:val="BodyTextIndent"/>
        <w:tabs>
          <w:tab w:val="left" w:pos="0"/>
        </w:tabs>
        <w:spacing w:line="276" w:lineRule="auto"/>
        <w:ind w:firstLine="567"/>
        <w:rPr>
          <w:rFonts w:asciiTheme="majorHAnsi" w:hAnsiTheme="majorHAnsi"/>
          <w:bCs w:val="0"/>
          <w:lang w:val="ro-MD"/>
        </w:rPr>
      </w:pPr>
      <w:r w:rsidRPr="003F4D72">
        <w:rPr>
          <w:rFonts w:asciiTheme="majorHAnsi" w:hAnsiTheme="majorHAnsi" w:cstheme="majorHAnsi"/>
          <w:lang w:val="ro-MD"/>
        </w:rPr>
        <w:lastRenderedPageBreak/>
        <w:t>Ordinul MSMSP</w:t>
      </w:r>
      <w:r w:rsidRPr="003F4D72">
        <w:rPr>
          <w:rStyle w:val="FootnoteReference"/>
          <w:rFonts w:asciiTheme="majorHAnsi" w:hAnsiTheme="majorHAnsi" w:cstheme="majorHAnsi"/>
          <w:lang w:val="ro-MD"/>
        </w:rPr>
        <w:footnoteReference w:id="31"/>
      </w:r>
      <w:r w:rsidRPr="003F4D72">
        <w:rPr>
          <w:rFonts w:asciiTheme="majorHAnsi" w:hAnsiTheme="majorHAnsi" w:cstheme="majorHAnsi"/>
          <w:bCs w:val="0"/>
          <w:lang w:val="ro-MD"/>
        </w:rPr>
        <w:t xml:space="preserve"> cu modificările ulterioare</w:t>
      </w:r>
      <w:r w:rsidRPr="003F4D72">
        <w:rPr>
          <w:rFonts w:asciiTheme="majorHAnsi" w:hAnsiTheme="majorHAnsi" w:cstheme="majorHAnsi"/>
          <w:lang w:val="ro-MD"/>
        </w:rPr>
        <w:t xml:space="preserve"> </w:t>
      </w:r>
      <w:r w:rsidRPr="003F4D72">
        <w:rPr>
          <w:rFonts w:asciiTheme="majorHAnsi" w:hAnsiTheme="majorHAnsi"/>
          <w:bCs w:val="0"/>
          <w:lang w:val="ro-MD"/>
        </w:rPr>
        <w:t>„Cu privire la referirea pacienților cu Sindrom coronarian acut” stabilește prestatorii de servicii medicale spitalicești responsabil</w:t>
      </w:r>
      <w:r w:rsidR="00946F9D" w:rsidRPr="003F4D72">
        <w:rPr>
          <w:rFonts w:asciiTheme="majorHAnsi" w:hAnsiTheme="majorHAnsi"/>
          <w:bCs w:val="0"/>
          <w:lang w:val="ro-MD"/>
        </w:rPr>
        <w:t>i</w:t>
      </w:r>
      <w:r w:rsidRPr="003F4D72">
        <w:rPr>
          <w:rFonts w:asciiTheme="majorHAnsi" w:hAnsiTheme="majorHAnsi"/>
          <w:bCs w:val="0"/>
          <w:lang w:val="ro-MD"/>
        </w:rPr>
        <w:t xml:space="preserve"> pentru preluarea pacienților de la echipele de asistență medicală urgentă. </w:t>
      </w:r>
    </w:p>
    <w:p w14:paraId="6FB19D80" w14:textId="5981E5BF" w:rsidR="003655E8" w:rsidRPr="003F4D72" w:rsidRDefault="003655E8" w:rsidP="00996138">
      <w:pPr>
        <w:pStyle w:val="BodyTextIndent"/>
        <w:tabs>
          <w:tab w:val="left" w:pos="0"/>
        </w:tabs>
        <w:spacing w:line="276" w:lineRule="auto"/>
        <w:ind w:firstLine="567"/>
        <w:rPr>
          <w:rFonts w:asciiTheme="majorHAnsi" w:hAnsiTheme="majorHAnsi" w:cstheme="majorHAnsi"/>
          <w:lang w:val="ro-MD"/>
        </w:rPr>
      </w:pPr>
      <w:r w:rsidRPr="003F4D72">
        <w:rPr>
          <w:rFonts w:asciiTheme="majorHAnsi" w:hAnsiTheme="majorHAnsi" w:cstheme="majorHAnsi"/>
          <w:lang w:val="ro-MD"/>
        </w:rPr>
        <w:t>Persoanel</w:t>
      </w:r>
      <w:r w:rsidR="00946F9D" w:rsidRPr="003F4D72">
        <w:rPr>
          <w:rFonts w:asciiTheme="majorHAnsi" w:hAnsiTheme="majorHAnsi" w:cstheme="majorHAnsi"/>
          <w:lang w:val="ro-MD"/>
        </w:rPr>
        <w:t>or</w:t>
      </w:r>
      <w:r w:rsidRPr="003F4D72">
        <w:rPr>
          <w:rFonts w:asciiTheme="majorHAnsi" w:hAnsiTheme="majorHAnsi" w:cstheme="majorHAnsi"/>
          <w:lang w:val="ro-MD"/>
        </w:rPr>
        <w:t xml:space="preserve"> cu urgențe medico-sanitare, deservite de echipa de urgență</w:t>
      </w:r>
      <w:r w:rsidR="00946F9D" w:rsidRPr="003F4D72">
        <w:rPr>
          <w:rFonts w:asciiTheme="majorHAnsi" w:hAnsiTheme="majorHAnsi" w:cstheme="majorHAnsi"/>
          <w:lang w:val="ro-MD"/>
        </w:rPr>
        <w:t>,</w:t>
      </w:r>
      <w:r w:rsidRPr="003F4D72">
        <w:rPr>
          <w:rFonts w:asciiTheme="majorHAnsi" w:hAnsiTheme="majorHAnsi" w:cstheme="majorHAnsi"/>
          <w:lang w:val="ro-MD"/>
        </w:rPr>
        <w:t xml:space="preserve"> care necesită consultație și tratament la etapa spitalicească</w:t>
      </w:r>
      <w:r w:rsidR="00946F9D" w:rsidRPr="003F4D72">
        <w:rPr>
          <w:rFonts w:asciiTheme="majorHAnsi" w:hAnsiTheme="majorHAnsi" w:cstheme="majorHAnsi"/>
          <w:lang w:val="ro-MD"/>
        </w:rPr>
        <w:t>,</w:t>
      </w:r>
      <w:r w:rsidRPr="003F4D72">
        <w:rPr>
          <w:rFonts w:asciiTheme="majorHAnsi" w:hAnsiTheme="majorHAnsi" w:cstheme="majorHAnsi"/>
          <w:lang w:val="ro-MD"/>
        </w:rPr>
        <w:t xml:space="preserve"> li se asigură transport asistat la instituțiile medicale spitalicești</w:t>
      </w:r>
      <w:r w:rsidR="00D914DF" w:rsidRPr="003F4D72">
        <w:rPr>
          <w:rFonts w:asciiTheme="majorHAnsi" w:hAnsiTheme="majorHAnsi" w:cstheme="majorHAnsi"/>
          <w:lang w:val="ro-MD"/>
        </w:rPr>
        <w:t>,</w:t>
      </w:r>
      <w:r w:rsidRPr="003F4D72">
        <w:rPr>
          <w:rFonts w:asciiTheme="majorHAnsi" w:hAnsiTheme="majorHAnsi" w:cstheme="majorHAnsi"/>
          <w:lang w:val="ro-MD"/>
        </w:rPr>
        <w:t xml:space="preserve"> potrivit orarului de referire a pacienților și a graficului stabilit de p</w:t>
      </w:r>
      <w:r w:rsidR="00D914DF" w:rsidRPr="003F4D72">
        <w:rPr>
          <w:rFonts w:asciiTheme="majorHAnsi" w:hAnsiTheme="majorHAnsi" w:cstheme="majorHAnsi"/>
          <w:lang w:val="ro-MD"/>
        </w:rPr>
        <w:t>rimire</w:t>
      </w:r>
      <w:r w:rsidRPr="003F4D72">
        <w:rPr>
          <w:rFonts w:asciiTheme="majorHAnsi" w:hAnsiTheme="majorHAnsi" w:cstheme="majorHAnsi"/>
          <w:lang w:val="ro-MD"/>
        </w:rPr>
        <w:t xml:space="preserve"> a cazurilor de urgență.</w:t>
      </w:r>
      <w:r w:rsidR="00996138" w:rsidRPr="003F4D72">
        <w:rPr>
          <w:rFonts w:asciiTheme="majorHAnsi" w:hAnsiTheme="majorHAnsi" w:cstheme="majorHAnsi"/>
          <w:lang w:val="ro-MD"/>
        </w:rPr>
        <w:t xml:space="preserve"> </w:t>
      </w:r>
      <w:r w:rsidRPr="003F4D72">
        <w:rPr>
          <w:rFonts w:asciiTheme="majorHAnsi" w:hAnsiTheme="majorHAnsi" w:cstheme="majorHAnsi"/>
          <w:lang w:val="ro-MD"/>
        </w:rPr>
        <w:t>Auditul a constat</w:t>
      </w:r>
      <w:r w:rsidR="00946F9D" w:rsidRPr="003F4D72">
        <w:rPr>
          <w:rFonts w:asciiTheme="majorHAnsi" w:hAnsiTheme="majorHAnsi" w:cstheme="majorHAnsi"/>
          <w:lang w:val="ro-MD"/>
        </w:rPr>
        <w:t>at</w:t>
      </w:r>
      <w:r w:rsidRPr="003F4D72">
        <w:rPr>
          <w:rFonts w:asciiTheme="majorHAnsi" w:hAnsiTheme="majorHAnsi" w:cstheme="majorHAnsi"/>
          <w:lang w:val="ro-MD"/>
        </w:rPr>
        <w:t xml:space="preserve"> că </w:t>
      </w:r>
      <w:r w:rsidR="00D914DF" w:rsidRPr="003F4D72">
        <w:rPr>
          <w:rFonts w:asciiTheme="majorHAnsi" w:hAnsiTheme="majorHAnsi" w:cstheme="majorHAnsi"/>
          <w:lang w:val="ro-MD"/>
        </w:rPr>
        <w:t xml:space="preserve">în unele cazuri echipele de urgență </w:t>
      </w:r>
      <w:r w:rsidRPr="003F4D72">
        <w:rPr>
          <w:rFonts w:asciiTheme="majorHAnsi" w:hAnsiTheme="majorHAnsi" w:cstheme="majorHAnsi"/>
          <w:lang w:val="ro-MD"/>
        </w:rPr>
        <w:t xml:space="preserve">au </w:t>
      </w:r>
      <w:r w:rsidR="00D914DF" w:rsidRPr="003F4D72">
        <w:rPr>
          <w:rFonts w:asciiTheme="majorHAnsi" w:hAnsiTheme="majorHAnsi" w:cstheme="majorHAnsi"/>
          <w:lang w:val="ro-MD"/>
        </w:rPr>
        <w:t>transportat pacienții la alte instituții</w:t>
      </w:r>
      <w:r w:rsidRPr="003F4D72">
        <w:rPr>
          <w:rStyle w:val="FootnoteReference"/>
          <w:rFonts w:asciiTheme="majorHAnsi" w:hAnsiTheme="majorHAnsi" w:cstheme="majorHAnsi"/>
          <w:lang w:val="ro-MD"/>
        </w:rPr>
        <w:footnoteReference w:id="32"/>
      </w:r>
      <w:r w:rsidR="000D2E57" w:rsidRPr="003F4D72">
        <w:rPr>
          <w:rFonts w:asciiTheme="majorHAnsi" w:hAnsiTheme="majorHAnsi" w:cstheme="majorHAnsi"/>
          <w:lang w:val="ro-MD"/>
        </w:rPr>
        <w:t>,</w:t>
      </w:r>
      <w:r w:rsidRPr="003F4D72">
        <w:rPr>
          <w:rFonts w:asciiTheme="majorHAnsi" w:hAnsiTheme="majorHAnsi" w:cstheme="majorHAnsi"/>
          <w:lang w:val="ro-MD"/>
        </w:rPr>
        <w:t xml:space="preserve"> </w:t>
      </w:r>
      <w:r w:rsidR="000D2E57" w:rsidRPr="003F4D72">
        <w:rPr>
          <w:rFonts w:asciiTheme="majorHAnsi" w:hAnsiTheme="majorHAnsi" w:cstheme="majorHAnsi"/>
          <w:lang w:val="ro-MD"/>
        </w:rPr>
        <w:t>situație</w:t>
      </w:r>
      <w:r w:rsidRPr="003F4D72">
        <w:rPr>
          <w:rFonts w:asciiTheme="majorHAnsi" w:hAnsiTheme="majorHAnsi" w:cstheme="majorHAnsi"/>
          <w:lang w:val="ro-MD"/>
        </w:rPr>
        <w:t xml:space="preserve"> redată în tabelul ce urmează:</w:t>
      </w:r>
    </w:p>
    <w:p w14:paraId="3F6014ED" w14:textId="1B24B329" w:rsidR="00380903" w:rsidRPr="003F4D72" w:rsidRDefault="00380903" w:rsidP="00380903">
      <w:pPr>
        <w:pStyle w:val="BodyTextIndent"/>
        <w:tabs>
          <w:tab w:val="left" w:pos="0"/>
        </w:tabs>
        <w:spacing w:line="276" w:lineRule="auto"/>
        <w:ind w:firstLine="567"/>
        <w:jc w:val="center"/>
        <w:rPr>
          <w:rFonts w:asciiTheme="majorHAnsi" w:hAnsiTheme="majorHAnsi" w:cstheme="majorHAnsi"/>
          <w:b/>
          <w:lang w:val="ro-MD"/>
        </w:rPr>
      </w:pPr>
      <w:r w:rsidRPr="003F4D72">
        <w:rPr>
          <w:rFonts w:asciiTheme="majorHAnsi" w:hAnsiTheme="majorHAnsi" w:cstheme="majorHAnsi"/>
          <w:b/>
          <w:lang w:val="ro-MD"/>
        </w:rPr>
        <w:t>Informații privind repartizarea pacienților la instituțiile medicale</w:t>
      </w:r>
    </w:p>
    <w:p w14:paraId="310FDCE6" w14:textId="6ED01383" w:rsidR="003655E8" w:rsidRPr="003F4D72" w:rsidRDefault="000A347E" w:rsidP="00D62C4B">
      <w:pPr>
        <w:spacing w:after="0"/>
        <w:jc w:val="right"/>
        <w:rPr>
          <w:rFonts w:asciiTheme="majorHAnsi" w:hAnsiTheme="majorHAnsi" w:cstheme="majorHAnsi"/>
          <w:sz w:val="20"/>
          <w:szCs w:val="20"/>
        </w:rPr>
      </w:pPr>
      <w:r w:rsidRPr="003F4D72">
        <w:rPr>
          <w:rFonts w:asciiTheme="majorHAnsi" w:hAnsiTheme="majorHAnsi" w:cstheme="majorHAnsi"/>
          <w:sz w:val="20"/>
          <w:szCs w:val="20"/>
        </w:rPr>
        <w:t>Tabelul nr.10</w:t>
      </w:r>
      <w:r w:rsidR="003655E8" w:rsidRPr="003F4D72">
        <w:rPr>
          <w:rFonts w:asciiTheme="majorHAnsi" w:hAnsiTheme="majorHAnsi" w:cstheme="majorHAnsi"/>
          <w:sz w:val="20"/>
          <w:szCs w:val="20"/>
        </w:rPr>
        <w:t>, mii lei</w:t>
      </w:r>
    </w:p>
    <w:tbl>
      <w:tblPr>
        <w:tblStyle w:val="TableGrid"/>
        <w:tblW w:w="9776" w:type="dxa"/>
        <w:tblLayout w:type="fixed"/>
        <w:tblLook w:val="04A0" w:firstRow="1" w:lastRow="0" w:firstColumn="1" w:lastColumn="0" w:noHBand="0" w:noVBand="1"/>
      </w:tblPr>
      <w:tblGrid>
        <w:gridCol w:w="1972"/>
        <w:gridCol w:w="1142"/>
        <w:gridCol w:w="1417"/>
        <w:gridCol w:w="993"/>
        <w:gridCol w:w="1355"/>
        <w:gridCol w:w="883"/>
        <w:gridCol w:w="1164"/>
        <w:gridCol w:w="850"/>
      </w:tblGrid>
      <w:tr w:rsidR="003655E8" w:rsidRPr="003F4D72" w14:paraId="407728DC" w14:textId="77777777" w:rsidTr="00F83CD5">
        <w:trPr>
          <w:trHeight w:val="56"/>
        </w:trPr>
        <w:tc>
          <w:tcPr>
            <w:tcW w:w="1972" w:type="dxa"/>
            <w:vMerge w:val="restart"/>
          </w:tcPr>
          <w:p w14:paraId="489A4051" w14:textId="77777777" w:rsidR="003655E8" w:rsidRPr="003F4D72" w:rsidRDefault="003655E8" w:rsidP="003655E8">
            <w:pPr>
              <w:rPr>
                <w:rFonts w:asciiTheme="majorHAnsi" w:hAnsiTheme="majorHAnsi" w:cstheme="majorHAnsi"/>
                <w:b/>
                <w:sz w:val="20"/>
                <w:szCs w:val="20"/>
              </w:rPr>
            </w:pPr>
            <w:r w:rsidRPr="003F4D72">
              <w:rPr>
                <w:rFonts w:asciiTheme="majorHAnsi" w:eastAsia="Times New Roman" w:hAnsiTheme="majorHAnsi" w:cstheme="majorHAnsi"/>
                <w:b/>
                <w:bCs/>
                <w:color w:val="000000" w:themeColor="text1"/>
                <w:sz w:val="20"/>
                <w:szCs w:val="20"/>
              </w:rPr>
              <w:t>Denumirea prestatorului de servicii medicale</w:t>
            </w:r>
          </w:p>
        </w:tc>
        <w:tc>
          <w:tcPr>
            <w:tcW w:w="2559" w:type="dxa"/>
            <w:gridSpan w:val="2"/>
          </w:tcPr>
          <w:p w14:paraId="60A23851"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Spitalizări urgente în cazul programului special „Cardiologie intervențională”</w:t>
            </w:r>
          </w:p>
        </w:tc>
        <w:tc>
          <w:tcPr>
            <w:tcW w:w="4395" w:type="dxa"/>
            <w:gridSpan w:val="4"/>
          </w:tcPr>
          <w:p w14:paraId="4A5773E9"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Necesar de efectuat conform graficului Spitalizări urgente în cazul programului special „Cardiologie intervențională”</w:t>
            </w:r>
          </w:p>
        </w:tc>
        <w:tc>
          <w:tcPr>
            <w:tcW w:w="850" w:type="dxa"/>
          </w:tcPr>
          <w:p w14:paraId="18068E7C"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Total</w:t>
            </w:r>
          </w:p>
          <w:p w14:paraId="4E94E08C"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achitat</w:t>
            </w:r>
          </w:p>
        </w:tc>
      </w:tr>
      <w:tr w:rsidR="003655E8" w:rsidRPr="003F4D72" w14:paraId="7E6C9AFA" w14:textId="77777777" w:rsidTr="00F83CD5">
        <w:trPr>
          <w:trHeight w:val="624"/>
        </w:trPr>
        <w:tc>
          <w:tcPr>
            <w:tcW w:w="1972" w:type="dxa"/>
            <w:vMerge/>
          </w:tcPr>
          <w:p w14:paraId="36675D22" w14:textId="77777777" w:rsidR="003655E8" w:rsidRPr="003F4D72" w:rsidRDefault="003655E8" w:rsidP="003655E8">
            <w:pPr>
              <w:rPr>
                <w:rFonts w:asciiTheme="majorHAnsi" w:hAnsiTheme="majorHAnsi" w:cstheme="majorHAnsi"/>
                <w:b/>
                <w:sz w:val="20"/>
                <w:szCs w:val="20"/>
              </w:rPr>
            </w:pPr>
          </w:p>
        </w:tc>
        <w:tc>
          <w:tcPr>
            <w:tcW w:w="1142" w:type="dxa"/>
          </w:tcPr>
          <w:p w14:paraId="366CB9B1"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Conform graficului</w:t>
            </w:r>
          </w:p>
        </w:tc>
        <w:tc>
          <w:tcPr>
            <w:tcW w:w="1417" w:type="dxa"/>
          </w:tcPr>
          <w:p w14:paraId="041C9B10"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Nerespectarea</w:t>
            </w:r>
          </w:p>
          <w:p w14:paraId="58756D88"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graficului</w:t>
            </w:r>
          </w:p>
        </w:tc>
        <w:tc>
          <w:tcPr>
            <w:tcW w:w="993" w:type="dxa"/>
          </w:tcPr>
          <w:p w14:paraId="2BF7E781" w14:textId="4BF76A52" w:rsidR="003655E8" w:rsidRPr="003F4D72" w:rsidRDefault="002A33DF" w:rsidP="003655E8">
            <w:pPr>
              <w:jc w:val="center"/>
              <w:rPr>
                <w:rFonts w:asciiTheme="majorHAnsi" w:hAnsiTheme="majorHAnsi" w:cstheme="majorHAnsi"/>
                <w:b/>
                <w:sz w:val="20"/>
                <w:szCs w:val="20"/>
              </w:rPr>
            </w:pPr>
            <w:r w:rsidRPr="003F4D72">
              <w:rPr>
                <w:rFonts w:asciiTheme="majorHAnsi" w:eastAsia="Times New Roman" w:hAnsiTheme="majorHAnsi" w:cstheme="majorHAnsi"/>
                <w:b/>
                <w:color w:val="000000" w:themeColor="text1"/>
                <w:sz w:val="20"/>
                <w:szCs w:val="20"/>
              </w:rPr>
              <w:t>„</w:t>
            </w:r>
            <w:proofErr w:type="spellStart"/>
            <w:r w:rsidR="003655E8" w:rsidRPr="003F4D72">
              <w:rPr>
                <w:rFonts w:asciiTheme="majorHAnsi" w:eastAsia="Times New Roman" w:hAnsiTheme="majorHAnsi" w:cstheme="majorHAnsi"/>
                <w:b/>
                <w:color w:val="000000" w:themeColor="text1"/>
                <w:sz w:val="20"/>
                <w:szCs w:val="20"/>
              </w:rPr>
              <w:t>Cardiomed</w:t>
            </w:r>
            <w:proofErr w:type="spellEnd"/>
            <w:r w:rsidRPr="003F4D72">
              <w:rPr>
                <w:rFonts w:asciiTheme="majorHAnsi" w:eastAsia="Times New Roman" w:hAnsiTheme="majorHAnsi" w:cstheme="majorHAnsi"/>
                <w:b/>
                <w:color w:val="000000" w:themeColor="text1"/>
                <w:sz w:val="20"/>
                <w:szCs w:val="20"/>
              </w:rPr>
              <w:t>”</w:t>
            </w:r>
            <w:r w:rsidR="003655E8" w:rsidRPr="003F4D72">
              <w:rPr>
                <w:rFonts w:asciiTheme="majorHAnsi" w:eastAsia="Times New Roman" w:hAnsiTheme="majorHAnsi" w:cstheme="majorHAnsi"/>
                <w:b/>
                <w:color w:val="000000" w:themeColor="text1"/>
                <w:sz w:val="20"/>
                <w:szCs w:val="20"/>
              </w:rPr>
              <w:t xml:space="preserve"> SRL</w:t>
            </w:r>
          </w:p>
        </w:tc>
        <w:tc>
          <w:tcPr>
            <w:tcW w:w="1355" w:type="dxa"/>
          </w:tcPr>
          <w:p w14:paraId="60790552" w14:textId="0353DD83" w:rsidR="003655E8" w:rsidRPr="003F4D72" w:rsidRDefault="003655E8" w:rsidP="003655E8">
            <w:pPr>
              <w:jc w:val="center"/>
              <w:rPr>
                <w:rFonts w:asciiTheme="majorHAnsi" w:hAnsiTheme="majorHAnsi" w:cstheme="majorHAnsi"/>
                <w:b/>
                <w:sz w:val="20"/>
                <w:szCs w:val="20"/>
              </w:rPr>
            </w:pPr>
            <w:r w:rsidRPr="003F4D72">
              <w:rPr>
                <w:rFonts w:asciiTheme="majorHAnsi" w:eastAsia="Times New Roman" w:hAnsiTheme="majorHAnsi" w:cstheme="majorHAnsi"/>
                <w:b/>
                <w:color w:val="000000" w:themeColor="text1"/>
                <w:sz w:val="20"/>
                <w:szCs w:val="20"/>
              </w:rPr>
              <w:t>Spitalul Internațional</w:t>
            </w:r>
            <w:r w:rsidRPr="003F4D72">
              <w:rPr>
                <w:rFonts w:asciiTheme="majorHAnsi" w:eastAsia="Times New Roman" w:hAnsiTheme="majorHAnsi" w:cstheme="majorHAnsi"/>
                <w:color w:val="000000" w:themeColor="text1"/>
                <w:sz w:val="20"/>
                <w:szCs w:val="20"/>
              </w:rPr>
              <w:t xml:space="preserve"> </w:t>
            </w:r>
            <w:r w:rsidR="002A33DF" w:rsidRPr="003F4D72">
              <w:rPr>
                <w:rFonts w:asciiTheme="majorHAnsi" w:eastAsia="Times New Roman" w:hAnsiTheme="majorHAnsi" w:cstheme="majorHAnsi"/>
                <w:color w:val="000000" w:themeColor="text1"/>
                <w:sz w:val="20"/>
                <w:szCs w:val="20"/>
              </w:rPr>
              <w:t>„</w:t>
            </w:r>
            <w:proofErr w:type="spellStart"/>
            <w:r w:rsidRPr="003F4D72">
              <w:rPr>
                <w:rFonts w:asciiTheme="majorHAnsi" w:hAnsiTheme="majorHAnsi" w:cstheme="majorHAnsi"/>
                <w:b/>
                <w:sz w:val="20"/>
                <w:szCs w:val="20"/>
              </w:rPr>
              <w:t>Medpark</w:t>
            </w:r>
            <w:proofErr w:type="spellEnd"/>
            <w:r w:rsidR="002A33DF" w:rsidRPr="003F4D72">
              <w:rPr>
                <w:rFonts w:asciiTheme="majorHAnsi" w:hAnsiTheme="majorHAnsi" w:cstheme="majorHAnsi"/>
                <w:b/>
                <w:sz w:val="20"/>
                <w:szCs w:val="20"/>
              </w:rPr>
              <w:t>”</w:t>
            </w:r>
          </w:p>
        </w:tc>
        <w:tc>
          <w:tcPr>
            <w:tcW w:w="883" w:type="dxa"/>
          </w:tcPr>
          <w:p w14:paraId="1DCE033E"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IMSP</w:t>
            </w:r>
          </w:p>
          <w:p w14:paraId="035F1CF2" w14:textId="6757B41D" w:rsidR="003655E8" w:rsidRPr="003F4D72" w:rsidRDefault="002A33DF" w:rsidP="003655E8">
            <w:pPr>
              <w:jc w:val="center"/>
              <w:rPr>
                <w:rFonts w:asciiTheme="majorHAnsi" w:hAnsiTheme="majorHAnsi" w:cstheme="majorHAnsi"/>
                <w:b/>
                <w:sz w:val="20"/>
                <w:szCs w:val="20"/>
              </w:rPr>
            </w:pPr>
            <w:r w:rsidRPr="003F4D72">
              <w:rPr>
                <w:rFonts w:asciiTheme="majorHAnsi" w:hAnsiTheme="majorHAnsi" w:cstheme="majorHAnsi"/>
                <w:b/>
                <w:sz w:val="20"/>
                <w:szCs w:val="20"/>
              </w:rPr>
              <w:t>„</w:t>
            </w:r>
            <w:r w:rsidR="003655E8" w:rsidRPr="003F4D72">
              <w:rPr>
                <w:rFonts w:asciiTheme="majorHAnsi" w:hAnsiTheme="majorHAnsi" w:cstheme="majorHAnsi"/>
                <w:b/>
                <w:sz w:val="20"/>
                <w:szCs w:val="20"/>
              </w:rPr>
              <w:t>Sf.</w:t>
            </w:r>
          </w:p>
          <w:p w14:paraId="72E624F6"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Treime”</w:t>
            </w:r>
          </w:p>
        </w:tc>
        <w:tc>
          <w:tcPr>
            <w:tcW w:w="1164" w:type="dxa"/>
          </w:tcPr>
          <w:p w14:paraId="0224E24A"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IMSP</w:t>
            </w:r>
          </w:p>
          <w:p w14:paraId="5C09DA2B" w14:textId="77777777"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Institutul Cardiologic</w:t>
            </w:r>
          </w:p>
        </w:tc>
        <w:tc>
          <w:tcPr>
            <w:tcW w:w="850" w:type="dxa"/>
          </w:tcPr>
          <w:p w14:paraId="010380B0" w14:textId="77777777" w:rsidR="003655E8" w:rsidRPr="003F4D72" w:rsidRDefault="003655E8" w:rsidP="003655E8">
            <w:pPr>
              <w:jc w:val="center"/>
              <w:rPr>
                <w:rFonts w:asciiTheme="majorHAnsi" w:hAnsiTheme="majorHAnsi" w:cstheme="majorHAnsi"/>
                <w:b/>
                <w:sz w:val="20"/>
                <w:szCs w:val="20"/>
              </w:rPr>
            </w:pPr>
          </w:p>
        </w:tc>
      </w:tr>
      <w:tr w:rsidR="00F83CD5" w:rsidRPr="003F4D72" w14:paraId="4FBB3B1E" w14:textId="77777777" w:rsidTr="00F83CD5">
        <w:trPr>
          <w:trHeight w:val="230"/>
        </w:trPr>
        <w:tc>
          <w:tcPr>
            <w:tcW w:w="1972" w:type="dxa"/>
            <w:vMerge/>
          </w:tcPr>
          <w:p w14:paraId="27826E1F" w14:textId="77777777" w:rsidR="00F83CD5" w:rsidRPr="003F4D72" w:rsidRDefault="00F83CD5" w:rsidP="003655E8">
            <w:pPr>
              <w:rPr>
                <w:rFonts w:asciiTheme="majorHAnsi" w:hAnsiTheme="majorHAnsi" w:cstheme="majorHAnsi"/>
                <w:b/>
                <w:sz w:val="20"/>
                <w:szCs w:val="20"/>
              </w:rPr>
            </w:pPr>
          </w:p>
        </w:tc>
        <w:tc>
          <w:tcPr>
            <w:tcW w:w="7804" w:type="dxa"/>
            <w:gridSpan w:val="7"/>
          </w:tcPr>
          <w:p w14:paraId="7A9F638E" w14:textId="262996A3" w:rsidR="00F83CD5" w:rsidRPr="003F4D72" w:rsidRDefault="00F83CD5" w:rsidP="00F83CD5">
            <w:pPr>
              <w:jc w:val="center"/>
              <w:rPr>
                <w:rFonts w:asciiTheme="majorHAnsi" w:hAnsiTheme="majorHAnsi" w:cstheme="majorHAnsi"/>
                <w:b/>
                <w:sz w:val="20"/>
                <w:szCs w:val="20"/>
              </w:rPr>
            </w:pPr>
            <w:r w:rsidRPr="003F4D72">
              <w:rPr>
                <w:rFonts w:asciiTheme="majorHAnsi" w:hAnsiTheme="majorHAnsi" w:cstheme="majorHAnsi"/>
                <w:b/>
                <w:sz w:val="20"/>
                <w:szCs w:val="20"/>
              </w:rPr>
              <w:t>Nr. cazuri</w:t>
            </w:r>
          </w:p>
        </w:tc>
      </w:tr>
      <w:tr w:rsidR="003655E8" w:rsidRPr="003F4D72" w14:paraId="64F5E5CF" w14:textId="77777777" w:rsidTr="00F83CD5">
        <w:tc>
          <w:tcPr>
            <w:tcW w:w="1972" w:type="dxa"/>
            <w:vAlign w:val="bottom"/>
          </w:tcPr>
          <w:p w14:paraId="5CD7C38A" w14:textId="77777777" w:rsidR="003655E8" w:rsidRPr="003F4D72" w:rsidRDefault="003655E8" w:rsidP="003655E8">
            <w:pPr>
              <w:rPr>
                <w:rFonts w:asciiTheme="majorHAnsi" w:eastAsia="Times New Roman" w:hAnsiTheme="majorHAnsi" w:cstheme="majorHAnsi"/>
                <w:color w:val="000000" w:themeColor="text1"/>
                <w:sz w:val="20"/>
                <w:szCs w:val="20"/>
              </w:rPr>
            </w:pPr>
            <w:r w:rsidRPr="003F4D72">
              <w:rPr>
                <w:rFonts w:asciiTheme="majorHAnsi" w:eastAsia="Times New Roman" w:hAnsiTheme="majorHAnsi" w:cstheme="majorHAnsi"/>
                <w:color w:val="000000" w:themeColor="text1"/>
                <w:sz w:val="20"/>
                <w:szCs w:val="20"/>
              </w:rPr>
              <w:t>Spitalul Internațional „</w:t>
            </w:r>
            <w:proofErr w:type="spellStart"/>
            <w:r w:rsidRPr="003F4D72">
              <w:rPr>
                <w:rFonts w:asciiTheme="majorHAnsi" w:eastAsia="Times New Roman" w:hAnsiTheme="majorHAnsi" w:cstheme="majorHAnsi"/>
                <w:color w:val="000000" w:themeColor="text1"/>
                <w:sz w:val="20"/>
                <w:szCs w:val="20"/>
              </w:rPr>
              <w:t>Medpark</w:t>
            </w:r>
            <w:proofErr w:type="spellEnd"/>
            <w:r w:rsidRPr="003F4D72">
              <w:rPr>
                <w:rFonts w:asciiTheme="majorHAnsi" w:eastAsia="Times New Roman" w:hAnsiTheme="majorHAnsi" w:cstheme="majorHAnsi"/>
                <w:color w:val="000000" w:themeColor="text1"/>
                <w:sz w:val="20"/>
                <w:szCs w:val="20"/>
              </w:rPr>
              <w:t>”</w:t>
            </w:r>
          </w:p>
        </w:tc>
        <w:tc>
          <w:tcPr>
            <w:tcW w:w="1142" w:type="dxa"/>
            <w:vAlign w:val="center"/>
          </w:tcPr>
          <w:p w14:paraId="5C757693" w14:textId="32B11B9D" w:rsidR="003655E8" w:rsidRPr="003F4D72" w:rsidRDefault="000D1AFE" w:rsidP="003655E8">
            <w:pPr>
              <w:jc w:val="center"/>
              <w:rPr>
                <w:rFonts w:asciiTheme="majorHAnsi" w:hAnsiTheme="majorHAnsi" w:cstheme="majorHAnsi"/>
                <w:sz w:val="20"/>
                <w:szCs w:val="20"/>
              </w:rPr>
            </w:pPr>
            <w:r w:rsidRPr="003F4D72">
              <w:rPr>
                <w:rFonts w:asciiTheme="majorHAnsi" w:hAnsiTheme="majorHAnsi" w:cstheme="majorHAnsi"/>
                <w:sz w:val="20"/>
                <w:szCs w:val="20"/>
              </w:rPr>
              <w:t>656</w:t>
            </w:r>
          </w:p>
        </w:tc>
        <w:tc>
          <w:tcPr>
            <w:tcW w:w="1417" w:type="dxa"/>
            <w:vAlign w:val="center"/>
          </w:tcPr>
          <w:p w14:paraId="2152BF65" w14:textId="36B2B7D0" w:rsidR="003655E8" w:rsidRPr="003F4D72" w:rsidRDefault="000D1AFE" w:rsidP="003655E8">
            <w:pPr>
              <w:jc w:val="center"/>
              <w:rPr>
                <w:rFonts w:asciiTheme="majorHAnsi" w:hAnsiTheme="majorHAnsi" w:cstheme="majorHAnsi"/>
                <w:sz w:val="20"/>
                <w:szCs w:val="20"/>
              </w:rPr>
            </w:pPr>
            <w:r w:rsidRPr="003F4D72">
              <w:rPr>
                <w:rFonts w:asciiTheme="majorHAnsi" w:hAnsiTheme="majorHAnsi" w:cstheme="majorHAnsi"/>
                <w:sz w:val="20"/>
                <w:szCs w:val="20"/>
              </w:rPr>
              <w:t>11</w:t>
            </w:r>
          </w:p>
        </w:tc>
        <w:tc>
          <w:tcPr>
            <w:tcW w:w="993" w:type="dxa"/>
            <w:vAlign w:val="center"/>
          </w:tcPr>
          <w:p w14:paraId="7E853EEF" w14:textId="1288DC0B"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2</w:t>
            </w:r>
          </w:p>
        </w:tc>
        <w:tc>
          <w:tcPr>
            <w:tcW w:w="1355" w:type="dxa"/>
            <w:vAlign w:val="center"/>
          </w:tcPr>
          <w:p w14:paraId="58CC4E55" w14:textId="77777777" w:rsidR="003655E8" w:rsidRPr="003F4D72" w:rsidRDefault="003655E8" w:rsidP="003655E8">
            <w:pPr>
              <w:jc w:val="center"/>
              <w:rPr>
                <w:rFonts w:asciiTheme="majorHAnsi" w:hAnsiTheme="majorHAnsi" w:cstheme="majorHAnsi"/>
                <w:sz w:val="20"/>
                <w:szCs w:val="20"/>
              </w:rPr>
            </w:pPr>
            <w:r w:rsidRPr="003F4D72">
              <w:rPr>
                <w:rFonts w:asciiTheme="majorHAnsi" w:hAnsiTheme="majorHAnsi" w:cstheme="majorHAnsi"/>
                <w:sz w:val="20"/>
                <w:szCs w:val="20"/>
              </w:rPr>
              <w:t>0</w:t>
            </w:r>
          </w:p>
        </w:tc>
        <w:tc>
          <w:tcPr>
            <w:tcW w:w="883" w:type="dxa"/>
            <w:vAlign w:val="center"/>
          </w:tcPr>
          <w:p w14:paraId="30E6084B" w14:textId="77777777" w:rsidR="003655E8" w:rsidRPr="003F4D72" w:rsidRDefault="003655E8" w:rsidP="003655E8">
            <w:pPr>
              <w:jc w:val="center"/>
              <w:rPr>
                <w:rFonts w:asciiTheme="majorHAnsi" w:hAnsiTheme="majorHAnsi" w:cstheme="majorHAnsi"/>
                <w:sz w:val="20"/>
                <w:szCs w:val="20"/>
              </w:rPr>
            </w:pPr>
            <w:r w:rsidRPr="003F4D72">
              <w:rPr>
                <w:rFonts w:asciiTheme="majorHAnsi" w:hAnsiTheme="majorHAnsi" w:cstheme="majorHAnsi"/>
                <w:sz w:val="20"/>
                <w:szCs w:val="20"/>
              </w:rPr>
              <w:t>0</w:t>
            </w:r>
          </w:p>
        </w:tc>
        <w:tc>
          <w:tcPr>
            <w:tcW w:w="1164" w:type="dxa"/>
            <w:vAlign w:val="center"/>
          </w:tcPr>
          <w:p w14:paraId="03D8F0ED" w14:textId="3A4A3314"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9</w:t>
            </w:r>
          </w:p>
        </w:tc>
        <w:tc>
          <w:tcPr>
            <w:tcW w:w="850" w:type="dxa"/>
            <w:vAlign w:val="center"/>
          </w:tcPr>
          <w:p w14:paraId="349F791C" w14:textId="7DD74F8E"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436,1</w:t>
            </w:r>
          </w:p>
        </w:tc>
      </w:tr>
      <w:tr w:rsidR="003655E8" w:rsidRPr="003F4D72" w14:paraId="2A8CAA91" w14:textId="77777777" w:rsidTr="00F83CD5">
        <w:tc>
          <w:tcPr>
            <w:tcW w:w="1972" w:type="dxa"/>
            <w:vAlign w:val="bottom"/>
          </w:tcPr>
          <w:p w14:paraId="487E30B5" w14:textId="77777777" w:rsidR="003655E8" w:rsidRPr="003F4D72" w:rsidRDefault="003655E8" w:rsidP="003655E8">
            <w:pPr>
              <w:rPr>
                <w:rFonts w:asciiTheme="majorHAnsi" w:eastAsia="Times New Roman" w:hAnsiTheme="majorHAnsi" w:cstheme="majorHAnsi"/>
                <w:color w:val="000000" w:themeColor="text1"/>
                <w:sz w:val="20"/>
                <w:szCs w:val="20"/>
              </w:rPr>
            </w:pPr>
            <w:r w:rsidRPr="003F4D72">
              <w:rPr>
                <w:rFonts w:asciiTheme="majorHAnsi" w:eastAsia="Times New Roman" w:hAnsiTheme="majorHAnsi" w:cstheme="majorHAnsi"/>
                <w:color w:val="000000" w:themeColor="text1"/>
                <w:sz w:val="20"/>
                <w:szCs w:val="20"/>
              </w:rPr>
              <w:t>Centrul de Medicină Intervențională „</w:t>
            </w:r>
            <w:proofErr w:type="spellStart"/>
            <w:r w:rsidRPr="003F4D72">
              <w:rPr>
                <w:rFonts w:asciiTheme="majorHAnsi" w:eastAsia="Times New Roman" w:hAnsiTheme="majorHAnsi" w:cstheme="majorHAnsi"/>
                <w:color w:val="000000" w:themeColor="text1"/>
                <w:sz w:val="20"/>
                <w:szCs w:val="20"/>
              </w:rPr>
              <w:t>Cardiomed</w:t>
            </w:r>
            <w:proofErr w:type="spellEnd"/>
            <w:r w:rsidRPr="003F4D72">
              <w:rPr>
                <w:rFonts w:asciiTheme="majorHAnsi" w:eastAsia="Times New Roman" w:hAnsiTheme="majorHAnsi" w:cstheme="majorHAnsi"/>
                <w:color w:val="000000" w:themeColor="text1"/>
                <w:sz w:val="20"/>
                <w:szCs w:val="20"/>
              </w:rPr>
              <w:t>” SRL</w:t>
            </w:r>
          </w:p>
        </w:tc>
        <w:tc>
          <w:tcPr>
            <w:tcW w:w="1142" w:type="dxa"/>
            <w:vAlign w:val="center"/>
          </w:tcPr>
          <w:p w14:paraId="2C1F68EC" w14:textId="7B973FCB" w:rsidR="003655E8" w:rsidRPr="003F4D72" w:rsidRDefault="000D1AFE" w:rsidP="003655E8">
            <w:pPr>
              <w:jc w:val="center"/>
              <w:rPr>
                <w:rFonts w:asciiTheme="majorHAnsi" w:hAnsiTheme="majorHAnsi" w:cstheme="majorHAnsi"/>
                <w:sz w:val="20"/>
                <w:szCs w:val="20"/>
              </w:rPr>
            </w:pPr>
            <w:r w:rsidRPr="003F4D72">
              <w:rPr>
                <w:rFonts w:asciiTheme="majorHAnsi" w:hAnsiTheme="majorHAnsi" w:cstheme="majorHAnsi"/>
                <w:sz w:val="20"/>
                <w:szCs w:val="20"/>
              </w:rPr>
              <w:t>405</w:t>
            </w:r>
          </w:p>
        </w:tc>
        <w:tc>
          <w:tcPr>
            <w:tcW w:w="1417" w:type="dxa"/>
            <w:vAlign w:val="center"/>
          </w:tcPr>
          <w:p w14:paraId="4C08DF0E" w14:textId="57ED1C4C" w:rsidR="003655E8" w:rsidRPr="003F4D72" w:rsidRDefault="000D1AFE" w:rsidP="003655E8">
            <w:pPr>
              <w:jc w:val="center"/>
              <w:rPr>
                <w:rFonts w:asciiTheme="majorHAnsi" w:hAnsiTheme="majorHAnsi" w:cstheme="majorHAnsi"/>
                <w:sz w:val="20"/>
                <w:szCs w:val="20"/>
              </w:rPr>
            </w:pPr>
            <w:r w:rsidRPr="003F4D72">
              <w:rPr>
                <w:rFonts w:asciiTheme="majorHAnsi" w:hAnsiTheme="majorHAnsi" w:cstheme="majorHAnsi"/>
                <w:sz w:val="20"/>
                <w:szCs w:val="20"/>
              </w:rPr>
              <w:t>39</w:t>
            </w:r>
          </w:p>
        </w:tc>
        <w:tc>
          <w:tcPr>
            <w:tcW w:w="993" w:type="dxa"/>
            <w:vAlign w:val="center"/>
          </w:tcPr>
          <w:p w14:paraId="0B61F435" w14:textId="77777777" w:rsidR="003655E8" w:rsidRPr="003F4D72" w:rsidRDefault="003655E8" w:rsidP="003655E8">
            <w:pPr>
              <w:jc w:val="center"/>
              <w:rPr>
                <w:rFonts w:asciiTheme="majorHAnsi" w:hAnsiTheme="majorHAnsi" w:cstheme="majorHAnsi"/>
                <w:sz w:val="20"/>
                <w:szCs w:val="20"/>
              </w:rPr>
            </w:pPr>
            <w:r w:rsidRPr="003F4D72">
              <w:rPr>
                <w:rFonts w:asciiTheme="majorHAnsi" w:hAnsiTheme="majorHAnsi" w:cstheme="majorHAnsi"/>
                <w:sz w:val="20"/>
                <w:szCs w:val="20"/>
              </w:rPr>
              <w:t>0</w:t>
            </w:r>
          </w:p>
        </w:tc>
        <w:tc>
          <w:tcPr>
            <w:tcW w:w="1355" w:type="dxa"/>
            <w:vAlign w:val="center"/>
          </w:tcPr>
          <w:p w14:paraId="47E239BE" w14:textId="26E7635E"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7</w:t>
            </w:r>
          </w:p>
        </w:tc>
        <w:tc>
          <w:tcPr>
            <w:tcW w:w="883" w:type="dxa"/>
            <w:vAlign w:val="center"/>
          </w:tcPr>
          <w:p w14:paraId="4CCE1978" w14:textId="789F0726"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14</w:t>
            </w:r>
          </w:p>
        </w:tc>
        <w:tc>
          <w:tcPr>
            <w:tcW w:w="1164" w:type="dxa"/>
            <w:vAlign w:val="center"/>
          </w:tcPr>
          <w:p w14:paraId="19B3FC91" w14:textId="29BB3452"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18</w:t>
            </w:r>
          </w:p>
        </w:tc>
        <w:tc>
          <w:tcPr>
            <w:tcW w:w="850" w:type="dxa"/>
            <w:vAlign w:val="center"/>
          </w:tcPr>
          <w:p w14:paraId="28ED16B3" w14:textId="50CBA5AF" w:rsidR="003655E8" w:rsidRPr="003F4D72" w:rsidRDefault="00A07BCC" w:rsidP="003655E8">
            <w:pPr>
              <w:jc w:val="center"/>
              <w:rPr>
                <w:rFonts w:asciiTheme="majorHAnsi" w:hAnsiTheme="majorHAnsi" w:cstheme="majorHAnsi"/>
                <w:sz w:val="20"/>
                <w:szCs w:val="20"/>
              </w:rPr>
            </w:pPr>
            <w:r w:rsidRPr="003F4D72">
              <w:rPr>
                <w:rFonts w:asciiTheme="majorHAnsi" w:hAnsiTheme="majorHAnsi" w:cstheme="majorHAnsi"/>
                <w:sz w:val="20"/>
                <w:szCs w:val="20"/>
              </w:rPr>
              <w:t>1 546,3</w:t>
            </w:r>
          </w:p>
        </w:tc>
      </w:tr>
      <w:tr w:rsidR="003655E8" w:rsidRPr="003F4D72" w14:paraId="553D7187" w14:textId="77777777" w:rsidTr="00F83CD5">
        <w:tc>
          <w:tcPr>
            <w:tcW w:w="1972" w:type="dxa"/>
            <w:vAlign w:val="bottom"/>
          </w:tcPr>
          <w:p w14:paraId="717858D6" w14:textId="7440DB44" w:rsidR="003655E8" w:rsidRPr="003F4D72" w:rsidRDefault="003655E8" w:rsidP="003655E8">
            <w:pPr>
              <w:jc w:val="center"/>
              <w:rPr>
                <w:rFonts w:asciiTheme="majorHAnsi" w:hAnsiTheme="majorHAnsi" w:cstheme="majorHAnsi"/>
                <w:b/>
                <w:sz w:val="20"/>
                <w:szCs w:val="20"/>
              </w:rPr>
            </w:pPr>
            <w:r w:rsidRPr="003F4D72">
              <w:rPr>
                <w:rFonts w:asciiTheme="majorHAnsi" w:hAnsiTheme="majorHAnsi" w:cstheme="majorHAnsi"/>
                <w:b/>
                <w:sz w:val="20"/>
                <w:szCs w:val="20"/>
              </w:rPr>
              <w:t>Total</w:t>
            </w:r>
            <w:r w:rsidR="00F83CD5" w:rsidRPr="003F4D72">
              <w:rPr>
                <w:rFonts w:asciiTheme="majorHAnsi" w:hAnsiTheme="majorHAnsi" w:cstheme="majorHAnsi"/>
                <w:b/>
                <w:sz w:val="20"/>
                <w:szCs w:val="20"/>
              </w:rPr>
              <w:t>:</w:t>
            </w:r>
          </w:p>
        </w:tc>
        <w:tc>
          <w:tcPr>
            <w:tcW w:w="1142" w:type="dxa"/>
            <w:vAlign w:val="bottom"/>
          </w:tcPr>
          <w:p w14:paraId="30F4F39E" w14:textId="73E67B7C" w:rsidR="003655E8" w:rsidRPr="003F4D72" w:rsidRDefault="000D1AFE" w:rsidP="003655E8">
            <w:pPr>
              <w:jc w:val="center"/>
              <w:rPr>
                <w:rFonts w:asciiTheme="majorHAnsi" w:hAnsiTheme="majorHAnsi" w:cstheme="majorHAnsi"/>
                <w:b/>
                <w:sz w:val="20"/>
                <w:szCs w:val="20"/>
              </w:rPr>
            </w:pPr>
            <w:r w:rsidRPr="003F4D72">
              <w:rPr>
                <w:rFonts w:asciiTheme="majorHAnsi" w:hAnsiTheme="majorHAnsi" w:cstheme="majorHAnsi"/>
                <w:b/>
                <w:sz w:val="20"/>
                <w:szCs w:val="20"/>
              </w:rPr>
              <w:t>1 059</w:t>
            </w:r>
          </w:p>
        </w:tc>
        <w:tc>
          <w:tcPr>
            <w:tcW w:w="1417" w:type="dxa"/>
            <w:vAlign w:val="bottom"/>
          </w:tcPr>
          <w:p w14:paraId="4032C133" w14:textId="1F7EBC05" w:rsidR="003655E8" w:rsidRPr="003F4D72" w:rsidRDefault="000D1AFE" w:rsidP="003655E8">
            <w:pPr>
              <w:jc w:val="center"/>
              <w:rPr>
                <w:rFonts w:asciiTheme="majorHAnsi" w:hAnsiTheme="majorHAnsi" w:cstheme="majorHAnsi"/>
                <w:b/>
                <w:sz w:val="20"/>
                <w:szCs w:val="20"/>
              </w:rPr>
            </w:pPr>
            <w:r w:rsidRPr="003F4D72">
              <w:rPr>
                <w:rFonts w:asciiTheme="majorHAnsi" w:hAnsiTheme="majorHAnsi" w:cstheme="majorHAnsi"/>
                <w:b/>
                <w:sz w:val="20"/>
                <w:szCs w:val="20"/>
              </w:rPr>
              <w:t>50</w:t>
            </w:r>
          </w:p>
        </w:tc>
        <w:tc>
          <w:tcPr>
            <w:tcW w:w="993" w:type="dxa"/>
          </w:tcPr>
          <w:p w14:paraId="762AA255" w14:textId="406A2D3C" w:rsidR="003655E8" w:rsidRPr="003F4D72" w:rsidRDefault="00A07BCC" w:rsidP="003655E8">
            <w:pPr>
              <w:jc w:val="center"/>
              <w:rPr>
                <w:rFonts w:asciiTheme="majorHAnsi" w:hAnsiTheme="majorHAnsi" w:cstheme="majorHAnsi"/>
                <w:b/>
                <w:sz w:val="20"/>
                <w:szCs w:val="20"/>
              </w:rPr>
            </w:pPr>
            <w:r w:rsidRPr="003F4D72">
              <w:rPr>
                <w:rFonts w:asciiTheme="majorHAnsi" w:hAnsiTheme="majorHAnsi" w:cstheme="majorHAnsi"/>
                <w:b/>
                <w:sz w:val="20"/>
                <w:szCs w:val="20"/>
              </w:rPr>
              <w:t>2</w:t>
            </w:r>
          </w:p>
        </w:tc>
        <w:tc>
          <w:tcPr>
            <w:tcW w:w="1355" w:type="dxa"/>
          </w:tcPr>
          <w:p w14:paraId="5CA28ACB" w14:textId="5B05E1DD" w:rsidR="003655E8" w:rsidRPr="003F4D72" w:rsidRDefault="00A07BCC" w:rsidP="003655E8">
            <w:pPr>
              <w:jc w:val="center"/>
              <w:rPr>
                <w:rFonts w:asciiTheme="majorHAnsi" w:hAnsiTheme="majorHAnsi" w:cstheme="majorHAnsi"/>
                <w:b/>
                <w:sz w:val="20"/>
                <w:szCs w:val="20"/>
              </w:rPr>
            </w:pPr>
            <w:r w:rsidRPr="003F4D72">
              <w:rPr>
                <w:rFonts w:asciiTheme="majorHAnsi" w:hAnsiTheme="majorHAnsi" w:cstheme="majorHAnsi"/>
                <w:b/>
                <w:sz w:val="20"/>
                <w:szCs w:val="20"/>
              </w:rPr>
              <w:t>7</w:t>
            </w:r>
          </w:p>
        </w:tc>
        <w:tc>
          <w:tcPr>
            <w:tcW w:w="883" w:type="dxa"/>
          </w:tcPr>
          <w:p w14:paraId="62B36795" w14:textId="23586EF4" w:rsidR="003655E8" w:rsidRPr="003F4D72" w:rsidRDefault="00A07BCC" w:rsidP="003655E8">
            <w:pPr>
              <w:jc w:val="center"/>
              <w:rPr>
                <w:rFonts w:asciiTheme="majorHAnsi" w:hAnsiTheme="majorHAnsi" w:cstheme="majorHAnsi"/>
                <w:b/>
                <w:sz w:val="20"/>
                <w:szCs w:val="20"/>
              </w:rPr>
            </w:pPr>
            <w:r w:rsidRPr="003F4D72">
              <w:rPr>
                <w:rFonts w:asciiTheme="majorHAnsi" w:hAnsiTheme="majorHAnsi" w:cstheme="majorHAnsi"/>
                <w:b/>
                <w:sz w:val="20"/>
                <w:szCs w:val="20"/>
              </w:rPr>
              <w:t>14</w:t>
            </w:r>
          </w:p>
        </w:tc>
        <w:tc>
          <w:tcPr>
            <w:tcW w:w="1164" w:type="dxa"/>
          </w:tcPr>
          <w:p w14:paraId="1799B72B" w14:textId="22BC231E" w:rsidR="003655E8" w:rsidRPr="003F4D72" w:rsidRDefault="00A07BCC" w:rsidP="003655E8">
            <w:pPr>
              <w:jc w:val="center"/>
              <w:rPr>
                <w:rFonts w:asciiTheme="majorHAnsi" w:hAnsiTheme="majorHAnsi" w:cstheme="majorHAnsi"/>
                <w:b/>
                <w:sz w:val="20"/>
                <w:szCs w:val="20"/>
              </w:rPr>
            </w:pPr>
            <w:r w:rsidRPr="003F4D72">
              <w:rPr>
                <w:rFonts w:asciiTheme="majorHAnsi" w:hAnsiTheme="majorHAnsi" w:cstheme="majorHAnsi"/>
                <w:b/>
                <w:sz w:val="20"/>
                <w:szCs w:val="20"/>
              </w:rPr>
              <w:t>28</w:t>
            </w:r>
          </w:p>
        </w:tc>
        <w:tc>
          <w:tcPr>
            <w:tcW w:w="850" w:type="dxa"/>
          </w:tcPr>
          <w:p w14:paraId="7F149FA5" w14:textId="663DA57E" w:rsidR="003655E8" w:rsidRPr="003F4D72" w:rsidRDefault="00A07BCC" w:rsidP="003655E8">
            <w:pPr>
              <w:jc w:val="center"/>
              <w:rPr>
                <w:rFonts w:asciiTheme="majorHAnsi" w:hAnsiTheme="majorHAnsi" w:cstheme="majorHAnsi"/>
                <w:b/>
                <w:sz w:val="20"/>
                <w:szCs w:val="20"/>
              </w:rPr>
            </w:pPr>
            <w:r w:rsidRPr="003F4D72">
              <w:rPr>
                <w:rFonts w:asciiTheme="majorHAnsi" w:hAnsiTheme="majorHAnsi" w:cstheme="majorHAnsi"/>
                <w:b/>
                <w:sz w:val="20"/>
                <w:szCs w:val="20"/>
              </w:rPr>
              <w:t>1 982,4</w:t>
            </w:r>
            <w:r w:rsidR="003655E8" w:rsidRPr="003F4D72">
              <w:rPr>
                <w:rFonts w:asciiTheme="majorHAnsi" w:hAnsiTheme="majorHAnsi" w:cstheme="majorHAnsi"/>
                <w:b/>
                <w:sz w:val="20"/>
                <w:szCs w:val="20"/>
              </w:rPr>
              <w:t xml:space="preserve"> </w:t>
            </w:r>
          </w:p>
        </w:tc>
      </w:tr>
    </w:tbl>
    <w:p w14:paraId="31393A29" w14:textId="3B2AEAE9" w:rsidR="003655E8" w:rsidRPr="003F4D72" w:rsidRDefault="003655E8" w:rsidP="003655E8">
      <w:pPr>
        <w:pStyle w:val="BodyTextIndent"/>
        <w:tabs>
          <w:tab w:val="left" w:pos="0"/>
        </w:tabs>
        <w:ind w:firstLine="0"/>
        <w:rPr>
          <w:rFonts w:asciiTheme="majorHAnsi" w:hAnsiTheme="majorHAnsi"/>
          <w:bCs w:val="0"/>
          <w:sz w:val="20"/>
          <w:szCs w:val="20"/>
          <w:lang w:val="ro-MD"/>
        </w:rPr>
      </w:pPr>
      <w:r w:rsidRPr="003F4D72">
        <w:rPr>
          <w:rFonts w:asciiTheme="majorHAnsi" w:hAnsiTheme="majorHAnsi"/>
          <w:b/>
          <w:bCs w:val="0"/>
          <w:i/>
          <w:sz w:val="20"/>
          <w:szCs w:val="20"/>
          <w:lang w:val="ro-MD"/>
        </w:rPr>
        <w:t>Sursă:</w:t>
      </w:r>
      <w:r w:rsidRPr="003F4D72">
        <w:rPr>
          <w:rFonts w:asciiTheme="majorHAnsi" w:hAnsiTheme="majorHAnsi"/>
          <w:bCs w:val="0"/>
          <w:sz w:val="20"/>
          <w:szCs w:val="20"/>
          <w:lang w:val="ro-MD"/>
        </w:rPr>
        <w:t xml:space="preserve"> </w:t>
      </w:r>
      <w:r w:rsidR="00F46FE4" w:rsidRPr="003F4D72">
        <w:rPr>
          <w:rFonts w:asciiTheme="majorHAnsi" w:hAnsiTheme="majorHAnsi"/>
          <w:bCs w:val="0"/>
          <w:i/>
          <w:sz w:val="20"/>
          <w:szCs w:val="20"/>
          <w:lang w:val="ro-MD"/>
        </w:rPr>
        <w:t xml:space="preserve">Elaborat de audit în baza fișelor </w:t>
      </w:r>
      <w:r w:rsidRPr="003F4D72">
        <w:rPr>
          <w:rFonts w:asciiTheme="majorHAnsi" w:hAnsiTheme="majorHAnsi"/>
          <w:bCs w:val="0"/>
          <w:i/>
          <w:sz w:val="20"/>
          <w:szCs w:val="20"/>
          <w:lang w:val="ro-MD"/>
        </w:rPr>
        <w:t xml:space="preserve">medicale </w:t>
      </w:r>
      <w:r w:rsidR="002A33DF" w:rsidRPr="003F4D72">
        <w:rPr>
          <w:rFonts w:asciiTheme="majorHAnsi" w:hAnsiTheme="majorHAnsi"/>
          <w:bCs w:val="0"/>
          <w:i/>
          <w:sz w:val="20"/>
          <w:szCs w:val="20"/>
          <w:lang w:val="ro-MD"/>
        </w:rPr>
        <w:t>(</w:t>
      </w:r>
      <w:r w:rsidRPr="003F4D72">
        <w:rPr>
          <w:rFonts w:asciiTheme="majorHAnsi" w:hAnsiTheme="majorHAnsi"/>
          <w:bCs w:val="0"/>
          <w:i/>
          <w:sz w:val="20"/>
          <w:szCs w:val="20"/>
          <w:lang w:val="ro-MD"/>
        </w:rPr>
        <w:t>Formularul nr.003/e-2012</w:t>
      </w:r>
      <w:r w:rsidR="002A33DF" w:rsidRPr="003F4D72">
        <w:rPr>
          <w:rFonts w:asciiTheme="majorHAnsi" w:hAnsiTheme="majorHAnsi"/>
          <w:bCs w:val="0"/>
          <w:i/>
          <w:sz w:val="20"/>
          <w:szCs w:val="20"/>
          <w:lang w:val="ro-MD"/>
        </w:rPr>
        <w:t>)</w:t>
      </w:r>
      <w:r w:rsidRPr="003F4D72">
        <w:rPr>
          <w:rFonts w:asciiTheme="majorHAnsi" w:hAnsiTheme="majorHAnsi"/>
          <w:bCs w:val="0"/>
          <w:i/>
          <w:sz w:val="20"/>
          <w:szCs w:val="20"/>
          <w:lang w:val="ro-MD"/>
        </w:rPr>
        <w:t>.</w:t>
      </w:r>
    </w:p>
    <w:p w14:paraId="7B7902DE" w14:textId="77777777" w:rsidR="003655E8" w:rsidRPr="003F4D72" w:rsidRDefault="003655E8" w:rsidP="003655E8">
      <w:pPr>
        <w:pStyle w:val="BodyTextIndent"/>
        <w:tabs>
          <w:tab w:val="left" w:pos="0"/>
        </w:tabs>
        <w:spacing w:line="276" w:lineRule="auto"/>
        <w:ind w:firstLine="0"/>
        <w:rPr>
          <w:rFonts w:asciiTheme="majorHAnsi" w:hAnsiTheme="majorHAnsi"/>
          <w:bCs w:val="0"/>
          <w:sz w:val="20"/>
          <w:szCs w:val="20"/>
          <w:lang w:val="ro-MD"/>
        </w:rPr>
      </w:pPr>
    </w:p>
    <w:p w14:paraId="6C7005E4" w14:textId="73B0EF34" w:rsidR="003655E8" w:rsidRPr="003F4D72" w:rsidRDefault="004510BE" w:rsidP="003655E8">
      <w:pPr>
        <w:pStyle w:val="BodyTextIndent"/>
        <w:tabs>
          <w:tab w:val="left" w:pos="0"/>
        </w:tabs>
        <w:spacing w:line="276" w:lineRule="auto"/>
        <w:ind w:firstLine="567"/>
        <w:rPr>
          <w:rFonts w:asciiTheme="majorHAnsi" w:hAnsiTheme="majorHAnsi"/>
          <w:bCs w:val="0"/>
          <w:lang w:val="ro-MD"/>
        </w:rPr>
      </w:pPr>
      <w:r w:rsidRPr="003F4D72">
        <w:rPr>
          <w:rFonts w:asciiTheme="majorHAnsi" w:hAnsiTheme="majorHAnsi"/>
          <w:bCs w:val="0"/>
          <w:lang w:val="ro-MD"/>
        </w:rPr>
        <w:t>Datele din tabel denotă</w:t>
      </w:r>
      <w:r w:rsidR="003655E8" w:rsidRPr="003F4D72">
        <w:rPr>
          <w:rFonts w:asciiTheme="majorHAnsi" w:hAnsiTheme="majorHAnsi"/>
          <w:bCs w:val="0"/>
          <w:lang w:val="ro-MD"/>
        </w:rPr>
        <w:t xml:space="preserve"> că</w:t>
      </w:r>
      <w:r w:rsidR="002A33DF" w:rsidRPr="003F4D72">
        <w:rPr>
          <w:rFonts w:asciiTheme="majorHAnsi" w:hAnsiTheme="majorHAnsi"/>
          <w:bCs w:val="0"/>
          <w:lang w:val="ro-MD"/>
        </w:rPr>
        <w:t>,</w:t>
      </w:r>
      <w:r w:rsidR="003655E8" w:rsidRPr="003F4D72">
        <w:rPr>
          <w:rFonts w:asciiTheme="majorHAnsi" w:hAnsiTheme="majorHAnsi"/>
          <w:bCs w:val="0"/>
          <w:lang w:val="ro-MD"/>
        </w:rPr>
        <w:t xml:space="preserve"> în ca</w:t>
      </w:r>
      <w:r w:rsidR="00D24D33" w:rsidRPr="003F4D72">
        <w:rPr>
          <w:rFonts w:asciiTheme="majorHAnsi" w:hAnsiTheme="majorHAnsi"/>
          <w:bCs w:val="0"/>
          <w:lang w:val="ro-MD"/>
        </w:rPr>
        <w:t>zul a 50</w:t>
      </w:r>
      <w:r w:rsidR="003655E8" w:rsidRPr="003F4D72">
        <w:rPr>
          <w:rFonts w:asciiTheme="majorHAnsi" w:hAnsiTheme="majorHAnsi"/>
          <w:bCs w:val="0"/>
          <w:lang w:val="ro-MD"/>
        </w:rPr>
        <w:t xml:space="preserve"> de persoane, echipele de urgență au redirecționat pacienții pentru acordarea serviciilor la </w:t>
      </w:r>
      <w:r w:rsidRPr="003F4D72">
        <w:rPr>
          <w:rFonts w:asciiTheme="majorHAnsi" w:hAnsiTheme="majorHAnsi"/>
          <w:bCs w:val="0"/>
          <w:lang w:val="ro-MD"/>
        </w:rPr>
        <w:t>alte instituții</w:t>
      </w:r>
      <w:r w:rsidR="003655E8" w:rsidRPr="003F4D72">
        <w:rPr>
          <w:rFonts w:asciiTheme="majorHAnsi" w:hAnsiTheme="majorHAnsi"/>
          <w:bCs w:val="0"/>
          <w:lang w:val="ro-MD"/>
        </w:rPr>
        <w:t xml:space="preserve"> medicale</w:t>
      </w:r>
      <w:r w:rsidRPr="003F4D72">
        <w:rPr>
          <w:rFonts w:asciiTheme="majorHAnsi" w:hAnsiTheme="majorHAnsi"/>
          <w:bCs w:val="0"/>
          <w:lang w:val="ro-MD"/>
        </w:rPr>
        <w:t xml:space="preserve"> decât cele stabilite</w:t>
      </w:r>
      <w:r w:rsidR="003655E8" w:rsidRPr="003F4D72">
        <w:rPr>
          <w:rFonts w:asciiTheme="majorHAnsi" w:hAnsiTheme="majorHAnsi"/>
          <w:bCs w:val="0"/>
          <w:lang w:val="ro-MD"/>
        </w:rPr>
        <w:t>.</w:t>
      </w:r>
      <w:r w:rsidR="003F1F5E" w:rsidRPr="003F4D72">
        <w:rPr>
          <w:rFonts w:asciiTheme="majorHAnsi" w:hAnsiTheme="majorHAnsi"/>
          <w:bCs w:val="0"/>
          <w:lang w:val="ro-MD"/>
        </w:rPr>
        <w:t xml:space="preserve"> </w:t>
      </w:r>
      <w:r w:rsidRPr="003F4D72">
        <w:rPr>
          <w:rFonts w:asciiTheme="majorHAnsi" w:hAnsiTheme="majorHAnsi"/>
          <w:bCs w:val="0"/>
          <w:lang w:val="ro-MD"/>
        </w:rPr>
        <w:t xml:space="preserve">Situația redirecționării pacienților și a </w:t>
      </w:r>
      <w:r w:rsidRPr="003F4D72">
        <w:rPr>
          <w:rFonts w:asciiTheme="majorHAnsi" w:hAnsiTheme="majorHAnsi"/>
          <w:lang w:val="ro-MD"/>
        </w:rPr>
        <w:t xml:space="preserve">mijloacelor financiare în sumă de 2,0 mil.lei </w:t>
      </w:r>
      <w:r w:rsidRPr="003F4D72">
        <w:rPr>
          <w:rFonts w:asciiTheme="majorHAnsi" w:hAnsiTheme="majorHAnsi"/>
          <w:bCs w:val="0"/>
          <w:lang w:val="ro-MD"/>
        </w:rPr>
        <w:t>a fost condiționată de circumstanțele parvenite pe parcursul anului, precum și informarea și înțelegerea părților.</w:t>
      </w:r>
    </w:p>
    <w:p w14:paraId="1BF600E0" w14:textId="457C0CC8" w:rsidR="001E351D" w:rsidRPr="003F4D72" w:rsidRDefault="001568C8" w:rsidP="001E351D">
      <w:pPr>
        <w:pStyle w:val="Heading1"/>
        <w:numPr>
          <w:ilvl w:val="0"/>
          <w:numId w:val="15"/>
        </w:numPr>
        <w:rPr>
          <w:rFonts w:cstheme="majorHAnsi"/>
          <w:b/>
          <w:color w:val="auto"/>
          <w:sz w:val="28"/>
        </w:rPr>
      </w:pPr>
      <w:r w:rsidRPr="003F4D72">
        <w:rPr>
          <w:rFonts w:cstheme="majorHAnsi"/>
          <w:b/>
          <w:color w:val="auto"/>
          <w:sz w:val="28"/>
        </w:rPr>
        <w:t>BUNA GUVERNANȚĂ</w:t>
      </w:r>
    </w:p>
    <w:p w14:paraId="74DB8994" w14:textId="41A52F75" w:rsidR="001E351D" w:rsidRPr="003F4D72" w:rsidRDefault="001E351D" w:rsidP="00023B8B">
      <w:pPr>
        <w:pStyle w:val="Style5"/>
        <w:numPr>
          <w:ilvl w:val="1"/>
          <w:numId w:val="35"/>
        </w:numPr>
        <w:tabs>
          <w:tab w:val="left" w:pos="142"/>
          <w:tab w:val="left" w:pos="284"/>
          <w:tab w:val="left" w:pos="567"/>
          <w:tab w:val="left" w:pos="993"/>
        </w:tabs>
        <w:spacing w:line="276" w:lineRule="auto"/>
        <w:ind w:left="0" w:firstLine="142"/>
        <w:jc w:val="both"/>
        <w:rPr>
          <w:rFonts w:ascii="Calibri Light" w:hAnsi="Calibri Light" w:cs="Calibri Light"/>
          <w:b/>
          <w:szCs w:val="26"/>
          <w:lang w:val="ro-MD"/>
        </w:rPr>
      </w:pPr>
      <w:r w:rsidRPr="003F4D72">
        <w:rPr>
          <w:rFonts w:ascii="Calibri Light" w:hAnsi="Calibri Light" w:cs="Calibri Light"/>
          <w:b/>
          <w:szCs w:val="26"/>
          <w:lang w:val="ro-MD"/>
        </w:rPr>
        <w:t>Sistemul medical a acordat servicii medicale pentru persoanele asigurate și neasigurate afectate de Covid-19, în timp ce unele persoane nu au asigurat achitarea regulamentară a plăților în FAOAM</w:t>
      </w:r>
      <w:r w:rsidR="00915526" w:rsidRPr="003F4D72">
        <w:rPr>
          <w:rFonts w:ascii="Calibri Light" w:hAnsi="Calibri Light" w:cs="Calibri Light"/>
          <w:b/>
          <w:szCs w:val="26"/>
          <w:lang w:val="ro-MD"/>
        </w:rPr>
        <w:t>,</w:t>
      </w:r>
      <w:r w:rsidRPr="003F4D72">
        <w:rPr>
          <w:rFonts w:ascii="Calibri Light" w:hAnsi="Calibri Light" w:cs="Calibri Light"/>
          <w:b/>
          <w:szCs w:val="26"/>
          <w:lang w:val="ro-MD"/>
        </w:rPr>
        <w:t xml:space="preserve"> în sumă de 71,4 mil.lei</w:t>
      </w:r>
      <w:r w:rsidR="002A33DF" w:rsidRPr="003F4D72">
        <w:rPr>
          <w:rFonts w:ascii="Calibri Light" w:hAnsi="Calibri Light" w:cs="Calibri Light"/>
          <w:b/>
          <w:szCs w:val="26"/>
          <w:lang w:val="ro-MD"/>
        </w:rPr>
        <w:t>.</w:t>
      </w:r>
    </w:p>
    <w:p w14:paraId="2539E735" w14:textId="27DE4037" w:rsidR="001E351D" w:rsidRPr="003F4D72" w:rsidRDefault="001E351D" w:rsidP="001E351D">
      <w:pPr>
        <w:pStyle w:val="Style5"/>
        <w:tabs>
          <w:tab w:val="left" w:pos="426"/>
          <w:tab w:val="left" w:pos="993"/>
        </w:tabs>
        <w:spacing w:line="276" w:lineRule="auto"/>
        <w:ind w:firstLine="567"/>
        <w:jc w:val="both"/>
        <w:rPr>
          <w:rFonts w:ascii="Calibri Light" w:hAnsi="Calibri Light" w:cs="Calibri Light"/>
          <w:szCs w:val="26"/>
          <w:lang w:val="ro-MD"/>
        </w:rPr>
      </w:pPr>
      <w:r w:rsidRPr="003F4D72">
        <w:rPr>
          <w:rFonts w:ascii="Calibri Light" w:hAnsi="Calibri Light" w:cs="Calibri Light"/>
          <w:szCs w:val="26"/>
          <w:lang w:val="ro-MD"/>
        </w:rPr>
        <w:t xml:space="preserve">Pandemia generată de infecția </w:t>
      </w:r>
      <w:r w:rsidR="002A33DF" w:rsidRPr="003F4D72">
        <w:rPr>
          <w:rFonts w:ascii="Calibri Light" w:hAnsi="Calibri Light" w:cs="Calibri Light"/>
          <w:szCs w:val="26"/>
          <w:lang w:val="ro-MD"/>
        </w:rPr>
        <w:t>cu</w:t>
      </w:r>
      <w:r w:rsidRPr="003F4D72">
        <w:rPr>
          <w:rFonts w:ascii="Calibri Light" w:hAnsi="Calibri Light" w:cs="Calibri Light"/>
          <w:szCs w:val="26"/>
          <w:lang w:val="ro-MD"/>
        </w:rPr>
        <w:t xml:space="preserve"> Covid-19 a implicat creșterea poverii financiare a FAOAM prin gestionarea și utilizarea fondurilor de asigurări obligatorii de asistență medicală</w:t>
      </w:r>
      <w:r w:rsidR="002A33DF" w:rsidRPr="003F4D72">
        <w:rPr>
          <w:rFonts w:ascii="Calibri Light" w:hAnsi="Calibri Light" w:cs="Calibri Light"/>
          <w:szCs w:val="26"/>
          <w:lang w:val="ro-MD"/>
        </w:rPr>
        <w:t>,</w:t>
      </w:r>
      <w:r w:rsidRPr="003F4D72">
        <w:rPr>
          <w:rFonts w:ascii="Calibri Light" w:hAnsi="Calibri Light" w:cs="Calibri Light"/>
          <w:szCs w:val="26"/>
          <w:lang w:val="ro-MD"/>
        </w:rPr>
        <w:t xml:space="preserve"> în special pentru acoperirea cheltuielilor necesare diagnosticul</w:t>
      </w:r>
      <w:r w:rsidR="002A33DF" w:rsidRPr="003F4D72">
        <w:rPr>
          <w:rFonts w:ascii="Calibri Light" w:hAnsi="Calibri Light" w:cs="Calibri Light"/>
          <w:szCs w:val="26"/>
          <w:lang w:val="ro-MD"/>
        </w:rPr>
        <w:t>ui</w:t>
      </w:r>
      <w:r w:rsidRPr="003F4D72">
        <w:rPr>
          <w:rFonts w:ascii="Calibri Light" w:hAnsi="Calibri Light" w:cs="Calibri Light"/>
          <w:szCs w:val="26"/>
          <w:lang w:val="ro-MD"/>
        </w:rPr>
        <w:t xml:space="preserve"> și tratamentul</w:t>
      </w:r>
      <w:r w:rsidR="002A33DF" w:rsidRPr="003F4D72">
        <w:rPr>
          <w:rFonts w:ascii="Calibri Light" w:hAnsi="Calibri Light" w:cs="Calibri Light"/>
          <w:szCs w:val="26"/>
          <w:lang w:val="ro-MD"/>
        </w:rPr>
        <w:t>ui</w:t>
      </w:r>
      <w:r w:rsidRPr="003F4D72">
        <w:rPr>
          <w:rFonts w:ascii="Calibri Light" w:hAnsi="Calibri Light" w:cs="Calibri Light"/>
          <w:szCs w:val="26"/>
          <w:lang w:val="ro-MD"/>
        </w:rPr>
        <w:t xml:space="preserve"> persoanelor cu COVID-19. În perioada stării de urgență</w:t>
      </w:r>
      <w:r w:rsidR="002A33DF" w:rsidRPr="003F4D72">
        <w:rPr>
          <w:rFonts w:ascii="Calibri Light" w:hAnsi="Calibri Light" w:cs="Calibri Light"/>
          <w:szCs w:val="26"/>
          <w:lang w:val="ro-MD"/>
        </w:rPr>
        <w:t>,</w:t>
      </w:r>
      <w:r w:rsidRPr="003F4D72">
        <w:rPr>
          <w:rFonts w:ascii="Calibri Light" w:hAnsi="Calibri Light" w:cs="Calibri Light"/>
          <w:szCs w:val="26"/>
          <w:lang w:val="ro-MD"/>
        </w:rPr>
        <w:t xml:space="preserve"> statul prin contractarea și achitarea asistenței medicale la toate </w:t>
      </w:r>
      <w:r w:rsidRPr="003F4D72">
        <w:rPr>
          <w:rFonts w:ascii="Calibri Light" w:hAnsi="Calibri Light" w:cs="Calibri Light"/>
          <w:szCs w:val="26"/>
          <w:lang w:val="ro-MD"/>
        </w:rPr>
        <w:lastRenderedPageBreak/>
        <w:t>nivel</w:t>
      </w:r>
      <w:r w:rsidR="002A33DF" w:rsidRPr="003F4D72">
        <w:rPr>
          <w:rFonts w:ascii="Calibri Light" w:hAnsi="Calibri Light" w:cs="Calibri Light"/>
          <w:szCs w:val="26"/>
          <w:lang w:val="ro-MD"/>
        </w:rPr>
        <w:t>uri</w:t>
      </w:r>
      <w:r w:rsidRPr="003F4D72">
        <w:rPr>
          <w:rFonts w:ascii="Calibri Light" w:hAnsi="Calibri Light" w:cs="Calibri Light"/>
          <w:szCs w:val="26"/>
          <w:lang w:val="ro-MD"/>
        </w:rPr>
        <w:t xml:space="preserve">le a asigurat acordarea asistenței medicale tuturor persoanelor care au întrunit criteriile definiției de caz pentru COVID-19, indiferent de statutul acestora în sistemul </w:t>
      </w:r>
      <w:r w:rsidR="002A33DF" w:rsidRPr="003F4D72">
        <w:rPr>
          <w:rFonts w:ascii="Calibri Light" w:hAnsi="Calibri Light" w:cs="Calibri Light"/>
          <w:szCs w:val="26"/>
          <w:lang w:val="ro-MD"/>
        </w:rPr>
        <w:t>a</w:t>
      </w:r>
      <w:r w:rsidRPr="003F4D72">
        <w:rPr>
          <w:rFonts w:ascii="Calibri Light" w:hAnsi="Calibri Light" w:cs="Calibri Light"/>
          <w:szCs w:val="26"/>
          <w:lang w:val="ro-MD"/>
        </w:rPr>
        <w:t xml:space="preserve">sigurărilor </w:t>
      </w:r>
      <w:r w:rsidR="002A33DF" w:rsidRPr="003F4D72">
        <w:rPr>
          <w:rFonts w:ascii="Calibri Light" w:hAnsi="Calibri Light" w:cs="Calibri Light"/>
          <w:szCs w:val="26"/>
          <w:lang w:val="ro-MD"/>
        </w:rPr>
        <w:t>o</w:t>
      </w:r>
      <w:r w:rsidRPr="003F4D72">
        <w:rPr>
          <w:rFonts w:ascii="Calibri Light" w:hAnsi="Calibri Light" w:cs="Calibri Light"/>
          <w:szCs w:val="26"/>
          <w:lang w:val="ro-MD"/>
        </w:rPr>
        <w:t xml:space="preserve">bligatorii de </w:t>
      </w:r>
      <w:proofErr w:type="spellStart"/>
      <w:r w:rsidR="002A33DF" w:rsidRPr="003F4D72">
        <w:rPr>
          <w:rFonts w:ascii="Calibri Light" w:hAnsi="Calibri Light" w:cs="Calibri Light"/>
          <w:szCs w:val="26"/>
          <w:lang w:val="ro-MD"/>
        </w:rPr>
        <w:t>a</w:t>
      </w:r>
      <w:r w:rsidRPr="003F4D72">
        <w:rPr>
          <w:rFonts w:ascii="Calibri Light" w:hAnsi="Calibri Light" w:cs="Calibri Light"/>
          <w:szCs w:val="26"/>
          <w:lang w:val="ro-MD"/>
        </w:rPr>
        <w:t>sistenţă</w:t>
      </w:r>
      <w:proofErr w:type="spellEnd"/>
      <w:r w:rsidRPr="003F4D72">
        <w:rPr>
          <w:rFonts w:ascii="Calibri Light" w:hAnsi="Calibri Light" w:cs="Calibri Light"/>
          <w:szCs w:val="26"/>
          <w:lang w:val="ro-MD"/>
        </w:rPr>
        <w:t xml:space="preserve"> </w:t>
      </w:r>
      <w:r w:rsidR="002A33DF" w:rsidRPr="003F4D72">
        <w:rPr>
          <w:rFonts w:ascii="Calibri Light" w:hAnsi="Calibri Light" w:cs="Calibri Light"/>
          <w:szCs w:val="26"/>
          <w:lang w:val="ro-MD"/>
        </w:rPr>
        <w:t>m</w:t>
      </w:r>
      <w:r w:rsidRPr="003F4D72">
        <w:rPr>
          <w:rFonts w:ascii="Calibri Light" w:hAnsi="Calibri Light" w:cs="Calibri Light"/>
          <w:szCs w:val="26"/>
          <w:lang w:val="ro-MD"/>
        </w:rPr>
        <w:t>edicală (asigurate/neasigurate).</w:t>
      </w:r>
    </w:p>
    <w:p w14:paraId="39679A38" w14:textId="3519EF4F" w:rsidR="001E351D" w:rsidRPr="003F4D72" w:rsidRDefault="001E351D" w:rsidP="001E351D">
      <w:pPr>
        <w:pStyle w:val="Style5"/>
        <w:tabs>
          <w:tab w:val="left" w:pos="426"/>
          <w:tab w:val="left" w:pos="993"/>
        </w:tabs>
        <w:spacing w:line="276" w:lineRule="auto"/>
        <w:ind w:firstLine="567"/>
        <w:jc w:val="both"/>
        <w:rPr>
          <w:rFonts w:ascii="Calibri Light" w:hAnsi="Calibri Light" w:cs="Calibri Light"/>
          <w:szCs w:val="26"/>
          <w:lang w:val="ro-MD"/>
        </w:rPr>
      </w:pPr>
      <w:r w:rsidRPr="003F4D72">
        <w:rPr>
          <w:rFonts w:ascii="Calibri Light" w:hAnsi="Calibri Light" w:cs="Calibri Light"/>
          <w:szCs w:val="26"/>
          <w:lang w:val="ro-MD"/>
        </w:rPr>
        <w:t>În scopul diminuării impactului negativ al pandemiei Covid-19</w:t>
      </w:r>
      <w:r w:rsidR="002A33DF" w:rsidRPr="003F4D72">
        <w:rPr>
          <w:rFonts w:ascii="Calibri Light" w:hAnsi="Calibri Light" w:cs="Calibri Light"/>
          <w:szCs w:val="26"/>
          <w:lang w:val="ro-MD"/>
        </w:rPr>
        <w:t>,</w:t>
      </w:r>
      <w:r w:rsidRPr="003F4D72">
        <w:rPr>
          <w:rFonts w:ascii="Calibri Light" w:hAnsi="Calibri Light" w:cs="Calibri Light"/>
          <w:szCs w:val="26"/>
          <w:lang w:val="ro-MD"/>
        </w:rPr>
        <w:t xml:space="preserve"> Comisia pentru Situații Excepționale a întreprins măsuri urgente prin evaluarea situației pandemice și a adoptat decizii privind susținerea sistemului medical.</w:t>
      </w:r>
    </w:p>
    <w:p w14:paraId="56943880" w14:textId="59E0319F" w:rsidR="001E351D" w:rsidRPr="003F4D72" w:rsidRDefault="001E351D" w:rsidP="00436DF9">
      <w:pPr>
        <w:pStyle w:val="Style5"/>
        <w:tabs>
          <w:tab w:val="left" w:pos="426"/>
          <w:tab w:val="left" w:pos="993"/>
        </w:tabs>
        <w:spacing w:line="276" w:lineRule="auto"/>
        <w:ind w:firstLine="567"/>
        <w:jc w:val="both"/>
        <w:rPr>
          <w:rFonts w:ascii="Calibri Light" w:hAnsi="Calibri Light" w:cs="Calibri Light"/>
          <w:szCs w:val="26"/>
          <w:lang w:val="ro-MD"/>
        </w:rPr>
      </w:pPr>
      <w:r w:rsidRPr="003F4D72">
        <w:rPr>
          <w:rFonts w:ascii="Calibri Light" w:hAnsi="Calibri Light" w:cs="Calibri Light"/>
          <w:szCs w:val="26"/>
          <w:lang w:val="ro-MD"/>
        </w:rPr>
        <w:t>În acest context</w:t>
      </w:r>
      <w:r w:rsidR="002A33DF" w:rsidRPr="003F4D72">
        <w:rPr>
          <w:rFonts w:ascii="Calibri Light" w:hAnsi="Calibri Light" w:cs="Calibri Light"/>
          <w:szCs w:val="26"/>
          <w:lang w:val="ro-MD"/>
        </w:rPr>
        <w:t xml:space="preserve"> </w:t>
      </w:r>
      <w:r w:rsidRPr="003F4D72">
        <w:rPr>
          <w:rFonts w:ascii="Calibri Light" w:hAnsi="Calibri Light" w:cs="Calibri Light"/>
          <w:szCs w:val="26"/>
          <w:lang w:val="ro-MD"/>
        </w:rPr>
        <w:t>și în temeiul prevederilor legale</w:t>
      </w:r>
      <w:r w:rsidRPr="003F4D72">
        <w:rPr>
          <w:rStyle w:val="FootnoteReference"/>
          <w:rFonts w:ascii="Calibri Light" w:hAnsi="Calibri Light" w:cs="Calibri Light"/>
          <w:szCs w:val="26"/>
          <w:lang w:val="ro-MD"/>
        </w:rPr>
        <w:footnoteReference w:id="33"/>
      </w:r>
      <w:r w:rsidR="002A33DF" w:rsidRPr="003F4D72">
        <w:rPr>
          <w:rFonts w:ascii="Calibri Light" w:hAnsi="Calibri Light" w:cs="Calibri Light"/>
          <w:szCs w:val="26"/>
          <w:lang w:val="ro-MD"/>
        </w:rPr>
        <w:t>,</w:t>
      </w:r>
      <w:r w:rsidRPr="003F4D72">
        <w:rPr>
          <w:rFonts w:ascii="Calibri Light" w:hAnsi="Calibri Light" w:cs="Calibri Light"/>
          <w:szCs w:val="26"/>
          <w:lang w:val="ro-MD"/>
        </w:rPr>
        <w:t xml:space="preserve"> Comisia</w:t>
      </w:r>
      <w:r w:rsidRPr="003F4D72">
        <w:rPr>
          <w:rFonts w:asciiTheme="majorHAnsi" w:hAnsiTheme="majorHAnsi" w:cstheme="majorHAnsi"/>
          <w:noProof/>
          <w:lang w:val="ro-MD"/>
        </w:rPr>
        <w:t xml:space="preserve"> pentru Situații Excepționale</w:t>
      </w:r>
      <w:r w:rsidRPr="003F4D72">
        <w:rPr>
          <w:rStyle w:val="FootnoteReference"/>
          <w:rFonts w:asciiTheme="majorHAnsi" w:hAnsiTheme="majorHAnsi" w:cstheme="majorHAnsi"/>
          <w:noProof/>
          <w:lang w:val="ro-MD"/>
        </w:rPr>
        <w:footnoteReference w:id="34"/>
      </w:r>
      <w:r w:rsidRPr="003F4D72">
        <w:rPr>
          <w:rFonts w:asciiTheme="majorHAnsi" w:hAnsiTheme="majorHAnsi" w:cstheme="majorHAnsi"/>
          <w:noProof/>
          <w:lang w:val="ro-MD"/>
        </w:rPr>
        <w:t xml:space="preserve"> a stabilit că</w:t>
      </w:r>
      <w:r w:rsidR="002A33DF" w:rsidRPr="003F4D72">
        <w:rPr>
          <w:rFonts w:asciiTheme="majorHAnsi" w:hAnsiTheme="majorHAnsi" w:cstheme="majorHAnsi"/>
          <w:noProof/>
          <w:lang w:val="ro-MD"/>
        </w:rPr>
        <w:t>,</w:t>
      </w:r>
      <w:r w:rsidRPr="003F4D72">
        <w:rPr>
          <w:rFonts w:asciiTheme="majorHAnsi" w:hAnsiTheme="majorHAnsi" w:cstheme="majorHAnsi"/>
          <w:noProof/>
          <w:lang w:val="ro-MD"/>
        </w:rPr>
        <w:t xml:space="preserve"> încep</w:t>
      </w:r>
      <w:r w:rsidR="002A33DF" w:rsidRPr="003F4D72">
        <w:rPr>
          <w:rFonts w:asciiTheme="majorHAnsi" w:hAnsiTheme="majorHAnsi" w:cstheme="majorHAnsi"/>
          <w:noProof/>
          <w:lang w:val="ro-MD"/>
        </w:rPr>
        <w:t>â</w:t>
      </w:r>
      <w:r w:rsidRPr="003F4D72">
        <w:rPr>
          <w:rFonts w:asciiTheme="majorHAnsi" w:hAnsiTheme="majorHAnsi" w:cstheme="majorHAnsi"/>
          <w:noProof/>
          <w:lang w:val="ro-MD"/>
        </w:rPr>
        <w:t>nd cu 01 aprilie 2020, în perioada stării de urgență, cetățenii Republicii Moldova și străinii cu permis de ședere pe teritoriul Republicii Moldova, care intenționează să traverseze frontiera de stat pe sensul de intrare în Republica Moldova și nu dețin statut de persoană asigurată în sistemul asigurării obligatorii de asistență medicală, vor achita prima de asigurare obligatorie de asistență medicală în sumă fixă</w:t>
      </w:r>
      <w:r w:rsidRPr="003F4D72">
        <w:rPr>
          <w:rStyle w:val="FootnoteReference"/>
          <w:rFonts w:ascii="Calibri Light" w:hAnsi="Calibri Light" w:cs="Calibri Light"/>
          <w:szCs w:val="26"/>
          <w:lang w:val="ro-MD"/>
        </w:rPr>
        <w:footnoteReference w:id="35"/>
      </w:r>
      <w:r w:rsidRPr="003F4D72">
        <w:rPr>
          <w:rFonts w:asciiTheme="majorHAnsi" w:hAnsiTheme="majorHAnsi" w:cstheme="majorHAnsi"/>
          <w:noProof/>
          <w:lang w:val="ro-MD"/>
        </w:rPr>
        <w:t>.</w:t>
      </w:r>
      <w:r w:rsidR="00815A71" w:rsidRPr="003F4D72">
        <w:rPr>
          <w:rFonts w:asciiTheme="majorHAnsi" w:hAnsiTheme="majorHAnsi" w:cstheme="majorHAnsi"/>
          <w:noProof/>
          <w:lang w:val="ro-MD"/>
        </w:rPr>
        <w:t xml:space="preserve"> </w:t>
      </w:r>
    </w:p>
    <w:p w14:paraId="0F485E65" w14:textId="76806090" w:rsidR="001E351D" w:rsidRPr="003F4D72" w:rsidRDefault="001E351D" w:rsidP="001E351D">
      <w:pPr>
        <w:pStyle w:val="Default"/>
        <w:spacing w:line="276" w:lineRule="auto"/>
        <w:ind w:firstLine="567"/>
        <w:jc w:val="both"/>
        <w:rPr>
          <w:rFonts w:asciiTheme="majorHAnsi" w:hAnsiTheme="majorHAnsi" w:cstheme="majorHAnsi"/>
          <w:lang w:val="ro-MD"/>
        </w:rPr>
      </w:pPr>
      <w:r w:rsidRPr="003F4D72">
        <w:rPr>
          <w:rFonts w:asciiTheme="majorHAnsi" w:hAnsiTheme="majorHAnsi" w:cstheme="majorHAnsi"/>
          <w:noProof/>
          <w:lang w:val="ro-MD" w:eastAsia="ru-RU"/>
        </w:rPr>
        <w:t xml:space="preserve">În perioada stării de urgență decretată în Republica Moldova, </w:t>
      </w:r>
      <w:r w:rsidRPr="003F4D72">
        <w:rPr>
          <w:rFonts w:asciiTheme="majorHAnsi" w:hAnsiTheme="majorHAnsi" w:cstheme="majorHAnsi"/>
          <w:lang w:val="ro-MD"/>
        </w:rPr>
        <w:t xml:space="preserve">CNAM a </w:t>
      </w:r>
      <w:r w:rsidRPr="003F4D72">
        <w:rPr>
          <w:rFonts w:asciiTheme="majorHAnsi" w:hAnsiTheme="majorHAnsi" w:cstheme="majorHAnsi"/>
          <w:noProof/>
          <w:lang w:val="ro-MD" w:eastAsia="ru-RU"/>
        </w:rPr>
        <w:t xml:space="preserve">recepționat de la Inspectoratul General al Poliției de Frontieră 46 454 </w:t>
      </w:r>
      <w:r w:rsidR="002A33DF" w:rsidRPr="003F4D72">
        <w:rPr>
          <w:rFonts w:asciiTheme="majorHAnsi" w:hAnsiTheme="majorHAnsi" w:cstheme="majorHAnsi"/>
          <w:noProof/>
          <w:lang w:val="ro-MD" w:eastAsia="ru-RU"/>
        </w:rPr>
        <w:t xml:space="preserve">de </w:t>
      </w:r>
      <w:r w:rsidRPr="003F4D72">
        <w:rPr>
          <w:rFonts w:asciiTheme="majorHAnsi" w:hAnsiTheme="majorHAnsi" w:cstheme="majorHAnsi"/>
          <w:noProof/>
          <w:lang w:val="ro-MD" w:eastAsia="ru-RU"/>
        </w:rPr>
        <w:t xml:space="preserve">declarații pe propria răspundere privind obligația achitării în termen de 72 ore a primei de asigurare obligatorie de asistenţă medicală, </w:t>
      </w:r>
      <w:r w:rsidRPr="003F4D72">
        <w:rPr>
          <w:rFonts w:asciiTheme="majorHAnsi" w:hAnsiTheme="majorHAnsi" w:cstheme="majorHAnsi"/>
          <w:lang w:val="ro-MD"/>
        </w:rPr>
        <w:t>situație prezentată în tabelul de mai jos:</w:t>
      </w:r>
    </w:p>
    <w:p w14:paraId="637B7A70" w14:textId="0F21436A" w:rsidR="00996138" w:rsidRPr="003F4D72" w:rsidRDefault="00996138" w:rsidP="001E351D">
      <w:pPr>
        <w:pStyle w:val="Default"/>
        <w:spacing w:line="276" w:lineRule="auto"/>
        <w:ind w:firstLine="567"/>
        <w:jc w:val="both"/>
        <w:rPr>
          <w:rFonts w:asciiTheme="majorHAnsi" w:hAnsiTheme="majorHAnsi" w:cstheme="majorHAnsi"/>
          <w:b/>
          <w:lang w:val="ro-MD"/>
        </w:rPr>
      </w:pPr>
      <w:r w:rsidRPr="003F4D72">
        <w:rPr>
          <w:rFonts w:asciiTheme="majorHAnsi" w:hAnsiTheme="majorHAnsi" w:cstheme="majorHAnsi"/>
          <w:b/>
          <w:lang w:val="ro-MD"/>
        </w:rPr>
        <w:t>Informație privind numărul persoanelor neasigurate și a primelor achitate/neachitate</w:t>
      </w:r>
    </w:p>
    <w:p w14:paraId="6659FEA3" w14:textId="17AE3B1D" w:rsidR="001E351D" w:rsidRPr="003F4D72" w:rsidRDefault="000A347E" w:rsidP="001E351D">
      <w:pPr>
        <w:pStyle w:val="Default"/>
        <w:spacing w:line="276" w:lineRule="auto"/>
        <w:ind w:firstLine="720"/>
        <w:jc w:val="right"/>
        <w:rPr>
          <w:rFonts w:asciiTheme="majorHAnsi" w:hAnsiTheme="majorHAnsi" w:cstheme="majorHAnsi"/>
          <w:noProof/>
          <w:sz w:val="20"/>
          <w:szCs w:val="20"/>
          <w:lang w:val="ro-MD" w:eastAsia="ru-RU"/>
        </w:rPr>
      </w:pPr>
      <w:r w:rsidRPr="003F4D72">
        <w:rPr>
          <w:rFonts w:asciiTheme="majorHAnsi" w:hAnsiTheme="majorHAnsi" w:cstheme="majorHAnsi"/>
          <w:noProof/>
          <w:sz w:val="20"/>
          <w:szCs w:val="20"/>
          <w:lang w:val="ro-MD"/>
        </w:rPr>
        <w:t>Tabel</w:t>
      </w:r>
      <w:r w:rsidR="002A33DF" w:rsidRPr="003F4D72">
        <w:rPr>
          <w:rFonts w:asciiTheme="majorHAnsi" w:hAnsiTheme="majorHAnsi" w:cstheme="majorHAnsi"/>
          <w:noProof/>
          <w:sz w:val="20"/>
          <w:szCs w:val="20"/>
          <w:lang w:val="ro-MD"/>
        </w:rPr>
        <w:t>ul</w:t>
      </w:r>
      <w:r w:rsidRPr="003F4D72">
        <w:rPr>
          <w:rFonts w:asciiTheme="majorHAnsi" w:hAnsiTheme="majorHAnsi" w:cstheme="majorHAnsi"/>
          <w:noProof/>
          <w:sz w:val="20"/>
          <w:szCs w:val="20"/>
          <w:lang w:val="ro-MD"/>
        </w:rPr>
        <w:t xml:space="preserve"> nr.11</w:t>
      </w:r>
      <w:r w:rsidR="001E351D" w:rsidRPr="003F4D72">
        <w:rPr>
          <w:rFonts w:asciiTheme="majorHAnsi" w:hAnsiTheme="majorHAnsi" w:cstheme="majorHAnsi"/>
          <w:noProof/>
          <w:sz w:val="20"/>
          <w:szCs w:val="20"/>
          <w:lang w:val="ro-MD"/>
        </w:rPr>
        <w:t>, mii lei</w:t>
      </w:r>
    </w:p>
    <w:tbl>
      <w:tblPr>
        <w:tblStyle w:val="GridTable1Light"/>
        <w:tblW w:w="5239" w:type="pct"/>
        <w:tblInd w:w="-147" w:type="dxa"/>
        <w:tblLook w:val="04A0" w:firstRow="1" w:lastRow="0" w:firstColumn="1" w:lastColumn="0" w:noHBand="0" w:noVBand="1"/>
      </w:tblPr>
      <w:tblGrid>
        <w:gridCol w:w="725"/>
        <w:gridCol w:w="1250"/>
        <w:gridCol w:w="1389"/>
        <w:gridCol w:w="1196"/>
        <w:gridCol w:w="1185"/>
        <w:gridCol w:w="1196"/>
        <w:gridCol w:w="1581"/>
        <w:gridCol w:w="1275"/>
      </w:tblGrid>
      <w:tr w:rsidR="001E351D" w:rsidRPr="003F4D72" w14:paraId="54B846A6" w14:textId="77777777" w:rsidTr="003655E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0" w:type="pct"/>
            <w:hideMark/>
          </w:tcPr>
          <w:p w14:paraId="258AAB07" w14:textId="77777777" w:rsidR="001E351D" w:rsidRPr="003F4D72" w:rsidRDefault="001E351D" w:rsidP="003655E8">
            <w:pPr>
              <w:ind w:left="-25"/>
              <w:jc w:val="center"/>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Luna</w:t>
            </w:r>
          </w:p>
        </w:tc>
        <w:tc>
          <w:tcPr>
            <w:tcW w:w="637" w:type="pct"/>
            <w:hideMark/>
          </w:tcPr>
          <w:p w14:paraId="53CFF007"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 xml:space="preserve">Numărul total de declarații recepționate de la IGPF, </w:t>
            </w:r>
            <w:r w:rsidRPr="003F4D72">
              <w:rPr>
                <w:rFonts w:asciiTheme="majorHAnsi" w:eastAsia="Times New Roman" w:hAnsiTheme="majorHAnsi" w:cstheme="majorHAnsi"/>
                <w:i/>
                <w:noProof/>
                <w:color w:val="000000"/>
                <w:sz w:val="20"/>
                <w:szCs w:val="20"/>
              </w:rPr>
              <w:t>inlusiv persoane asigurate</w:t>
            </w:r>
          </w:p>
        </w:tc>
        <w:tc>
          <w:tcPr>
            <w:tcW w:w="726" w:type="pct"/>
            <w:hideMark/>
          </w:tcPr>
          <w:p w14:paraId="6B381721"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 xml:space="preserve">Numărul persoanelor </w:t>
            </w:r>
            <w:r w:rsidRPr="003F4D72">
              <w:rPr>
                <w:rFonts w:asciiTheme="majorHAnsi" w:eastAsia="Times New Roman" w:hAnsiTheme="majorHAnsi" w:cstheme="majorHAnsi"/>
                <w:i/>
                <w:noProof/>
                <w:color w:val="000000"/>
                <w:sz w:val="20"/>
                <w:szCs w:val="20"/>
              </w:rPr>
              <w:t>neasigurate</w:t>
            </w:r>
          </w:p>
          <w:p w14:paraId="61DC3DFA"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care au achitat prima AOAM în sumă fixă conform declarațiilor</w:t>
            </w:r>
          </w:p>
        </w:tc>
        <w:tc>
          <w:tcPr>
            <w:tcW w:w="627" w:type="pct"/>
            <w:hideMark/>
          </w:tcPr>
          <w:p w14:paraId="59429CB9"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Suma încasată de la persoanele care au achitat prima AOAM în sumă fixă</w:t>
            </w:r>
          </w:p>
        </w:tc>
        <w:tc>
          <w:tcPr>
            <w:tcW w:w="604" w:type="pct"/>
            <w:hideMark/>
          </w:tcPr>
          <w:p w14:paraId="6B835D8A"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 xml:space="preserve">Numărul persoanelor </w:t>
            </w:r>
          </w:p>
          <w:p w14:paraId="29A86C66"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noProof/>
                <w:color w:val="000000"/>
                <w:sz w:val="20"/>
                <w:szCs w:val="20"/>
              </w:rPr>
            </w:pPr>
            <w:r w:rsidRPr="003F4D72">
              <w:rPr>
                <w:rFonts w:asciiTheme="majorHAnsi" w:eastAsia="Times New Roman" w:hAnsiTheme="majorHAnsi" w:cstheme="majorHAnsi"/>
                <w:i/>
                <w:noProof/>
                <w:color w:val="000000"/>
                <w:sz w:val="20"/>
                <w:szCs w:val="20"/>
              </w:rPr>
              <w:t>neasigurate</w:t>
            </w:r>
          </w:p>
          <w:p w14:paraId="3D5342DF"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care nu au achitat prima AOAM în sumă fixă</w:t>
            </w:r>
          </w:p>
        </w:tc>
        <w:tc>
          <w:tcPr>
            <w:tcW w:w="627" w:type="pct"/>
            <w:hideMark/>
          </w:tcPr>
          <w:p w14:paraId="3E39393B"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Suma neîncasată de la persoanele care nu au achitat prima AOAM în sumă fixă</w:t>
            </w:r>
          </w:p>
        </w:tc>
        <w:tc>
          <w:tcPr>
            <w:tcW w:w="758" w:type="pct"/>
            <w:hideMark/>
          </w:tcPr>
          <w:p w14:paraId="34556C91" w14:textId="7F4FB7B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Numărul persoanelor care au fost trase la răspundere contravențional</w:t>
            </w:r>
            <w:r w:rsidR="000B1D8A" w:rsidRPr="003F4D72">
              <w:rPr>
                <w:rFonts w:asciiTheme="majorHAnsi" w:eastAsia="Times New Roman" w:hAnsiTheme="majorHAnsi" w:cstheme="majorHAnsi"/>
                <w:noProof/>
                <w:color w:val="000000"/>
                <w:sz w:val="20"/>
                <w:szCs w:val="20"/>
              </w:rPr>
              <w:t>ă</w:t>
            </w:r>
            <w:r w:rsidRPr="003F4D72">
              <w:rPr>
                <w:rFonts w:asciiTheme="majorHAnsi" w:eastAsia="Times New Roman" w:hAnsiTheme="majorHAnsi" w:cstheme="majorHAnsi"/>
                <w:noProof/>
                <w:color w:val="000000"/>
                <w:sz w:val="20"/>
                <w:szCs w:val="20"/>
              </w:rPr>
              <w:t xml:space="preserve"> și/sau penal</w:t>
            </w:r>
            <w:r w:rsidR="000B1D8A" w:rsidRPr="003F4D72">
              <w:rPr>
                <w:rFonts w:asciiTheme="majorHAnsi" w:eastAsia="Times New Roman" w:hAnsiTheme="majorHAnsi" w:cstheme="majorHAnsi"/>
                <w:noProof/>
                <w:color w:val="000000"/>
                <w:sz w:val="20"/>
                <w:szCs w:val="20"/>
              </w:rPr>
              <w:t>ă</w:t>
            </w:r>
          </w:p>
        </w:tc>
        <w:tc>
          <w:tcPr>
            <w:tcW w:w="650" w:type="pct"/>
            <w:hideMark/>
          </w:tcPr>
          <w:p w14:paraId="4C32D23D" w14:textId="77777777" w:rsidR="001E351D" w:rsidRPr="003F4D72" w:rsidRDefault="001E351D" w:rsidP="003655E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noProof/>
                <w:color w:val="000000"/>
                <w:sz w:val="20"/>
                <w:szCs w:val="20"/>
              </w:rPr>
            </w:pPr>
            <w:r w:rsidRPr="003F4D72">
              <w:rPr>
                <w:rFonts w:asciiTheme="majorHAnsi" w:eastAsia="Times New Roman" w:hAnsiTheme="majorHAnsi" w:cstheme="majorHAnsi"/>
                <w:noProof/>
                <w:color w:val="000000"/>
                <w:sz w:val="20"/>
                <w:szCs w:val="20"/>
              </w:rPr>
              <w:t>Suma primelor AOAM în sumă fixă înaintate în instanțele judecătorești</w:t>
            </w:r>
          </w:p>
        </w:tc>
      </w:tr>
      <w:tr w:rsidR="001E351D" w:rsidRPr="003F4D72" w14:paraId="78874AD1"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370" w:type="pct"/>
            <w:hideMark/>
          </w:tcPr>
          <w:p w14:paraId="3C7B3C00" w14:textId="77777777" w:rsidR="001E351D" w:rsidRPr="003F4D72" w:rsidRDefault="001E351D" w:rsidP="003655E8">
            <w:pPr>
              <w:jc w:val="center"/>
              <w:rPr>
                <w:rFonts w:asciiTheme="majorHAnsi" w:eastAsia="Times New Roman" w:hAnsiTheme="majorHAnsi" w:cstheme="majorHAnsi"/>
                <w:i/>
                <w:iCs/>
                <w:noProof/>
                <w:color w:val="000000"/>
                <w:sz w:val="20"/>
                <w:szCs w:val="16"/>
              </w:rPr>
            </w:pPr>
            <w:r w:rsidRPr="003F4D72">
              <w:rPr>
                <w:rFonts w:asciiTheme="majorHAnsi" w:eastAsia="Times New Roman" w:hAnsiTheme="majorHAnsi" w:cstheme="majorHAnsi"/>
                <w:i/>
                <w:iCs/>
                <w:noProof/>
                <w:color w:val="000000"/>
                <w:sz w:val="20"/>
                <w:szCs w:val="16"/>
              </w:rPr>
              <w:t>Aprilie</w:t>
            </w:r>
          </w:p>
          <w:p w14:paraId="5EB9A2D7" w14:textId="77777777" w:rsidR="001E351D" w:rsidRPr="003F4D72" w:rsidRDefault="001E351D" w:rsidP="003655E8">
            <w:pPr>
              <w:jc w:val="center"/>
              <w:rPr>
                <w:rFonts w:asciiTheme="majorHAnsi" w:eastAsia="Times New Roman" w:hAnsiTheme="majorHAnsi" w:cstheme="majorHAnsi"/>
                <w:i/>
                <w:iCs/>
                <w:noProof/>
                <w:color w:val="000000"/>
                <w:sz w:val="20"/>
                <w:szCs w:val="16"/>
              </w:rPr>
            </w:pPr>
            <w:r w:rsidRPr="003F4D72">
              <w:rPr>
                <w:rFonts w:asciiTheme="majorHAnsi" w:eastAsia="Times New Roman" w:hAnsiTheme="majorHAnsi" w:cstheme="majorHAnsi"/>
                <w:i/>
                <w:iCs/>
                <w:noProof/>
                <w:color w:val="000000"/>
                <w:sz w:val="20"/>
                <w:szCs w:val="16"/>
              </w:rPr>
              <w:t>2020</w:t>
            </w:r>
          </w:p>
        </w:tc>
        <w:tc>
          <w:tcPr>
            <w:tcW w:w="637" w:type="pct"/>
            <w:hideMark/>
          </w:tcPr>
          <w:p w14:paraId="12A8FFF4"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32621</w:t>
            </w:r>
          </w:p>
        </w:tc>
        <w:tc>
          <w:tcPr>
            <w:tcW w:w="726" w:type="pct"/>
            <w:hideMark/>
          </w:tcPr>
          <w:p w14:paraId="786FF20E"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3074</w:t>
            </w:r>
          </w:p>
        </w:tc>
        <w:tc>
          <w:tcPr>
            <w:tcW w:w="627" w:type="pct"/>
            <w:hideMark/>
          </w:tcPr>
          <w:p w14:paraId="79A5E8AF"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12 468,1</w:t>
            </w:r>
          </w:p>
        </w:tc>
        <w:tc>
          <w:tcPr>
            <w:tcW w:w="604" w:type="pct"/>
            <w:vMerge w:val="restart"/>
            <w:hideMark/>
          </w:tcPr>
          <w:p w14:paraId="6CDC8D77"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17614</w:t>
            </w:r>
          </w:p>
        </w:tc>
        <w:tc>
          <w:tcPr>
            <w:tcW w:w="627" w:type="pct"/>
            <w:vMerge w:val="restart"/>
            <w:hideMark/>
          </w:tcPr>
          <w:p w14:paraId="642BECDD"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71 442,4</w:t>
            </w:r>
          </w:p>
        </w:tc>
        <w:tc>
          <w:tcPr>
            <w:tcW w:w="758" w:type="pct"/>
            <w:hideMark/>
          </w:tcPr>
          <w:p w14:paraId="042AC403"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noProof/>
                <w:color w:val="000000"/>
                <w:sz w:val="20"/>
                <w:szCs w:val="16"/>
              </w:rPr>
            </w:pPr>
            <w:r w:rsidRPr="003F4D72">
              <w:rPr>
                <w:rFonts w:asciiTheme="majorHAnsi" w:eastAsia="Times New Roman" w:hAnsiTheme="majorHAnsi" w:cstheme="majorHAnsi"/>
                <w:b/>
                <w:bCs/>
                <w:iCs/>
                <w:noProof/>
                <w:color w:val="000000"/>
                <w:sz w:val="20"/>
                <w:szCs w:val="16"/>
              </w:rPr>
              <w:t>0</w:t>
            </w:r>
          </w:p>
        </w:tc>
        <w:tc>
          <w:tcPr>
            <w:tcW w:w="650" w:type="pct"/>
            <w:hideMark/>
          </w:tcPr>
          <w:p w14:paraId="77AE65E0"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noProof/>
                <w:color w:val="000000"/>
                <w:sz w:val="20"/>
                <w:szCs w:val="16"/>
              </w:rPr>
            </w:pPr>
            <w:r w:rsidRPr="003F4D72">
              <w:rPr>
                <w:rFonts w:asciiTheme="majorHAnsi" w:eastAsia="Times New Roman" w:hAnsiTheme="majorHAnsi" w:cstheme="majorHAnsi"/>
                <w:b/>
                <w:bCs/>
                <w:iCs/>
                <w:noProof/>
                <w:color w:val="000000"/>
                <w:sz w:val="20"/>
                <w:szCs w:val="16"/>
              </w:rPr>
              <w:t>0</w:t>
            </w:r>
          </w:p>
        </w:tc>
      </w:tr>
      <w:tr w:rsidR="001E351D" w:rsidRPr="003F4D72" w14:paraId="5E00E61C"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370" w:type="pct"/>
            <w:hideMark/>
          </w:tcPr>
          <w:p w14:paraId="794E2B49" w14:textId="77777777" w:rsidR="001E351D" w:rsidRPr="003F4D72" w:rsidRDefault="001E351D" w:rsidP="003655E8">
            <w:pPr>
              <w:rPr>
                <w:rFonts w:asciiTheme="majorHAnsi" w:eastAsia="Times New Roman" w:hAnsiTheme="majorHAnsi" w:cstheme="majorHAnsi"/>
                <w:i/>
                <w:iCs/>
                <w:noProof/>
                <w:color w:val="000000"/>
                <w:sz w:val="20"/>
                <w:szCs w:val="16"/>
              </w:rPr>
            </w:pPr>
            <w:r w:rsidRPr="003F4D72">
              <w:rPr>
                <w:rFonts w:asciiTheme="majorHAnsi" w:eastAsia="Times New Roman" w:hAnsiTheme="majorHAnsi" w:cstheme="majorHAnsi"/>
                <w:i/>
                <w:iCs/>
                <w:noProof/>
                <w:color w:val="000000"/>
                <w:sz w:val="20"/>
                <w:szCs w:val="16"/>
              </w:rPr>
              <w:t>Mai 2020</w:t>
            </w:r>
          </w:p>
        </w:tc>
        <w:tc>
          <w:tcPr>
            <w:tcW w:w="637" w:type="pct"/>
            <w:hideMark/>
          </w:tcPr>
          <w:p w14:paraId="46DF76FF"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13833</w:t>
            </w:r>
          </w:p>
        </w:tc>
        <w:tc>
          <w:tcPr>
            <w:tcW w:w="726" w:type="pct"/>
            <w:hideMark/>
          </w:tcPr>
          <w:p w14:paraId="05E4E8A3"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631</w:t>
            </w:r>
          </w:p>
        </w:tc>
        <w:tc>
          <w:tcPr>
            <w:tcW w:w="627" w:type="pct"/>
            <w:hideMark/>
          </w:tcPr>
          <w:p w14:paraId="39BD5A15"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r w:rsidRPr="003F4D72">
              <w:rPr>
                <w:rFonts w:asciiTheme="majorHAnsi" w:eastAsia="Times New Roman" w:hAnsiTheme="majorHAnsi" w:cstheme="majorHAnsi"/>
                <w:noProof/>
                <w:color w:val="000000"/>
                <w:sz w:val="20"/>
                <w:szCs w:val="16"/>
              </w:rPr>
              <w:t>2 559,3</w:t>
            </w:r>
          </w:p>
        </w:tc>
        <w:tc>
          <w:tcPr>
            <w:tcW w:w="604" w:type="pct"/>
            <w:vMerge/>
            <w:hideMark/>
          </w:tcPr>
          <w:p w14:paraId="30359931"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p>
        </w:tc>
        <w:tc>
          <w:tcPr>
            <w:tcW w:w="627" w:type="pct"/>
            <w:vMerge/>
            <w:hideMark/>
          </w:tcPr>
          <w:p w14:paraId="1342C42C"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000000"/>
                <w:sz w:val="20"/>
                <w:szCs w:val="16"/>
              </w:rPr>
            </w:pPr>
          </w:p>
        </w:tc>
        <w:tc>
          <w:tcPr>
            <w:tcW w:w="758" w:type="pct"/>
            <w:hideMark/>
          </w:tcPr>
          <w:p w14:paraId="036C7786"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noProof/>
                <w:color w:val="000000"/>
                <w:sz w:val="20"/>
                <w:szCs w:val="16"/>
              </w:rPr>
            </w:pPr>
            <w:r w:rsidRPr="003F4D72">
              <w:rPr>
                <w:rFonts w:asciiTheme="majorHAnsi" w:eastAsia="Times New Roman" w:hAnsiTheme="majorHAnsi" w:cstheme="majorHAnsi"/>
                <w:b/>
                <w:bCs/>
                <w:iCs/>
                <w:noProof/>
                <w:color w:val="000000"/>
                <w:sz w:val="20"/>
                <w:szCs w:val="16"/>
              </w:rPr>
              <w:t>0</w:t>
            </w:r>
          </w:p>
        </w:tc>
        <w:tc>
          <w:tcPr>
            <w:tcW w:w="650" w:type="pct"/>
            <w:hideMark/>
          </w:tcPr>
          <w:p w14:paraId="7331F13F"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noProof/>
                <w:color w:val="000000"/>
                <w:sz w:val="20"/>
                <w:szCs w:val="16"/>
              </w:rPr>
            </w:pPr>
            <w:r w:rsidRPr="003F4D72">
              <w:rPr>
                <w:rFonts w:asciiTheme="majorHAnsi" w:eastAsia="Times New Roman" w:hAnsiTheme="majorHAnsi" w:cstheme="majorHAnsi"/>
                <w:b/>
                <w:bCs/>
                <w:iCs/>
                <w:noProof/>
                <w:color w:val="000000"/>
                <w:sz w:val="20"/>
                <w:szCs w:val="16"/>
              </w:rPr>
              <w:t>0</w:t>
            </w:r>
          </w:p>
        </w:tc>
      </w:tr>
      <w:tr w:rsidR="001E351D" w:rsidRPr="003F4D72" w14:paraId="0FA46B85" w14:textId="77777777" w:rsidTr="003655E8">
        <w:trPr>
          <w:trHeight w:val="20"/>
        </w:trPr>
        <w:tc>
          <w:tcPr>
            <w:cnfStyle w:val="001000000000" w:firstRow="0" w:lastRow="0" w:firstColumn="1" w:lastColumn="0" w:oddVBand="0" w:evenVBand="0" w:oddHBand="0" w:evenHBand="0" w:firstRowFirstColumn="0" w:firstRowLastColumn="0" w:lastRowFirstColumn="0" w:lastRowLastColumn="0"/>
            <w:tcW w:w="370" w:type="pct"/>
            <w:hideMark/>
          </w:tcPr>
          <w:p w14:paraId="6388B37C" w14:textId="77777777" w:rsidR="001E351D" w:rsidRPr="003F4D72" w:rsidRDefault="001E351D" w:rsidP="003655E8">
            <w:pPr>
              <w:jc w:val="center"/>
              <w:rPr>
                <w:rFonts w:asciiTheme="majorHAnsi" w:eastAsia="Times New Roman" w:hAnsiTheme="majorHAnsi" w:cstheme="majorHAnsi"/>
                <w:b w:val="0"/>
                <w:bCs w:val="0"/>
                <w:noProof/>
                <w:color w:val="000000"/>
                <w:sz w:val="20"/>
                <w:szCs w:val="16"/>
              </w:rPr>
            </w:pPr>
            <w:r w:rsidRPr="003F4D72">
              <w:rPr>
                <w:rFonts w:asciiTheme="majorHAnsi" w:eastAsia="Times New Roman" w:hAnsiTheme="majorHAnsi" w:cstheme="majorHAnsi"/>
                <w:noProof/>
                <w:color w:val="000000"/>
                <w:sz w:val="20"/>
                <w:szCs w:val="16"/>
              </w:rPr>
              <w:t>Total:</w:t>
            </w:r>
          </w:p>
        </w:tc>
        <w:tc>
          <w:tcPr>
            <w:tcW w:w="637" w:type="pct"/>
            <w:hideMark/>
          </w:tcPr>
          <w:p w14:paraId="0E5A8ACB"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20"/>
                <w:szCs w:val="16"/>
              </w:rPr>
            </w:pPr>
            <w:r w:rsidRPr="003F4D72">
              <w:rPr>
                <w:rFonts w:asciiTheme="majorHAnsi" w:eastAsia="Times New Roman" w:hAnsiTheme="majorHAnsi" w:cstheme="majorHAnsi"/>
                <w:b/>
                <w:bCs/>
                <w:noProof/>
                <w:color w:val="000000"/>
                <w:sz w:val="20"/>
                <w:szCs w:val="16"/>
              </w:rPr>
              <w:t>46454</w:t>
            </w:r>
          </w:p>
        </w:tc>
        <w:tc>
          <w:tcPr>
            <w:tcW w:w="726" w:type="pct"/>
            <w:hideMark/>
          </w:tcPr>
          <w:p w14:paraId="428B530E"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20"/>
                <w:szCs w:val="16"/>
              </w:rPr>
            </w:pPr>
            <w:r w:rsidRPr="003F4D72">
              <w:rPr>
                <w:rFonts w:asciiTheme="majorHAnsi" w:eastAsia="Times New Roman" w:hAnsiTheme="majorHAnsi" w:cstheme="majorHAnsi"/>
                <w:b/>
                <w:bCs/>
                <w:noProof/>
                <w:color w:val="000000"/>
                <w:sz w:val="20"/>
                <w:szCs w:val="16"/>
              </w:rPr>
              <w:t>3705</w:t>
            </w:r>
          </w:p>
        </w:tc>
        <w:tc>
          <w:tcPr>
            <w:tcW w:w="627" w:type="pct"/>
            <w:hideMark/>
          </w:tcPr>
          <w:p w14:paraId="75FE1A99"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20"/>
                <w:szCs w:val="16"/>
              </w:rPr>
            </w:pPr>
            <w:r w:rsidRPr="003F4D72">
              <w:rPr>
                <w:rFonts w:asciiTheme="majorHAnsi" w:eastAsia="Times New Roman" w:hAnsiTheme="majorHAnsi" w:cstheme="majorHAnsi"/>
                <w:b/>
                <w:bCs/>
                <w:noProof/>
                <w:color w:val="000000"/>
                <w:sz w:val="20"/>
                <w:szCs w:val="16"/>
              </w:rPr>
              <w:t>15 027,5</w:t>
            </w:r>
          </w:p>
        </w:tc>
        <w:tc>
          <w:tcPr>
            <w:tcW w:w="604" w:type="pct"/>
            <w:hideMark/>
          </w:tcPr>
          <w:p w14:paraId="304F499B"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20"/>
                <w:szCs w:val="16"/>
              </w:rPr>
            </w:pPr>
            <w:r w:rsidRPr="003F4D72">
              <w:rPr>
                <w:rFonts w:asciiTheme="majorHAnsi" w:eastAsia="Times New Roman" w:hAnsiTheme="majorHAnsi" w:cstheme="majorHAnsi"/>
                <w:b/>
                <w:bCs/>
                <w:noProof/>
                <w:color w:val="000000"/>
                <w:sz w:val="20"/>
                <w:szCs w:val="16"/>
              </w:rPr>
              <w:t>17614</w:t>
            </w:r>
          </w:p>
        </w:tc>
        <w:tc>
          <w:tcPr>
            <w:tcW w:w="627" w:type="pct"/>
            <w:hideMark/>
          </w:tcPr>
          <w:p w14:paraId="6CC79A0B"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noProof/>
                <w:color w:val="000000"/>
                <w:sz w:val="20"/>
                <w:szCs w:val="16"/>
              </w:rPr>
            </w:pPr>
            <w:r w:rsidRPr="003F4D72">
              <w:rPr>
                <w:rFonts w:asciiTheme="majorHAnsi" w:eastAsia="Times New Roman" w:hAnsiTheme="majorHAnsi" w:cstheme="majorHAnsi"/>
                <w:b/>
                <w:bCs/>
                <w:noProof/>
                <w:color w:val="000000"/>
                <w:sz w:val="20"/>
                <w:szCs w:val="16"/>
              </w:rPr>
              <w:t>71 442,4</w:t>
            </w:r>
          </w:p>
        </w:tc>
        <w:tc>
          <w:tcPr>
            <w:tcW w:w="758" w:type="pct"/>
            <w:hideMark/>
          </w:tcPr>
          <w:p w14:paraId="406D96ED"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noProof/>
                <w:color w:val="000000"/>
                <w:sz w:val="20"/>
                <w:szCs w:val="16"/>
              </w:rPr>
            </w:pPr>
            <w:r w:rsidRPr="003F4D72">
              <w:rPr>
                <w:rFonts w:asciiTheme="majorHAnsi" w:eastAsia="Times New Roman" w:hAnsiTheme="majorHAnsi" w:cstheme="majorHAnsi"/>
                <w:b/>
                <w:bCs/>
                <w:i/>
                <w:iCs/>
                <w:noProof/>
                <w:color w:val="000000"/>
                <w:sz w:val="20"/>
                <w:szCs w:val="16"/>
              </w:rPr>
              <w:t>-</w:t>
            </w:r>
          </w:p>
        </w:tc>
        <w:tc>
          <w:tcPr>
            <w:tcW w:w="650" w:type="pct"/>
            <w:hideMark/>
          </w:tcPr>
          <w:p w14:paraId="4743D08C" w14:textId="77777777" w:rsidR="001E351D" w:rsidRPr="003F4D72" w:rsidRDefault="001E351D" w:rsidP="003655E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noProof/>
                <w:color w:val="000000"/>
                <w:sz w:val="20"/>
                <w:szCs w:val="16"/>
              </w:rPr>
            </w:pPr>
            <w:r w:rsidRPr="003F4D72">
              <w:rPr>
                <w:rFonts w:asciiTheme="majorHAnsi" w:eastAsia="Times New Roman" w:hAnsiTheme="majorHAnsi" w:cstheme="majorHAnsi"/>
                <w:b/>
                <w:bCs/>
                <w:i/>
                <w:iCs/>
                <w:noProof/>
                <w:color w:val="000000"/>
                <w:sz w:val="20"/>
                <w:szCs w:val="16"/>
              </w:rPr>
              <w:t>-</w:t>
            </w:r>
          </w:p>
        </w:tc>
      </w:tr>
    </w:tbl>
    <w:p w14:paraId="31BD8CEF" w14:textId="13DB2DC9" w:rsidR="001E351D" w:rsidRPr="003F4D72" w:rsidRDefault="001E351D" w:rsidP="001E351D">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Sursa:</w:t>
      </w:r>
      <w:r w:rsidRPr="003F4D72">
        <w:rPr>
          <w:rFonts w:asciiTheme="majorHAnsi" w:eastAsia="Times New Roman" w:hAnsiTheme="majorHAnsi" w:cstheme="majorHAnsi"/>
          <w:i/>
          <w:noProof/>
          <w:sz w:val="20"/>
          <w:szCs w:val="20"/>
          <w:lang w:eastAsia="ru-RU"/>
        </w:rPr>
        <w:t xml:space="preserve"> Date prezentate de CNAM</w:t>
      </w:r>
      <w:r w:rsidR="000B1D8A" w:rsidRPr="003F4D72">
        <w:rPr>
          <w:rFonts w:asciiTheme="majorHAnsi" w:eastAsia="Times New Roman" w:hAnsiTheme="majorHAnsi" w:cstheme="majorHAnsi"/>
          <w:i/>
          <w:noProof/>
          <w:sz w:val="20"/>
          <w:szCs w:val="20"/>
          <w:lang w:eastAsia="ru-RU"/>
        </w:rPr>
        <w:t>.</w:t>
      </w:r>
    </w:p>
    <w:p w14:paraId="4FD46877" w14:textId="2F4E002F" w:rsidR="001E351D" w:rsidRPr="003F4D72" w:rsidRDefault="001E351D" w:rsidP="001E351D">
      <w:pPr>
        <w:tabs>
          <w:tab w:val="left" w:pos="709"/>
        </w:tabs>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noProof/>
          <w:sz w:val="24"/>
          <w:szCs w:val="24"/>
          <w:lang w:eastAsia="ru-RU"/>
        </w:rPr>
        <w:t>Astfel, din totalul persoanelor care au traversat frontiera de stat pe cale aeriană</w:t>
      </w:r>
      <w:r w:rsidR="000B1D8A" w:rsidRPr="003F4D72">
        <w:rPr>
          <w:rFonts w:asciiTheme="majorHAnsi" w:hAnsiTheme="majorHAnsi" w:cstheme="majorHAnsi"/>
          <w:noProof/>
          <w:sz w:val="24"/>
          <w:szCs w:val="24"/>
          <w:lang w:eastAsia="ru-RU"/>
        </w:rPr>
        <w:t>,</w:t>
      </w:r>
      <w:r w:rsidRPr="003F4D72">
        <w:rPr>
          <w:rFonts w:asciiTheme="majorHAnsi" w:hAnsiTheme="majorHAnsi" w:cstheme="majorHAnsi"/>
          <w:noProof/>
          <w:sz w:val="24"/>
          <w:szCs w:val="24"/>
          <w:lang w:eastAsia="ru-RU"/>
        </w:rPr>
        <w:t xml:space="preserve"> doar 3 705 au achitat prima AOAM în sumă fixă în cuantum de 15 027,5 mii lei. Alte 17 614 persoane</w:t>
      </w:r>
      <w:r w:rsidR="000B1D8A" w:rsidRPr="003F4D72">
        <w:rPr>
          <w:rFonts w:asciiTheme="majorHAnsi" w:hAnsiTheme="majorHAnsi" w:cstheme="majorHAnsi"/>
          <w:noProof/>
          <w:sz w:val="24"/>
          <w:szCs w:val="24"/>
          <w:lang w:eastAsia="ru-RU"/>
        </w:rPr>
        <w:t>,</w:t>
      </w:r>
      <w:r w:rsidRPr="003F4D72">
        <w:rPr>
          <w:rFonts w:asciiTheme="majorHAnsi" w:hAnsiTheme="majorHAnsi" w:cstheme="majorHAnsi"/>
          <w:noProof/>
          <w:sz w:val="24"/>
          <w:szCs w:val="24"/>
          <w:lang w:eastAsia="ru-RU"/>
        </w:rPr>
        <w:t xml:space="preserve"> deși au completat Declarațiile pe propria răspundere privind obligația achitării primei de asigurare obligatorie de asistență medicală, </w:t>
      </w:r>
      <w:r w:rsidRPr="003F4D72">
        <w:rPr>
          <w:rFonts w:asciiTheme="majorHAnsi" w:hAnsiTheme="majorHAnsi" w:cstheme="majorHAnsi"/>
          <w:sz w:val="24"/>
          <w:szCs w:val="24"/>
        </w:rPr>
        <w:t xml:space="preserve">nu </w:t>
      </w:r>
      <w:r w:rsidR="000B1D8A" w:rsidRPr="003F4D72">
        <w:rPr>
          <w:rFonts w:asciiTheme="majorHAnsi" w:hAnsiTheme="majorHAnsi" w:cstheme="majorHAnsi"/>
          <w:sz w:val="24"/>
          <w:szCs w:val="24"/>
        </w:rPr>
        <w:t>și-</w:t>
      </w:r>
      <w:r w:rsidRPr="003F4D72">
        <w:rPr>
          <w:rFonts w:asciiTheme="majorHAnsi" w:hAnsiTheme="majorHAnsi" w:cstheme="majorHAnsi"/>
          <w:sz w:val="24"/>
          <w:szCs w:val="24"/>
        </w:rPr>
        <w:t xml:space="preserve">au </w:t>
      </w:r>
      <w:r w:rsidR="000B1D8A" w:rsidRPr="003F4D72">
        <w:rPr>
          <w:rFonts w:asciiTheme="majorHAnsi" w:hAnsiTheme="majorHAnsi" w:cstheme="majorHAnsi"/>
          <w:sz w:val="24"/>
          <w:szCs w:val="24"/>
        </w:rPr>
        <w:t>onorat această răspundere</w:t>
      </w:r>
      <w:r w:rsidRPr="003F4D72">
        <w:rPr>
          <w:rFonts w:asciiTheme="majorHAnsi" w:hAnsiTheme="majorHAnsi" w:cstheme="majorHAnsi"/>
          <w:sz w:val="24"/>
          <w:szCs w:val="24"/>
        </w:rPr>
        <w:t>, suma veniturilor neîncasate în FAOAM a constituit 71 442,4 mii lei. În</w:t>
      </w:r>
      <w:r w:rsidRPr="003F4D72">
        <w:rPr>
          <w:rFonts w:ascii="Calibri Light" w:eastAsia="Times New Roman" w:hAnsi="Calibri Light" w:cs="Calibri Light"/>
          <w:sz w:val="24"/>
          <w:szCs w:val="26"/>
          <w:lang w:eastAsia="ru-RU"/>
        </w:rPr>
        <w:t xml:space="preserve"> 3</w:t>
      </w:r>
      <w:r w:rsidR="00971216" w:rsidRPr="003F4D72">
        <w:rPr>
          <w:rFonts w:ascii="Calibri Light" w:eastAsia="Times New Roman" w:hAnsi="Calibri Light" w:cs="Calibri Light"/>
          <w:sz w:val="24"/>
          <w:szCs w:val="26"/>
          <w:lang w:eastAsia="ru-RU"/>
        </w:rPr>
        <w:t xml:space="preserve"> </w:t>
      </w:r>
      <w:r w:rsidRPr="003F4D72">
        <w:rPr>
          <w:rFonts w:ascii="Calibri Light" w:eastAsia="Times New Roman" w:hAnsi="Calibri Light" w:cs="Calibri Light"/>
          <w:sz w:val="24"/>
          <w:szCs w:val="26"/>
          <w:lang w:eastAsia="ru-RU"/>
        </w:rPr>
        <w:t>124 de cazuri</w:t>
      </w:r>
      <w:r w:rsidR="003C217A" w:rsidRPr="003F4D72">
        <w:rPr>
          <w:rFonts w:ascii="Calibri Light" w:eastAsia="Times New Roman" w:hAnsi="Calibri Light" w:cs="Calibri Light"/>
          <w:sz w:val="24"/>
          <w:szCs w:val="26"/>
          <w:lang w:eastAsia="ru-RU"/>
        </w:rPr>
        <w:t>,</w:t>
      </w:r>
      <w:r w:rsidRPr="003F4D72">
        <w:rPr>
          <w:rFonts w:ascii="Calibri Light" w:eastAsia="Times New Roman" w:hAnsi="Calibri Light" w:cs="Calibri Light"/>
          <w:sz w:val="24"/>
          <w:szCs w:val="26"/>
          <w:lang w:eastAsia="ru-RU"/>
        </w:rPr>
        <w:t xml:space="preserve"> declarațiile au fost completate neconform, cu erori care nu dispun de date necesare pentru identificarea persoanelor, deși </w:t>
      </w:r>
      <w:r w:rsidRPr="003F4D72">
        <w:rPr>
          <w:rFonts w:ascii="Calibri Light" w:eastAsia="Times New Roman" w:hAnsi="Calibri Light" w:cs="Calibri Light"/>
          <w:sz w:val="24"/>
          <w:szCs w:val="24"/>
          <w:lang w:eastAsia="ru-RU"/>
        </w:rPr>
        <w:lastRenderedPageBreak/>
        <w:t>Inspectoratul General al Poliției de Frontieră a fost responsabil de verificarea completării veridice a declarațiilor</w:t>
      </w:r>
      <w:r w:rsidRPr="003F4D72">
        <w:rPr>
          <w:rStyle w:val="FootnoteReference"/>
          <w:rFonts w:ascii="Calibri Light" w:eastAsia="Times New Roman" w:hAnsi="Calibri Light" w:cs="Calibri Light"/>
          <w:sz w:val="24"/>
          <w:szCs w:val="24"/>
          <w:lang w:eastAsia="ru-RU"/>
        </w:rPr>
        <w:footnoteReference w:id="36"/>
      </w:r>
      <w:r w:rsidRPr="003F4D72">
        <w:rPr>
          <w:rFonts w:ascii="Calibri Light" w:eastAsia="Times New Roman" w:hAnsi="Calibri Light" w:cs="Calibri Light"/>
          <w:sz w:val="24"/>
          <w:szCs w:val="24"/>
          <w:lang w:eastAsia="ru-RU"/>
        </w:rPr>
        <w:t xml:space="preserve">. </w:t>
      </w:r>
    </w:p>
    <w:p w14:paraId="3CFCE7DD" w14:textId="1D2F9153" w:rsidR="00C22B19" w:rsidRPr="003F4D72" w:rsidRDefault="001E351D" w:rsidP="001E351D">
      <w:pPr>
        <w:pStyle w:val="Style5"/>
        <w:tabs>
          <w:tab w:val="left" w:pos="993"/>
        </w:tabs>
        <w:spacing w:line="276" w:lineRule="auto"/>
        <w:ind w:firstLine="567"/>
        <w:jc w:val="both"/>
        <w:rPr>
          <w:rFonts w:ascii="Calibri Light" w:hAnsi="Calibri Light" w:cs="Calibri Light"/>
          <w:szCs w:val="26"/>
          <w:lang w:val="ro-MD"/>
        </w:rPr>
      </w:pPr>
      <w:r w:rsidRPr="003F4D72">
        <w:rPr>
          <w:rFonts w:ascii="Calibri Light" w:hAnsi="Calibri Light" w:cs="Calibri Light"/>
          <w:szCs w:val="26"/>
          <w:lang w:val="ro-MD"/>
        </w:rPr>
        <w:t xml:space="preserve">În anul 2020 au fost prestate și achitate 49 565 </w:t>
      </w:r>
      <w:r w:rsidR="003C217A" w:rsidRPr="003F4D72">
        <w:rPr>
          <w:rFonts w:ascii="Calibri Light" w:hAnsi="Calibri Light" w:cs="Calibri Light"/>
          <w:szCs w:val="26"/>
          <w:lang w:val="ro-MD"/>
        </w:rPr>
        <w:t xml:space="preserve">de </w:t>
      </w:r>
      <w:r w:rsidRPr="003F4D72">
        <w:rPr>
          <w:rFonts w:ascii="Calibri Light" w:hAnsi="Calibri Light" w:cs="Calibri Light"/>
          <w:szCs w:val="26"/>
          <w:lang w:val="ro-MD"/>
        </w:rPr>
        <w:t>cazuri tratate spitalicești pentru pacienții infectați cu Covid-19,</w:t>
      </w:r>
      <w:r w:rsidR="00815A71" w:rsidRPr="003F4D72">
        <w:rPr>
          <w:rFonts w:ascii="Calibri Light" w:hAnsi="Calibri Light" w:cs="Calibri Light"/>
          <w:szCs w:val="26"/>
          <w:lang w:val="ro-MD"/>
        </w:rPr>
        <w:t xml:space="preserve"> </w:t>
      </w:r>
      <w:r w:rsidR="00C22B19" w:rsidRPr="003F4D72">
        <w:rPr>
          <w:rFonts w:ascii="Calibri Light" w:hAnsi="Calibri Light" w:cs="Calibri Light"/>
          <w:szCs w:val="26"/>
          <w:lang w:val="ro-MD"/>
        </w:rPr>
        <w:t>în sumă estimativă de 25 427,2 mii lei. D</w:t>
      </w:r>
      <w:r w:rsidRPr="003F4D72">
        <w:rPr>
          <w:rFonts w:ascii="Calibri Light" w:hAnsi="Calibri Light" w:cs="Calibri Light"/>
          <w:szCs w:val="26"/>
          <w:lang w:val="ro-MD"/>
        </w:rPr>
        <w:t xml:space="preserve">intre </w:t>
      </w:r>
      <w:r w:rsidR="00C22B19" w:rsidRPr="003F4D72">
        <w:rPr>
          <w:rFonts w:ascii="Calibri Light" w:hAnsi="Calibri Light" w:cs="Calibri Light"/>
          <w:szCs w:val="26"/>
          <w:lang w:val="ro-MD"/>
        </w:rPr>
        <w:t>acestea</w:t>
      </w:r>
      <w:r w:rsidR="003C217A" w:rsidRPr="003F4D72">
        <w:rPr>
          <w:rFonts w:ascii="Calibri Light" w:hAnsi="Calibri Light" w:cs="Calibri Light"/>
          <w:szCs w:val="26"/>
          <w:lang w:val="ro-MD"/>
        </w:rPr>
        <w:t>,</w:t>
      </w:r>
      <w:r w:rsidR="00C22B19" w:rsidRPr="003F4D72">
        <w:rPr>
          <w:rFonts w:ascii="Calibri Light" w:hAnsi="Calibri Light" w:cs="Calibri Light"/>
          <w:szCs w:val="26"/>
          <w:lang w:val="ro-MD"/>
        </w:rPr>
        <w:t xml:space="preserve"> </w:t>
      </w:r>
      <w:r w:rsidRPr="003F4D72">
        <w:rPr>
          <w:rFonts w:ascii="Calibri Light" w:hAnsi="Calibri Light" w:cs="Calibri Light"/>
          <w:szCs w:val="26"/>
          <w:lang w:val="ro-MD"/>
        </w:rPr>
        <w:t>au fost spitalizate și tratate 3</w:t>
      </w:r>
      <w:r w:rsidR="00971216" w:rsidRPr="003F4D72">
        <w:rPr>
          <w:rFonts w:ascii="Calibri Light" w:hAnsi="Calibri Light" w:cs="Calibri Light"/>
          <w:szCs w:val="26"/>
          <w:lang w:val="ro-MD"/>
        </w:rPr>
        <w:t xml:space="preserve"> </w:t>
      </w:r>
      <w:r w:rsidRPr="003F4D72">
        <w:rPr>
          <w:rFonts w:ascii="Calibri Light" w:hAnsi="Calibri Light" w:cs="Calibri Light"/>
          <w:szCs w:val="26"/>
          <w:lang w:val="ro-MD"/>
        </w:rPr>
        <w:t xml:space="preserve">000 de persoane neasigurate. </w:t>
      </w:r>
    </w:p>
    <w:p w14:paraId="5E6E7681" w14:textId="2B9FEA48" w:rsidR="00C22B19" w:rsidRPr="003F4D72" w:rsidRDefault="00AA4C96" w:rsidP="00C22B19">
      <w:pPr>
        <w:pStyle w:val="Style5"/>
        <w:tabs>
          <w:tab w:val="left" w:pos="993"/>
        </w:tabs>
        <w:spacing w:line="276" w:lineRule="auto"/>
        <w:ind w:firstLine="567"/>
        <w:jc w:val="both"/>
        <w:rPr>
          <w:rFonts w:ascii="Calibri Light" w:hAnsi="Calibri Light" w:cs="Calibri Light"/>
          <w:szCs w:val="26"/>
          <w:lang w:val="ro-MD"/>
        </w:rPr>
      </w:pPr>
      <w:r w:rsidRPr="003F4D72">
        <w:rPr>
          <w:rFonts w:ascii="Calibri Light" w:hAnsi="Calibri Light" w:cs="Calibri Light"/>
          <w:szCs w:val="26"/>
          <w:lang w:val="ro-MD"/>
        </w:rPr>
        <w:t>Spre</w:t>
      </w:r>
      <w:r w:rsidR="001E351D" w:rsidRPr="003F4D72">
        <w:rPr>
          <w:rFonts w:ascii="Calibri Light" w:hAnsi="Calibri Light" w:cs="Calibri Light"/>
          <w:szCs w:val="26"/>
          <w:lang w:val="ro-MD"/>
        </w:rPr>
        <w:t xml:space="preserve"> </w:t>
      </w:r>
      <w:r w:rsidRPr="003F4D72">
        <w:rPr>
          <w:rFonts w:ascii="Calibri Light" w:hAnsi="Calibri Light" w:cs="Calibri Light"/>
          <w:szCs w:val="26"/>
          <w:lang w:val="ro-MD"/>
        </w:rPr>
        <w:t>exemplu</w:t>
      </w:r>
      <w:r w:rsidR="0020769A" w:rsidRPr="003F4D72">
        <w:rPr>
          <w:rFonts w:ascii="Calibri Light" w:hAnsi="Calibri Light" w:cs="Calibri Light"/>
          <w:szCs w:val="26"/>
          <w:lang w:val="ro-MD"/>
        </w:rPr>
        <w:t>,</w:t>
      </w:r>
      <w:r w:rsidR="00E01250" w:rsidRPr="003F4D72">
        <w:rPr>
          <w:rFonts w:ascii="Calibri Light" w:hAnsi="Calibri Light" w:cs="Calibri Light"/>
          <w:szCs w:val="26"/>
          <w:lang w:val="ro-MD"/>
        </w:rPr>
        <w:t xml:space="preserve"> pentru</w:t>
      </w:r>
      <w:r w:rsidRPr="003F4D72">
        <w:rPr>
          <w:rFonts w:ascii="Calibri Light" w:hAnsi="Calibri Light" w:cs="Calibri Light"/>
          <w:szCs w:val="26"/>
          <w:lang w:val="ro-MD"/>
        </w:rPr>
        <w:t xml:space="preserve"> </w:t>
      </w:r>
      <w:r w:rsidR="001E351D" w:rsidRPr="003F4D72">
        <w:rPr>
          <w:rFonts w:ascii="Calibri Light" w:hAnsi="Calibri Light" w:cs="Calibri Light"/>
          <w:szCs w:val="26"/>
          <w:lang w:val="ro-MD"/>
        </w:rPr>
        <w:t xml:space="preserve">tratamentul </w:t>
      </w:r>
      <w:r w:rsidR="00C22B19" w:rsidRPr="003F4D72">
        <w:rPr>
          <w:rFonts w:ascii="Calibri Light" w:hAnsi="Calibri Light" w:cs="Calibri Light"/>
          <w:szCs w:val="26"/>
          <w:lang w:val="ro-MD"/>
        </w:rPr>
        <w:t>a 43 de persoane care nu au achitat prima AOAM în termen de 72 ore potrivit Declarației depuse</w:t>
      </w:r>
      <w:r w:rsidR="007235A6" w:rsidRPr="003F4D72">
        <w:rPr>
          <w:rFonts w:ascii="Calibri Light" w:hAnsi="Calibri Light" w:cs="Calibri Light"/>
          <w:szCs w:val="26"/>
          <w:lang w:val="ro-MD"/>
        </w:rPr>
        <w:t>,</w:t>
      </w:r>
      <w:r w:rsidR="001E351D" w:rsidRPr="003F4D72">
        <w:rPr>
          <w:rFonts w:ascii="Calibri Light" w:hAnsi="Calibri Light" w:cs="Calibri Light"/>
          <w:szCs w:val="26"/>
          <w:lang w:val="ro-MD"/>
        </w:rPr>
        <w:t xml:space="preserve"> din fondurile de asigurări au fost finanțate/acoperite cheltuielile în sumă estimativă </w:t>
      </w:r>
      <w:r w:rsidR="00C22B19" w:rsidRPr="003F4D72">
        <w:rPr>
          <w:rFonts w:ascii="Calibri Light" w:hAnsi="Calibri Light" w:cs="Calibri Light"/>
          <w:szCs w:val="26"/>
          <w:lang w:val="ro-MD"/>
        </w:rPr>
        <w:t>de 364,4 mii lei.</w:t>
      </w:r>
    </w:p>
    <w:p w14:paraId="7A119BC7" w14:textId="0708C88F" w:rsidR="001E351D" w:rsidRPr="003F4D72" w:rsidRDefault="00C22B19" w:rsidP="00C22B19">
      <w:pPr>
        <w:pStyle w:val="Style5"/>
        <w:tabs>
          <w:tab w:val="left" w:pos="993"/>
        </w:tabs>
        <w:spacing w:line="276" w:lineRule="auto"/>
        <w:ind w:firstLine="567"/>
        <w:jc w:val="both"/>
        <w:rPr>
          <w:rFonts w:ascii="Calibri Light" w:hAnsi="Calibri Light" w:cs="Calibri Light"/>
          <w:szCs w:val="26"/>
          <w:lang w:val="ro-MD"/>
        </w:rPr>
      </w:pPr>
      <w:r w:rsidRPr="003F4D72">
        <w:rPr>
          <w:rFonts w:ascii="Calibri Light" w:hAnsi="Calibri Light" w:cs="Calibri Light"/>
          <w:lang w:val="ro-MD"/>
        </w:rPr>
        <w:t>Totodată, o altă situație constatată se referă la faptul că</w:t>
      </w:r>
      <w:r w:rsidR="007235A6" w:rsidRPr="003F4D72">
        <w:rPr>
          <w:rFonts w:ascii="Calibri Light" w:hAnsi="Calibri Light" w:cs="Calibri Light"/>
          <w:lang w:val="ro-MD"/>
        </w:rPr>
        <w:t>,</w:t>
      </w:r>
      <w:r w:rsidRPr="003F4D72">
        <w:rPr>
          <w:rFonts w:ascii="Calibri Light" w:hAnsi="Calibri Light" w:cs="Calibri Light"/>
          <w:lang w:val="ro-MD"/>
        </w:rPr>
        <w:t xml:space="preserve"> în cazul a 157 de persoane care au intrat în țară și nu au achitat prima </w:t>
      </w:r>
      <w:r w:rsidRPr="003F4D72">
        <w:rPr>
          <w:rFonts w:asciiTheme="majorHAnsi" w:hAnsiTheme="majorHAnsi" w:cstheme="majorHAnsi"/>
          <w:noProof/>
          <w:lang w:val="ro-MD"/>
        </w:rPr>
        <w:t>AOAM în sumă fixă, au fost confirmate pozitiv de laborator cu Covid-19. Pentru tratamentul spitalicesc al acestor persoane</w:t>
      </w:r>
      <w:r w:rsidR="007235A6" w:rsidRPr="003F4D72">
        <w:rPr>
          <w:rFonts w:asciiTheme="majorHAnsi" w:hAnsiTheme="majorHAnsi" w:cstheme="majorHAnsi"/>
          <w:noProof/>
          <w:lang w:val="ro-MD"/>
        </w:rPr>
        <w:t>,</w:t>
      </w:r>
      <w:r w:rsidRPr="003F4D72">
        <w:rPr>
          <w:rFonts w:asciiTheme="majorHAnsi" w:hAnsiTheme="majorHAnsi" w:cstheme="majorHAnsi"/>
          <w:noProof/>
          <w:lang w:val="ro-MD"/>
        </w:rPr>
        <w:t xml:space="preserve"> cheltuielile posibile suportate din FAOAM ar fi constituit estimativ 1 330,6 mii lei.</w:t>
      </w:r>
    </w:p>
    <w:p w14:paraId="72ACF9C6" w14:textId="1D536401" w:rsidR="001E351D" w:rsidRPr="003F4D72" w:rsidRDefault="009D3C1B" w:rsidP="00A04221">
      <w:pPr>
        <w:tabs>
          <w:tab w:val="left" w:pos="709"/>
        </w:tabs>
        <w:spacing w:after="0" w:line="276" w:lineRule="auto"/>
        <w:ind w:firstLine="567"/>
        <w:jc w:val="both"/>
        <w:rPr>
          <w:rFonts w:ascii="Calibri Light" w:hAnsi="Calibri Light" w:cs="Calibri Light"/>
          <w:i/>
          <w:sz w:val="24"/>
          <w:szCs w:val="24"/>
          <w:shd w:val="clear" w:color="auto" w:fill="FFFFFF"/>
        </w:rPr>
      </w:pPr>
      <w:r w:rsidRPr="003F4D72">
        <w:rPr>
          <w:rFonts w:ascii="Calibri Light" w:hAnsi="Calibri Light" w:cs="Calibri Light"/>
          <w:sz w:val="24"/>
          <w:szCs w:val="24"/>
          <w:shd w:val="clear" w:color="auto" w:fill="FFFFFF"/>
        </w:rPr>
        <w:t>De</w:t>
      </w:r>
      <w:r w:rsidR="004D0395" w:rsidRPr="003F4D72">
        <w:rPr>
          <w:rFonts w:ascii="Calibri Light" w:hAnsi="Calibri Light" w:cs="Calibri Light"/>
          <w:sz w:val="24"/>
          <w:szCs w:val="24"/>
          <w:shd w:val="clear" w:color="auto" w:fill="FFFFFF"/>
        </w:rPr>
        <w:t xml:space="preserve"> menționat că CNAM</w:t>
      </w:r>
      <w:r w:rsidR="00956CF3" w:rsidRPr="003F4D72">
        <w:rPr>
          <w:rStyle w:val="FootnoteReference"/>
          <w:rFonts w:ascii="Calibri Light" w:hAnsi="Calibri Light" w:cs="Calibri Light"/>
          <w:sz w:val="24"/>
          <w:szCs w:val="24"/>
          <w:shd w:val="clear" w:color="auto" w:fill="FFFFFF"/>
        </w:rPr>
        <w:footnoteReference w:id="37"/>
      </w:r>
      <w:r w:rsidR="004D0395" w:rsidRPr="003F4D72">
        <w:rPr>
          <w:rFonts w:ascii="Calibri Light" w:hAnsi="Calibri Light" w:cs="Calibri Light"/>
          <w:sz w:val="24"/>
          <w:szCs w:val="24"/>
          <w:shd w:val="clear" w:color="auto" w:fill="FFFFFF"/>
        </w:rPr>
        <w:t xml:space="preserve"> are</w:t>
      </w:r>
      <w:r w:rsidR="00E01250" w:rsidRPr="003F4D72">
        <w:rPr>
          <w:rFonts w:ascii="Calibri Light" w:hAnsi="Calibri Light" w:cs="Calibri Light"/>
          <w:sz w:val="24"/>
          <w:szCs w:val="24"/>
          <w:shd w:val="clear" w:color="auto" w:fill="FFFFFF"/>
        </w:rPr>
        <w:t xml:space="preserve"> elaborate și aprobate procese cu privire la apă</w:t>
      </w:r>
      <w:r w:rsidR="00CE31C6" w:rsidRPr="003F4D72">
        <w:rPr>
          <w:rFonts w:ascii="Calibri Light" w:hAnsi="Calibri Light" w:cs="Calibri Light"/>
          <w:sz w:val="24"/>
          <w:szCs w:val="24"/>
          <w:shd w:val="clear" w:color="auto" w:fill="FFFFFF"/>
        </w:rPr>
        <w:t>rarea drepturilor</w:t>
      </w:r>
      <w:r w:rsidR="00E01250" w:rsidRPr="003F4D72">
        <w:rPr>
          <w:rFonts w:ascii="Calibri Light" w:hAnsi="Calibri Light" w:cs="Calibri Light"/>
          <w:sz w:val="24"/>
          <w:szCs w:val="24"/>
          <w:shd w:val="clear" w:color="auto" w:fill="FFFFFF"/>
        </w:rPr>
        <w:t xml:space="preserve"> și intereselor sistemului AOAM</w:t>
      </w:r>
      <w:r w:rsidR="00E01250" w:rsidRPr="003F4D72">
        <w:rPr>
          <w:rStyle w:val="FootnoteReference"/>
          <w:rFonts w:ascii="Calibri Light" w:hAnsi="Calibri Light" w:cs="Calibri Light"/>
          <w:sz w:val="24"/>
          <w:szCs w:val="24"/>
          <w:shd w:val="clear" w:color="auto" w:fill="FFFFFF"/>
        </w:rPr>
        <w:footnoteReference w:id="38"/>
      </w:r>
      <w:r w:rsidR="00E01250" w:rsidRPr="003F4D72">
        <w:rPr>
          <w:rFonts w:ascii="Calibri Light" w:hAnsi="Calibri Light" w:cs="Calibri Light"/>
          <w:sz w:val="24"/>
          <w:szCs w:val="24"/>
          <w:shd w:val="clear" w:color="auto" w:fill="FFFFFF"/>
        </w:rPr>
        <w:t xml:space="preserve"> </w:t>
      </w:r>
      <w:r w:rsidR="00A04221" w:rsidRPr="003F4D72">
        <w:rPr>
          <w:rFonts w:ascii="Calibri Light" w:hAnsi="Calibri Light" w:cs="Calibri Light"/>
          <w:sz w:val="24"/>
          <w:szCs w:val="24"/>
          <w:shd w:val="clear" w:color="auto" w:fill="FFFFFF"/>
        </w:rPr>
        <w:t>și a motivat prin incertitudinea care au reieșit din:</w:t>
      </w:r>
      <w:r w:rsidR="001E351D" w:rsidRPr="003F4D72">
        <w:rPr>
          <w:rFonts w:ascii="Calibri Light" w:hAnsi="Calibri Light" w:cs="Calibri Light"/>
          <w:sz w:val="24"/>
          <w:szCs w:val="24"/>
          <w:shd w:val="clear" w:color="auto" w:fill="FFFFFF"/>
        </w:rPr>
        <w:t xml:space="preserve"> </w:t>
      </w:r>
      <w:r w:rsidR="001E351D" w:rsidRPr="003F4D72">
        <w:rPr>
          <w:rFonts w:ascii="Calibri Light" w:hAnsi="Calibri Light" w:cs="Calibri Light"/>
          <w:i/>
          <w:sz w:val="24"/>
          <w:szCs w:val="24"/>
          <w:shd w:val="clear" w:color="auto" w:fill="FFFFFF"/>
        </w:rPr>
        <w:t>„dispozițiile Com</w:t>
      </w:r>
      <w:r w:rsidR="00470D49" w:rsidRPr="003F4D72">
        <w:rPr>
          <w:rFonts w:ascii="Calibri Light" w:hAnsi="Calibri Light" w:cs="Calibri Light"/>
          <w:i/>
          <w:sz w:val="24"/>
          <w:szCs w:val="24"/>
          <w:shd w:val="clear" w:color="auto" w:fill="FFFFFF"/>
        </w:rPr>
        <w:t>isiei Situații Excepționale nr.10 și nr.</w:t>
      </w:r>
      <w:r w:rsidR="001E351D" w:rsidRPr="003F4D72">
        <w:rPr>
          <w:rFonts w:ascii="Calibri Light" w:hAnsi="Calibri Light" w:cs="Calibri Light"/>
          <w:i/>
          <w:sz w:val="24"/>
          <w:szCs w:val="24"/>
          <w:shd w:val="clear" w:color="auto" w:fill="FFFFFF"/>
        </w:rPr>
        <w:t>13 nu au stabilit expres careva termene pentru achitarea primei de asigurare obligatorie de asistență medicală în sumă fixă, termenul de 72 de ore fiind prevăzut doar în Declarație”.</w:t>
      </w:r>
    </w:p>
    <w:p w14:paraId="530CC833" w14:textId="77777777" w:rsidR="00A04221" w:rsidRPr="003F4D72" w:rsidRDefault="00A04221" w:rsidP="00A04221">
      <w:pPr>
        <w:tabs>
          <w:tab w:val="left" w:pos="709"/>
        </w:tabs>
        <w:spacing w:after="0" w:line="276" w:lineRule="auto"/>
        <w:ind w:firstLine="567"/>
        <w:jc w:val="both"/>
        <w:rPr>
          <w:rFonts w:ascii="Calibri Light" w:hAnsi="Calibri Light" w:cs="Calibri Light"/>
          <w:sz w:val="24"/>
          <w:szCs w:val="24"/>
          <w:shd w:val="clear" w:color="auto" w:fill="FFFFFF"/>
        </w:rPr>
      </w:pPr>
    </w:p>
    <w:p w14:paraId="12716523" w14:textId="7CB509B8" w:rsidR="00210825" w:rsidRPr="003F4D72" w:rsidRDefault="009E545A" w:rsidP="00023B8B">
      <w:pPr>
        <w:pStyle w:val="ListParagraph"/>
        <w:numPr>
          <w:ilvl w:val="1"/>
          <w:numId w:val="35"/>
        </w:numPr>
        <w:spacing w:after="0" w:line="276" w:lineRule="auto"/>
        <w:ind w:left="0" w:firstLine="142"/>
        <w:jc w:val="both"/>
        <w:rPr>
          <w:rFonts w:asciiTheme="majorHAnsi" w:hAnsiTheme="majorHAnsi" w:cstheme="majorHAnsi"/>
          <w:b/>
          <w:bCs/>
          <w:iCs/>
          <w:sz w:val="24"/>
          <w:szCs w:val="24"/>
          <w:lang w:val="ro-MD"/>
        </w:rPr>
      </w:pPr>
      <w:r w:rsidRPr="003F4D72">
        <w:rPr>
          <w:rFonts w:asciiTheme="majorHAnsi" w:hAnsiTheme="majorHAnsi" w:cstheme="majorHAnsi"/>
          <w:b/>
          <w:bCs/>
          <w:iCs/>
          <w:sz w:val="24"/>
          <w:szCs w:val="24"/>
          <w:lang w:val="ro-MD"/>
        </w:rPr>
        <w:t>Listele de așteptare pentru tratament în cadrul programelor speciale nu a</w:t>
      </w:r>
      <w:r w:rsidR="00E32DCB" w:rsidRPr="003F4D72">
        <w:rPr>
          <w:rFonts w:asciiTheme="majorHAnsi" w:hAnsiTheme="majorHAnsi" w:cstheme="majorHAnsi"/>
          <w:b/>
          <w:bCs/>
          <w:iCs/>
          <w:sz w:val="24"/>
          <w:szCs w:val="24"/>
          <w:lang w:val="ro-MD"/>
        </w:rPr>
        <w:t>u</w:t>
      </w:r>
      <w:r w:rsidRPr="003F4D72">
        <w:rPr>
          <w:rFonts w:asciiTheme="majorHAnsi" w:hAnsiTheme="majorHAnsi" w:cstheme="majorHAnsi"/>
          <w:b/>
          <w:bCs/>
          <w:iCs/>
          <w:sz w:val="24"/>
          <w:szCs w:val="24"/>
          <w:lang w:val="ro-MD"/>
        </w:rPr>
        <w:t xml:space="preserve"> fost actualizat</w:t>
      </w:r>
      <w:r w:rsidR="00E32DCB" w:rsidRPr="003F4D72">
        <w:rPr>
          <w:rFonts w:asciiTheme="majorHAnsi" w:hAnsiTheme="majorHAnsi" w:cstheme="majorHAnsi"/>
          <w:b/>
          <w:bCs/>
          <w:iCs/>
          <w:sz w:val="24"/>
          <w:szCs w:val="24"/>
          <w:lang w:val="ro-MD"/>
        </w:rPr>
        <w:t>e</w:t>
      </w:r>
      <w:r w:rsidRPr="003F4D72">
        <w:rPr>
          <w:rFonts w:asciiTheme="majorHAnsi" w:hAnsiTheme="majorHAnsi" w:cstheme="majorHAnsi"/>
          <w:b/>
          <w:bCs/>
          <w:iCs/>
          <w:sz w:val="24"/>
          <w:szCs w:val="24"/>
          <w:lang w:val="ro-MD"/>
        </w:rPr>
        <w:t>, conțin erori ș</w:t>
      </w:r>
      <w:r w:rsidR="0068066E" w:rsidRPr="003F4D72">
        <w:rPr>
          <w:rFonts w:asciiTheme="majorHAnsi" w:hAnsiTheme="majorHAnsi" w:cstheme="majorHAnsi"/>
          <w:b/>
          <w:bCs/>
          <w:iCs/>
          <w:sz w:val="24"/>
          <w:szCs w:val="24"/>
          <w:lang w:val="ro-MD"/>
        </w:rPr>
        <w:t>i date imprecise și nu asigură diminuarea riscurilor de sănătate pentru</w:t>
      </w:r>
      <w:r w:rsidR="00795648" w:rsidRPr="003F4D72">
        <w:rPr>
          <w:rFonts w:asciiTheme="majorHAnsi" w:hAnsiTheme="majorHAnsi" w:cstheme="majorHAnsi"/>
          <w:b/>
          <w:bCs/>
          <w:iCs/>
          <w:sz w:val="24"/>
          <w:szCs w:val="24"/>
          <w:lang w:val="ro-MD"/>
        </w:rPr>
        <w:t xml:space="preserve"> </w:t>
      </w:r>
      <w:r w:rsidR="00795648" w:rsidRPr="003F4D72">
        <w:rPr>
          <w:rFonts w:asciiTheme="majorHAnsi" w:eastAsia="Times New Roman" w:hAnsiTheme="majorHAnsi" w:cstheme="majorHAnsi"/>
          <w:b/>
          <w:bCs/>
          <w:color w:val="000000"/>
          <w:sz w:val="24"/>
          <w:szCs w:val="24"/>
          <w:lang w:val="ro-MD"/>
        </w:rPr>
        <w:t>41,0 mii de</w:t>
      </w:r>
      <w:r w:rsidR="0068066E" w:rsidRPr="003F4D72">
        <w:rPr>
          <w:rFonts w:asciiTheme="majorHAnsi" w:hAnsiTheme="majorHAnsi" w:cstheme="majorHAnsi"/>
          <w:b/>
          <w:bCs/>
          <w:iCs/>
          <w:sz w:val="24"/>
          <w:szCs w:val="24"/>
          <w:lang w:val="ro-MD"/>
        </w:rPr>
        <w:t xml:space="preserve"> pacienți</w:t>
      </w:r>
      <w:r w:rsidR="00795648" w:rsidRPr="003F4D72">
        <w:rPr>
          <w:rFonts w:asciiTheme="majorHAnsi" w:hAnsiTheme="majorHAnsi" w:cstheme="majorHAnsi"/>
          <w:b/>
          <w:bCs/>
          <w:iCs/>
          <w:sz w:val="24"/>
          <w:szCs w:val="24"/>
          <w:lang w:val="ro-MD"/>
        </w:rPr>
        <w:t>, precum</w:t>
      </w:r>
      <w:r w:rsidR="0068066E" w:rsidRPr="003F4D72">
        <w:rPr>
          <w:rFonts w:asciiTheme="majorHAnsi" w:hAnsiTheme="majorHAnsi" w:cstheme="majorHAnsi"/>
          <w:b/>
          <w:bCs/>
          <w:iCs/>
          <w:sz w:val="24"/>
          <w:szCs w:val="24"/>
          <w:lang w:val="ro-MD"/>
        </w:rPr>
        <w:t xml:space="preserve"> și </w:t>
      </w:r>
      <w:r w:rsidRPr="003F4D72">
        <w:rPr>
          <w:rFonts w:asciiTheme="majorHAnsi" w:hAnsiTheme="majorHAnsi" w:cstheme="majorHAnsi"/>
          <w:b/>
          <w:bCs/>
          <w:iCs/>
          <w:sz w:val="24"/>
          <w:szCs w:val="24"/>
          <w:lang w:val="ro-MD"/>
        </w:rPr>
        <w:t xml:space="preserve">transparența proceselor de </w:t>
      </w:r>
      <w:r w:rsidR="003F5D4D" w:rsidRPr="003F4D72">
        <w:rPr>
          <w:rFonts w:asciiTheme="majorHAnsi" w:hAnsiTheme="majorHAnsi" w:cstheme="majorHAnsi"/>
          <w:b/>
          <w:bCs/>
          <w:iCs/>
          <w:sz w:val="24"/>
          <w:szCs w:val="24"/>
          <w:lang w:val="ro-MD"/>
        </w:rPr>
        <w:t xml:space="preserve">beneficiere </w:t>
      </w:r>
      <w:r w:rsidR="007235A6" w:rsidRPr="003F4D72">
        <w:rPr>
          <w:rFonts w:asciiTheme="majorHAnsi" w:hAnsiTheme="majorHAnsi" w:cstheme="majorHAnsi"/>
          <w:b/>
          <w:bCs/>
          <w:iCs/>
          <w:sz w:val="24"/>
          <w:szCs w:val="24"/>
          <w:lang w:val="ro-MD"/>
        </w:rPr>
        <w:t>de</w:t>
      </w:r>
      <w:r w:rsidR="003F5D4D" w:rsidRPr="003F4D72">
        <w:rPr>
          <w:rFonts w:asciiTheme="majorHAnsi" w:hAnsiTheme="majorHAnsi" w:cstheme="majorHAnsi"/>
          <w:b/>
          <w:bCs/>
          <w:iCs/>
          <w:sz w:val="24"/>
          <w:szCs w:val="24"/>
          <w:lang w:val="ro-MD"/>
        </w:rPr>
        <w:t xml:space="preserve"> servicii </w:t>
      </w:r>
      <w:r w:rsidRPr="003F4D72">
        <w:rPr>
          <w:rFonts w:asciiTheme="majorHAnsi" w:hAnsiTheme="majorHAnsi" w:cstheme="majorHAnsi"/>
          <w:b/>
          <w:bCs/>
          <w:iCs/>
          <w:sz w:val="24"/>
          <w:szCs w:val="24"/>
          <w:lang w:val="ro-MD"/>
        </w:rPr>
        <w:t>medicale</w:t>
      </w:r>
      <w:r w:rsidR="003F5D4D" w:rsidRPr="003F4D72">
        <w:rPr>
          <w:rFonts w:asciiTheme="majorHAnsi" w:hAnsiTheme="majorHAnsi" w:cstheme="majorHAnsi"/>
          <w:b/>
          <w:bCs/>
          <w:iCs/>
          <w:sz w:val="24"/>
          <w:szCs w:val="24"/>
          <w:lang w:val="ro-MD"/>
        </w:rPr>
        <w:t xml:space="preserve"> vitale</w:t>
      </w:r>
      <w:r w:rsidRPr="003F4D72">
        <w:rPr>
          <w:rFonts w:asciiTheme="majorHAnsi" w:hAnsiTheme="majorHAnsi" w:cstheme="majorHAnsi"/>
          <w:b/>
          <w:bCs/>
          <w:iCs/>
          <w:sz w:val="24"/>
          <w:szCs w:val="24"/>
          <w:lang w:val="ro-MD"/>
        </w:rPr>
        <w:t>.</w:t>
      </w:r>
    </w:p>
    <w:p w14:paraId="6F5945D5" w14:textId="77777777" w:rsidR="003C46D4" w:rsidRPr="003F4D72" w:rsidRDefault="00210825" w:rsidP="003C46D4">
      <w:pPr>
        <w:spacing w:after="0" w:line="276" w:lineRule="auto"/>
        <w:ind w:firstLine="720"/>
        <w:jc w:val="both"/>
        <w:rPr>
          <w:rFonts w:asciiTheme="majorHAnsi" w:eastAsia="Times New Roman" w:hAnsiTheme="majorHAnsi" w:cstheme="majorHAnsi"/>
          <w:sz w:val="24"/>
          <w:szCs w:val="24"/>
          <w:lang w:eastAsia="ru-RU"/>
        </w:rPr>
      </w:pPr>
      <w:r w:rsidRPr="003F4D72">
        <w:rPr>
          <w:rFonts w:asciiTheme="majorHAnsi" w:hAnsiTheme="majorHAnsi"/>
          <w:sz w:val="24"/>
          <w:szCs w:val="24"/>
        </w:rPr>
        <w:t>Potrivit Ordinului MSMPS</w:t>
      </w:r>
      <w:r w:rsidRPr="003F4D72">
        <w:rPr>
          <w:rStyle w:val="FootnoteReference"/>
          <w:rFonts w:asciiTheme="majorHAnsi" w:hAnsiTheme="majorHAnsi"/>
          <w:sz w:val="24"/>
          <w:szCs w:val="24"/>
        </w:rPr>
        <w:footnoteReference w:id="39"/>
      </w:r>
      <w:r w:rsidRPr="003F4D72">
        <w:rPr>
          <w:rFonts w:asciiTheme="majorHAnsi" w:hAnsiTheme="majorHAnsi"/>
          <w:sz w:val="24"/>
          <w:szCs w:val="24"/>
        </w:rPr>
        <w:t xml:space="preserve">, ANSP a fost desemnată autoritatea responsabilă de gestionarea listelor de așteptare pentru tratament în cadrul Programelor speciale. </w:t>
      </w:r>
      <w:r w:rsidR="00FA4D89" w:rsidRPr="003F4D72">
        <w:rPr>
          <w:rFonts w:asciiTheme="majorHAnsi" w:eastAsia="Times New Roman" w:hAnsiTheme="majorHAnsi" w:cstheme="majorHAnsi"/>
          <w:sz w:val="24"/>
          <w:szCs w:val="24"/>
          <w:lang w:eastAsia="ru-RU"/>
        </w:rPr>
        <w:t xml:space="preserve">Ulterior, </w:t>
      </w:r>
      <w:r w:rsidR="00EE5E4D" w:rsidRPr="003F4D72">
        <w:rPr>
          <w:rFonts w:asciiTheme="majorHAnsi" w:eastAsia="Times New Roman" w:hAnsiTheme="majorHAnsi" w:cstheme="majorHAnsi"/>
          <w:sz w:val="24"/>
          <w:szCs w:val="24"/>
          <w:lang w:eastAsia="ru-RU"/>
        </w:rPr>
        <w:t>CNAM</w:t>
      </w:r>
      <w:r w:rsidRPr="003F4D72">
        <w:rPr>
          <w:rFonts w:asciiTheme="majorHAnsi" w:eastAsia="Times New Roman" w:hAnsiTheme="majorHAnsi" w:cstheme="majorHAnsi"/>
          <w:sz w:val="24"/>
          <w:szCs w:val="24"/>
          <w:lang w:eastAsia="ru-RU"/>
        </w:rPr>
        <w:t xml:space="preserve"> </w:t>
      </w:r>
      <w:r w:rsidR="00207819" w:rsidRPr="003F4D72">
        <w:rPr>
          <w:rFonts w:asciiTheme="majorHAnsi" w:eastAsia="Times New Roman" w:hAnsiTheme="majorHAnsi" w:cstheme="majorHAnsi"/>
          <w:sz w:val="24"/>
          <w:szCs w:val="24"/>
          <w:lang w:eastAsia="ru-RU"/>
        </w:rPr>
        <w:t>a fost desemnată responsabilă de gestionarea listelor de așteptare pentru tratament în cadrul programelor speciale privind protezarea articulațiilor mari (șold, genunchi, umăr) și operațiile de cataractă</w:t>
      </w:r>
      <w:r w:rsidR="00FA4D89" w:rsidRPr="003F4D72">
        <w:rPr>
          <w:rFonts w:asciiTheme="majorHAnsi" w:eastAsia="Times New Roman" w:hAnsiTheme="majorHAnsi" w:cstheme="majorHAnsi"/>
          <w:sz w:val="24"/>
          <w:szCs w:val="24"/>
          <w:vertAlign w:val="superscript"/>
          <w:lang w:eastAsia="ru-RU"/>
        </w:rPr>
        <w:footnoteReference w:id="40"/>
      </w:r>
      <w:r w:rsidR="00207819" w:rsidRPr="003F4D72">
        <w:rPr>
          <w:rFonts w:asciiTheme="majorHAnsi" w:eastAsia="Times New Roman" w:hAnsiTheme="majorHAnsi" w:cstheme="majorHAnsi"/>
          <w:sz w:val="24"/>
          <w:szCs w:val="24"/>
          <w:lang w:eastAsia="ru-RU"/>
        </w:rPr>
        <w:t xml:space="preserve">. În acest context, </w:t>
      </w:r>
      <w:r w:rsidR="00EE5E4D" w:rsidRPr="003F4D72">
        <w:rPr>
          <w:rFonts w:asciiTheme="majorHAnsi" w:eastAsia="Times New Roman" w:hAnsiTheme="majorHAnsi" w:cstheme="majorHAnsi"/>
          <w:sz w:val="24"/>
          <w:szCs w:val="24"/>
          <w:lang w:eastAsia="ru-RU"/>
        </w:rPr>
        <w:t>CNAM</w:t>
      </w:r>
      <w:r w:rsidR="00207819" w:rsidRPr="003F4D72">
        <w:rPr>
          <w:rFonts w:asciiTheme="majorHAnsi" w:eastAsia="Times New Roman" w:hAnsiTheme="majorHAnsi" w:cstheme="majorHAnsi"/>
          <w:sz w:val="24"/>
          <w:szCs w:val="24"/>
          <w:lang w:eastAsia="ru-RU"/>
        </w:rPr>
        <w:t xml:space="preserve"> a preluat listele </w:t>
      </w:r>
      <w:r w:rsidRPr="003F4D72">
        <w:rPr>
          <w:rFonts w:asciiTheme="majorHAnsi" w:eastAsia="Times New Roman" w:hAnsiTheme="majorHAnsi" w:cstheme="majorHAnsi"/>
          <w:sz w:val="24"/>
          <w:szCs w:val="24"/>
          <w:lang w:eastAsia="ru-RU"/>
        </w:rPr>
        <w:t xml:space="preserve">de așteptare </w:t>
      </w:r>
      <w:r w:rsidR="00207819" w:rsidRPr="003F4D72">
        <w:rPr>
          <w:rFonts w:asciiTheme="majorHAnsi" w:eastAsia="Times New Roman" w:hAnsiTheme="majorHAnsi" w:cstheme="majorHAnsi"/>
          <w:sz w:val="24"/>
          <w:szCs w:val="24"/>
          <w:lang w:eastAsia="ru-RU"/>
        </w:rPr>
        <w:t xml:space="preserve">de la </w:t>
      </w:r>
      <w:r w:rsidRPr="003F4D72">
        <w:rPr>
          <w:rFonts w:asciiTheme="majorHAnsi" w:eastAsia="Times New Roman" w:hAnsiTheme="majorHAnsi" w:cstheme="majorHAnsi"/>
          <w:sz w:val="24"/>
          <w:szCs w:val="24"/>
          <w:lang w:eastAsia="ru-RU"/>
        </w:rPr>
        <w:t>ANSP</w:t>
      </w:r>
      <w:r w:rsidR="00207819" w:rsidRPr="003F4D72">
        <w:rPr>
          <w:rFonts w:asciiTheme="majorHAnsi" w:eastAsia="Times New Roman" w:hAnsiTheme="majorHAnsi" w:cstheme="majorHAnsi"/>
          <w:sz w:val="24"/>
          <w:szCs w:val="24"/>
          <w:vertAlign w:val="superscript"/>
          <w:lang w:eastAsia="ru-RU"/>
        </w:rPr>
        <w:footnoteReference w:id="41"/>
      </w:r>
      <w:r w:rsidR="00207819" w:rsidRPr="003F4D72">
        <w:rPr>
          <w:rFonts w:asciiTheme="majorHAnsi" w:eastAsia="Times New Roman" w:hAnsiTheme="majorHAnsi" w:cstheme="majorHAnsi"/>
          <w:sz w:val="24"/>
          <w:szCs w:val="24"/>
          <w:lang w:eastAsia="ru-RU"/>
        </w:rPr>
        <w:t xml:space="preserve">, </w:t>
      </w:r>
      <w:r w:rsidRPr="003F4D72">
        <w:rPr>
          <w:rFonts w:asciiTheme="majorHAnsi" w:eastAsia="Times New Roman" w:hAnsiTheme="majorHAnsi" w:cstheme="majorHAnsi"/>
          <w:sz w:val="24"/>
          <w:szCs w:val="24"/>
          <w:lang w:eastAsia="ru-RU"/>
        </w:rPr>
        <w:t xml:space="preserve">fiind responsabilă de </w:t>
      </w:r>
      <w:r w:rsidR="00207819" w:rsidRPr="003F4D72">
        <w:rPr>
          <w:rFonts w:asciiTheme="majorHAnsi" w:eastAsia="Times New Roman" w:hAnsiTheme="majorHAnsi" w:cstheme="majorHAnsi"/>
          <w:sz w:val="24"/>
          <w:szCs w:val="24"/>
          <w:lang w:eastAsia="ru-RU"/>
        </w:rPr>
        <w:t>monitoriza</w:t>
      </w:r>
      <w:r w:rsidRPr="003F4D72">
        <w:rPr>
          <w:rFonts w:asciiTheme="majorHAnsi" w:eastAsia="Times New Roman" w:hAnsiTheme="majorHAnsi" w:cstheme="majorHAnsi"/>
          <w:sz w:val="24"/>
          <w:szCs w:val="24"/>
          <w:lang w:eastAsia="ru-RU"/>
        </w:rPr>
        <w:t>rea</w:t>
      </w:r>
      <w:r w:rsidR="00207819" w:rsidRPr="003F4D72">
        <w:rPr>
          <w:rFonts w:asciiTheme="majorHAnsi" w:eastAsia="Times New Roman" w:hAnsiTheme="majorHAnsi" w:cstheme="majorHAnsi"/>
          <w:sz w:val="24"/>
          <w:szCs w:val="24"/>
          <w:lang w:eastAsia="ru-RU"/>
        </w:rPr>
        <w:t xml:space="preserve"> </w:t>
      </w:r>
      <w:proofErr w:type="spellStart"/>
      <w:r w:rsidR="00207819" w:rsidRPr="003F4D72">
        <w:rPr>
          <w:rFonts w:asciiTheme="majorHAnsi" w:eastAsia="Times New Roman" w:hAnsiTheme="majorHAnsi" w:cstheme="majorHAnsi"/>
          <w:sz w:val="24"/>
          <w:szCs w:val="24"/>
          <w:lang w:eastAsia="ru-RU"/>
        </w:rPr>
        <w:t>şi</w:t>
      </w:r>
      <w:proofErr w:type="spellEnd"/>
      <w:r w:rsidR="00207819" w:rsidRPr="003F4D72">
        <w:rPr>
          <w:rFonts w:asciiTheme="majorHAnsi" w:eastAsia="Times New Roman" w:hAnsiTheme="majorHAnsi" w:cstheme="majorHAnsi"/>
          <w:sz w:val="24"/>
          <w:szCs w:val="24"/>
          <w:lang w:eastAsia="ru-RU"/>
        </w:rPr>
        <w:t xml:space="preserve"> </w:t>
      </w:r>
      <w:r w:rsidR="008E7146" w:rsidRPr="003F4D72">
        <w:rPr>
          <w:rFonts w:asciiTheme="majorHAnsi" w:eastAsia="Times New Roman" w:hAnsiTheme="majorHAnsi" w:cstheme="majorHAnsi"/>
          <w:sz w:val="24"/>
          <w:szCs w:val="24"/>
          <w:lang w:eastAsia="ru-RU"/>
        </w:rPr>
        <w:t>evidența</w:t>
      </w:r>
      <w:r w:rsidR="00207819" w:rsidRPr="003F4D72">
        <w:rPr>
          <w:rFonts w:asciiTheme="majorHAnsi" w:eastAsia="Times New Roman" w:hAnsiTheme="majorHAnsi" w:cstheme="majorHAnsi"/>
          <w:sz w:val="24"/>
          <w:szCs w:val="24"/>
          <w:lang w:eastAsia="ru-RU"/>
        </w:rPr>
        <w:t xml:space="preserve"> atât a listelor de așteptare </w:t>
      </w:r>
      <w:r w:rsidR="002A1D49" w:rsidRPr="003F4D72">
        <w:rPr>
          <w:rFonts w:asciiTheme="majorHAnsi" w:eastAsia="Times New Roman" w:hAnsiTheme="majorHAnsi" w:cstheme="majorHAnsi"/>
          <w:sz w:val="24"/>
          <w:szCs w:val="24"/>
          <w:lang w:eastAsia="ru-RU"/>
        </w:rPr>
        <w:t>generală, cât și a celor urgen</w:t>
      </w:r>
      <w:r w:rsidR="00207819" w:rsidRPr="003F4D72">
        <w:rPr>
          <w:rFonts w:asciiTheme="majorHAnsi" w:eastAsia="Times New Roman" w:hAnsiTheme="majorHAnsi" w:cstheme="majorHAnsi"/>
          <w:sz w:val="24"/>
          <w:szCs w:val="24"/>
          <w:lang w:eastAsia="ru-RU"/>
        </w:rPr>
        <w:t xml:space="preserve">te pentru intervențiile de protezare și de cataractă. </w:t>
      </w:r>
    </w:p>
    <w:p w14:paraId="634D6227" w14:textId="4842E2E9" w:rsidR="00996138" w:rsidRPr="003F4D72" w:rsidRDefault="00E32DCB" w:rsidP="003C46D4">
      <w:pPr>
        <w:spacing w:after="0" w:line="276" w:lineRule="auto"/>
        <w:ind w:firstLine="720"/>
        <w:jc w:val="both"/>
        <w:rPr>
          <w:rFonts w:asciiTheme="majorHAnsi" w:eastAsia="Times New Roman" w:hAnsiTheme="majorHAnsi" w:cstheme="majorHAnsi"/>
          <w:sz w:val="24"/>
          <w:szCs w:val="24"/>
          <w:lang w:eastAsia="ru-RU"/>
        </w:rPr>
      </w:pPr>
      <w:r w:rsidRPr="003F4D72">
        <w:rPr>
          <w:rFonts w:asciiTheme="majorHAnsi" w:eastAsia="Times New Roman" w:hAnsiTheme="majorHAnsi" w:cstheme="majorHAnsi"/>
          <w:sz w:val="24"/>
          <w:szCs w:val="24"/>
          <w:lang w:eastAsia="ru-RU"/>
        </w:rPr>
        <w:t>Contrapunerea numărului de pacienți care se află în lista de așteptare</w:t>
      </w:r>
      <w:r w:rsidR="003A33A9" w:rsidRPr="003F4D72">
        <w:rPr>
          <w:rFonts w:asciiTheme="majorHAnsi" w:eastAsia="Times New Roman" w:hAnsiTheme="majorHAnsi" w:cstheme="majorHAnsi"/>
          <w:sz w:val="24"/>
          <w:szCs w:val="24"/>
          <w:lang w:eastAsia="ru-RU"/>
        </w:rPr>
        <w:t xml:space="preserve"> </w:t>
      </w:r>
      <w:r w:rsidR="00207819" w:rsidRPr="003F4D72">
        <w:rPr>
          <w:rFonts w:asciiTheme="majorHAnsi" w:eastAsia="Times New Roman" w:hAnsiTheme="majorHAnsi" w:cstheme="majorHAnsi"/>
          <w:sz w:val="24"/>
          <w:szCs w:val="24"/>
          <w:lang w:eastAsia="ru-RU"/>
        </w:rPr>
        <w:t xml:space="preserve">transmise </w:t>
      </w:r>
      <w:r w:rsidR="00C61DE1" w:rsidRPr="003F4D72">
        <w:rPr>
          <w:rFonts w:asciiTheme="majorHAnsi" w:eastAsia="Times New Roman" w:hAnsiTheme="majorHAnsi" w:cstheme="majorHAnsi"/>
          <w:sz w:val="24"/>
          <w:szCs w:val="24"/>
          <w:lang w:eastAsia="ru-RU"/>
        </w:rPr>
        <w:t xml:space="preserve">CNAM </w:t>
      </w:r>
      <w:r w:rsidR="00207819" w:rsidRPr="003F4D72">
        <w:rPr>
          <w:rFonts w:asciiTheme="majorHAnsi" w:eastAsia="Times New Roman" w:hAnsiTheme="majorHAnsi" w:cstheme="majorHAnsi"/>
          <w:sz w:val="24"/>
          <w:szCs w:val="24"/>
          <w:lang w:eastAsia="ru-RU"/>
        </w:rPr>
        <w:t>de către Agenție</w:t>
      </w:r>
      <w:r w:rsidR="00C5375F" w:rsidRPr="003F4D72">
        <w:rPr>
          <w:rFonts w:asciiTheme="majorHAnsi" w:eastAsia="Times New Roman" w:hAnsiTheme="majorHAnsi" w:cstheme="majorHAnsi"/>
          <w:sz w:val="24"/>
          <w:szCs w:val="24"/>
          <w:lang w:eastAsia="ru-RU"/>
        </w:rPr>
        <w:t xml:space="preserve"> cu datele din actul de primire-predare denotă unele divergențe,</w:t>
      </w:r>
      <w:r w:rsidR="003C46D4" w:rsidRPr="003F4D72">
        <w:rPr>
          <w:rFonts w:asciiTheme="majorHAnsi" w:eastAsia="Times New Roman" w:hAnsiTheme="majorHAnsi" w:cstheme="majorHAnsi"/>
          <w:sz w:val="24"/>
          <w:szCs w:val="24"/>
          <w:lang w:eastAsia="ru-RU"/>
        </w:rPr>
        <w:t xml:space="preserve"> </w:t>
      </w:r>
      <w:r w:rsidR="00207819" w:rsidRPr="003F4D72">
        <w:rPr>
          <w:rFonts w:asciiTheme="majorHAnsi" w:eastAsia="Times New Roman" w:hAnsiTheme="majorHAnsi" w:cstheme="majorHAnsi"/>
          <w:sz w:val="24"/>
          <w:szCs w:val="24"/>
          <w:lang w:eastAsia="ru-RU"/>
        </w:rPr>
        <w:t>p</w:t>
      </w:r>
      <w:r w:rsidR="00C5375F" w:rsidRPr="003F4D72">
        <w:rPr>
          <w:rFonts w:asciiTheme="majorHAnsi" w:eastAsia="Times New Roman" w:hAnsiTheme="majorHAnsi" w:cstheme="majorHAnsi"/>
          <w:sz w:val="24"/>
          <w:szCs w:val="24"/>
          <w:lang w:eastAsia="ru-RU"/>
        </w:rPr>
        <w:t>rezentate</w:t>
      </w:r>
      <w:r w:rsidR="00265356" w:rsidRPr="003F4D72">
        <w:rPr>
          <w:rFonts w:asciiTheme="majorHAnsi" w:eastAsia="Times New Roman" w:hAnsiTheme="majorHAnsi" w:cstheme="majorHAnsi"/>
          <w:sz w:val="24"/>
          <w:szCs w:val="24"/>
          <w:lang w:eastAsia="ru-RU"/>
        </w:rPr>
        <w:t xml:space="preserve"> în tabelul de mai jos:</w:t>
      </w:r>
    </w:p>
    <w:p w14:paraId="53A3102B" w14:textId="4A27306A" w:rsidR="003C46D4" w:rsidRPr="003F4D72" w:rsidRDefault="003C46D4" w:rsidP="00A37672">
      <w:pPr>
        <w:spacing w:after="0" w:line="276" w:lineRule="auto"/>
        <w:jc w:val="both"/>
        <w:rPr>
          <w:rFonts w:asciiTheme="majorHAnsi" w:eastAsia="Times New Roman" w:hAnsiTheme="majorHAnsi" w:cstheme="majorHAnsi"/>
          <w:sz w:val="24"/>
          <w:szCs w:val="24"/>
          <w:lang w:eastAsia="ru-RU"/>
        </w:rPr>
      </w:pPr>
    </w:p>
    <w:p w14:paraId="6B95225E" w14:textId="4907E347" w:rsidR="003A569B" w:rsidRPr="003F4D72" w:rsidRDefault="00C67B38" w:rsidP="00C67B38">
      <w:pPr>
        <w:spacing w:after="0" w:line="276" w:lineRule="auto"/>
        <w:ind w:firstLine="720"/>
        <w:jc w:val="center"/>
        <w:rPr>
          <w:rFonts w:asciiTheme="majorHAnsi" w:hAnsiTheme="majorHAnsi" w:cstheme="majorHAnsi"/>
          <w:b/>
          <w:bCs/>
          <w:iCs/>
          <w:sz w:val="24"/>
          <w:szCs w:val="24"/>
        </w:rPr>
      </w:pPr>
      <w:r w:rsidRPr="003F4D72">
        <w:rPr>
          <w:rFonts w:asciiTheme="majorHAnsi" w:eastAsia="Times New Roman" w:hAnsiTheme="majorHAnsi" w:cstheme="majorHAnsi"/>
          <w:b/>
          <w:sz w:val="24"/>
          <w:szCs w:val="24"/>
          <w:lang w:eastAsia="ru-RU"/>
        </w:rPr>
        <w:lastRenderedPageBreak/>
        <w:t>Informați</w:t>
      </w:r>
      <w:r w:rsidR="00525498" w:rsidRPr="003F4D72">
        <w:rPr>
          <w:rFonts w:asciiTheme="majorHAnsi" w:eastAsia="Times New Roman" w:hAnsiTheme="majorHAnsi" w:cstheme="majorHAnsi"/>
          <w:b/>
          <w:sz w:val="24"/>
          <w:szCs w:val="24"/>
          <w:lang w:eastAsia="ru-RU"/>
        </w:rPr>
        <w:t>i</w:t>
      </w:r>
      <w:r w:rsidRPr="003F4D72">
        <w:rPr>
          <w:rFonts w:asciiTheme="majorHAnsi" w:eastAsia="Times New Roman" w:hAnsiTheme="majorHAnsi" w:cstheme="majorHAnsi"/>
          <w:b/>
          <w:sz w:val="24"/>
          <w:szCs w:val="24"/>
          <w:lang w:eastAsia="ru-RU"/>
        </w:rPr>
        <w:t xml:space="preserve"> privind datele listei de așteptare</w:t>
      </w:r>
    </w:p>
    <w:p w14:paraId="2A8584CC" w14:textId="4EC66B70" w:rsidR="00207819" w:rsidRPr="003F4D72" w:rsidRDefault="00207819" w:rsidP="00265356">
      <w:pPr>
        <w:spacing w:after="0" w:line="240" w:lineRule="auto"/>
        <w:ind w:firstLine="708"/>
        <w:jc w:val="right"/>
        <w:rPr>
          <w:rFonts w:asciiTheme="majorHAnsi" w:eastAsia="Times New Roman" w:hAnsiTheme="majorHAnsi" w:cstheme="majorHAnsi"/>
          <w:sz w:val="20"/>
          <w:szCs w:val="24"/>
          <w:lang w:eastAsia="ru-RU"/>
        </w:rPr>
      </w:pPr>
      <w:r w:rsidRPr="003F4D72">
        <w:rPr>
          <w:rFonts w:asciiTheme="majorHAnsi" w:eastAsia="Times New Roman" w:hAnsiTheme="majorHAnsi" w:cstheme="majorHAnsi"/>
          <w:sz w:val="20"/>
          <w:szCs w:val="24"/>
          <w:lang w:eastAsia="ru-RU"/>
        </w:rPr>
        <w:t xml:space="preserve">Tabelul nr. </w:t>
      </w:r>
      <w:r w:rsidR="000A347E" w:rsidRPr="003F4D72">
        <w:rPr>
          <w:rFonts w:asciiTheme="majorHAnsi" w:eastAsia="Times New Roman" w:hAnsiTheme="majorHAnsi" w:cstheme="majorHAnsi"/>
          <w:sz w:val="20"/>
          <w:szCs w:val="24"/>
          <w:lang w:eastAsia="ru-RU"/>
        </w:rPr>
        <w:t>12</w:t>
      </w:r>
    </w:p>
    <w:tbl>
      <w:tblPr>
        <w:tblStyle w:val="GridTable1Light"/>
        <w:tblW w:w="5228" w:type="pct"/>
        <w:tblInd w:w="-431" w:type="dxa"/>
        <w:tblLayout w:type="fixed"/>
        <w:tblLook w:val="04A0" w:firstRow="1" w:lastRow="0" w:firstColumn="1" w:lastColumn="0" w:noHBand="0" w:noVBand="1"/>
      </w:tblPr>
      <w:tblGrid>
        <w:gridCol w:w="2128"/>
        <w:gridCol w:w="1277"/>
        <w:gridCol w:w="1277"/>
        <w:gridCol w:w="1275"/>
        <w:gridCol w:w="1275"/>
        <w:gridCol w:w="1275"/>
        <w:gridCol w:w="1269"/>
      </w:tblGrid>
      <w:tr w:rsidR="00C42854" w:rsidRPr="003F4D72" w14:paraId="3739F4FA" w14:textId="77777777" w:rsidTr="00C42854">
        <w:trPr>
          <w:cnfStyle w:val="100000000000" w:firstRow="1" w:lastRow="0" w:firstColumn="0" w:lastColumn="0" w:oddVBand="0" w:evenVBand="0" w:oddHBand="0" w:evenHBand="0" w:firstRowFirstColumn="0" w:firstRowLastColumn="0" w:lastRowFirstColumn="0" w:lastRowLastColumn="0"/>
          <w:trHeight w:val="2040"/>
        </w:trPr>
        <w:tc>
          <w:tcPr>
            <w:cnfStyle w:val="001000000000" w:firstRow="0" w:lastRow="0" w:firstColumn="1" w:lastColumn="0" w:oddVBand="0" w:evenVBand="0" w:oddHBand="0" w:evenHBand="0" w:firstRowFirstColumn="0" w:firstRowLastColumn="0" w:lastRowFirstColumn="0" w:lastRowLastColumn="0"/>
            <w:tcW w:w="1089" w:type="pct"/>
            <w:hideMark/>
          </w:tcPr>
          <w:p w14:paraId="5F445FF2" w14:textId="77777777" w:rsidR="00265356" w:rsidRPr="003F4D72" w:rsidRDefault="00265356" w:rsidP="00207819">
            <w:pPr>
              <w:jc w:val="cente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Tipul intervențiilor</w:t>
            </w:r>
          </w:p>
        </w:tc>
        <w:tc>
          <w:tcPr>
            <w:tcW w:w="653" w:type="pct"/>
            <w:hideMark/>
          </w:tcPr>
          <w:p w14:paraId="5D21BEF3" w14:textId="77777777" w:rsidR="00265356" w:rsidRPr="003F4D72" w:rsidRDefault="00265356"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Numărul </w:t>
            </w:r>
            <w:r w:rsidR="00C61DE1" w:rsidRPr="003F4D72">
              <w:rPr>
                <w:rFonts w:asciiTheme="majorHAnsi" w:eastAsia="Times New Roman" w:hAnsiTheme="majorHAnsi" w:cstheme="majorHAnsi"/>
                <w:color w:val="000000"/>
                <w:sz w:val="20"/>
                <w:szCs w:val="20"/>
              </w:rPr>
              <w:t xml:space="preserve">total al </w:t>
            </w:r>
            <w:r w:rsidRPr="003F4D72">
              <w:rPr>
                <w:rFonts w:asciiTheme="majorHAnsi" w:eastAsia="Times New Roman" w:hAnsiTheme="majorHAnsi" w:cstheme="majorHAnsi"/>
                <w:color w:val="000000"/>
                <w:sz w:val="20"/>
                <w:szCs w:val="20"/>
              </w:rPr>
              <w:t>pe</w:t>
            </w:r>
            <w:r w:rsidR="00C61DE1" w:rsidRPr="003F4D72">
              <w:rPr>
                <w:rFonts w:asciiTheme="majorHAnsi" w:eastAsia="Times New Roman" w:hAnsiTheme="majorHAnsi" w:cstheme="majorHAnsi"/>
                <w:color w:val="000000"/>
                <w:sz w:val="20"/>
                <w:szCs w:val="20"/>
              </w:rPr>
              <w:t xml:space="preserve">rsoanelor </w:t>
            </w:r>
          </w:p>
          <w:p w14:paraId="72A749AA" w14:textId="77777777" w:rsidR="00C61DE1" w:rsidRPr="003F4D72" w:rsidRDefault="00C61DE1"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din lista transmisă CNAM de către ANSP</w:t>
            </w:r>
          </w:p>
        </w:tc>
        <w:tc>
          <w:tcPr>
            <w:tcW w:w="653" w:type="pct"/>
            <w:hideMark/>
          </w:tcPr>
          <w:p w14:paraId="16C1F359" w14:textId="4EA70471" w:rsidR="00C61DE1" w:rsidRPr="003F4D72" w:rsidRDefault="00265356"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Numărul persoanelor </w:t>
            </w:r>
            <w:r w:rsidR="003F5B87" w:rsidRPr="003F4D72">
              <w:rPr>
                <w:rFonts w:asciiTheme="majorHAnsi" w:eastAsia="Times New Roman" w:hAnsiTheme="majorHAnsi" w:cstheme="majorHAnsi"/>
                <w:color w:val="000000"/>
                <w:sz w:val="20"/>
                <w:szCs w:val="20"/>
              </w:rPr>
              <w:t xml:space="preserve">ale căror </w:t>
            </w:r>
            <w:r w:rsidRPr="003F4D72">
              <w:rPr>
                <w:rFonts w:asciiTheme="majorHAnsi" w:eastAsia="Times New Roman" w:hAnsiTheme="majorHAnsi" w:cstheme="majorHAnsi"/>
                <w:color w:val="000000"/>
                <w:sz w:val="20"/>
                <w:szCs w:val="20"/>
              </w:rPr>
              <w:t xml:space="preserve">date au fost prelucrate </w:t>
            </w:r>
            <w:r w:rsidR="00C61DE1" w:rsidRPr="003F4D72">
              <w:rPr>
                <w:rFonts w:asciiTheme="majorHAnsi" w:eastAsia="Times New Roman" w:hAnsiTheme="majorHAnsi" w:cstheme="majorHAnsi"/>
                <w:color w:val="000000"/>
                <w:sz w:val="20"/>
                <w:szCs w:val="20"/>
              </w:rPr>
              <w:t>de către</w:t>
            </w:r>
          </w:p>
          <w:p w14:paraId="29A16916" w14:textId="77777777" w:rsidR="00265356" w:rsidRPr="003F4D72" w:rsidRDefault="00C61DE1"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ANSP </w:t>
            </w:r>
            <w:r w:rsidR="00265356" w:rsidRPr="003F4D72">
              <w:rPr>
                <w:rFonts w:asciiTheme="majorHAnsi" w:eastAsia="Times New Roman" w:hAnsiTheme="majorHAnsi" w:cstheme="majorHAnsi"/>
                <w:color w:val="000000"/>
                <w:sz w:val="20"/>
                <w:szCs w:val="20"/>
              </w:rPr>
              <w:t>pentru a fi excluse</w:t>
            </w:r>
          </w:p>
        </w:tc>
        <w:tc>
          <w:tcPr>
            <w:tcW w:w="652" w:type="pct"/>
            <w:hideMark/>
          </w:tcPr>
          <w:p w14:paraId="30493CF9" w14:textId="77777777" w:rsidR="00265356" w:rsidRPr="003F4D72" w:rsidRDefault="00265356"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Lipsa statutului</w:t>
            </w:r>
          </w:p>
          <w:p w14:paraId="04B4D6FB" w14:textId="77777777" w:rsidR="00C61DE1" w:rsidRPr="003F4D72" w:rsidRDefault="00C61DE1"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persoanelor din listele transmise de către ANSP</w:t>
            </w:r>
          </w:p>
        </w:tc>
        <w:tc>
          <w:tcPr>
            <w:tcW w:w="652" w:type="pct"/>
            <w:hideMark/>
          </w:tcPr>
          <w:p w14:paraId="28A80957" w14:textId="77777777" w:rsidR="00265356" w:rsidRPr="003F4D72" w:rsidRDefault="00C61DE1" w:rsidP="00C61DE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Numărul persoanelor cu statut în</w:t>
            </w:r>
            <w:r w:rsidR="00265356" w:rsidRPr="003F4D72">
              <w:rPr>
                <w:rFonts w:asciiTheme="majorHAnsi" w:eastAsia="Times New Roman" w:hAnsiTheme="majorHAnsi" w:cstheme="majorHAnsi"/>
                <w:color w:val="000000"/>
                <w:sz w:val="20"/>
                <w:szCs w:val="20"/>
              </w:rPr>
              <w:t xml:space="preserve"> așteptare</w:t>
            </w:r>
          </w:p>
        </w:tc>
        <w:tc>
          <w:tcPr>
            <w:tcW w:w="652" w:type="pct"/>
            <w:hideMark/>
          </w:tcPr>
          <w:p w14:paraId="517B243F" w14:textId="77777777" w:rsidR="00C61DE1" w:rsidRPr="003F4D72" w:rsidRDefault="00265356"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Numărul </w:t>
            </w:r>
            <w:r w:rsidR="00C61DE1" w:rsidRPr="003F4D72">
              <w:rPr>
                <w:rFonts w:asciiTheme="majorHAnsi" w:eastAsia="Times New Roman" w:hAnsiTheme="majorHAnsi" w:cstheme="majorHAnsi"/>
                <w:color w:val="000000"/>
                <w:sz w:val="20"/>
                <w:szCs w:val="20"/>
              </w:rPr>
              <w:t xml:space="preserve">persoanelor </w:t>
            </w:r>
          </w:p>
          <w:p w14:paraId="7C2A7653" w14:textId="77777777" w:rsidR="00265356" w:rsidRPr="003F4D72" w:rsidRDefault="00C61DE1"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cu statut în așteptare </w:t>
            </w:r>
            <w:r w:rsidR="00265356" w:rsidRPr="003F4D72">
              <w:rPr>
                <w:rFonts w:asciiTheme="majorHAnsi" w:eastAsia="Times New Roman" w:hAnsiTheme="majorHAnsi" w:cstheme="majorHAnsi"/>
                <w:color w:val="000000"/>
                <w:sz w:val="20"/>
                <w:szCs w:val="20"/>
              </w:rPr>
              <w:t>conform actului de predare-primire</w:t>
            </w:r>
          </w:p>
        </w:tc>
        <w:tc>
          <w:tcPr>
            <w:tcW w:w="650" w:type="pct"/>
            <w:hideMark/>
          </w:tcPr>
          <w:p w14:paraId="040A4E82" w14:textId="77777777" w:rsidR="00265356" w:rsidRPr="003F4D72" w:rsidRDefault="00C61DE1"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Divergențe înregistrate între actul de primire-predare și </w:t>
            </w:r>
          </w:p>
          <w:p w14:paraId="1A728A8D" w14:textId="77777777" w:rsidR="00C61DE1" w:rsidRPr="003F4D72" w:rsidRDefault="00C61DE1"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Listele transmise de către ANSP</w:t>
            </w:r>
          </w:p>
        </w:tc>
      </w:tr>
      <w:tr w:rsidR="00C42854" w:rsidRPr="003F4D72" w14:paraId="52884DA6" w14:textId="77777777" w:rsidTr="00C42854">
        <w:trPr>
          <w:trHeight w:val="50"/>
        </w:trPr>
        <w:tc>
          <w:tcPr>
            <w:cnfStyle w:val="001000000000" w:firstRow="0" w:lastRow="0" w:firstColumn="1" w:lastColumn="0" w:oddVBand="0" w:evenVBand="0" w:oddHBand="0" w:evenHBand="0" w:firstRowFirstColumn="0" w:firstRowLastColumn="0" w:lastRowFirstColumn="0" w:lastRowLastColumn="0"/>
            <w:tcW w:w="1089" w:type="pct"/>
            <w:hideMark/>
          </w:tcPr>
          <w:p w14:paraId="4577E5AC" w14:textId="77777777" w:rsidR="00265356" w:rsidRPr="003F4D72" w:rsidRDefault="00265356" w:rsidP="00207819">
            <w:pPr>
              <w:jc w:val="center"/>
              <w:rPr>
                <w:rFonts w:asciiTheme="majorHAnsi" w:eastAsia="Times New Roman" w:hAnsiTheme="majorHAnsi" w:cstheme="majorHAnsi"/>
                <w:b w:val="0"/>
                <w:bCs w:val="0"/>
                <w:i/>
                <w:iCs/>
                <w:color w:val="000000"/>
                <w:sz w:val="20"/>
                <w:szCs w:val="20"/>
              </w:rPr>
            </w:pPr>
            <w:r w:rsidRPr="003F4D72">
              <w:rPr>
                <w:rFonts w:asciiTheme="majorHAnsi" w:eastAsia="Times New Roman" w:hAnsiTheme="majorHAnsi" w:cstheme="majorHAnsi"/>
                <w:i/>
                <w:iCs/>
                <w:color w:val="000000"/>
                <w:sz w:val="20"/>
                <w:szCs w:val="20"/>
              </w:rPr>
              <w:t>1</w:t>
            </w:r>
          </w:p>
        </w:tc>
        <w:tc>
          <w:tcPr>
            <w:tcW w:w="653" w:type="pct"/>
            <w:hideMark/>
          </w:tcPr>
          <w:p w14:paraId="23B2E2EF" w14:textId="77777777" w:rsidR="00265356" w:rsidRPr="003F4D72" w:rsidRDefault="0026535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3F4D72">
              <w:rPr>
                <w:rFonts w:asciiTheme="majorHAnsi" w:eastAsia="Times New Roman" w:hAnsiTheme="majorHAnsi" w:cstheme="majorHAnsi"/>
                <w:b/>
                <w:bCs/>
                <w:i/>
                <w:iCs/>
                <w:color w:val="000000"/>
                <w:sz w:val="20"/>
                <w:szCs w:val="20"/>
              </w:rPr>
              <w:t>2</w:t>
            </w:r>
          </w:p>
        </w:tc>
        <w:tc>
          <w:tcPr>
            <w:tcW w:w="653" w:type="pct"/>
            <w:hideMark/>
          </w:tcPr>
          <w:p w14:paraId="20B8B06F" w14:textId="77777777" w:rsidR="00265356" w:rsidRPr="003F4D72" w:rsidRDefault="0026535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3F4D72">
              <w:rPr>
                <w:rFonts w:asciiTheme="majorHAnsi" w:eastAsia="Times New Roman" w:hAnsiTheme="majorHAnsi" w:cstheme="majorHAnsi"/>
                <w:b/>
                <w:bCs/>
                <w:i/>
                <w:iCs/>
                <w:color w:val="000000"/>
                <w:sz w:val="20"/>
                <w:szCs w:val="20"/>
              </w:rPr>
              <w:t>3</w:t>
            </w:r>
          </w:p>
        </w:tc>
        <w:tc>
          <w:tcPr>
            <w:tcW w:w="652" w:type="pct"/>
            <w:hideMark/>
          </w:tcPr>
          <w:p w14:paraId="68556258" w14:textId="77777777" w:rsidR="00265356" w:rsidRPr="003F4D72" w:rsidRDefault="0026535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3F4D72">
              <w:rPr>
                <w:rFonts w:asciiTheme="majorHAnsi" w:eastAsia="Times New Roman" w:hAnsiTheme="majorHAnsi" w:cstheme="majorHAnsi"/>
                <w:b/>
                <w:bCs/>
                <w:i/>
                <w:iCs/>
                <w:color w:val="000000"/>
                <w:sz w:val="20"/>
                <w:szCs w:val="20"/>
              </w:rPr>
              <w:t>4</w:t>
            </w:r>
          </w:p>
        </w:tc>
        <w:tc>
          <w:tcPr>
            <w:tcW w:w="652" w:type="pct"/>
            <w:hideMark/>
          </w:tcPr>
          <w:p w14:paraId="2EAAC9DF" w14:textId="77777777" w:rsidR="00265356" w:rsidRPr="003F4D72" w:rsidRDefault="0026535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3F4D72">
              <w:rPr>
                <w:rFonts w:asciiTheme="majorHAnsi" w:eastAsia="Times New Roman" w:hAnsiTheme="majorHAnsi" w:cstheme="majorHAnsi"/>
                <w:b/>
                <w:bCs/>
                <w:i/>
                <w:iCs/>
                <w:color w:val="000000"/>
                <w:sz w:val="20"/>
                <w:szCs w:val="20"/>
              </w:rPr>
              <w:t>5</w:t>
            </w:r>
          </w:p>
        </w:tc>
        <w:tc>
          <w:tcPr>
            <w:tcW w:w="652" w:type="pct"/>
            <w:hideMark/>
          </w:tcPr>
          <w:p w14:paraId="690F4C2C" w14:textId="77777777" w:rsidR="00265356" w:rsidRPr="003F4D72" w:rsidRDefault="0026535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3F4D72">
              <w:rPr>
                <w:rFonts w:asciiTheme="majorHAnsi" w:eastAsia="Times New Roman" w:hAnsiTheme="majorHAnsi" w:cstheme="majorHAnsi"/>
                <w:b/>
                <w:bCs/>
                <w:i/>
                <w:iCs/>
                <w:color w:val="000000"/>
                <w:sz w:val="20"/>
                <w:szCs w:val="20"/>
              </w:rPr>
              <w:t>6</w:t>
            </w:r>
          </w:p>
        </w:tc>
        <w:tc>
          <w:tcPr>
            <w:tcW w:w="650" w:type="pct"/>
            <w:hideMark/>
          </w:tcPr>
          <w:p w14:paraId="0AEA1DDD" w14:textId="77777777" w:rsidR="00265356" w:rsidRPr="003F4D72" w:rsidRDefault="0026535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3F4D72">
              <w:rPr>
                <w:rFonts w:asciiTheme="majorHAnsi" w:eastAsia="Times New Roman" w:hAnsiTheme="majorHAnsi" w:cstheme="majorHAnsi"/>
                <w:b/>
                <w:bCs/>
                <w:i/>
                <w:iCs/>
                <w:color w:val="000000"/>
                <w:sz w:val="20"/>
                <w:szCs w:val="20"/>
              </w:rPr>
              <w:t>7=5-6</w:t>
            </w:r>
          </w:p>
        </w:tc>
      </w:tr>
      <w:tr w:rsidR="00C42854" w:rsidRPr="003F4D72" w14:paraId="6C4B21CF" w14:textId="77777777" w:rsidTr="00C42854">
        <w:trPr>
          <w:trHeight w:val="333"/>
        </w:trPr>
        <w:tc>
          <w:tcPr>
            <w:cnfStyle w:val="001000000000" w:firstRow="0" w:lastRow="0" w:firstColumn="1" w:lastColumn="0" w:oddVBand="0" w:evenVBand="0" w:oddHBand="0" w:evenHBand="0" w:firstRowFirstColumn="0" w:firstRowLastColumn="0" w:lastRowFirstColumn="0" w:lastRowLastColumn="0"/>
            <w:tcW w:w="1089" w:type="pct"/>
            <w:noWrap/>
            <w:hideMark/>
          </w:tcPr>
          <w:p w14:paraId="5217B325" w14:textId="77777777" w:rsidR="00265356" w:rsidRPr="003F4D72" w:rsidRDefault="00265356" w:rsidP="00207819">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Intervenții chirurgicale de cataractă</w:t>
            </w:r>
          </w:p>
        </w:tc>
        <w:tc>
          <w:tcPr>
            <w:tcW w:w="653" w:type="pct"/>
            <w:noWrap/>
            <w:hideMark/>
          </w:tcPr>
          <w:p w14:paraId="7240641C"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22757</w:t>
            </w:r>
          </w:p>
        </w:tc>
        <w:tc>
          <w:tcPr>
            <w:tcW w:w="653" w:type="pct"/>
            <w:noWrap/>
            <w:hideMark/>
          </w:tcPr>
          <w:p w14:paraId="2B4D85ED"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3119</w:t>
            </w:r>
          </w:p>
        </w:tc>
        <w:tc>
          <w:tcPr>
            <w:tcW w:w="652" w:type="pct"/>
            <w:noWrap/>
            <w:hideMark/>
          </w:tcPr>
          <w:p w14:paraId="5817A366"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15436</w:t>
            </w:r>
          </w:p>
        </w:tc>
        <w:tc>
          <w:tcPr>
            <w:tcW w:w="652" w:type="pct"/>
            <w:noWrap/>
            <w:hideMark/>
          </w:tcPr>
          <w:p w14:paraId="1DE452C7"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4202</w:t>
            </w:r>
          </w:p>
        </w:tc>
        <w:tc>
          <w:tcPr>
            <w:tcW w:w="652" w:type="pct"/>
            <w:noWrap/>
            <w:hideMark/>
          </w:tcPr>
          <w:p w14:paraId="5B486426"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6313</w:t>
            </w:r>
          </w:p>
        </w:tc>
        <w:tc>
          <w:tcPr>
            <w:tcW w:w="650" w:type="pct"/>
            <w:noWrap/>
            <w:hideMark/>
          </w:tcPr>
          <w:p w14:paraId="0336E711"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2111</w:t>
            </w:r>
          </w:p>
        </w:tc>
      </w:tr>
      <w:tr w:rsidR="00C42854" w:rsidRPr="003F4D72" w14:paraId="5C81C2E1" w14:textId="77777777" w:rsidTr="00C42854">
        <w:trPr>
          <w:trHeight w:val="290"/>
        </w:trPr>
        <w:tc>
          <w:tcPr>
            <w:cnfStyle w:val="001000000000" w:firstRow="0" w:lastRow="0" w:firstColumn="1" w:lastColumn="0" w:oddVBand="0" w:evenVBand="0" w:oddHBand="0" w:evenHBand="0" w:firstRowFirstColumn="0" w:firstRowLastColumn="0" w:lastRowFirstColumn="0" w:lastRowLastColumn="0"/>
            <w:tcW w:w="1089" w:type="pct"/>
            <w:noWrap/>
            <w:hideMark/>
          </w:tcPr>
          <w:p w14:paraId="195CE99B" w14:textId="77777777" w:rsidR="00265356" w:rsidRPr="003F4D72" w:rsidRDefault="00795648" w:rsidP="00207819">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Intervenții</w:t>
            </w:r>
            <w:r w:rsidR="00265356" w:rsidRPr="003F4D72">
              <w:rPr>
                <w:rFonts w:asciiTheme="majorHAnsi" w:eastAsia="Times New Roman" w:hAnsiTheme="majorHAnsi" w:cstheme="majorHAnsi"/>
                <w:color w:val="000000"/>
                <w:sz w:val="20"/>
                <w:szCs w:val="20"/>
              </w:rPr>
              <w:t xml:space="preserve"> chirurgicale de </w:t>
            </w:r>
            <w:proofErr w:type="spellStart"/>
            <w:r w:rsidR="00265356" w:rsidRPr="003F4D72">
              <w:rPr>
                <w:rFonts w:asciiTheme="majorHAnsi" w:eastAsia="Times New Roman" w:hAnsiTheme="majorHAnsi" w:cstheme="majorHAnsi"/>
                <w:color w:val="000000"/>
                <w:sz w:val="20"/>
                <w:szCs w:val="20"/>
              </w:rPr>
              <w:t>artroplastie</w:t>
            </w:r>
            <w:proofErr w:type="spellEnd"/>
            <w:r w:rsidR="00265356" w:rsidRPr="003F4D72">
              <w:rPr>
                <w:rFonts w:asciiTheme="majorHAnsi" w:eastAsia="Times New Roman" w:hAnsiTheme="majorHAnsi" w:cstheme="majorHAnsi"/>
                <w:color w:val="000000"/>
                <w:sz w:val="20"/>
                <w:szCs w:val="20"/>
              </w:rPr>
              <w:t xml:space="preserve"> de genunchi</w:t>
            </w:r>
          </w:p>
        </w:tc>
        <w:tc>
          <w:tcPr>
            <w:tcW w:w="653" w:type="pct"/>
            <w:noWrap/>
            <w:hideMark/>
          </w:tcPr>
          <w:p w14:paraId="1C7A9CFA"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17160</w:t>
            </w:r>
          </w:p>
        </w:tc>
        <w:tc>
          <w:tcPr>
            <w:tcW w:w="653" w:type="pct"/>
            <w:noWrap/>
            <w:hideMark/>
          </w:tcPr>
          <w:p w14:paraId="26E4E91B"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8499</w:t>
            </w:r>
          </w:p>
        </w:tc>
        <w:tc>
          <w:tcPr>
            <w:tcW w:w="652" w:type="pct"/>
            <w:noWrap/>
            <w:hideMark/>
          </w:tcPr>
          <w:p w14:paraId="36CF72D2"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w:t>
            </w:r>
          </w:p>
        </w:tc>
        <w:tc>
          <w:tcPr>
            <w:tcW w:w="652" w:type="pct"/>
            <w:noWrap/>
            <w:hideMark/>
          </w:tcPr>
          <w:p w14:paraId="4F74BD1A"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8661</w:t>
            </w:r>
          </w:p>
        </w:tc>
        <w:tc>
          <w:tcPr>
            <w:tcW w:w="652" w:type="pct"/>
            <w:noWrap/>
            <w:hideMark/>
          </w:tcPr>
          <w:p w14:paraId="4C876DFA"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8661</w:t>
            </w:r>
          </w:p>
        </w:tc>
        <w:tc>
          <w:tcPr>
            <w:tcW w:w="650" w:type="pct"/>
            <w:noWrap/>
            <w:hideMark/>
          </w:tcPr>
          <w:p w14:paraId="0293005E"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w:t>
            </w:r>
          </w:p>
        </w:tc>
      </w:tr>
      <w:tr w:rsidR="00C42854" w:rsidRPr="003F4D72" w14:paraId="306FBD7A" w14:textId="77777777" w:rsidTr="00C42854">
        <w:trPr>
          <w:trHeight w:val="290"/>
        </w:trPr>
        <w:tc>
          <w:tcPr>
            <w:cnfStyle w:val="001000000000" w:firstRow="0" w:lastRow="0" w:firstColumn="1" w:lastColumn="0" w:oddVBand="0" w:evenVBand="0" w:oddHBand="0" w:evenHBand="0" w:firstRowFirstColumn="0" w:firstRowLastColumn="0" w:lastRowFirstColumn="0" w:lastRowLastColumn="0"/>
            <w:tcW w:w="1089" w:type="pct"/>
            <w:noWrap/>
            <w:hideMark/>
          </w:tcPr>
          <w:p w14:paraId="791E1C6F" w14:textId="77777777" w:rsidR="00265356" w:rsidRPr="003F4D72" w:rsidRDefault="00795648" w:rsidP="00207819">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Intervenții</w:t>
            </w:r>
            <w:r w:rsidR="00265356" w:rsidRPr="003F4D72">
              <w:rPr>
                <w:rFonts w:asciiTheme="majorHAnsi" w:eastAsia="Times New Roman" w:hAnsiTheme="majorHAnsi" w:cstheme="majorHAnsi"/>
                <w:color w:val="000000"/>
                <w:sz w:val="20"/>
                <w:szCs w:val="20"/>
              </w:rPr>
              <w:t xml:space="preserve"> chirurgicale de </w:t>
            </w:r>
            <w:proofErr w:type="spellStart"/>
            <w:r w:rsidR="00265356" w:rsidRPr="003F4D72">
              <w:rPr>
                <w:rFonts w:asciiTheme="majorHAnsi" w:eastAsia="Times New Roman" w:hAnsiTheme="majorHAnsi" w:cstheme="majorHAnsi"/>
                <w:color w:val="000000"/>
                <w:sz w:val="20"/>
                <w:szCs w:val="20"/>
              </w:rPr>
              <w:t>artroplastie</w:t>
            </w:r>
            <w:proofErr w:type="spellEnd"/>
            <w:r w:rsidR="00265356" w:rsidRPr="003F4D72">
              <w:rPr>
                <w:rFonts w:asciiTheme="majorHAnsi" w:eastAsia="Times New Roman" w:hAnsiTheme="majorHAnsi" w:cstheme="majorHAnsi"/>
                <w:color w:val="000000"/>
                <w:sz w:val="20"/>
                <w:szCs w:val="20"/>
              </w:rPr>
              <w:t xml:space="preserve"> de șold</w:t>
            </w:r>
          </w:p>
        </w:tc>
        <w:tc>
          <w:tcPr>
            <w:tcW w:w="653" w:type="pct"/>
            <w:noWrap/>
            <w:hideMark/>
          </w:tcPr>
          <w:p w14:paraId="1335D858"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1157</w:t>
            </w:r>
          </w:p>
        </w:tc>
        <w:tc>
          <w:tcPr>
            <w:tcW w:w="653" w:type="pct"/>
            <w:noWrap/>
            <w:hideMark/>
          </w:tcPr>
          <w:p w14:paraId="13B971ED"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878</w:t>
            </w:r>
          </w:p>
        </w:tc>
        <w:tc>
          <w:tcPr>
            <w:tcW w:w="652" w:type="pct"/>
            <w:noWrap/>
            <w:hideMark/>
          </w:tcPr>
          <w:p w14:paraId="4C544F4A"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w:t>
            </w:r>
          </w:p>
        </w:tc>
        <w:tc>
          <w:tcPr>
            <w:tcW w:w="652" w:type="pct"/>
            <w:noWrap/>
            <w:hideMark/>
          </w:tcPr>
          <w:p w14:paraId="59729A94"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279</w:t>
            </w:r>
          </w:p>
        </w:tc>
        <w:tc>
          <w:tcPr>
            <w:tcW w:w="652" w:type="pct"/>
            <w:noWrap/>
            <w:hideMark/>
          </w:tcPr>
          <w:p w14:paraId="1CA111A9"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279</w:t>
            </w:r>
          </w:p>
        </w:tc>
        <w:tc>
          <w:tcPr>
            <w:tcW w:w="650" w:type="pct"/>
            <w:noWrap/>
            <w:hideMark/>
          </w:tcPr>
          <w:p w14:paraId="6A2F3777"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w:t>
            </w:r>
          </w:p>
        </w:tc>
      </w:tr>
      <w:tr w:rsidR="00C42854" w:rsidRPr="003F4D72" w14:paraId="10026763" w14:textId="77777777" w:rsidTr="00C42854">
        <w:trPr>
          <w:trHeight w:val="290"/>
        </w:trPr>
        <w:tc>
          <w:tcPr>
            <w:cnfStyle w:val="001000000000" w:firstRow="0" w:lastRow="0" w:firstColumn="1" w:lastColumn="0" w:oddVBand="0" w:evenVBand="0" w:oddHBand="0" w:evenHBand="0" w:firstRowFirstColumn="0" w:firstRowLastColumn="0" w:lastRowFirstColumn="0" w:lastRowLastColumn="0"/>
            <w:tcW w:w="1089" w:type="pct"/>
            <w:noWrap/>
            <w:hideMark/>
          </w:tcPr>
          <w:p w14:paraId="49C4C4B7" w14:textId="77777777" w:rsidR="00265356" w:rsidRPr="003F4D72" w:rsidRDefault="00795648" w:rsidP="00207819">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Intervenții</w:t>
            </w:r>
            <w:r w:rsidR="00265356" w:rsidRPr="003F4D72">
              <w:rPr>
                <w:rFonts w:asciiTheme="majorHAnsi" w:eastAsia="Times New Roman" w:hAnsiTheme="majorHAnsi" w:cstheme="majorHAnsi"/>
                <w:color w:val="000000"/>
                <w:sz w:val="20"/>
                <w:szCs w:val="20"/>
              </w:rPr>
              <w:t xml:space="preserve"> chirurgicale de </w:t>
            </w:r>
            <w:proofErr w:type="spellStart"/>
            <w:r w:rsidR="00265356" w:rsidRPr="003F4D72">
              <w:rPr>
                <w:rFonts w:asciiTheme="majorHAnsi" w:eastAsia="Times New Roman" w:hAnsiTheme="majorHAnsi" w:cstheme="majorHAnsi"/>
                <w:color w:val="000000"/>
                <w:sz w:val="20"/>
                <w:szCs w:val="20"/>
              </w:rPr>
              <w:t>artroplastie</w:t>
            </w:r>
            <w:proofErr w:type="spellEnd"/>
            <w:r w:rsidR="00265356" w:rsidRPr="003F4D72">
              <w:rPr>
                <w:rFonts w:asciiTheme="majorHAnsi" w:eastAsia="Times New Roman" w:hAnsiTheme="majorHAnsi" w:cstheme="majorHAnsi"/>
                <w:color w:val="000000"/>
                <w:sz w:val="20"/>
                <w:szCs w:val="20"/>
              </w:rPr>
              <w:t xml:space="preserve"> de umăr</w:t>
            </w:r>
          </w:p>
        </w:tc>
        <w:tc>
          <w:tcPr>
            <w:tcW w:w="653" w:type="pct"/>
            <w:noWrap/>
            <w:hideMark/>
          </w:tcPr>
          <w:p w14:paraId="1CBB80B1"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28</w:t>
            </w:r>
          </w:p>
        </w:tc>
        <w:tc>
          <w:tcPr>
            <w:tcW w:w="653" w:type="pct"/>
            <w:noWrap/>
            <w:hideMark/>
          </w:tcPr>
          <w:p w14:paraId="6044C277"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w:t>
            </w:r>
          </w:p>
        </w:tc>
        <w:tc>
          <w:tcPr>
            <w:tcW w:w="652" w:type="pct"/>
            <w:noWrap/>
            <w:hideMark/>
          </w:tcPr>
          <w:p w14:paraId="48E549F6"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w:t>
            </w:r>
          </w:p>
        </w:tc>
        <w:tc>
          <w:tcPr>
            <w:tcW w:w="652" w:type="pct"/>
            <w:noWrap/>
            <w:hideMark/>
          </w:tcPr>
          <w:p w14:paraId="1F535070"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27</w:t>
            </w:r>
          </w:p>
        </w:tc>
        <w:tc>
          <w:tcPr>
            <w:tcW w:w="652" w:type="pct"/>
            <w:noWrap/>
            <w:hideMark/>
          </w:tcPr>
          <w:p w14:paraId="5A41AC02"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w:t>
            </w:r>
          </w:p>
        </w:tc>
        <w:tc>
          <w:tcPr>
            <w:tcW w:w="650" w:type="pct"/>
            <w:noWrap/>
            <w:hideMark/>
          </w:tcPr>
          <w:p w14:paraId="2470A1F8" w14:textId="77777777"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19</w:t>
            </w:r>
          </w:p>
        </w:tc>
      </w:tr>
      <w:tr w:rsidR="00C42854" w:rsidRPr="003F4D72" w14:paraId="6CC069AC" w14:textId="77777777" w:rsidTr="00C42854">
        <w:trPr>
          <w:trHeight w:val="300"/>
        </w:trPr>
        <w:tc>
          <w:tcPr>
            <w:cnfStyle w:val="001000000000" w:firstRow="0" w:lastRow="0" w:firstColumn="1" w:lastColumn="0" w:oddVBand="0" w:evenVBand="0" w:oddHBand="0" w:evenHBand="0" w:firstRowFirstColumn="0" w:firstRowLastColumn="0" w:lastRowFirstColumn="0" w:lastRowLastColumn="0"/>
            <w:tcW w:w="1089" w:type="pct"/>
            <w:noWrap/>
            <w:hideMark/>
          </w:tcPr>
          <w:p w14:paraId="4744EE99" w14:textId="77777777" w:rsidR="00265356" w:rsidRPr="003F4D72" w:rsidRDefault="00265356" w:rsidP="00207819">
            <w:pP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TOTAL:</w:t>
            </w:r>
          </w:p>
        </w:tc>
        <w:tc>
          <w:tcPr>
            <w:tcW w:w="653" w:type="pct"/>
            <w:noWrap/>
            <w:hideMark/>
          </w:tcPr>
          <w:p w14:paraId="3A822ED0" w14:textId="4918A48E"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41</w:t>
            </w:r>
            <w:r w:rsidR="00D9573B"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
                <w:bCs/>
                <w:color w:val="000000"/>
                <w:sz w:val="20"/>
                <w:szCs w:val="20"/>
              </w:rPr>
              <w:t>102</w:t>
            </w:r>
          </w:p>
        </w:tc>
        <w:tc>
          <w:tcPr>
            <w:tcW w:w="653" w:type="pct"/>
            <w:noWrap/>
            <w:hideMark/>
          </w:tcPr>
          <w:p w14:paraId="2F4AA320" w14:textId="1AE8F1E3"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12</w:t>
            </w:r>
            <w:r w:rsidR="00D9573B"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
                <w:bCs/>
                <w:color w:val="000000"/>
                <w:sz w:val="20"/>
                <w:szCs w:val="20"/>
              </w:rPr>
              <w:t>497</w:t>
            </w:r>
          </w:p>
        </w:tc>
        <w:tc>
          <w:tcPr>
            <w:tcW w:w="652" w:type="pct"/>
            <w:noWrap/>
            <w:hideMark/>
          </w:tcPr>
          <w:p w14:paraId="5D60D9FD" w14:textId="57732642"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15</w:t>
            </w:r>
            <w:r w:rsidR="00D9573B"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
                <w:bCs/>
                <w:color w:val="000000"/>
                <w:sz w:val="20"/>
                <w:szCs w:val="20"/>
              </w:rPr>
              <w:t>436</w:t>
            </w:r>
          </w:p>
        </w:tc>
        <w:tc>
          <w:tcPr>
            <w:tcW w:w="652" w:type="pct"/>
            <w:noWrap/>
            <w:hideMark/>
          </w:tcPr>
          <w:p w14:paraId="6797B72B" w14:textId="2D77806D"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13</w:t>
            </w:r>
            <w:r w:rsidR="00D9573B"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
                <w:bCs/>
                <w:color w:val="000000"/>
                <w:sz w:val="20"/>
                <w:szCs w:val="20"/>
              </w:rPr>
              <w:t>169</w:t>
            </w:r>
          </w:p>
        </w:tc>
        <w:tc>
          <w:tcPr>
            <w:tcW w:w="652" w:type="pct"/>
            <w:noWrap/>
            <w:hideMark/>
          </w:tcPr>
          <w:p w14:paraId="425ADAEA" w14:textId="7E3B2125" w:rsidR="00265356" w:rsidRPr="003F4D72" w:rsidRDefault="00265356"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15</w:t>
            </w:r>
            <w:r w:rsidR="00D9573B"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
                <w:bCs/>
                <w:color w:val="000000"/>
                <w:sz w:val="20"/>
                <w:szCs w:val="20"/>
              </w:rPr>
              <w:t>261</w:t>
            </w:r>
          </w:p>
        </w:tc>
        <w:tc>
          <w:tcPr>
            <w:tcW w:w="650" w:type="pct"/>
            <w:noWrap/>
            <w:hideMark/>
          </w:tcPr>
          <w:p w14:paraId="328D2B3C" w14:textId="683769DD" w:rsidR="00265356" w:rsidRPr="003F4D72" w:rsidRDefault="00C61DE1" w:rsidP="0021082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2</w:t>
            </w:r>
            <w:r w:rsidR="00D9573B"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
                <w:bCs/>
                <w:color w:val="000000"/>
                <w:sz w:val="20"/>
                <w:szCs w:val="20"/>
              </w:rPr>
              <w:t>130</w:t>
            </w:r>
          </w:p>
        </w:tc>
      </w:tr>
    </w:tbl>
    <w:p w14:paraId="2CA2D343" w14:textId="3220CC2A" w:rsidR="00207819" w:rsidRPr="003F4D72" w:rsidRDefault="00207819" w:rsidP="00575F87">
      <w:pPr>
        <w:spacing w:after="0" w:line="240" w:lineRule="auto"/>
        <w:ind w:right="25" w:firstLine="708"/>
        <w:jc w:val="both"/>
        <w:rPr>
          <w:rFonts w:asciiTheme="majorHAnsi" w:eastAsia="Times New Roman" w:hAnsiTheme="majorHAnsi" w:cstheme="majorHAnsi"/>
          <w:b/>
          <w:i/>
          <w:sz w:val="20"/>
          <w:szCs w:val="28"/>
          <w:lang w:eastAsia="ru-RU"/>
        </w:rPr>
      </w:pPr>
      <w:r w:rsidRPr="003F4D72">
        <w:rPr>
          <w:rFonts w:asciiTheme="majorHAnsi" w:eastAsia="Times New Roman" w:hAnsiTheme="majorHAnsi" w:cstheme="majorHAnsi"/>
          <w:b/>
          <w:i/>
          <w:sz w:val="20"/>
          <w:szCs w:val="28"/>
          <w:lang w:eastAsia="ru-RU"/>
        </w:rPr>
        <w:t xml:space="preserve">Sursa: </w:t>
      </w:r>
      <w:r w:rsidRPr="003F4D72">
        <w:rPr>
          <w:rFonts w:asciiTheme="majorHAnsi" w:eastAsia="Times New Roman" w:hAnsiTheme="majorHAnsi" w:cstheme="majorHAnsi"/>
          <w:i/>
          <w:sz w:val="20"/>
          <w:szCs w:val="28"/>
          <w:lang w:eastAsia="ru-RU"/>
        </w:rPr>
        <w:t>Elaborat de auditor în baza actului de predare-primire a listelor de așteptare pentru tratament în cadrul programelor speciale</w:t>
      </w:r>
      <w:r w:rsidR="003F5B87" w:rsidRPr="003F4D72">
        <w:rPr>
          <w:rFonts w:asciiTheme="majorHAnsi" w:eastAsia="Times New Roman" w:hAnsiTheme="majorHAnsi" w:cstheme="majorHAnsi"/>
          <w:i/>
          <w:sz w:val="20"/>
          <w:szCs w:val="28"/>
          <w:lang w:eastAsia="ru-RU"/>
        </w:rPr>
        <w:t>,</w:t>
      </w:r>
      <w:r w:rsidRPr="003F4D72">
        <w:rPr>
          <w:rFonts w:asciiTheme="majorHAnsi" w:eastAsia="Times New Roman" w:hAnsiTheme="majorHAnsi" w:cstheme="majorHAnsi"/>
          <w:i/>
          <w:sz w:val="20"/>
          <w:szCs w:val="28"/>
          <w:lang w:eastAsia="ru-RU"/>
        </w:rPr>
        <w:t xml:space="preserve"> din data de 13 noiembrie 2020</w:t>
      </w:r>
      <w:r w:rsidR="002C1F14" w:rsidRPr="003F4D72">
        <w:rPr>
          <w:rFonts w:asciiTheme="majorHAnsi" w:eastAsia="Times New Roman" w:hAnsiTheme="majorHAnsi" w:cstheme="majorHAnsi"/>
          <w:i/>
          <w:sz w:val="20"/>
          <w:szCs w:val="28"/>
          <w:lang w:eastAsia="ru-RU"/>
        </w:rPr>
        <w:t>.</w:t>
      </w:r>
    </w:p>
    <w:p w14:paraId="7D8F7AD7" w14:textId="77777777" w:rsidR="00575F87" w:rsidRPr="003F4D72" w:rsidRDefault="00575F87" w:rsidP="00575F87">
      <w:pPr>
        <w:spacing w:after="0" w:line="240" w:lineRule="auto"/>
        <w:ind w:right="25" w:firstLine="708"/>
        <w:jc w:val="both"/>
        <w:rPr>
          <w:rFonts w:asciiTheme="majorHAnsi" w:eastAsia="Times New Roman" w:hAnsiTheme="majorHAnsi" w:cstheme="majorHAnsi"/>
          <w:b/>
          <w:i/>
          <w:sz w:val="20"/>
          <w:szCs w:val="28"/>
          <w:lang w:eastAsia="ru-RU"/>
        </w:rPr>
      </w:pPr>
    </w:p>
    <w:p w14:paraId="04689194" w14:textId="7862413C" w:rsidR="002A1D49" w:rsidRPr="003F4D72" w:rsidRDefault="002A1D49" w:rsidP="00575F87">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Se menționează că în actul de predare-primire a fost stipulat că în lista de așteptare pentru „Intervenții chirurgicale de cataractă” sunt 6</w:t>
      </w:r>
      <w:r w:rsidR="00971216" w:rsidRPr="003F4D72">
        <w:rPr>
          <w:rFonts w:asciiTheme="majorHAnsi" w:eastAsia="Times New Roman" w:hAnsiTheme="majorHAnsi" w:cstheme="majorHAnsi"/>
          <w:sz w:val="24"/>
          <w:szCs w:val="28"/>
          <w:lang w:eastAsia="ru-RU"/>
        </w:rPr>
        <w:t xml:space="preserve"> </w:t>
      </w:r>
      <w:r w:rsidRPr="003F4D72">
        <w:rPr>
          <w:rFonts w:asciiTheme="majorHAnsi" w:eastAsia="Times New Roman" w:hAnsiTheme="majorHAnsi" w:cstheme="majorHAnsi"/>
          <w:sz w:val="24"/>
          <w:szCs w:val="28"/>
          <w:lang w:eastAsia="ru-RU"/>
        </w:rPr>
        <w:t>331 de cazuri, cu 2</w:t>
      </w:r>
      <w:r w:rsidR="00971216" w:rsidRPr="003F4D72">
        <w:rPr>
          <w:rFonts w:asciiTheme="majorHAnsi" w:eastAsia="Times New Roman" w:hAnsiTheme="majorHAnsi" w:cstheme="majorHAnsi"/>
          <w:sz w:val="24"/>
          <w:szCs w:val="28"/>
          <w:lang w:eastAsia="ru-RU"/>
        </w:rPr>
        <w:t xml:space="preserve"> </w:t>
      </w:r>
      <w:r w:rsidRPr="003F4D72">
        <w:rPr>
          <w:rFonts w:asciiTheme="majorHAnsi" w:eastAsia="Times New Roman" w:hAnsiTheme="majorHAnsi" w:cstheme="majorHAnsi"/>
          <w:sz w:val="24"/>
          <w:szCs w:val="28"/>
          <w:lang w:eastAsia="ru-RU"/>
        </w:rPr>
        <w:t xml:space="preserve">111 cazuri mai puține decât numărul de cazuri efective identificate de către audit în această listă. În cazul „Intervențiilor chirurgicale de </w:t>
      </w:r>
      <w:proofErr w:type="spellStart"/>
      <w:r w:rsidRPr="003F4D72">
        <w:rPr>
          <w:rFonts w:asciiTheme="majorHAnsi" w:eastAsia="Times New Roman" w:hAnsiTheme="majorHAnsi" w:cstheme="majorHAnsi"/>
          <w:sz w:val="24"/>
          <w:szCs w:val="28"/>
          <w:lang w:eastAsia="ru-RU"/>
        </w:rPr>
        <w:t>artroplastie</w:t>
      </w:r>
      <w:proofErr w:type="spellEnd"/>
      <w:r w:rsidRPr="003F4D72">
        <w:rPr>
          <w:rFonts w:asciiTheme="majorHAnsi" w:eastAsia="Times New Roman" w:hAnsiTheme="majorHAnsi" w:cstheme="majorHAnsi"/>
          <w:sz w:val="24"/>
          <w:szCs w:val="28"/>
          <w:lang w:eastAsia="ru-RU"/>
        </w:rPr>
        <w:t xml:space="preserve"> de umăr”, în lista de așteptare au fost identificate cu 19 cazuri mai multe decât în actul de predare-primire.</w:t>
      </w:r>
    </w:p>
    <w:p w14:paraId="3AA59DD4" w14:textId="5DFB6C1C" w:rsidR="00D12C01" w:rsidRPr="003F4D72" w:rsidRDefault="002A1D49" w:rsidP="00575F87">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 xml:space="preserve">Este relevant </w:t>
      </w:r>
      <w:r w:rsidR="003F5B87" w:rsidRPr="003F4D72">
        <w:rPr>
          <w:rFonts w:asciiTheme="majorHAnsi" w:eastAsia="Times New Roman" w:hAnsiTheme="majorHAnsi" w:cstheme="majorHAnsi"/>
          <w:sz w:val="24"/>
          <w:szCs w:val="28"/>
          <w:lang w:eastAsia="ru-RU"/>
        </w:rPr>
        <w:t>faptul</w:t>
      </w:r>
      <w:r w:rsidRPr="003F4D72">
        <w:rPr>
          <w:rFonts w:asciiTheme="majorHAnsi" w:eastAsia="Times New Roman" w:hAnsiTheme="majorHAnsi" w:cstheme="majorHAnsi"/>
          <w:sz w:val="24"/>
          <w:szCs w:val="28"/>
          <w:lang w:eastAsia="ru-RU"/>
        </w:rPr>
        <w:t xml:space="preserve"> că în lista de așteptare </w:t>
      </w:r>
      <w:r w:rsidR="00575F87" w:rsidRPr="003F4D72">
        <w:rPr>
          <w:rFonts w:asciiTheme="majorHAnsi" w:eastAsia="Times New Roman" w:hAnsiTheme="majorHAnsi" w:cstheme="majorHAnsi"/>
          <w:sz w:val="24"/>
          <w:szCs w:val="28"/>
          <w:lang w:eastAsia="ru-RU"/>
        </w:rPr>
        <w:t>predată CNAM privind intervențiile</w:t>
      </w:r>
      <w:r w:rsidRPr="003F4D72">
        <w:rPr>
          <w:rFonts w:asciiTheme="majorHAnsi" w:eastAsia="Times New Roman" w:hAnsiTheme="majorHAnsi" w:cstheme="majorHAnsi"/>
          <w:sz w:val="24"/>
          <w:szCs w:val="28"/>
          <w:lang w:eastAsia="ru-RU"/>
        </w:rPr>
        <w:t xml:space="preserve"> pentru cataractă </w:t>
      </w:r>
      <w:r w:rsidR="003F5B87" w:rsidRPr="003F4D72">
        <w:rPr>
          <w:rFonts w:asciiTheme="majorHAnsi" w:eastAsia="Times New Roman" w:hAnsiTheme="majorHAnsi" w:cstheme="majorHAnsi"/>
          <w:sz w:val="24"/>
          <w:szCs w:val="28"/>
          <w:lang w:eastAsia="ru-RU"/>
        </w:rPr>
        <w:t>erau</w:t>
      </w:r>
      <w:r w:rsidRPr="003F4D72">
        <w:rPr>
          <w:rFonts w:asciiTheme="majorHAnsi" w:eastAsia="Times New Roman" w:hAnsiTheme="majorHAnsi" w:cstheme="majorHAnsi"/>
          <w:sz w:val="24"/>
          <w:szCs w:val="28"/>
          <w:lang w:eastAsia="ru-RU"/>
        </w:rPr>
        <w:t xml:space="preserve"> 22 757 </w:t>
      </w:r>
      <w:r w:rsidR="003F5B87" w:rsidRPr="003F4D72">
        <w:rPr>
          <w:rFonts w:asciiTheme="majorHAnsi" w:eastAsia="Times New Roman" w:hAnsiTheme="majorHAnsi" w:cstheme="majorHAnsi"/>
          <w:sz w:val="24"/>
          <w:szCs w:val="28"/>
          <w:lang w:eastAsia="ru-RU"/>
        </w:rPr>
        <w:t xml:space="preserve">de </w:t>
      </w:r>
      <w:r w:rsidRPr="003F4D72">
        <w:rPr>
          <w:rFonts w:asciiTheme="majorHAnsi" w:eastAsia="Times New Roman" w:hAnsiTheme="majorHAnsi" w:cstheme="majorHAnsi"/>
          <w:sz w:val="24"/>
          <w:szCs w:val="28"/>
          <w:lang w:eastAsia="ru-RU"/>
        </w:rPr>
        <w:t xml:space="preserve">pacienți, iar în cazul a 15 436 </w:t>
      </w:r>
      <w:r w:rsidR="003F5B87" w:rsidRPr="003F4D72">
        <w:rPr>
          <w:rFonts w:asciiTheme="majorHAnsi" w:eastAsia="Times New Roman" w:hAnsiTheme="majorHAnsi" w:cstheme="majorHAnsi"/>
          <w:sz w:val="24"/>
          <w:szCs w:val="28"/>
          <w:lang w:eastAsia="ru-RU"/>
        </w:rPr>
        <w:t xml:space="preserve">de </w:t>
      </w:r>
      <w:r w:rsidRPr="003F4D72">
        <w:rPr>
          <w:rFonts w:asciiTheme="majorHAnsi" w:eastAsia="Times New Roman" w:hAnsiTheme="majorHAnsi" w:cstheme="majorHAnsi"/>
          <w:sz w:val="24"/>
          <w:szCs w:val="28"/>
          <w:lang w:eastAsia="ru-RU"/>
        </w:rPr>
        <w:t>persoane (68%) a lipsit informația despre statutul acestora (operat, amânat, refuz, în așteptare etc.</w:t>
      </w:r>
      <w:r w:rsidR="00D12C01" w:rsidRPr="003F4D72">
        <w:rPr>
          <w:rFonts w:asciiTheme="majorHAnsi" w:eastAsia="Times New Roman" w:hAnsiTheme="majorHAnsi" w:cstheme="majorHAnsi"/>
          <w:sz w:val="24"/>
          <w:szCs w:val="28"/>
          <w:lang w:eastAsia="ru-RU"/>
        </w:rPr>
        <w:t>)</w:t>
      </w:r>
      <w:r w:rsidR="00575F87" w:rsidRPr="003F4D72">
        <w:rPr>
          <w:rFonts w:asciiTheme="majorHAnsi" w:eastAsia="Times New Roman" w:hAnsiTheme="majorHAnsi" w:cstheme="majorHAnsi"/>
          <w:sz w:val="24"/>
          <w:szCs w:val="28"/>
          <w:lang w:eastAsia="ru-RU"/>
        </w:rPr>
        <w:t xml:space="preserve">. </w:t>
      </w:r>
      <w:r w:rsidR="00116FE8" w:rsidRPr="003F4D72">
        <w:rPr>
          <w:rFonts w:asciiTheme="majorHAnsi" w:eastAsia="Times New Roman" w:hAnsiTheme="majorHAnsi" w:cstheme="majorHAnsi"/>
          <w:sz w:val="24"/>
          <w:szCs w:val="28"/>
          <w:lang w:eastAsia="ru-RU"/>
        </w:rPr>
        <w:t xml:space="preserve">Situația expusă denotă </w:t>
      </w:r>
      <w:r w:rsidR="00AA6369" w:rsidRPr="003F4D72">
        <w:rPr>
          <w:rFonts w:asciiTheme="majorHAnsi" w:hAnsiTheme="majorHAnsi" w:cstheme="majorHAnsi"/>
          <w:sz w:val="24"/>
          <w:szCs w:val="24"/>
        </w:rPr>
        <w:t xml:space="preserve">că nu există o evidență strictă și exactă a persoanelor incluse în listele de așteptare, iar lipsa </w:t>
      </w:r>
      <w:r w:rsidR="00DA0895" w:rsidRPr="003F4D72">
        <w:rPr>
          <w:rFonts w:asciiTheme="majorHAnsi" w:hAnsiTheme="majorHAnsi" w:cstheme="majorHAnsi"/>
          <w:sz w:val="24"/>
          <w:szCs w:val="24"/>
        </w:rPr>
        <w:t>informațiilor</w:t>
      </w:r>
      <w:r w:rsidR="00AA6369" w:rsidRPr="003F4D72">
        <w:rPr>
          <w:rFonts w:asciiTheme="majorHAnsi" w:hAnsiTheme="majorHAnsi" w:cstheme="majorHAnsi"/>
          <w:sz w:val="24"/>
          <w:szCs w:val="24"/>
        </w:rPr>
        <w:t xml:space="preserve"> aferente statului pacientului poate condiționa majorarea timpului de așteptare pentru aceste servicii medicale.</w:t>
      </w:r>
    </w:p>
    <w:p w14:paraId="7EA4974B" w14:textId="3E8E3A8E" w:rsidR="00E02458" w:rsidRPr="003F4D72" w:rsidRDefault="00D12C01" w:rsidP="00575F87">
      <w:pPr>
        <w:spacing w:after="0" w:line="276" w:lineRule="auto"/>
        <w:ind w:firstLine="567"/>
        <w:jc w:val="both"/>
        <w:rPr>
          <w:rFonts w:asciiTheme="majorHAnsi" w:eastAsia="Times New Roman" w:hAnsiTheme="majorHAnsi" w:cstheme="majorHAnsi"/>
          <w:sz w:val="24"/>
          <w:szCs w:val="24"/>
          <w:lang w:eastAsia="ru-RU"/>
        </w:rPr>
      </w:pPr>
      <w:r w:rsidRPr="003F4D72">
        <w:rPr>
          <w:rFonts w:asciiTheme="majorHAnsi" w:eastAsia="Times New Roman" w:hAnsiTheme="majorHAnsi" w:cstheme="majorHAnsi"/>
          <w:sz w:val="24"/>
          <w:szCs w:val="28"/>
          <w:lang w:eastAsia="ru-RU"/>
        </w:rPr>
        <w:t>L</w:t>
      </w:r>
      <w:r w:rsidR="003A33A9" w:rsidRPr="003F4D72">
        <w:rPr>
          <w:rFonts w:asciiTheme="majorHAnsi" w:eastAsia="Times New Roman" w:hAnsiTheme="majorHAnsi" w:cstheme="majorHAnsi"/>
          <w:sz w:val="24"/>
          <w:szCs w:val="28"/>
          <w:lang w:eastAsia="ru-RU"/>
        </w:rPr>
        <w:t>a data predării listelor de așteptare</w:t>
      </w:r>
      <w:r w:rsidR="003A33A9" w:rsidRPr="003F4D72">
        <w:rPr>
          <w:rFonts w:asciiTheme="majorHAnsi" w:eastAsia="Times New Roman" w:hAnsiTheme="majorHAnsi" w:cstheme="majorHAnsi"/>
          <w:sz w:val="24"/>
          <w:szCs w:val="24"/>
          <w:lang w:eastAsia="ru-RU"/>
        </w:rPr>
        <w:t xml:space="preserve"> pentru protezarea articulațiilor mari (șold, genunchi, umăr) și operațiile de cataractă</w:t>
      </w:r>
      <w:r w:rsidR="003A33A9" w:rsidRPr="003F4D72">
        <w:rPr>
          <w:rFonts w:asciiTheme="majorHAnsi" w:eastAsia="Times New Roman" w:hAnsiTheme="majorHAnsi" w:cstheme="majorHAnsi"/>
          <w:sz w:val="24"/>
          <w:szCs w:val="28"/>
          <w:lang w:eastAsia="ru-RU"/>
        </w:rPr>
        <w:t>, ANSP a actualizat unele informații</w:t>
      </w:r>
      <w:r w:rsidR="00E32DCB" w:rsidRPr="003F4D72">
        <w:rPr>
          <w:rFonts w:asciiTheme="majorHAnsi" w:eastAsia="Times New Roman" w:hAnsiTheme="majorHAnsi" w:cstheme="majorHAnsi"/>
          <w:sz w:val="24"/>
          <w:szCs w:val="28"/>
          <w:lang w:eastAsia="ru-RU"/>
        </w:rPr>
        <w:t xml:space="preserve">, fiind </w:t>
      </w:r>
      <w:r w:rsidR="00DD7265" w:rsidRPr="003F4D72">
        <w:rPr>
          <w:rFonts w:asciiTheme="majorHAnsi" w:eastAsia="Times New Roman" w:hAnsiTheme="majorHAnsi" w:cstheme="majorHAnsi"/>
          <w:sz w:val="24"/>
          <w:szCs w:val="28"/>
          <w:lang w:eastAsia="ru-RU"/>
        </w:rPr>
        <w:t>exclus</w:t>
      </w:r>
      <w:r w:rsidR="00E32DCB" w:rsidRPr="003F4D72">
        <w:rPr>
          <w:rFonts w:asciiTheme="majorHAnsi" w:eastAsia="Times New Roman" w:hAnsiTheme="majorHAnsi" w:cstheme="majorHAnsi"/>
          <w:sz w:val="24"/>
          <w:szCs w:val="28"/>
          <w:lang w:eastAsia="ru-RU"/>
        </w:rPr>
        <w:t>e</w:t>
      </w:r>
      <w:r w:rsidR="00DD7265" w:rsidRPr="003F4D72">
        <w:rPr>
          <w:rFonts w:asciiTheme="majorHAnsi" w:eastAsia="Times New Roman" w:hAnsiTheme="majorHAnsi" w:cstheme="majorHAnsi"/>
          <w:sz w:val="24"/>
          <w:szCs w:val="28"/>
          <w:lang w:eastAsia="ru-RU"/>
        </w:rPr>
        <w:t xml:space="preserve"> 12</w:t>
      </w:r>
      <w:r w:rsidR="00971216" w:rsidRPr="003F4D72">
        <w:rPr>
          <w:rFonts w:asciiTheme="majorHAnsi" w:eastAsia="Times New Roman" w:hAnsiTheme="majorHAnsi" w:cstheme="majorHAnsi"/>
          <w:sz w:val="24"/>
          <w:szCs w:val="28"/>
          <w:lang w:eastAsia="ru-RU"/>
        </w:rPr>
        <w:t xml:space="preserve"> </w:t>
      </w:r>
      <w:r w:rsidR="00DD7265" w:rsidRPr="003F4D72">
        <w:rPr>
          <w:rFonts w:asciiTheme="majorHAnsi" w:eastAsia="Times New Roman" w:hAnsiTheme="majorHAnsi" w:cstheme="majorHAnsi"/>
          <w:sz w:val="24"/>
          <w:szCs w:val="28"/>
          <w:lang w:eastAsia="ru-RU"/>
        </w:rPr>
        <w:t xml:space="preserve">497 </w:t>
      </w:r>
      <w:r w:rsidR="003F5B87" w:rsidRPr="003F4D72">
        <w:rPr>
          <w:rFonts w:asciiTheme="majorHAnsi" w:eastAsia="Times New Roman" w:hAnsiTheme="majorHAnsi" w:cstheme="majorHAnsi"/>
          <w:sz w:val="24"/>
          <w:szCs w:val="28"/>
          <w:lang w:eastAsia="ru-RU"/>
        </w:rPr>
        <w:t xml:space="preserve">de  </w:t>
      </w:r>
      <w:r w:rsidR="00DC4A60" w:rsidRPr="003F4D72">
        <w:rPr>
          <w:rFonts w:asciiTheme="majorHAnsi" w:eastAsia="Times New Roman" w:hAnsiTheme="majorHAnsi" w:cstheme="majorHAnsi"/>
          <w:sz w:val="24"/>
          <w:szCs w:val="28"/>
          <w:lang w:eastAsia="ru-RU"/>
        </w:rPr>
        <w:t xml:space="preserve">cazuri, nefiind indicate motivele excluderii din listă, circumstanțe care nu oferă posibilitatea evaluării </w:t>
      </w:r>
      <w:r w:rsidR="00DC4A60" w:rsidRPr="003F4D72">
        <w:rPr>
          <w:rFonts w:asciiTheme="majorHAnsi" w:eastAsia="Times New Roman" w:hAnsiTheme="majorHAnsi" w:cstheme="majorHAnsi"/>
          <w:sz w:val="24"/>
          <w:szCs w:val="24"/>
          <w:lang w:eastAsia="ru-RU"/>
        </w:rPr>
        <w:t>veridicității informațiilor și a</w:t>
      </w:r>
      <w:r w:rsidR="00DA0895" w:rsidRPr="003F4D72">
        <w:rPr>
          <w:rFonts w:asciiTheme="majorHAnsi" w:eastAsia="Times New Roman" w:hAnsiTheme="majorHAnsi" w:cstheme="majorHAnsi"/>
          <w:sz w:val="24"/>
          <w:szCs w:val="24"/>
          <w:lang w:eastAsia="ru-RU"/>
        </w:rPr>
        <w:t xml:space="preserve"> impactului asupra</w:t>
      </w:r>
      <w:r w:rsidR="00DC4A60" w:rsidRPr="003F4D72">
        <w:rPr>
          <w:rFonts w:asciiTheme="majorHAnsi" w:eastAsia="Times New Roman" w:hAnsiTheme="majorHAnsi" w:cstheme="majorHAnsi"/>
          <w:sz w:val="24"/>
          <w:szCs w:val="24"/>
          <w:lang w:eastAsia="ru-RU"/>
        </w:rPr>
        <w:t xml:space="preserve"> riscuril</w:t>
      </w:r>
      <w:r w:rsidR="00DA0895" w:rsidRPr="003F4D72">
        <w:rPr>
          <w:rFonts w:asciiTheme="majorHAnsi" w:eastAsia="Times New Roman" w:hAnsiTheme="majorHAnsi" w:cstheme="majorHAnsi"/>
          <w:sz w:val="24"/>
          <w:szCs w:val="24"/>
          <w:lang w:eastAsia="ru-RU"/>
        </w:rPr>
        <w:t>or de sănătate pentru pacienți.</w:t>
      </w:r>
    </w:p>
    <w:p w14:paraId="0B4D0AD1" w14:textId="08F78D06" w:rsidR="008D561C" w:rsidRPr="003F4D72" w:rsidRDefault="00575F87" w:rsidP="00575F87">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4"/>
          <w:lang w:eastAsia="ru-RU"/>
        </w:rPr>
        <w:t>De asemenea, a</w:t>
      </w:r>
      <w:r w:rsidR="003A33A9" w:rsidRPr="003F4D72">
        <w:rPr>
          <w:rFonts w:asciiTheme="majorHAnsi" w:eastAsia="Times New Roman" w:hAnsiTheme="majorHAnsi" w:cstheme="majorHAnsi"/>
          <w:sz w:val="24"/>
          <w:szCs w:val="24"/>
          <w:lang w:eastAsia="ru-RU"/>
        </w:rPr>
        <w:t>uditul a stabilit că</w:t>
      </w:r>
      <w:r w:rsidR="003F5B87" w:rsidRPr="003F4D72">
        <w:rPr>
          <w:rFonts w:asciiTheme="majorHAnsi" w:eastAsia="Times New Roman" w:hAnsiTheme="majorHAnsi" w:cstheme="majorHAnsi"/>
          <w:sz w:val="24"/>
          <w:szCs w:val="24"/>
          <w:lang w:eastAsia="ru-RU"/>
        </w:rPr>
        <w:t>,</w:t>
      </w:r>
      <w:r w:rsidR="003A33A9" w:rsidRPr="003F4D72">
        <w:rPr>
          <w:rFonts w:asciiTheme="majorHAnsi" w:eastAsia="Times New Roman" w:hAnsiTheme="majorHAnsi" w:cstheme="majorHAnsi"/>
          <w:sz w:val="24"/>
          <w:szCs w:val="24"/>
          <w:lang w:eastAsia="ru-RU"/>
        </w:rPr>
        <w:t xml:space="preserve"> CNAM nu a ajustat/actualizat listele</w:t>
      </w:r>
      <w:r w:rsidR="00B05DB6" w:rsidRPr="003F4D72">
        <w:rPr>
          <w:rFonts w:asciiTheme="majorHAnsi" w:eastAsia="Times New Roman" w:hAnsiTheme="majorHAnsi" w:cstheme="majorHAnsi"/>
          <w:sz w:val="24"/>
          <w:szCs w:val="24"/>
          <w:lang w:eastAsia="ru-RU"/>
        </w:rPr>
        <w:t xml:space="preserve"> de așteptare</w:t>
      </w:r>
      <w:r w:rsidR="003A33A9" w:rsidRPr="003F4D72">
        <w:rPr>
          <w:rFonts w:asciiTheme="majorHAnsi" w:eastAsia="Times New Roman" w:hAnsiTheme="majorHAnsi" w:cstheme="majorHAnsi"/>
          <w:sz w:val="24"/>
          <w:szCs w:val="24"/>
          <w:lang w:eastAsia="ru-RU"/>
        </w:rPr>
        <w:t xml:space="preserve">, deși </w:t>
      </w:r>
      <w:r w:rsidR="006D0EFC" w:rsidRPr="003F4D72">
        <w:rPr>
          <w:rFonts w:asciiTheme="majorHAnsi" w:eastAsia="Times New Roman" w:hAnsiTheme="majorHAnsi" w:cstheme="majorHAnsi"/>
          <w:sz w:val="24"/>
          <w:szCs w:val="24"/>
          <w:lang w:eastAsia="ru-RU"/>
        </w:rPr>
        <w:t>S</w:t>
      </w:r>
      <w:r w:rsidRPr="003F4D72">
        <w:rPr>
          <w:rFonts w:asciiTheme="majorHAnsi" w:eastAsia="Times New Roman" w:hAnsiTheme="majorHAnsi" w:cstheme="majorHAnsi"/>
          <w:sz w:val="24"/>
          <w:szCs w:val="24"/>
          <w:lang w:eastAsia="ru-RU"/>
        </w:rPr>
        <w:t xml:space="preserve">istemul informațional </w:t>
      </w:r>
      <w:r w:rsidR="003F5B87" w:rsidRPr="003F4D72">
        <w:rPr>
          <w:rFonts w:asciiTheme="majorHAnsi" w:eastAsia="Times New Roman" w:hAnsiTheme="majorHAnsi" w:cstheme="majorHAnsi"/>
          <w:sz w:val="24"/>
          <w:szCs w:val="24"/>
          <w:lang w:eastAsia="ru-RU"/>
        </w:rPr>
        <w:t>„</w:t>
      </w:r>
      <w:r w:rsidRPr="003F4D72">
        <w:rPr>
          <w:rFonts w:asciiTheme="majorHAnsi" w:eastAsia="Times New Roman" w:hAnsiTheme="majorHAnsi" w:cstheme="majorHAnsi"/>
          <w:sz w:val="24"/>
          <w:szCs w:val="24"/>
          <w:lang w:eastAsia="ru-RU"/>
        </w:rPr>
        <w:t xml:space="preserve">Evidența </w:t>
      </w:r>
      <w:proofErr w:type="spellStart"/>
      <w:r w:rsidRPr="003F4D72">
        <w:rPr>
          <w:rFonts w:asciiTheme="majorHAnsi" w:eastAsia="Times New Roman" w:hAnsiTheme="majorHAnsi" w:cstheme="majorHAnsi"/>
          <w:sz w:val="24"/>
          <w:szCs w:val="24"/>
          <w:lang w:eastAsia="ru-RU"/>
        </w:rPr>
        <w:t>şi</w:t>
      </w:r>
      <w:proofErr w:type="spellEnd"/>
      <w:r w:rsidRPr="003F4D72">
        <w:rPr>
          <w:rFonts w:asciiTheme="majorHAnsi" w:eastAsia="Times New Roman" w:hAnsiTheme="majorHAnsi" w:cstheme="majorHAnsi"/>
          <w:sz w:val="24"/>
          <w:szCs w:val="24"/>
          <w:lang w:eastAsia="ru-RU"/>
        </w:rPr>
        <w:t xml:space="preserve"> raportarea serviciilor medicale în sistem DRG-online”</w:t>
      </w:r>
      <w:r w:rsidR="006D0EFC" w:rsidRPr="003F4D72">
        <w:rPr>
          <w:rFonts w:asciiTheme="majorHAnsi" w:eastAsia="Times New Roman" w:hAnsiTheme="majorHAnsi" w:cstheme="majorHAnsi"/>
          <w:sz w:val="24"/>
          <w:szCs w:val="24"/>
          <w:lang w:eastAsia="ru-RU"/>
        </w:rPr>
        <w:t>,</w:t>
      </w:r>
      <w:r w:rsidRPr="003F4D72">
        <w:rPr>
          <w:rFonts w:asciiTheme="majorHAnsi" w:eastAsia="Times New Roman" w:hAnsiTheme="majorHAnsi" w:cstheme="majorHAnsi"/>
          <w:sz w:val="24"/>
          <w:szCs w:val="24"/>
          <w:lang w:eastAsia="ru-RU"/>
        </w:rPr>
        <w:t xml:space="preserve"> pe care îl gestionează,</w:t>
      </w:r>
      <w:r w:rsidR="003A33A9" w:rsidRPr="003F4D72">
        <w:rPr>
          <w:rFonts w:asciiTheme="majorHAnsi" w:eastAsia="Times New Roman" w:hAnsiTheme="majorHAnsi" w:cstheme="majorHAnsi"/>
          <w:sz w:val="24"/>
          <w:szCs w:val="24"/>
          <w:lang w:eastAsia="ru-RU"/>
        </w:rPr>
        <w:t xml:space="preserve"> furnizează date cu privire la intervențiile chirurgicale</w:t>
      </w:r>
      <w:r w:rsidR="003A33A9" w:rsidRPr="003F4D72">
        <w:rPr>
          <w:rFonts w:asciiTheme="majorHAnsi" w:eastAsia="Times New Roman" w:hAnsiTheme="majorHAnsi" w:cstheme="majorHAnsi"/>
          <w:sz w:val="24"/>
          <w:szCs w:val="28"/>
          <w:lang w:eastAsia="ru-RU"/>
        </w:rPr>
        <w:t xml:space="preserve"> realizate de către instituțiile medicale,</w:t>
      </w:r>
      <w:r w:rsidR="00BC5FE3" w:rsidRPr="003F4D72">
        <w:rPr>
          <w:rFonts w:asciiTheme="majorHAnsi" w:eastAsia="Times New Roman" w:hAnsiTheme="majorHAnsi" w:cstheme="majorHAnsi"/>
          <w:sz w:val="24"/>
          <w:szCs w:val="28"/>
          <w:lang w:eastAsia="ru-RU"/>
        </w:rPr>
        <w:t xml:space="preserve"> </w:t>
      </w:r>
      <w:r w:rsidR="00207819" w:rsidRPr="003F4D72">
        <w:rPr>
          <w:rFonts w:asciiTheme="majorHAnsi" w:eastAsia="Times New Roman" w:hAnsiTheme="majorHAnsi" w:cstheme="majorHAnsi"/>
          <w:sz w:val="24"/>
          <w:szCs w:val="28"/>
          <w:lang w:eastAsia="ru-RU"/>
        </w:rPr>
        <w:t>date p</w:t>
      </w:r>
      <w:r w:rsidR="00BC5FE3" w:rsidRPr="003F4D72">
        <w:rPr>
          <w:rFonts w:asciiTheme="majorHAnsi" w:eastAsia="Times New Roman" w:hAnsiTheme="majorHAnsi" w:cstheme="majorHAnsi"/>
          <w:sz w:val="24"/>
          <w:szCs w:val="28"/>
          <w:lang w:eastAsia="ru-RU"/>
        </w:rPr>
        <w:t>rezentate în tabelul de mai jos:</w:t>
      </w:r>
    </w:p>
    <w:p w14:paraId="715487CE" w14:textId="71ED639A" w:rsidR="00C67B38" w:rsidRPr="003F4D72" w:rsidRDefault="00C67B38" w:rsidP="00B67258">
      <w:pPr>
        <w:spacing w:after="0" w:line="276" w:lineRule="auto"/>
        <w:ind w:firstLine="567"/>
        <w:jc w:val="center"/>
        <w:rPr>
          <w:rFonts w:asciiTheme="majorHAnsi" w:eastAsia="Times New Roman" w:hAnsiTheme="majorHAnsi" w:cstheme="majorHAnsi"/>
          <w:b/>
          <w:sz w:val="24"/>
          <w:szCs w:val="24"/>
          <w:lang w:eastAsia="ru-RU"/>
        </w:rPr>
      </w:pPr>
      <w:r w:rsidRPr="003F4D72">
        <w:rPr>
          <w:rFonts w:asciiTheme="majorHAnsi" w:eastAsia="Times New Roman" w:hAnsiTheme="majorHAnsi" w:cstheme="majorHAnsi"/>
          <w:b/>
          <w:sz w:val="24"/>
          <w:szCs w:val="24"/>
          <w:lang w:eastAsia="ru-RU"/>
        </w:rPr>
        <w:lastRenderedPageBreak/>
        <w:t xml:space="preserve">Informații privind </w:t>
      </w:r>
      <w:r w:rsidR="00B67258" w:rsidRPr="003F4D72">
        <w:rPr>
          <w:rFonts w:asciiTheme="majorHAnsi" w:eastAsia="Times New Roman" w:hAnsiTheme="majorHAnsi" w:cstheme="majorHAnsi"/>
          <w:b/>
          <w:sz w:val="24"/>
          <w:szCs w:val="24"/>
          <w:lang w:eastAsia="ru-RU"/>
        </w:rPr>
        <w:t xml:space="preserve">datele din lista de așteptare și </w:t>
      </w:r>
      <w:r w:rsidR="006D0EFC" w:rsidRPr="003F4D72">
        <w:rPr>
          <w:rFonts w:asciiTheme="majorHAnsi" w:eastAsia="Times New Roman" w:hAnsiTheme="majorHAnsi" w:cstheme="majorHAnsi"/>
          <w:b/>
          <w:sz w:val="24"/>
          <w:szCs w:val="24"/>
          <w:lang w:eastAsia="ru-RU"/>
        </w:rPr>
        <w:t>din S</w:t>
      </w:r>
      <w:r w:rsidR="00B67258" w:rsidRPr="003F4D72">
        <w:rPr>
          <w:rFonts w:asciiTheme="majorHAnsi" w:eastAsia="Times New Roman" w:hAnsiTheme="majorHAnsi" w:cstheme="majorHAnsi"/>
          <w:b/>
          <w:sz w:val="24"/>
          <w:szCs w:val="24"/>
          <w:lang w:eastAsia="ru-RU"/>
        </w:rPr>
        <w:t xml:space="preserve">istemul informațional </w:t>
      </w:r>
      <w:r w:rsidR="006D0EFC" w:rsidRPr="003F4D72">
        <w:rPr>
          <w:rFonts w:asciiTheme="majorHAnsi" w:eastAsia="Times New Roman" w:hAnsiTheme="majorHAnsi" w:cstheme="majorHAnsi"/>
          <w:b/>
          <w:bCs/>
          <w:color w:val="000000"/>
          <w:sz w:val="24"/>
          <w:szCs w:val="24"/>
        </w:rPr>
        <w:t>„</w:t>
      </w:r>
      <w:r w:rsidR="00B67258" w:rsidRPr="003F4D72">
        <w:rPr>
          <w:rFonts w:asciiTheme="majorHAnsi" w:eastAsia="Times New Roman" w:hAnsiTheme="majorHAnsi" w:cstheme="majorHAnsi"/>
          <w:b/>
          <w:bCs/>
          <w:color w:val="000000"/>
          <w:sz w:val="24"/>
          <w:szCs w:val="24"/>
        </w:rPr>
        <w:t xml:space="preserve">Evidența </w:t>
      </w:r>
      <w:proofErr w:type="spellStart"/>
      <w:r w:rsidR="00B67258" w:rsidRPr="003F4D72">
        <w:rPr>
          <w:rFonts w:asciiTheme="majorHAnsi" w:eastAsia="Times New Roman" w:hAnsiTheme="majorHAnsi" w:cstheme="majorHAnsi"/>
          <w:b/>
          <w:bCs/>
          <w:color w:val="000000"/>
          <w:sz w:val="24"/>
          <w:szCs w:val="24"/>
        </w:rPr>
        <w:t>şi</w:t>
      </w:r>
      <w:proofErr w:type="spellEnd"/>
      <w:r w:rsidR="00B67258" w:rsidRPr="003F4D72">
        <w:rPr>
          <w:rFonts w:asciiTheme="majorHAnsi" w:eastAsia="Times New Roman" w:hAnsiTheme="majorHAnsi" w:cstheme="majorHAnsi"/>
          <w:b/>
          <w:bCs/>
          <w:color w:val="000000"/>
          <w:sz w:val="24"/>
          <w:szCs w:val="24"/>
        </w:rPr>
        <w:t xml:space="preserve"> raportarea serviciilor medicale în sistem DRG-online”</w:t>
      </w:r>
    </w:p>
    <w:p w14:paraId="52CA3DAA" w14:textId="7194D46F" w:rsidR="00D9573B" w:rsidRPr="003F4D72" w:rsidRDefault="00207819" w:rsidP="004D28DE">
      <w:pPr>
        <w:spacing w:after="0" w:line="240" w:lineRule="auto"/>
        <w:ind w:firstLine="708"/>
        <w:jc w:val="right"/>
        <w:rPr>
          <w:rFonts w:asciiTheme="majorHAnsi" w:eastAsia="Times New Roman" w:hAnsiTheme="majorHAnsi" w:cstheme="majorHAnsi"/>
          <w:sz w:val="20"/>
          <w:szCs w:val="28"/>
          <w:lang w:eastAsia="ru-RU"/>
        </w:rPr>
      </w:pPr>
      <w:r w:rsidRPr="003F4D72">
        <w:rPr>
          <w:rFonts w:asciiTheme="majorHAnsi" w:eastAsia="Times New Roman" w:hAnsiTheme="majorHAnsi" w:cstheme="majorHAnsi"/>
          <w:sz w:val="20"/>
          <w:szCs w:val="28"/>
          <w:lang w:eastAsia="ru-RU"/>
        </w:rPr>
        <w:t>Tabelul nr.</w:t>
      </w:r>
      <w:r w:rsidR="000A347E" w:rsidRPr="003F4D72">
        <w:rPr>
          <w:rFonts w:asciiTheme="majorHAnsi" w:eastAsia="Times New Roman" w:hAnsiTheme="majorHAnsi" w:cstheme="majorHAnsi"/>
          <w:sz w:val="20"/>
          <w:szCs w:val="28"/>
          <w:lang w:eastAsia="ru-RU"/>
        </w:rPr>
        <w:t>13</w:t>
      </w:r>
    </w:p>
    <w:tbl>
      <w:tblPr>
        <w:tblStyle w:val="GridTable1Light"/>
        <w:tblW w:w="5000" w:type="pct"/>
        <w:tblLayout w:type="fixed"/>
        <w:tblLook w:val="04A0" w:firstRow="1" w:lastRow="0" w:firstColumn="1" w:lastColumn="0" w:noHBand="0" w:noVBand="1"/>
      </w:tblPr>
      <w:tblGrid>
        <w:gridCol w:w="3113"/>
        <w:gridCol w:w="1315"/>
        <w:gridCol w:w="1328"/>
        <w:gridCol w:w="1290"/>
        <w:gridCol w:w="2304"/>
      </w:tblGrid>
      <w:tr w:rsidR="00D56BF6" w:rsidRPr="003F4D72" w14:paraId="50C751DE" w14:textId="77777777" w:rsidTr="00B6725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665" w:type="pct"/>
            <w:vMerge w:val="restart"/>
            <w:hideMark/>
          </w:tcPr>
          <w:p w14:paraId="372A3DF0" w14:textId="77777777" w:rsidR="00D56BF6" w:rsidRPr="003F4D72" w:rsidRDefault="00D56BF6" w:rsidP="00265356">
            <w:pPr>
              <w:tabs>
                <w:tab w:val="left" w:pos="2297"/>
              </w:tabs>
              <w:jc w:val="cente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Denumirea programului special</w:t>
            </w:r>
          </w:p>
        </w:tc>
        <w:tc>
          <w:tcPr>
            <w:tcW w:w="1413" w:type="pct"/>
            <w:gridSpan w:val="2"/>
            <w:hideMark/>
          </w:tcPr>
          <w:p w14:paraId="6A96F2D5" w14:textId="77777777" w:rsidR="00D56BF6" w:rsidRPr="003F4D72" w:rsidRDefault="00D56BF6" w:rsidP="0020781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Conform listelor transmise</w:t>
            </w:r>
          </w:p>
        </w:tc>
        <w:tc>
          <w:tcPr>
            <w:tcW w:w="1922" w:type="pct"/>
            <w:gridSpan w:val="2"/>
            <w:hideMark/>
          </w:tcPr>
          <w:p w14:paraId="3BEEBCA1" w14:textId="3B12F186" w:rsidR="00D56BF6" w:rsidRPr="003F4D72" w:rsidRDefault="00D56BF6" w:rsidP="006D0EFC">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Informații SI </w:t>
            </w:r>
            <w:r w:rsidR="006D0EFC" w:rsidRPr="003F4D72">
              <w:rPr>
                <w:rFonts w:asciiTheme="majorHAnsi" w:eastAsia="Times New Roman" w:hAnsiTheme="majorHAnsi" w:cstheme="majorHAnsi"/>
                <w:color w:val="000000"/>
                <w:sz w:val="20"/>
                <w:szCs w:val="20"/>
              </w:rPr>
              <w:t>„</w:t>
            </w:r>
            <w:r w:rsidRPr="003F4D72">
              <w:rPr>
                <w:rFonts w:asciiTheme="majorHAnsi" w:eastAsia="Times New Roman" w:hAnsiTheme="majorHAnsi" w:cstheme="majorHAnsi"/>
                <w:color w:val="000000"/>
                <w:sz w:val="20"/>
                <w:szCs w:val="20"/>
              </w:rPr>
              <w:t xml:space="preserve">Evidența </w:t>
            </w:r>
            <w:proofErr w:type="spellStart"/>
            <w:r w:rsidRPr="003F4D72">
              <w:rPr>
                <w:rFonts w:asciiTheme="majorHAnsi" w:eastAsia="Times New Roman" w:hAnsiTheme="majorHAnsi" w:cstheme="majorHAnsi"/>
                <w:color w:val="000000"/>
                <w:sz w:val="20"/>
                <w:szCs w:val="20"/>
              </w:rPr>
              <w:t>şi</w:t>
            </w:r>
            <w:proofErr w:type="spellEnd"/>
            <w:r w:rsidRPr="003F4D72">
              <w:rPr>
                <w:rFonts w:asciiTheme="majorHAnsi" w:eastAsia="Times New Roman" w:hAnsiTheme="majorHAnsi" w:cstheme="majorHAnsi"/>
                <w:color w:val="000000"/>
                <w:sz w:val="20"/>
                <w:szCs w:val="20"/>
              </w:rPr>
              <w:t xml:space="preserve"> raportarea serviciilor medicale în sistem DRG-online”</w:t>
            </w:r>
          </w:p>
        </w:tc>
      </w:tr>
      <w:tr w:rsidR="00D56BF6" w:rsidRPr="003F4D72" w14:paraId="29176C66" w14:textId="77777777" w:rsidTr="00B67258">
        <w:trPr>
          <w:trHeight w:val="1570"/>
        </w:trPr>
        <w:tc>
          <w:tcPr>
            <w:cnfStyle w:val="001000000000" w:firstRow="0" w:lastRow="0" w:firstColumn="1" w:lastColumn="0" w:oddVBand="0" w:evenVBand="0" w:oddHBand="0" w:evenHBand="0" w:firstRowFirstColumn="0" w:firstRowLastColumn="0" w:lastRowFirstColumn="0" w:lastRowLastColumn="0"/>
            <w:tcW w:w="1665" w:type="pct"/>
            <w:vMerge/>
            <w:hideMark/>
          </w:tcPr>
          <w:p w14:paraId="099C8246" w14:textId="77777777" w:rsidR="00D56BF6" w:rsidRPr="003F4D72" w:rsidRDefault="00D56BF6" w:rsidP="00207819">
            <w:pPr>
              <w:rPr>
                <w:rFonts w:asciiTheme="majorHAnsi" w:eastAsia="Times New Roman" w:hAnsiTheme="majorHAnsi" w:cstheme="majorHAnsi"/>
                <w:b w:val="0"/>
                <w:bCs w:val="0"/>
                <w:color w:val="000000"/>
                <w:sz w:val="20"/>
                <w:szCs w:val="20"/>
              </w:rPr>
            </w:pPr>
          </w:p>
        </w:tc>
        <w:tc>
          <w:tcPr>
            <w:tcW w:w="703" w:type="pct"/>
            <w:hideMark/>
          </w:tcPr>
          <w:p w14:paraId="543E7BFD" w14:textId="77777777" w:rsidR="00D56BF6" w:rsidRPr="003F4D72" w:rsidRDefault="00D56BF6" w:rsidP="004577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Numărul total al persoanelor din Listele de așteptare</w:t>
            </w:r>
          </w:p>
        </w:tc>
        <w:tc>
          <w:tcPr>
            <w:tcW w:w="710" w:type="pct"/>
            <w:hideMark/>
          </w:tcPr>
          <w:p w14:paraId="7C277A77" w14:textId="77777777" w:rsidR="00D56BF6" w:rsidRPr="003F4D72" w:rsidRDefault="00D56BF6" w:rsidP="004577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 xml:space="preserve">Numărul persoanelor cu statut </w:t>
            </w:r>
            <w:r w:rsidRPr="003F4D72">
              <w:rPr>
                <w:rFonts w:asciiTheme="majorHAnsi" w:eastAsia="Times New Roman" w:hAnsiTheme="majorHAnsi" w:cstheme="majorHAnsi"/>
                <w:b/>
                <w:bCs/>
                <w:i/>
                <w:color w:val="000000"/>
                <w:sz w:val="20"/>
                <w:szCs w:val="20"/>
              </w:rPr>
              <w:t>”în așteptare”</w:t>
            </w:r>
          </w:p>
        </w:tc>
        <w:tc>
          <w:tcPr>
            <w:tcW w:w="690" w:type="pct"/>
            <w:hideMark/>
          </w:tcPr>
          <w:p w14:paraId="1192141B" w14:textId="77777777" w:rsidR="00D56BF6" w:rsidRPr="003F4D72" w:rsidRDefault="00D56BF6" w:rsidP="004577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Numărul total de intervenții efectuate și raportate în SI DRG</w:t>
            </w:r>
          </w:p>
        </w:tc>
        <w:tc>
          <w:tcPr>
            <w:tcW w:w="1232" w:type="pct"/>
            <w:hideMark/>
          </w:tcPr>
          <w:p w14:paraId="2C1A0070" w14:textId="77777777" w:rsidR="00D56BF6" w:rsidRPr="003F4D72" w:rsidRDefault="00D56BF6" w:rsidP="0020781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Numărul</w:t>
            </w:r>
          </w:p>
          <w:p w14:paraId="7C8F9E1A" w14:textId="60C86EC7" w:rsidR="00D56BF6" w:rsidRPr="003F4D72" w:rsidRDefault="00D56BF6" w:rsidP="004577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 xml:space="preserve">persoanelor cu statut </w:t>
            </w:r>
            <w:r w:rsidR="006D0EFC" w:rsidRPr="003F4D72">
              <w:rPr>
                <w:rFonts w:asciiTheme="majorHAnsi" w:eastAsia="Times New Roman" w:hAnsiTheme="majorHAnsi" w:cstheme="majorHAnsi"/>
                <w:b/>
                <w:bCs/>
                <w:i/>
                <w:color w:val="000000"/>
                <w:sz w:val="20"/>
                <w:szCs w:val="20"/>
              </w:rPr>
              <w:t>„</w:t>
            </w:r>
            <w:r w:rsidRPr="003F4D72">
              <w:rPr>
                <w:rFonts w:asciiTheme="majorHAnsi" w:eastAsia="Times New Roman" w:hAnsiTheme="majorHAnsi" w:cstheme="majorHAnsi"/>
                <w:b/>
                <w:bCs/>
                <w:i/>
                <w:color w:val="000000"/>
                <w:sz w:val="20"/>
                <w:szCs w:val="20"/>
              </w:rPr>
              <w:t>în așteptare”</w:t>
            </w:r>
            <w:r w:rsidRPr="003F4D72">
              <w:rPr>
                <w:rFonts w:asciiTheme="majorHAnsi" w:eastAsia="Times New Roman" w:hAnsiTheme="majorHAnsi" w:cstheme="majorHAnsi"/>
                <w:b/>
                <w:bCs/>
                <w:color w:val="000000"/>
                <w:sz w:val="20"/>
                <w:szCs w:val="20"/>
              </w:rPr>
              <w:t xml:space="preserve"> </w:t>
            </w:r>
          </w:p>
          <w:p w14:paraId="2CB14E59" w14:textId="77777777" w:rsidR="00D56BF6" w:rsidRPr="003F4D72" w:rsidRDefault="00D56BF6" w:rsidP="004577F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care au beneficiat de intervenții chirurgicale</w:t>
            </w:r>
          </w:p>
        </w:tc>
      </w:tr>
      <w:tr w:rsidR="00D56BF6" w:rsidRPr="003F4D72" w14:paraId="6B8DA9D7" w14:textId="77777777" w:rsidTr="00B67258">
        <w:trPr>
          <w:trHeight w:val="290"/>
        </w:trPr>
        <w:tc>
          <w:tcPr>
            <w:cnfStyle w:val="001000000000" w:firstRow="0" w:lastRow="0" w:firstColumn="1" w:lastColumn="0" w:oddVBand="0" w:evenVBand="0" w:oddHBand="0" w:evenHBand="0" w:firstRowFirstColumn="0" w:firstRowLastColumn="0" w:lastRowFirstColumn="0" w:lastRowLastColumn="0"/>
            <w:tcW w:w="1665" w:type="pct"/>
            <w:hideMark/>
          </w:tcPr>
          <w:p w14:paraId="02A64426" w14:textId="77777777" w:rsidR="00D56BF6" w:rsidRPr="003F4D72" w:rsidRDefault="00D56BF6" w:rsidP="00207819">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Protezarea articulațiilor mari</w:t>
            </w:r>
          </w:p>
        </w:tc>
        <w:tc>
          <w:tcPr>
            <w:tcW w:w="703" w:type="pct"/>
            <w:hideMark/>
          </w:tcPr>
          <w:p w14:paraId="3F911708"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18345</w:t>
            </w:r>
          </w:p>
        </w:tc>
        <w:tc>
          <w:tcPr>
            <w:tcW w:w="710" w:type="pct"/>
            <w:hideMark/>
          </w:tcPr>
          <w:p w14:paraId="3C2D74B6"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8967</w:t>
            </w:r>
          </w:p>
        </w:tc>
        <w:tc>
          <w:tcPr>
            <w:tcW w:w="690" w:type="pct"/>
            <w:hideMark/>
          </w:tcPr>
          <w:p w14:paraId="36E33CB0"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2635</w:t>
            </w:r>
          </w:p>
        </w:tc>
        <w:tc>
          <w:tcPr>
            <w:tcW w:w="1232" w:type="pct"/>
            <w:hideMark/>
          </w:tcPr>
          <w:p w14:paraId="469C0C38"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345</w:t>
            </w:r>
          </w:p>
        </w:tc>
      </w:tr>
      <w:tr w:rsidR="00D56BF6" w:rsidRPr="003F4D72" w14:paraId="4AE9FE7C" w14:textId="77777777" w:rsidTr="00B67258">
        <w:trPr>
          <w:trHeight w:val="300"/>
        </w:trPr>
        <w:tc>
          <w:tcPr>
            <w:cnfStyle w:val="001000000000" w:firstRow="0" w:lastRow="0" w:firstColumn="1" w:lastColumn="0" w:oddVBand="0" w:evenVBand="0" w:oddHBand="0" w:evenHBand="0" w:firstRowFirstColumn="0" w:firstRowLastColumn="0" w:lastRowFirstColumn="0" w:lastRowLastColumn="0"/>
            <w:tcW w:w="1665" w:type="pct"/>
            <w:noWrap/>
            <w:hideMark/>
          </w:tcPr>
          <w:p w14:paraId="34B993B8" w14:textId="044EC4FA" w:rsidR="00D56BF6" w:rsidRPr="003F4D72" w:rsidRDefault="00D56BF6" w:rsidP="006D0EFC">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Tratament operator pentru cataract</w:t>
            </w:r>
            <w:r w:rsidR="006D0EFC" w:rsidRPr="003F4D72">
              <w:rPr>
                <w:rFonts w:asciiTheme="majorHAnsi" w:eastAsia="Times New Roman" w:hAnsiTheme="majorHAnsi" w:cstheme="majorHAnsi"/>
                <w:color w:val="000000"/>
                <w:sz w:val="20"/>
                <w:szCs w:val="20"/>
              </w:rPr>
              <w:t>ă</w:t>
            </w:r>
          </w:p>
        </w:tc>
        <w:tc>
          <w:tcPr>
            <w:tcW w:w="703" w:type="pct"/>
            <w:noWrap/>
            <w:hideMark/>
          </w:tcPr>
          <w:p w14:paraId="4E64C200"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22757</w:t>
            </w:r>
          </w:p>
        </w:tc>
        <w:tc>
          <w:tcPr>
            <w:tcW w:w="710" w:type="pct"/>
            <w:noWrap/>
            <w:hideMark/>
          </w:tcPr>
          <w:p w14:paraId="0A7350C5"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4202</w:t>
            </w:r>
          </w:p>
        </w:tc>
        <w:tc>
          <w:tcPr>
            <w:tcW w:w="690" w:type="pct"/>
            <w:hideMark/>
          </w:tcPr>
          <w:p w14:paraId="04EE5615"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4541</w:t>
            </w:r>
          </w:p>
        </w:tc>
        <w:tc>
          <w:tcPr>
            <w:tcW w:w="1232" w:type="pct"/>
            <w:noWrap/>
            <w:hideMark/>
          </w:tcPr>
          <w:p w14:paraId="4669262A"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409</w:t>
            </w:r>
          </w:p>
        </w:tc>
      </w:tr>
      <w:tr w:rsidR="00D56BF6" w:rsidRPr="003F4D72" w14:paraId="5E7F2D2A" w14:textId="77777777" w:rsidTr="00B67258">
        <w:trPr>
          <w:trHeight w:val="300"/>
        </w:trPr>
        <w:tc>
          <w:tcPr>
            <w:cnfStyle w:val="001000000000" w:firstRow="0" w:lastRow="0" w:firstColumn="1" w:lastColumn="0" w:oddVBand="0" w:evenVBand="0" w:oddHBand="0" w:evenHBand="0" w:firstRowFirstColumn="0" w:firstRowLastColumn="0" w:lastRowFirstColumn="0" w:lastRowLastColumn="0"/>
            <w:tcW w:w="1665" w:type="pct"/>
            <w:noWrap/>
            <w:hideMark/>
          </w:tcPr>
          <w:p w14:paraId="0DD4C41A" w14:textId="77777777" w:rsidR="00D56BF6" w:rsidRPr="003F4D72" w:rsidRDefault="00D56BF6" w:rsidP="00207819">
            <w:pP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TOTAL:</w:t>
            </w:r>
          </w:p>
        </w:tc>
        <w:tc>
          <w:tcPr>
            <w:tcW w:w="703" w:type="pct"/>
            <w:noWrap/>
            <w:hideMark/>
          </w:tcPr>
          <w:p w14:paraId="3673BFE2"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41102</w:t>
            </w:r>
          </w:p>
        </w:tc>
        <w:tc>
          <w:tcPr>
            <w:tcW w:w="710" w:type="pct"/>
            <w:noWrap/>
            <w:hideMark/>
          </w:tcPr>
          <w:p w14:paraId="119521E9"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4202</w:t>
            </w:r>
          </w:p>
        </w:tc>
        <w:tc>
          <w:tcPr>
            <w:tcW w:w="690" w:type="pct"/>
            <w:noWrap/>
            <w:hideMark/>
          </w:tcPr>
          <w:p w14:paraId="2142B533"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7176</w:t>
            </w:r>
          </w:p>
        </w:tc>
        <w:tc>
          <w:tcPr>
            <w:tcW w:w="1232" w:type="pct"/>
            <w:noWrap/>
            <w:hideMark/>
          </w:tcPr>
          <w:p w14:paraId="172E18EE" w14:textId="77777777" w:rsidR="00D56BF6" w:rsidRPr="003F4D72" w:rsidRDefault="00D56BF6" w:rsidP="00207819">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754</w:t>
            </w:r>
          </w:p>
        </w:tc>
      </w:tr>
    </w:tbl>
    <w:p w14:paraId="4FF481C5" w14:textId="34894ABB" w:rsidR="00207819" w:rsidRPr="003F4D72" w:rsidRDefault="00E02458" w:rsidP="00207819">
      <w:pPr>
        <w:spacing w:after="0" w:line="240" w:lineRule="auto"/>
        <w:ind w:right="29" w:firstLine="708"/>
        <w:jc w:val="both"/>
        <w:rPr>
          <w:rFonts w:asciiTheme="majorHAnsi" w:eastAsia="Times New Roman" w:hAnsiTheme="majorHAnsi" w:cstheme="majorHAnsi"/>
          <w:b/>
          <w:i/>
          <w:sz w:val="20"/>
          <w:szCs w:val="20"/>
          <w:lang w:eastAsia="ru-RU"/>
        </w:rPr>
      </w:pPr>
      <w:r w:rsidRPr="003F4D72">
        <w:rPr>
          <w:rFonts w:asciiTheme="majorHAnsi" w:eastAsia="Times New Roman" w:hAnsiTheme="majorHAnsi" w:cstheme="majorHAnsi"/>
          <w:b/>
          <w:i/>
          <w:sz w:val="20"/>
          <w:szCs w:val="20"/>
          <w:lang w:eastAsia="ru-RU"/>
        </w:rPr>
        <w:t>Sursa:</w:t>
      </w:r>
      <w:r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Cs/>
          <w:i/>
          <w:color w:val="000000"/>
          <w:sz w:val="20"/>
          <w:szCs w:val="20"/>
        </w:rPr>
        <w:t xml:space="preserve">Elaborat de audit în baza informațiilor din </w:t>
      </w:r>
      <w:r w:rsidR="006D0EFC" w:rsidRPr="003F4D72">
        <w:rPr>
          <w:rFonts w:asciiTheme="majorHAnsi" w:eastAsia="Times New Roman" w:hAnsiTheme="majorHAnsi" w:cstheme="majorHAnsi"/>
          <w:bCs/>
          <w:i/>
          <w:color w:val="000000"/>
          <w:sz w:val="20"/>
          <w:szCs w:val="20"/>
        </w:rPr>
        <w:t>S</w:t>
      </w:r>
      <w:r w:rsidRPr="003F4D72">
        <w:rPr>
          <w:rFonts w:asciiTheme="majorHAnsi" w:eastAsia="Times New Roman" w:hAnsiTheme="majorHAnsi" w:cstheme="majorHAnsi"/>
          <w:bCs/>
          <w:i/>
          <w:color w:val="000000"/>
          <w:sz w:val="20"/>
          <w:szCs w:val="20"/>
        </w:rPr>
        <w:t xml:space="preserve">istemul informațional </w:t>
      </w:r>
      <w:r w:rsidR="006D0EFC" w:rsidRPr="003F4D72">
        <w:rPr>
          <w:rFonts w:asciiTheme="majorHAnsi" w:eastAsia="Times New Roman" w:hAnsiTheme="majorHAnsi" w:cstheme="majorHAnsi"/>
          <w:bCs/>
          <w:i/>
          <w:color w:val="000000"/>
          <w:sz w:val="20"/>
          <w:szCs w:val="20"/>
        </w:rPr>
        <w:t>„</w:t>
      </w:r>
      <w:r w:rsidRPr="003F4D72">
        <w:rPr>
          <w:rFonts w:asciiTheme="majorHAnsi" w:eastAsia="Times New Roman" w:hAnsiTheme="majorHAnsi" w:cstheme="majorHAnsi"/>
          <w:bCs/>
          <w:i/>
          <w:color w:val="000000"/>
          <w:sz w:val="20"/>
          <w:szCs w:val="20"/>
        </w:rPr>
        <w:t xml:space="preserve">Evidența </w:t>
      </w:r>
      <w:proofErr w:type="spellStart"/>
      <w:r w:rsidRPr="003F4D72">
        <w:rPr>
          <w:rFonts w:asciiTheme="majorHAnsi" w:eastAsia="Times New Roman" w:hAnsiTheme="majorHAnsi" w:cstheme="majorHAnsi"/>
          <w:bCs/>
          <w:i/>
          <w:color w:val="000000"/>
          <w:sz w:val="20"/>
          <w:szCs w:val="20"/>
        </w:rPr>
        <w:t>şi</w:t>
      </w:r>
      <w:proofErr w:type="spellEnd"/>
      <w:r w:rsidRPr="003F4D72">
        <w:rPr>
          <w:rFonts w:asciiTheme="majorHAnsi" w:eastAsia="Times New Roman" w:hAnsiTheme="majorHAnsi" w:cstheme="majorHAnsi"/>
          <w:bCs/>
          <w:i/>
          <w:color w:val="000000"/>
          <w:sz w:val="20"/>
          <w:szCs w:val="20"/>
        </w:rPr>
        <w:t xml:space="preserve"> raportarea serviciilor medicale în sistem DRG-online”.</w:t>
      </w:r>
    </w:p>
    <w:p w14:paraId="7223306A" w14:textId="70148DF9" w:rsidR="00D56BF6" w:rsidRPr="003F4D72" w:rsidRDefault="003A33A9" w:rsidP="00D56BF6">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A</w:t>
      </w:r>
      <w:r w:rsidR="00207819" w:rsidRPr="003F4D72">
        <w:rPr>
          <w:rFonts w:asciiTheme="majorHAnsi" w:eastAsia="Times New Roman" w:hAnsiTheme="majorHAnsi" w:cstheme="majorHAnsi"/>
          <w:sz w:val="24"/>
          <w:szCs w:val="28"/>
          <w:lang w:eastAsia="ru-RU"/>
        </w:rPr>
        <w:t>uditul a stabilit că</w:t>
      </w:r>
      <w:r w:rsidR="006D0EFC" w:rsidRPr="003F4D72">
        <w:rPr>
          <w:rFonts w:asciiTheme="majorHAnsi" w:eastAsia="Times New Roman" w:hAnsiTheme="majorHAnsi" w:cstheme="majorHAnsi"/>
          <w:sz w:val="24"/>
          <w:szCs w:val="28"/>
          <w:lang w:eastAsia="ru-RU"/>
        </w:rPr>
        <w:t>,</w:t>
      </w:r>
      <w:r w:rsidR="003D0DBC" w:rsidRPr="003F4D72">
        <w:rPr>
          <w:rFonts w:asciiTheme="majorHAnsi" w:eastAsia="Times New Roman" w:hAnsiTheme="majorHAnsi" w:cstheme="majorHAnsi"/>
          <w:sz w:val="24"/>
          <w:szCs w:val="28"/>
          <w:lang w:eastAsia="ru-RU"/>
        </w:rPr>
        <w:t xml:space="preserve"> în cadrul listei de așteptare </w:t>
      </w:r>
      <w:r w:rsidR="006D0EFC" w:rsidRPr="003F4D72">
        <w:rPr>
          <w:rFonts w:asciiTheme="majorHAnsi" w:eastAsia="Times New Roman" w:hAnsiTheme="majorHAnsi" w:cstheme="majorHAnsi"/>
          <w:sz w:val="24"/>
          <w:szCs w:val="28"/>
          <w:lang w:eastAsia="ru-RU"/>
        </w:rPr>
        <w:t>„</w:t>
      </w:r>
      <w:r w:rsidR="003D0DBC" w:rsidRPr="003F4D72">
        <w:rPr>
          <w:rFonts w:asciiTheme="majorHAnsi" w:eastAsia="Times New Roman" w:hAnsiTheme="majorHAnsi" w:cstheme="majorHAnsi"/>
          <w:sz w:val="24"/>
          <w:szCs w:val="28"/>
          <w:lang w:eastAsia="ru-RU"/>
        </w:rPr>
        <w:t>Protezarea articulațiilor mari”</w:t>
      </w:r>
      <w:r w:rsidR="00457637" w:rsidRPr="003F4D72">
        <w:rPr>
          <w:rFonts w:asciiTheme="majorHAnsi" w:eastAsia="Times New Roman" w:hAnsiTheme="majorHAnsi" w:cstheme="majorHAnsi"/>
          <w:sz w:val="24"/>
          <w:szCs w:val="28"/>
          <w:lang w:eastAsia="ru-RU"/>
        </w:rPr>
        <w:t xml:space="preserve"> și </w:t>
      </w:r>
      <w:r w:rsidR="006D0EFC" w:rsidRPr="003F4D72">
        <w:rPr>
          <w:rFonts w:asciiTheme="majorHAnsi" w:eastAsia="Times New Roman" w:hAnsiTheme="majorHAnsi" w:cstheme="majorHAnsi"/>
          <w:sz w:val="24"/>
          <w:szCs w:val="28"/>
          <w:lang w:eastAsia="ru-RU"/>
        </w:rPr>
        <w:t>„</w:t>
      </w:r>
      <w:r w:rsidR="003A5559" w:rsidRPr="003F4D72">
        <w:rPr>
          <w:rFonts w:asciiTheme="majorHAnsi" w:eastAsia="Times New Roman" w:hAnsiTheme="majorHAnsi" w:cstheme="majorHAnsi"/>
          <w:sz w:val="24"/>
          <w:szCs w:val="28"/>
          <w:lang w:eastAsia="ru-RU"/>
        </w:rPr>
        <w:t>T</w:t>
      </w:r>
      <w:r w:rsidR="00457637" w:rsidRPr="003F4D72">
        <w:rPr>
          <w:rFonts w:asciiTheme="majorHAnsi" w:eastAsia="Times New Roman" w:hAnsiTheme="majorHAnsi" w:cstheme="majorHAnsi"/>
          <w:sz w:val="24"/>
          <w:szCs w:val="28"/>
          <w:lang w:eastAsia="ru-RU"/>
        </w:rPr>
        <w:t>ratament operator pentru cataract</w:t>
      </w:r>
      <w:r w:rsidR="006D0EFC" w:rsidRPr="003F4D72">
        <w:rPr>
          <w:rFonts w:asciiTheme="majorHAnsi" w:eastAsia="Times New Roman" w:hAnsiTheme="majorHAnsi" w:cstheme="majorHAnsi"/>
          <w:sz w:val="24"/>
          <w:szCs w:val="28"/>
          <w:lang w:eastAsia="ru-RU"/>
        </w:rPr>
        <w:t>ă</w:t>
      </w:r>
      <w:r w:rsidR="00457637" w:rsidRPr="003F4D72">
        <w:rPr>
          <w:rFonts w:asciiTheme="majorHAnsi" w:eastAsia="Times New Roman" w:hAnsiTheme="majorHAnsi" w:cstheme="majorHAnsi"/>
          <w:sz w:val="24"/>
          <w:szCs w:val="28"/>
          <w:lang w:eastAsia="ru-RU"/>
        </w:rPr>
        <w:t>”</w:t>
      </w:r>
      <w:r w:rsidR="003D0DBC" w:rsidRPr="003F4D72">
        <w:rPr>
          <w:rFonts w:asciiTheme="majorHAnsi" w:eastAsia="Times New Roman" w:hAnsiTheme="majorHAnsi" w:cstheme="majorHAnsi"/>
          <w:sz w:val="24"/>
          <w:szCs w:val="28"/>
          <w:lang w:eastAsia="ru-RU"/>
        </w:rPr>
        <w:t xml:space="preserve">, statutul </w:t>
      </w:r>
      <w:r w:rsidR="0085217D" w:rsidRPr="003F4D72">
        <w:rPr>
          <w:rFonts w:asciiTheme="majorHAnsi" w:eastAsia="Times New Roman" w:hAnsiTheme="majorHAnsi" w:cstheme="majorHAnsi"/>
          <w:sz w:val="24"/>
          <w:szCs w:val="28"/>
          <w:lang w:eastAsia="ru-RU"/>
        </w:rPr>
        <w:t xml:space="preserve">a 754 </w:t>
      </w:r>
      <w:r w:rsidR="006D0EFC" w:rsidRPr="003F4D72">
        <w:rPr>
          <w:rFonts w:asciiTheme="majorHAnsi" w:eastAsia="Times New Roman" w:hAnsiTheme="majorHAnsi" w:cstheme="majorHAnsi"/>
          <w:sz w:val="24"/>
          <w:szCs w:val="28"/>
          <w:lang w:eastAsia="ru-RU"/>
        </w:rPr>
        <w:t xml:space="preserve">de </w:t>
      </w:r>
      <w:r w:rsidR="0085217D" w:rsidRPr="003F4D72">
        <w:rPr>
          <w:rFonts w:asciiTheme="majorHAnsi" w:eastAsia="Times New Roman" w:hAnsiTheme="majorHAnsi" w:cstheme="majorHAnsi"/>
          <w:sz w:val="24"/>
          <w:szCs w:val="28"/>
          <w:lang w:eastAsia="ru-RU"/>
        </w:rPr>
        <w:t>pacienți</w:t>
      </w:r>
      <w:r w:rsidR="003D0DBC" w:rsidRPr="003F4D72">
        <w:rPr>
          <w:rFonts w:asciiTheme="majorHAnsi" w:eastAsia="Times New Roman" w:hAnsiTheme="majorHAnsi" w:cstheme="majorHAnsi"/>
          <w:sz w:val="24"/>
          <w:szCs w:val="28"/>
          <w:lang w:eastAsia="ru-RU"/>
        </w:rPr>
        <w:t xml:space="preserve"> care au beneficiat de intervenții chirurgicale </w:t>
      </w:r>
      <w:r w:rsidR="00457637" w:rsidRPr="003F4D72">
        <w:rPr>
          <w:rFonts w:asciiTheme="majorHAnsi" w:eastAsia="Times New Roman" w:hAnsiTheme="majorHAnsi" w:cstheme="majorHAnsi"/>
          <w:sz w:val="24"/>
          <w:szCs w:val="28"/>
          <w:lang w:eastAsia="ru-RU"/>
        </w:rPr>
        <w:t>nu a fost actualizat</w:t>
      </w:r>
      <w:r w:rsidR="00FA37AD" w:rsidRPr="003F4D72">
        <w:rPr>
          <w:rFonts w:asciiTheme="majorHAnsi" w:eastAsia="Times New Roman" w:hAnsiTheme="majorHAnsi" w:cstheme="majorHAnsi"/>
          <w:sz w:val="24"/>
          <w:szCs w:val="28"/>
          <w:lang w:eastAsia="ru-RU"/>
        </w:rPr>
        <w:t xml:space="preserve">, </w:t>
      </w:r>
      <w:r w:rsidR="00FA37AD" w:rsidRPr="003F4D72">
        <w:rPr>
          <w:rFonts w:ascii="Calibri Light" w:hAnsi="Calibri Light"/>
          <w:sz w:val="24"/>
        </w:rPr>
        <w:t>ceea ce subminează evaluarea și raportarea datelor.</w:t>
      </w:r>
    </w:p>
    <w:p w14:paraId="4B054825" w14:textId="1A88EC21" w:rsidR="00B05DB6" w:rsidRPr="003F4D72" w:rsidRDefault="00457637" w:rsidP="00C50430">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 xml:space="preserve">Astfel, </w:t>
      </w:r>
      <w:r w:rsidR="00207819" w:rsidRPr="003F4D72">
        <w:rPr>
          <w:rFonts w:asciiTheme="majorHAnsi" w:eastAsia="Times New Roman" w:hAnsiTheme="majorHAnsi" w:cstheme="majorHAnsi"/>
          <w:sz w:val="24"/>
          <w:szCs w:val="28"/>
          <w:lang w:eastAsia="ru-RU"/>
        </w:rPr>
        <w:t xml:space="preserve">în </w:t>
      </w:r>
      <w:r w:rsidR="006D0EFC" w:rsidRPr="003F4D72">
        <w:rPr>
          <w:rFonts w:asciiTheme="majorHAnsi" w:eastAsia="Times New Roman" w:hAnsiTheme="majorHAnsi" w:cstheme="majorHAnsi"/>
          <w:sz w:val="24"/>
          <w:szCs w:val="28"/>
          <w:lang w:eastAsia="ru-RU"/>
        </w:rPr>
        <w:t>S</w:t>
      </w:r>
      <w:r w:rsidR="00207819" w:rsidRPr="003F4D72">
        <w:rPr>
          <w:rFonts w:asciiTheme="majorHAnsi" w:eastAsia="Times New Roman" w:hAnsiTheme="majorHAnsi" w:cstheme="majorHAnsi"/>
          <w:sz w:val="24"/>
          <w:szCs w:val="28"/>
          <w:lang w:eastAsia="ru-RU"/>
        </w:rPr>
        <w:t xml:space="preserve">istemul informațional DRG au fost </w:t>
      </w:r>
      <w:r w:rsidR="0068066E" w:rsidRPr="003F4D72">
        <w:rPr>
          <w:rFonts w:asciiTheme="majorHAnsi" w:eastAsia="Times New Roman" w:hAnsiTheme="majorHAnsi" w:cstheme="majorHAnsi"/>
          <w:sz w:val="24"/>
          <w:szCs w:val="28"/>
          <w:lang w:eastAsia="ru-RU"/>
        </w:rPr>
        <w:t>raportate</w:t>
      </w:r>
      <w:r w:rsidR="00E57218" w:rsidRPr="003F4D72">
        <w:rPr>
          <w:rFonts w:asciiTheme="majorHAnsi" w:eastAsia="Times New Roman" w:hAnsiTheme="majorHAnsi" w:cstheme="majorHAnsi"/>
          <w:sz w:val="24"/>
          <w:szCs w:val="28"/>
          <w:lang w:eastAsia="ru-RU"/>
        </w:rPr>
        <w:t xml:space="preserve"> date referitor la faptul</w:t>
      </w:r>
      <w:r w:rsidR="00D56BF6" w:rsidRPr="003F4D72">
        <w:rPr>
          <w:rFonts w:asciiTheme="majorHAnsi" w:eastAsia="Times New Roman" w:hAnsiTheme="majorHAnsi" w:cstheme="majorHAnsi"/>
          <w:sz w:val="24"/>
          <w:szCs w:val="28"/>
          <w:lang w:eastAsia="ru-RU"/>
        </w:rPr>
        <w:t xml:space="preserve"> că 2</w:t>
      </w:r>
      <w:r w:rsidR="00971216" w:rsidRPr="003F4D72">
        <w:rPr>
          <w:rFonts w:asciiTheme="majorHAnsi" w:eastAsia="Times New Roman" w:hAnsiTheme="majorHAnsi" w:cstheme="majorHAnsi"/>
          <w:sz w:val="24"/>
          <w:szCs w:val="28"/>
          <w:lang w:eastAsia="ru-RU"/>
        </w:rPr>
        <w:t xml:space="preserve"> </w:t>
      </w:r>
      <w:r w:rsidR="00D56BF6" w:rsidRPr="003F4D72">
        <w:rPr>
          <w:rFonts w:asciiTheme="majorHAnsi" w:eastAsia="Times New Roman" w:hAnsiTheme="majorHAnsi" w:cstheme="majorHAnsi"/>
          <w:sz w:val="24"/>
          <w:szCs w:val="28"/>
          <w:lang w:eastAsia="ru-RU"/>
        </w:rPr>
        <w:t xml:space="preserve">635 </w:t>
      </w:r>
      <w:r w:rsidR="006D0EFC" w:rsidRPr="003F4D72">
        <w:rPr>
          <w:rFonts w:asciiTheme="majorHAnsi" w:eastAsia="Times New Roman" w:hAnsiTheme="majorHAnsi" w:cstheme="majorHAnsi"/>
          <w:sz w:val="24"/>
          <w:szCs w:val="28"/>
          <w:lang w:eastAsia="ru-RU"/>
        </w:rPr>
        <w:t xml:space="preserve">de </w:t>
      </w:r>
      <w:r w:rsidR="00D56BF6" w:rsidRPr="003F4D72">
        <w:rPr>
          <w:rFonts w:asciiTheme="majorHAnsi" w:eastAsia="Times New Roman" w:hAnsiTheme="majorHAnsi" w:cstheme="majorHAnsi"/>
          <w:sz w:val="24"/>
          <w:szCs w:val="28"/>
          <w:lang w:eastAsia="ru-RU"/>
        </w:rPr>
        <w:t>persoane au beneficiat de</w:t>
      </w:r>
      <w:r w:rsidR="00207819" w:rsidRPr="003F4D72">
        <w:rPr>
          <w:rFonts w:asciiTheme="majorHAnsi" w:eastAsia="Times New Roman" w:hAnsiTheme="majorHAnsi" w:cstheme="majorHAnsi"/>
          <w:sz w:val="24"/>
          <w:szCs w:val="28"/>
          <w:lang w:eastAsia="ru-RU"/>
        </w:rPr>
        <w:t xml:space="preserve"> intervenții în cadrul programului special „P</w:t>
      </w:r>
      <w:r w:rsidR="003A5559" w:rsidRPr="003F4D72">
        <w:rPr>
          <w:rFonts w:asciiTheme="majorHAnsi" w:eastAsia="Times New Roman" w:hAnsiTheme="majorHAnsi" w:cstheme="majorHAnsi"/>
          <w:sz w:val="24"/>
          <w:szCs w:val="28"/>
          <w:lang w:eastAsia="ru-RU"/>
        </w:rPr>
        <w:t xml:space="preserve">rotezarea articulațiilor mari”, </w:t>
      </w:r>
      <w:r w:rsidR="00E57218" w:rsidRPr="003F4D72">
        <w:rPr>
          <w:rFonts w:asciiTheme="majorHAnsi" w:eastAsia="Times New Roman" w:hAnsiTheme="majorHAnsi" w:cstheme="majorHAnsi"/>
          <w:sz w:val="24"/>
          <w:szCs w:val="28"/>
          <w:lang w:eastAsia="ru-RU"/>
        </w:rPr>
        <w:t>în timp ce</w:t>
      </w:r>
      <w:r w:rsidR="003A5559" w:rsidRPr="003F4D72">
        <w:rPr>
          <w:rFonts w:asciiTheme="majorHAnsi" w:eastAsia="Times New Roman" w:hAnsiTheme="majorHAnsi" w:cstheme="majorHAnsi"/>
          <w:sz w:val="24"/>
          <w:szCs w:val="28"/>
          <w:lang w:eastAsia="ru-RU"/>
        </w:rPr>
        <w:t xml:space="preserve"> pentru </w:t>
      </w:r>
      <w:r w:rsidR="00207819" w:rsidRPr="003F4D72">
        <w:rPr>
          <w:rFonts w:asciiTheme="majorHAnsi" w:eastAsia="Times New Roman" w:hAnsiTheme="majorHAnsi" w:cstheme="majorHAnsi"/>
          <w:sz w:val="24"/>
          <w:szCs w:val="28"/>
          <w:lang w:eastAsia="ru-RU"/>
        </w:rPr>
        <w:t>345 de persoane</w:t>
      </w:r>
      <w:r w:rsidR="003A5559" w:rsidRPr="003F4D72">
        <w:rPr>
          <w:rFonts w:asciiTheme="majorHAnsi" w:eastAsia="Times New Roman" w:hAnsiTheme="majorHAnsi" w:cstheme="majorHAnsi"/>
          <w:sz w:val="24"/>
          <w:szCs w:val="28"/>
          <w:lang w:eastAsia="ru-RU"/>
        </w:rPr>
        <w:t xml:space="preserve"> care au beneficiat de servicii medicale statutul este </w:t>
      </w:r>
      <w:r w:rsidR="00E57218" w:rsidRPr="003F4D72">
        <w:rPr>
          <w:rFonts w:asciiTheme="majorHAnsi" w:eastAsia="Times New Roman" w:hAnsiTheme="majorHAnsi" w:cstheme="majorHAnsi"/>
          <w:sz w:val="24"/>
          <w:szCs w:val="28"/>
          <w:lang w:eastAsia="ru-RU"/>
        </w:rPr>
        <w:t>„</w:t>
      </w:r>
      <w:r w:rsidR="003A5559" w:rsidRPr="003F4D72">
        <w:rPr>
          <w:rFonts w:asciiTheme="majorHAnsi" w:eastAsia="Times New Roman" w:hAnsiTheme="majorHAnsi" w:cstheme="majorHAnsi"/>
          <w:sz w:val="24"/>
          <w:szCs w:val="28"/>
          <w:lang w:eastAsia="ru-RU"/>
        </w:rPr>
        <w:t>în așteptare”</w:t>
      </w:r>
      <w:r w:rsidR="00485D3D" w:rsidRPr="003F4D72">
        <w:rPr>
          <w:rFonts w:asciiTheme="majorHAnsi" w:eastAsia="Times New Roman" w:hAnsiTheme="majorHAnsi" w:cstheme="majorHAnsi"/>
          <w:sz w:val="24"/>
          <w:szCs w:val="28"/>
          <w:lang w:eastAsia="ru-RU"/>
        </w:rPr>
        <w:t xml:space="preserve">. </w:t>
      </w:r>
      <w:r w:rsidRPr="003F4D72">
        <w:rPr>
          <w:rFonts w:asciiTheme="majorHAnsi" w:eastAsia="Times New Roman" w:hAnsiTheme="majorHAnsi" w:cstheme="majorHAnsi"/>
          <w:sz w:val="24"/>
          <w:szCs w:val="28"/>
          <w:lang w:eastAsia="ru-RU"/>
        </w:rPr>
        <w:t>Î</w:t>
      </w:r>
      <w:r w:rsidR="00207819" w:rsidRPr="003F4D72">
        <w:rPr>
          <w:rFonts w:asciiTheme="majorHAnsi" w:eastAsia="Times New Roman" w:hAnsiTheme="majorHAnsi" w:cstheme="majorHAnsi"/>
          <w:sz w:val="24"/>
          <w:szCs w:val="28"/>
          <w:lang w:eastAsia="ru-RU"/>
        </w:rPr>
        <w:t>n cazul programului special „Tratam</w:t>
      </w:r>
      <w:r w:rsidR="00C24658" w:rsidRPr="003F4D72">
        <w:rPr>
          <w:rFonts w:asciiTheme="majorHAnsi" w:eastAsia="Times New Roman" w:hAnsiTheme="majorHAnsi" w:cstheme="majorHAnsi"/>
          <w:sz w:val="24"/>
          <w:szCs w:val="28"/>
          <w:lang w:eastAsia="ru-RU"/>
        </w:rPr>
        <w:t>entul operator la cataractă”</w:t>
      </w:r>
      <w:r w:rsidR="00E57218" w:rsidRPr="003F4D72">
        <w:rPr>
          <w:rFonts w:asciiTheme="majorHAnsi" w:eastAsia="Times New Roman" w:hAnsiTheme="majorHAnsi" w:cstheme="majorHAnsi"/>
          <w:sz w:val="24"/>
          <w:szCs w:val="28"/>
          <w:lang w:eastAsia="ru-RU"/>
        </w:rPr>
        <w:t>,</w:t>
      </w:r>
      <w:r w:rsidR="00C24658" w:rsidRPr="003F4D72">
        <w:rPr>
          <w:rFonts w:asciiTheme="majorHAnsi" w:eastAsia="Times New Roman" w:hAnsiTheme="majorHAnsi" w:cstheme="majorHAnsi"/>
          <w:sz w:val="24"/>
          <w:szCs w:val="28"/>
          <w:lang w:eastAsia="ru-RU"/>
        </w:rPr>
        <w:t xml:space="preserve"> </w:t>
      </w:r>
      <w:r w:rsidR="00485D3D" w:rsidRPr="003F4D72">
        <w:rPr>
          <w:rFonts w:asciiTheme="majorHAnsi" w:eastAsia="Times New Roman" w:hAnsiTheme="majorHAnsi" w:cstheme="majorHAnsi"/>
          <w:sz w:val="24"/>
          <w:szCs w:val="28"/>
          <w:lang w:eastAsia="ru-RU"/>
        </w:rPr>
        <w:t xml:space="preserve">pentru 409 persoane care au beneficiat de intervenții medicale statutul nu a fost modificat. </w:t>
      </w:r>
      <w:r w:rsidR="004F5C6B" w:rsidRPr="003F4D72">
        <w:rPr>
          <w:rFonts w:asciiTheme="majorHAnsi" w:eastAsia="Calibri" w:hAnsiTheme="majorHAnsi" w:cs="Times New Roman"/>
          <w:sz w:val="24"/>
          <w:szCs w:val="28"/>
        </w:rPr>
        <w:t>Se relevă că accesul persoanelor la aceste tipuri de servicii este limitat din cauza neactualizării datelor, ceea ce creează impedimente pentru diminuarea listei și accelerarea beneficierii de servicii.</w:t>
      </w:r>
    </w:p>
    <w:p w14:paraId="24AD942D" w14:textId="0E194B89" w:rsidR="00442106" w:rsidRPr="003F4D72" w:rsidRDefault="00C50430" w:rsidP="00BB4ACC">
      <w:pPr>
        <w:spacing w:after="0" w:line="276" w:lineRule="auto"/>
        <w:ind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Totodată, c</w:t>
      </w:r>
      <w:r w:rsidR="00207819" w:rsidRPr="003F4D72">
        <w:rPr>
          <w:rFonts w:asciiTheme="majorHAnsi" w:eastAsia="Times New Roman" w:hAnsiTheme="majorHAnsi" w:cstheme="majorHAnsi"/>
          <w:sz w:val="24"/>
          <w:szCs w:val="28"/>
          <w:lang w:eastAsia="ru-RU"/>
        </w:rPr>
        <w:t xml:space="preserve">onform prevederilor </w:t>
      </w:r>
      <w:r w:rsidRPr="003F4D72">
        <w:rPr>
          <w:rFonts w:asciiTheme="majorHAnsi" w:eastAsia="Times New Roman" w:hAnsiTheme="majorHAnsi" w:cstheme="majorHAnsi"/>
          <w:sz w:val="24"/>
          <w:szCs w:val="28"/>
          <w:lang w:eastAsia="ru-RU"/>
        </w:rPr>
        <w:t>normative</w:t>
      </w:r>
      <w:r w:rsidRPr="003F4D72">
        <w:rPr>
          <w:rStyle w:val="FootnoteReference"/>
          <w:rFonts w:asciiTheme="majorHAnsi" w:eastAsia="Times New Roman" w:hAnsiTheme="majorHAnsi" w:cstheme="majorHAnsi"/>
          <w:sz w:val="24"/>
          <w:szCs w:val="28"/>
          <w:lang w:eastAsia="ru-RU"/>
        </w:rPr>
        <w:footnoteReference w:id="42"/>
      </w:r>
      <w:r w:rsidR="00207819" w:rsidRPr="003F4D72">
        <w:rPr>
          <w:rFonts w:asciiTheme="majorHAnsi" w:eastAsia="Times New Roman" w:hAnsiTheme="majorHAnsi" w:cstheme="majorHAnsi"/>
          <w:sz w:val="24"/>
          <w:szCs w:val="28"/>
          <w:lang w:eastAsia="ru-RU"/>
        </w:rPr>
        <w:t>,</w:t>
      </w:r>
      <w:r w:rsidRPr="003F4D72">
        <w:rPr>
          <w:rFonts w:asciiTheme="majorHAnsi" w:eastAsia="Times New Roman" w:hAnsiTheme="majorHAnsi" w:cstheme="majorHAnsi"/>
          <w:sz w:val="24"/>
          <w:szCs w:val="28"/>
          <w:lang w:eastAsia="ru-RU"/>
        </w:rPr>
        <w:t xml:space="preserve"> pentru aceste două programe speciale,</w:t>
      </w:r>
      <w:r w:rsidR="00207819" w:rsidRPr="003F4D72">
        <w:rPr>
          <w:rFonts w:asciiTheme="majorHAnsi" w:eastAsia="Times New Roman" w:hAnsiTheme="majorHAnsi" w:cstheme="majorHAnsi"/>
          <w:sz w:val="24"/>
          <w:szCs w:val="28"/>
          <w:lang w:eastAsia="ru-RU"/>
        </w:rPr>
        <w:t xml:space="preserve"> </w:t>
      </w:r>
      <w:r w:rsidRPr="003F4D72">
        <w:rPr>
          <w:rFonts w:asciiTheme="majorHAnsi" w:eastAsia="Times New Roman" w:hAnsiTheme="majorHAnsi" w:cstheme="majorHAnsi"/>
          <w:sz w:val="24"/>
          <w:szCs w:val="28"/>
          <w:lang w:eastAsia="ru-RU"/>
        </w:rPr>
        <w:t>CNAM urma să elaboreze Listele</w:t>
      </w:r>
      <w:r w:rsidR="007405AE" w:rsidRPr="003F4D72">
        <w:rPr>
          <w:rFonts w:asciiTheme="majorHAnsi" w:eastAsia="Times New Roman" w:hAnsiTheme="majorHAnsi" w:cstheme="majorHAnsi"/>
          <w:sz w:val="24"/>
          <w:szCs w:val="28"/>
          <w:lang w:eastAsia="ru-RU"/>
        </w:rPr>
        <w:t xml:space="preserve"> de </w:t>
      </w:r>
      <w:r w:rsidR="000F64F2" w:rsidRPr="003F4D72">
        <w:rPr>
          <w:rFonts w:asciiTheme="majorHAnsi" w:eastAsia="Times New Roman" w:hAnsiTheme="majorHAnsi" w:cstheme="majorHAnsi"/>
          <w:sz w:val="24"/>
          <w:szCs w:val="28"/>
          <w:lang w:eastAsia="ru-RU"/>
        </w:rPr>
        <w:t>așteptare</w:t>
      </w:r>
      <w:r w:rsidR="007405AE" w:rsidRPr="003F4D72">
        <w:rPr>
          <w:rFonts w:asciiTheme="majorHAnsi" w:eastAsia="Times New Roman" w:hAnsiTheme="majorHAnsi" w:cstheme="majorHAnsi"/>
          <w:sz w:val="24"/>
          <w:szCs w:val="28"/>
          <w:lang w:eastAsia="ru-RU"/>
        </w:rPr>
        <w:t xml:space="preserve"> generală</w:t>
      </w:r>
      <w:r w:rsidRPr="003F4D72">
        <w:rPr>
          <w:rFonts w:asciiTheme="majorHAnsi" w:eastAsia="Times New Roman" w:hAnsiTheme="majorHAnsi" w:cstheme="majorHAnsi"/>
          <w:sz w:val="24"/>
          <w:szCs w:val="28"/>
          <w:lang w:eastAsia="ru-RU"/>
        </w:rPr>
        <w:t xml:space="preserve"> și să</w:t>
      </w:r>
      <w:r w:rsidR="007405AE" w:rsidRPr="003F4D72">
        <w:rPr>
          <w:rFonts w:asciiTheme="majorHAnsi" w:eastAsia="Times New Roman" w:hAnsiTheme="majorHAnsi" w:cstheme="majorHAnsi"/>
          <w:sz w:val="24"/>
          <w:szCs w:val="28"/>
          <w:lang w:eastAsia="ru-RU"/>
        </w:rPr>
        <w:t xml:space="preserve"> le</w:t>
      </w:r>
      <w:r w:rsidRPr="003F4D72">
        <w:rPr>
          <w:rFonts w:asciiTheme="majorHAnsi" w:eastAsia="Times New Roman" w:hAnsiTheme="majorHAnsi" w:cstheme="majorHAnsi"/>
          <w:sz w:val="24"/>
          <w:szCs w:val="28"/>
          <w:lang w:eastAsia="ru-RU"/>
        </w:rPr>
        <w:t xml:space="preserve"> actualizeze în baza informațiilor transmise de către instituțiile medicale</w:t>
      </w:r>
      <w:r w:rsidRPr="003F4D72">
        <w:rPr>
          <w:rFonts w:asciiTheme="majorHAnsi" w:eastAsia="Times New Roman" w:hAnsiTheme="majorHAnsi" w:cstheme="majorHAnsi"/>
          <w:sz w:val="24"/>
          <w:szCs w:val="28"/>
          <w:vertAlign w:val="superscript"/>
          <w:lang w:eastAsia="ru-RU"/>
        </w:rPr>
        <w:footnoteReference w:id="43"/>
      </w:r>
      <w:r w:rsidR="007405AE" w:rsidRPr="003F4D72">
        <w:rPr>
          <w:rFonts w:asciiTheme="majorHAnsi" w:eastAsia="Times New Roman" w:hAnsiTheme="majorHAnsi" w:cstheme="majorHAnsi"/>
          <w:sz w:val="24"/>
          <w:szCs w:val="28"/>
          <w:lang w:eastAsia="ru-RU"/>
        </w:rPr>
        <w:t>.</w:t>
      </w:r>
      <w:r w:rsidRPr="003F4D72">
        <w:rPr>
          <w:rFonts w:asciiTheme="majorHAnsi" w:eastAsia="Times New Roman" w:hAnsiTheme="majorHAnsi" w:cstheme="majorHAnsi"/>
          <w:sz w:val="24"/>
          <w:szCs w:val="28"/>
          <w:lang w:eastAsia="ru-RU"/>
        </w:rPr>
        <w:t xml:space="preserve"> </w:t>
      </w:r>
      <w:r w:rsidR="005B393A" w:rsidRPr="003F4D72">
        <w:rPr>
          <w:rFonts w:asciiTheme="majorHAnsi" w:eastAsia="Times New Roman" w:hAnsiTheme="majorHAnsi" w:cstheme="majorHAnsi"/>
          <w:sz w:val="24"/>
          <w:szCs w:val="28"/>
          <w:lang w:eastAsia="ru-RU"/>
        </w:rPr>
        <w:t>E</w:t>
      </w:r>
      <w:r w:rsidR="00207819" w:rsidRPr="003F4D72">
        <w:rPr>
          <w:rFonts w:asciiTheme="majorHAnsi" w:eastAsia="Times New Roman" w:hAnsiTheme="majorHAnsi" w:cstheme="majorHAnsi"/>
          <w:sz w:val="24"/>
          <w:szCs w:val="28"/>
          <w:lang w:eastAsia="ru-RU"/>
        </w:rPr>
        <w:t xml:space="preserve">xaminarea </w:t>
      </w:r>
      <w:r w:rsidR="005B393A" w:rsidRPr="003F4D72">
        <w:rPr>
          <w:rFonts w:asciiTheme="majorHAnsi" w:eastAsia="Times New Roman" w:hAnsiTheme="majorHAnsi" w:cstheme="majorHAnsi"/>
          <w:sz w:val="24"/>
          <w:szCs w:val="28"/>
          <w:lang w:eastAsia="ru-RU"/>
        </w:rPr>
        <w:t xml:space="preserve">listelor </w:t>
      </w:r>
      <w:r w:rsidR="00442106" w:rsidRPr="003F4D72">
        <w:rPr>
          <w:rFonts w:asciiTheme="majorHAnsi" w:eastAsia="Times New Roman" w:hAnsiTheme="majorHAnsi" w:cstheme="majorHAnsi"/>
          <w:sz w:val="24"/>
          <w:szCs w:val="28"/>
          <w:lang w:eastAsia="ru-RU"/>
        </w:rPr>
        <w:t>de pacienți</w:t>
      </w:r>
      <w:r w:rsidR="005B393A" w:rsidRPr="003F4D72">
        <w:rPr>
          <w:rFonts w:asciiTheme="majorHAnsi" w:eastAsia="Times New Roman" w:hAnsiTheme="majorHAnsi" w:cstheme="majorHAnsi"/>
          <w:sz w:val="24"/>
          <w:szCs w:val="28"/>
          <w:lang w:eastAsia="ru-RU"/>
        </w:rPr>
        <w:t xml:space="preserve"> transmi</w:t>
      </w:r>
      <w:r w:rsidR="00E57218" w:rsidRPr="003F4D72">
        <w:rPr>
          <w:rFonts w:asciiTheme="majorHAnsi" w:eastAsia="Times New Roman" w:hAnsiTheme="majorHAnsi" w:cstheme="majorHAnsi"/>
          <w:sz w:val="24"/>
          <w:szCs w:val="28"/>
          <w:lang w:eastAsia="ru-RU"/>
        </w:rPr>
        <w:t>se</w:t>
      </w:r>
      <w:r w:rsidR="005B393A" w:rsidRPr="003F4D72">
        <w:rPr>
          <w:rFonts w:asciiTheme="majorHAnsi" w:eastAsia="Times New Roman" w:hAnsiTheme="majorHAnsi" w:cstheme="majorHAnsi"/>
          <w:sz w:val="24"/>
          <w:szCs w:val="28"/>
          <w:lang w:eastAsia="ru-RU"/>
        </w:rPr>
        <w:t xml:space="preserve"> de către instituțiile medicale relevă că</w:t>
      </w:r>
      <w:r w:rsidR="00E57218" w:rsidRPr="003F4D72">
        <w:rPr>
          <w:rFonts w:asciiTheme="majorHAnsi" w:eastAsia="Times New Roman" w:hAnsiTheme="majorHAnsi" w:cstheme="majorHAnsi"/>
          <w:sz w:val="24"/>
          <w:szCs w:val="28"/>
          <w:lang w:eastAsia="ru-RU"/>
        </w:rPr>
        <w:t>,</w:t>
      </w:r>
      <w:r w:rsidR="005B393A" w:rsidRPr="003F4D72">
        <w:rPr>
          <w:rFonts w:asciiTheme="majorHAnsi" w:eastAsia="Times New Roman" w:hAnsiTheme="majorHAnsi" w:cstheme="majorHAnsi"/>
          <w:sz w:val="24"/>
          <w:szCs w:val="28"/>
          <w:lang w:eastAsia="ru-RU"/>
        </w:rPr>
        <w:t xml:space="preserve"> </w:t>
      </w:r>
      <w:r w:rsidR="00207819" w:rsidRPr="003F4D72">
        <w:rPr>
          <w:rFonts w:asciiTheme="majorHAnsi" w:eastAsia="Times New Roman" w:hAnsiTheme="majorHAnsi" w:cstheme="majorHAnsi"/>
          <w:sz w:val="24"/>
          <w:szCs w:val="28"/>
          <w:lang w:eastAsia="ru-RU"/>
        </w:rPr>
        <w:t>în cazul a 34 de persoane</w:t>
      </w:r>
      <w:r w:rsidR="00E57218" w:rsidRPr="003F4D72">
        <w:rPr>
          <w:rFonts w:asciiTheme="majorHAnsi" w:eastAsia="Times New Roman" w:hAnsiTheme="majorHAnsi" w:cstheme="majorHAnsi"/>
          <w:sz w:val="24"/>
          <w:szCs w:val="28"/>
          <w:lang w:eastAsia="ru-RU"/>
        </w:rPr>
        <w:t>,</w:t>
      </w:r>
      <w:r w:rsidR="00207819" w:rsidRPr="003F4D72">
        <w:rPr>
          <w:rFonts w:asciiTheme="majorHAnsi" w:eastAsia="Times New Roman" w:hAnsiTheme="majorHAnsi" w:cstheme="majorHAnsi"/>
          <w:sz w:val="24"/>
          <w:szCs w:val="28"/>
          <w:lang w:eastAsia="ru-RU"/>
        </w:rPr>
        <w:t xml:space="preserve"> lipsește tipul </w:t>
      </w:r>
      <w:r w:rsidR="005B393A" w:rsidRPr="003F4D72">
        <w:rPr>
          <w:rFonts w:asciiTheme="majorHAnsi" w:eastAsia="Times New Roman" w:hAnsiTheme="majorHAnsi" w:cstheme="majorHAnsi"/>
          <w:sz w:val="24"/>
          <w:szCs w:val="28"/>
          <w:lang w:eastAsia="ru-RU"/>
        </w:rPr>
        <w:t>serviciului care urmează a fi prestat</w:t>
      </w:r>
      <w:r w:rsidR="00207819" w:rsidRPr="003F4D72">
        <w:rPr>
          <w:rFonts w:asciiTheme="majorHAnsi" w:eastAsia="Times New Roman" w:hAnsiTheme="majorHAnsi" w:cstheme="majorHAnsi"/>
          <w:sz w:val="24"/>
          <w:szCs w:val="28"/>
          <w:lang w:eastAsia="ru-RU"/>
        </w:rPr>
        <w:t xml:space="preserve">. </w:t>
      </w:r>
    </w:p>
    <w:p w14:paraId="321A48EE" w14:textId="1D9EFE7C" w:rsidR="00207819" w:rsidRPr="003F4D72" w:rsidRDefault="007A3FC5" w:rsidP="003A409C">
      <w:pPr>
        <w:spacing w:after="0" w:line="276" w:lineRule="auto"/>
        <w:ind w:right="29" w:firstLine="567"/>
        <w:jc w:val="both"/>
        <w:rPr>
          <w:rFonts w:asciiTheme="majorHAnsi" w:eastAsia="Times New Roman" w:hAnsiTheme="majorHAnsi" w:cstheme="majorHAnsi"/>
          <w:sz w:val="24"/>
          <w:szCs w:val="28"/>
          <w:lang w:eastAsia="ru-RU"/>
        </w:rPr>
      </w:pPr>
      <w:r w:rsidRPr="003F4D72">
        <w:rPr>
          <w:rFonts w:asciiTheme="majorHAnsi" w:eastAsia="Times New Roman" w:hAnsiTheme="majorHAnsi" w:cstheme="majorHAnsi"/>
          <w:sz w:val="24"/>
          <w:szCs w:val="28"/>
          <w:lang w:eastAsia="ru-RU"/>
        </w:rPr>
        <w:t>Î</w:t>
      </w:r>
      <w:r w:rsidR="00207819" w:rsidRPr="003F4D72">
        <w:rPr>
          <w:rFonts w:asciiTheme="majorHAnsi" w:eastAsia="Times New Roman" w:hAnsiTheme="majorHAnsi" w:cstheme="majorHAnsi"/>
          <w:sz w:val="24"/>
          <w:szCs w:val="28"/>
          <w:lang w:eastAsia="ru-RU"/>
        </w:rPr>
        <w:t>n cadrul programului special „Protezarea articulațiilor mari”</w:t>
      </w:r>
      <w:r w:rsidR="00E57218" w:rsidRPr="003F4D72">
        <w:rPr>
          <w:rFonts w:asciiTheme="majorHAnsi" w:eastAsia="Times New Roman" w:hAnsiTheme="majorHAnsi" w:cstheme="majorHAnsi"/>
          <w:sz w:val="24"/>
          <w:szCs w:val="28"/>
          <w:lang w:eastAsia="ru-RU"/>
        </w:rPr>
        <w:t>,</w:t>
      </w:r>
      <w:r w:rsidR="00BB4ACC" w:rsidRPr="003F4D72">
        <w:rPr>
          <w:rFonts w:asciiTheme="majorHAnsi" w:eastAsia="Times New Roman" w:hAnsiTheme="majorHAnsi" w:cstheme="majorHAnsi"/>
          <w:sz w:val="24"/>
          <w:szCs w:val="28"/>
          <w:lang w:eastAsia="ru-RU"/>
        </w:rPr>
        <w:t xml:space="preserve"> în perioada noiembrie</w:t>
      </w:r>
      <w:r w:rsidR="00207819" w:rsidRPr="003F4D72">
        <w:rPr>
          <w:rFonts w:asciiTheme="majorHAnsi" w:eastAsia="Times New Roman" w:hAnsiTheme="majorHAnsi" w:cstheme="majorHAnsi"/>
          <w:sz w:val="24"/>
          <w:szCs w:val="28"/>
          <w:lang w:eastAsia="ru-RU"/>
        </w:rPr>
        <w:t xml:space="preserve"> 2020 </w:t>
      </w:r>
      <w:r w:rsidR="00BB4ACC" w:rsidRPr="003F4D72">
        <w:rPr>
          <w:rFonts w:asciiTheme="majorHAnsi" w:eastAsia="Times New Roman" w:hAnsiTheme="majorHAnsi" w:cstheme="majorHAnsi"/>
          <w:sz w:val="24"/>
          <w:szCs w:val="28"/>
          <w:lang w:eastAsia="ru-RU"/>
        </w:rPr>
        <w:t xml:space="preserve">- </w:t>
      </w:r>
      <w:r w:rsidR="00207819" w:rsidRPr="003F4D72">
        <w:rPr>
          <w:rFonts w:asciiTheme="majorHAnsi" w:eastAsia="Times New Roman" w:hAnsiTheme="majorHAnsi" w:cstheme="majorHAnsi"/>
          <w:sz w:val="24"/>
          <w:szCs w:val="28"/>
          <w:lang w:eastAsia="ru-RU"/>
        </w:rPr>
        <w:t>martie 2021, doar IMSP Spitalul Clinic de Traumatologie și Ortopedie a remis CNAM listele de modi</w:t>
      </w:r>
      <w:r w:rsidR="00442106" w:rsidRPr="003F4D72">
        <w:rPr>
          <w:rFonts w:asciiTheme="majorHAnsi" w:eastAsia="Times New Roman" w:hAnsiTheme="majorHAnsi" w:cstheme="majorHAnsi"/>
          <w:sz w:val="24"/>
          <w:szCs w:val="28"/>
          <w:lang w:eastAsia="ru-RU"/>
        </w:rPr>
        <w:t>ficare a statutului pacientului.</w:t>
      </w:r>
      <w:r w:rsidR="00207819" w:rsidRPr="003F4D72">
        <w:rPr>
          <w:rFonts w:asciiTheme="majorHAnsi" w:eastAsia="Times New Roman" w:hAnsiTheme="majorHAnsi" w:cstheme="majorHAnsi"/>
          <w:sz w:val="24"/>
          <w:szCs w:val="28"/>
          <w:lang w:eastAsia="ru-RU"/>
        </w:rPr>
        <w:t xml:space="preserve"> </w:t>
      </w:r>
      <w:r w:rsidR="00442106" w:rsidRPr="003F4D72">
        <w:rPr>
          <w:rFonts w:asciiTheme="majorHAnsi" w:eastAsia="Times New Roman" w:hAnsiTheme="majorHAnsi" w:cstheme="majorHAnsi"/>
          <w:sz w:val="24"/>
          <w:szCs w:val="28"/>
          <w:lang w:eastAsia="ru-RU"/>
        </w:rPr>
        <w:t>Alte 6</w:t>
      </w:r>
      <w:r w:rsidR="00E02458" w:rsidRPr="003F4D72">
        <w:rPr>
          <w:rFonts w:asciiTheme="majorHAnsi" w:eastAsia="Times New Roman" w:hAnsiTheme="majorHAnsi" w:cstheme="majorHAnsi"/>
          <w:sz w:val="24"/>
          <w:szCs w:val="28"/>
          <w:lang w:eastAsia="ru-RU"/>
        </w:rPr>
        <w:t xml:space="preserve"> instituții medicale au transmis</w:t>
      </w:r>
      <w:r w:rsidR="00442106" w:rsidRPr="003F4D72">
        <w:rPr>
          <w:rFonts w:asciiTheme="majorHAnsi" w:eastAsia="Times New Roman" w:hAnsiTheme="majorHAnsi" w:cstheme="majorHAnsi"/>
          <w:sz w:val="24"/>
          <w:szCs w:val="28"/>
          <w:lang w:eastAsia="ru-RU"/>
        </w:rPr>
        <w:t xml:space="preserve"> Companiei doar listele pacienților pentru a fi incluși în lista de așteptare generală, în lipsa</w:t>
      </w:r>
      <w:r w:rsidR="00207819" w:rsidRPr="003F4D72">
        <w:rPr>
          <w:rFonts w:asciiTheme="majorHAnsi" w:eastAsia="Times New Roman" w:hAnsiTheme="majorHAnsi" w:cstheme="majorHAnsi"/>
          <w:sz w:val="24"/>
          <w:szCs w:val="28"/>
          <w:lang w:eastAsia="ru-RU"/>
        </w:rPr>
        <w:t xml:space="preserve"> </w:t>
      </w:r>
      <w:r w:rsidR="00442106" w:rsidRPr="003F4D72">
        <w:rPr>
          <w:rFonts w:asciiTheme="majorHAnsi" w:eastAsia="Times New Roman" w:hAnsiTheme="majorHAnsi" w:cstheme="majorHAnsi"/>
          <w:sz w:val="24"/>
          <w:szCs w:val="28"/>
          <w:lang w:eastAsia="ru-RU"/>
        </w:rPr>
        <w:t>indicării</w:t>
      </w:r>
      <w:r w:rsidR="00207819" w:rsidRPr="003F4D72">
        <w:rPr>
          <w:rFonts w:asciiTheme="majorHAnsi" w:eastAsia="Times New Roman" w:hAnsiTheme="majorHAnsi" w:cstheme="majorHAnsi"/>
          <w:sz w:val="24"/>
          <w:szCs w:val="28"/>
          <w:lang w:eastAsia="ru-RU"/>
        </w:rPr>
        <w:t xml:space="preserve"> </w:t>
      </w:r>
      <w:r w:rsidR="00442106" w:rsidRPr="003F4D72">
        <w:rPr>
          <w:rFonts w:asciiTheme="majorHAnsi" w:eastAsia="Times New Roman" w:hAnsiTheme="majorHAnsi" w:cstheme="majorHAnsi"/>
          <w:sz w:val="24"/>
          <w:szCs w:val="28"/>
          <w:lang w:eastAsia="ru-RU"/>
        </w:rPr>
        <w:t>datelor</w:t>
      </w:r>
      <w:r w:rsidR="00207819" w:rsidRPr="003F4D72">
        <w:rPr>
          <w:rFonts w:asciiTheme="majorHAnsi" w:eastAsia="Times New Roman" w:hAnsiTheme="majorHAnsi" w:cstheme="majorHAnsi"/>
          <w:sz w:val="24"/>
          <w:szCs w:val="28"/>
          <w:lang w:eastAsia="ru-RU"/>
        </w:rPr>
        <w:t xml:space="preserve"> de actualizare a statutului persoanelor</w:t>
      </w:r>
      <w:r w:rsidR="00BB4ACC" w:rsidRPr="003F4D72">
        <w:rPr>
          <w:rFonts w:asciiTheme="majorHAnsi" w:eastAsia="Times New Roman" w:hAnsiTheme="majorHAnsi" w:cstheme="majorHAnsi"/>
          <w:sz w:val="24"/>
          <w:szCs w:val="28"/>
          <w:lang w:eastAsia="ru-RU"/>
        </w:rPr>
        <w:t xml:space="preserve"> care au beneficiat de servicii medicale</w:t>
      </w:r>
      <w:r w:rsidR="00207819" w:rsidRPr="003F4D72">
        <w:rPr>
          <w:rFonts w:asciiTheme="majorHAnsi" w:eastAsia="Times New Roman" w:hAnsiTheme="majorHAnsi" w:cstheme="majorHAnsi"/>
          <w:sz w:val="24"/>
          <w:szCs w:val="28"/>
          <w:lang w:eastAsia="ru-RU"/>
        </w:rPr>
        <w:t xml:space="preserve">. </w:t>
      </w:r>
      <w:r w:rsidR="003A409C" w:rsidRPr="003F4D72">
        <w:rPr>
          <w:rFonts w:asciiTheme="majorHAnsi" w:eastAsia="Times New Roman" w:hAnsiTheme="majorHAnsi" w:cstheme="majorHAnsi"/>
          <w:bCs/>
          <w:sz w:val="24"/>
          <w:szCs w:val="28"/>
          <w:lang w:eastAsia="ru-RU"/>
        </w:rPr>
        <w:t>CNAM urmează să întreprindă măsuri care ar spori transparența acestor procese cu urgentarea ajustării/actualizării datelor, ceea și ar asigura accesul cetățenilor la servicii medicale garantate de către stat.</w:t>
      </w:r>
    </w:p>
    <w:p w14:paraId="54AA046D" w14:textId="1A059EF7" w:rsidR="00BB4ACC" w:rsidRPr="003F4D72" w:rsidRDefault="00207819" w:rsidP="002F6325">
      <w:pPr>
        <w:spacing w:after="0" w:line="276" w:lineRule="auto"/>
        <w:ind w:firstLine="567"/>
        <w:jc w:val="both"/>
        <w:rPr>
          <w:rFonts w:asciiTheme="majorHAnsi" w:eastAsia="Calibri" w:hAnsiTheme="majorHAnsi" w:cs="Times New Roman"/>
          <w:i/>
          <w:sz w:val="24"/>
          <w:szCs w:val="28"/>
        </w:rPr>
      </w:pPr>
      <w:r w:rsidRPr="003F4D72">
        <w:rPr>
          <w:rFonts w:asciiTheme="majorHAnsi" w:eastAsia="Times New Roman" w:hAnsiTheme="majorHAnsi" w:cstheme="majorHAnsi"/>
          <w:sz w:val="24"/>
          <w:szCs w:val="28"/>
          <w:lang w:eastAsia="ru-RU"/>
        </w:rPr>
        <w:lastRenderedPageBreak/>
        <w:t xml:space="preserve">De asemenea, </w:t>
      </w:r>
      <w:r w:rsidR="00442106" w:rsidRPr="003F4D72">
        <w:rPr>
          <w:rFonts w:asciiTheme="majorHAnsi" w:eastAsia="Times New Roman" w:hAnsiTheme="majorHAnsi" w:cstheme="majorHAnsi"/>
          <w:sz w:val="24"/>
          <w:szCs w:val="28"/>
          <w:lang w:eastAsia="ru-RU"/>
        </w:rPr>
        <w:t xml:space="preserve">se </w:t>
      </w:r>
      <w:r w:rsidRPr="003F4D72">
        <w:rPr>
          <w:rFonts w:asciiTheme="majorHAnsi" w:eastAsia="Times New Roman" w:hAnsiTheme="majorHAnsi" w:cstheme="majorHAnsi"/>
          <w:sz w:val="24"/>
          <w:szCs w:val="28"/>
          <w:lang w:eastAsia="ru-RU"/>
        </w:rPr>
        <w:t xml:space="preserve">menționează </w:t>
      </w:r>
      <w:r w:rsidR="00727B4B" w:rsidRPr="003F4D72">
        <w:rPr>
          <w:rFonts w:asciiTheme="majorHAnsi" w:eastAsia="Times New Roman" w:hAnsiTheme="majorHAnsi" w:cstheme="majorHAnsi"/>
          <w:sz w:val="24"/>
          <w:szCs w:val="28"/>
          <w:lang w:eastAsia="ru-RU"/>
        </w:rPr>
        <w:t xml:space="preserve">că, </w:t>
      </w:r>
      <w:r w:rsidRPr="003F4D72">
        <w:rPr>
          <w:rFonts w:asciiTheme="majorHAnsi" w:eastAsia="Times New Roman" w:hAnsiTheme="majorHAnsi" w:cstheme="majorHAnsi"/>
          <w:sz w:val="24"/>
          <w:szCs w:val="28"/>
          <w:lang w:eastAsia="ru-RU"/>
        </w:rPr>
        <w:t>în cadrul programului special „Protezarea articulațiilor mari”</w:t>
      </w:r>
      <w:r w:rsidR="00815A71" w:rsidRPr="003F4D72">
        <w:rPr>
          <w:rFonts w:asciiTheme="majorHAnsi" w:eastAsia="Times New Roman" w:hAnsiTheme="majorHAnsi" w:cstheme="majorHAnsi"/>
          <w:sz w:val="24"/>
          <w:szCs w:val="28"/>
          <w:lang w:eastAsia="ru-RU"/>
        </w:rPr>
        <w:t xml:space="preserve"> </w:t>
      </w:r>
      <w:r w:rsidR="00442106" w:rsidRPr="003F4D72">
        <w:rPr>
          <w:rFonts w:asciiTheme="majorHAnsi" w:eastAsia="Times New Roman" w:hAnsiTheme="majorHAnsi" w:cstheme="majorHAnsi"/>
          <w:sz w:val="24"/>
          <w:szCs w:val="28"/>
          <w:lang w:eastAsia="ru-RU"/>
        </w:rPr>
        <w:t>(</w:t>
      </w:r>
      <w:r w:rsidR="00D05D90" w:rsidRPr="003F4D72">
        <w:rPr>
          <w:rFonts w:asciiTheme="majorHAnsi" w:eastAsia="Times New Roman" w:hAnsiTheme="majorHAnsi" w:cstheme="majorHAnsi"/>
          <w:sz w:val="24"/>
          <w:szCs w:val="28"/>
          <w:lang w:eastAsia="ru-RU"/>
        </w:rPr>
        <w:t xml:space="preserve">ianuarie - martie </w:t>
      </w:r>
      <w:r w:rsidRPr="003F4D72">
        <w:rPr>
          <w:rFonts w:asciiTheme="majorHAnsi" w:eastAsia="Times New Roman" w:hAnsiTheme="majorHAnsi" w:cstheme="majorHAnsi"/>
          <w:sz w:val="24"/>
          <w:szCs w:val="28"/>
          <w:lang w:eastAsia="ru-RU"/>
        </w:rPr>
        <w:t>2021</w:t>
      </w:r>
      <w:r w:rsidR="00442106" w:rsidRPr="003F4D72">
        <w:rPr>
          <w:rFonts w:asciiTheme="majorHAnsi" w:eastAsia="Times New Roman" w:hAnsiTheme="majorHAnsi" w:cstheme="majorHAnsi"/>
          <w:sz w:val="24"/>
          <w:szCs w:val="28"/>
          <w:lang w:eastAsia="ru-RU"/>
        </w:rPr>
        <w:t>)</w:t>
      </w:r>
      <w:r w:rsidR="00727B4B" w:rsidRPr="003F4D72">
        <w:rPr>
          <w:rFonts w:asciiTheme="majorHAnsi" w:eastAsia="Times New Roman" w:hAnsiTheme="majorHAnsi" w:cstheme="majorHAnsi"/>
          <w:sz w:val="24"/>
          <w:szCs w:val="28"/>
          <w:lang w:eastAsia="ru-RU"/>
        </w:rPr>
        <w:t>,</w:t>
      </w:r>
      <w:r w:rsidRPr="003F4D72">
        <w:rPr>
          <w:rFonts w:asciiTheme="majorHAnsi" w:eastAsia="Times New Roman" w:hAnsiTheme="majorHAnsi" w:cstheme="majorHAnsi"/>
          <w:sz w:val="24"/>
          <w:szCs w:val="28"/>
          <w:lang w:eastAsia="ru-RU"/>
        </w:rPr>
        <w:t xml:space="preserve"> </w:t>
      </w:r>
      <w:r w:rsidR="00442106" w:rsidRPr="003F4D72">
        <w:rPr>
          <w:rFonts w:asciiTheme="majorHAnsi" w:eastAsia="Times New Roman" w:hAnsiTheme="majorHAnsi" w:cstheme="majorHAnsi"/>
          <w:sz w:val="24"/>
          <w:szCs w:val="28"/>
          <w:lang w:eastAsia="ru-RU"/>
        </w:rPr>
        <w:t>IMSP Institutul de Medicină Urgentă a solicitat</w:t>
      </w:r>
      <w:r w:rsidRPr="003F4D72">
        <w:rPr>
          <w:rFonts w:asciiTheme="majorHAnsi" w:eastAsia="Times New Roman" w:hAnsiTheme="majorHAnsi" w:cstheme="majorHAnsi"/>
          <w:sz w:val="24"/>
          <w:szCs w:val="28"/>
          <w:lang w:eastAsia="ru-RU"/>
        </w:rPr>
        <w:t xml:space="preserve"> transferarea </w:t>
      </w:r>
      <w:r w:rsidR="00442106" w:rsidRPr="003F4D72">
        <w:rPr>
          <w:rFonts w:asciiTheme="majorHAnsi" w:eastAsia="Times New Roman" w:hAnsiTheme="majorHAnsi" w:cstheme="majorHAnsi"/>
          <w:sz w:val="24"/>
          <w:szCs w:val="28"/>
          <w:lang w:eastAsia="ru-RU"/>
        </w:rPr>
        <w:t xml:space="preserve">a 96 de persoane </w:t>
      </w:r>
      <w:r w:rsidRPr="003F4D72">
        <w:rPr>
          <w:rFonts w:asciiTheme="majorHAnsi" w:eastAsia="Times New Roman" w:hAnsiTheme="majorHAnsi" w:cstheme="majorHAnsi"/>
          <w:sz w:val="24"/>
          <w:szCs w:val="28"/>
          <w:lang w:eastAsia="ru-RU"/>
        </w:rPr>
        <w:t xml:space="preserve">din </w:t>
      </w:r>
      <w:r w:rsidR="00442106" w:rsidRPr="003F4D72">
        <w:rPr>
          <w:rFonts w:asciiTheme="majorHAnsi" w:eastAsia="Times New Roman" w:hAnsiTheme="majorHAnsi" w:cstheme="majorHAnsi"/>
          <w:sz w:val="24"/>
          <w:szCs w:val="28"/>
          <w:lang w:eastAsia="ru-RU"/>
        </w:rPr>
        <w:t>lista generală</w:t>
      </w:r>
      <w:r w:rsidRPr="003F4D72">
        <w:rPr>
          <w:rFonts w:asciiTheme="majorHAnsi" w:eastAsia="Times New Roman" w:hAnsiTheme="majorHAnsi" w:cstheme="majorHAnsi"/>
          <w:sz w:val="24"/>
          <w:szCs w:val="28"/>
          <w:lang w:eastAsia="ru-RU"/>
        </w:rPr>
        <w:t xml:space="preserve"> în lista urgentată</w:t>
      </w:r>
      <w:r w:rsidR="00442106" w:rsidRPr="003F4D72">
        <w:rPr>
          <w:rFonts w:asciiTheme="majorHAnsi" w:eastAsia="Times New Roman" w:hAnsiTheme="majorHAnsi" w:cstheme="majorHAnsi"/>
          <w:sz w:val="24"/>
          <w:szCs w:val="28"/>
          <w:lang w:eastAsia="ru-RU"/>
        </w:rPr>
        <w:t>.</w:t>
      </w:r>
      <w:r w:rsidR="006A65EE" w:rsidRPr="003F4D72">
        <w:rPr>
          <w:rFonts w:asciiTheme="majorHAnsi" w:eastAsia="Times New Roman" w:hAnsiTheme="majorHAnsi" w:cstheme="majorHAnsi"/>
          <w:sz w:val="24"/>
          <w:szCs w:val="28"/>
          <w:lang w:eastAsia="ru-RU"/>
        </w:rPr>
        <w:t xml:space="preserve"> </w:t>
      </w:r>
      <w:r w:rsidR="0082302A" w:rsidRPr="003F4D72">
        <w:rPr>
          <w:rFonts w:asciiTheme="majorHAnsi" w:eastAsia="Times New Roman" w:hAnsiTheme="majorHAnsi" w:cstheme="majorHAnsi"/>
          <w:sz w:val="24"/>
          <w:szCs w:val="28"/>
          <w:lang w:eastAsia="ru-RU"/>
        </w:rPr>
        <w:t xml:space="preserve">Această situație nu oferă o analiză amplă cu referire la toate persoanele ce necesită astfel de intervenții medicale. </w:t>
      </w:r>
      <w:r w:rsidR="006A65EE" w:rsidRPr="003F4D72">
        <w:rPr>
          <w:rFonts w:asciiTheme="majorHAnsi" w:eastAsia="Times New Roman" w:hAnsiTheme="majorHAnsi" w:cstheme="majorHAnsi"/>
          <w:sz w:val="24"/>
          <w:szCs w:val="28"/>
          <w:lang w:eastAsia="ru-RU"/>
        </w:rPr>
        <w:t>Entitatea a informat că procesul de ajustare a listelor primite de la ANSP (noiembrie 2020) este un proces complex, de durată și implică necesitatea ajustării datelor de la instituțiile medicale de diferite nivel</w:t>
      </w:r>
      <w:r w:rsidR="00727B4B" w:rsidRPr="003F4D72">
        <w:rPr>
          <w:rFonts w:asciiTheme="majorHAnsi" w:eastAsia="Times New Roman" w:hAnsiTheme="majorHAnsi" w:cstheme="majorHAnsi"/>
          <w:sz w:val="24"/>
          <w:szCs w:val="28"/>
          <w:lang w:eastAsia="ru-RU"/>
        </w:rPr>
        <w:t>uri</w:t>
      </w:r>
      <w:r w:rsidR="006A65EE" w:rsidRPr="003F4D72">
        <w:rPr>
          <w:rFonts w:asciiTheme="majorHAnsi" w:eastAsia="Times New Roman" w:hAnsiTheme="majorHAnsi" w:cstheme="majorHAnsi"/>
          <w:sz w:val="24"/>
          <w:szCs w:val="28"/>
          <w:lang w:eastAsia="ru-RU"/>
        </w:rPr>
        <w:t>.</w:t>
      </w:r>
    </w:p>
    <w:p w14:paraId="74657450" w14:textId="77777777" w:rsidR="002F6325" w:rsidRPr="003F4D72" w:rsidRDefault="002F6325" w:rsidP="002F6325">
      <w:pPr>
        <w:spacing w:after="0" w:line="276" w:lineRule="auto"/>
        <w:ind w:firstLine="567"/>
        <w:jc w:val="both"/>
        <w:rPr>
          <w:rFonts w:asciiTheme="majorHAnsi" w:eastAsia="Calibri" w:hAnsiTheme="majorHAnsi" w:cs="Times New Roman"/>
          <w:i/>
          <w:sz w:val="24"/>
          <w:szCs w:val="28"/>
        </w:rPr>
      </w:pPr>
    </w:p>
    <w:p w14:paraId="1978AC0E" w14:textId="05A8470B" w:rsidR="00276447" w:rsidRPr="003F4D72" w:rsidRDefault="001770E5" w:rsidP="00023B8B">
      <w:pPr>
        <w:pStyle w:val="ListParagraph"/>
        <w:numPr>
          <w:ilvl w:val="1"/>
          <w:numId w:val="35"/>
        </w:numPr>
        <w:spacing w:after="0" w:line="276" w:lineRule="auto"/>
        <w:ind w:left="0" w:right="-57" w:firstLine="142"/>
        <w:jc w:val="both"/>
        <w:rPr>
          <w:rFonts w:asciiTheme="majorHAnsi" w:hAnsiTheme="majorHAnsi"/>
          <w:b/>
          <w:sz w:val="24"/>
          <w:szCs w:val="24"/>
          <w:lang w:val="ro-MD"/>
        </w:rPr>
      </w:pPr>
      <w:r w:rsidRPr="003F4D72">
        <w:rPr>
          <w:rFonts w:asciiTheme="majorHAnsi" w:hAnsiTheme="majorHAnsi" w:cstheme="majorHAnsi"/>
          <w:b/>
          <w:sz w:val="24"/>
          <w:szCs w:val="24"/>
          <w:lang w:val="ro-MD"/>
        </w:rPr>
        <w:t xml:space="preserve">Pandemia a afectat realizarea numărului de cazuri tratate planificate în cadrul programelor speciale, situație ce nu asigură diminuarea riscurilor de sănătate pentru persoanele incluse în listele de așteptare și nu contribuie la </w:t>
      </w:r>
      <w:r w:rsidRPr="003F4D72">
        <w:rPr>
          <w:rFonts w:asciiTheme="majorHAnsi" w:hAnsiTheme="majorHAnsi"/>
          <w:b/>
          <w:sz w:val="24"/>
          <w:szCs w:val="24"/>
          <w:lang w:val="ro-MD"/>
        </w:rPr>
        <w:t>reducerea timpului de așteptare.</w:t>
      </w:r>
    </w:p>
    <w:p w14:paraId="05CFF41C" w14:textId="64B01F27" w:rsidR="00311E83" w:rsidRPr="003F4D72" w:rsidRDefault="004179FC" w:rsidP="003F4D72">
      <w:pPr>
        <w:spacing w:line="276" w:lineRule="auto"/>
        <w:ind w:right="-57" w:firstLine="709"/>
        <w:jc w:val="both"/>
        <w:rPr>
          <w:rFonts w:asciiTheme="majorHAnsi" w:eastAsia="Times New Roman" w:hAnsiTheme="majorHAnsi" w:cstheme="majorHAnsi"/>
          <w:bCs/>
          <w:sz w:val="24"/>
          <w:szCs w:val="28"/>
          <w:lang w:eastAsia="ru-RU"/>
        </w:rPr>
      </w:pPr>
      <w:r w:rsidRPr="003F4D72">
        <w:rPr>
          <w:rFonts w:asciiTheme="majorHAnsi" w:eastAsia="Calibri" w:hAnsiTheme="majorHAnsi" w:cs="Times New Roman"/>
          <w:sz w:val="24"/>
          <w:szCs w:val="28"/>
        </w:rPr>
        <w:t xml:space="preserve">În anul 2020, </w:t>
      </w:r>
      <w:r w:rsidR="007A2566" w:rsidRPr="003F4D72">
        <w:rPr>
          <w:rFonts w:asciiTheme="majorHAnsi" w:eastAsia="Calibri" w:hAnsiTheme="majorHAnsi" w:cs="Times New Roman"/>
          <w:sz w:val="24"/>
          <w:szCs w:val="28"/>
        </w:rPr>
        <w:t>CNAM</w:t>
      </w:r>
      <w:r w:rsidRPr="003F4D72">
        <w:rPr>
          <w:rFonts w:asciiTheme="majorHAnsi" w:eastAsia="Calibri" w:hAnsiTheme="majorHAnsi" w:cs="Times New Roman"/>
          <w:sz w:val="24"/>
          <w:szCs w:val="28"/>
        </w:rPr>
        <w:t xml:space="preserve"> a </w:t>
      </w:r>
      <w:r w:rsidRPr="003F4D72">
        <w:rPr>
          <w:rFonts w:asciiTheme="majorHAnsi" w:eastAsia="Calibri" w:hAnsiTheme="majorHAnsi" w:cstheme="majorHAnsi"/>
          <w:sz w:val="24"/>
          <w:szCs w:val="28"/>
        </w:rPr>
        <w:t>contractat instituțiile medicale în vederea spori</w:t>
      </w:r>
      <w:r w:rsidR="000246E3" w:rsidRPr="003F4D72">
        <w:rPr>
          <w:rFonts w:asciiTheme="majorHAnsi" w:eastAsia="Calibri" w:hAnsiTheme="majorHAnsi" w:cstheme="majorHAnsi"/>
          <w:sz w:val="24"/>
          <w:szCs w:val="28"/>
        </w:rPr>
        <w:t>ri</w:t>
      </w:r>
      <w:r w:rsidRPr="003F4D72">
        <w:rPr>
          <w:rFonts w:asciiTheme="majorHAnsi" w:eastAsia="Calibri" w:hAnsiTheme="majorHAnsi" w:cstheme="majorHAnsi"/>
          <w:sz w:val="24"/>
          <w:szCs w:val="28"/>
        </w:rPr>
        <w:t>i accesului cetățenilor la 12 tipuri de servicii medicale</w:t>
      </w:r>
      <w:r w:rsidRPr="003F4D72">
        <w:rPr>
          <w:rStyle w:val="FootnoteReference"/>
          <w:rFonts w:asciiTheme="majorHAnsi" w:eastAsia="Calibri" w:hAnsiTheme="majorHAnsi" w:cstheme="majorHAnsi"/>
          <w:sz w:val="24"/>
          <w:szCs w:val="28"/>
        </w:rPr>
        <w:footnoteReference w:id="44"/>
      </w:r>
      <w:r w:rsidRPr="003F4D72">
        <w:rPr>
          <w:rFonts w:asciiTheme="majorHAnsi" w:eastAsia="Calibri" w:hAnsiTheme="majorHAnsi" w:cstheme="majorHAnsi"/>
          <w:sz w:val="24"/>
          <w:szCs w:val="28"/>
        </w:rPr>
        <w:t xml:space="preserve"> realizate în cadrul Programelor speciale</w:t>
      </w:r>
      <w:r w:rsidR="000246E3" w:rsidRPr="003F4D72">
        <w:rPr>
          <w:rFonts w:asciiTheme="majorHAnsi" w:eastAsia="Calibri" w:hAnsiTheme="majorHAnsi" w:cstheme="majorHAnsi"/>
          <w:sz w:val="24"/>
          <w:szCs w:val="28"/>
        </w:rPr>
        <w:t>, care</w:t>
      </w:r>
      <w:r w:rsidRPr="003F4D72">
        <w:rPr>
          <w:rFonts w:asciiTheme="majorHAnsi" w:eastAsia="Calibri" w:hAnsiTheme="majorHAnsi" w:cstheme="majorHAnsi"/>
          <w:sz w:val="24"/>
          <w:szCs w:val="28"/>
        </w:rPr>
        <w:t xml:space="preserve"> au menirea să asigure accesul persoanelor la tratament chirurgical pentru maladiile prioritare, aprobate de MSMPS</w:t>
      </w:r>
      <w:r w:rsidRPr="003F4D72">
        <w:rPr>
          <w:rFonts w:asciiTheme="majorHAnsi" w:eastAsia="Calibri" w:hAnsiTheme="majorHAnsi" w:cstheme="majorHAnsi"/>
          <w:sz w:val="24"/>
          <w:szCs w:val="28"/>
          <w:vertAlign w:val="superscript"/>
        </w:rPr>
        <w:footnoteReference w:id="45"/>
      </w:r>
      <w:r w:rsidRPr="003F4D72">
        <w:rPr>
          <w:rFonts w:asciiTheme="majorHAnsi" w:eastAsia="Calibri" w:hAnsiTheme="majorHAnsi" w:cstheme="majorHAnsi"/>
          <w:sz w:val="24"/>
          <w:szCs w:val="28"/>
        </w:rPr>
        <w:t>.</w:t>
      </w:r>
      <w:r w:rsidRPr="003F4D72">
        <w:rPr>
          <w:rFonts w:asciiTheme="majorHAnsi" w:eastAsia="Calibri" w:hAnsiTheme="majorHAnsi" w:cs="Times New Roman"/>
          <w:sz w:val="24"/>
          <w:szCs w:val="28"/>
        </w:rPr>
        <w:t xml:space="preserve"> </w:t>
      </w:r>
      <w:r w:rsidR="0036511B" w:rsidRPr="003F4D72">
        <w:rPr>
          <w:rFonts w:asciiTheme="majorHAnsi" w:eastAsia="Calibri" w:hAnsiTheme="majorHAnsi" w:cs="Times New Roman"/>
          <w:sz w:val="24"/>
          <w:szCs w:val="28"/>
        </w:rPr>
        <w:t xml:space="preserve">Totodată, gestionarea și realizarea a 3 programe speciale: tratament operator pentru cataractă, </w:t>
      </w:r>
      <w:proofErr w:type="spellStart"/>
      <w:r w:rsidR="0036511B" w:rsidRPr="003F4D72">
        <w:rPr>
          <w:rFonts w:asciiTheme="majorHAnsi" w:eastAsia="Calibri" w:hAnsiTheme="majorHAnsi" w:cs="Times New Roman"/>
          <w:sz w:val="24"/>
          <w:szCs w:val="28"/>
        </w:rPr>
        <w:t>cardiochirurgie</w:t>
      </w:r>
      <w:proofErr w:type="spellEnd"/>
      <w:r w:rsidR="0036511B" w:rsidRPr="003F4D72">
        <w:rPr>
          <w:rFonts w:asciiTheme="majorHAnsi" w:eastAsia="Calibri" w:hAnsiTheme="majorHAnsi" w:cs="Times New Roman"/>
          <w:sz w:val="24"/>
          <w:szCs w:val="28"/>
        </w:rPr>
        <w:t xml:space="preserve"> și protezare a articulațiilor mari, sunt specifice și constau în includerea pacienților în liste de așteptare. Pe</w:t>
      </w:r>
      <w:r w:rsidR="000246E3" w:rsidRPr="003F4D72">
        <w:rPr>
          <w:rFonts w:asciiTheme="majorHAnsi" w:eastAsia="Calibri" w:hAnsiTheme="majorHAnsi" w:cs="Times New Roman"/>
          <w:sz w:val="24"/>
          <w:szCs w:val="28"/>
        </w:rPr>
        <w:t>n</w:t>
      </w:r>
      <w:r w:rsidR="0036511B" w:rsidRPr="003F4D72">
        <w:rPr>
          <w:rFonts w:asciiTheme="majorHAnsi" w:eastAsia="Calibri" w:hAnsiTheme="majorHAnsi" w:cs="Times New Roman"/>
          <w:sz w:val="24"/>
          <w:szCs w:val="28"/>
        </w:rPr>
        <w:t>tru alte programe speciale, pacienții sunt programați la intervenții în funcție de evaluarea dinamicii și gravității cazului.</w:t>
      </w:r>
      <w:r w:rsidR="002F6325" w:rsidRPr="003F4D72">
        <w:rPr>
          <w:rFonts w:asciiTheme="majorHAnsi" w:eastAsia="Times New Roman" w:hAnsiTheme="majorHAnsi" w:cstheme="majorHAnsi"/>
          <w:bCs/>
          <w:sz w:val="24"/>
          <w:szCs w:val="28"/>
          <w:lang w:eastAsia="ru-RU"/>
        </w:rPr>
        <w:t xml:space="preserve"> </w:t>
      </w:r>
      <w:r w:rsidR="00172534" w:rsidRPr="003F4D72">
        <w:rPr>
          <w:rFonts w:asciiTheme="majorHAnsi" w:eastAsia="Calibri" w:hAnsiTheme="majorHAnsi" w:cs="Times New Roman"/>
          <w:sz w:val="24"/>
          <w:szCs w:val="28"/>
        </w:rPr>
        <w:t>Se denotă că în</w:t>
      </w:r>
      <w:r w:rsidR="00311E83" w:rsidRPr="003F4D72">
        <w:rPr>
          <w:rFonts w:asciiTheme="majorHAnsi" w:eastAsia="Calibri" w:hAnsiTheme="majorHAnsi" w:cs="Times New Roman"/>
          <w:sz w:val="24"/>
          <w:szCs w:val="28"/>
        </w:rPr>
        <w:t xml:space="preserve"> anul 2020 </w:t>
      </w:r>
      <w:r w:rsidR="00301F60" w:rsidRPr="003F4D72">
        <w:rPr>
          <w:rFonts w:asciiTheme="majorHAnsi" w:eastAsia="Calibri" w:hAnsiTheme="majorHAnsi" w:cs="Times New Roman"/>
          <w:sz w:val="24"/>
          <w:szCs w:val="28"/>
        </w:rPr>
        <w:t>a fost introdus un Program special</w:t>
      </w:r>
      <w:r w:rsidR="000246E3" w:rsidRPr="003F4D72">
        <w:rPr>
          <w:rFonts w:asciiTheme="majorHAnsi" w:eastAsia="Calibri" w:hAnsiTheme="majorHAnsi" w:cs="Times New Roman"/>
          <w:sz w:val="24"/>
          <w:szCs w:val="28"/>
        </w:rPr>
        <w:t>,</w:t>
      </w:r>
      <w:r w:rsidR="00301F60" w:rsidRPr="003F4D72">
        <w:rPr>
          <w:rFonts w:asciiTheme="majorHAnsi" w:eastAsia="Calibri" w:hAnsiTheme="majorHAnsi" w:cs="Times New Roman"/>
          <w:sz w:val="24"/>
          <w:szCs w:val="28"/>
        </w:rPr>
        <w:t xml:space="preserve"> „Infecția cu </w:t>
      </w:r>
      <w:proofErr w:type="spellStart"/>
      <w:r w:rsidR="00301F60" w:rsidRPr="003F4D72">
        <w:rPr>
          <w:rFonts w:asciiTheme="majorHAnsi" w:eastAsia="Calibri" w:hAnsiTheme="majorHAnsi" w:cs="Times New Roman"/>
          <w:sz w:val="24"/>
          <w:szCs w:val="28"/>
        </w:rPr>
        <w:t>Coronavirusul</w:t>
      </w:r>
      <w:proofErr w:type="spellEnd"/>
      <w:r w:rsidR="00301F60" w:rsidRPr="003F4D72">
        <w:rPr>
          <w:rFonts w:asciiTheme="majorHAnsi" w:eastAsia="Calibri" w:hAnsiTheme="majorHAnsi" w:cs="Times New Roman"/>
          <w:sz w:val="24"/>
          <w:szCs w:val="28"/>
        </w:rPr>
        <w:t xml:space="preserve"> de tip nou (COVID-19)”</w:t>
      </w:r>
      <w:r w:rsidR="00172534" w:rsidRPr="003F4D72">
        <w:rPr>
          <w:rFonts w:asciiTheme="majorHAnsi" w:eastAsia="Calibri" w:hAnsiTheme="majorHAnsi" w:cs="Times New Roman"/>
          <w:sz w:val="24"/>
          <w:szCs w:val="28"/>
        </w:rPr>
        <w:t>, servicii medicale care au sporit semnificativ î</w:t>
      </w:r>
      <w:r w:rsidR="00430B54" w:rsidRPr="003F4D72">
        <w:rPr>
          <w:rFonts w:asciiTheme="majorHAnsi" w:eastAsia="Calibri" w:hAnsiTheme="majorHAnsi" w:cs="Times New Roman"/>
          <w:sz w:val="24"/>
          <w:szCs w:val="28"/>
        </w:rPr>
        <w:t>n contextul situației pandemice, situație redată în tabelul ce urmează:</w:t>
      </w:r>
    </w:p>
    <w:p w14:paraId="2746128D" w14:textId="43172697" w:rsidR="00B67258" w:rsidRPr="003F4D72" w:rsidRDefault="0007119B" w:rsidP="0007119B">
      <w:pPr>
        <w:spacing w:after="0" w:line="276" w:lineRule="auto"/>
        <w:ind w:firstLine="709"/>
        <w:jc w:val="center"/>
        <w:rPr>
          <w:rFonts w:asciiTheme="majorHAnsi" w:eastAsia="Calibri" w:hAnsiTheme="majorHAnsi" w:cs="Times New Roman"/>
          <w:b/>
          <w:sz w:val="24"/>
          <w:szCs w:val="28"/>
        </w:rPr>
      </w:pPr>
      <w:r w:rsidRPr="003F4D72">
        <w:rPr>
          <w:rFonts w:asciiTheme="majorHAnsi" w:eastAsia="Calibri" w:hAnsiTheme="majorHAnsi" w:cs="Times New Roman"/>
          <w:b/>
          <w:sz w:val="24"/>
          <w:szCs w:val="28"/>
        </w:rPr>
        <w:t>Realizarea intervențiilor în cadrul programelor speciale</w:t>
      </w:r>
    </w:p>
    <w:p w14:paraId="15D48C93" w14:textId="5219384C" w:rsidR="00AA6E84" w:rsidRPr="003F4D72" w:rsidRDefault="00E02458" w:rsidP="00B402C7">
      <w:pPr>
        <w:pStyle w:val="ListParagraph"/>
        <w:spacing w:after="0" w:line="276" w:lineRule="auto"/>
        <w:ind w:left="0" w:firstLine="567"/>
        <w:jc w:val="right"/>
        <w:rPr>
          <w:rFonts w:asciiTheme="majorHAnsi" w:hAnsiTheme="majorHAnsi"/>
          <w:sz w:val="20"/>
          <w:szCs w:val="28"/>
          <w:lang w:val="ro-MD"/>
        </w:rPr>
      </w:pPr>
      <w:r w:rsidRPr="003F4D72">
        <w:rPr>
          <w:rFonts w:asciiTheme="majorHAnsi" w:eastAsia="Times New Roman" w:hAnsiTheme="majorHAnsi" w:cstheme="majorHAnsi"/>
          <w:noProof/>
          <w:sz w:val="20"/>
          <w:szCs w:val="24"/>
          <w:lang w:val="ro-MD" w:eastAsia="ru-RU"/>
        </w:rPr>
        <w:t>Tabelul nr.</w:t>
      </w:r>
      <w:r w:rsidR="000A347E" w:rsidRPr="003F4D72">
        <w:rPr>
          <w:rFonts w:asciiTheme="majorHAnsi" w:eastAsia="Times New Roman" w:hAnsiTheme="majorHAnsi" w:cstheme="majorHAnsi"/>
          <w:noProof/>
          <w:sz w:val="20"/>
          <w:szCs w:val="24"/>
          <w:lang w:val="ro-MD" w:eastAsia="ru-RU"/>
        </w:rPr>
        <w:t>14</w:t>
      </w:r>
      <w:r w:rsidRPr="003F4D72">
        <w:rPr>
          <w:rFonts w:asciiTheme="majorHAnsi" w:eastAsia="Times New Roman" w:hAnsiTheme="majorHAnsi" w:cstheme="majorHAnsi"/>
          <w:noProof/>
          <w:sz w:val="20"/>
          <w:szCs w:val="24"/>
          <w:lang w:val="ro-MD" w:eastAsia="ru-RU"/>
        </w:rPr>
        <w:t>, mii</w:t>
      </w:r>
      <w:r w:rsidR="00B402C7" w:rsidRPr="003F4D72">
        <w:rPr>
          <w:rFonts w:asciiTheme="majorHAnsi" w:eastAsia="Times New Roman" w:hAnsiTheme="majorHAnsi" w:cstheme="majorHAnsi"/>
          <w:noProof/>
          <w:sz w:val="20"/>
          <w:szCs w:val="24"/>
          <w:lang w:val="ro-MD" w:eastAsia="ru-RU"/>
        </w:rPr>
        <w:t xml:space="preserve"> lei</w:t>
      </w:r>
    </w:p>
    <w:tbl>
      <w:tblPr>
        <w:tblStyle w:val="GridTable1Light"/>
        <w:tblW w:w="5079" w:type="pct"/>
        <w:tblInd w:w="-147" w:type="dxa"/>
        <w:tblLayout w:type="fixed"/>
        <w:tblLook w:val="04A0" w:firstRow="1" w:lastRow="0" w:firstColumn="1" w:lastColumn="0" w:noHBand="0" w:noVBand="1"/>
      </w:tblPr>
      <w:tblGrid>
        <w:gridCol w:w="2411"/>
        <w:gridCol w:w="993"/>
        <w:gridCol w:w="709"/>
        <w:gridCol w:w="1134"/>
        <w:gridCol w:w="993"/>
        <w:gridCol w:w="1134"/>
        <w:gridCol w:w="992"/>
        <w:gridCol w:w="1132"/>
      </w:tblGrid>
      <w:tr w:rsidR="00EB0A52" w:rsidRPr="003F4D72" w14:paraId="08D29F7C" w14:textId="77777777" w:rsidTr="002F6325">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269" w:type="pct"/>
            <w:vMerge w:val="restart"/>
            <w:hideMark/>
          </w:tcPr>
          <w:p w14:paraId="162191F0" w14:textId="2250B9DA" w:rsidR="00AA6E84" w:rsidRPr="003F4D72" w:rsidRDefault="00AA6E84" w:rsidP="0036606E">
            <w:pPr>
              <w:jc w:val="center"/>
              <w:rPr>
                <w:rFonts w:asciiTheme="majorHAnsi" w:eastAsia="Times New Roman" w:hAnsiTheme="majorHAnsi" w:cstheme="majorHAnsi"/>
                <w:b w:val="0"/>
                <w:bCs w:val="0"/>
                <w:sz w:val="20"/>
                <w:szCs w:val="20"/>
              </w:rPr>
            </w:pPr>
            <w:r w:rsidRPr="003F4D72">
              <w:rPr>
                <w:rFonts w:asciiTheme="majorHAnsi" w:eastAsia="Times New Roman" w:hAnsiTheme="majorHAnsi" w:cstheme="majorHAnsi"/>
                <w:b w:val="0"/>
                <w:bCs w:val="0"/>
                <w:sz w:val="20"/>
                <w:szCs w:val="20"/>
              </w:rPr>
              <w:t xml:space="preserve">Denumirea </w:t>
            </w:r>
            <w:r w:rsidR="0036606E" w:rsidRPr="003F4D72">
              <w:rPr>
                <w:rFonts w:asciiTheme="majorHAnsi" w:eastAsia="Times New Roman" w:hAnsiTheme="majorHAnsi" w:cstheme="majorHAnsi"/>
                <w:b w:val="0"/>
                <w:bCs w:val="0"/>
                <w:sz w:val="20"/>
                <w:szCs w:val="20"/>
              </w:rPr>
              <w:t>programului special</w:t>
            </w:r>
          </w:p>
        </w:tc>
        <w:tc>
          <w:tcPr>
            <w:tcW w:w="1492" w:type="pct"/>
            <w:gridSpan w:val="3"/>
            <w:hideMark/>
          </w:tcPr>
          <w:p w14:paraId="20E84FF3" w14:textId="77777777" w:rsidR="00AA6E84" w:rsidRPr="003F4D72" w:rsidRDefault="00AA6E84" w:rsidP="00A30D6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Contract inițial (Publice, Private, Departamentale)</w:t>
            </w:r>
          </w:p>
        </w:tc>
        <w:tc>
          <w:tcPr>
            <w:tcW w:w="1120" w:type="pct"/>
            <w:gridSpan w:val="2"/>
            <w:noWrap/>
            <w:hideMark/>
          </w:tcPr>
          <w:p w14:paraId="0B4FD3C1" w14:textId="77777777" w:rsidR="00AA6E84" w:rsidRPr="003F4D72" w:rsidRDefault="00AA6E84" w:rsidP="00AA6E8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Contractat la 31.12.2020</w:t>
            </w:r>
          </w:p>
        </w:tc>
        <w:tc>
          <w:tcPr>
            <w:tcW w:w="522" w:type="pct"/>
            <w:hideMark/>
          </w:tcPr>
          <w:p w14:paraId="107B489E" w14:textId="77777777" w:rsidR="00AA6E84" w:rsidRPr="003F4D72" w:rsidRDefault="00AA6E84" w:rsidP="00A30D69">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 xml:space="preserve">Executat </w:t>
            </w:r>
          </w:p>
        </w:tc>
        <w:tc>
          <w:tcPr>
            <w:tcW w:w="597" w:type="pct"/>
            <w:hideMark/>
          </w:tcPr>
          <w:p w14:paraId="649D7D09" w14:textId="77777777" w:rsidR="00AA6E84" w:rsidRPr="003F4D72" w:rsidRDefault="00AA6E84" w:rsidP="00AA6E8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Achitat</w:t>
            </w:r>
          </w:p>
        </w:tc>
      </w:tr>
      <w:tr w:rsidR="00EB0A52" w:rsidRPr="003F4D72" w14:paraId="047B62F8" w14:textId="77777777" w:rsidTr="002F6325">
        <w:trPr>
          <w:trHeight w:val="315"/>
        </w:trPr>
        <w:tc>
          <w:tcPr>
            <w:cnfStyle w:val="001000000000" w:firstRow="0" w:lastRow="0" w:firstColumn="1" w:lastColumn="0" w:oddVBand="0" w:evenVBand="0" w:oddHBand="0" w:evenHBand="0" w:firstRowFirstColumn="0" w:firstRowLastColumn="0" w:lastRowFirstColumn="0" w:lastRowLastColumn="0"/>
            <w:tcW w:w="1269" w:type="pct"/>
            <w:vMerge/>
            <w:hideMark/>
          </w:tcPr>
          <w:p w14:paraId="133D0A07" w14:textId="77777777" w:rsidR="00AA6E84" w:rsidRPr="003F4D72" w:rsidRDefault="00AA6E84" w:rsidP="00AA6E84">
            <w:pPr>
              <w:rPr>
                <w:rFonts w:asciiTheme="majorHAnsi" w:eastAsia="Times New Roman" w:hAnsiTheme="majorHAnsi" w:cstheme="majorHAnsi"/>
                <w:b w:val="0"/>
                <w:bCs w:val="0"/>
                <w:sz w:val="20"/>
                <w:szCs w:val="20"/>
              </w:rPr>
            </w:pPr>
          </w:p>
        </w:tc>
        <w:tc>
          <w:tcPr>
            <w:tcW w:w="523" w:type="pct"/>
            <w:hideMark/>
          </w:tcPr>
          <w:p w14:paraId="27B667F1" w14:textId="126B3A8A"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nr. cazurilor tratate</w:t>
            </w:r>
          </w:p>
        </w:tc>
        <w:tc>
          <w:tcPr>
            <w:tcW w:w="373" w:type="pct"/>
            <w:hideMark/>
          </w:tcPr>
          <w:p w14:paraId="1BBE4146" w14:textId="546FEE05"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tarif</w:t>
            </w:r>
          </w:p>
          <w:p w14:paraId="6CDAE129" w14:textId="74675192" w:rsidR="00834406"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(lei)</w:t>
            </w:r>
          </w:p>
        </w:tc>
        <w:tc>
          <w:tcPr>
            <w:tcW w:w="597" w:type="pct"/>
            <w:hideMark/>
          </w:tcPr>
          <w:p w14:paraId="23FCCDB8" w14:textId="3E641A3C"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suma</w:t>
            </w:r>
          </w:p>
        </w:tc>
        <w:tc>
          <w:tcPr>
            <w:tcW w:w="523" w:type="pct"/>
            <w:hideMark/>
          </w:tcPr>
          <w:p w14:paraId="346CCE02" w14:textId="793BEA38"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nr. cazurilor tratate</w:t>
            </w:r>
          </w:p>
        </w:tc>
        <w:tc>
          <w:tcPr>
            <w:tcW w:w="597" w:type="pct"/>
            <w:hideMark/>
          </w:tcPr>
          <w:p w14:paraId="4D27E51D" w14:textId="21FEA9DA"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suma</w:t>
            </w:r>
          </w:p>
        </w:tc>
        <w:tc>
          <w:tcPr>
            <w:tcW w:w="522" w:type="pct"/>
            <w:hideMark/>
          </w:tcPr>
          <w:p w14:paraId="0E8D60D4" w14:textId="020E067F"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nr. cazurilor tratate</w:t>
            </w:r>
          </w:p>
        </w:tc>
        <w:tc>
          <w:tcPr>
            <w:tcW w:w="597" w:type="pct"/>
            <w:hideMark/>
          </w:tcPr>
          <w:p w14:paraId="60C86FF1" w14:textId="1BAA6B8D" w:rsidR="00AA6E84" w:rsidRPr="003F4D72" w:rsidRDefault="000246E3"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suma</w:t>
            </w:r>
          </w:p>
        </w:tc>
      </w:tr>
      <w:tr w:rsidR="00EB0A52" w:rsidRPr="003F4D72" w14:paraId="4C07DACF" w14:textId="77777777" w:rsidTr="002F6325">
        <w:trPr>
          <w:trHeight w:val="315"/>
        </w:trPr>
        <w:tc>
          <w:tcPr>
            <w:cnfStyle w:val="001000000000" w:firstRow="0" w:lastRow="0" w:firstColumn="1" w:lastColumn="0" w:oddVBand="0" w:evenVBand="0" w:oddHBand="0" w:evenHBand="0" w:firstRowFirstColumn="0" w:firstRowLastColumn="0" w:lastRowFirstColumn="0" w:lastRowLastColumn="0"/>
            <w:tcW w:w="1269" w:type="pct"/>
            <w:hideMark/>
          </w:tcPr>
          <w:p w14:paraId="0C908596" w14:textId="77777777" w:rsidR="00AA6E84" w:rsidRPr="003F4D72" w:rsidRDefault="00AA6E84" w:rsidP="00AA6E84">
            <w:pPr>
              <w:jc w:val="center"/>
              <w:rPr>
                <w:rFonts w:asciiTheme="majorHAnsi" w:eastAsia="Times New Roman" w:hAnsiTheme="majorHAnsi" w:cstheme="majorHAnsi"/>
                <w:b w:val="0"/>
                <w:bCs w:val="0"/>
                <w:sz w:val="20"/>
                <w:szCs w:val="20"/>
              </w:rPr>
            </w:pPr>
            <w:r w:rsidRPr="003F4D72">
              <w:rPr>
                <w:rFonts w:asciiTheme="majorHAnsi" w:eastAsia="Times New Roman" w:hAnsiTheme="majorHAnsi" w:cstheme="majorHAnsi"/>
                <w:sz w:val="20"/>
                <w:szCs w:val="20"/>
              </w:rPr>
              <w:t>1</w:t>
            </w:r>
          </w:p>
        </w:tc>
        <w:tc>
          <w:tcPr>
            <w:tcW w:w="523" w:type="pct"/>
            <w:hideMark/>
          </w:tcPr>
          <w:p w14:paraId="1F617587"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2</w:t>
            </w:r>
          </w:p>
        </w:tc>
        <w:tc>
          <w:tcPr>
            <w:tcW w:w="373" w:type="pct"/>
            <w:hideMark/>
          </w:tcPr>
          <w:p w14:paraId="78E6920F"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3</w:t>
            </w:r>
          </w:p>
        </w:tc>
        <w:tc>
          <w:tcPr>
            <w:tcW w:w="597" w:type="pct"/>
            <w:hideMark/>
          </w:tcPr>
          <w:p w14:paraId="407E375F"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5=2*3*4</w:t>
            </w:r>
          </w:p>
        </w:tc>
        <w:tc>
          <w:tcPr>
            <w:tcW w:w="523" w:type="pct"/>
            <w:hideMark/>
          </w:tcPr>
          <w:p w14:paraId="451EFCF8"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6</w:t>
            </w:r>
          </w:p>
        </w:tc>
        <w:tc>
          <w:tcPr>
            <w:tcW w:w="597" w:type="pct"/>
            <w:hideMark/>
          </w:tcPr>
          <w:p w14:paraId="50DB9E8B"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7</w:t>
            </w:r>
          </w:p>
        </w:tc>
        <w:tc>
          <w:tcPr>
            <w:tcW w:w="522" w:type="pct"/>
            <w:hideMark/>
          </w:tcPr>
          <w:p w14:paraId="145E1C48"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8</w:t>
            </w:r>
          </w:p>
        </w:tc>
        <w:tc>
          <w:tcPr>
            <w:tcW w:w="597" w:type="pct"/>
            <w:hideMark/>
          </w:tcPr>
          <w:p w14:paraId="796FAB34"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3F4D72">
              <w:rPr>
                <w:rFonts w:asciiTheme="majorHAnsi" w:eastAsia="Times New Roman" w:hAnsiTheme="majorHAnsi" w:cstheme="majorHAnsi"/>
                <w:b/>
                <w:bCs/>
                <w:sz w:val="20"/>
                <w:szCs w:val="20"/>
              </w:rPr>
              <w:t>9</w:t>
            </w:r>
          </w:p>
        </w:tc>
      </w:tr>
      <w:tr w:rsidR="00EB0A52" w:rsidRPr="003F4D72" w14:paraId="7F3AB713" w14:textId="77777777" w:rsidTr="002F6325">
        <w:trPr>
          <w:trHeight w:val="315"/>
        </w:trPr>
        <w:tc>
          <w:tcPr>
            <w:cnfStyle w:val="001000000000" w:firstRow="0" w:lastRow="0" w:firstColumn="1" w:lastColumn="0" w:oddVBand="0" w:evenVBand="0" w:oddHBand="0" w:evenHBand="0" w:firstRowFirstColumn="0" w:firstRowLastColumn="0" w:lastRowFirstColumn="0" w:lastRowLastColumn="0"/>
            <w:tcW w:w="1269" w:type="pct"/>
            <w:noWrap/>
            <w:hideMark/>
          </w:tcPr>
          <w:p w14:paraId="646206D9" w14:textId="53A80890" w:rsidR="00AA6E84" w:rsidRPr="003F4D72" w:rsidRDefault="00AA6E84" w:rsidP="000246E3">
            <w:pPr>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Program special </w:t>
            </w:r>
            <w:r w:rsidR="000246E3" w:rsidRPr="003F4D72">
              <w:rPr>
                <w:rFonts w:asciiTheme="majorHAnsi" w:eastAsia="Times New Roman" w:hAnsiTheme="majorHAnsi" w:cstheme="majorHAnsi"/>
                <w:sz w:val="20"/>
                <w:szCs w:val="20"/>
              </w:rPr>
              <w:t>„</w:t>
            </w:r>
            <w:r w:rsidRPr="003F4D72">
              <w:rPr>
                <w:rFonts w:asciiTheme="majorHAnsi" w:eastAsia="Times New Roman" w:hAnsiTheme="majorHAnsi" w:cstheme="majorHAnsi"/>
                <w:sz w:val="20"/>
                <w:szCs w:val="20"/>
              </w:rPr>
              <w:t>Protezare</w:t>
            </w:r>
            <w:r w:rsidR="000246E3" w:rsidRPr="003F4D72">
              <w:rPr>
                <w:rFonts w:asciiTheme="majorHAnsi" w:eastAsia="Times New Roman" w:hAnsiTheme="majorHAnsi" w:cstheme="majorHAnsi"/>
                <w:sz w:val="20"/>
                <w:szCs w:val="20"/>
              </w:rPr>
              <w:t>a</w:t>
            </w:r>
            <w:r w:rsidRPr="003F4D72">
              <w:rPr>
                <w:rFonts w:asciiTheme="majorHAnsi" w:eastAsia="Times New Roman" w:hAnsiTheme="majorHAnsi" w:cstheme="majorHAnsi"/>
                <w:sz w:val="20"/>
                <w:szCs w:val="20"/>
              </w:rPr>
              <w:t xml:space="preserve"> articulațiilor mari"</w:t>
            </w:r>
          </w:p>
        </w:tc>
        <w:tc>
          <w:tcPr>
            <w:tcW w:w="523" w:type="pct"/>
            <w:noWrap/>
            <w:hideMark/>
          </w:tcPr>
          <w:p w14:paraId="1FAD8FE5" w14:textId="600A6F5B"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3</w:t>
            </w:r>
            <w:r w:rsidR="002F6325" w:rsidRPr="003F4D72">
              <w:rPr>
                <w:rFonts w:asciiTheme="majorHAnsi" w:eastAsia="Times New Roman" w:hAnsiTheme="majorHAnsi" w:cstheme="majorHAnsi"/>
                <w:sz w:val="20"/>
                <w:szCs w:val="20"/>
              </w:rPr>
              <w:t xml:space="preserve"> </w:t>
            </w:r>
            <w:r w:rsidRPr="003F4D72">
              <w:rPr>
                <w:rFonts w:asciiTheme="majorHAnsi" w:eastAsia="Times New Roman" w:hAnsiTheme="majorHAnsi" w:cstheme="majorHAnsi"/>
                <w:sz w:val="20"/>
                <w:szCs w:val="20"/>
              </w:rPr>
              <w:t>612</w:t>
            </w:r>
          </w:p>
        </w:tc>
        <w:tc>
          <w:tcPr>
            <w:tcW w:w="373" w:type="pct"/>
            <w:noWrap/>
            <w:hideMark/>
          </w:tcPr>
          <w:p w14:paraId="60760E98" w14:textId="1851D783"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w:t>
            </w:r>
            <w:r w:rsidR="002F6325" w:rsidRPr="003F4D72">
              <w:rPr>
                <w:rFonts w:asciiTheme="majorHAnsi" w:eastAsia="Times New Roman" w:hAnsiTheme="majorHAnsi" w:cstheme="majorHAnsi"/>
                <w:sz w:val="20"/>
                <w:szCs w:val="20"/>
              </w:rPr>
              <w:t xml:space="preserve"> </w:t>
            </w:r>
            <w:r w:rsidR="00AA6E84" w:rsidRPr="003F4D72">
              <w:rPr>
                <w:rFonts w:asciiTheme="majorHAnsi" w:eastAsia="Times New Roman" w:hAnsiTheme="majorHAnsi" w:cstheme="majorHAnsi"/>
                <w:sz w:val="20"/>
                <w:szCs w:val="20"/>
              </w:rPr>
              <w:t>667</w:t>
            </w:r>
          </w:p>
        </w:tc>
        <w:tc>
          <w:tcPr>
            <w:tcW w:w="597" w:type="pct"/>
            <w:noWrap/>
            <w:hideMark/>
          </w:tcPr>
          <w:p w14:paraId="2C1AC539"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155 708,3 </w:t>
            </w:r>
          </w:p>
        </w:tc>
        <w:tc>
          <w:tcPr>
            <w:tcW w:w="523" w:type="pct"/>
            <w:noWrap/>
            <w:hideMark/>
          </w:tcPr>
          <w:p w14:paraId="1A0CD3AE" w14:textId="42DF9993"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w:t>
            </w:r>
            <w:r w:rsidR="002F6325" w:rsidRPr="003F4D72">
              <w:rPr>
                <w:rFonts w:asciiTheme="majorHAnsi" w:eastAsia="Times New Roman" w:hAnsiTheme="majorHAnsi" w:cstheme="majorHAnsi"/>
                <w:color w:val="000000"/>
                <w:sz w:val="20"/>
                <w:szCs w:val="20"/>
              </w:rPr>
              <w:t xml:space="preserve"> </w:t>
            </w:r>
            <w:r w:rsidR="00AA6E84" w:rsidRPr="003F4D72">
              <w:rPr>
                <w:rFonts w:asciiTheme="majorHAnsi" w:eastAsia="Times New Roman" w:hAnsiTheme="majorHAnsi" w:cstheme="majorHAnsi"/>
                <w:color w:val="000000"/>
                <w:sz w:val="20"/>
                <w:szCs w:val="20"/>
              </w:rPr>
              <w:t>540</w:t>
            </w:r>
          </w:p>
        </w:tc>
        <w:tc>
          <w:tcPr>
            <w:tcW w:w="597" w:type="pct"/>
            <w:noWrap/>
            <w:hideMark/>
          </w:tcPr>
          <w:p w14:paraId="792187FC"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 xml:space="preserve">108 </w:t>
            </w:r>
            <w:r w:rsidR="00AA6E84" w:rsidRPr="003F4D72">
              <w:rPr>
                <w:rFonts w:asciiTheme="majorHAnsi" w:eastAsia="Times New Roman" w:hAnsiTheme="majorHAnsi" w:cstheme="majorHAnsi"/>
                <w:color w:val="000000"/>
                <w:sz w:val="20"/>
                <w:szCs w:val="20"/>
              </w:rPr>
              <w:t>857</w:t>
            </w:r>
            <w:r w:rsidRPr="003F4D72">
              <w:rPr>
                <w:rFonts w:asciiTheme="majorHAnsi" w:eastAsia="Times New Roman" w:hAnsiTheme="majorHAnsi" w:cstheme="majorHAnsi"/>
                <w:color w:val="000000"/>
                <w:sz w:val="20"/>
                <w:szCs w:val="20"/>
              </w:rPr>
              <w:t xml:space="preserve">,3 </w:t>
            </w:r>
          </w:p>
        </w:tc>
        <w:tc>
          <w:tcPr>
            <w:tcW w:w="522" w:type="pct"/>
            <w:noWrap/>
            <w:hideMark/>
          </w:tcPr>
          <w:p w14:paraId="166ABD38" w14:textId="572CCB48"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w:t>
            </w:r>
            <w:r w:rsidR="002F6325" w:rsidRPr="003F4D72">
              <w:rPr>
                <w:rFonts w:asciiTheme="majorHAnsi" w:eastAsia="Times New Roman" w:hAnsiTheme="majorHAnsi" w:cstheme="majorHAnsi"/>
                <w:color w:val="000000"/>
                <w:sz w:val="20"/>
                <w:szCs w:val="20"/>
              </w:rPr>
              <w:t xml:space="preserve"> </w:t>
            </w:r>
            <w:r w:rsidR="00AA6E84" w:rsidRPr="003F4D72">
              <w:rPr>
                <w:rFonts w:asciiTheme="majorHAnsi" w:eastAsia="Times New Roman" w:hAnsiTheme="majorHAnsi" w:cstheme="majorHAnsi"/>
                <w:color w:val="000000"/>
                <w:sz w:val="20"/>
                <w:szCs w:val="20"/>
              </w:rPr>
              <w:t>498</w:t>
            </w:r>
          </w:p>
        </w:tc>
        <w:tc>
          <w:tcPr>
            <w:tcW w:w="597" w:type="pct"/>
            <w:noWrap/>
            <w:hideMark/>
          </w:tcPr>
          <w:p w14:paraId="17E9CBC3"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 xml:space="preserve">107 181,7 </w:t>
            </w:r>
          </w:p>
        </w:tc>
      </w:tr>
      <w:tr w:rsidR="00EB0A52" w:rsidRPr="003F4D72" w14:paraId="4E9326CA" w14:textId="77777777" w:rsidTr="002F6325">
        <w:trPr>
          <w:trHeight w:val="315"/>
        </w:trPr>
        <w:tc>
          <w:tcPr>
            <w:cnfStyle w:val="001000000000" w:firstRow="0" w:lastRow="0" w:firstColumn="1" w:lastColumn="0" w:oddVBand="0" w:evenVBand="0" w:oddHBand="0" w:evenHBand="0" w:firstRowFirstColumn="0" w:firstRowLastColumn="0" w:lastRowFirstColumn="0" w:lastRowLastColumn="0"/>
            <w:tcW w:w="1269" w:type="pct"/>
            <w:noWrap/>
            <w:hideMark/>
          </w:tcPr>
          <w:p w14:paraId="0A8E5FCC" w14:textId="48DE5AE8" w:rsidR="00AA6E84" w:rsidRPr="003F4D72" w:rsidRDefault="00AA6E84" w:rsidP="000246E3">
            <w:pPr>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Program special </w:t>
            </w:r>
            <w:r w:rsidR="000246E3" w:rsidRPr="003F4D72">
              <w:rPr>
                <w:rFonts w:asciiTheme="majorHAnsi" w:eastAsia="Times New Roman" w:hAnsiTheme="majorHAnsi" w:cstheme="majorHAnsi"/>
                <w:sz w:val="20"/>
                <w:szCs w:val="20"/>
              </w:rPr>
              <w:t>„</w:t>
            </w:r>
            <w:r w:rsidRPr="003F4D72">
              <w:rPr>
                <w:rFonts w:asciiTheme="majorHAnsi" w:eastAsia="Times New Roman" w:hAnsiTheme="majorHAnsi" w:cstheme="majorHAnsi"/>
                <w:sz w:val="20"/>
                <w:szCs w:val="20"/>
              </w:rPr>
              <w:t>Tratament operator pentru cataract</w:t>
            </w:r>
            <w:r w:rsidR="000246E3" w:rsidRPr="003F4D72">
              <w:rPr>
                <w:rFonts w:asciiTheme="majorHAnsi" w:eastAsia="Times New Roman" w:hAnsiTheme="majorHAnsi" w:cstheme="majorHAnsi"/>
                <w:sz w:val="20"/>
                <w:szCs w:val="20"/>
              </w:rPr>
              <w:t>ă</w:t>
            </w:r>
            <w:r w:rsidRPr="003F4D72">
              <w:rPr>
                <w:rFonts w:asciiTheme="majorHAnsi" w:eastAsia="Times New Roman" w:hAnsiTheme="majorHAnsi" w:cstheme="majorHAnsi"/>
                <w:sz w:val="20"/>
                <w:szCs w:val="20"/>
              </w:rPr>
              <w:t>"</w:t>
            </w:r>
          </w:p>
        </w:tc>
        <w:tc>
          <w:tcPr>
            <w:tcW w:w="523" w:type="pct"/>
            <w:noWrap/>
            <w:hideMark/>
          </w:tcPr>
          <w:p w14:paraId="12FDCD62" w14:textId="0E4B9C7D"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6</w:t>
            </w:r>
            <w:r w:rsidR="002F6325" w:rsidRPr="003F4D72">
              <w:rPr>
                <w:rFonts w:asciiTheme="majorHAnsi" w:eastAsia="Times New Roman" w:hAnsiTheme="majorHAnsi" w:cstheme="majorHAnsi"/>
                <w:sz w:val="20"/>
                <w:szCs w:val="20"/>
              </w:rPr>
              <w:t xml:space="preserve"> </w:t>
            </w:r>
            <w:r w:rsidRPr="003F4D72">
              <w:rPr>
                <w:rFonts w:asciiTheme="majorHAnsi" w:eastAsia="Times New Roman" w:hAnsiTheme="majorHAnsi" w:cstheme="majorHAnsi"/>
                <w:sz w:val="20"/>
                <w:szCs w:val="20"/>
              </w:rPr>
              <w:t>220</w:t>
            </w:r>
          </w:p>
        </w:tc>
        <w:tc>
          <w:tcPr>
            <w:tcW w:w="373" w:type="pct"/>
            <w:noWrap/>
            <w:hideMark/>
          </w:tcPr>
          <w:p w14:paraId="2DBCEBE3" w14:textId="7C64B462"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w:t>
            </w:r>
            <w:r w:rsidR="002F6325" w:rsidRPr="003F4D72">
              <w:rPr>
                <w:rFonts w:asciiTheme="majorHAnsi" w:eastAsia="Times New Roman" w:hAnsiTheme="majorHAnsi" w:cstheme="majorHAnsi"/>
                <w:sz w:val="20"/>
                <w:szCs w:val="20"/>
              </w:rPr>
              <w:t xml:space="preserve"> </w:t>
            </w:r>
            <w:r w:rsidR="00AA6E84" w:rsidRPr="003F4D72">
              <w:rPr>
                <w:rFonts w:asciiTheme="majorHAnsi" w:eastAsia="Times New Roman" w:hAnsiTheme="majorHAnsi" w:cstheme="majorHAnsi"/>
                <w:sz w:val="20"/>
                <w:szCs w:val="20"/>
              </w:rPr>
              <w:t>667</w:t>
            </w:r>
          </w:p>
        </w:tc>
        <w:tc>
          <w:tcPr>
            <w:tcW w:w="597" w:type="pct"/>
            <w:noWrap/>
            <w:hideMark/>
          </w:tcPr>
          <w:p w14:paraId="43B241A6"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 xml:space="preserve">62 587,8 </w:t>
            </w:r>
          </w:p>
        </w:tc>
        <w:tc>
          <w:tcPr>
            <w:tcW w:w="523" w:type="pct"/>
            <w:noWrap/>
            <w:hideMark/>
          </w:tcPr>
          <w:p w14:paraId="288D6382" w14:textId="4E5F9782"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w:t>
            </w:r>
            <w:r w:rsidR="002F6325" w:rsidRPr="003F4D72">
              <w:rPr>
                <w:rFonts w:asciiTheme="majorHAnsi" w:eastAsia="Times New Roman" w:hAnsiTheme="majorHAnsi" w:cstheme="majorHAnsi"/>
                <w:color w:val="000000"/>
                <w:sz w:val="20"/>
                <w:szCs w:val="20"/>
              </w:rPr>
              <w:t xml:space="preserve"> </w:t>
            </w:r>
            <w:r w:rsidR="00AA6E84" w:rsidRPr="003F4D72">
              <w:rPr>
                <w:rFonts w:asciiTheme="majorHAnsi" w:eastAsia="Times New Roman" w:hAnsiTheme="majorHAnsi" w:cstheme="majorHAnsi"/>
                <w:color w:val="000000"/>
                <w:sz w:val="20"/>
                <w:szCs w:val="20"/>
              </w:rPr>
              <w:t>595</w:t>
            </w:r>
          </w:p>
        </w:tc>
        <w:tc>
          <w:tcPr>
            <w:tcW w:w="597" w:type="pct"/>
            <w:noWrap/>
            <w:hideMark/>
          </w:tcPr>
          <w:p w14:paraId="532F42C6"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48 843,</w:t>
            </w:r>
            <w:r w:rsidR="00AA6E84" w:rsidRPr="003F4D72">
              <w:rPr>
                <w:rFonts w:asciiTheme="majorHAnsi" w:eastAsia="Times New Roman" w:hAnsiTheme="majorHAnsi" w:cstheme="majorHAnsi"/>
                <w:color w:val="000000"/>
                <w:sz w:val="20"/>
                <w:szCs w:val="20"/>
              </w:rPr>
              <w:t>0</w:t>
            </w:r>
          </w:p>
        </w:tc>
        <w:tc>
          <w:tcPr>
            <w:tcW w:w="522" w:type="pct"/>
            <w:noWrap/>
            <w:hideMark/>
          </w:tcPr>
          <w:p w14:paraId="572189E2" w14:textId="7210FF6B"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w:t>
            </w:r>
            <w:r w:rsidR="002F6325" w:rsidRPr="003F4D72">
              <w:rPr>
                <w:rFonts w:asciiTheme="majorHAnsi" w:eastAsia="Times New Roman" w:hAnsiTheme="majorHAnsi" w:cstheme="majorHAnsi"/>
                <w:color w:val="000000"/>
                <w:sz w:val="20"/>
                <w:szCs w:val="20"/>
              </w:rPr>
              <w:t xml:space="preserve"> </w:t>
            </w:r>
            <w:r w:rsidR="00AA6E84" w:rsidRPr="003F4D72">
              <w:rPr>
                <w:rFonts w:asciiTheme="majorHAnsi" w:eastAsia="Times New Roman" w:hAnsiTheme="majorHAnsi" w:cstheme="majorHAnsi"/>
                <w:color w:val="000000"/>
                <w:sz w:val="20"/>
                <w:szCs w:val="20"/>
              </w:rPr>
              <w:t>447</w:t>
            </w:r>
          </w:p>
        </w:tc>
        <w:tc>
          <w:tcPr>
            <w:tcW w:w="597" w:type="pct"/>
            <w:noWrap/>
            <w:hideMark/>
          </w:tcPr>
          <w:p w14:paraId="3CB388C8"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47 445,</w:t>
            </w:r>
            <w:r w:rsidR="00AA6E84" w:rsidRPr="003F4D72">
              <w:rPr>
                <w:rFonts w:asciiTheme="majorHAnsi" w:eastAsia="Times New Roman" w:hAnsiTheme="majorHAnsi" w:cstheme="majorHAnsi"/>
                <w:color w:val="000000"/>
                <w:sz w:val="20"/>
                <w:szCs w:val="20"/>
              </w:rPr>
              <w:t>3</w:t>
            </w:r>
          </w:p>
        </w:tc>
      </w:tr>
      <w:tr w:rsidR="00EB0A52" w:rsidRPr="003F4D72" w14:paraId="3FCCBBF7" w14:textId="77777777" w:rsidTr="002F6325">
        <w:trPr>
          <w:trHeight w:val="315"/>
        </w:trPr>
        <w:tc>
          <w:tcPr>
            <w:cnfStyle w:val="001000000000" w:firstRow="0" w:lastRow="0" w:firstColumn="1" w:lastColumn="0" w:oddVBand="0" w:evenVBand="0" w:oddHBand="0" w:evenHBand="0" w:firstRowFirstColumn="0" w:firstRowLastColumn="0" w:lastRowFirstColumn="0" w:lastRowLastColumn="0"/>
            <w:tcW w:w="1269" w:type="pct"/>
            <w:noWrap/>
            <w:hideMark/>
          </w:tcPr>
          <w:p w14:paraId="7E43EDD1" w14:textId="77777777" w:rsidR="00AA6E84" w:rsidRPr="003F4D72" w:rsidRDefault="00AA6E84" w:rsidP="006B1DA1">
            <w:pPr>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lastRenderedPageBreak/>
              <w:t xml:space="preserve">Program special „Infecția cu </w:t>
            </w:r>
            <w:proofErr w:type="spellStart"/>
            <w:r w:rsidRPr="003F4D72">
              <w:rPr>
                <w:rFonts w:asciiTheme="majorHAnsi" w:eastAsia="Times New Roman" w:hAnsiTheme="majorHAnsi" w:cstheme="majorHAnsi"/>
                <w:sz w:val="20"/>
                <w:szCs w:val="20"/>
              </w:rPr>
              <w:t>Coronavirusul</w:t>
            </w:r>
            <w:proofErr w:type="spellEnd"/>
            <w:r w:rsidRPr="003F4D72">
              <w:rPr>
                <w:rFonts w:asciiTheme="majorHAnsi" w:eastAsia="Times New Roman" w:hAnsiTheme="majorHAnsi" w:cstheme="majorHAnsi"/>
                <w:sz w:val="20"/>
                <w:szCs w:val="20"/>
              </w:rPr>
              <w:t xml:space="preserve"> de tip nou (COVID-19)”</w:t>
            </w:r>
          </w:p>
        </w:tc>
        <w:tc>
          <w:tcPr>
            <w:tcW w:w="523" w:type="pct"/>
            <w:noWrap/>
            <w:hideMark/>
          </w:tcPr>
          <w:p w14:paraId="0F077459" w14:textId="77777777" w:rsidR="00AA6E84" w:rsidRPr="003F4D72" w:rsidRDefault="00AA6E84"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116</w:t>
            </w:r>
          </w:p>
        </w:tc>
        <w:tc>
          <w:tcPr>
            <w:tcW w:w="373" w:type="pct"/>
            <w:noWrap/>
            <w:hideMark/>
          </w:tcPr>
          <w:p w14:paraId="2C0732E8" w14:textId="082F725C"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w:t>
            </w:r>
            <w:r w:rsidR="002F6325" w:rsidRPr="003F4D72">
              <w:rPr>
                <w:rFonts w:asciiTheme="majorHAnsi" w:eastAsia="Times New Roman" w:hAnsiTheme="majorHAnsi" w:cstheme="majorHAnsi"/>
                <w:sz w:val="20"/>
                <w:szCs w:val="20"/>
              </w:rPr>
              <w:t xml:space="preserve"> </w:t>
            </w:r>
            <w:r w:rsidR="00AA6E84" w:rsidRPr="003F4D72">
              <w:rPr>
                <w:rFonts w:asciiTheme="majorHAnsi" w:eastAsia="Times New Roman" w:hAnsiTheme="majorHAnsi" w:cstheme="majorHAnsi"/>
                <w:sz w:val="20"/>
                <w:szCs w:val="20"/>
              </w:rPr>
              <w:t>667</w:t>
            </w:r>
          </w:p>
        </w:tc>
        <w:tc>
          <w:tcPr>
            <w:tcW w:w="597" w:type="pct"/>
            <w:noWrap/>
            <w:hideMark/>
          </w:tcPr>
          <w:p w14:paraId="2B38A714"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207,7</w:t>
            </w:r>
          </w:p>
        </w:tc>
        <w:tc>
          <w:tcPr>
            <w:tcW w:w="523" w:type="pct"/>
            <w:noWrap/>
            <w:hideMark/>
          </w:tcPr>
          <w:p w14:paraId="376E77F8" w14:textId="2B61C5C7"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48</w:t>
            </w:r>
            <w:r w:rsidR="002F6325" w:rsidRPr="003F4D72">
              <w:rPr>
                <w:rFonts w:asciiTheme="majorHAnsi" w:eastAsia="Times New Roman" w:hAnsiTheme="majorHAnsi" w:cstheme="majorHAnsi"/>
                <w:color w:val="000000"/>
                <w:sz w:val="20"/>
                <w:szCs w:val="20"/>
              </w:rPr>
              <w:t xml:space="preserve"> </w:t>
            </w:r>
            <w:r w:rsidR="00AA6E84" w:rsidRPr="003F4D72">
              <w:rPr>
                <w:rFonts w:asciiTheme="majorHAnsi" w:eastAsia="Times New Roman" w:hAnsiTheme="majorHAnsi" w:cstheme="majorHAnsi"/>
                <w:color w:val="000000"/>
                <w:sz w:val="20"/>
                <w:szCs w:val="20"/>
              </w:rPr>
              <w:t>181</w:t>
            </w:r>
          </w:p>
        </w:tc>
        <w:tc>
          <w:tcPr>
            <w:tcW w:w="597" w:type="pct"/>
            <w:noWrap/>
            <w:hideMark/>
          </w:tcPr>
          <w:p w14:paraId="23FD266F"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 xml:space="preserve">408 357,4 </w:t>
            </w:r>
          </w:p>
        </w:tc>
        <w:tc>
          <w:tcPr>
            <w:tcW w:w="522" w:type="pct"/>
            <w:noWrap/>
            <w:hideMark/>
          </w:tcPr>
          <w:p w14:paraId="41B832C9" w14:textId="229A7C6C" w:rsidR="00AA6E84" w:rsidRPr="003F4D72" w:rsidRDefault="006B1DA1" w:rsidP="00AA6E8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48</w:t>
            </w:r>
            <w:r w:rsidR="002F6325" w:rsidRPr="003F4D72">
              <w:rPr>
                <w:rFonts w:asciiTheme="majorHAnsi" w:eastAsia="Times New Roman" w:hAnsiTheme="majorHAnsi" w:cstheme="majorHAnsi"/>
                <w:color w:val="000000"/>
                <w:sz w:val="20"/>
                <w:szCs w:val="20"/>
              </w:rPr>
              <w:t xml:space="preserve"> </w:t>
            </w:r>
            <w:r w:rsidR="00AA6E84" w:rsidRPr="003F4D72">
              <w:rPr>
                <w:rFonts w:asciiTheme="majorHAnsi" w:eastAsia="Times New Roman" w:hAnsiTheme="majorHAnsi" w:cstheme="majorHAnsi"/>
                <w:color w:val="000000"/>
                <w:sz w:val="20"/>
                <w:szCs w:val="20"/>
              </w:rPr>
              <w:t>297</w:t>
            </w:r>
          </w:p>
        </w:tc>
        <w:tc>
          <w:tcPr>
            <w:tcW w:w="597" w:type="pct"/>
            <w:noWrap/>
            <w:hideMark/>
          </w:tcPr>
          <w:p w14:paraId="52812747" w14:textId="77777777" w:rsidR="00AA6E84" w:rsidRPr="003F4D72" w:rsidRDefault="003F14CB" w:rsidP="003F14C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 xml:space="preserve">408 565,1 </w:t>
            </w:r>
          </w:p>
        </w:tc>
      </w:tr>
    </w:tbl>
    <w:p w14:paraId="2C53BF29" w14:textId="77777777" w:rsidR="003F14CB" w:rsidRPr="003F4D72" w:rsidRDefault="003F14CB" w:rsidP="003F14CB">
      <w:pPr>
        <w:spacing w:after="0" w:line="240" w:lineRule="auto"/>
        <w:ind w:right="29" w:firstLine="708"/>
        <w:jc w:val="both"/>
        <w:rPr>
          <w:rFonts w:asciiTheme="majorHAnsi" w:eastAsia="Times New Roman" w:hAnsiTheme="majorHAnsi" w:cstheme="majorHAnsi"/>
          <w:b/>
          <w:i/>
          <w:szCs w:val="28"/>
          <w:lang w:eastAsia="ru-RU"/>
        </w:rPr>
      </w:pPr>
      <w:r w:rsidRPr="003F4D72">
        <w:rPr>
          <w:rFonts w:asciiTheme="majorHAnsi" w:eastAsia="Times New Roman" w:hAnsiTheme="majorHAnsi" w:cstheme="majorHAnsi"/>
          <w:b/>
          <w:i/>
          <w:sz w:val="20"/>
          <w:szCs w:val="20"/>
          <w:lang w:eastAsia="ru-RU"/>
        </w:rPr>
        <w:t>Sursa:</w:t>
      </w:r>
      <w:r w:rsidRPr="003F4D72">
        <w:rPr>
          <w:rFonts w:asciiTheme="majorHAnsi" w:eastAsia="Times New Roman" w:hAnsiTheme="majorHAnsi" w:cstheme="majorHAnsi"/>
          <w:b/>
          <w:bCs/>
          <w:color w:val="000000"/>
          <w:sz w:val="20"/>
          <w:szCs w:val="20"/>
        </w:rPr>
        <w:t xml:space="preserve"> </w:t>
      </w:r>
      <w:r w:rsidRPr="003F4D72">
        <w:rPr>
          <w:rFonts w:asciiTheme="majorHAnsi" w:eastAsia="Times New Roman" w:hAnsiTheme="majorHAnsi" w:cstheme="majorHAnsi"/>
          <w:bCs/>
          <w:i/>
          <w:color w:val="000000"/>
          <w:sz w:val="20"/>
          <w:szCs w:val="20"/>
        </w:rPr>
        <w:t>Elaborat de audit în baza informațiilor prezentate de CNAM.</w:t>
      </w:r>
    </w:p>
    <w:p w14:paraId="23D945DD" w14:textId="77777777" w:rsidR="00311E83" w:rsidRPr="003F4D72" w:rsidRDefault="00311E83" w:rsidP="00AA6E84">
      <w:pPr>
        <w:spacing w:after="0" w:line="276" w:lineRule="auto"/>
        <w:jc w:val="both"/>
        <w:rPr>
          <w:rFonts w:ascii="Arial" w:hAnsi="Arial" w:cs="Arial"/>
          <w:color w:val="4F4F4F"/>
          <w:sz w:val="27"/>
          <w:szCs w:val="27"/>
          <w:shd w:val="clear" w:color="auto" w:fill="FFFFFF"/>
        </w:rPr>
      </w:pPr>
    </w:p>
    <w:p w14:paraId="6159EB14" w14:textId="155259B7" w:rsidR="00E558C2" w:rsidRPr="003F4D72" w:rsidRDefault="006F5850" w:rsidP="00430B54">
      <w:pPr>
        <w:spacing w:after="0" w:line="276" w:lineRule="auto"/>
        <w:ind w:firstLine="567"/>
        <w:jc w:val="both"/>
        <w:rPr>
          <w:rFonts w:asciiTheme="majorHAnsi" w:eastAsia="Times New Roman" w:hAnsiTheme="majorHAnsi" w:cstheme="majorHAnsi"/>
          <w:sz w:val="24"/>
          <w:szCs w:val="24"/>
        </w:rPr>
      </w:pPr>
      <w:r w:rsidRPr="003F4D72">
        <w:rPr>
          <w:rFonts w:asciiTheme="majorHAnsi" w:eastAsia="Calibri" w:hAnsiTheme="majorHAnsi" w:cstheme="majorHAnsi"/>
          <w:sz w:val="24"/>
          <w:szCs w:val="24"/>
        </w:rPr>
        <w:t xml:space="preserve">Potrivit datelor în cadrul </w:t>
      </w:r>
      <w:r w:rsidRPr="003F4D72">
        <w:rPr>
          <w:rFonts w:asciiTheme="majorHAnsi" w:eastAsia="Times New Roman" w:hAnsiTheme="majorHAnsi" w:cstheme="majorHAnsi"/>
          <w:sz w:val="24"/>
          <w:szCs w:val="24"/>
        </w:rPr>
        <w:t xml:space="preserve">programului special „Infecția cu </w:t>
      </w:r>
      <w:proofErr w:type="spellStart"/>
      <w:r w:rsidRPr="003F4D72">
        <w:rPr>
          <w:rFonts w:asciiTheme="majorHAnsi" w:eastAsia="Times New Roman" w:hAnsiTheme="majorHAnsi" w:cstheme="majorHAnsi"/>
          <w:sz w:val="24"/>
          <w:szCs w:val="24"/>
        </w:rPr>
        <w:t>Coronavirusul</w:t>
      </w:r>
      <w:proofErr w:type="spellEnd"/>
      <w:r w:rsidRPr="003F4D72">
        <w:rPr>
          <w:rFonts w:asciiTheme="majorHAnsi" w:eastAsia="Times New Roman" w:hAnsiTheme="majorHAnsi" w:cstheme="majorHAnsi"/>
          <w:sz w:val="24"/>
          <w:szCs w:val="24"/>
        </w:rPr>
        <w:t xml:space="preserve"> de tip nou (COVID-19)”</w:t>
      </w:r>
      <w:r w:rsidR="000246E3" w:rsidRPr="003F4D72">
        <w:rPr>
          <w:rFonts w:asciiTheme="majorHAnsi" w:eastAsia="Times New Roman" w:hAnsiTheme="majorHAnsi" w:cstheme="majorHAnsi"/>
          <w:sz w:val="24"/>
          <w:szCs w:val="24"/>
        </w:rPr>
        <w:t>,</w:t>
      </w:r>
      <w:r w:rsidRPr="003F4D72">
        <w:rPr>
          <w:rFonts w:asciiTheme="majorHAnsi" w:eastAsia="Times New Roman" w:hAnsiTheme="majorHAnsi" w:cstheme="majorHAnsi"/>
          <w:sz w:val="24"/>
          <w:szCs w:val="24"/>
        </w:rPr>
        <w:t xml:space="preserve"> inițial au fost contractate 116 cazuri</w:t>
      </w:r>
      <w:r w:rsidR="00A30D69" w:rsidRPr="003F4D72">
        <w:rPr>
          <w:rFonts w:asciiTheme="majorHAnsi" w:eastAsia="Times New Roman" w:hAnsiTheme="majorHAnsi" w:cstheme="majorHAnsi"/>
          <w:sz w:val="24"/>
          <w:szCs w:val="24"/>
        </w:rPr>
        <w:t xml:space="preserve"> în sumă de 207,7 mii lei</w:t>
      </w:r>
      <w:r w:rsidRPr="003F4D72">
        <w:rPr>
          <w:rFonts w:asciiTheme="majorHAnsi" w:eastAsia="Times New Roman" w:hAnsiTheme="majorHAnsi" w:cstheme="majorHAnsi"/>
          <w:sz w:val="24"/>
          <w:szCs w:val="24"/>
        </w:rPr>
        <w:t xml:space="preserve">, servicii care au fost ajustate pe parcursul anului până la 48 181 </w:t>
      </w:r>
      <w:r w:rsidR="000246E3" w:rsidRPr="003F4D72">
        <w:rPr>
          <w:rFonts w:asciiTheme="majorHAnsi" w:eastAsia="Times New Roman" w:hAnsiTheme="majorHAnsi" w:cstheme="majorHAnsi"/>
          <w:sz w:val="24"/>
          <w:szCs w:val="24"/>
        </w:rPr>
        <w:t xml:space="preserve">de </w:t>
      </w:r>
      <w:r w:rsidRPr="003F4D72">
        <w:rPr>
          <w:rFonts w:asciiTheme="majorHAnsi" w:eastAsia="Times New Roman" w:hAnsiTheme="majorHAnsi" w:cstheme="majorHAnsi"/>
          <w:sz w:val="24"/>
          <w:szCs w:val="24"/>
        </w:rPr>
        <w:t>cazuri tratate</w:t>
      </w:r>
      <w:r w:rsidR="000246E3" w:rsidRPr="003F4D72">
        <w:rPr>
          <w:rFonts w:asciiTheme="majorHAnsi" w:eastAsia="Times New Roman" w:hAnsiTheme="majorHAnsi" w:cstheme="majorHAnsi"/>
          <w:sz w:val="24"/>
          <w:szCs w:val="24"/>
        </w:rPr>
        <w:t>,</w:t>
      </w:r>
      <w:r w:rsidRPr="003F4D72">
        <w:rPr>
          <w:rFonts w:asciiTheme="majorHAnsi" w:eastAsia="Times New Roman" w:hAnsiTheme="majorHAnsi" w:cstheme="majorHAnsi"/>
          <w:sz w:val="24"/>
          <w:szCs w:val="24"/>
        </w:rPr>
        <w:t xml:space="preserve"> </w:t>
      </w:r>
      <w:r w:rsidR="00E558C2" w:rsidRPr="003F4D72">
        <w:rPr>
          <w:rFonts w:asciiTheme="majorHAnsi" w:eastAsia="Times New Roman" w:hAnsiTheme="majorHAnsi" w:cstheme="majorHAnsi"/>
          <w:sz w:val="24"/>
          <w:szCs w:val="24"/>
        </w:rPr>
        <w:t>fiind achitate instituțiilor</w:t>
      </w:r>
      <w:r w:rsidRPr="003F4D72">
        <w:rPr>
          <w:rFonts w:asciiTheme="majorHAnsi" w:eastAsia="Times New Roman" w:hAnsiTheme="majorHAnsi" w:cstheme="majorHAnsi"/>
          <w:sz w:val="24"/>
          <w:szCs w:val="24"/>
        </w:rPr>
        <w:t xml:space="preserve"> medicale </w:t>
      </w:r>
      <w:r w:rsidR="00E558C2" w:rsidRPr="003F4D72">
        <w:rPr>
          <w:rFonts w:asciiTheme="majorHAnsi" w:eastAsia="Times New Roman" w:hAnsiTheme="majorHAnsi" w:cstheme="majorHAnsi"/>
          <w:sz w:val="24"/>
          <w:szCs w:val="24"/>
        </w:rPr>
        <w:t>spitalicești 408,6 mil.lei</w:t>
      </w:r>
      <w:r w:rsidR="002A11E9" w:rsidRPr="003F4D72">
        <w:rPr>
          <w:rFonts w:asciiTheme="majorHAnsi" w:eastAsia="Times New Roman" w:hAnsiTheme="majorHAnsi" w:cstheme="majorHAnsi"/>
          <w:sz w:val="24"/>
          <w:szCs w:val="24"/>
        </w:rPr>
        <w:t xml:space="preserve"> pentru tratarea pacienților cu Covid-19.</w:t>
      </w:r>
    </w:p>
    <w:p w14:paraId="519C3628" w14:textId="149A59BB" w:rsidR="00E558C2" w:rsidRPr="003F4D72" w:rsidRDefault="00E558C2" w:rsidP="00E558C2">
      <w:pPr>
        <w:spacing w:after="0" w:line="276" w:lineRule="auto"/>
        <w:ind w:firstLine="567"/>
        <w:jc w:val="both"/>
        <w:rPr>
          <w:rFonts w:asciiTheme="majorHAnsi" w:eastAsia="Calibri" w:hAnsiTheme="majorHAnsi" w:cstheme="majorHAnsi"/>
          <w:sz w:val="24"/>
          <w:szCs w:val="24"/>
        </w:rPr>
      </w:pPr>
      <w:r w:rsidRPr="003F4D72">
        <w:rPr>
          <w:rFonts w:asciiTheme="majorHAnsi" w:hAnsiTheme="majorHAnsi" w:cstheme="majorHAnsi"/>
          <w:sz w:val="24"/>
          <w:szCs w:val="24"/>
          <w:shd w:val="clear" w:color="auto" w:fill="FFFFFF"/>
        </w:rPr>
        <w:t xml:space="preserve">În acest context, serviciile medicale programate în cadrul programelor speciale, prestate </w:t>
      </w:r>
      <w:r w:rsidR="007F7C5D" w:rsidRPr="003F4D72">
        <w:rPr>
          <w:rFonts w:asciiTheme="majorHAnsi" w:hAnsiTheme="majorHAnsi" w:cstheme="majorHAnsi"/>
          <w:sz w:val="24"/>
          <w:szCs w:val="24"/>
          <w:shd w:val="clear" w:color="auto" w:fill="FFFFFF"/>
        </w:rPr>
        <w:t>de</w:t>
      </w:r>
      <w:r w:rsidRPr="003F4D72">
        <w:rPr>
          <w:rFonts w:asciiTheme="majorHAnsi" w:hAnsiTheme="majorHAnsi" w:cstheme="majorHAnsi"/>
          <w:sz w:val="24"/>
          <w:szCs w:val="24"/>
          <w:shd w:val="clear" w:color="auto" w:fill="FFFFFF"/>
        </w:rPr>
        <w:t xml:space="preserve"> instituțiil</w:t>
      </w:r>
      <w:r w:rsidR="007F7C5D" w:rsidRPr="003F4D72">
        <w:rPr>
          <w:rFonts w:asciiTheme="majorHAnsi" w:hAnsiTheme="majorHAnsi" w:cstheme="majorHAnsi"/>
          <w:sz w:val="24"/>
          <w:szCs w:val="24"/>
          <w:shd w:val="clear" w:color="auto" w:fill="FFFFFF"/>
        </w:rPr>
        <w:t>e</w:t>
      </w:r>
      <w:r w:rsidRPr="003F4D72">
        <w:rPr>
          <w:rFonts w:asciiTheme="majorHAnsi" w:hAnsiTheme="majorHAnsi" w:cstheme="majorHAnsi"/>
          <w:sz w:val="24"/>
          <w:szCs w:val="24"/>
          <w:shd w:val="clear" w:color="auto" w:fill="FFFFFF"/>
        </w:rPr>
        <w:t xml:space="preserve"> medico-sanitare spitalicești</w:t>
      </w:r>
      <w:r w:rsidR="000246E3" w:rsidRPr="003F4D72">
        <w:rPr>
          <w:rFonts w:asciiTheme="majorHAnsi" w:hAnsiTheme="majorHAnsi" w:cstheme="majorHAnsi"/>
          <w:sz w:val="24"/>
          <w:szCs w:val="24"/>
          <w:shd w:val="clear" w:color="auto" w:fill="FFFFFF"/>
        </w:rPr>
        <w:t>,</w:t>
      </w:r>
      <w:r w:rsidRPr="003F4D72">
        <w:rPr>
          <w:rFonts w:asciiTheme="majorHAnsi" w:hAnsiTheme="majorHAnsi" w:cstheme="majorHAnsi"/>
          <w:sz w:val="24"/>
          <w:szCs w:val="24"/>
          <w:shd w:val="clear" w:color="auto" w:fill="FFFFFF"/>
        </w:rPr>
        <w:t xml:space="preserve"> au fost limitate, iar intervențiile chirurgicale – suspendate, situație care a afectat pacienți</w:t>
      </w:r>
      <w:r w:rsidR="007F7C5D" w:rsidRPr="003F4D72">
        <w:rPr>
          <w:rFonts w:asciiTheme="majorHAnsi" w:hAnsiTheme="majorHAnsi" w:cstheme="majorHAnsi"/>
          <w:sz w:val="24"/>
          <w:szCs w:val="24"/>
          <w:shd w:val="clear" w:color="auto" w:fill="FFFFFF"/>
        </w:rPr>
        <w:t>i</w:t>
      </w:r>
      <w:r w:rsidRPr="003F4D72">
        <w:rPr>
          <w:rFonts w:asciiTheme="majorHAnsi" w:hAnsiTheme="majorHAnsi" w:cstheme="majorHAnsi"/>
          <w:sz w:val="24"/>
          <w:szCs w:val="24"/>
          <w:shd w:val="clear" w:color="auto" w:fill="FFFFFF"/>
        </w:rPr>
        <w:t xml:space="preserve"> cu alte afecțiuni de sănătate decât cei diagnosticați cu Covid-19, afla</w:t>
      </w:r>
      <w:r w:rsidR="00F160F9" w:rsidRPr="003F4D72">
        <w:rPr>
          <w:rFonts w:asciiTheme="majorHAnsi" w:hAnsiTheme="majorHAnsi" w:cstheme="majorHAnsi"/>
          <w:sz w:val="24"/>
          <w:szCs w:val="24"/>
          <w:shd w:val="clear" w:color="auto" w:fill="FFFFFF"/>
        </w:rPr>
        <w:t>ți</w:t>
      </w:r>
      <w:r w:rsidRPr="003F4D72">
        <w:rPr>
          <w:rFonts w:asciiTheme="majorHAnsi" w:hAnsiTheme="majorHAnsi" w:cstheme="majorHAnsi"/>
          <w:sz w:val="24"/>
          <w:szCs w:val="24"/>
          <w:shd w:val="clear" w:color="auto" w:fill="FFFFFF"/>
        </w:rPr>
        <w:t xml:space="preserve"> la tratament sau programa</w:t>
      </w:r>
      <w:r w:rsidR="00F160F9" w:rsidRPr="003F4D72">
        <w:rPr>
          <w:rFonts w:asciiTheme="majorHAnsi" w:hAnsiTheme="majorHAnsi" w:cstheme="majorHAnsi"/>
          <w:sz w:val="24"/>
          <w:szCs w:val="24"/>
          <w:shd w:val="clear" w:color="auto" w:fill="FFFFFF"/>
        </w:rPr>
        <w:t>ți</w:t>
      </w:r>
      <w:r w:rsidRPr="003F4D72">
        <w:rPr>
          <w:rFonts w:asciiTheme="majorHAnsi" w:hAnsiTheme="majorHAnsi" w:cstheme="majorHAnsi"/>
          <w:sz w:val="24"/>
          <w:szCs w:val="24"/>
          <w:shd w:val="clear" w:color="auto" w:fill="FFFFFF"/>
        </w:rPr>
        <w:t xml:space="preserve"> pentru anumite intervenții chirurgicale.</w:t>
      </w:r>
    </w:p>
    <w:p w14:paraId="70D678D7" w14:textId="5AF5C492" w:rsidR="00430B54" w:rsidRPr="003F4D72" w:rsidRDefault="00E558C2" w:rsidP="00430B54">
      <w:pPr>
        <w:spacing w:after="0" w:line="276" w:lineRule="auto"/>
        <w:ind w:firstLine="567"/>
        <w:jc w:val="both"/>
        <w:rPr>
          <w:rFonts w:asciiTheme="majorHAnsi" w:eastAsia="Calibri" w:hAnsiTheme="majorHAnsi" w:cs="Times New Roman"/>
          <w:sz w:val="24"/>
          <w:szCs w:val="28"/>
        </w:rPr>
      </w:pPr>
      <w:r w:rsidRPr="003F4D72">
        <w:rPr>
          <w:rFonts w:asciiTheme="majorHAnsi" w:eastAsia="Calibri" w:hAnsiTheme="majorHAnsi" w:cs="Times New Roman"/>
          <w:sz w:val="24"/>
          <w:szCs w:val="28"/>
        </w:rPr>
        <w:t xml:space="preserve">Astfel, în </w:t>
      </w:r>
      <w:r w:rsidR="00391FEA" w:rsidRPr="003F4D72">
        <w:rPr>
          <w:rFonts w:asciiTheme="majorHAnsi" w:eastAsia="Calibri" w:hAnsiTheme="majorHAnsi" w:cs="Times New Roman"/>
          <w:sz w:val="24"/>
          <w:szCs w:val="28"/>
        </w:rPr>
        <w:t xml:space="preserve">anul 2020, </w:t>
      </w:r>
      <w:r w:rsidR="006F5850" w:rsidRPr="003F4D72">
        <w:rPr>
          <w:rFonts w:asciiTheme="majorHAnsi" w:eastAsia="Calibri" w:hAnsiTheme="majorHAnsi" w:cs="Times New Roman"/>
          <w:sz w:val="24"/>
          <w:szCs w:val="28"/>
        </w:rPr>
        <w:t xml:space="preserve">în cadrul programelor speciale </w:t>
      </w:r>
      <w:r w:rsidR="00F160F9" w:rsidRPr="003F4D72">
        <w:rPr>
          <w:rFonts w:asciiTheme="majorHAnsi" w:eastAsia="Calibri" w:hAnsiTheme="majorHAnsi" w:cs="Times New Roman"/>
          <w:sz w:val="24"/>
          <w:szCs w:val="28"/>
        </w:rPr>
        <w:t>„</w:t>
      </w:r>
      <w:r w:rsidR="006F5850" w:rsidRPr="003F4D72">
        <w:rPr>
          <w:rFonts w:asciiTheme="majorHAnsi" w:eastAsia="Calibri" w:hAnsiTheme="majorHAnsi" w:cs="Times New Roman"/>
          <w:sz w:val="24"/>
          <w:szCs w:val="28"/>
        </w:rPr>
        <w:t>Protezare</w:t>
      </w:r>
      <w:r w:rsidR="00F160F9" w:rsidRPr="003F4D72">
        <w:rPr>
          <w:rFonts w:asciiTheme="majorHAnsi" w:eastAsia="Calibri" w:hAnsiTheme="majorHAnsi" w:cs="Times New Roman"/>
          <w:sz w:val="24"/>
          <w:szCs w:val="28"/>
        </w:rPr>
        <w:t>a</w:t>
      </w:r>
      <w:r w:rsidR="006F5850" w:rsidRPr="003F4D72">
        <w:rPr>
          <w:rFonts w:asciiTheme="majorHAnsi" w:eastAsia="Calibri" w:hAnsiTheme="majorHAnsi" w:cs="Times New Roman"/>
          <w:sz w:val="24"/>
          <w:szCs w:val="28"/>
        </w:rPr>
        <w:t xml:space="preserve"> articulațiilor mari" și </w:t>
      </w:r>
      <w:r w:rsidR="00F160F9" w:rsidRPr="003F4D72">
        <w:rPr>
          <w:rFonts w:asciiTheme="majorHAnsi" w:eastAsia="Calibri" w:hAnsiTheme="majorHAnsi" w:cs="Times New Roman"/>
          <w:sz w:val="24"/>
          <w:szCs w:val="28"/>
        </w:rPr>
        <w:t>„</w:t>
      </w:r>
      <w:r w:rsidR="006F5850" w:rsidRPr="003F4D72">
        <w:rPr>
          <w:rFonts w:asciiTheme="majorHAnsi" w:eastAsia="Calibri" w:hAnsiTheme="majorHAnsi" w:cs="Times New Roman"/>
          <w:sz w:val="24"/>
          <w:szCs w:val="28"/>
        </w:rPr>
        <w:t>Tratament operator pentru cataract</w:t>
      </w:r>
      <w:r w:rsidR="00F160F9" w:rsidRPr="003F4D72">
        <w:rPr>
          <w:rFonts w:asciiTheme="majorHAnsi" w:eastAsia="Calibri" w:hAnsiTheme="majorHAnsi" w:cs="Times New Roman"/>
          <w:sz w:val="24"/>
          <w:szCs w:val="28"/>
        </w:rPr>
        <w:t>ă</w:t>
      </w:r>
      <w:r w:rsidR="006F5850" w:rsidRPr="003F4D72">
        <w:rPr>
          <w:rFonts w:asciiTheme="majorHAnsi" w:eastAsia="Calibri" w:hAnsiTheme="majorHAnsi" w:cs="Times New Roman"/>
          <w:sz w:val="24"/>
          <w:szCs w:val="28"/>
        </w:rPr>
        <w:t>"</w:t>
      </w:r>
      <w:r w:rsidR="00F160F9" w:rsidRPr="003F4D72">
        <w:rPr>
          <w:rFonts w:asciiTheme="majorHAnsi" w:eastAsia="Calibri" w:hAnsiTheme="majorHAnsi" w:cs="Times New Roman"/>
          <w:sz w:val="24"/>
          <w:szCs w:val="28"/>
        </w:rPr>
        <w:t>,</w:t>
      </w:r>
      <w:r w:rsidR="006F5850" w:rsidRPr="003F4D72">
        <w:rPr>
          <w:rFonts w:asciiTheme="majorHAnsi" w:eastAsia="Calibri" w:hAnsiTheme="majorHAnsi" w:cs="Times New Roman"/>
          <w:sz w:val="24"/>
          <w:szCs w:val="28"/>
        </w:rPr>
        <w:t xml:space="preserve"> </w:t>
      </w:r>
      <w:r w:rsidR="00391FEA" w:rsidRPr="003F4D72">
        <w:rPr>
          <w:rFonts w:asciiTheme="majorHAnsi" w:eastAsia="Calibri" w:hAnsiTheme="majorHAnsi" w:cs="Times New Roman"/>
          <w:sz w:val="24"/>
          <w:szCs w:val="28"/>
        </w:rPr>
        <w:t xml:space="preserve">au fost planificate și contractate </w:t>
      </w:r>
      <w:r w:rsidR="001757D3" w:rsidRPr="003F4D72">
        <w:rPr>
          <w:rFonts w:asciiTheme="majorHAnsi" w:eastAsia="Calibri" w:hAnsiTheme="majorHAnsi" w:cs="Times New Roman"/>
          <w:sz w:val="24"/>
          <w:szCs w:val="28"/>
        </w:rPr>
        <w:t>9</w:t>
      </w:r>
      <w:r w:rsidR="006610B5" w:rsidRPr="003F4D72">
        <w:rPr>
          <w:rFonts w:asciiTheme="majorHAnsi" w:eastAsia="Calibri" w:hAnsiTheme="majorHAnsi" w:cs="Times New Roman"/>
          <w:sz w:val="24"/>
          <w:szCs w:val="28"/>
        </w:rPr>
        <w:t xml:space="preserve"> </w:t>
      </w:r>
      <w:r w:rsidR="001757D3" w:rsidRPr="003F4D72">
        <w:rPr>
          <w:rFonts w:asciiTheme="majorHAnsi" w:eastAsia="Calibri" w:hAnsiTheme="majorHAnsi" w:cs="Times New Roman"/>
          <w:sz w:val="24"/>
          <w:szCs w:val="28"/>
        </w:rPr>
        <w:t>832</w:t>
      </w:r>
      <w:r w:rsidR="00391FEA" w:rsidRPr="003F4D72">
        <w:rPr>
          <w:rFonts w:asciiTheme="majorHAnsi" w:eastAsia="Calibri" w:hAnsiTheme="majorHAnsi" w:cs="Times New Roman"/>
          <w:sz w:val="24"/>
          <w:szCs w:val="28"/>
        </w:rPr>
        <w:t xml:space="preserve"> de intervenții, care pe parcursul anului au fost ajustate până la </w:t>
      </w:r>
      <w:r w:rsidR="001757D3" w:rsidRPr="003F4D72">
        <w:rPr>
          <w:rFonts w:asciiTheme="majorHAnsi" w:eastAsia="Calibri" w:hAnsiTheme="majorHAnsi" w:cs="Times New Roman"/>
          <w:sz w:val="24"/>
          <w:szCs w:val="28"/>
        </w:rPr>
        <w:t>7</w:t>
      </w:r>
      <w:r w:rsidR="006610B5" w:rsidRPr="003F4D72">
        <w:rPr>
          <w:rFonts w:asciiTheme="majorHAnsi" w:eastAsia="Calibri" w:hAnsiTheme="majorHAnsi" w:cs="Times New Roman"/>
          <w:sz w:val="24"/>
          <w:szCs w:val="28"/>
        </w:rPr>
        <w:t xml:space="preserve"> </w:t>
      </w:r>
      <w:r w:rsidR="001757D3" w:rsidRPr="003F4D72">
        <w:rPr>
          <w:rFonts w:asciiTheme="majorHAnsi" w:eastAsia="Calibri" w:hAnsiTheme="majorHAnsi" w:cs="Times New Roman"/>
          <w:sz w:val="24"/>
          <w:szCs w:val="28"/>
        </w:rPr>
        <w:t>135</w:t>
      </w:r>
      <w:r w:rsidR="00391FEA" w:rsidRPr="003F4D72">
        <w:rPr>
          <w:rFonts w:asciiTheme="majorHAnsi" w:eastAsia="Calibri" w:hAnsiTheme="majorHAnsi" w:cs="Times New Roman"/>
          <w:sz w:val="24"/>
          <w:szCs w:val="28"/>
        </w:rPr>
        <w:t xml:space="preserve">. </w:t>
      </w:r>
      <w:r w:rsidR="00F160F9" w:rsidRPr="003F4D72">
        <w:rPr>
          <w:rFonts w:asciiTheme="majorHAnsi" w:eastAsia="Calibri" w:hAnsiTheme="majorHAnsi" w:cs="Times New Roman"/>
          <w:sz w:val="24"/>
          <w:szCs w:val="28"/>
        </w:rPr>
        <w:t>De fapt,</w:t>
      </w:r>
      <w:r w:rsidR="00391FEA" w:rsidRPr="003F4D72">
        <w:rPr>
          <w:rFonts w:asciiTheme="majorHAnsi" w:eastAsia="Calibri" w:hAnsiTheme="majorHAnsi" w:cs="Times New Roman"/>
          <w:sz w:val="24"/>
          <w:szCs w:val="28"/>
        </w:rPr>
        <w:t xml:space="preserve"> au fost efectuate </w:t>
      </w:r>
      <w:r w:rsidR="001757D3" w:rsidRPr="003F4D72">
        <w:rPr>
          <w:rFonts w:asciiTheme="majorHAnsi" w:eastAsia="Calibri" w:hAnsiTheme="majorHAnsi" w:cs="Times New Roman"/>
          <w:sz w:val="24"/>
          <w:szCs w:val="28"/>
        </w:rPr>
        <w:t>6</w:t>
      </w:r>
      <w:r w:rsidR="006610B5" w:rsidRPr="003F4D72">
        <w:rPr>
          <w:rFonts w:asciiTheme="majorHAnsi" w:eastAsia="Calibri" w:hAnsiTheme="majorHAnsi" w:cs="Times New Roman"/>
          <w:sz w:val="24"/>
          <w:szCs w:val="28"/>
        </w:rPr>
        <w:t xml:space="preserve"> </w:t>
      </w:r>
      <w:r w:rsidR="001757D3" w:rsidRPr="003F4D72">
        <w:rPr>
          <w:rFonts w:asciiTheme="majorHAnsi" w:eastAsia="Calibri" w:hAnsiTheme="majorHAnsi" w:cs="Times New Roman"/>
          <w:sz w:val="24"/>
          <w:szCs w:val="28"/>
        </w:rPr>
        <w:t>945</w:t>
      </w:r>
      <w:r w:rsidR="00391FEA" w:rsidRPr="003F4D72">
        <w:rPr>
          <w:rFonts w:asciiTheme="majorHAnsi" w:eastAsia="Calibri" w:hAnsiTheme="majorHAnsi" w:cs="Times New Roman"/>
          <w:sz w:val="24"/>
          <w:szCs w:val="28"/>
        </w:rPr>
        <w:t xml:space="preserve"> de intervenții chirurgicale (70% din cele contractate inițial). </w:t>
      </w:r>
    </w:p>
    <w:p w14:paraId="6EE6C7EA" w14:textId="77777777" w:rsidR="00391FEA" w:rsidRPr="003F4D72" w:rsidRDefault="00391FEA" w:rsidP="00391FEA">
      <w:pPr>
        <w:spacing w:after="0" w:line="276" w:lineRule="auto"/>
        <w:ind w:firstLine="567"/>
        <w:jc w:val="both"/>
        <w:rPr>
          <w:rFonts w:asciiTheme="majorHAnsi" w:eastAsia="Calibri" w:hAnsiTheme="majorHAnsi" w:cs="Times New Roman"/>
          <w:sz w:val="20"/>
        </w:rPr>
      </w:pPr>
      <w:r w:rsidRPr="003F4D72">
        <w:rPr>
          <w:rFonts w:asciiTheme="majorHAnsi" w:eastAsia="Calibri" w:hAnsiTheme="majorHAnsi" w:cs="Times New Roman"/>
          <w:sz w:val="24"/>
          <w:szCs w:val="28"/>
        </w:rPr>
        <w:t xml:space="preserve">În cadrul unor programe speciale nu au fost realizate intervențiile planificate, deși în listele de așteptare se atestă cel mai mare număr de pacienți, și anume: </w:t>
      </w:r>
    </w:p>
    <w:p w14:paraId="269046EF" w14:textId="21830043" w:rsidR="00391FEA" w:rsidRPr="003F4D72" w:rsidRDefault="00391FEA" w:rsidP="00391FEA">
      <w:pPr>
        <w:spacing w:after="0" w:line="276" w:lineRule="auto"/>
        <w:ind w:firstLine="567"/>
        <w:jc w:val="both"/>
        <w:rPr>
          <w:rFonts w:asciiTheme="majorHAnsi" w:eastAsia="Calibri" w:hAnsiTheme="majorHAnsi" w:cs="Times New Roman"/>
          <w:sz w:val="24"/>
          <w:szCs w:val="28"/>
        </w:rPr>
      </w:pPr>
      <w:r w:rsidRPr="003F4D72">
        <w:rPr>
          <w:rFonts w:asciiTheme="majorHAnsi" w:eastAsia="Calibri" w:hAnsiTheme="majorHAnsi" w:cs="Times New Roman"/>
          <w:sz w:val="24"/>
          <w:szCs w:val="28"/>
        </w:rPr>
        <w:t>-</w:t>
      </w:r>
      <w:r w:rsidRPr="003F4D72">
        <w:rPr>
          <w:rFonts w:asciiTheme="majorHAnsi" w:eastAsia="Calibri" w:hAnsiTheme="majorHAnsi" w:cs="Times New Roman"/>
          <w:sz w:val="24"/>
          <w:szCs w:val="28"/>
        </w:rPr>
        <w:tab/>
        <w:t>în cadrul programului special „Protezarea articulațiilor mari” nu au fost realizate 1</w:t>
      </w:r>
      <w:r w:rsidR="006610B5" w:rsidRPr="003F4D72">
        <w:rPr>
          <w:rFonts w:asciiTheme="majorHAnsi" w:eastAsia="Calibri" w:hAnsiTheme="majorHAnsi" w:cs="Times New Roman"/>
          <w:sz w:val="24"/>
          <w:szCs w:val="28"/>
        </w:rPr>
        <w:t xml:space="preserve"> </w:t>
      </w:r>
      <w:r w:rsidRPr="003F4D72">
        <w:rPr>
          <w:rFonts w:asciiTheme="majorHAnsi" w:eastAsia="Calibri" w:hAnsiTheme="majorHAnsi" w:cs="Times New Roman"/>
          <w:sz w:val="24"/>
          <w:szCs w:val="28"/>
        </w:rPr>
        <w:t xml:space="preserve">114 de intervenții chirurgicale, deși în lista de așteptare sunt </w:t>
      </w:r>
      <w:proofErr w:type="spellStart"/>
      <w:r w:rsidRPr="003F4D72">
        <w:rPr>
          <w:rFonts w:asciiTheme="majorHAnsi" w:eastAsia="Calibri" w:hAnsiTheme="majorHAnsi" w:cs="Times New Roman"/>
          <w:sz w:val="24"/>
          <w:szCs w:val="28"/>
        </w:rPr>
        <w:t>înscri</w:t>
      </w:r>
      <w:r w:rsidR="00271AC7" w:rsidRPr="003F4D72">
        <w:rPr>
          <w:rFonts w:asciiTheme="majorHAnsi" w:eastAsia="Calibri" w:hAnsiTheme="majorHAnsi" w:cs="Times New Roman"/>
          <w:sz w:val="24"/>
          <w:szCs w:val="28"/>
        </w:rPr>
        <w:t>ți</w:t>
      </w:r>
      <w:proofErr w:type="spellEnd"/>
      <w:r w:rsidRPr="003F4D72">
        <w:rPr>
          <w:rFonts w:asciiTheme="majorHAnsi" w:eastAsia="Calibri" w:hAnsiTheme="majorHAnsi" w:cs="Times New Roman"/>
          <w:sz w:val="24"/>
          <w:szCs w:val="28"/>
        </w:rPr>
        <w:t xml:space="preserve"> 8</w:t>
      </w:r>
      <w:r w:rsidR="006610B5" w:rsidRPr="003F4D72">
        <w:rPr>
          <w:rFonts w:asciiTheme="majorHAnsi" w:eastAsia="Calibri" w:hAnsiTheme="majorHAnsi" w:cs="Times New Roman"/>
          <w:sz w:val="24"/>
          <w:szCs w:val="28"/>
        </w:rPr>
        <w:t xml:space="preserve"> </w:t>
      </w:r>
      <w:r w:rsidRPr="003F4D72">
        <w:rPr>
          <w:rFonts w:asciiTheme="majorHAnsi" w:eastAsia="Calibri" w:hAnsiTheme="majorHAnsi" w:cs="Times New Roman"/>
          <w:sz w:val="24"/>
          <w:szCs w:val="28"/>
        </w:rPr>
        <w:t xml:space="preserve">747 de pacienți ce necesită </w:t>
      </w:r>
      <w:proofErr w:type="spellStart"/>
      <w:r w:rsidRPr="003F4D72">
        <w:rPr>
          <w:rFonts w:asciiTheme="majorHAnsi" w:eastAsia="Calibri" w:hAnsiTheme="majorHAnsi" w:cs="Times New Roman"/>
          <w:sz w:val="24"/>
          <w:szCs w:val="28"/>
        </w:rPr>
        <w:t>artroplastie</w:t>
      </w:r>
      <w:proofErr w:type="spellEnd"/>
      <w:r w:rsidRPr="003F4D72">
        <w:rPr>
          <w:rFonts w:asciiTheme="majorHAnsi" w:eastAsia="Calibri" w:hAnsiTheme="majorHAnsi" w:cs="Times New Roman"/>
          <w:sz w:val="24"/>
          <w:szCs w:val="28"/>
        </w:rPr>
        <w:t xml:space="preserve"> de genunchi și 2</w:t>
      </w:r>
      <w:r w:rsidR="006610B5" w:rsidRPr="003F4D72">
        <w:rPr>
          <w:rFonts w:asciiTheme="majorHAnsi" w:eastAsia="Calibri" w:hAnsiTheme="majorHAnsi" w:cs="Times New Roman"/>
          <w:sz w:val="24"/>
          <w:szCs w:val="28"/>
        </w:rPr>
        <w:t xml:space="preserve"> </w:t>
      </w:r>
      <w:r w:rsidRPr="003F4D72">
        <w:rPr>
          <w:rFonts w:asciiTheme="majorHAnsi" w:eastAsia="Calibri" w:hAnsiTheme="majorHAnsi" w:cs="Times New Roman"/>
          <w:sz w:val="24"/>
          <w:szCs w:val="28"/>
        </w:rPr>
        <w:t xml:space="preserve">751 </w:t>
      </w:r>
      <w:r w:rsidR="00271AC7" w:rsidRPr="003F4D72">
        <w:rPr>
          <w:rFonts w:asciiTheme="majorHAnsi" w:eastAsia="Calibri" w:hAnsiTheme="majorHAnsi" w:cs="Times New Roman"/>
          <w:sz w:val="24"/>
          <w:szCs w:val="28"/>
        </w:rPr>
        <w:t xml:space="preserve">de </w:t>
      </w:r>
      <w:r w:rsidRPr="003F4D72">
        <w:rPr>
          <w:rFonts w:asciiTheme="majorHAnsi" w:eastAsia="Calibri" w:hAnsiTheme="majorHAnsi" w:cs="Times New Roman"/>
          <w:sz w:val="24"/>
          <w:szCs w:val="28"/>
        </w:rPr>
        <w:t xml:space="preserve">pacienți – pentru </w:t>
      </w:r>
      <w:proofErr w:type="spellStart"/>
      <w:r w:rsidRPr="003F4D72">
        <w:rPr>
          <w:rFonts w:asciiTheme="majorHAnsi" w:eastAsia="Calibri" w:hAnsiTheme="majorHAnsi" w:cs="Times New Roman"/>
          <w:sz w:val="24"/>
          <w:szCs w:val="28"/>
        </w:rPr>
        <w:t>artroplastie</w:t>
      </w:r>
      <w:proofErr w:type="spellEnd"/>
      <w:r w:rsidRPr="003F4D72">
        <w:rPr>
          <w:rFonts w:asciiTheme="majorHAnsi" w:eastAsia="Calibri" w:hAnsiTheme="majorHAnsi" w:cs="Times New Roman"/>
          <w:sz w:val="24"/>
          <w:szCs w:val="28"/>
        </w:rPr>
        <w:t xml:space="preserve"> de șold;</w:t>
      </w:r>
    </w:p>
    <w:p w14:paraId="07FDFA19" w14:textId="5EAD2F2B" w:rsidR="00391FEA" w:rsidRPr="003F4D72" w:rsidRDefault="00391FEA" w:rsidP="00391FEA">
      <w:pPr>
        <w:spacing w:after="0" w:line="276" w:lineRule="auto"/>
        <w:ind w:firstLine="567"/>
        <w:jc w:val="both"/>
        <w:rPr>
          <w:rFonts w:asciiTheme="majorHAnsi" w:eastAsia="Calibri" w:hAnsiTheme="majorHAnsi" w:cs="Times New Roman"/>
          <w:sz w:val="24"/>
          <w:szCs w:val="28"/>
        </w:rPr>
      </w:pPr>
      <w:r w:rsidRPr="003F4D72">
        <w:rPr>
          <w:rFonts w:asciiTheme="majorHAnsi" w:eastAsia="Calibri" w:hAnsiTheme="majorHAnsi" w:cs="Times New Roman"/>
          <w:sz w:val="24"/>
          <w:szCs w:val="28"/>
        </w:rPr>
        <w:t>-</w:t>
      </w:r>
      <w:r w:rsidRPr="003F4D72">
        <w:rPr>
          <w:rFonts w:asciiTheme="majorHAnsi" w:eastAsia="Calibri" w:hAnsiTheme="majorHAnsi" w:cs="Times New Roman"/>
          <w:sz w:val="24"/>
          <w:szCs w:val="28"/>
        </w:rPr>
        <w:tab/>
        <w:t>în cadrul programului special „Tratament operator de cataractă cu implantare de cristalin” s-au efectuat cu 1</w:t>
      </w:r>
      <w:r w:rsidR="006610B5" w:rsidRPr="003F4D72">
        <w:rPr>
          <w:rFonts w:asciiTheme="majorHAnsi" w:eastAsia="Calibri" w:hAnsiTheme="majorHAnsi" w:cs="Times New Roman"/>
          <w:sz w:val="24"/>
          <w:szCs w:val="28"/>
        </w:rPr>
        <w:t xml:space="preserve"> </w:t>
      </w:r>
      <w:r w:rsidRPr="003F4D72">
        <w:rPr>
          <w:rFonts w:asciiTheme="majorHAnsi" w:eastAsia="Calibri" w:hAnsiTheme="majorHAnsi" w:cs="Times New Roman"/>
          <w:sz w:val="24"/>
          <w:szCs w:val="28"/>
        </w:rPr>
        <w:t xml:space="preserve">773 </w:t>
      </w:r>
      <w:r w:rsidR="00271AC7" w:rsidRPr="003F4D72">
        <w:rPr>
          <w:rFonts w:asciiTheme="majorHAnsi" w:eastAsia="Calibri" w:hAnsiTheme="majorHAnsi" w:cs="Times New Roman"/>
          <w:sz w:val="24"/>
          <w:szCs w:val="28"/>
        </w:rPr>
        <w:t xml:space="preserve">de </w:t>
      </w:r>
      <w:r w:rsidRPr="003F4D72">
        <w:rPr>
          <w:rFonts w:asciiTheme="majorHAnsi" w:eastAsia="Calibri" w:hAnsiTheme="majorHAnsi" w:cs="Times New Roman"/>
          <w:sz w:val="24"/>
          <w:szCs w:val="28"/>
        </w:rPr>
        <w:t>cazuri mai puțin, în situația în care 6</w:t>
      </w:r>
      <w:r w:rsidR="006610B5" w:rsidRPr="003F4D72">
        <w:rPr>
          <w:rFonts w:asciiTheme="majorHAnsi" w:eastAsia="Calibri" w:hAnsiTheme="majorHAnsi" w:cs="Times New Roman"/>
          <w:sz w:val="24"/>
          <w:szCs w:val="28"/>
        </w:rPr>
        <w:t xml:space="preserve"> </w:t>
      </w:r>
      <w:r w:rsidRPr="003F4D72">
        <w:rPr>
          <w:rFonts w:asciiTheme="majorHAnsi" w:eastAsia="Calibri" w:hAnsiTheme="majorHAnsi" w:cs="Times New Roman"/>
          <w:sz w:val="24"/>
          <w:szCs w:val="28"/>
        </w:rPr>
        <w:t>313 pacienți se regăsesc în lista de așteptare.</w:t>
      </w:r>
      <w:r w:rsidR="00815A71" w:rsidRPr="003F4D72">
        <w:rPr>
          <w:rFonts w:asciiTheme="majorHAnsi" w:eastAsia="Calibri" w:hAnsiTheme="majorHAnsi" w:cs="Times New Roman"/>
          <w:sz w:val="24"/>
          <w:szCs w:val="28"/>
        </w:rPr>
        <w:t xml:space="preserve"> </w:t>
      </w:r>
      <w:r w:rsidRPr="003F4D72">
        <w:rPr>
          <w:rFonts w:asciiTheme="majorHAnsi" w:eastAsia="Calibri" w:hAnsiTheme="majorHAnsi" w:cs="Times New Roman"/>
          <w:sz w:val="24"/>
          <w:szCs w:val="28"/>
        </w:rPr>
        <w:t>În condițiile nerealizării de către instituțiile medicale a serviciilor medicale contractate, timpul de așteptare se majorează pentru pacienții care sunt în așteptare și necesită intervenții chirurgicale costisitoare.</w:t>
      </w:r>
    </w:p>
    <w:p w14:paraId="2D28A8F6" w14:textId="34F75D0A" w:rsidR="00C71D92" w:rsidRPr="003F4D72" w:rsidRDefault="00391FEA" w:rsidP="002218E9">
      <w:pPr>
        <w:spacing w:after="0" w:line="276" w:lineRule="auto"/>
        <w:ind w:firstLine="567"/>
        <w:jc w:val="both"/>
        <w:rPr>
          <w:rFonts w:asciiTheme="majorHAnsi" w:eastAsia="Times New Roman" w:hAnsiTheme="majorHAnsi" w:cs="Times New Roman"/>
          <w:sz w:val="24"/>
          <w:szCs w:val="24"/>
          <w:lang w:eastAsia="ru-RU"/>
        </w:rPr>
      </w:pPr>
      <w:r w:rsidRPr="003F4D72">
        <w:rPr>
          <w:rFonts w:asciiTheme="majorHAnsi" w:eastAsia="Times New Roman" w:hAnsiTheme="majorHAnsi" w:cs="Times New Roman"/>
          <w:sz w:val="24"/>
          <w:szCs w:val="24"/>
          <w:lang w:eastAsia="ru-RU"/>
        </w:rPr>
        <w:t>Analiza de către audit a timpului de așteptare, reieșind din numărul persoanelor înscrise în listă în anul 2020 și numărul de intervenții realizate în această perioadă, denotă că, pentru a beneficia de intervenții chirurgicale de protezare</w:t>
      </w:r>
      <w:r w:rsidR="00271AC7" w:rsidRPr="003F4D72">
        <w:rPr>
          <w:rFonts w:asciiTheme="majorHAnsi" w:eastAsia="Times New Roman" w:hAnsiTheme="majorHAnsi" w:cs="Times New Roman"/>
          <w:sz w:val="24"/>
          <w:szCs w:val="24"/>
          <w:lang w:eastAsia="ru-RU"/>
        </w:rPr>
        <w:t xml:space="preserve"> a</w:t>
      </w:r>
      <w:r w:rsidRPr="003F4D72">
        <w:rPr>
          <w:rFonts w:asciiTheme="majorHAnsi" w:eastAsia="Times New Roman" w:hAnsiTheme="majorHAnsi" w:cs="Times New Roman"/>
          <w:sz w:val="24"/>
          <w:szCs w:val="24"/>
          <w:lang w:eastAsia="ru-RU"/>
        </w:rPr>
        <w:t xml:space="preserve"> articulațiilor mari, o persoană urmează s</w:t>
      </w:r>
      <w:r w:rsidR="00271AC7" w:rsidRPr="003F4D72">
        <w:rPr>
          <w:rFonts w:asciiTheme="majorHAnsi" w:eastAsia="Times New Roman" w:hAnsiTheme="majorHAnsi" w:cs="Times New Roman"/>
          <w:sz w:val="24"/>
          <w:szCs w:val="24"/>
          <w:lang w:eastAsia="ru-RU"/>
        </w:rPr>
        <w:t>ă</w:t>
      </w:r>
      <w:r w:rsidRPr="003F4D72">
        <w:rPr>
          <w:rFonts w:asciiTheme="majorHAnsi" w:eastAsia="Times New Roman" w:hAnsiTheme="majorHAnsi" w:cs="Times New Roman"/>
          <w:sz w:val="24"/>
          <w:szCs w:val="24"/>
          <w:lang w:eastAsia="ru-RU"/>
        </w:rPr>
        <w:t xml:space="preserve"> aștepte estimativ 4 ani, iar pentru tratamentul cataractei – 1,4 ani.</w:t>
      </w:r>
    </w:p>
    <w:p w14:paraId="65907A35" w14:textId="77777777" w:rsidR="00253797" w:rsidRPr="003F4D72" w:rsidRDefault="00253797" w:rsidP="001568C8">
      <w:pPr>
        <w:tabs>
          <w:tab w:val="num" w:pos="284"/>
        </w:tabs>
        <w:spacing w:after="0" w:line="276" w:lineRule="auto"/>
        <w:jc w:val="both"/>
        <w:rPr>
          <w:rFonts w:asciiTheme="majorHAnsi" w:hAnsiTheme="majorHAnsi" w:cstheme="majorHAnsi"/>
          <w:b/>
          <w:sz w:val="24"/>
          <w:szCs w:val="24"/>
        </w:rPr>
      </w:pPr>
    </w:p>
    <w:p w14:paraId="72AD3AC3" w14:textId="259AF99A" w:rsidR="00550B45" w:rsidRPr="003F4D72" w:rsidRDefault="008D4E8B" w:rsidP="00023B8B">
      <w:pPr>
        <w:pStyle w:val="ListParagraph"/>
        <w:numPr>
          <w:ilvl w:val="1"/>
          <w:numId w:val="35"/>
        </w:numPr>
        <w:tabs>
          <w:tab w:val="num" w:pos="142"/>
          <w:tab w:val="left" w:pos="426"/>
        </w:tabs>
        <w:spacing w:after="0" w:line="276" w:lineRule="auto"/>
        <w:ind w:left="0" w:firstLine="0"/>
        <w:jc w:val="both"/>
        <w:rPr>
          <w:rFonts w:asciiTheme="majorHAnsi" w:hAnsiTheme="majorHAnsi" w:cstheme="majorHAnsi"/>
          <w:b/>
          <w:bCs/>
          <w:iCs/>
          <w:sz w:val="24"/>
          <w:szCs w:val="24"/>
          <w:lang w:val="ro-MD"/>
        </w:rPr>
      </w:pPr>
      <w:r w:rsidRPr="003F4D72">
        <w:rPr>
          <w:rFonts w:asciiTheme="majorHAnsi" w:hAnsiTheme="majorHAnsi" w:cstheme="majorHAnsi"/>
          <w:b/>
          <w:bCs/>
          <w:iCs/>
          <w:sz w:val="24"/>
          <w:szCs w:val="24"/>
          <w:lang w:val="ro-MD"/>
        </w:rPr>
        <w:t xml:space="preserve"> </w:t>
      </w:r>
      <w:bookmarkStart w:id="1" w:name="_Toc10020996"/>
      <w:r w:rsidR="00550B45" w:rsidRPr="003F4D72">
        <w:rPr>
          <w:rFonts w:asciiTheme="majorHAnsi" w:hAnsiTheme="majorHAnsi" w:cstheme="majorHAnsi"/>
          <w:b/>
          <w:bCs/>
          <w:iCs/>
          <w:sz w:val="24"/>
          <w:szCs w:val="24"/>
          <w:lang w:val="ro-MD"/>
        </w:rPr>
        <w:t xml:space="preserve">Sistemul informațional automatizat „Medicamente compensate” nu asigură furnizarea informațiilor exacte aferente medicamentelor compensate prescrise, înregistrate în sistem </w:t>
      </w:r>
      <w:proofErr w:type="spellStart"/>
      <w:r w:rsidR="00550B45" w:rsidRPr="003F4D72">
        <w:rPr>
          <w:rFonts w:asciiTheme="majorHAnsi" w:hAnsiTheme="majorHAnsi" w:cstheme="majorHAnsi"/>
          <w:b/>
          <w:bCs/>
          <w:iCs/>
          <w:sz w:val="24"/>
          <w:szCs w:val="24"/>
          <w:lang w:val="ro-MD"/>
        </w:rPr>
        <w:t>şi</w:t>
      </w:r>
      <w:proofErr w:type="spellEnd"/>
      <w:r w:rsidR="00550B45" w:rsidRPr="003F4D72">
        <w:rPr>
          <w:rFonts w:asciiTheme="majorHAnsi" w:hAnsiTheme="majorHAnsi" w:cstheme="majorHAnsi"/>
          <w:b/>
          <w:bCs/>
          <w:iCs/>
          <w:sz w:val="24"/>
          <w:szCs w:val="24"/>
          <w:lang w:val="ro-MD"/>
        </w:rPr>
        <w:t xml:space="preserve"> achitate de Companie (</w:t>
      </w:r>
      <w:r w:rsidR="00244976" w:rsidRPr="003F4D72">
        <w:rPr>
          <w:rFonts w:asciiTheme="majorHAnsi" w:hAnsiTheme="majorHAnsi" w:cstheme="majorHAnsi"/>
          <w:b/>
          <w:bCs/>
          <w:iCs/>
          <w:sz w:val="24"/>
          <w:szCs w:val="24"/>
          <w:lang w:val="ro-MD"/>
        </w:rPr>
        <w:t>323</w:t>
      </w:r>
      <w:r w:rsidR="00361308" w:rsidRPr="003F4D72">
        <w:rPr>
          <w:rFonts w:asciiTheme="majorHAnsi" w:hAnsiTheme="majorHAnsi" w:cstheme="majorHAnsi"/>
          <w:b/>
          <w:bCs/>
          <w:iCs/>
          <w:sz w:val="24"/>
          <w:szCs w:val="24"/>
          <w:lang w:val="ro-MD"/>
        </w:rPr>
        <w:t>,0</w:t>
      </w:r>
      <w:r w:rsidR="00550B45" w:rsidRPr="003F4D72">
        <w:rPr>
          <w:rFonts w:asciiTheme="majorHAnsi" w:hAnsiTheme="majorHAnsi" w:cstheme="majorHAnsi"/>
          <w:b/>
          <w:bCs/>
          <w:iCs/>
          <w:sz w:val="24"/>
          <w:szCs w:val="24"/>
          <w:lang w:val="ro-MD"/>
        </w:rPr>
        <w:t xml:space="preserve"> mii lei), din cauza </w:t>
      </w:r>
      <w:r w:rsidR="002C39A8" w:rsidRPr="003F4D72">
        <w:rPr>
          <w:rFonts w:asciiTheme="majorHAnsi" w:hAnsiTheme="majorHAnsi" w:cstheme="majorHAnsi"/>
          <w:b/>
          <w:bCs/>
          <w:iCs/>
          <w:sz w:val="24"/>
          <w:szCs w:val="24"/>
          <w:lang w:val="ro-MD"/>
        </w:rPr>
        <w:t xml:space="preserve">erorilor </w:t>
      </w:r>
      <w:proofErr w:type="spellStart"/>
      <w:r w:rsidR="00550B45" w:rsidRPr="003F4D72">
        <w:rPr>
          <w:rFonts w:asciiTheme="majorHAnsi" w:hAnsiTheme="majorHAnsi" w:cstheme="majorHAnsi"/>
          <w:b/>
          <w:bCs/>
          <w:iCs/>
          <w:sz w:val="24"/>
          <w:szCs w:val="24"/>
          <w:lang w:val="ro-MD"/>
        </w:rPr>
        <w:t>şi</w:t>
      </w:r>
      <w:proofErr w:type="spellEnd"/>
      <w:r w:rsidR="00550B45" w:rsidRPr="003F4D72">
        <w:rPr>
          <w:rFonts w:asciiTheme="majorHAnsi" w:hAnsiTheme="majorHAnsi" w:cstheme="majorHAnsi"/>
          <w:b/>
          <w:bCs/>
          <w:iCs/>
          <w:sz w:val="24"/>
          <w:szCs w:val="24"/>
          <w:lang w:val="ro-MD"/>
        </w:rPr>
        <w:t xml:space="preserve"> lipsei interconectării cu alte sisteme informați</w:t>
      </w:r>
      <w:r w:rsidR="00433318" w:rsidRPr="003F4D72">
        <w:rPr>
          <w:rFonts w:asciiTheme="majorHAnsi" w:hAnsiTheme="majorHAnsi" w:cstheme="majorHAnsi"/>
          <w:b/>
          <w:bCs/>
          <w:iCs/>
          <w:sz w:val="24"/>
          <w:szCs w:val="24"/>
          <w:lang w:val="ro-MD"/>
        </w:rPr>
        <w:t>onale pe care le deține CNAM</w:t>
      </w:r>
      <w:r w:rsidR="00550B45" w:rsidRPr="003F4D72">
        <w:rPr>
          <w:rFonts w:asciiTheme="majorHAnsi" w:hAnsiTheme="majorHAnsi" w:cstheme="majorHAnsi"/>
          <w:b/>
          <w:bCs/>
          <w:iCs/>
          <w:sz w:val="24"/>
          <w:szCs w:val="24"/>
          <w:lang w:val="ro-MD"/>
        </w:rPr>
        <w:t>, situație ce poartă caracter permanent.</w:t>
      </w:r>
    </w:p>
    <w:bookmarkEnd w:id="1"/>
    <w:p w14:paraId="7AB4402D" w14:textId="01E18BC6" w:rsidR="00786EBA" w:rsidRPr="003F4D72" w:rsidRDefault="00786EBA" w:rsidP="009F0FD8">
      <w:pPr>
        <w:pStyle w:val="ListParagraph"/>
        <w:spacing w:after="0" w:line="276" w:lineRule="auto"/>
        <w:ind w:left="0" w:firstLine="567"/>
        <w:jc w:val="both"/>
        <w:rPr>
          <w:rFonts w:ascii="Calibri Light" w:eastAsia="SimSun" w:hAnsi="Calibri Light" w:cs="Calibri Light"/>
          <w:sz w:val="24"/>
          <w:szCs w:val="24"/>
          <w:shd w:val="clear" w:color="auto" w:fill="FFFFFF"/>
          <w:lang w:val="ro-MD"/>
        </w:rPr>
      </w:pPr>
      <w:r w:rsidRPr="003F4D72">
        <w:rPr>
          <w:rFonts w:ascii="Calibri Light" w:eastAsia="SimSun" w:hAnsi="Calibri Light" w:cs="Calibri Light"/>
          <w:sz w:val="24"/>
          <w:szCs w:val="24"/>
          <w:shd w:val="clear" w:color="auto" w:fill="FFFFFF"/>
          <w:lang w:val="ro-MD"/>
        </w:rPr>
        <w:t xml:space="preserve">Sistemul Informațional Automatizat „Medicamente compensate” funcționează autonom, pe principiul offline </w:t>
      </w:r>
      <w:proofErr w:type="spellStart"/>
      <w:r w:rsidRPr="003F4D72">
        <w:rPr>
          <w:rFonts w:ascii="Calibri Light" w:eastAsia="SimSun" w:hAnsi="Calibri Light" w:cs="Calibri Light"/>
          <w:sz w:val="24"/>
          <w:szCs w:val="24"/>
          <w:shd w:val="clear" w:color="auto" w:fill="FFFFFF"/>
          <w:lang w:val="ro-MD"/>
        </w:rPr>
        <w:t>şi</w:t>
      </w:r>
      <w:proofErr w:type="spellEnd"/>
      <w:r w:rsidRPr="003F4D72">
        <w:rPr>
          <w:rFonts w:ascii="Calibri Light" w:eastAsia="SimSun" w:hAnsi="Calibri Light" w:cs="Calibri Light"/>
          <w:sz w:val="24"/>
          <w:szCs w:val="24"/>
          <w:shd w:val="clear" w:color="auto" w:fill="FFFFFF"/>
          <w:lang w:val="ro-MD"/>
        </w:rPr>
        <w:t xml:space="preserve"> nu este interconectat cu alte sisteme informațion</w:t>
      </w:r>
      <w:r w:rsidR="009F0FD8" w:rsidRPr="003F4D72">
        <w:rPr>
          <w:rFonts w:ascii="Calibri Light" w:eastAsia="SimSun" w:hAnsi="Calibri Light" w:cs="Calibri Light"/>
          <w:sz w:val="24"/>
          <w:szCs w:val="24"/>
          <w:shd w:val="clear" w:color="auto" w:fill="FFFFFF"/>
          <w:lang w:val="ro-MD"/>
        </w:rPr>
        <w:t xml:space="preserve">ale pe care le deține </w:t>
      </w:r>
      <w:r w:rsidR="00C12F3C" w:rsidRPr="003F4D72">
        <w:rPr>
          <w:rFonts w:ascii="Calibri Light" w:eastAsia="SimSun" w:hAnsi="Calibri Light" w:cs="Calibri Light"/>
          <w:sz w:val="24"/>
          <w:szCs w:val="24"/>
          <w:shd w:val="clear" w:color="auto" w:fill="FFFFFF"/>
          <w:lang w:val="ro-MD"/>
        </w:rPr>
        <w:t>CNAM</w:t>
      </w:r>
      <w:r w:rsidR="009F0FD8" w:rsidRPr="003F4D72">
        <w:rPr>
          <w:rFonts w:ascii="Calibri Light" w:eastAsia="SimSun" w:hAnsi="Calibri Light" w:cs="Calibri Light"/>
          <w:sz w:val="24"/>
          <w:szCs w:val="24"/>
          <w:shd w:val="clear" w:color="auto" w:fill="FFFFFF"/>
          <w:lang w:val="ro-MD"/>
        </w:rPr>
        <w:t xml:space="preserve">, deși datele acestuia servesc ca bază pentru efectuarea plăților. </w:t>
      </w:r>
    </w:p>
    <w:p w14:paraId="700EE991" w14:textId="2960E8A1" w:rsidR="00B40742" w:rsidRPr="003F4D72" w:rsidRDefault="002218E9" w:rsidP="00B40742">
      <w:pPr>
        <w:spacing w:after="0" w:line="276" w:lineRule="auto"/>
        <w:ind w:firstLine="567"/>
        <w:jc w:val="both"/>
        <w:rPr>
          <w:rFonts w:asciiTheme="majorHAnsi" w:hAnsiTheme="majorHAnsi" w:cstheme="majorHAnsi"/>
          <w:sz w:val="24"/>
          <w:szCs w:val="28"/>
        </w:rPr>
      </w:pPr>
      <w:r w:rsidRPr="003F4D72">
        <w:rPr>
          <w:rFonts w:asciiTheme="majorHAnsi" w:hAnsiTheme="majorHAnsi" w:cstheme="majorHAnsi"/>
          <w:sz w:val="24"/>
          <w:szCs w:val="28"/>
        </w:rPr>
        <w:lastRenderedPageBreak/>
        <w:t>E</w:t>
      </w:r>
      <w:r w:rsidR="00B40742" w:rsidRPr="003F4D72">
        <w:rPr>
          <w:rFonts w:asciiTheme="majorHAnsi" w:hAnsiTheme="majorHAnsi" w:cstheme="majorHAnsi"/>
          <w:sz w:val="24"/>
          <w:szCs w:val="28"/>
        </w:rPr>
        <w:t xml:space="preserve">valuarea de către audit a datelor din </w:t>
      </w:r>
      <w:r w:rsidR="00B40742" w:rsidRPr="003F4D72">
        <w:rPr>
          <w:rFonts w:ascii="Calibri Light" w:hAnsi="Calibri Light" w:cs="Calibri Light"/>
          <w:sz w:val="24"/>
          <w:szCs w:val="24"/>
          <w:shd w:val="clear" w:color="auto" w:fill="FFFFFF"/>
        </w:rPr>
        <w:t>Sistemul Informațional Automatizat „Medicamente compensate”</w:t>
      </w:r>
      <w:r w:rsidR="00D61709" w:rsidRPr="003F4D72">
        <w:rPr>
          <w:rFonts w:ascii="Calibri Light" w:hAnsi="Calibri Light" w:cs="Calibri Light"/>
          <w:sz w:val="24"/>
          <w:szCs w:val="24"/>
          <w:shd w:val="clear" w:color="auto" w:fill="FFFFFF"/>
        </w:rPr>
        <w:t>,</w:t>
      </w:r>
      <w:r w:rsidR="00B40742" w:rsidRPr="003F4D72">
        <w:rPr>
          <w:rFonts w:ascii="Calibri Light" w:hAnsi="Calibri Light" w:cs="Calibri Light"/>
          <w:sz w:val="24"/>
          <w:szCs w:val="24"/>
          <w:shd w:val="clear" w:color="auto" w:fill="FFFFFF"/>
        </w:rPr>
        <w:t xml:space="preserve"> </w:t>
      </w:r>
      <w:r w:rsidR="00B40742" w:rsidRPr="003F4D72">
        <w:rPr>
          <w:rFonts w:asciiTheme="majorHAnsi" w:hAnsiTheme="majorHAnsi" w:cstheme="majorHAnsi"/>
          <w:sz w:val="24"/>
          <w:szCs w:val="28"/>
        </w:rPr>
        <w:t xml:space="preserve">aferente prescrierii și eliberării medicamentelor compensate, a stabilit înregistrări eronate în cazul a </w:t>
      </w:r>
      <w:r w:rsidR="00244976" w:rsidRPr="003F4D72">
        <w:rPr>
          <w:rFonts w:asciiTheme="majorHAnsi" w:hAnsiTheme="majorHAnsi" w:cstheme="majorHAnsi"/>
          <w:sz w:val="24"/>
          <w:szCs w:val="28"/>
        </w:rPr>
        <w:t>2</w:t>
      </w:r>
      <w:r w:rsidR="00686B89" w:rsidRPr="003F4D72">
        <w:rPr>
          <w:rFonts w:asciiTheme="majorHAnsi" w:hAnsiTheme="majorHAnsi" w:cstheme="majorHAnsi"/>
          <w:sz w:val="24"/>
          <w:szCs w:val="28"/>
        </w:rPr>
        <w:t xml:space="preserve"> </w:t>
      </w:r>
      <w:r w:rsidR="00244976" w:rsidRPr="003F4D72">
        <w:rPr>
          <w:rFonts w:asciiTheme="majorHAnsi" w:hAnsiTheme="majorHAnsi" w:cstheme="majorHAnsi"/>
          <w:sz w:val="24"/>
          <w:szCs w:val="28"/>
        </w:rPr>
        <w:t xml:space="preserve">745 de rețete, </w:t>
      </w:r>
      <w:r w:rsidR="00B40742" w:rsidRPr="003F4D72">
        <w:rPr>
          <w:rFonts w:asciiTheme="majorHAnsi" w:hAnsiTheme="majorHAnsi" w:cstheme="majorHAnsi"/>
          <w:sz w:val="24"/>
          <w:szCs w:val="28"/>
        </w:rPr>
        <w:t xml:space="preserve">în </w:t>
      </w:r>
      <w:r w:rsidR="00014CAD" w:rsidRPr="003F4D72">
        <w:rPr>
          <w:rFonts w:asciiTheme="majorHAnsi" w:hAnsiTheme="majorHAnsi" w:cstheme="majorHAnsi"/>
          <w:sz w:val="24"/>
          <w:szCs w:val="28"/>
        </w:rPr>
        <w:t>sumă</w:t>
      </w:r>
      <w:r w:rsidR="00244976" w:rsidRPr="003F4D72">
        <w:rPr>
          <w:rFonts w:asciiTheme="majorHAnsi" w:hAnsiTheme="majorHAnsi" w:cstheme="majorHAnsi"/>
          <w:sz w:val="24"/>
          <w:szCs w:val="28"/>
        </w:rPr>
        <w:t xml:space="preserve"> de 323,0</w:t>
      </w:r>
      <w:r w:rsidR="00B40742" w:rsidRPr="003F4D72">
        <w:rPr>
          <w:rFonts w:asciiTheme="majorHAnsi" w:hAnsiTheme="majorHAnsi" w:cstheme="majorHAnsi"/>
          <w:sz w:val="24"/>
          <w:szCs w:val="28"/>
        </w:rPr>
        <w:t xml:space="preserve"> mii lei. Astfel, </w:t>
      </w:r>
      <w:r w:rsidR="00D61709" w:rsidRPr="003F4D72">
        <w:rPr>
          <w:rFonts w:asciiTheme="majorHAnsi" w:hAnsiTheme="majorHAnsi" w:cstheme="majorHAnsi"/>
          <w:sz w:val="24"/>
          <w:szCs w:val="28"/>
        </w:rPr>
        <w:t>au fost</w:t>
      </w:r>
      <w:r w:rsidR="00B40742" w:rsidRPr="003F4D72">
        <w:rPr>
          <w:rFonts w:asciiTheme="majorHAnsi" w:hAnsiTheme="majorHAnsi" w:cstheme="majorHAnsi"/>
          <w:sz w:val="24"/>
          <w:szCs w:val="28"/>
        </w:rPr>
        <w:t xml:space="preserve"> identificate următoarele erori:</w:t>
      </w:r>
    </w:p>
    <w:p w14:paraId="72BA9123" w14:textId="05C92A0E" w:rsidR="00B40742" w:rsidRPr="003F4D72" w:rsidRDefault="00B40742" w:rsidP="00DC0A1B">
      <w:pPr>
        <w:spacing w:after="0" w:line="276" w:lineRule="auto"/>
        <w:ind w:firstLine="284"/>
        <w:jc w:val="both"/>
        <w:rPr>
          <w:rFonts w:asciiTheme="majorHAnsi" w:hAnsiTheme="majorHAnsi" w:cstheme="majorHAnsi"/>
          <w:sz w:val="24"/>
          <w:szCs w:val="28"/>
        </w:rPr>
      </w:pPr>
      <w:r w:rsidRPr="003F4D72">
        <w:rPr>
          <w:rFonts w:asciiTheme="majorHAnsi" w:hAnsiTheme="majorHAnsi" w:cstheme="majorHAnsi"/>
          <w:sz w:val="24"/>
          <w:szCs w:val="28"/>
        </w:rPr>
        <w:t xml:space="preserve">- lipsa numelui și/sau prenumelui beneficiarului, </w:t>
      </w:r>
      <w:r w:rsidR="00D61709" w:rsidRPr="003F4D72">
        <w:rPr>
          <w:rFonts w:asciiTheme="majorHAnsi" w:hAnsiTheme="majorHAnsi" w:cstheme="majorHAnsi"/>
          <w:sz w:val="24"/>
          <w:szCs w:val="28"/>
        </w:rPr>
        <w:t xml:space="preserve">în </w:t>
      </w:r>
      <w:r w:rsidRPr="003F4D72">
        <w:rPr>
          <w:rFonts w:asciiTheme="majorHAnsi" w:hAnsiTheme="majorHAnsi" w:cstheme="majorHAnsi"/>
          <w:sz w:val="24"/>
          <w:szCs w:val="28"/>
        </w:rPr>
        <w:t>2</w:t>
      </w:r>
      <w:r w:rsidR="007479B6" w:rsidRPr="003F4D72">
        <w:rPr>
          <w:rFonts w:asciiTheme="majorHAnsi" w:hAnsiTheme="majorHAnsi" w:cstheme="majorHAnsi"/>
          <w:sz w:val="24"/>
          <w:szCs w:val="28"/>
        </w:rPr>
        <w:t xml:space="preserve"> </w:t>
      </w:r>
      <w:r w:rsidRPr="003F4D72">
        <w:rPr>
          <w:rFonts w:asciiTheme="majorHAnsi" w:hAnsiTheme="majorHAnsi" w:cstheme="majorHAnsi"/>
          <w:sz w:val="24"/>
          <w:szCs w:val="28"/>
        </w:rPr>
        <w:t>311 rețete, în sumă de 278,7 mii lei;</w:t>
      </w:r>
    </w:p>
    <w:p w14:paraId="7A5EED56" w14:textId="0D13AF37" w:rsidR="00B40742" w:rsidRPr="003F4D72" w:rsidRDefault="00B40742" w:rsidP="00DC0A1B">
      <w:pPr>
        <w:spacing w:after="0" w:line="276" w:lineRule="auto"/>
        <w:ind w:firstLine="284"/>
        <w:jc w:val="both"/>
        <w:rPr>
          <w:rFonts w:asciiTheme="majorHAnsi" w:hAnsiTheme="majorHAnsi" w:cstheme="majorHAnsi"/>
          <w:sz w:val="24"/>
          <w:szCs w:val="28"/>
        </w:rPr>
      </w:pPr>
      <w:r w:rsidRPr="003F4D72">
        <w:rPr>
          <w:rFonts w:asciiTheme="majorHAnsi" w:hAnsiTheme="majorHAnsi" w:cstheme="majorHAnsi"/>
          <w:sz w:val="24"/>
          <w:szCs w:val="28"/>
        </w:rPr>
        <w:t>- introducerea eronată a vârstei persoanelor (cu minu</w:t>
      </w:r>
      <w:r w:rsidR="00DC0A1B" w:rsidRPr="003F4D72">
        <w:rPr>
          <w:rFonts w:asciiTheme="majorHAnsi" w:hAnsiTheme="majorHAnsi" w:cstheme="majorHAnsi"/>
          <w:sz w:val="24"/>
          <w:szCs w:val="28"/>
        </w:rPr>
        <w:t>s)</w:t>
      </w:r>
      <w:r w:rsidRPr="003F4D72">
        <w:rPr>
          <w:rFonts w:asciiTheme="majorHAnsi" w:hAnsiTheme="majorHAnsi" w:cstheme="majorHAnsi"/>
          <w:sz w:val="24"/>
          <w:szCs w:val="28"/>
        </w:rPr>
        <w:t xml:space="preserve"> </w:t>
      </w:r>
      <w:r w:rsidR="00D61709" w:rsidRPr="003F4D72">
        <w:rPr>
          <w:rFonts w:asciiTheme="majorHAnsi" w:hAnsiTheme="majorHAnsi" w:cstheme="majorHAnsi"/>
          <w:sz w:val="24"/>
          <w:szCs w:val="28"/>
        </w:rPr>
        <w:t xml:space="preserve">ori </w:t>
      </w:r>
      <w:r w:rsidRPr="003F4D72">
        <w:rPr>
          <w:rFonts w:asciiTheme="majorHAnsi" w:hAnsiTheme="majorHAnsi" w:cstheme="majorHAnsi"/>
          <w:sz w:val="24"/>
          <w:szCs w:val="28"/>
        </w:rPr>
        <w:t xml:space="preserve">indicarea vârstei diferite pentru unul și același cod numeric personal la înregistrarea eliberării medicamentelor compensate pacienților, </w:t>
      </w:r>
      <w:r w:rsidR="00093F82" w:rsidRPr="003F4D72">
        <w:rPr>
          <w:rFonts w:asciiTheme="majorHAnsi" w:hAnsiTheme="majorHAnsi" w:cstheme="majorHAnsi"/>
          <w:sz w:val="24"/>
          <w:szCs w:val="28"/>
        </w:rPr>
        <w:t xml:space="preserve">în </w:t>
      </w:r>
      <w:r w:rsidR="00244976" w:rsidRPr="003F4D72">
        <w:rPr>
          <w:rFonts w:asciiTheme="majorHAnsi" w:hAnsiTheme="majorHAnsi" w:cstheme="majorHAnsi"/>
          <w:sz w:val="24"/>
          <w:szCs w:val="28"/>
        </w:rPr>
        <w:t xml:space="preserve">297 </w:t>
      </w:r>
      <w:r w:rsidR="00D61709" w:rsidRPr="003F4D72">
        <w:rPr>
          <w:rFonts w:asciiTheme="majorHAnsi" w:hAnsiTheme="majorHAnsi" w:cstheme="majorHAnsi"/>
          <w:sz w:val="24"/>
          <w:szCs w:val="28"/>
        </w:rPr>
        <w:t xml:space="preserve">de </w:t>
      </w:r>
      <w:r w:rsidR="00244976" w:rsidRPr="003F4D72">
        <w:rPr>
          <w:rFonts w:asciiTheme="majorHAnsi" w:hAnsiTheme="majorHAnsi" w:cstheme="majorHAnsi"/>
          <w:sz w:val="24"/>
          <w:szCs w:val="28"/>
        </w:rPr>
        <w:t xml:space="preserve">rețete, </w:t>
      </w:r>
      <w:r w:rsidRPr="003F4D72">
        <w:rPr>
          <w:rFonts w:asciiTheme="majorHAnsi" w:hAnsiTheme="majorHAnsi" w:cstheme="majorHAnsi"/>
          <w:sz w:val="24"/>
          <w:szCs w:val="28"/>
        </w:rPr>
        <w:t>în sumă de 28,9 mii lei;</w:t>
      </w:r>
    </w:p>
    <w:p w14:paraId="26C405BD" w14:textId="473584C1" w:rsidR="00B40742" w:rsidRPr="003F4D72" w:rsidRDefault="00B40742" w:rsidP="00DC0A1B">
      <w:pPr>
        <w:spacing w:after="0" w:line="276" w:lineRule="auto"/>
        <w:ind w:firstLine="284"/>
        <w:jc w:val="both"/>
        <w:rPr>
          <w:rFonts w:asciiTheme="majorHAnsi" w:hAnsiTheme="majorHAnsi" w:cstheme="majorHAnsi"/>
          <w:sz w:val="24"/>
          <w:szCs w:val="28"/>
        </w:rPr>
      </w:pPr>
      <w:r w:rsidRPr="003F4D72">
        <w:rPr>
          <w:rFonts w:asciiTheme="majorHAnsi" w:hAnsiTheme="majorHAnsi" w:cstheme="majorHAnsi"/>
          <w:sz w:val="24"/>
          <w:szCs w:val="28"/>
        </w:rPr>
        <w:t xml:space="preserve">- indicarea </w:t>
      </w:r>
      <w:r w:rsidR="00D61709" w:rsidRPr="003F4D72">
        <w:rPr>
          <w:rFonts w:asciiTheme="majorHAnsi" w:hAnsiTheme="majorHAnsi" w:cstheme="majorHAnsi"/>
          <w:sz w:val="24"/>
          <w:szCs w:val="28"/>
        </w:rPr>
        <w:t xml:space="preserve">eronată a </w:t>
      </w:r>
      <w:r w:rsidRPr="003F4D72">
        <w:rPr>
          <w:rFonts w:asciiTheme="majorHAnsi" w:hAnsiTheme="majorHAnsi" w:cstheme="majorHAnsi"/>
          <w:sz w:val="24"/>
          <w:szCs w:val="28"/>
        </w:rPr>
        <w:t xml:space="preserve">numărului de rețetă, </w:t>
      </w:r>
      <w:r w:rsidR="00093F82" w:rsidRPr="003F4D72">
        <w:rPr>
          <w:rFonts w:asciiTheme="majorHAnsi" w:hAnsiTheme="majorHAnsi" w:cstheme="majorHAnsi"/>
          <w:sz w:val="24"/>
          <w:szCs w:val="28"/>
        </w:rPr>
        <w:t xml:space="preserve">pentru </w:t>
      </w:r>
      <w:r w:rsidR="00244976" w:rsidRPr="003F4D72">
        <w:rPr>
          <w:rFonts w:asciiTheme="majorHAnsi" w:hAnsiTheme="majorHAnsi" w:cstheme="majorHAnsi"/>
          <w:sz w:val="24"/>
          <w:szCs w:val="28"/>
        </w:rPr>
        <w:t xml:space="preserve">137 </w:t>
      </w:r>
      <w:r w:rsidR="00D61709" w:rsidRPr="003F4D72">
        <w:rPr>
          <w:rFonts w:asciiTheme="majorHAnsi" w:hAnsiTheme="majorHAnsi" w:cstheme="majorHAnsi"/>
          <w:sz w:val="24"/>
          <w:szCs w:val="28"/>
        </w:rPr>
        <w:t xml:space="preserve">de </w:t>
      </w:r>
      <w:r w:rsidR="00244976" w:rsidRPr="003F4D72">
        <w:rPr>
          <w:rFonts w:asciiTheme="majorHAnsi" w:hAnsiTheme="majorHAnsi" w:cstheme="majorHAnsi"/>
          <w:sz w:val="24"/>
          <w:szCs w:val="28"/>
        </w:rPr>
        <w:t xml:space="preserve">rețete, </w:t>
      </w:r>
      <w:r w:rsidRPr="003F4D72">
        <w:rPr>
          <w:rFonts w:asciiTheme="majorHAnsi" w:hAnsiTheme="majorHAnsi" w:cstheme="majorHAnsi"/>
          <w:sz w:val="24"/>
          <w:szCs w:val="28"/>
        </w:rPr>
        <w:t>în sumă de 14,9 mii lei.</w:t>
      </w:r>
    </w:p>
    <w:p w14:paraId="4C42C24C" w14:textId="520E0270" w:rsidR="00D16365" w:rsidRPr="003F4D72" w:rsidRDefault="00D16365" w:rsidP="00D16365">
      <w:pPr>
        <w:spacing w:after="0" w:line="276" w:lineRule="auto"/>
        <w:jc w:val="both"/>
        <w:rPr>
          <w:rFonts w:asciiTheme="majorHAnsi" w:hAnsiTheme="majorHAnsi" w:cstheme="majorHAnsi"/>
          <w:sz w:val="24"/>
          <w:szCs w:val="28"/>
        </w:rPr>
      </w:pPr>
      <w:r w:rsidRPr="003F4D72">
        <w:rPr>
          <w:rFonts w:asciiTheme="majorHAnsi" w:hAnsiTheme="majorHAnsi" w:cstheme="majorHAnsi"/>
          <w:sz w:val="24"/>
          <w:szCs w:val="28"/>
        </w:rPr>
        <w:t>Totodată, în cazul a 4 484 de rețete în care datele pacientului corespund cu datele medicului de familie, în sumă de 621,3 mii lei, se conturează riscul veridicității prescrierii acestor medicamente.</w:t>
      </w:r>
    </w:p>
    <w:p w14:paraId="491CE320" w14:textId="77777777" w:rsidR="00587F58" w:rsidRPr="003F4D72" w:rsidRDefault="00587F58" w:rsidP="00587F58">
      <w:pPr>
        <w:pStyle w:val="ListParagraph"/>
        <w:spacing w:after="0" w:line="276" w:lineRule="auto"/>
        <w:ind w:left="0"/>
        <w:jc w:val="both"/>
        <w:rPr>
          <w:rFonts w:ascii="Calibri Light" w:eastAsia="SimSun" w:hAnsi="Calibri Light" w:cs="Calibri Light"/>
          <w:sz w:val="24"/>
          <w:szCs w:val="24"/>
          <w:shd w:val="clear" w:color="auto" w:fill="FFFFFF"/>
          <w:lang w:val="ro-MD"/>
        </w:rPr>
      </w:pPr>
      <w:r w:rsidRPr="003F4D72">
        <w:rPr>
          <w:rFonts w:ascii="Calibri Light" w:eastAsia="SimSun" w:hAnsi="Calibri Light" w:cs="Calibri Light"/>
          <w:sz w:val="24"/>
          <w:szCs w:val="24"/>
          <w:shd w:val="clear" w:color="auto" w:fill="FFFFFF"/>
          <w:lang w:val="ro-MD"/>
        </w:rPr>
        <w:t xml:space="preserve">Admiterea erorilor la acest compartiment poartă un caracter permanent și relevă insuficiența proceselor de control intern aferente prescrierii, eliberării și compensării medicamentelor din contul FAOAM, precum și lipsa contrapunerii datelor din documentele primare (rețete) cu cele înregistrate în SIA „Medicamente compensate”. </w:t>
      </w:r>
    </w:p>
    <w:p w14:paraId="744216B1" w14:textId="1708954D" w:rsidR="00587F58" w:rsidRPr="003F4D72" w:rsidRDefault="00587F58" w:rsidP="00164E80">
      <w:pPr>
        <w:pStyle w:val="ListParagraph"/>
        <w:spacing w:after="0" w:line="276" w:lineRule="auto"/>
        <w:ind w:left="0" w:firstLine="567"/>
        <w:jc w:val="both"/>
        <w:rPr>
          <w:rFonts w:asciiTheme="majorHAnsi" w:hAnsiTheme="majorHAnsi" w:cstheme="majorHAnsi"/>
          <w:i/>
          <w:sz w:val="24"/>
          <w:szCs w:val="24"/>
          <w:lang w:val="ro-MD"/>
        </w:rPr>
      </w:pPr>
      <w:r w:rsidRPr="003F4D72">
        <w:rPr>
          <w:rFonts w:asciiTheme="majorHAnsi" w:hAnsiTheme="majorHAnsi" w:cstheme="majorHAnsi"/>
          <w:sz w:val="24"/>
          <w:szCs w:val="24"/>
          <w:lang w:val="ro-MD"/>
        </w:rPr>
        <w:t>De menționat că</w:t>
      </w:r>
      <w:r w:rsidR="00D61709" w:rsidRPr="003F4D72">
        <w:rPr>
          <w:rFonts w:asciiTheme="majorHAnsi" w:hAnsiTheme="majorHAnsi" w:cstheme="majorHAnsi"/>
          <w:sz w:val="24"/>
          <w:szCs w:val="24"/>
          <w:lang w:val="ro-MD"/>
        </w:rPr>
        <w:t>,</w:t>
      </w:r>
      <w:r w:rsidRPr="003F4D72">
        <w:rPr>
          <w:rFonts w:asciiTheme="majorHAnsi" w:hAnsiTheme="majorHAnsi" w:cstheme="majorHAnsi"/>
          <w:sz w:val="24"/>
          <w:szCs w:val="24"/>
          <w:lang w:val="ro-MD"/>
        </w:rPr>
        <w:t xml:space="preserve"> în cadrul auditului precedent</w:t>
      </w:r>
      <w:r w:rsidRPr="003F4D72">
        <w:rPr>
          <w:rFonts w:asciiTheme="majorHAnsi" w:eastAsia="Times New Roman" w:hAnsiTheme="majorHAnsi" w:cstheme="majorHAnsi"/>
          <w:sz w:val="24"/>
          <w:szCs w:val="24"/>
          <w:vertAlign w:val="superscript"/>
          <w:lang w:val="ro-MD" w:eastAsia="ru-RU"/>
        </w:rPr>
        <w:footnoteReference w:id="46"/>
      </w:r>
      <w:r w:rsidRPr="003F4D72">
        <w:rPr>
          <w:rFonts w:asciiTheme="majorHAnsi" w:hAnsiTheme="majorHAnsi" w:cstheme="majorHAnsi"/>
          <w:sz w:val="24"/>
          <w:szCs w:val="24"/>
          <w:lang w:val="ro-MD"/>
        </w:rPr>
        <w:t xml:space="preserve">, Curtea de Conturi a recomandat Companiei </w:t>
      </w:r>
      <w:r w:rsidRPr="003F4D72">
        <w:rPr>
          <w:rFonts w:asciiTheme="majorHAnsi" w:hAnsiTheme="majorHAnsi" w:cstheme="majorHAnsi"/>
          <w:i/>
          <w:sz w:val="24"/>
          <w:szCs w:val="24"/>
          <w:lang w:val="ro-MD"/>
        </w:rPr>
        <w:t>întreprinder</w:t>
      </w:r>
      <w:r w:rsidR="00B424C4" w:rsidRPr="003F4D72">
        <w:rPr>
          <w:rFonts w:asciiTheme="majorHAnsi" w:hAnsiTheme="majorHAnsi" w:cstheme="majorHAnsi"/>
          <w:i/>
          <w:sz w:val="24"/>
          <w:szCs w:val="24"/>
          <w:lang w:val="ro-MD"/>
        </w:rPr>
        <w:t>ea</w:t>
      </w:r>
      <w:r w:rsidRPr="003F4D72">
        <w:rPr>
          <w:rFonts w:asciiTheme="majorHAnsi" w:hAnsiTheme="majorHAnsi" w:cstheme="majorHAnsi"/>
          <w:i/>
          <w:sz w:val="24"/>
          <w:szCs w:val="24"/>
          <w:lang w:val="ro-MD"/>
        </w:rPr>
        <w:t xml:space="preserve"> măsurilor ce se impun, în scopul asigurării continuității reformelor prin extinderea funcționalității SIA „Asistență Medicală Primară” </w:t>
      </w:r>
      <w:proofErr w:type="spellStart"/>
      <w:r w:rsidRPr="003F4D72">
        <w:rPr>
          <w:rFonts w:asciiTheme="majorHAnsi" w:hAnsiTheme="majorHAnsi" w:cstheme="majorHAnsi"/>
          <w:i/>
          <w:sz w:val="24"/>
          <w:szCs w:val="24"/>
          <w:lang w:val="ro-MD"/>
        </w:rPr>
        <w:t>şi</w:t>
      </w:r>
      <w:proofErr w:type="spellEnd"/>
      <w:r w:rsidRPr="003F4D72">
        <w:rPr>
          <w:rFonts w:asciiTheme="majorHAnsi" w:hAnsiTheme="majorHAnsi" w:cstheme="majorHAnsi"/>
          <w:i/>
          <w:sz w:val="24"/>
          <w:szCs w:val="24"/>
          <w:lang w:val="ro-MD"/>
        </w:rPr>
        <w:t xml:space="preserve"> implementarea rețetei electronice „e-Rețetă”, cu stabilirea termenelor de realizare raportați, precum și implementarea în cadrul SIA „Medicamente compensate” a filtrului de control ce ține de corectitudinea prescrierii medicamentelor (medicamentul, categoria de asigurare și maladia beneficiarului), în conformitate cu cerințele cadrului normativ.</w:t>
      </w:r>
    </w:p>
    <w:p w14:paraId="266D7CDD" w14:textId="3F547AC6" w:rsidR="00587F58" w:rsidRPr="003F4D72" w:rsidRDefault="00587F58" w:rsidP="00164E80">
      <w:pPr>
        <w:pStyle w:val="ListParagraph"/>
        <w:spacing w:after="0" w:line="276" w:lineRule="auto"/>
        <w:ind w:left="0" w:firstLine="567"/>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t xml:space="preserve"> Deși a </w:t>
      </w:r>
      <w:r w:rsidR="00244976" w:rsidRPr="003F4D72">
        <w:rPr>
          <w:rFonts w:asciiTheme="majorHAnsi" w:hAnsiTheme="majorHAnsi" w:cstheme="majorHAnsi"/>
          <w:sz w:val="24"/>
          <w:szCs w:val="24"/>
          <w:lang w:val="ro-MD"/>
        </w:rPr>
        <w:t xml:space="preserve">fost </w:t>
      </w:r>
      <w:r w:rsidRPr="003F4D72">
        <w:rPr>
          <w:rFonts w:asciiTheme="majorHAnsi" w:hAnsiTheme="majorHAnsi" w:cstheme="majorHAnsi"/>
          <w:sz w:val="24"/>
          <w:szCs w:val="24"/>
          <w:lang w:val="ro-MD"/>
        </w:rPr>
        <w:t xml:space="preserve">elaborat planul de acțiuni pentru dezvoltarea funcționalităților suplimentare ale „SIAAMP”, implementarea modulului „e-Rețeta” a fost planificată pentru anul 2021, proces care </w:t>
      </w:r>
      <w:r w:rsidRPr="003F4D72">
        <w:rPr>
          <w:rFonts w:asciiTheme="majorHAnsi" w:eastAsia="Times New Roman" w:hAnsiTheme="majorHAnsi" w:cstheme="majorHAnsi"/>
          <w:bCs/>
          <w:iCs/>
          <w:color w:val="000000"/>
          <w:sz w:val="24"/>
          <w:szCs w:val="24"/>
          <w:lang w:val="ro-MD"/>
        </w:rPr>
        <w:t>la moment (mai 2021) nu este realizat.</w:t>
      </w:r>
      <w:r w:rsidRPr="003F4D72">
        <w:rPr>
          <w:rFonts w:asciiTheme="majorHAnsi" w:eastAsia="Times New Roman" w:hAnsiTheme="majorHAnsi" w:cstheme="majorHAnsi"/>
          <w:color w:val="000000"/>
          <w:sz w:val="24"/>
          <w:szCs w:val="24"/>
          <w:lang w:val="ro-MD"/>
        </w:rPr>
        <w:t xml:space="preserve"> </w:t>
      </w:r>
      <w:r w:rsidRPr="003F4D72">
        <w:rPr>
          <w:rFonts w:asciiTheme="majorHAnsi" w:hAnsiTheme="majorHAnsi" w:cstheme="majorHAnsi"/>
          <w:sz w:val="24"/>
          <w:szCs w:val="24"/>
          <w:lang w:val="ro-MD"/>
        </w:rPr>
        <w:t>Aceste circumstanțe nu asigură funcționalitatea sistemului informațional la nivelul asistenței medicale primare și de ambulatoriu, inclusiv utilizarea de către medicii prescriptori a modulului „e-Rețetă” ce urmează a fi dezvoltat, în vederea asigurării corectitudinii prescrierii și eliberării medicamentelor compensate.</w:t>
      </w:r>
    </w:p>
    <w:p w14:paraId="6FD5B8C0" w14:textId="21170A1E" w:rsidR="000A7AAC" w:rsidRPr="003F4D72" w:rsidRDefault="000A7AAC" w:rsidP="00DC0A1B">
      <w:pPr>
        <w:spacing w:after="0" w:line="276" w:lineRule="auto"/>
        <w:jc w:val="both"/>
        <w:rPr>
          <w:rFonts w:ascii="Times New Roman" w:eastAsia="Times New Roman" w:hAnsi="Times New Roman" w:cs="Times New Roman"/>
          <w:sz w:val="24"/>
          <w:szCs w:val="24"/>
        </w:rPr>
      </w:pPr>
    </w:p>
    <w:p w14:paraId="751D8DFD" w14:textId="09DF8F3A" w:rsidR="000A7AAC" w:rsidRPr="003F4D72" w:rsidRDefault="000A7AAC" w:rsidP="00023B8B">
      <w:pPr>
        <w:pStyle w:val="ListParagraph"/>
        <w:numPr>
          <w:ilvl w:val="1"/>
          <w:numId w:val="35"/>
        </w:numPr>
        <w:tabs>
          <w:tab w:val="left" w:pos="142"/>
          <w:tab w:val="left" w:pos="426"/>
        </w:tabs>
        <w:spacing w:after="0" w:line="276" w:lineRule="auto"/>
        <w:ind w:left="0" w:firstLine="0"/>
        <w:jc w:val="both"/>
        <w:rPr>
          <w:rFonts w:asciiTheme="majorHAnsi" w:hAnsiTheme="majorHAnsi" w:cstheme="majorHAnsi"/>
          <w:b/>
          <w:bCs/>
          <w:iCs/>
          <w:sz w:val="24"/>
          <w:szCs w:val="24"/>
          <w:lang w:val="ro-MD"/>
        </w:rPr>
      </w:pPr>
      <w:r w:rsidRPr="003F4D72">
        <w:rPr>
          <w:rFonts w:asciiTheme="majorHAnsi" w:hAnsiTheme="majorHAnsi" w:cstheme="majorHAnsi"/>
          <w:b/>
          <w:bCs/>
          <w:iCs/>
          <w:sz w:val="24"/>
          <w:szCs w:val="24"/>
          <w:lang w:val="ro-MD"/>
        </w:rPr>
        <w:t xml:space="preserve"> </w:t>
      </w:r>
      <w:r w:rsidR="00CE5403" w:rsidRPr="003F4D72">
        <w:rPr>
          <w:rFonts w:asciiTheme="majorHAnsi" w:hAnsiTheme="majorHAnsi" w:cstheme="majorHAnsi"/>
          <w:b/>
          <w:bCs/>
          <w:iCs/>
          <w:sz w:val="24"/>
          <w:szCs w:val="24"/>
          <w:lang w:val="ro-MD"/>
        </w:rPr>
        <w:t>Din cauza</w:t>
      </w:r>
      <w:r w:rsidR="00C46DF6" w:rsidRPr="003F4D72">
        <w:rPr>
          <w:rFonts w:asciiTheme="majorHAnsi" w:hAnsiTheme="majorHAnsi" w:cstheme="majorHAnsi"/>
          <w:b/>
          <w:bCs/>
          <w:iCs/>
          <w:sz w:val="24"/>
          <w:szCs w:val="24"/>
          <w:lang w:val="ro-MD"/>
        </w:rPr>
        <w:t xml:space="preserve"> situați</w:t>
      </w:r>
      <w:r w:rsidR="00CE5403" w:rsidRPr="003F4D72">
        <w:rPr>
          <w:rFonts w:asciiTheme="majorHAnsi" w:hAnsiTheme="majorHAnsi" w:cstheme="majorHAnsi"/>
          <w:b/>
          <w:bCs/>
          <w:iCs/>
          <w:sz w:val="24"/>
          <w:szCs w:val="24"/>
          <w:lang w:val="ro-MD"/>
        </w:rPr>
        <w:t>ei</w:t>
      </w:r>
      <w:r w:rsidR="00C46DF6" w:rsidRPr="003F4D72">
        <w:rPr>
          <w:rFonts w:asciiTheme="majorHAnsi" w:hAnsiTheme="majorHAnsi" w:cstheme="majorHAnsi"/>
          <w:b/>
          <w:bCs/>
          <w:iCs/>
          <w:sz w:val="24"/>
          <w:szCs w:val="24"/>
          <w:lang w:val="ro-MD"/>
        </w:rPr>
        <w:t xml:space="preserve"> pandemic</w:t>
      </w:r>
      <w:r w:rsidR="00CE5403" w:rsidRPr="003F4D72">
        <w:rPr>
          <w:rFonts w:asciiTheme="majorHAnsi" w:hAnsiTheme="majorHAnsi" w:cstheme="majorHAnsi"/>
          <w:b/>
          <w:bCs/>
          <w:iCs/>
          <w:sz w:val="24"/>
          <w:szCs w:val="24"/>
          <w:lang w:val="ro-MD"/>
        </w:rPr>
        <w:t>e</w:t>
      </w:r>
      <w:r w:rsidR="00C46DF6" w:rsidRPr="003F4D72">
        <w:rPr>
          <w:rFonts w:asciiTheme="majorHAnsi" w:hAnsiTheme="majorHAnsi" w:cstheme="majorHAnsi"/>
          <w:b/>
          <w:bCs/>
          <w:iCs/>
          <w:sz w:val="24"/>
          <w:szCs w:val="24"/>
          <w:lang w:val="ro-MD"/>
        </w:rPr>
        <w:t xml:space="preserve"> s-au diminuat vizitele la medicii de familie și specialiști </w:t>
      </w:r>
      <w:r w:rsidR="004A301B" w:rsidRPr="003F4D72">
        <w:rPr>
          <w:rFonts w:asciiTheme="majorHAnsi" w:hAnsiTheme="majorHAnsi" w:cstheme="majorHAnsi"/>
          <w:b/>
          <w:bCs/>
          <w:iCs/>
          <w:sz w:val="24"/>
          <w:szCs w:val="24"/>
          <w:lang w:val="ro-MD"/>
        </w:rPr>
        <w:t xml:space="preserve">pentru </w:t>
      </w:r>
      <w:r w:rsidR="00C46DF6" w:rsidRPr="003F4D72">
        <w:rPr>
          <w:rFonts w:asciiTheme="majorHAnsi" w:hAnsiTheme="majorHAnsi" w:cstheme="majorHAnsi"/>
          <w:b/>
          <w:bCs/>
          <w:iCs/>
          <w:sz w:val="24"/>
          <w:szCs w:val="24"/>
          <w:lang w:val="ro-MD"/>
        </w:rPr>
        <w:t xml:space="preserve">asigurarea prevenirii riscului de infectare, deși aceste servicii sunt </w:t>
      </w:r>
      <w:r w:rsidR="0071041B" w:rsidRPr="003F4D72">
        <w:rPr>
          <w:rFonts w:asciiTheme="majorHAnsi" w:hAnsiTheme="majorHAnsi" w:cstheme="majorHAnsi"/>
          <w:b/>
          <w:bCs/>
          <w:iCs/>
          <w:sz w:val="24"/>
          <w:szCs w:val="24"/>
          <w:lang w:val="ro-MD"/>
        </w:rPr>
        <w:t xml:space="preserve">supuse </w:t>
      </w:r>
      <w:r w:rsidR="00C46DF6" w:rsidRPr="003F4D72">
        <w:rPr>
          <w:rFonts w:asciiTheme="majorHAnsi" w:hAnsiTheme="majorHAnsi" w:cstheme="majorHAnsi"/>
          <w:b/>
          <w:bCs/>
          <w:iCs/>
          <w:sz w:val="24"/>
          <w:szCs w:val="24"/>
          <w:lang w:val="ro-MD"/>
        </w:rPr>
        <w:t>monitorizării și</w:t>
      </w:r>
      <w:r w:rsidR="004A301B" w:rsidRPr="003F4D72">
        <w:rPr>
          <w:rFonts w:asciiTheme="majorHAnsi" w:hAnsiTheme="majorHAnsi" w:cstheme="majorHAnsi"/>
          <w:b/>
          <w:bCs/>
          <w:iCs/>
          <w:sz w:val="24"/>
          <w:szCs w:val="24"/>
          <w:lang w:val="ro-MD"/>
        </w:rPr>
        <w:t xml:space="preserve"> tratamentul</w:t>
      </w:r>
      <w:r w:rsidR="00C46DF6" w:rsidRPr="003F4D72">
        <w:rPr>
          <w:rFonts w:asciiTheme="majorHAnsi" w:hAnsiTheme="majorHAnsi" w:cstheme="majorHAnsi"/>
          <w:b/>
          <w:bCs/>
          <w:iCs/>
          <w:sz w:val="24"/>
          <w:szCs w:val="24"/>
          <w:lang w:val="ro-MD"/>
        </w:rPr>
        <w:t>ui</w:t>
      </w:r>
      <w:r w:rsidR="004A301B" w:rsidRPr="003F4D72">
        <w:rPr>
          <w:rFonts w:asciiTheme="majorHAnsi" w:hAnsiTheme="majorHAnsi" w:cstheme="majorHAnsi"/>
          <w:b/>
          <w:bCs/>
          <w:iCs/>
          <w:sz w:val="24"/>
          <w:szCs w:val="24"/>
          <w:lang w:val="ro-MD"/>
        </w:rPr>
        <w:t xml:space="preserve"> </w:t>
      </w:r>
      <w:r w:rsidR="00C46DF6" w:rsidRPr="003F4D72">
        <w:rPr>
          <w:rFonts w:asciiTheme="majorHAnsi" w:hAnsiTheme="majorHAnsi" w:cstheme="majorHAnsi"/>
          <w:b/>
          <w:bCs/>
          <w:iCs/>
          <w:sz w:val="24"/>
          <w:szCs w:val="24"/>
          <w:lang w:val="ro-MD"/>
        </w:rPr>
        <w:t>în condiții de ambulator</w:t>
      </w:r>
      <w:r w:rsidR="003F4D72">
        <w:rPr>
          <w:rFonts w:asciiTheme="majorHAnsi" w:hAnsiTheme="majorHAnsi" w:cstheme="majorHAnsi"/>
          <w:b/>
          <w:bCs/>
          <w:iCs/>
          <w:sz w:val="24"/>
          <w:szCs w:val="24"/>
          <w:lang w:val="ro-MD"/>
        </w:rPr>
        <w:t>iu</w:t>
      </w:r>
      <w:r w:rsidR="00C46DF6" w:rsidRPr="003F4D72">
        <w:rPr>
          <w:rFonts w:asciiTheme="majorHAnsi" w:hAnsiTheme="majorHAnsi" w:cstheme="majorHAnsi"/>
          <w:b/>
          <w:bCs/>
          <w:iCs/>
          <w:sz w:val="24"/>
          <w:szCs w:val="24"/>
          <w:lang w:val="ro-MD"/>
        </w:rPr>
        <w:t>.</w:t>
      </w:r>
    </w:p>
    <w:p w14:paraId="09DD2703" w14:textId="0EA6BEC7" w:rsidR="002171C4" w:rsidRPr="003F4D72" w:rsidRDefault="00C63E7B" w:rsidP="006D5D13">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Evaluarea</w:t>
      </w:r>
      <w:r w:rsidR="002171C4" w:rsidRPr="003F4D72">
        <w:rPr>
          <w:rFonts w:asciiTheme="majorHAnsi" w:hAnsiTheme="majorHAnsi" w:cstheme="majorHAnsi"/>
          <w:sz w:val="24"/>
          <w:szCs w:val="24"/>
        </w:rPr>
        <w:t xml:space="preserve"> unor indicatori de sănătate în </w:t>
      </w:r>
      <w:r w:rsidR="00081A6B" w:rsidRPr="003F4D72">
        <w:rPr>
          <w:rFonts w:asciiTheme="majorHAnsi" w:hAnsiTheme="majorHAnsi" w:cstheme="majorHAnsi"/>
          <w:sz w:val="24"/>
          <w:szCs w:val="24"/>
        </w:rPr>
        <w:t>anul 2020</w:t>
      </w:r>
      <w:r w:rsidR="002171C4" w:rsidRPr="003F4D72">
        <w:rPr>
          <w:rFonts w:asciiTheme="majorHAnsi" w:hAnsiTheme="majorHAnsi" w:cstheme="majorHAnsi"/>
          <w:sz w:val="24"/>
          <w:szCs w:val="24"/>
        </w:rPr>
        <w:t xml:space="preserve"> a stabilit că pandemia </w:t>
      </w:r>
      <w:r w:rsidR="00081A6B" w:rsidRPr="003F4D72">
        <w:rPr>
          <w:rFonts w:asciiTheme="majorHAnsi" w:hAnsiTheme="majorHAnsi" w:cstheme="majorHAnsi"/>
          <w:sz w:val="24"/>
          <w:szCs w:val="24"/>
        </w:rPr>
        <w:t xml:space="preserve">de Covid-19 </w:t>
      </w:r>
      <w:r w:rsidR="002171C4" w:rsidRPr="003F4D72">
        <w:rPr>
          <w:rFonts w:asciiTheme="majorHAnsi" w:hAnsiTheme="majorHAnsi" w:cstheme="majorHAnsi"/>
          <w:sz w:val="24"/>
          <w:szCs w:val="24"/>
        </w:rPr>
        <w:t xml:space="preserve">a implicat efortul și </w:t>
      </w:r>
      <w:r w:rsidR="0071041B" w:rsidRPr="003F4D72">
        <w:rPr>
          <w:rFonts w:asciiTheme="majorHAnsi" w:hAnsiTheme="majorHAnsi" w:cstheme="majorHAnsi"/>
          <w:sz w:val="24"/>
          <w:szCs w:val="24"/>
        </w:rPr>
        <w:t xml:space="preserve">antrenarea </w:t>
      </w:r>
      <w:r w:rsidR="002171C4" w:rsidRPr="003F4D72">
        <w:rPr>
          <w:rFonts w:asciiTheme="majorHAnsi" w:hAnsiTheme="majorHAnsi" w:cstheme="majorHAnsi"/>
          <w:sz w:val="24"/>
          <w:szCs w:val="24"/>
        </w:rPr>
        <w:t>tuturor tipurilor de asistență medicală, iar acest proces a afectat accesul persoanelor la servicii medicale</w:t>
      </w:r>
      <w:r w:rsidRPr="003F4D72">
        <w:rPr>
          <w:rFonts w:asciiTheme="majorHAnsi" w:hAnsiTheme="majorHAnsi" w:cstheme="majorHAnsi"/>
          <w:sz w:val="24"/>
          <w:szCs w:val="24"/>
        </w:rPr>
        <w:t xml:space="preserve"> prestate </w:t>
      </w:r>
      <w:r w:rsidR="00076B35" w:rsidRPr="003F4D72">
        <w:rPr>
          <w:rFonts w:asciiTheme="majorHAnsi" w:hAnsiTheme="majorHAnsi" w:cstheme="majorHAnsi"/>
          <w:sz w:val="24"/>
          <w:szCs w:val="24"/>
        </w:rPr>
        <w:t>la toate nivel</w:t>
      </w:r>
      <w:r w:rsidR="0071041B" w:rsidRPr="003F4D72">
        <w:rPr>
          <w:rFonts w:asciiTheme="majorHAnsi" w:hAnsiTheme="majorHAnsi" w:cstheme="majorHAnsi"/>
          <w:sz w:val="24"/>
          <w:szCs w:val="24"/>
        </w:rPr>
        <w:t>uri</w:t>
      </w:r>
      <w:r w:rsidR="00076B35" w:rsidRPr="003F4D72">
        <w:rPr>
          <w:rFonts w:asciiTheme="majorHAnsi" w:hAnsiTheme="majorHAnsi" w:cstheme="majorHAnsi"/>
          <w:sz w:val="24"/>
          <w:szCs w:val="24"/>
        </w:rPr>
        <w:t>le de asistență medicală.</w:t>
      </w:r>
      <w:r w:rsidR="002171C4" w:rsidRPr="003F4D72">
        <w:rPr>
          <w:rFonts w:asciiTheme="majorHAnsi" w:hAnsiTheme="majorHAnsi" w:cstheme="majorHAnsi"/>
          <w:sz w:val="24"/>
          <w:szCs w:val="24"/>
        </w:rPr>
        <w:t xml:space="preserve"> </w:t>
      </w:r>
    </w:p>
    <w:p w14:paraId="042E5A90" w14:textId="77777777" w:rsidR="00852D03" w:rsidRPr="003F4D72" w:rsidRDefault="002171C4" w:rsidP="006D5D13">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shd w:val="clear" w:color="auto" w:fill="FFFFFF"/>
        </w:rPr>
        <w:lastRenderedPageBreak/>
        <w:t xml:space="preserve">Analiza vizitelor </w:t>
      </w:r>
      <w:r w:rsidR="00F67425" w:rsidRPr="003F4D72">
        <w:rPr>
          <w:rFonts w:asciiTheme="majorHAnsi" w:hAnsiTheme="majorHAnsi" w:cstheme="majorHAnsi"/>
          <w:sz w:val="24"/>
          <w:szCs w:val="24"/>
          <w:shd w:val="clear" w:color="auto" w:fill="FFFFFF"/>
        </w:rPr>
        <w:t>raportate de către unele instituții medicale (</w:t>
      </w:r>
      <w:r w:rsidR="00F67425" w:rsidRPr="003F4D72">
        <w:rPr>
          <w:rFonts w:asciiTheme="majorHAnsi" w:eastAsiaTheme="minorHAnsi" w:hAnsiTheme="majorHAnsi" w:cstheme="majorHAnsi"/>
          <w:sz w:val="24"/>
          <w:szCs w:val="24"/>
          <w:shd w:val="clear" w:color="auto" w:fill="FFFFFF"/>
        </w:rPr>
        <w:t>73 IMSP ce prestează asistență medicală primară și 20 IMSP ce prestează asistență medicală specializată de ambulatoriu)</w:t>
      </w:r>
      <w:r w:rsidR="00F67425" w:rsidRPr="003F4D72">
        <w:rPr>
          <w:rFonts w:asciiTheme="majorHAnsi" w:hAnsiTheme="majorHAnsi" w:cstheme="majorHAnsi"/>
          <w:sz w:val="24"/>
          <w:szCs w:val="24"/>
          <w:shd w:val="clear" w:color="auto" w:fill="FFFFFF"/>
        </w:rPr>
        <w:t xml:space="preserve"> </w:t>
      </w:r>
      <w:r w:rsidR="00F67425" w:rsidRPr="003F4D72">
        <w:rPr>
          <w:rFonts w:asciiTheme="majorHAnsi" w:eastAsiaTheme="minorHAnsi" w:hAnsiTheme="majorHAnsi" w:cstheme="majorHAnsi"/>
          <w:sz w:val="24"/>
          <w:szCs w:val="24"/>
          <w:shd w:val="clear" w:color="auto" w:fill="FFFFFF"/>
        </w:rPr>
        <w:t xml:space="preserve">relevă că în trimestrul II al anului 2020 nivelul vizitelor la medicii specialiști </w:t>
      </w:r>
      <w:r w:rsidR="009E52A2" w:rsidRPr="003F4D72">
        <w:rPr>
          <w:rFonts w:asciiTheme="majorHAnsi" w:eastAsiaTheme="minorHAnsi" w:hAnsiTheme="majorHAnsi" w:cstheme="majorHAnsi"/>
          <w:sz w:val="24"/>
          <w:szCs w:val="24"/>
          <w:shd w:val="clear" w:color="auto" w:fill="FFFFFF"/>
        </w:rPr>
        <w:t>a fost în descreștere</w:t>
      </w:r>
      <w:r w:rsidR="00C63E7B" w:rsidRPr="003F4D72">
        <w:rPr>
          <w:rFonts w:asciiTheme="majorHAnsi" w:eastAsiaTheme="minorHAnsi" w:hAnsiTheme="majorHAnsi" w:cstheme="majorHAnsi"/>
          <w:sz w:val="24"/>
          <w:szCs w:val="24"/>
          <w:shd w:val="clear" w:color="auto" w:fill="FFFFFF"/>
        </w:rPr>
        <w:t xml:space="preserve">, </w:t>
      </w:r>
      <w:r w:rsidR="00F67425" w:rsidRPr="003F4D72">
        <w:rPr>
          <w:rFonts w:asciiTheme="majorHAnsi" w:eastAsiaTheme="minorHAnsi" w:hAnsiTheme="majorHAnsi" w:cstheme="majorHAnsi"/>
          <w:sz w:val="24"/>
          <w:szCs w:val="24"/>
          <w:shd w:val="clear" w:color="auto" w:fill="FFFFFF"/>
        </w:rPr>
        <w:t>situaț</w:t>
      </w:r>
      <w:r w:rsidR="00C63E7B" w:rsidRPr="003F4D72">
        <w:rPr>
          <w:rFonts w:asciiTheme="majorHAnsi" w:eastAsiaTheme="minorHAnsi" w:hAnsiTheme="majorHAnsi" w:cstheme="majorHAnsi"/>
          <w:sz w:val="24"/>
          <w:szCs w:val="24"/>
          <w:shd w:val="clear" w:color="auto" w:fill="FFFFFF"/>
        </w:rPr>
        <w:t>ie redată în figura de mai jos:</w:t>
      </w:r>
      <w:r w:rsidRPr="003F4D72">
        <w:rPr>
          <w:rFonts w:asciiTheme="majorHAnsi" w:hAnsiTheme="majorHAnsi" w:cstheme="majorHAnsi"/>
          <w:sz w:val="24"/>
          <w:szCs w:val="24"/>
          <w:shd w:val="clear" w:color="auto" w:fill="FFFFFF"/>
        </w:rPr>
        <w:t xml:space="preserve"> </w:t>
      </w:r>
    </w:p>
    <w:p w14:paraId="0154E9D5" w14:textId="77777777" w:rsidR="00852D03" w:rsidRPr="003F4D72" w:rsidRDefault="00852D03" w:rsidP="00852D03">
      <w:pPr>
        <w:spacing w:line="276" w:lineRule="auto"/>
        <w:jc w:val="both"/>
        <w:rPr>
          <w:rFonts w:asciiTheme="majorHAnsi" w:eastAsiaTheme="minorHAnsi" w:hAnsiTheme="majorHAnsi" w:cstheme="majorHAnsi"/>
          <w:sz w:val="28"/>
          <w:szCs w:val="28"/>
        </w:rPr>
      </w:pPr>
      <w:r w:rsidRPr="003F4D72">
        <w:rPr>
          <w:rFonts w:eastAsiaTheme="minorHAnsi"/>
          <w:noProof/>
          <w:lang w:val="en-US"/>
        </w:rPr>
        <w:drawing>
          <wp:inline distT="0" distB="0" distL="0" distR="0" wp14:anchorId="2C4F9EFA" wp14:editId="05929745">
            <wp:extent cx="5995283" cy="2743200"/>
            <wp:effectExtent l="0" t="0" r="57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9B479A" w14:textId="2DF18254" w:rsidR="00852D03" w:rsidRPr="003F4D72" w:rsidRDefault="00852D03" w:rsidP="00261E95">
      <w:pPr>
        <w:spacing w:after="0" w:line="276" w:lineRule="auto"/>
        <w:jc w:val="center"/>
        <w:rPr>
          <w:rFonts w:asciiTheme="majorHAnsi" w:eastAsiaTheme="minorHAnsi" w:hAnsiTheme="majorHAnsi" w:cstheme="majorHAnsi"/>
          <w:sz w:val="20"/>
          <w:szCs w:val="20"/>
        </w:rPr>
      </w:pPr>
      <w:r w:rsidRPr="003F4D72">
        <w:rPr>
          <w:rFonts w:asciiTheme="majorHAnsi" w:eastAsiaTheme="minorHAnsi" w:hAnsiTheme="majorHAnsi" w:cstheme="majorHAnsi"/>
          <w:b/>
          <w:sz w:val="20"/>
          <w:szCs w:val="20"/>
        </w:rPr>
        <w:t>Figura nr.</w:t>
      </w:r>
      <w:r w:rsidR="00B402C7" w:rsidRPr="003F4D72">
        <w:rPr>
          <w:rFonts w:asciiTheme="majorHAnsi" w:eastAsiaTheme="minorHAnsi" w:hAnsiTheme="majorHAnsi" w:cstheme="majorHAnsi"/>
          <w:b/>
          <w:sz w:val="20"/>
          <w:szCs w:val="20"/>
        </w:rPr>
        <w:t>2</w:t>
      </w:r>
      <w:r w:rsidR="00B55FED" w:rsidRPr="003F4D72">
        <w:rPr>
          <w:rFonts w:asciiTheme="majorHAnsi" w:eastAsiaTheme="minorHAnsi" w:hAnsiTheme="majorHAnsi" w:cstheme="majorHAnsi"/>
          <w:sz w:val="20"/>
          <w:szCs w:val="20"/>
        </w:rPr>
        <w:t xml:space="preserve"> </w:t>
      </w:r>
      <w:r w:rsidRPr="003F4D72">
        <w:rPr>
          <w:rFonts w:asciiTheme="majorHAnsi" w:eastAsiaTheme="minorHAnsi" w:hAnsiTheme="majorHAnsi" w:cstheme="majorHAnsi"/>
          <w:sz w:val="20"/>
          <w:szCs w:val="20"/>
        </w:rPr>
        <w:t>Dinamica vizitelor la medicii de familie</w:t>
      </w:r>
      <w:r w:rsidR="0071041B" w:rsidRPr="003F4D72">
        <w:rPr>
          <w:rFonts w:asciiTheme="majorHAnsi" w:eastAsiaTheme="minorHAnsi" w:hAnsiTheme="majorHAnsi" w:cstheme="majorHAnsi"/>
          <w:sz w:val="20"/>
          <w:szCs w:val="20"/>
        </w:rPr>
        <w:t xml:space="preserve"> și </w:t>
      </w:r>
      <w:r w:rsidRPr="003F4D72">
        <w:rPr>
          <w:rFonts w:asciiTheme="majorHAnsi" w:eastAsiaTheme="minorHAnsi" w:hAnsiTheme="majorHAnsi" w:cstheme="majorHAnsi"/>
          <w:sz w:val="20"/>
          <w:szCs w:val="20"/>
        </w:rPr>
        <w:t>specialiști</w:t>
      </w:r>
      <w:r w:rsidR="00E66621" w:rsidRPr="003F4D72">
        <w:rPr>
          <w:rFonts w:asciiTheme="majorHAnsi" w:eastAsiaTheme="minorHAnsi" w:hAnsiTheme="majorHAnsi" w:cstheme="majorHAnsi"/>
          <w:sz w:val="20"/>
          <w:szCs w:val="20"/>
        </w:rPr>
        <w:t xml:space="preserve"> în anul </w:t>
      </w:r>
      <w:r w:rsidR="00B55FED" w:rsidRPr="003F4D72">
        <w:rPr>
          <w:rFonts w:asciiTheme="majorHAnsi" w:eastAsiaTheme="minorHAnsi" w:hAnsiTheme="majorHAnsi" w:cstheme="majorHAnsi"/>
          <w:sz w:val="20"/>
          <w:szCs w:val="20"/>
        </w:rPr>
        <w:t>2020.</w:t>
      </w:r>
    </w:p>
    <w:p w14:paraId="2D16B3C4" w14:textId="19985DB7" w:rsidR="00261E95" w:rsidRPr="003F4D72" w:rsidRDefault="00261E95" w:rsidP="00261E95">
      <w:pPr>
        <w:spacing w:after="0" w:line="276" w:lineRule="auto"/>
        <w:jc w:val="center"/>
        <w:rPr>
          <w:rFonts w:asciiTheme="majorHAnsi" w:eastAsiaTheme="minorHAnsi" w:hAnsiTheme="majorHAnsi" w:cstheme="majorHAnsi"/>
          <w:sz w:val="20"/>
          <w:szCs w:val="20"/>
        </w:rPr>
      </w:pPr>
      <w:r w:rsidRPr="003F4D72">
        <w:rPr>
          <w:rFonts w:asciiTheme="majorHAnsi" w:eastAsiaTheme="minorHAnsi" w:hAnsiTheme="majorHAnsi" w:cstheme="majorHAnsi"/>
          <w:b/>
          <w:sz w:val="20"/>
          <w:szCs w:val="20"/>
        </w:rPr>
        <w:t>Sursa:</w:t>
      </w:r>
      <w:r w:rsidRPr="003F4D72">
        <w:rPr>
          <w:rFonts w:asciiTheme="majorHAnsi" w:eastAsiaTheme="minorHAnsi" w:hAnsiTheme="majorHAnsi" w:cstheme="majorHAnsi"/>
          <w:sz w:val="20"/>
          <w:szCs w:val="20"/>
        </w:rPr>
        <w:t xml:space="preserve"> </w:t>
      </w:r>
      <w:r w:rsidRPr="003F4D72">
        <w:rPr>
          <w:rFonts w:asciiTheme="majorHAnsi" w:eastAsiaTheme="minorHAnsi" w:hAnsiTheme="majorHAnsi" w:cstheme="majorHAnsi"/>
          <w:i/>
          <w:sz w:val="20"/>
          <w:szCs w:val="20"/>
        </w:rPr>
        <w:t>Dările de seamă despre volumul de asistență medicală primară și specializată de ambulator</w:t>
      </w:r>
      <w:r w:rsidR="003F4D72">
        <w:rPr>
          <w:rFonts w:asciiTheme="majorHAnsi" w:eastAsiaTheme="minorHAnsi" w:hAnsiTheme="majorHAnsi" w:cstheme="majorHAnsi"/>
          <w:i/>
          <w:sz w:val="20"/>
          <w:szCs w:val="20"/>
        </w:rPr>
        <w:t>iu</w:t>
      </w:r>
      <w:r w:rsidR="0071041B" w:rsidRPr="003F4D72">
        <w:rPr>
          <w:rFonts w:asciiTheme="majorHAnsi" w:eastAsiaTheme="minorHAnsi" w:hAnsiTheme="majorHAnsi" w:cstheme="majorHAnsi"/>
          <w:i/>
          <w:sz w:val="20"/>
          <w:szCs w:val="20"/>
        </w:rPr>
        <w:t xml:space="preserve"> acordat</w:t>
      </w:r>
      <w:r w:rsidRPr="003F4D72">
        <w:rPr>
          <w:rFonts w:asciiTheme="majorHAnsi" w:eastAsiaTheme="minorHAnsi" w:hAnsiTheme="majorHAnsi" w:cstheme="majorHAnsi"/>
          <w:i/>
          <w:sz w:val="20"/>
          <w:szCs w:val="20"/>
        </w:rPr>
        <w:t>.</w:t>
      </w:r>
    </w:p>
    <w:p w14:paraId="5AFB3CDB" w14:textId="16FE9D54" w:rsidR="00C63E7B" w:rsidRPr="003F4D72" w:rsidRDefault="00C63E7B" w:rsidP="000A1CD6">
      <w:pPr>
        <w:spacing w:after="0" w:line="276" w:lineRule="auto"/>
        <w:ind w:firstLine="567"/>
        <w:jc w:val="both"/>
        <w:rPr>
          <w:rFonts w:asciiTheme="majorHAnsi" w:hAnsiTheme="majorHAnsi" w:cstheme="majorHAnsi"/>
          <w:sz w:val="24"/>
          <w:szCs w:val="24"/>
          <w:shd w:val="clear" w:color="auto" w:fill="FFFFFF"/>
        </w:rPr>
      </w:pPr>
      <w:r w:rsidRPr="003F4D72">
        <w:rPr>
          <w:rFonts w:asciiTheme="majorHAnsi" w:hAnsiTheme="majorHAnsi" w:cstheme="majorHAnsi"/>
          <w:sz w:val="24"/>
          <w:szCs w:val="24"/>
          <w:shd w:val="clear" w:color="auto" w:fill="FFFFFF"/>
        </w:rPr>
        <w:t xml:space="preserve">Această situație a fost condiționată de accesul restricționat de deplasare la instituția medicală în contextul pandemiei și </w:t>
      </w:r>
      <w:r w:rsidR="0071041B" w:rsidRPr="003F4D72">
        <w:rPr>
          <w:rFonts w:asciiTheme="majorHAnsi" w:hAnsiTheme="majorHAnsi" w:cstheme="majorHAnsi"/>
          <w:sz w:val="24"/>
          <w:szCs w:val="24"/>
          <w:shd w:val="clear" w:color="auto" w:fill="FFFFFF"/>
        </w:rPr>
        <w:t xml:space="preserve">de </w:t>
      </w:r>
      <w:r w:rsidRPr="003F4D72">
        <w:rPr>
          <w:rFonts w:asciiTheme="majorHAnsi" w:hAnsiTheme="majorHAnsi" w:cstheme="majorHAnsi"/>
          <w:sz w:val="24"/>
          <w:szCs w:val="24"/>
          <w:shd w:val="clear" w:color="auto" w:fill="FFFFFF"/>
        </w:rPr>
        <w:t>implicarea la maxim a personalului medical în prevenirea, supravegherea și tratamentul persoanelor cu Covid-19.</w:t>
      </w:r>
    </w:p>
    <w:p w14:paraId="735A8D29" w14:textId="61B9AD09" w:rsidR="00C63E7B" w:rsidRPr="003F4D72" w:rsidRDefault="00C63E7B" w:rsidP="000A1CD6">
      <w:pPr>
        <w:spacing w:after="0" w:line="276" w:lineRule="auto"/>
        <w:ind w:firstLine="567"/>
        <w:jc w:val="both"/>
        <w:rPr>
          <w:rFonts w:asciiTheme="majorHAnsi" w:hAnsiTheme="majorHAnsi" w:cstheme="majorHAnsi"/>
          <w:sz w:val="24"/>
          <w:szCs w:val="28"/>
        </w:rPr>
      </w:pPr>
      <w:r w:rsidRPr="003F4D72">
        <w:rPr>
          <w:rFonts w:asciiTheme="majorHAnsi" w:hAnsiTheme="majorHAnsi" w:cstheme="majorHAnsi"/>
          <w:sz w:val="24"/>
          <w:szCs w:val="24"/>
          <w:shd w:val="clear" w:color="auto" w:fill="FFFFFF"/>
        </w:rPr>
        <w:t xml:space="preserve">De asemenea, </w:t>
      </w:r>
      <w:r w:rsidR="00145428" w:rsidRPr="003F4D72">
        <w:rPr>
          <w:rFonts w:asciiTheme="majorHAnsi" w:hAnsiTheme="majorHAnsi" w:cstheme="majorHAnsi"/>
          <w:sz w:val="24"/>
          <w:szCs w:val="24"/>
          <w:shd w:val="clear" w:color="auto" w:fill="FFFFFF"/>
        </w:rPr>
        <w:t xml:space="preserve">evaluarea </w:t>
      </w:r>
      <w:r w:rsidR="00145428" w:rsidRPr="003F4D72">
        <w:rPr>
          <w:rFonts w:asciiTheme="majorHAnsi" w:hAnsiTheme="majorHAnsi" w:cstheme="majorHAnsi"/>
          <w:sz w:val="24"/>
          <w:szCs w:val="28"/>
        </w:rPr>
        <w:t>indicatorilor de performanță în asistența medicală primară</w:t>
      </w:r>
      <w:r w:rsidR="000C1065" w:rsidRPr="003F4D72">
        <w:rPr>
          <w:rFonts w:asciiTheme="majorHAnsi" w:hAnsiTheme="majorHAnsi" w:cstheme="majorHAnsi"/>
          <w:sz w:val="24"/>
          <w:szCs w:val="28"/>
        </w:rPr>
        <w:t xml:space="preserve"> relevă că nicio instituție medicală primară nu a atins nivelul planificat, deși aceste servicii au menirea de-a asigura</w:t>
      </w:r>
      <w:r w:rsidR="00145428" w:rsidRPr="003F4D72">
        <w:rPr>
          <w:rFonts w:asciiTheme="majorHAnsi" w:hAnsiTheme="majorHAnsi" w:cstheme="majorHAnsi"/>
          <w:sz w:val="24"/>
          <w:szCs w:val="28"/>
        </w:rPr>
        <w:t xml:space="preserve"> prevenirea, depistarea precoce și supravegherea maladiilor cardiovasculare, diabetului zah</w:t>
      </w:r>
      <w:r w:rsidR="00DE0644" w:rsidRPr="003F4D72">
        <w:rPr>
          <w:rFonts w:asciiTheme="majorHAnsi" w:hAnsiTheme="majorHAnsi" w:cstheme="majorHAnsi"/>
          <w:sz w:val="24"/>
          <w:szCs w:val="28"/>
        </w:rPr>
        <w:t xml:space="preserve">arat, tuberculozei, cancerului, </w:t>
      </w:r>
      <w:r w:rsidR="00145428" w:rsidRPr="003F4D72">
        <w:rPr>
          <w:rFonts w:asciiTheme="majorHAnsi" w:hAnsiTheme="majorHAnsi" w:cstheme="majorHAnsi"/>
          <w:sz w:val="24"/>
          <w:szCs w:val="28"/>
        </w:rPr>
        <w:t xml:space="preserve">supravegherea gravidelor conform standardelor și monitorizarea vaccinării complete a copiilor până la 1 an. Realizarea indicatorilor de performanță în asistența medicală primară a stabilit că </w:t>
      </w:r>
      <w:r w:rsidR="00730324" w:rsidRPr="003F4D72">
        <w:rPr>
          <w:rFonts w:asciiTheme="majorHAnsi" w:hAnsiTheme="majorHAnsi" w:cstheme="majorHAnsi"/>
          <w:sz w:val="24"/>
          <w:szCs w:val="28"/>
        </w:rPr>
        <w:t>292 de</w:t>
      </w:r>
      <w:r w:rsidR="00145428" w:rsidRPr="003F4D72">
        <w:rPr>
          <w:rFonts w:asciiTheme="majorHAnsi" w:hAnsiTheme="majorHAnsi" w:cstheme="majorHAnsi"/>
          <w:sz w:val="24"/>
          <w:szCs w:val="28"/>
        </w:rPr>
        <w:t xml:space="preserve"> instituții medicale</w:t>
      </w:r>
      <w:r w:rsidR="00730324" w:rsidRPr="003F4D72">
        <w:rPr>
          <w:rFonts w:asciiTheme="majorHAnsi" w:hAnsiTheme="majorHAnsi" w:cstheme="majorHAnsi"/>
          <w:sz w:val="24"/>
          <w:szCs w:val="28"/>
        </w:rPr>
        <w:t xml:space="preserve"> care prestează asis</w:t>
      </w:r>
      <w:r w:rsidR="000C1065" w:rsidRPr="003F4D72">
        <w:rPr>
          <w:rFonts w:asciiTheme="majorHAnsi" w:hAnsiTheme="majorHAnsi" w:cstheme="majorHAnsi"/>
          <w:sz w:val="24"/>
          <w:szCs w:val="28"/>
        </w:rPr>
        <w:t>tență medicală primară</w:t>
      </w:r>
      <w:r w:rsidR="00145428" w:rsidRPr="003F4D72">
        <w:rPr>
          <w:rFonts w:asciiTheme="majorHAnsi" w:hAnsiTheme="majorHAnsi" w:cstheme="majorHAnsi"/>
          <w:sz w:val="24"/>
          <w:szCs w:val="28"/>
        </w:rPr>
        <w:t xml:space="preserve"> nu au atins țintele stabilite, respectiv</w:t>
      </w:r>
      <w:r w:rsidR="0071041B" w:rsidRPr="003F4D72">
        <w:rPr>
          <w:rFonts w:asciiTheme="majorHAnsi" w:hAnsiTheme="majorHAnsi" w:cstheme="majorHAnsi"/>
          <w:sz w:val="24"/>
          <w:szCs w:val="28"/>
        </w:rPr>
        <w:t>,</w:t>
      </w:r>
      <w:r w:rsidR="00145428" w:rsidRPr="003F4D72">
        <w:rPr>
          <w:rFonts w:asciiTheme="majorHAnsi" w:hAnsiTheme="majorHAnsi" w:cstheme="majorHAnsi"/>
          <w:sz w:val="24"/>
          <w:szCs w:val="28"/>
        </w:rPr>
        <w:t xml:space="preserve"> plățile pentru bonificație s-au redus </w:t>
      </w:r>
      <w:r w:rsidR="00261E95" w:rsidRPr="003F4D72">
        <w:rPr>
          <w:rFonts w:asciiTheme="majorHAnsi" w:hAnsiTheme="majorHAnsi" w:cstheme="majorHAnsi"/>
          <w:sz w:val="24"/>
          <w:szCs w:val="28"/>
        </w:rPr>
        <w:t>cu 133,4 mil.</w:t>
      </w:r>
      <w:r w:rsidR="000C1065" w:rsidRPr="003F4D72">
        <w:rPr>
          <w:rFonts w:asciiTheme="majorHAnsi" w:hAnsiTheme="majorHAnsi" w:cstheme="majorHAnsi"/>
          <w:sz w:val="24"/>
          <w:szCs w:val="28"/>
        </w:rPr>
        <w:t xml:space="preserve">lei, </w:t>
      </w:r>
      <w:r w:rsidR="00145428" w:rsidRPr="003F4D72">
        <w:rPr>
          <w:rFonts w:asciiTheme="majorHAnsi" w:hAnsiTheme="majorHAnsi" w:cstheme="majorHAnsi"/>
          <w:sz w:val="24"/>
          <w:szCs w:val="28"/>
        </w:rPr>
        <w:t>în anul 2020.</w:t>
      </w:r>
    </w:p>
    <w:p w14:paraId="73E6601E" w14:textId="77777777" w:rsidR="00730324" w:rsidRPr="003F4D72" w:rsidRDefault="00730324" w:rsidP="00B55FED">
      <w:pPr>
        <w:spacing w:after="0" w:line="276" w:lineRule="auto"/>
        <w:ind w:left="-567" w:firstLine="720"/>
        <w:jc w:val="both"/>
        <w:rPr>
          <w:rFonts w:asciiTheme="majorHAnsi" w:hAnsiTheme="majorHAnsi" w:cstheme="majorHAnsi"/>
          <w:sz w:val="24"/>
          <w:szCs w:val="28"/>
        </w:rPr>
      </w:pPr>
      <w:r w:rsidRPr="003F4D72">
        <w:rPr>
          <w:noProof/>
          <w:lang w:val="en-US"/>
        </w:rPr>
        <w:lastRenderedPageBreak/>
        <w:drawing>
          <wp:inline distT="0" distB="0" distL="0" distR="0" wp14:anchorId="63C1D941" wp14:editId="1EB86C61">
            <wp:extent cx="5796501" cy="2210435"/>
            <wp:effectExtent l="38100" t="0" r="1397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025369" w14:textId="04E8AFFA" w:rsidR="00B55FED" w:rsidRPr="003F4D72" w:rsidRDefault="00B55FED" w:rsidP="00261E95">
      <w:pPr>
        <w:spacing w:after="0" w:line="276" w:lineRule="auto"/>
        <w:jc w:val="center"/>
        <w:rPr>
          <w:rFonts w:asciiTheme="majorHAnsi" w:eastAsiaTheme="minorHAnsi" w:hAnsiTheme="majorHAnsi" w:cstheme="majorHAnsi"/>
          <w:sz w:val="20"/>
          <w:szCs w:val="20"/>
        </w:rPr>
      </w:pPr>
      <w:r w:rsidRPr="003F4D72">
        <w:rPr>
          <w:rFonts w:asciiTheme="majorHAnsi" w:eastAsiaTheme="minorHAnsi" w:hAnsiTheme="majorHAnsi" w:cstheme="majorHAnsi"/>
          <w:b/>
          <w:sz w:val="20"/>
          <w:szCs w:val="20"/>
        </w:rPr>
        <w:t>Figura nr.</w:t>
      </w:r>
      <w:r w:rsidR="00B402C7" w:rsidRPr="003F4D72">
        <w:rPr>
          <w:rFonts w:asciiTheme="majorHAnsi" w:eastAsiaTheme="minorHAnsi" w:hAnsiTheme="majorHAnsi" w:cstheme="majorHAnsi"/>
          <w:b/>
          <w:sz w:val="20"/>
          <w:szCs w:val="20"/>
        </w:rPr>
        <w:t>3</w:t>
      </w:r>
      <w:r w:rsidR="0071041B" w:rsidRPr="003F4D72">
        <w:rPr>
          <w:rFonts w:asciiTheme="majorHAnsi" w:eastAsiaTheme="minorHAnsi" w:hAnsiTheme="majorHAnsi" w:cstheme="majorHAnsi"/>
          <w:b/>
          <w:sz w:val="20"/>
          <w:szCs w:val="20"/>
        </w:rPr>
        <w:t>.</w:t>
      </w:r>
      <w:r w:rsidRPr="003F4D72">
        <w:rPr>
          <w:rFonts w:asciiTheme="majorHAnsi" w:eastAsiaTheme="minorHAnsi" w:hAnsiTheme="majorHAnsi" w:cstheme="majorHAnsi"/>
          <w:sz w:val="20"/>
          <w:szCs w:val="20"/>
        </w:rPr>
        <w:t xml:space="preserve"> Nivelul de realizare a indicatorilor de bonificație de către instituțiile medicale primare, în anul 2020.</w:t>
      </w:r>
    </w:p>
    <w:p w14:paraId="3C46CE5E" w14:textId="77777777" w:rsidR="00261E95" w:rsidRPr="003F4D72" w:rsidRDefault="00261E95" w:rsidP="00261E95">
      <w:pPr>
        <w:spacing w:after="0" w:line="276" w:lineRule="auto"/>
        <w:jc w:val="center"/>
        <w:rPr>
          <w:rFonts w:asciiTheme="majorHAnsi" w:eastAsiaTheme="minorHAnsi" w:hAnsiTheme="majorHAnsi" w:cstheme="majorHAnsi"/>
          <w:sz w:val="20"/>
          <w:szCs w:val="20"/>
        </w:rPr>
      </w:pPr>
      <w:r w:rsidRPr="003F4D72">
        <w:rPr>
          <w:rFonts w:asciiTheme="majorHAnsi" w:eastAsiaTheme="minorHAnsi" w:hAnsiTheme="majorHAnsi" w:cstheme="majorHAnsi"/>
          <w:b/>
          <w:sz w:val="20"/>
          <w:szCs w:val="20"/>
        </w:rPr>
        <w:t>Sursa:</w:t>
      </w:r>
      <w:r w:rsidRPr="003F4D72">
        <w:rPr>
          <w:rFonts w:asciiTheme="majorHAnsi" w:eastAsiaTheme="minorHAnsi" w:hAnsiTheme="majorHAnsi" w:cstheme="majorHAnsi"/>
          <w:sz w:val="20"/>
          <w:szCs w:val="20"/>
        </w:rPr>
        <w:t xml:space="preserve"> </w:t>
      </w:r>
      <w:r w:rsidRPr="003F4D72">
        <w:rPr>
          <w:rFonts w:asciiTheme="majorHAnsi" w:eastAsiaTheme="minorHAnsi" w:hAnsiTheme="majorHAnsi" w:cstheme="majorHAnsi"/>
          <w:i/>
          <w:sz w:val="20"/>
          <w:szCs w:val="20"/>
        </w:rPr>
        <w:t>Date prezentate de CNAM.</w:t>
      </w:r>
    </w:p>
    <w:p w14:paraId="0367C338" w14:textId="77777777" w:rsidR="00261E95" w:rsidRPr="003F4D72" w:rsidRDefault="00261E95" w:rsidP="00EF5128">
      <w:pPr>
        <w:spacing w:line="276" w:lineRule="auto"/>
        <w:jc w:val="center"/>
        <w:rPr>
          <w:rFonts w:asciiTheme="majorHAnsi" w:eastAsiaTheme="minorHAnsi" w:hAnsiTheme="majorHAnsi" w:cstheme="majorHAnsi"/>
          <w:sz w:val="20"/>
          <w:szCs w:val="20"/>
        </w:rPr>
      </w:pPr>
    </w:p>
    <w:p w14:paraId="3EB8F15E" w14:textId="2B30182C" w:rsidR="00C63E7B" w:rsidRPr="003F4D72" w:rsidRDefault="00C63E7B" w:rsidP="000A1CD6">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shd w:val="clear" w:color="auto" w:fill="FFFFFF"/>
        </w:rPr>
        <w:t xml:space="preserve"> În aceste circumstanțe se conturează riscul privind insuficiența măsurilor de prevenire, depistare precoce și supraveghere/monitorizare a pacienților cu maladii cronice: cardiovasculare, diabet zaharat, hipertensiune, tuberculoză, cancer</w:t>
      </w:r>
      <w:r w:rsidR="0071041B" w:rsidRPr="003F4D72">
        <w:rPr>
          <w:rFonts w:asciiTheme="majorHAnsi" w:hAnsiTheme="majorHAnsi" w:cstheme="majorHAnsi"/>
          <w:sz w:val="24"/>
          <w:szCs w:val="24"/>
          <w:shd w:val="clear" w:color="auto" w:fill="FFFFFF"/>
        </w:rPr>
        <w:t xml:space="preserve"> </w:t>
      </w:r>
      <w:r w:rsidRPr="003F4D72">
        <w:rPr>
          <w:rFonts w:asciiTheme="majorHAnsi" w:hAnsiTheme="majorHAnsi" w:cstheme="majorHAnsi"/>
          <w:sz w:val="24"/>
          <w:szCs w:val="24"/>
          <w:shd w:val="clear" w:color="auto" w:fill="FFFFFF"/>
        </w:rPr>
        <w:t xml:space="preserve">etc. </w:t>
      </w:r>
    </w:p>
    <w:p w14:paraId="58107B90" w14:textId="26AB5342" w:rsidR="00F67425" w:rsidRPr="003F4D72" w:rsidRDefault="00F67425" w:rsidP="000A1CD6">
      <w:pPr>
        <w:spacing w:after="0" w:line="276" w:lineRule="auto"/>
        <w:ind w:firstLine="567"/>
        <w:jc w:val="both"/>
        <w:rPr>
          <w:rFonts w:asciiTheme="majorHAnsi" w:hAnsiTheme="majorHAnsi" w:cstheme="majorHAnsi"/>
          <w:sz w:val="24"/>
          <w:szCs w:val="24"/>
          <w:shd w:val="clear" w:color="auto" w:fill="FFFFFF"/>
        </w:rPr>
      </w:pPr>
      <w:r w:rsidRPr="003F4D72">
        <w:rPr>
          <w:rFonts w:asciiTheme="majorHAnsi" w:hAnsiTheme="majorHAnsi" w:cstheme="majorHAnsi"/>
          <w:sz w:val="24"/>
          <w:szCs w:val="24"/>
          <w:shd w:val="clear" w:color="auto" w:fill="FFFFFF"/>
        </w:rPr>
        <w:t xml:space="preserve">În anul 2020 cheltuielile pentru medicamente compensate s-au diminuat </w:t>
      </w:r>
      <w:r w:rsidR="00EF5128" w:rsidRPr="003F4D72">
        <w:rPr>
          <w:rFonts w:asciiTheme="majorHAnsi" w:hAnsiTheme="majorHAnsi" w:cstheme="majorHAnsi"/>
          <w:sz w:val="24"/>
          <w:szCs w:val="24"/>
          <w:shd w:val="clear" w:color="auto" w:fill="FFFFFF"/>
        </w:rPr>
        <w:t>cu 77,0 mil.lei</w:t>
      </w:r>
      <w:r w:rsidR="0071041B" w:rsidRPr="003F4D72">
        <w:rPr>
          <w:rFonts w:asciiTheme="majorHAnsi" w:hAnsiTheme="majorHAnsi" w:cstheme="majorHAnsi"/>
          <w:sz w:val="24"/>
          <w:szCs w:val="24"/>
          <w:shd w:val="clear" w:color="auto" w:fill="FFFFFF"/>
        </w:rPr>
        <w:t>,</w:t>
      </w:r>
      <w:r w:rsidR="00EF5128" w:rsidRPr="003F4D72">
        <w:rPr>
          <w:rFonts w:asciiTheme="majorHAnsi" w:hAnsiTheme="majorHAnsi" w:cstheme="majorHAnsi"/>
          <w:sz w:val="24"/>
          <w:szCs w:val="24"/>
          <w:shd w:val="clear" w:color="auto" w:fill="FFFFFF"/>
        </w:rPr>
        <w:t xml:space="preserve"> </w:t>
      </w:r>
      <w:r w:rsidRPr="003F4D72">
        <w:rPr>
          <w:rFonts w:asciiTheme="majorHAnsi" w:hAnsiTheme="majorHAnsi" w:cstheme="majorHAnsi"/>
          <w:sz w:val="24"/>
          <w:szCs w:val="24"/>
          <w:shd w:val="clear" w:color="auto" w:fill="FFFFFF"/>
        </w:rPr>
        <w:t>comparativ cu</w:t>
      </w:r>
      <w:r w:rsidR="00333EC2" w:rsidRPr="003F4D72">
        <w:rPr>
          <w:rFonts w:asciiTheme="majorHAnsi" w:hAnsiTheme="majorHAnsi" w:cstheme="majorHAnsi"/>
          <w:sz w:val="24"/>
          <w:szCs w:val="24"/>
          <w:shd w:val="clear" w:color="auto" w:fill="FFFFFF"/>
        </w:rPr>
        <w:t xml:space="preserve"> mijloacele financiare precizate</w:t>
      </w:r>
      <w:r w:rsidRPr="003F4D72">
        <w:rPr>
          <w:rFonts w:asciiTheme="majorHAnsi" w:hAnsiTheme="majorHAnsi" w:cstheme="majorHAnsi"/>
          <w:sz w:val="24"/>
          <w:szCs w:val="24"/>
          <w:shd w:val="clear" w:color="auto" w:fill="FFFFFF"/>
        </w:rPr>
        <w:t xml:space="preserve">, iar această situație </w:t>
      </w:r>
      <w:r w:rsidR="00EF5128" w:rsidRPr="003F4D72">
        <w:rPr>
          <w:rFonts w:asciiTheme="majorHAnsi" w:hAnsiTheme="majorHAnsi" w:cstheme="majorHAnsi"/>
          <w:sz w:val="24"/>
          <w:szCs w:val="24"/>
          <w:shd w:val="clear" w:color="auto" w:fill="FFFFFF"/>
        </w:rPr>
        <w:t>este</w:t>
      </w:r>
      <w:r w:rsidRPr="003F4D72">
        <w:rPr>
          <w:rFonts w:asciiTheme="majorHAnsi" w:hAnsiTheme="majorHAnsi" w:cstheme="majorHAnsi"/>
          <w:sz w:val="24"/>
          <w:szCs w:val="24"/>
          <w:shd w:val="clear" w:color="auto" w:fill="FFFFFF"/>
        </w:rPr>
        <w:t xml:space="preserve"> corelată cu </w:t>
      </w:r>
      <w:r w:rsidR="00EF5128" w:rsidRPr="003F4D72">
        <w:rPr>
          <w:rFonts w:asciiTheme="majorHAnsi" w:hAnsiTheme="majorHAnsi" w:cstheme="majorHAnsi"/>
          <w:sz w:val="24"/>
          <w:szCs w:val="24"/>
          <w:shd w:val="clear" w:color="auto" w:fill="FFFFFF"/>
        </w:rPr>
        <w:t>nivelul redus al vizitelor</w:t>
      </w:r>
      <w:r w:rsidRPr="003F4D72">
        <w:rPr>
          <w:rFonts w:asciiTheme="majorHAnsi" w:hAnsiTheme="majorHAnsi" w:cstheme="majorHAnsi"/>
          <w:sz w:val="24"/>
          <w:szCs w:val="24"/>
          <w:shd w:val="clear" w:color="auto" w:fill="FFFFFF"/>
        </w:rPr>
        <w:t xml:space="preserve"> la medicii de familie/specialiști. </w:t>
      </w:r>
      <w:r w:rsidR="00EF5128" w:rsidRPr="003F4D72">
        <w:rPr>
          <w:rFonts w:asciiTheme="majorHAnsi" w:hAnsiTheme="majorHAnsi" w:cstheme="majorHAnsi"/>
          <w:sz w:val="24"/>
          <w:szCs w:val="24"/>
          <w:shd w:val="clear" w:color="auto" w:fill="FFFFFF"/>
        </w:rPr>
        <w:t xml:space="preserve">În </w:t>
      </w:r>
      <w:r w:rsidR="0071041B" w:rsidRPr="003F4D72">
        <w:rPr>
          <w:rFonts w:asciiTheme="majorHAnsi" w:hAnsiTheme="majorHAnsi" w:cstheme="majorHAnsi"/>
          <w:sz w:val="24"/>
          <w:szCs w:val="24"/>
          <w:shd w:val="clear" w:color="auto" w:fill="FFFFFF"/>
        </w:rPr>
        <w:t xml:space="preserve">condițiile </w:t>
      </w:r>
      <w:r w:rsidRPr="003F4D72">
        <w:rPr>
          <w:rFonts w:asciiTheme="majorHAnsi" w:hAnsiTheme="majorHAnsi" w:cstheme="majorHAnsi"/>
          <w:sz w:val="24"/>
          <w:szCs w:val="24"/>
          <w:shd w:val="clear" w:color="auto" w:fill="FFFFFF"/>
        </w:rPr>
        <w:t>accesul</w:t>
      </w:r>
      <w:r w:rsidR="00EF5128" w:rsidRPr="003F4D72">
        <w:rPr>
          <w:rFonts w:asciiTheme="majorHAnsi" w:hAnsiTheme="majorHAnsi" w:cstheme="majorHAnsi"/>
          <w:sz w:val="24"/>
          <w:szCs w:val="24"/>
          <w:shd w:val="clear" w:color="auto" w:fill="FFFFFF"/>
        </w:rPr>
        <w:t>ui</w:t>
      </w:r>
      <w:r w:rsidRPr="003F4D72">
        <w:rPr>
          <w:rFonts w:asciiTheme="majorHAnsi" w:hAnsiTheme="majorHAnsi" w:cstheme="majorHAnsi"/>
          <w:sz w:val="24"/>
          <w:szCs w:val="24"/>
          <w:shd w:val="clear" w:color="auto" w:fill="FFFFFF"/>
        </w:rPr>
        <w:t xml:space="preserve"> restricționat de deplasare la m</w:t>
      </w:r>
      <w:r w:rsidR="00EF5128" w:rsidRPr="003F4D72">
        <w:rPr>
          <w:rFonts w:asciiTheme="majorHAnsi" w:hAnsiTheme="majorHAnsi" w:cstheme="majorHAnsi"/>
          <w:sz w:val="24"/>
          <w:szCs w:val="24"/>
          <w:shd w:val="clear" w:color="auto" w:fill="FFFFFF"/>
        </w:rPr>
        <w:t>edicii de familie/specialiști,</w:t>
      </w:r>
      <w:r w:rsidRPr="003F4D72">
        <w:rPr>
          <w:rFonts w:asciiTheme="majorHAnsi" w:hAnsiTheme="majorHAnsi" w:cstheme="majorHAnsi"/>
          <w:sz w:val="24"/>
          <w:szCs w:val="24"/>
          <w:shd w:val="clear" w:color="auto" w:fill="FFFFFF"/>
        </w:rPr>
        <w:t xml:space="preserve"> pacienții au fost limitați în posibilitatea de a beneficia de rețete pentru medicamente compensate</w:t>
      </w:r>
      <w:r w:rsidR="00EF5128" w:rsidRPr="003F4D72">
        <w:rPr>
          <w:rFonts w:asciiTheme="majorHAnsi" w:hAnsiTheme="majorHAnsi" w:cstheme="majorHAnsi"/>
          <w:sz w:val="24"/>
          <w:szCs w:val="24"/>
          <w:shd w:val="clear" w:color="auto" w:fill="FFFFFF"/>
        </w:rPr>
        <w:t xml:space="preserve"> pentru tratamentul maladiilor</w:t>
      </w:r>
      <w:r w:rsidR="0071041B" w:rsidRPr="003F4D72">
        <w:rPr>
          <w:rFonts w:asciiTheme="majorHAnsi" w:hAnsiTheme="majorHAnsi" w:cstheme="majorHAnsi"/>
          <w:sz w:val="24"/>
          <w:szCs w:val="24"/>
          <w:shd w:val="clear" w:color="auto" w:fill="FFFFFF"/>
        </w:rPr>
        <w:t>,</w:t>
      </w:r>
      <w:r w:rsidR="00EF5128" w:rsidRPr="003F4D72">
        <w:rPr>
          <w:rFonts w:asciiTheme="majorHAnsi" w:hAnsiTheme="majorHAnsi" w:cstheme="majorHAnsi"/>
          <w:sz w:val="24"/>
          <w:szCs w:val="24"/>
          <w:shd w:val="clear" w:color="auto" w:fill="FFFFFF"/>
        </w:rPr>
        <w:t xml:space="preserve"> în special pentru maladiile</w:t>
      </w:r>
      <w:r w:rsidRPr="003F4D72">
        <w:rPr>
          <w:rFonts w:asciiTheme="majorHAnsi" w:hAnsiTheme="majorHAnsi" w:cstheme="majorHAnsi"/>
          <w:sz w:val="24"/>
          <w:szCs w:val="24"/>
          <w:shd w:val="clear" w:color="auto" w:fill="FFFFFF"/>
        </w:rPr>
        <w:t xml:space="preserve"> cronice</w:t>
      </w:r>
      <w:r w:rsidR="00081A6B" w:rsidRPr="003F4D72">
        <w:rPr>
          <w:rFonts w:asciiTheme="majorHAnsi" w:hAnsiTheme="majorHAnsi" w:cstheme="majorHAnsi"/>
          <w:sz w:val="24"/>
          <w:szCs w:val="24"/>
          <w:shd w:val="clear" w:color="auto" w:fill="FFFFFF"/>
        </w:rPr>
        <w:t xml:space="preserve"> și acute</w:t>
      </w:r>
      <w:r w:rsidRPr="003F4D72">
        <w:rPr>
          <w:rFonts w:asciiTheme="majorHAnsi" w:hAnsiTheme="majorHAnsi" w:cstheme="majorHAnsi"/>
          <w:sz w:val="24"/>
          <w:szCs w:val="24"/>
          <w:shd w:val="clear" w:color="auto" w:fill="FFFFFF"/>
        </w:rPr>
        <w:t>, care în lipsa monitorizării adecvate pot genera compli</w:t>
      </w:r>
      <w:r w:rsidR="00EF5128" w:rsidRPr="003F4D72">
        <w:rPr>
          <w:rFonts w:asciiTheme="majorHAnsi" w:hAnsiTheme="majorHAnsi" w:cstheme="majorHAnsi"/>
          <w:sz w:val="24"/>
          <w:szCs w:val="24"/>
          <w:shd w:val="clear" w:color="auto" w:fill="FFFFFF"/>
        </w:rPr>
        <w:t>cații severe de sănătate</w:t>
      </w:r>
      <w:r w:rsidRPr="003F4D72">
        <w:rPr>
          <w:rFonts w:asciiTheme="majorHAnsi" w:hAnsiTheme="majorHAnsi" w:cstheme="majorHAnsi"/>
          <w:sz w:val="24"/>
          <w:szCs w:val="24"/>
          <w:shd w:val="clear" w:color="auto" w:fill="FFFFFF"/>
        </w:rPr>
        <w:t xml:space="preserve">. </w:t>
      </w:r>
    </w:p>
    <w:p w14:paraId="0B612A0B" w14:textId="5DA0A2A5" w:rsidR="00B55FED" w:rsidRPr="003F4D72" w:rsidRDefault="00852D03" w:rsidP="000A1CD6">
      <w:pPr>
        <w:spacing w:line="276" w:lineRule="auto"/>
        <w:ind w:firstLine="567"/>
        <w:contextualSpacing/>
        <w:jc w:val="both"/>
        <w:rPr>
          <w:rFonts w:asciiTheme="majorHAnsi" w:eastAsiaTheme="minorHAnsi" w:hAnsiTheme="majorHAnsi" w:cstheme="majorHAnsi"/>
          <w:sz w:val="24"/>
          <w:szCs w:val="28"/>
        </w:rPr>
      </w:pPr>
      <w:r w:rsidRPr="003F4D72">
        <w:rPr>
          <w:rFonts w:asciiTheme="majorHAnsi" w:eastAsiaTheme="minorHAnsi" w:hAnsiTheme="majorHAnsi" w:cstheme="majorHAnsi"/>
          <w:sz w:val="24"/>
          <w:szCs w:val="28"/>
        </w:rPr>
        <w:t>Totodată, auditul relevă că</w:t>
      </w:r>
      <w:r w:rsidR="0071041B" w:rsidRPr="003F4D72">
        <w:rPr>
          <w:rFonts w:asciiTheme="majorHAnsi" w:eastAsiaTheme="minorHAnsi" w:hAnsiTheme="majorHAnsi" w:cstheme="majorHAnsi"/>
          <w:sz w:val="24"/>
          <w:szCs w:val="28"/>
        </w:rPr>
        <w:t>,</w:t>
      </w:r>
      <w:r w:rsidRPr="003F4D72">
        <w:rPr>
          <w:rFonts w:asciiTheme="majorHAnsi" w:eastAsiaTheme="minorHAnsi" w:hAnsiTheme="majorHAnsi" w:cstheme="majorHAnsi"/>
          <w:sz w:val="24"/>
          <w:szCs w:val="28"/>
        </w:rPr>
        <w:t xml:space="preserve"> deși valoarea medicamentelor eliberate de către prestatorii de servicii farmaceutice este în creștere, în anul 2020 </w:t>
      </w:r>
      <w:r w:rsidR="00081A6B" w:rsidRPr="003F4D72">
        <w:rPr>
          <w:rFonts w:asciiTheme="majorHAnsi" w:eastAsiaTheme="minorHAnsi" w:hAnsiTheme="majorHAnsi" w:cstheme="majorHAnsi"/>
          <w:sz w:val="24"/>
          <w:szCs w:val="28"/>
        </w:rPr>
        <w:t>au fost</w:t>
      </w:r>
      <w:r w:rsidRPr="003F4D72">
        <w:rPr>
          <w:rFonts w:asciiTheme="majorHAnsi" w:eastAsiaTheme="minorHAnsi" w:hAnsiTheme="majorHAnsi" w:cstheme="majorHAnsi"/>
          <w:sz w:val="24"/>
          <w:szCs w:val="28"/>
        </w:rPr>
        <w:t xml:space="preserve"> eliberate medicamente comp</w:t>
      </w:r>
      <w:r w:rsidR="000949A9" w:rsidRPr="003F4D72">
        <w:rPr>
          <w:rFonts w:asciiTheme="majorHAnsi" w:eastAsiaTheme="minorHAnsi" w:hAnsiTheme="majorHAnsi" w:cstheme="majorHAnsi"/>
          <w:sz w:val="24"/>
          <w:szCs w:val="28"/>
        </w:rPr>
        <w:t>ensate în valoare de 612,5 mil.lei</w:t>
      </w:r>
      <w:r w:rsidR="0071041B" w:rsidRPr="003F4D72">
        <w:rPr>
          <w:rFonts w:asciiTheme="majorHAnsi" w:eastAsiaTheme="minorHAnsi" w:hAnsiTheme="majorHAnsi" w:cstheme="majorHAnsi"/>
          <w:sz w:val="24"/>
          <w:szCs w:val="28"/>
        </w:rPr>
        <w:t>,</w:t>
      </w:r>
      <w:r w:rsidR="000949A9" w:rsidRPr="003F4D72">
        <w:rPr>
          <w:rFonts w:asciiTheme="majorHAnsi" w:eastAsiaTheme="minorHAnsi" w:hAnsiTheme="majorHAnsi" w:cstheme="majorHAnsi"/>
          <w:sz w:val="24"/>
          <w:szCs w:val="28"/>
        </w:rPr>
        <w:t xml:space="preserve"> cu 13,5 mil.</w:t>
      </w:r>
      <w:r w:rsidRPr="003F4D72">
        <w:rPr>
          <w:rFonts w:asciiTheme="majorHAnsi" w:eastAsiaTheme="minorHAnsi" w:hAnsiTheme="majorHAnsi" w:cstheme="majorHAnsi"/>
          <w:sz w:val="24"/>
          <w:szCs w:val="28"/>
        </w:rPr>
        <w:t xml:space="preserve">lei (sau cu 2,2%) mai mult </w:t>
      </w:r>
      <w:r w:rsidR="00F67425" w:rsidRPr="003F4D72">
        <w:rPr>
          <w:rFonts w:asciiTheme="majorHAnsi" w:eastAsiaTheme="minorHAnsi" w:hAnsiTheme="majorHAnsi" w:cstheme="majorHAnsi"/>
          <w:sz w:val="24"/>
          <w:szCs w:val="28"/>
        </w:rPr>
        <w:t>decât</w:t>
      </w:r>
      <w:r w:rsidRPr="003F4D72">
        <w:rPr>
          <w:rFonts w:asciiTheme="majorHAnsi" w:eastAsiaTheme="minorHAnsi" w:hAnsiTheme="majorHAnsi" w:cstheme="majorHAnsi"/>
          <w:sz w:val="24"/>
          <w:szCs w:val="28"/>
        </w:rPr>
        <w:t xml:space="preserve"> în anul 2019, numărul beneficiarilor de medicamente compensate în an</w:t>
      </w:r>
      <w:r w:rsidR="00430F47" w:rsidRPr="003F4D72">
        <w:rPr>
          <w:rFonts w:asciiTheme="majorHAnsi" w:eastAsiaTheme="minorHAnsi" w:hAnsiTheme="majorHAnsi" w:cstheme="majorHAnsi"/>
          <w:sz w:val="24"/>
          <w:szCs w:val="28"/>
        </w:rPr>
        <w:t xml:space="preserve">ul 2020 </w:t>
      </w:r>
      <w:r w:rsidR="00B80383" w:rsidRPr="003F4D72">
        <w:rPr>
          <w:rFonts w:asciiTheme="majorHAnsi" w:eastAsiaTheme="minorHAnsi" w:hAnsiTheme="majorHAnsi" w:cstheme="majorHAnsi"/>
          <w:sz w:val="24"/>
          <w:szCs w:val="28"/>
        </w:rPr>
        <w:t>fiind</w:t>
      </w:r>
      <w:r w:rsidR="00430F47" w:rsidRPr="003F4D72">
        <w:rPr>
          <w:rFonts w:asciiTheme="majorHAnsi" w:eastAsiaTheme="minorHAnsi" w:hAnsiTheme="majorHAnsi" w:cstheme="majorHAnsi"/>
          <w:sz w:val="24"/>
          <w:szCs w:val="28"/>
        </w:rPr>
        <w:t xml:space="preserve"> de 739</w:t>
      </w:r>
      <w:r w:rsidR="00C4686B" w:rsidRPr="003F4D72">
        <w:rPr>
          <w:rFonts w:asciiTheme="majorHAnsi" w:eastAsiaTheme="minorHAnsi" w:hAnsiTheme="majorHAnsi" w:cstheme="majorHAnsi"/>
          <w:sz w:val="24"/>
          <w:szCs w:val="28"/>
        </w:rPr>
        <w:t xml:space="preserve"> </w:t>
      </w:r>
      <w:r w:rsidR="00430F47" w:rsidRPr="003F4D72">
        <w:rPr>
          <w:rFonts w:asciiTheme="majorHAnsi" w:eastAsiaTheme="minorHAnsi" w:hAnsiTheme="majorHAnsi" w:cstheme="majorHAnsi"/>
          <w:sz w:val="24"/>
          <w:szCs w:val="28"/>
        </w:rPr>
        <w:t xml:space="preserve">067 </w:t>
      </w:r>
      <w:r w:rsidR="00B80383" w:rsidRPr="003F4D72">
        <w:rPr>
          <w:rFonts w:asciiTheme="majorHAnsi" w:eastAsiaTheme="minorHAnsi" w:hAnsiTheme="majorHAnsi" w:cstheme="majorHAnsi"/>
          <w:sz w:val="24"/>
          <w:szCs w:val="28"/>
        </w:rPr>
        <w:t xml:space="preserve">de </w:t>
      </w:r>
      <w:r w:rsidR="00430F47" w:rsidRPr="003F4D72">
        <w:rPr>
          <w:rFonts w:asciiTheme="majorHAnsi" w:eastAsiaTheme="minorHAnsi" w:hAnsiTheme="majorHAnsi" w:cstheme="majorHAnsi"/>
          <w:sz w:val="24"/>
          <w:szCs w:val="28"/>
        </w:rPr>
        <w:t>persoane</w:t>
      </w:r>
      <w:r w:rsidR="00B80383" w:rsidRPr="003F4D72">
        <w:rPr>
          <w:rFonts w:asciiTheme="majorHAnsi" w:eastAsiaTheme="minorHAnsi" w:hAnsiTheme="majorHAnsi" w:cstheme="majorHAnsi"/>
          <w:sz w:val="24"/>
          <w:szCs w:val="28"/>
        </w:rPr>
        <w:t>,</w:t>
      </w:r>
      <w:r w:rsidR="00430F47" w:rsidRPr="003F4D72">
        <w:rPr>
          <w:rFonts w:asciiTheme="majorHAnsi" w:eastAsiaTheme="minorHAnsi" w:hAnsiTheme="majorHAnsi" w:cstheme="majorHAnsi"/>
          <w:sz w:val="24"/>
          <w:szCs w:val="28"/>
        </w:rPr>
        <w:t xml:space="preserve"> sau</w:t>
      </w:r>
      <w:r w:rsidRPr="003F4D72">
        <w:rPr>
          <w:rFonts w:asciiTheme="majorHAnsi" w:eastAsiaTheme="minorHAnsi" w:hAnsiTheme="majorHAnsi" w:cstheme="majorHAnsi"/>
          <w:sz w:val="24"/>
          <w:szCs w:val="28"/>
        </w:rPr>
        <w:t xml:space="preserve"> cu 93</w:t>
      </w:r>
      <w:r w:rsidR="00C4686B" w:rsidRPr="003F4D72">
        <w:rPr>
          <w:rFonts w:asciiTheme="majorHAnsi" w:eastAsiaTheme="minorHAnsi" w:hAnsiTheme="majorHAnsi" w:cstheme="majorHAnsi"/>
          <w:sz w:val="24"/>
          <w:szCs w:val="28"/>
        </w:rPr>
        <w:t xml:space="preserve"> </w:t>
      </w:r>
      <w:r w:rsidRPr="003F4D72">
        <w:rPr>
          <w:rFonts w:asciiTheme="majorHAnsi" w:eastAsiaTheme="minorHAnsi" w:hAnsiTheme="majorHAnsi" w:cstheme="majorHAnsi"/>
          <w:sz w:val="24"/>
          <w:szCs w:val="28"/>
        </w:rPr>
        <w:t xml:space="preserve">399 </w:t>
      </w:r>
      <w:r w:rsidR="00B80383" w:rsidRPr="003F4D72">
        <w:rPr>
          <w:rFonts w:asciiTheme="majorHAnsi" w:eastAsiaTheme="minorHAnsi" w:hAnsiTheme="majorHAnsi" w:cstheme="majorHAnsi"/>
          <w:sz w:val="24"/>
          <w:szCs w:val="28"/>
        </w:rPr>
        <w:t xml:space="preserve">de </w:t>
      </w:r>
      <w:r w:rsidRPr="003F4D72">
        <w:rPr>
          <w:rFonts w:asciiTheme="majorHAnsi" w:eastAsiaTheme="minorHAnsi" w:hAnsiTheme="majorHAnsi" w:cstheme="majorHAnsi"/>
          <w:sz w:val="24"/>
          <w:szCs w:val="28"/>
        </w:rPr>
        <w:t xml:space="preserve">beneficiari (11,2 %) mai puțin </w:t>
      </w:r>
      <w:r w:rsidR="00F67425" w:rsidRPr="003F4D72">
        <w:rPr>
          <w:rFonts w:asciiTheme="majorHAnsi" w:eastAsiaTheme="minorHAnsi" w:hAnsiTheme="majorHAnsi" w:cstheme="majorHAnsi"/>
          <w:sz w:val="24"/>
          <w:szCs w:val="28"/>
        </w:rPr>
        <w:t>decât</w:t>
      </w:r>
      <w:r w:rsidR="00430F47" w:rsidRPr="003F4D72">
        <w:rPr>
          <w:rFonts w:asciiTheme="majorHAnsi" w:eastAsiaTheme="minorHAnsi" w:hAnsiTheme="majorHAnsi" w:cstheme="majorHAnsi"/>
          <w:sz w:val="24"/>
          <w:szCs w:val="28"/>
        </w:rPr>
        <w:t xml:space="preserve"> în anul 2019, </w:t>
      </w:r>
      <w:r w:rsidRPr="003F4D72">
        <w:rPr>
          <w:rFonts w:asciiTheme="majorHAnsi" w:eastAsiaTheme="minorHAnsi" w:hAnsiTheme="majorHAnsi" w:cstheme="majorHAnsi"/>
          <w:sz w:val="24"/>
          <w:szCs w:val="28"/>
        </w:rPr>
        <w:t>informați</w:t>
      </w:r>
      <w:r w:rsidR="00430F47" w:rsidRPr="003F4D72">
        <w:rPr>
          <w:rFonts w:asciiTheme="majorHAnsi" w:eastAsiaTheme="minorHAnsi" w:hAnsiTheme="majorHAnsi" w:cstheme="majorHAnsi"/>
          <w:sz w:val="24"/>
          <w:szCs w:val="28"/>
        </w:rPr>
        <w:t>e redată în tabelul de mai jos:</w:t>
      </w:r>
      <w:r w:rsidRPr="003F4D72">
        <w:rPr>
          <w:rFonts w:asciiTheme="majorHAnsi" w:eastAsiaTheme="minorHAnsi" w:hAnsiTheme="majorHAnsi" w:cstheme="majorHAnsi"/>
          <w:sz w:val="24"/>
          <w:szCs w:val="28"/>
        </w:rPr>
        <w:t xml:space="preserve"> </w:t>
      </w:r>
    </w:p>
    <w:p w14:paraId="39CE7DF6" w14:textId="492DE954" w:rsidR="0007119B" w:rsidRPr="003F4D72" w:rsidRDefault="002F6325" w:rsidP="000A1CD6">
      <w:pPr>
        <w:spacing w:line="276" w:lineRule="auto"/>
        <w:ind w:firstLine="567"/>
        <w:contextualSpacing/>
        <w:jc w:val="both"/>
        <w:rPr>
          <w:rFonts w:asciiTheme="majorHAnsi" w:eastAsiaTheme="minorHAnsi" w:hAnsiTheme="majorHAnsi" w:cstheme="majorHAnsi"/>
          <w:b/>
          <w:sz w:val="24"/>
          <w:szCs w:val="28"/>
          <w:shd w:val="clear" w:color="auto" w:fill="FFFFFF"/>
        </w:rPr>
      </w:pPr>
      <w:r w:rsidRPr="003F4D72">
        <w:rPr>
          <w:rFonts w:asciiTheme="majorHAnsi" w:eastAsiaTheme="minorHAnsi" w:hAnsiTheme="majorHAnsi" w:cstheme="majorHAnsi"/>
          <w:sz w:val="24"/>
          <w:szCs w:val="28"/>
          <w:shd w:val="clear" w:color="auto" w:fill="FFFFFF"/>
        </w:rPr>
        <w:t>I</w:t>
      </w:r>
      <w:r w:rsidRPr="003F4D72">
        <w:rPr>
          <w:rFonts w:asciiTheme="majorHAnsi" w:eastAsiaTheme="minorHAnsi" w:hAnsiTheme="majorHAnsi" w:cstheme="majorHAnsi"/>
          <w:b/>
          <w:sz w:val="24"/>
          <w:szCs w:val="28"/>
          <w:shd w:val="clear" w:color="auto" w:fill="FFFFFF"/>
        </w:rPr>
        <w:t>nformație privind beneficiarii de rețete pentru medicamentele compensate din FAOAM</w:t>
      </w:r>
    </w:p>
    <w:p w14:paraId="29969C99" w14:textId="7A85D1B9" w:rsidR="00852D03" w:rsidRPr="003F4D72" w:rsidRDefault="00852D03" w:rsidP="00852D03">
      <w:pPr>
        <w:spacing w:line="276" w:lineRule="auto"/>
        <w:ind w:firstLine="720"/>
        <w:contextualSpacing/>
        <w:jc w:val="right"/>
        <w:rPr>
          <w:rFonts w:asciiTheme="majorHAnsi" w:eastAsiaTheme="minorHAnsi" w:hAnsiTheme="majorHAnsi" w:cstheme="majorHAnsi"/>
          <w:sz w:val="20"/>
          <w:szCs w:val="28"/>
        </w:rPr>
      </w:pPr>
      <w:r w:rsidRPr="003F4D72">
        <w:rPr>
          <w:rFonts w:asciiTheme="majorHAnsi" w:eastAsiaTheme="minorHAnsi" w:hAnsiTheme="majorHAnsi" w:cstheme="majorHAnsi"/>
          <w:sz w:val="20"/>
          <w:szCs w:val="28"/>
        </w:rPr>
        <w:t>Tabelul nr.</w:t>
      </w:r>
      <w:r w:rsidR="000A347E" w:rsidRPr="003F4D72">
        <w:rPr>
          <w:rFonts w:asciiTheme="majorHAnsi" w:eastAsiaTheme="minorHAnsi" w:hAnsiTheme="majorHAnsi" w:cstheme="majorHAnsi"/>
          <w:sz w:val="20"/>
          <w:szCs w:val="28"/>
        </w:rPr>
        <w:t>15</w:t>
      </w:r>
      <w:r w:rsidR="002C1F14" w:rsidRPr="003F4D72">
        <w:rPr>
          <w:rFonts w:asciiTheme="majorHAnsi" w:eastAsiaTheme="minorHAnsi" w:hAnsiTheme="majorHAnsi" w:cstheme="majorHAnsi"/>
          <w:sz w:val="20"/>
          <w:szCs w:val="28"/>
        </w:rPr>
        <w:t xml:space="preserve">, mii </w:t>
      </w:r>
      <w:r w:rsidR="00B402C7" w:rsidRPr="003F4D72">
        <w:rPr>
          <w:rFonts w:asciiTheme="majorHAnsi" w:eastAsiaTheme="minorHAnsi" w:hAnsiTheme="majorHAnsi" w:cstheme="majorHAnsi"/>
          <w:sz w:val="20"/>
          <w:szCs w:val="28"/>
        </w:rPr>
        <w:t>lei</w:t>
      </w:r>
    </w:p>
    <w:tbl>
      <w:tblPr>
        <w:tblStyle w:val="PlainTable1"/>
        <w:tblW w:w="5088" w:type="pct"/>
        <w:tblLook w:val="04A0" w:firstRow="1" w:lastRow="0" w:firstColumn="1" w:lastColumn="0" w:noHBand="0" w:noVBand="1"/>
      </w:tblPr>
      <w:tblGrid>
        <w:gridCol w:w="742"/>
        <w:gridCol w:w="3359"/>
        <w:gridCol w:w="2700"/>
        <w:gridCol w:w="2714"/>
      </w:tblGrid>
      <w:tr w:rsidR="00852D03" w:rsidRPr="003F4D72" w14:paraId="488F0F56" w14:textId="77777777" w:rsidTr="00EF5128">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noWrap/>
            <w:hideMark/>
          </w:tcPr>
          <w:p w14:paraId="120260B1" w14:textId="77777777" w:rsidR="00852D03" w:rsidRPr="003F4D72" w:rsidRDefault="00852D03" w:rsidP="00852D03">
            <w:pPr>
              <w:jc w:val="center"/>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Anul</w:t>
            </w:r>
          </w:p>
        </w:tc>
        <w:tc>
          <w:tcPr>
            <w:tcW w:w="1765" w:type="pct"/>
            <w:noWrap/>
            <w:hideMark/>
          </w:tcPr>
          <w:p w14:paraId="0044283E"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Numărul rețetelor eliberate </w:t>
            </w:r>
          </w:p>
          <w:p w14:paraId="51C88001"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în baza cărora au fost eliberate </w:t>
            </w:r>
          </w:p>
          <w:p w14:paraId="13E38A06"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medicamente compensate</w:t>
            </w:r>
          </w:p>
        </w:tc>
        <w:tc>
          <w:tcPr>
            <w:tcW w:w="1419" w:type="pct"/>
            <w:noWrap/>
            <w:hideMark/>
          </w:tcPr>
          <w:p w14:paraId="1B32BA02"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Valoarea </w:t>
            </w:r>
          </w:p>
          <w:p w14:paraId="0416B08D" w14:textId="77777777" w:rsidR="00852D03" w:rsidRPr="003F4D72" w:rsidRDefault="00B402C7" w:rsidP="00B402C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medicamentelor eliberate</w:t>
            </w:r>
          </w:p>
        </w:tc>
        <w:tc>
          <w:tcPr>
            <w:tcW w:w="1426" w:type="pct"/>
            <w:noWrap/>
            <w:hideMark/>
          </w:tcPr>
          <w:p w14:paraId="757FD22F"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Numărul </w:t>
            </w:r>
          </w:p>
          <w:p w14:paraId="43AF416C"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beneficiarilor unici de </w:t>
            </w:r>
          </w:p>
          <w:p w14:paraId="356D98E3" w14:textId="77777777" w:rsidR="00852D03" w:rsidRPr="003F4D72" w:rsidRDefault="00852D03" w:rsidP="00852D03">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medicamente compensate</w:t>
            </w:r>
          </w:p>
        </w:tc>
      </w:tr>
      <w:tr w:rsidR="00852D03" w:rsidRPr="003F4D72" w14:paraId="481294EB" w14:textId="77777777" w:rsidTr="00EF51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14:paraId="334C2C09" w14:textId="77777777" w:rsidR="00852D03" w:rsidRPr="003F4D72" w:rsidRDefault="00852D03" w:rsidP="00852D03">
            <w:pPr>
              <w:jc w:val="center"/>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2017</w:t>
            </w:r>
          </w:p>
        </w:tc>
        <w:tc>
          <w:tcPr>
            <w:tcW w:w="1765" w:type="pct"/>
            <w:hideMark/>
          </w:tcPr>
          <w:p w14:paraId="0C422E4A" w14:textId="77777777" w:rsidR="00852D03" w:rsidRPr="003F4D72" w:rsidRDefault="00852D03" w:rsidP="00CF6F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5.419.415</w:t>
            </w:r>
          </w:p>
        </w:tc>
        <w:tc>
          <w:tcPr>
            <w:tcW w:w="1419" w:type="pct"/>
            <w:hideMark/>
          </w:tcPr>
          <w:p w14:paraId="61F67844" w14:textId="77777777" w:rsidR="00852D03" w:rsidRPr="003F4D72" w:rsidRDefault="000949A9" w:rsidP="007B25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516 </w:t>
            </w:r>
            <w:r w:rsidR="007B251E" w:rsidRPr="003F4D72">
              <w:rPr>
                <w:rFonts w:asciiTheme="majorHAnsi" w:eastAsia="Times New Roman" w:hAnsiTheme="majorHAnsi" w:cstheme="majorHAnsi"/>
                <w:color w:val="000000"/>
                <w:sz w:val="20"/>
              </w:rPr>
              <w:t xml:space="preserve">804,8 </w:t>
            </w:r>
          </w:p>
        </w:tc>
        <w:tc>
          <w:tcPr>
            <w:tcW w:w="1426" w:type="pct"/>
            <w:hideMark/>
          </w:tcPr>
          <w:p w14:paraId="4770A910" w14:textId="77777777" w:rsidR="00852D03" w:rsidRPr="003F4D72" w:rsidRDefault="00852D03" w:rsidP="00CF6F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833.403</w:t>
            </w:r>
          </w:p>
        </w:tc>
      </w:tr>
      <w:tr w:rsidR="00852D03" w:rsidRPr="003F4D72" w14:paraId="34282542" w14:textId="77777777" w:rsidTr="00EF5128">
        <w:trPr>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14:paraId="0BE7C780" w14:textId="77777777" w:rsidR="00852D03" w:rsidRPr="003F4D72" w:rsidRDefault="00852D03" w:rsidP="00852D03">
            <w:pPr>
              <w:jc w:val="center"/>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2018</w:t>
            </w:r>
          </w:p>
        </w:tc>
        <w:tc>
          <w:tcPr>
            <w:tcW w:w="1765" w:type="pct"/>
            <w:hideMark/>
          </w:tcPr>
          <w:p w14:paraId="55DD41F4" w14:textId="77777777" w:rsidR="00852D03" w:rsidRPr="003F4D72" w:rsidRDefault="00852D03" w:rsidP="00CF6F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5.265.510</w:t>
            </w:r>
          </w:p>
        </w:tc>
        <w:tc>
          <w:tcPr>
            <w:tcW w:w="1419" w:type="pct"/>
            <w:hideMark/>
          </w:tcPr>
          <w:p w14:paraId="24382048" w14:textId="77777777" w:rsidR="00852D03" w:rsidRPr="003F4D72" w:rsidRDefault="000949A9" w:rsidP="007B25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509 </w:t>
            </w:r>
            <w:r w:rsidR="007B251E" w:rsidRPr="003F4D72">
              <w:rPr>
                <w:rFonts w:asciiTheme="majorHAnsi" w:eastAsia="Times New Roman" w:hAnsiTheme="majorHAnsi" w:cstheme="majorHAnsi"/>
                <w:color w:val="000000"/>
                <w:sz w:val="20"/>
              </w:rPr>
              <w:t>237,</w:t>
            </w:r>
            <w:r w:rsidR="00852D03" w:rsidRPr="003F4D72">
              <w:rPr>
                <w:rFonts w:asciiTheme="majorHAnsi" w:eastAsia="Times New Roman" w:hAnsiTheme="majorHAnsi" w:cstheme="majorHAnsi"/>
                <w:color w:val="000000"/>
                <w:sz w:val="20"/>
              </w:rPr>
              <w:t>9</w:t>
            </w:r>
          </w:p>
        </w:tc>
        <w:tc>
          <w:tcPr>
            <w:tcW w:w="1426" w:type="pct"/>
            <w:hideMark/>
          </w:tcPr>
          <w:p w14:paraId="183B408D" w14:textId="77777777" w:rsidR="00852D03" w:rsidRPr="003F4D72" w:rsidRDefault="00852D03" w:rsidP="00CF6F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815.842</w:t>
            </w:r>
          </w:p>
        </w:tc>
      </w:tr>
      <w:tr w:rsidR="00852D03" w:rsidRPr="003F4D72" w14:paraId="1E0E7168" w14:textId="77777777" w:rsidTr="00EF5128">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14:paraId="032A2C1F" w14:textId="77777777" w:rsidR="00852D03" w:rsidRPr="003F4D72" w:rsidRDefault="00852D03" w:rsidP="00852D03">
            <w:pPr>
              <w:jc w:val="center"/>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2019</w:t>
            </w:r>
          </w:p>
        </w:tc>
        <w:tc>
          <w:tcPr>
            <w:tcW w:w="1765" w:type="pct"/>
            <w:hideMark/>
          </w:tcPr>
          <w:p w14:paraId="03EB5E42" w14:textId="77777777" w:rsidR="00852D03" w:rsidRPr="003F4D72" w:rsidRDefault="00852D03" w:rsidP="00CF6F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5.601.001</w:t>
            </w:r>
          </w:p>
        </w:tc>
        <w:tc>
          <w:tcPr>
            <w:tcW w:w="1419" w:type="pct"/>
            <w:hideMark/>
          </w:tcPr>
          <w:p w14:paraId="778BB7E8" w14:textId="77777777" w:rsidR="00852D03" w:rsidRPr="003F4D72" w:rsidRDefault="000949A9" w:rsidP="007B251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598 </w:t>
            </w:r>
            <w:r w:rsidR="007B251E" w:rsidRPr="003F4D72">
              <w:rPr>
                <w:rFonts w:asciiTheme="majorHAnsi" w:eastAsia="Times New Roman" w:hAnsiTheme="majorHAnsi" w:cstheme="majorHAnsi"/>
                <w:color w:val="000000"/>
                <w:sz w:val="20"/>
              </w:rPr>
              <w:t xml:space="preserve">994,1 </w:t>
            </w:r>
          </w:p>
        </w:tc>
        <w:tc>
          <w:tcPr>
            <w:tcW w:w="1426" w:type="pct"/>
            <w:hideMark/>
          </w:tcPr>
          <w:p w14:paraId="461B3D60" w14:textId="77777777" w:rsidR="00852D03" w:rsidRPr="003F4D72" w:rsidRDefault="00852D03" w:rsidP="00CF6F5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832.466</w:t>
            </w:r>
          </w:p>
        </w:tc>
      </w:tr>
      <w:tr w:rsidR="00852D03" w:rsidRPr="003F4D72" w14:paraId="7B1548D3" w14:textId="77777777" w:rsidTr="00EF5128">
        <w:trPr>
          <w:trHeight w:val="290"/>
        </w:trPr>
        <w:tc>
          <w:tcPr>
            <w:cnfStyle w:val="001000000000" w:firstRow="0" w:lastRow="0" w:firstColumn="1" w:lastColumn="0" w:oddVBand="0" w:evenVBand="0" w:oddHBand="0" w:evenHBand="0" w:firstRowFirstColumn="0" w:firstRowLastColumn="0" w:lastRowFirstColumn="0" w:lastRowLastColumn="0"/>
            <w:tcW w:w="390" w:type="pct"/>
            <w:hideMark/>
          </w:tcPr>
          <w:p w14:paraId="2B215AFB" w14:textId="77777777" w:rsidR="00852D03" w:rsidRPr="003F4D72" w:rsidRDefault="00852D03" w:rsidP="00852D03">
            <w:pPr>
              <w:jc w:val="center"/>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2020</w:t>
            </w:r>
          </w:p>
        </w:tc>
        <w:tc>
          <w:tcPr>
            <w:tcW w:w="1765" w:type="pct"/>
            <w:hideMark/>
          </w:tcPr>
          <w:p w14:paraId="39AC0B80" w14:textId="77777777" w:rsidR="00852D03" w:rsidRPr="003F4D72" w:rsidRDefault="00852D03" w:rsidP="00CF6F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4.944.713</w:t>
            </w:r>
          </w:p>
        </w:tc>
        <w:tc>
          <w:tcPr>
            <w:tcW w:w="1419" w:type="pct"/>
            <w:hideMark/>
          </w:tcPr>
          <w:p w14:paraId="18420FCF" w14:textId="77777777" w:rsidR="00852D03" w:rsidRPr="003F4D72" w:rsidRDefault="000949A9" w:rsidP="007B251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 xml:space="preserve">612 </w:t>
            </w:r>
            <w:r w:rsidR="007B251E" w:rsidRPr="003F4D72">
              <w:rPr>
                <w:rFonts w:asciiTheme="majorHAnsi" w:eastAsia="Times New Roman" w:hAnsiTheme="majorHAnsi" w:cstheme="majorHAnsi"/>
                <w:color w:val="000000"/>
                <w:sz w:val="20"/>
              </w:rPr>
              <w:t xml:space="preserve">461,7 </w:t>
            </w:r>
          </w:p>
        </w:tc>
        <w:tc>
          <w:tcPr>
            <w:tcW w:w="1426" w:type="pct"/>
            <w:hideMark/>
          </w:tcPr>
          <w:p w14:paraId="396537AA" w14:textId="77777777" w:rsidR="00852D03" w:rsidRPr="003F4D72" w:rsidRDefault="00852D03" w:rsidP="00CF6F5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rPr>
            </w:pPr>
            <w:r w:rsidRPr="003F4D72">
              <w:rPr>
                <w:rFonts w:asciiTheme="majorHAnsi" w:eastAsia="Times New Roman" w:hAnsiTheme="majorHAnsi" w:cstheme="majorHAnsi"/>
                <w:color w:val="000000"/>
                <w:sz w:val="20"/>
              </w:rPr>
              <w:t>739.067</w:t>
            </w:r>
          </w:p>
        </w:tc>
      </w:tr>
    </w:tbl>
    <w:p w14:paraId="7A97BF35" w14:textId="04BB3F10" w:rsidR="00081A6B" w:rsidRPr="003F4D72" w:rsidRDefault="00472916" w:rsidP="00081A6B">
      <w:pPr>
        <w:spacing w:after="0" w:line="276" w:lineRule="auto"/>
        <w:jc w:val="both"/>
        <w:rPr>
          <w:rFonts w:asciiTheme="majorHAnsi" w:eastAsiaTheme="minorHAnsi" w:hAnsiTheme="majorHAnsi" w:cstheme="majorHAnsi"/>
          <w:sz w:val="20"/>
          <w:szCs w:val="28"/>
        </w:rPr>
      </w:pPr>
      <w:r w:rsidRPr="003F4D72">
        <w:rPr>
          <w:rFonts w:asciiTheme="majorHAnsi" w:eastAsiaTheme="minorHAnsi" w:hAnsiTheme="majorHAnsi" w:cstheme="majorHAnsi"/>
          <w:b/>
          <w:i/>
          <w:sz w:val="20"/>
          <w:szCs w:val="28"/>
        </w:rPr>
        <w:t>Sursa:</w:t>
      </w:r>
      <w:r w:rsidRPr="003F4D72">
        <w:rPr>
          <w:rFonts w:asciiTheme="majorHAnsi" w:eastAsiaTheme="minorHAnsi" w:hAnsiTheme="majorHAnsi" w:cstheme="majorHAnsi"/>
          <w:sz w:val="20"/>
          <w:szCs w:val="28"/>
        </w:rPr>
        <w:t xml:space="preserve"> </w:t>
      </w:r>
      <w:r w:rsidR="00B80383" w:rsidRPr="003F4D72">
        <w:rPr>
          <w:rFonts w:asciiTheme="majorHAnsi" w:eastAsiaTheme="minorHAnsi" w:hAnsiTheme="majorHAnsi" w:cstheme="majorHAnsi"/>
          <w:i/>
          <w:sz w:val="20"/>
          <w:szCs w:val="28"/>
        </w:rPr>
        <w:t>E</w:t>
      </w:r>
      <w:r w:rsidRPr="003F4D72">
        <w:rPr>
          <w:rFonts w:asciiTheme="majorHAnsi" w:eastAsiaTheme="minorHAnsi" w:hAnsiTheme="majorHAnsi" w:cstheme="majorHAnsi"/>
          <w:i/>
          <w:sz w:val="20"/>
          <w:szCs w:val="28"/>
        </w:rPr>
        <w:t xml:space="preserve">laborat de audit în baza datelor </w:t>
      </w:r>
      <w:r w:rsidR="001817C3" w:rsidRPr="003F4D72">
        <w:rPr>
          <w:rFonts w:asciiTheme="majorHAnsi" w:eastAsiaTheme="minorHAnsi" w:hAnsiTheme="majorHAnsi" w:cstheme="majorHAnsi"/>
          <w:i/>
          <w:sz w:val="20"/>
          <w:szCs w:val="28"/>
        </w:rPr>
        <w:t>prezentate de CNAM</w:t>
      </w:r>
      <w:r w:rsidR="00B80383" w:rsidRPr="003F4D72">
        <w:rPr>
          <w:rFonts w:asciiTheme="majorHAnsi" w:eastAsiaTheme="minorHAnsi" w:hAnsiTheme="majorHAnsi" w:cstheme="majorHAnsi"/>
          <w:i/>
          <w:sz w:val="20"/>
          <w:szCs w:val="28"/>
        </w:rPr>
        <w:t>.</w:t>
      </w:r>
    </w:p>
    <w:p w14:paraId="2A8F5E80" w14:textId="0F27940D" w:rsidR="00430F47" w:rsidRPr="003F4D72" w:rsidRDefault="005D5B0B" w:rsidP="00081A6B">
      <w:pPr>
        <w:spacing w:after="0" w:line="276" w:lineRule="auto"/>
        <w:ind w:firstLine="567"/>
        <w:jc w:val="both"/>
        <w:rPr>
          <w:rFonts w:asciiTheme="majorHAnsi" w:hAnsiTheme="majorHAnsi" w:cstheme="majorHAnsi"/>
          <w:sz w:val="24"/>
          <w:szCs w:val="24"/>
          <w:shd w:val="clear" w:color="auto" w:fill="FFFFFF"/>
        </w:rPr>
      </w:pPr>
      <w:r w:rsidRPr="003F4D72">
        <w:rPr>
          <w:rFonts w:asciiTheme="majorHAnsi" w:hAnsiTheme="majorHAnsi" w:cstheme="majorHAnsi"/>
          <w:sz w:val="24"/>
          <w:szCs w:val="24"/>
          <w:shd w:val="clear" w:color="auto" w:fill="FFFFFF"/>
        </w:rPr>
        <w:lastRenderedPageBreak/>
        <w:t>Numărul persoanelor pe tipuri de maladii (cu rată înaltă de morbiditate)</w:t>
      </w:r>
      <w:r w:rsidR="005B1F19" w:rsidRPr="003F4D72">
        <w:rPr>
          <w:rFonts w:asciiTheme="majorHAnsi" w:hAnsiTheme="majorHAnsi" w:cstheme="majorHAnsi"/>
          <w:sz w:val="24"/>
          <w:szCs w:val="24"/>
          <w:shd w:val="clear" w:color="auto" w:fill="FFFFFF"/>
        </w:rPr>
        <w:t>,</w:t>
      </w:r>
      <w:r w:rsidRPr="003F4D72">
        <w:rPr>
          <w:rFonts w:asciiTheme="majorHAnsi" w:hAnsiTheme="majorHAnsi" w:cstheme="majorHAnsi"/>
          <w:sz w:val="24"/>
          <w:szCs w:val="24"/>
          <w:shd w:val="clear" w:color="auto" w:fill="FFFFFF"/>
        </w:rPr>
        <w:t xml:space="preserve"> care au beneficiat de medicamente compensate în anu</w:t>
      </w:r>
      <w:r w:rsidR="00CF6F51" w:rsidRPr="003F4D72">
        <w:rPr>
          <w:rFonts w:asciiTheme="majorHAnsi" w:hAnsiTheme="majorHAnsi" w:cstheme="majorHAnsi"/>
          <w:sz w:val="24"/>
          <w:szCs w:val="24"/>
          <w:shd w:val="clear" w:color="auto" w:fill="FFFFFF"/>
        </w:rPr>
        <w:t xml:space="preserve">l 2020, comparativ cu anul 2019, se prezintă în </w:t>
      </w:r>
      <w:r w:rsidR="005B1F19" w:rsidRPr="003F4D72">
        <w:rPr>
          <w:rFonts w:asciiTheme="majorHAnsi" w:hAnsiTheme="majorHAnsi" w:cstheme="majorHAnsi"/>
          <w:sz w:val="24"/>
          <w:szCs w:val="24"/>
          <w:shd w:val="clear" w:color="auto" w:fill="FFFFFF"/>
        </w:rPr>
        <w:t>A</w:t>
      </w:r>
      <w:r w:rsidR="00CF6F51" w:rsidRPr="003F4D72">
        <w:rPr>
          <w:rFonts w:asciiTheme="majorHAnsi" w:hAnsiTheme="majorHAnsi" w:cstheme="majorHAnsi"/>
          <w:sz w:val="24"/>
          <w:szCs w:val="24"/>
          <w:shd w:val="clear" w:color="auto" w:fill="FFFFFF"/>
        </w:rPr>
        <w:t xml:space="preserve">nexa </w:t>
      </w:r>
      <w:r w:rsidR="005862A0" w:rsidRPr="003F4D72">
        <w:rPr>
          <w:rFonts w:asciiTheme="majorHAnsi" w:hAnsiTheme="majorHAnsi" w:cstheme="majorHAnsi"/>
          <w:sz w:val="24"/>
          <w:szCs w:val="24"/>
          <w:shd w:val="clear" w:color="auto" w:fill="FFFFFF"/>
        </w:rPr>
        <w:t>nr.6</w:t>
      </w:r>
      <w:r w:rsidR="00CF6F51" w:rsidRPr="003F4D72">
        <w:rPr>
          <w:rFonts w:asciiTheme="majorHAnsi" w:hAnsiTheme="majorHAnsi" w:cstheme="majorHAnsi"/>
          <w:sz w:val="24"/>
          <w:szCs w:val="24"/>
          <w:shd w:val="clear" w:color="auto" w:fill="FFFFFF"/>
        </w:rPr>
        <w:t xml:space="preserve"> la prezentul </w:t>
      </w:r>
      <w:r w:rsidR="005B1F19" w:rsidRPr="003F4D72">
        <w:rPr>
          <w:rFonts w:asciiTheme="majorHAnsi" w:hAnsiTheme="majorHAnsi" w:cstheme="majorHAnsi"/>
          <w:sz w:val="24"/>
          <w:szCs w:val="24"/>
          <w:shd w:val="clear" w:color="auto" w:fill="FFFFFF"/>
        </w:rPr>
        <w:t>R</w:t>
      </w:r>
      <w:r w:rsidR="00CF6F51" w:rsidRPr="003F4D72">
        <w:rPr>
          <w:rFonts w:asciiTheme="majorHAnsi" w:hAnsiTheme="majorHAnsi" w:cstheme="majorHAnsi"/>
          <w:sz w:val="24"/>
          <w:szCs w:val="24"/>
          <w:shd w:val="clear" w:color="auto" w:fill="FFFFFF"/>
        </w:rPr>
        <w:t>aport de audit.</w:t>
      </w:r>
    </w:p>
    <w:p w14:paraId="59290CEB" w14:textId="7C676746" w:rsidR="00C1045A" w:rsidRPr="003F4D72" w:rsidRDefault="00852D03" w:rsidP="000A1CD6">
      <w:pPr>
        <w:spacing w:after="0" w:line="276" w:lineRule="auto"/>
        <w:ind w:firstLine="567"/>
        <w:contextualSpacing/>
        <w:jc w:val="both"/>
        <w:rPr>
          <w:rFonts w:asciiTheme="majorHAnsi" w:eastAsiaTheme="minorHAnsi" w:hAnsiTheme="majorHAnsi" w:cstheme="majorHAnsi"/>
          <w:sz w:val="24"/>
          <w:szCs w:val="28"/>
          <w:shd w:val="clear" w:color="auto" w:fill="FFFFFF"/>
        </w:rPr>
      </w:pPr>
      <w:r w:rsidRPr="003F4D72">
        <w:rPr>
          <w:rFonts w:asciiTheme="majorHAnsi" w:eastAsiaTheme="minorHAnsi" w:hAnsiTheme="majorHAnsi" w:cstheme="majorHAnsi"/>
          <w:sz w:val="24"/>
          <w:szCs w:val="28"/>
          <w:shd w:val="clear" w:color="auto" w:fill="FFFFFF"/>
        </w:rPr>
        <w:t>Astfel, în anul 2020 numărul beneficiarilor de medicamente compensate destinat</w:t>
      </w:r>
      <w:r w:rsidR="00430F47" w:rsidRPr="003F4D72">
        <w:rPr>
          <w:rFonts w:asciiTheme="majorHAnsi" w:eastAsiaTheme="minorHAnsi" w:hAnsiTheme="majorHAnsi" w:cstheme="majorHAnsi"/>
          <w:sz w:val="24"/>
          <w:szCs w:val="28"/>
          <w:shd w:val="clear" w:color="auto" w:fill="FFFFFF"/>
        </w:rPr>
        <w:t>e</w:t>
      </w:r>
      <w:r w:rsidR="00CF6F51" w:rsidRPr="003F4D72">
        <w:rPr>
          <w:rFonts w:asciiTheme="majorHAnsi" w:eastAsiaTheme="minorHAnsi" w:hAnsiTheme="majorHAnsi" w:cstheme="majorHAnsi"/>
          <w:sz w:val="24"/>
          <w:szCs w:val="28"/>
          <w:shd w:val="clear" w:color="auto" w:fill="FFFFFF"/>
        </w:rPr>
        <w:t xml:space="preserve"> tratamentului maladiilor acute și cronice</w:t>
      </w:r>
      <w:r w:rsidR="00430F47" w:rsidRPr="003F4D72">
        <w:rPr>
          <w:rFonts w:asciiTheme="majorHAnsi" w:eastAsiaTheme="minorHAnsi" w:hAnsiTheme="majorHAnsi" w:cstheme="majorHAnsi"/>
          <w:sz w:val="24"/>
          <w:szCs w:val="28"/>
          <w:shd w:val="clear" w:color="auto" w:fill="FFFFFF"/>
        </w:rPr>
        <w:t xml:space="preserve"> </w:t>
      </w:r>
      <w:r w:rsidR="00C1045A" w:rsidRPr="003F4D72">
        <w:rPr>
          <w:rFonts w:asciiTheme="majorHAnsi" w:eastAsiaTheme="minorHAnsi" w:hAnsiTheme="majorHAnsi" w:cstheme="majorHAnsi"/>
          <w:sz w:val="24"/>
          <w:szCs w:val="28"/>
          <w:shd w:val="clear" w:color="auto" w:fill="FFFFFF"/>
        </w:rPr>
        <w:t xml:space="preserve">s-a diminuat, ceea ce determină riscuri de sănătate </w:t>
      </w:r>
      <w:r w:rsidR="00CF6F51" w:rsidRPr="003F4D72">
        <w:rPr>
          <w:rFonts w:asciiTheme="majorHAnsi" w:eastAsiaTheme="minorHAnsi" w:hAnsiTheme="majorHAnsi" w:cstheme="majorHAnsi"/>
          <w:sz w:val="24"/>
          <w:szCs w:val="28"/>
          <w:shd w:val="clear" w:color="auto" w:fill="FFFFFF"/>
        </w:rPr>
        <w:t>pentru cetățenii cu afecțiuni gastrointestinale, oftalmologice, respiratorii, psihice și neurologice, endocrine, boli rare, precum și pentru gravidele și copiii cu vârsta de până la 18 ani.</w:t>
      </w:r>
    </w:p>
    <w:p w14:paraId="16E18AF6" w14:textId="25F1DD3F" w:rsidR="00852D03" w:rsidRPr="003F4D72" w:rsidRDefault="00CF6F51" w:rsidP="000A1CD6">
      <w:pPr>
        <w:spacing w:after="0" w:line="276" w:lineRule="auto"/>
        <w:ind w:firstLine="567"/>
        <w:contextualSpacing/>
        <w:jc w:val="both"/>
        <w:rPr>
          <w:rFonts w:asciiTheme="majorHAnsi" w:eastAsiaTheme="minorHAnsi" w:hAnsiTheme="majorHAnsi" w:cstheme="majorHAnsi"/>
          <w:sz w:val="24"/>
          <w:szCs w:val="28"/>
          <w:shd w:val="clear" w:color="auto" w:fill="FFFFFF"/>
        </w:rPr>
      </w:pPr>
      <w:r w:rsidRPr="003F4D72">
        <w:rPr>
          <w:rFonts w:asciiTheme="majorHAnsi" w:eastAsiaTheme="minorHAnsi" w:hAnsiTheme="majorHAnsi" w:cstheme="majorHAnsi"/>
          <w:sz w:val="24"/>
          <w:szCs w:val="28"/>
          <w:shd w:val="clear" w:color="auto" w:fill="FFFFFF"/>
        </w:rPr>
        <w:t xml:space="preserve">Semnificativ s-a diminuat numărul beneficiarilor de preparate compensate pentru </w:t>
      </w:r>
      <w:proofErr w:type="spellStart"/>
      <w:r w:rsidRPr="003F4D72">
        <w:rPr>
          <w:rFonts w:asciiTheme="majorHAnsi" w:eastAsiaTheme="minorHAnsi" w:hAnsiTheme="majorHAnsi" w:cstheme="majorHAnsi"/>
          <w:sz w:val="24"/>
          <w:szCs w:val="28"/>
          <w:shd w:val="clear" w:color="auto" w:fill="FFFFFF"/>
        </w:rPr>
        <w:t>epidermoliz</w:t>
      </w:r>
      <w:r w:rsidR="005B1F19" w:rsidRPr="003F4D72">
        <w:rPr>
          <w:rFonts w:asciiTheme="majorHAnsi" w:eastAsiaTheme="minorHAnsi" w:hAnsiTheme="majorHAnsi" w:cstheme="majorHAnsi"/>
          <w:sz w:val="24"/>
          <w:szCs w:val="28"/>
          <w:shd w:val="clear" w:color="auto" w:fill="FFFFFF"/>
        </w:rPr>
        <w:t>a</w:t>
      </w:r>
      <w:r w:rsidRPr="003F4D72">
        <w:rPr>
          <w:rFonts w:asciiTheme="majorHAnsi" w:eastAsiaTheme="minorHAnsi" w:hAnsiTheme="majorHAnsi" w:cstheme="majorHAnsi"/>
          <w:sz w:val="24"/>
          <w:szCs w:val="28"/>
          <w:shd w:val="clear" w:color="auto" w:fill="FFFFFF"/>
        </w:rPr>
        <w:t>i</w:t>
      </w:r>
      <w:proofErr w:type="spellEnd"/>
      <w:r w:rsidRPr="003F4D72">
        <w:rPr>
          <w:rFonts w:asciiTheme="majorHAnsi" w:eastAsiaTheme="minorHAnsi" w:hAnsiTheme="majorHAnsi" w:cstheme="majorHAnsi"/>
          <w:sz w:val="24"/>
          <w:szCs w:val="28"/>
          <w:shd w:val="clear" w:color="auto" w:fill="FFFFFF"/>
        </w:rPr>
        <w:t xml:space="preserve"> </w:t>
      </w:r>
      <w:proofErr w:type="spellStart"/>
      <w:r w:rsidRPr="003F4D72">
        <w:rPr>
          <w:rFonts w:asciiTheme="majorHAnsi" w:eastAsiaTheme="minorHAnsi" w:hAnsiTheme="majorHAnsi" w:cstheme="majorHAnsi"/>
          <w:sz w:val="24"/>
          <w:szCs w:val="28"/>
          <w:shd w:val="clear" w:color="auto" w:fill="FFFFFF"/>
        </w:rPr>
        <w:t>buloasă</w:t>
      </w:r>
      <w:proofErr w:type="spellEnd"/>
      <w:r w:rsidRPr="003F4D72">
        <w:rPr>
          <w:rFonts w:asciiTheme="majorHAnsi" w:eastAsiaTheme="minorHAnsi" w:hAnsiTheme="majorHAnsi" w:cstheme="majorHAnsi"/>
          <w:sz w:val="24"/>
          <w:szCs w:val="28"/>
          <w:shd w:val="clear" w:color="auto" w:fill="FFFFFF"/>
        </w:rPr>
        <w:t xml:space="preserve"> - </w:t>
      </w:r>
      <w:r w:rsidR="00C1045A" w:rsidRPr="003F4D72">
        <w:rPr>
          <w:rFonts w:asciiTheme="majorHAnsi" w:eastAsiaTheme="minorHAnsi" w:hAnsiTheme="majorHAnsi" w:cstheme="majorHAnsi"/>
          <w:sz w:val="24"/>
          <w:szCs w:val="28"/>
          <w:shd w:val="clear" w:color="auto" w:fill="FFFFFF"/>
        </w:rPr>
        <w:t>62%</w:t>
      </w:r>
      <w:r w:rsidRPr="003F4D72">
        <w:rPr>
          <w:rFonts w:asciiTheme="majorHAnsi" w:eastAsiaTheme="minorHAnsi" w:hAnsiTheme="majorHAnsi" w:cstheme="majorHAnsi"/>
          <w:sz w:val="24"/>
          <w:szCs w:val="28"/>
          <w:shd w:val="clear" w:color="auto" w:fill="FFFFFF"/>
        </w:rPr>
        <w:t xml:space="preserve">, </w:t>
      </w:r>
      <w:proofErr w:type="spellStart"/>
      <w:r w:rsidRPr="003F4D72">
        <w:rPr>
          <w:rFonts w:asciiTheme="majorHAnsi" w:eastAsiaTheme="minorHAnsi" w:hAnsiTheme="majorHAnsi" w:cstheme="majorHAnsi"/>
          <w:sz w:val="24"/>
          <w:szCs w:val="28"/>
          <w:shd w:val="clear" w:color="auto" w:fill="FFFFFF"/>
        </w:rPr>
        <w:t>mucoviscidoza</w:t>
      </w:r>
      <w:proofErr w:type="spellEnd"/>
      <w:r w:rsidRPr="003F4D72">
        <w:rPr>
          <w:rFonts w:asciiTheme="majorHAnsi" w:eastAsiaTheme="minorHAnsi" w:hAnsiTheme="majorHAnsi" w:cstheme="majorHAnsi"/>
          <w:sz w:val="24"/>
          <w:szCs w:val="28"/>
          <w:shd w:val="clear" w:color="auto" w:fill="FFFFFF"/>
        </w:rPr>
        <w:t xml:space="preserve"> - </w:t>
      </w:r>
      <w:r w:rsidR="00430F47" w:rsidRPr="003F4D72">
        <w:rPr>
          <w:rFonts w:asciiTheme="majorHAnsi" w:eastAsiaTheme="minorHAnsi" w:hAnsiTheme="majorHAnsi" w:cstheme="majorHAnsi"/>
          <w:sz w:val="24"/>
          <w:szCs w:val="28"/>
          <w:shd w:val="clear" w:color="auto" w:fill="FFFFFF"/>
        </w:rPr>
        <w:t>54</w:t>
      </w:r>
      <w:r w:rsidRPr="003F4D72">
        <w:rPr>
          <w:rFonts w:asciiTheme="majorHAnsi" w:eastAsiaTheme="minorHAnsi" w:hAnsiTheme="majorHAnsi" w:cstheme="majorHAnsi"/>
          <w:sz w:val="24"/>
          <w:szCs w:val="28"/>
          <w:shd w:val="clear" w:color="auto" w:fill="FFFFFF"/>
        </w:rPr>
        <w:t xml:space="preserve"> %, profilaxia copiilor în vârstă </w:t>
      </w:r>
      <w:r w:rsidR="005B1F19" w:rsidRPr="003F4D72">
        <w:rPr>
          <w:rFonts w:asciiTheme="majorHAnsi" w:eastAsiaTheme="minorHAnsi" w:hAnsiTheme="majorHAnsi" w:cstheme="majorHAnsi"/>
          <w:sz w:val="24"/>
          <w:szCs w:val="28"/>
          <w:shd w:val="clear" w:color="auto" w:fill="FFFFFF"/>
        </w:rPr>
        <w:t xml:space="preserve">de </w:t>
      </w:r>
      <w:r w:rsidRPr="003F4D72">
        <w:rPr>
          <w:rFonts w:asciiTheme="majorHAnsi" w:eastAsiaTheme="minorHAnsi" w:hAnsiTheme="majorHAnsi" w:cstheme="majorHAnsi"/>
          <w:sz w:val="24"/>
          <w:szCs w:val="28"/>
          <w:shd w:val="clear" w:color="auto" w:fill="FFFFFF"/>
        </w:rPr>
        <w:t>0</w:t>
      </w:r>
      <w:r w:rsidR="00081A6B" w:rsidRPr="003F4D72">
        <w:rPr>
          <w:rFonts w:asciiTheme="majorHAnsi" w:eastAsiaTheme="minorHAnsi" w:hAnsiTheme="majorHAnsi" w:cstheme="majorHAnsi"/>
          <w:sz w:val="24"/>
          <w:szCs w:val="28"/>
          <w:shd w:val="clear" w:color="auto" w:fill="FFFFFF"/>
        </w:rPr>
        <w:t xml:space="preserve"> </w:t>
      </w:r>
      <w:r w:rsidRPr="003F4D72">
        <w:rPr>
          <w:rFonts w:asciiTheme="majorHAnsi" w:eastAsiaTheme="minorHAnsi" w:hAnsiTheme="majorHAnsi" w:cstheme="majorHAnsi"/>
          <w:sz w:val="24"/>
          <w:szCs w:val="28"/>
          <w:shd w:val="clear" w:color="auto" w:fill="FFFFFF"/>
        </w:rPr>
        <w:t>-</w:t>
      </w:r>
      <w:r w:rsidR="005B1F19" w:rsidRPr="003F4D72">
        <w:rPr>
          <w:rFonts w:asciiTheme="majorHAnsi" w:eastAsiaTheme="minorHAnsi" w:hAnsiTheme="majorHAnsi" w:cstheme="majorHAnsi"/>
          <w:sz w:val="24"/>
          <w:szCs w:val="28"/>
          <w:shd w:val="clear" w:color="auto" w:fill="FFFFFF"/>
        </w:rPr>
        <w:t xml:space="preserve"> </w:t>
      </w:r>
      <w:r w:rsidRPr="003F4D72">
        <w:rPr>
          <w:rFonts w:asciiTheme="majorHAnsi" w:eastAsiaTheme="minorHAnsi" w:hAnsiTheme="majorHAnsi" w:cstheme="majorHAnsi"/>
          <w:sz w:val="24"/>
          <w:szCs w:val="28"/>
          <w:shd w:val="clear" w:color="auto" w:fill="FFFFFF"/>
        </w:rPr>
        <w:t xml:space="preserve">18 ani - </w:t>
      </w:r>
      <w:r w:rsidR="00081A6B" w:rsidRPr="003F4D72">
        <w:rPr>
          <w:rFonts w:asciiTheme="majorHAnsi" w:eastAsiaTheme="minorHAnsi" w:hAnsiTheme="majorHAnsi" w:cstheme="majorHAnsi"/>
          <w:sz w:val="24"/>
          <w:szCs w:val="28"/>
          <w:shd w:val="clear" w:color="auto" w:fill="FFFFFF"/>
        </w:rPr>
        <w:t xml:space="preserve">37%, </w:t>
      </w:r>
      <w:r w:rsidR="00852D03" w:rsidRPr="003F4D72">
        <w:rPr>
          <w:rFonts w:asciiTheme="majorHAnsi" w:eastAsiaTheme="minorHAnsi" w:hAnsiTheme="majorHAnsi" w:cstheme="majorHAnsi"/>
          <w:sz w:val="24"/>
          <w:szCs w:val="28"/>
          <w:shd w:val="clear" w:color="auto" w:fill="FFFFFF"/>
        </w:rPr>
        <w:t>profilaxia femeilor gravide</w:t>
      </w:r>
      <w:r w:rsidR="00081A6B" w:rsidRPr="003F4D72">
        <w:rPr>
          <w:rFonts w:asciiTheme="majorHAnsi" w:eastAsiaTheme="minorHAnsi" w:hAnsiTheme="majorHAnsi" w:cstheme="majorHAnsi"/>
          <w:sz w:val="24"/>
          <w:szCs w:val="28"/>
          <w:shd w:val="clear" w:color="auto" w:fill="FFFFFF"/>
        </w:rPr>
        <w:t xml:space="preserve"> - 37%</w:t>
      </w:r>
      <w:r w:rsidR="00852D03" w:rsidRPr="003F4D72">
        <w:rPr>
          <w:rFonts w:asciiTheme="majorHAnsi" w:eastAsiaTheme="minorHAnsi" w:hAnsiTheme="majorHAnsi" w:cstheme="majorHAnsi"/>
          <w:sz w:val="24"/>
          <w:szCs w:val="28"/>
          <w:shd w:val="clear" w:color="auto" w:fill="FFFFFF"/>
        </w:rPr>
        <w:t xml:space="preserve">. Totodată, în anul 2020 a fost înregistrată și o creștere a beneficiarilor de medicamente pentru tratarea maladii </w:t>
      </w:r>
      <w:proofErr w:type="spellStart"/>
      <w:r w:rsidR="00852D03" w:rsidRPr="003F4D72">
        <w:rPr>
          <w:rFonts w:asciiTheme="majorHAnsi" w:eastAsiaTheme="minorHAnsi" w:hAnsiTheme="majorHAnsi" w:cstheme="majorHAnsi"/>
          <w:sz w:val="24"/>
          <w:szCs w:val="28"/>
          <w:shd w:val="clear" w:color="auto" w:fill="FFFFFF"/>
        </w:rPr>
        <w:t>osteoarticulare</w:t>
      </w:r>
      <w:proofErr w:type="spellEnd"/>
      <w:r w:rsidR="00852D03" w:rsidRPr="003F4D72">
        <w:rPr>
          <w:rFonts w:asciiTheme="majorHAnsi" w:eastAsiaTheme="minorHAnsi" w:hAnsiTheme="majorHAnsi" w:cstheme="majorHAnsi"/>
          <w:sz w:val="24"/>
          <w:szCs w:val="28"/>
          <w:shd w:val="clear" w:color="auto" w:fill="FFFFFF"/>
        </w:rPr>
        <w:t>/reumatice, cu 106,2 %, boala Alzheimer - cu 21,7% beneficiari mai mulț</w:t>
      </w:r>
      <w:r w:rsidR="00081A6B" w:rsidRPr="003F4D72">
        <w:rPr>
          <w:rFonts w:asciiTheme="majorHAnsi" w:eastAsiaTheme="minorHAnsi" w:hAnsiTheme="majorHAnsi" w:cstheme="majorHAnsi"/>
          <w:sz w:val="24"/>
          <w:szCs w:val="28"/>
          <w:shd w:val="clear" w:color="auto" w:fill="FFFFFF"/>
        </w:rPr>
        <w:t>i.</w:t>
      </w:r>
    </w:p>
    <w:p w14:paraId="659CAEF2" w14:textId="5A15C0A2" w:rsidR="00DD7189" w:rsidRPr="003F4D72" w:rsidRDefault="002F6325" w:rsidP="00333B34">
      <w:pPr>
        <w:spacing w:after="0" w:line="276" w:lineRule="auto"/>
        <w:ind w:firstLine="709"/>
        <w:jc w:val="both"/>
        <w:rPr>
          <w:rFonts w:asciiTheme="majorHAnsi" w:hAnsiTheme="majorHAnsi" w:cstheme="majorHAnsi"/>
          <w:sz w:val="24"/>
        </w:rPr>
      </w:pPr>
      <w:r w:rsidRPr="003F4D72">
        <w:rPr>
          <w:noProof/>
          <w:lang w:val="en-US"/>
        </w:rPr>
        <w:drawing>
          <wp:anchor distT="0" distB="0" distL="114300" distR="114300" simplePos="0" relativeHeight="251658240" behindDoc="0" locked="0" layoutInCell="1" allowOverlap="1" wp14:anchorId="24228FF2" wp14:editId="63A7BA0C">
            <wp:simplePos x="0" y="0"/>
            <wp:positionH relativeFrom="margin">
              <wp:align>left</wp:align>
            </wp:positionH>
            <wp:positionV relativeFrom="paragraph">
              <wp:posOffset>1287145</wp:posOffset>
            </wp:positionV>
            <wp:extent cx="5835650" cy="2940050"/>
            <wp:effectExtent l="0" t="0" r="1270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33B34" w:rsidRPr="003F4D72">
        <w:rPr>
          <w:rFonts w:asciiTheme="majorHAnsi" w:hAnsiTheme="majorHAnsi" w:cstheme="majorHAnsi"/>
          <w:sz w:val="24"/>
        </w:rPr>
        <w:t>Cu referire la serviciile medicale de înaltă performanță</w:t>
      </w:r>
      <w:r w:rsidR="005B1F19" w:rsidRPr="003F4D72">
        <w:rPr>
          <w:rFonts w:asciiTheme="majorHAnsi" w:hAnsiTheme="majorHAnsi" w:cstheme="majorHAnsi"/>
          <w:sz w:val="24"/>
        </w:rPr>
        <w:t>,</w:t>
      </w:r>
      <w:r w:rsidR="00333B34" w:rsidRPr="003F4D72">
        <w:rPr>
          <w:rFonts w:asciiTheme="majorHAnsi" w:hAnsiTheme="majorHAnsi" w:cstheme="majorHAnsi"/>
          <w:sz w:val="24"/>
        </w:rPr>
        <w:t xml:space="preserve"> menționăm că acestea sunt prescrise de către medicul specialist sau de către medicul de familie</w:t>
      </w:r>
      <w:r w:rsidR="00333B34" w:rsidRPr="003F4D72">
        <w:rPr>
          <w:rStyle w:val="FootnoteReference"/>
          <w:rFonts w:asciiTheme="majorHAnsi" w:hAnsiTheme="majorHAnsi" w:cstheme="majorHAnsi"/>
          <w:sz w:val="24"/>
        </w:rPr>
        <w:footnoteReference w:id="47"/>
      </w:r>
      <w:r w:rsidR="00AA52A0" w:rsidRPr="003F4D72">
        <w:rPr>
          <w:rFonts w:asciiTheme="majorHAnsi" w:hAnsiTheme="majorHAnsi" w:cstheme="majorHAnsi"/>
          <w:sz w:val="24"/>
        </w:rPr>
        <w:t>,</w:t>
      </w:r>
      <w:r w:rsidR="00333B34" w:rsidRPr="003F4D72">
        <w:rPr>
          <w:rFonts w:asciiTheme="majorHAnsi" w:hAnsiTheme="majorHAnsi" w:cstheme="majorHAnsi"/>
          <w:sz w:val="24"/>
        </w:rPr>
        <w:t xml:space="preserve"> în vederea stabilirii diagnosticului, confirmării maladiilor și inițierii tratamentului. </w:t>
      </w:r>
      <w:r w:rsidR="00333B34" w:rsidRPr="003F4D72">
        <w:rPr>
          <w:rFonts w:asciiTheme="majorHAnsi" w:eastAsiaTheme="majorEastAsia" w:hAnsiTheme="majorHAnsi" w:cstheme="majorHAnsi"/>
          <w:sz w:val="24"/>
          <w:szCs w:val="32"/>
        </w:rPr>
        <w:t>Î</w:t>
      </w:r>
      <w:r w:rsidR="002E352A" w:rsidRPr="003F4D72">
        <w:rPr>
          <w:rFonts w:asciiTheme="majorHAnsi" w:hAnsiTheme="majorHAnsi" w:cstheme="majorHAnsi"/>
          <w:sz w:val="24"/>
        </w:rPr>
        <w:t xml:space="preserve">n anul 2020, accesul persoanelor asigurate la investigațiile necesare stabilirii diagnosticului </w:t>
      </w:r>
      <w:r w:rsidR="005C094A" w:rsidRPr="003F4D72">
        <w:rPr>
          <w:rFonts w:asciiTheme="majorHAnsi" w:hAnsiTheme="majorHAnsi" w:cstheme="majorHAnsi"/>
          <w:sz w:val="24"/>
        </w:rPr>
        <w:t>a fost în scădere.</w:t>
      </w:r>
      <w:r w:rsidR="002E352A" w:rsidRPr="003F4D72">
        <w:rPr>
          <w:rFonts w:asciiTheme="majorHAnsi" w:hAnsiTheme="majorHAnsi" w:cstheme="majorHAnsi"/>
          <w:sz w:val="24"/>
        </w:rPr>
        <w:t xml:space="preserve"> </w:t>
      </w:r>
      <w:r w:rsidR="005C094A" w:rsidRPr="003F4D72">
        <w:rPr>
          <w:rFonts w:asciiTheme="majorHAnsi" w:hAnsiTheme="majorHAnsi" w:cstheme="majorHAnsi"/>
          <w:sz w:val="24"/>
        </w:rPr>
        <w:t>U</w:t>
      </w:r>
      <w:r w:rsidR="002E352A" w:rsidRPr="003F4D72">
        <w:rPr>
          <w:rFonts w:asciiTheme="majorHAnsi" w:hAnsiTheme="majorHAnsi" w:cstheme="majorHAnsi"/>
          <w:sz w:val="24"/>
        </w:rPr>
        <w:t xml:space="preserve">nele </w:t>
      </w:r>
      <w:r w:rsidR="005C094A" w:rsidRPr="003F4D72">
        <w:rPr>
          <w:rFonts w:asciiTheme="majorHAnsi" w:hAnsiTheme="majorHAnsi" w:cstheme="majorHAnsi"/>
          <w:sz w:val="24"/>
        </w:rPr>
        <w:t>servicii medicale de înaltă performanță</w:t>
      </w:r>
      <w:r w:rsidR="00AB141E" w:rsidRPr="003F4D72">
        <w:rPr>
          <w:rFonts w:asciiTheme="majorHAnsi" w:hAnsiTheme="majorHAnsi" w:cstheme="majorHAnsi"/>
          <w:sz w:val="24"/>
        </w:rPr>
        <w:t>,</w:t>
      </w:r>
      <w:r w:rsidR="005C094A" w:rsidRPr="003F4D72">
        <w:rPr>
          <w:rFonts w:asciiTheme="majorHAnsi" w:hAnsiTheme="majorHAnsi" w:cstheme="majorHAnsi"/>
          <w:sz w:val="24"/>
        </w:rPr>
        <w:t xml:space="preserve"> </w:t>
      </w:r>
      <w:r w:rsidR="002E352A" w:rsidRPr="003F4D72">
        <w:rPr>
          <w:rFonts w:asciiTheme="majorHAnsi" w:hAnsiTheme="majorHAnsi" w:cstheme="majorHAnsi"/>
          <w:sz w:val="24"/>
        </w:rPr>
        <w:t>deși au fost contractate</w:t>
      </w:r>
      <w:r w:rsidR="00AA52A0" w:rsidRPr="003F4D72">
        <w:rPr>
          <w:rFonts w:asciiTheme="majorHAnsi" w:hAnsiTheme="majorHAnsi" w:cstheme="majorHAnsi"/>
          <w:sz w:val="24"/>
        </w:rPr>
        <w:t>,</w:t>
      </w:r>
      <w:r w:rsidR="002E352A" w:rsidRPr="003F4D72">
        <w:rPr>
          <w:rFonts w:asciiTheme="majorHAnsi" w:hAnsiTheme="majorHAnsi" w:cstheme="majorHAnsi"/>
          <w:sz w:val="24"/>
        </w:rPr>
        <w:t xml:space="preserve"> nu au fost </w:t>
      </w:r>
      <w:r w:rsidR="005C094A" w:rsidRPr="003F4D72">
        <w:rPr>
          <w:rFonts w:asciiTheme="majorHAnsi" w:hAnsiTheme="majorHAnsi" w:cstheme="majorHAnsi"/>
          <w:sz w:val="24"/>
        </w:rPr>
        <w:t>realizate ca rezultat al adresabilității reduse a cetățenilor în situația pandemică</w:t>
      </w:r>
      <w:r w:rsidR="00333B34" w:rsidRPr="003F4D72">
        <w:rPr>
          <w:rFonts w:asciiTheme="majorHAnsi" w:hAnsiTheme="majorHAnsi" w:cstheme="majorHAnsi"/>
          <w:sz w:val="24"/>
        </w:rPr>
        <w:t>, date prezentate în figura ce urmează.</w:t>
      </w:r>
    </w:p>
    <w:p w14:paraId="46F060DE" w14:textId="25AC24D3" w:rsidR="00DD7189" w:rsidRPr="003F4D72" w:rsidRDefault="00DD7189" w:rsidP="00A243DE">
      <w:pPr>
        <w:spacing w:after="0" w:line="276" w:lineRule="auto"/>
        <w:jc w:val="both"/>
        <w:rPr>
          <w:rFonts w:ascii="Times New Roman" w:eastAsia="Times New Roman" w:hAnsi="Times New Roman" w:cs="Times New Roman"/>
          <w:sz w:val="24"/>
          <w:szCs w:val="24"/>
        </w:rPr>
      </w:pPr>
    </w:p>
    <w:p w14:paraId="0EC0EE28" w14:textId="77777777" w:rsidR="00DD7189" w:rsidRPr="003F4D72" w:rsidRDefault="006514B1" w:rsidP="00A243DE">
      <w:pPr>
        <w:spacing w:after="0"/>
        <w:jc w:val="center"/>
        <w:rPr>
          <w:rFonts w:asciiTheme="majorHAnsi" w:eastAsiaTheme="minorHAnsi" w:hAnsiTheme="majorHAnsi" w:cstheme="majorHAnsi"/>
          <w:sz w:val="20"/>
          <w:szCs w:val="20"/>
        </w:rPr>
      </w:pPr>
      <w:r w:rsidRPr="003F4D72">
        <w:rPr>
          <w:rFonts w:asciiTheme="majorHAnsi" w:eastAsiaTheme="minorHAnsi" w:hAnsiTheme="majorHAnsi" w:cstheme="majorHAnsi"/>
          <w:b/>
          <w:sz w:val="20"/>
          <w:szCs w:val="20"/>
        </w:rPr>
        <w:t>Figura nr.4.</w:t>
      </w:r>
      <w:r w:rsidRPr="003F4D72">
        <w:rPr>
          <w:rFonts w:asciiTheme="majorHAnsi" w:eastAsiaTheme="minorHAnsi" w:hAnsiTheme="majorHAnsi" w:cstheme="majorHAnsi"/>
          <w:sz w:val="20"/>
          <w:szCs w:val="20"/>
        </w:rPr>
        <w:t xml:space="preserve"> Contractarea și realizarea serviciilor medicale de înaltă performanță, în anul 2020</w:t>
      </w:r>
    </w:p>
    <w:p w14:paraId="1A7D2F47" w14:textId="4AC17441" w:rsidR="000726AC" w:rsidRPr="003F4D72" w:rsidRDefault="00261E95" w:rsidP="00BD379B">
      <w:pPr>
        <w:spacing w:after="0" w:line="276" w:lineRule="auto"/>
        <w:jc w:val="center"/>
        <w:rPr>
          <w:rFonts w:asciiTheme="majorHAnsi" w:eastAsiaTheme="minorHAnsi" w:hAnsiTheme="majorHAnsi" w:cstheme="majorHAnsi"/>
          <w:i/>
          <w:sz w:val="20"/>
          <w:szCs w:val="20"/>
        </w:rPr>
      </w:pPr>
      <w:r w:rsidRPr="003F4D72">
        <w:rPr>
          <w:rFonts w:asciiTheme="majorHAnsi" w:eastAsiaTheme="minorHAnsi" w:hAnsiTheme="majorHAnsi" w:cstheme="majorHAnsi"/>
          <w:b/>
          <w:sz w:val="20"/>
          <w:szCs w:val="20"/>
        </w:rPr>
        <w:t>Surs</w:t>
      </w:r>
      <w:r w:rsidR="00AA52A0" w:rsidRPr="003F4D72">
        <w:rPr>
          <w:rFonts w:asciiTheme="majorHAnsi" w:eastAsiaTheme="minorHAnsi" w:hAnsiTheme="majorHAnsi" w:cstheme="majorHAnsi"/>
          <w:b/>
          <w:sz w:val="20"/>
          <w:szCs w:val="20"/>
        </w:rPr>
        <w:t>ă</w:t>
      </w:r>
      <w:r w:rsidRPr="003F4D72">
        <w:rPr>
          <w:rFonts w:asciiTheme="majorHAnsi" w:eastAsiaTheme="minorHAnsi" w:hAnsiTheme="majorHAnsi" w:cstheme="majorHAnsi"/>
          <w:b/>
          <w:sz w:val="20"/>
          <w:szCs w:val="20"/>
        </w:rPr>
        <w:t>:</w:t>
      </w:r>
      <w:r w:rsidRPr="003F4D72">
        <w:rPr>
          <w:rFonts w:asciiTheme="majorHAnsi" w:eastAsiaTheme="minorHAnsi" w:hAnsiTheme="majorHAnsi" w:cstheme="majorHAnsi"/>
          <w:sz w:val="20"/>
          <w:szCs w:val="20"/>
        </w:rPr>
        <w:t xml:space="preserve"> </w:t>
      </w:r>
      <w:r w:rsidRPr="003F4D72">
        <w:rPr>
          <w:rFonts w:asciiTheme="majorHAnsi" w:eastAsiaTheme="minorHAnsi" w:hAnsiTheme="majorHAnsi" w:cstheme="majorHAnsi"/>
          <w:i/>
          <w:sz w:val="20"/>
          <w:szCs w:val="20"/>
        </w:rPr>
        <w:t>Date prezentate de CNAM</w:t>
      </w:r>
      <w:r w:rsidR="00AA52A0" w:rsidRPr="003F4D72">
        <w:rPr>
          <w:rFonts w:asciiTheme="majorHAnsi" w:eastAsiaTheme="minorHAnsi" w:hAnsiTheme="majorHAnsi" w:cstheme="majorHAnsi"/>
          <w:i/>
          <w:sz w:val="20"/>
          <w:szCs w:val="20"/>
        </w:rPr>
        <w:t>.</w:t>
      </w:r>
    </w:p>
    <w:p w14:paraId="4F9FA29F" w14:textId="7A95CE8E" w:rsidR="00EE57A9" w:rsidRPr="003F4D72" w:rsidRDefault="00EE57A9" w:rsidP="00EE57A9">
      <w:pPr>
        <w:spacing w:after="0" w:line="276" w:lineRule="auto"/>
        <w:ind w:firstLine="567"/>
        <w:jc w:val="both"/>
        <w:rPr>
          <w:rFonts w:asciiTheme="majorHAnsi" w:eastAsiaTheme="minorEastAsia" w:hAnsiTheme="majorHAnsi" w:cstheme="majorHAnsi"/>
          <w:sz w:val="24"/>
          <w:szCs w:val="24"/>
          <w:shd w:val="clear" w:color="auto" w:fill="FFFFFF"/>
          <w:lang w:eastAsia="ru-RU"/>
        </w:rPr>
      </w:pPr>
      <w:r w:rsidRPr="003F4D72">
        <w:rPr>
          <w:rFonts w:asciiTheme="majorHAnsi" w:eastAsia="Times New Roman" w:hAnsiTheme="majorHAnsi" w:cstheme="majorHAnsi"/>
          <w:sz w:val="24"/>
          <w:szCs w:val="24"/>
        </w:rPr>
        <w:lastRenderedPageBreak/>
        <w:t xml:space="preserve">Cu referire la realizarea </w:t>
      </w:r>
      <w:r w:rsidRPr="003F4D72">
        <w:rPr>
          <w:rFonts w:asciiTheme="majorHAnsi" w:eastAsiaTheme="minorEastAsia" w:hAnsiTheme="majorHAnsi" w:cstheme="majorHAnsi"/>
          <w:sz w:val="24"/>
          <w:szCs w:val="24"/>
          <w:shd w:val="clear" w:color="auto" w:fill="FFFFFF"/>
          <w:lang w:eastAsia="ru-RU"/>
        </w:rPr>
        <w:t>Programului „Un doctor pentru tine”</w:t>
      </w:r>
      <w:r w:rsidRPr="003F4D72">
        <w:rPr>
          <w:rStyle w:val="FootnoteReference"/>
          <w:rFonts w:asciiTheme="majorHAnsi" w:eastAsiaTheme="minorEastAsia" w:hAnsiTheme="majorHAnsi" w:cstheme="majorHAnsi"/>
          <w:sz w:val="24"/>
          <w:szCs w:val="24"/>
          <w:shd w:val="clear" w:color="auto" w:fill="FFFFFF"/>
          <w:lang w:eastAsia="ru-RU"/>
        </w:rPr>
        <w:footnoteReference w:id="48"/>
      </w:r>
      <w:r w:rsidRPr="003F4D72">
        <w:rPr>
          <w:rFonts w:asciiTheme="majorHAnsi" w:eastAsiaTheme="minorEastAsia" w:hAnsiTheme="majorHAnsi" w:cstheme="majorHAnsi"/>
          <w:sz w:val="24"/>
          <w:szCs w:val="24"/>
          <w:shd w:val="clear" w:color="auto" w:fill="FFFFFF"/>
          <w:lang w:eastAsia="ru-RU"/>
        </w:rPr>
        <w:t>, se denotă că</w:t>
      </w:r>
      <w:r w:rsidR="00AA52A0" w:rsidRPr="003F4D72">
        <w:rPr>
          <w:rFonts w:asciiTheme="majorHAnsi" w:eastAsiaTheme="minorEastAsia" w:hAnsiTheme="majorHAnsi" w:cstheme="majorHAnsi"/>
          <w:sz w:val="24"/>
          <w:szCs w:val="24"/>
          <w:shd w:val="clear" w:color="auto" w:fill="FFFFFF"/>
          <w:lang w:eastAsia="ru-RU"/>
        </w:rPr>
        <w:t>,</w:t>
      </w:r>
      <w:r w:rsidRPr="003F4D72">
        <w:rPr>
          <w:rFonts w:asciiTheme="majorHAnsi" w:eastAsiaTheme="minorEastAsia" w:hAnsiTheme="majorHAnsi" w:cstheme="majorHAnsi"/>
          <w:sz w:val="24"/>
          <w:szCs w:val="24"/>
          <w:shd w:val="clear" w:color="auto" w:fill="FFFFFF"/>
          <w:lang w:eastAsia="ru-RU"/>
        </w:rPr>
        <w:t xml:space="preserve"> în contextul pandemiei</w:t>
      </w:r>
      <w:r w:rsidR="00AA52A0" w:rsidRPr="003F4D72">
        <w:rPr>
          <w:rFonts w:asciiTheme="majorHAnsi" w:eastAsiaTheme="minorEastAsia" w:hAnsiTheme="majorHAnsi" w:cstheme="majorHAnsi"/>
          <w:sz w:val="24"/>
          <w:szCs w:val="24"/>
          <w:shd w:val="clear" w:color="auto" w:fill="FFFFFF"/>
          <w:lang w:eastAsia="ru-RU"/>
        </w:rPr>
        <w:t>,</w:t>
      </w:r>
      <w:r w:rsidRPr="003F4D72">
        <w:rPr>
          <w:rFonts w:asciiTheme="majorHAnsi" w:eastAsiaTheme="minorEastAsia" w:hAnsiTheme="majorHAnsi" w:cstheme="majorHAnsi"/>
          <w:sz w:val="24"/>
          <w:szCs w:val="24"/>
          <w:shd w:val="clear" w:color="auto" w:fill="FFFFFF"/>
          <w:lang w:eastAsia="ru-RU"/>
        </w:rPr>
        <w:t xml:space="preserve"> investigațiile pentru depistarea maladiilor nu au fost realizate la nivelul stabilit, iar pacienții din grupele de risc nu au avut acces la aceste servicii de diagnostic, cum ar fi: depistarea stărilor </w:t>
      </w:r>
      <w:proofErr w:type="spellStart"/>
      <w:r w:rsidRPr="003F4D72">
        <w:rPr>
          <w:rFonts w:asciiTheme="majorHAnsi" w:eastAsiaTheme="minorEastAsia" w:hAnsiTheme="majorHAnsi" w:cstheme="majorHAnsi"/>
          <w:sz w:val="24"/>
          <w:szCs w:val="24"/>
          <w:shd w:val="clear" w:color="auto" w:fill="FFFFFF"/>
          <w:lang w:eastAsia="ru-RU"/>
        </w:rPr>
        <w:t>precanceroase</w:t>
      </w:r>
      <w:proofErr w:type="spellEnd"/>
      <w:r w:rsidRPr="003F4D72">
        <w:rPr>
          <w:rFonts w:asciiTheme="majorHAnsi" w:eastAsiaTheme="minorEastAsia" w:hAnsiTheme="majorHAnsi" w:cstheme="majorHAnsi"/>
          <w:sz w:val="24"/>
          <w:szCs w:val="24"/>
          <w:shd w:val="clear" w:color="auto" w:fill="FFFFFF"/>
          <w:lang w:eastAsia="ru-RU"/>
        </w:rPr>
        <w:t xml:space="preserve"> și a cancerului pulmonar</w:t>
      </w:r>
      <w:r w:rsidRPr="003F4D72">
        <w:rPr>
          <w:rStyle w:val="FootnoteReference"/>
          <w:rFonts w:asciiTheme="majorHAnsi" w:eastAsiaTheme="minorEastAsia" w:hAnsiTheme="majorHAnsi" w:cstheme="majorHAnsi"/>
          <w:sz w:val="24"/>
          <w:szCs w:val="24"/>
          <w:shd w:val="clear" w:color="auto" w:fill="FFFFFF"/>
          <w:lang w:eastAsia="ru-RU"/>
        </w:rPr>
        <w:footnoteReference w:id="49"/>
      </w:r>
      <w:r w:rsidR="00AA52A0" w:rsidRPr="003F4D72">
        <w:rPr>
          <w:rFonts w:asciiTheme="majorHAnsi" w:eastAsiaTheme="minorEastAsia" w:hAnsiTheme="majorHAnsi" w:cstheme="majorHAnsi"/>
          <w:sz w:val="24"/>
          <w:szCs w:val="24"/>
          <w:shd w:val="clear" w:color="auto" w:fill="FFFFFF"/>
          <w:lang w:eastAsia="ru-RU"/>
        </w:rPr>
        <w:t>, fiind</w:t>
      </w:r>
      <w:r w:rsidRPr="003F4D72">
        <w:rPr>
          <w:rFonts w:asciiTheme="majorHAnsi" w:eastAsiaTheme="minorEastAsia" w:hAnsiTheme="majorHAnsi" w:cstheme="majorHAnsi"/>
          <w:sz w:val="24"/>
          <w:szCs w:val="24"/>
          <w:shd w:val="clear" w:color="auto" w:fill="FFFFFF"/>
          <w:lang w:eastAsia="ru-RU"/>
        </w:rPr>
        <w:t xml:space="preserve"> alocate </w:t>
      </w:r>
      <w:r w:rsidR="00AA52A0" w:rsidRPr="003F4D72">
        <w:rPr>
          <w:rFonts w:asciiTheme="majorHAnsi" w:eastAsiaTheme="minorEastAsia" w:hAnsiTheme="majorHAnsi" w:cstheme="majorHAnsi"/>
          <w:sz w:val="24"/>
          <w:szCs w:val="24"/>
          <w:shd w:val="clear" w:color="auto" w:fill="FFFFFF"/>
          <w:lang w:eastAsia="ru-RU"/>
        </w:rPr>
        <w:t xml:space="preserve">în acest scop </w:t>
      </w:r>
      <w:r w:rsidRPr="003F4D72">
        <w:rPr>
          <w:rFonts w:asciiTheme="majorHAnsi" w:eastAsiaTheme="minorEastAsia" w:hAnsiTheme="majorHAnsi" w:cstheme="majorHAnsi"/>
          <w:sz w:val="24"/>
          <w:szCs w:val="24"/>
          <w:shd w:val="clear" w:color="auto" w:fill="FFFFFF"/>
          <w:lang w:eastAsia="ru-RU"/>
        </w:rPr>
        <w:t xml:space="preserve">mijloace financiare în sumă de 1,3 mil.lei, efectuate investigații în sumă de 188,3 mii lei; depistarea proceselor </w:t>
      </w:r>
      <w:proofErr w:type="spellStart"/>
      <w:r w:rsidRPr="003F4D72">
        <w:rPr>
          <w:rFonts w:asciiTheme="majorHAnsi" w:eastAsiaTheme="minorEastAsia" w:hAnsiTheme="majorHAnsi" w:cstheme="majorHAnsi"/>
          <w:sz w:val="24"/>
          <w:szCs w:val="24"/>
          <w:shd w:val="clear" w:color="auto" w:fill="FFFFFF"/>
          <w:lang w:eastAsia="ru-RU"/>
        </w:rPr>
        <w:t>precanceroase</w:t>
      </w:r>
      <w:proofErr w:type="spellEnd"/>
      <w:r w:rsidRPr="003F4D72">
        <w:rPr>
          <w:rFonts w:asciiTheme="majorHAnsi" w:eastAsiaTheme="minorEastAsia" w:hAnsiTheme="majorHAnsi" w:cstheme="majorHAnsi"/>
          <w:sz w:val="24"/>
          <w:szCs w:val="24"/>
          <w:shd w:val="clear" w:color="auto" w:fill="FFFFFF"/>
          <w:lang w:eastAsia="ru-RU"/>
        </w:rPr>
        <w:t xml:space="preserve"> și a cancerului mamar</w:t>
      </w:r>
      <w:r w:rsidRPr="003F4D72">
        <w:rPr>
          <w:rStyle w:val="FootnoteReference"/>
          <w:rFonts w:asciiTheme="majorHAnsi" w:eastAsiaTheme="minorEastAsia" w:hAnsiTheme="majorHAnsi" w:cstheme="majorHAnsi"/>
          <w:sz w:val="24"/>
          <w:szCs w:val="24"/>
          <w:shd w:val="clear" w:color="auto" w:fill="FFFFFF"/>
          <w:lang w:eastAsia="ru-RU"/>
        </w:rPr>
        <w:footnoteReference w:id="50"/>
      </w:r>
      <w:r w:rsidRPr="003F4D72">
        <w:rPr>
          <w:rFonts w:asciiTheme="majorHAnsi" w:eastAsiaTheme="minorEastAsia" w:hAnsiTheme="majorHAnsi" w:cstheme="majorHAnsi"/>
          <w:sz w:val="24"/>
          <w:szCs w:val="24"/>
          <w:shd w:val="clear" w:color="auto" w:fill="FFFFFF"/>
          <w:lang w:eastAsia="ru-RU"/>
        </w:rPr>
        <w:t xml:space="preserve"> - 5,1 mil.lei, fiind efectuate servicii în sumă de 266,8 mii lei; </w:t>
      </w:r>
      <w:r w:rsidR="00AA52A0" w:rsidRPr="003F4D72">
        <w:rPr>
          <w:rFonts w:asciiTheme="majorHAnsi" w:eastAsiaTheme="minorEastAsia" w:hAnsiTheme="majorHAnsi" w:cstheme="majorHAnsi"/>
          <w:sz w:val="24"/>
          <w:szCs w:val="24"/>
          <w:shd w:val="clear" w:color="auto" w:fill="FFFFFF"/>
          <w:lang w:eastAsia="ru-RU"/>
        </w:rPr>
        <w:t xml:space="preserve">pentru </w:t>
      </w:r>
      <w:r w:rsidRPr="003F4D72">
        <w:rPr>
          <w:rFonts w:asciiTheme="majorHAnsi" w:eastAsiaTheme="minorEastAsia" w:hAnsiTheme="majorHAnsi" w:cstheme="majorHAnsi"/>
          <w:sz w:val="24"/>
          <w:szCs w:val="24"/>
          <w:shd w:val="clear" w:color="auto" w:fill="FFFFFF"/>
          <w:lang w:eastAsia="ru-RU"/>
        </w:rPr>
        <w:t>realizarea serviciilor medicale stomatologice pentru copiii din localitățile rurale</w:t>
      </w:r>
      <w:r w:rsidRPr="003F4D72">
        <w:rPr>
          <w:rStyle w:val="FootnoteReference"/>
          <w:rFonts w:asciiTheme="majorHAnsi" w:eastAsiaTheme="minorEastAsia" w:hAnsiTheme="majorHAnsi" w:cstheme="majorHAnsi"/>
          <w:sz w:val="24"/>
          <w:szCs w:val="24"/>
          <w:shd w:val="clear" w:color="auto" w:fill="FFFFFF"/>
          <w:lang w:eastAsia="ru-RU"/>
        </w:rPr>
        <w:footnoteReference w:id="51"/>
      </w:r>
      <w:r w:rsidRPr="003F4D72">
        <w:rPr>
          <w:rFonts w:asciiTheme="majorHAnsi" w:eastAsiaTheme="minorEastAsia" w:hAnsiTheme="majorHAnsi" w:cstheme="majorHAnsi"/>
          <w:sz w:val="24"/>
          <w:szCs w:val="24"/>
          <w:shd w:val="clear" w:color="auto" w:fill="FFFFFF"/>
          <w:lang w:eastAsia="ru-RU"/>
        </w:rPr>
        <w:t xml:space="preserve"> s-au alocat 2,1 mil.lei, fiind efectuate investigații în sumă de 670,1 mii lei.</w:t>
      </w:r>
    </w:p>
    <w:p w14:paraId="35767289" w14:textId="602221D5" w:rsidR="00216351" w:rsidRPr="003F4D72" w:rsidRDefault="00EE57A9" w:rsidP="00856E60">
      <w:pPr>
        <w:pStyle w:val="ListParagraph"/>
        <w:tabs>
          <w:tab w:val="left" w:pos="142"/>
        </w:tabs>
        <w:spacing w:after="0" w:line="276" w:lineRule="auto"/>
        <w:ind w:left="0" w:firstLine="567"/>
        <w:jc w:val="both"/>
        <w:rPr>
          <w:rFonts w:asciiTheme="majorHAnsi" w:eastAsiaTheme="minorEastAsia" w:hAnsiTheme="majorHAnsi" w:cstheme="majorHAnsi"/>
          <w:sz w:val="24"/>
          <w:szCs w:val="24"/>
          <w:shd w:val="clear" w:color="auto" w:fill="FFFFFF"/>
          <w:lang w:val="ro-MD" w:eastAsia="ru-RU"/>
        </w:rPr>
      </w:pPr>
      <w:r w:rsidRPr="003F4D72">
        <w:rPr>
          <w:rFonts w:asciiTheme="majorHAnsi" w:eastAsiaTheme="minorEastAsia" w:hAnsiTheme="majorHAnsi" w:cstheme="majorHAnsi"/>
          <w:sz w:val="24"/>
          <w:szCs w:val="24"/>
          <w:shd w:val="clear" w:color="auto" w:fill="FFFFFF"/>
          <w:lang w:val="ro-MD" w:eastAsia="ru-RU"/>
        </w:rPr>
        <w:t xml:space="preserve">Deși aceste tipuri de servicii au </w:t>
      </w:r>
      <w:r w:rsidR="00AA52A0" w:rsidRPr="003F4D72">
        <w:rPr>
          <w:rFonts w:asciiTheme="majorHAnsi" w:eastAsiaTheme="minorEastAsia" w:hAnsiTheme="majorHAnsi" w:cstheme="majorHAnsi"/>
          <w:sz w:val="24"/>
          <w:szCs w:val="24"/>
          <w:shd w:val="clear" w:color="auto" w:fill="FFFFFF"/>
          <w:lang w:val="ro-MD" w:eastAsia="ru-RU"/>
        </w:rPr>
        <w:t>drept scop</w:t>
      </w:r>
      <w:r w:rsidRPr="003F4D72">
        <w:rPr>
          <w:rFonts w:asciiTheme="majorHAnsi" w:eastAsiaTheme="minorEastAsia" w:hAnsiTheme="majorHAnsi" w:cstheme="majorHAnsi"/>
          <w:sz w:val="24"/>
          <w:szCs w:val="24"/>
          <w:shd w:val="clear" w:color="auto" w:fill="FFFFFF"/>
          <w:lang w:val="ro-MD" w:eastAsia="ru-RU"/>
        </w:rPr>
        <w:t xml:space="preserve"> depistare</w:t>
      </w:r>
      <w:r w:rsidR="00AA52A0" w:rsidRPr="003F4D72">
        <w:rPr>
          <w:rFonts w:asciiTheme="majorHAnsi" w:eastAsiaTheme="minorEastAsia" w:hAnsiTheme="majorHAnsi" w:cstheme="majorHAnsi"/>
          <w:sz w:val="24"/>
          <w:szCs w:val="24"/>
          <w:shd w:val="clear" w:color="auto" w:fill="FFFFFF"/>
          <w:lang w:val="ro-MD" w:eastAsia="ru-RU"/>
        </w:rPr>
        <w:t>a</w:t>
      </w:r>
      <w:r w:rsidRPr="003F4D72">
        <w:rPr>
          <w:rFonts w:asciiTheme="majorHAnsi" w:eastAsiaTheme="minorEastAsia" w:hAnsiTheme="majorHAnsi" w:cstheme="majorHAnsi"/>
          <w:sz w:val="24"/>
          <w:szCs w:val="24"/>
          <w:shd w:val="clear" w:color="auto" w:fill="FFFFFF"/>
          <w:lang w:val="ro-MD" w:eastAsia="ru-RU"/>
        </w:rPr>
        <w:t xml:space="preserve"> precoce a maladiilor cu rată înaltă de mortalitate, situația pandemică a afectat accesul cetățenilor din localitățile rurale la servicii medicale de profilaxie și diagnostic.</w:t>
      </w:r>
    </w:p>
    <w:p w14:paraId="3E2247E9" w14:textId="77777777" w:rsidR="00856E60" w:rsidRPr="003F4D72" w:rsidRDefault="00856E60" w:rsidP="00856E60">
      <w:pPr>
        <w:pStyle w:val="ListParagraph"/>
        <w:tabs>
          <w:tab w:val="left" w:pos="142"/>
        </w:tabs>
        <w:spacing w:after="0" w:line="276" w:lineRule="auto"/>
        <w:ind w:left="0" w:firstLine="567"/>
        <w:jc w:val="both"/>
        <w:rPr>
          <w:rFonts w:asciiTheme="majorHAnsi" w:eastAsiaTheme="minorEastAsia" w:hAnsiTheme="majorHAnsi" w:cstheme="majorHAnsi"/>
          <w:sz w:val="24"/>
          <w:szCs w:val="24"/>
          <w:shd w:val="clear" w:color="auto" w:fill="FFFFFF"/>
          <w:lang w:val="ro-MD" w:eastAsia="ru-RU"/>
        </w:rPr>
      </w:pPr>
    </w:p>
    <w:p w14:paraId="7222E29C" w14:textId="1878D926" w:rsidR="00216351" w:rsidRPr="003F4D72" w:rsidRDefault="00216351" w:rsidP="00023B8B">
      <w:pPr>
        <w:pStyle w:val="ListParagraph"/>
        <w:numPr>
          <w:ilvl w:val="1"/>
          <w:numId w:val="35"/>
        </w:numPr>
        <w:spacing w:after="0" w:line="276" w:lineRule="auto"/>
        <w:ind w:left="0" w:right="4" w:firstLine="284"/>
        <w:jc w:val="both"/>
        <w:rPr>
          <w:rFonts w:asciiTheme="majorHAnsi" w:hAnsiTheme="majorHAnsi" w:cstheme="majorHAnsi"/>
          <w:b/>
          <w:bCs/>
          <w:sz w:val="24"/>
          <w:szCs w:val="28"/>
          <w:lang w:val="ro-MD"/>
        </w:rPr>
      </w:pPr>
      <w:r w:rsidRPr="003F4D72">
        <w:rPr>
          <w:rFonts w:asciiTheme="majorHAnsi" w:hAnsiTheme="majorHAnsi" w:cstheme="majorHAnsi"/>
          <w:b/>
          <w:sz w:val="24"/>
          <w:szCs w:val="28"/>
          <w:lang w:val="ro-MD"/>
        </w:rPr>
        <w:t xml:space="preserve"> Numărul de persoane cu boli cardiovasculare care au beneficiat de medicamente compensate a sporit în dinamică</w:t>
      </w:r>
      <w:r w:rsidR="006E0049" w:rsidRPr="003F4D72">
        <w:rPr>
          <w:rFonts w:asciiTheme="majorHAnsi" w:hAnsiTheme="majorHAnsi" w:cstheme="majorHAnsi"/>
          <w:b/>
          <w:sz w:val="24"/>
          <w:szCs w:val="28"/>
          <w:lang w:val="ro-MD"/>
        </w:rPr>
        <w:t>.</w:t>
      </w:r>
    </w:p>
    <w:p w14:paraId="3F5C72DB" w14:textId="6AC51AAF" w:rsidR="00216351" w:rsidRPr="003F4D72" w:rsidRDefault="00216351" w:rsidP="00216351">
      <w:pPr>
        <w:pStyle w:val="NormalWeb"/>
        <w:tabs>
          <w:tab w:val="left" w:pos="7800"/>
        </w:tabs>
        <w:spacing w:line="276" w:lineRule="auto"/>
        <w:rPr>
          <w:rFonts w:asciiTheme="majorHAnsi" w:hAnsiTheme="majorHAnsi" w:cstheme="majorHAnsi"/>
          <w:lang w:val="ro-MD"/>
        </w:rPr>
      </w:pPr>
      <w:r w:rsidRPr="003F4D72">
        <w:rPr>
          <w:rFonts w:asciiTheme="majorHAnsi" w:hAnsiTheme="majorHAnsi" w:cstheme="majorHAnsi"/>
          <w:lang w:val="ro-MD"/>
        </w:rPr>
        <w:t>Potrivit termenilor de referință și angajamentelor, în cadrul misiunii de audit a fost evaluat un obiectiv separat cu referire la validarea atingerii de către CNAM a Indicatorul</w:t>
      </w:r>
      <w:r w:rsidR="006E0049" w:rsidRPr="003F4D72">
        <w:rPr>
          <w:rFonts w:asciiTheme="majorHAnsi" w:hAnsiTheme="majorHAnsi" w:cstheme="majorHAnsi"/>
          <w:lang w:val="ro-MD"/>
        </w:rPr>
        <w:t>ui</w:t>
      </w:r>
      <w:r w:rsidRPr="003F4D72">
        <w:rPr>
          <w:rFonts w:asciiTheme="majorHAnsi" w:hAnsiTheme="majorHAnsi" w:cstheme="majorHAnsi"/>
          <w:lang w:val="ro-MD"/>
        </w:rPr>
        <w:t xml:space="preserve"> </w:t>
      </w:r>
      <w:r w:rsidR="006E0049" w:rsidRPr="003F4D72">
        <w:rPr>
          <w:rFonts w:asciiTheme="majorHAnsi" w:hAnsiTheme="majorHAnsi" w:cstheme="majorHAnsi"/>
          <w:lang w:val="ro-MD"/>
        </w:rPr>
        <w:t>l</w:t>
      </w:r>
      <w:r w:rsidRPr="003F4D72">
        <w:rPr>
          <w:rFonts w:asciiTheme="majorHAnsi" w:hAnsiTheme="majorHAnsi" w:cstheme="majorHAnsi"/>
          <w:lang w:val="ro-MD"/>
        </w:rPr>
        <w:t xml:space="preserve">egat de </w:t>
      </w:r>
      <w:r w:rsidR="006E0049" w:rsidRPr="003F4D72">
        <w:rPr>
          <w:rFonts w:asciiTheme="majorHAnsi" w:hAnsiTheme="majorHAnsi" w:cstheme="majorHAnsi"/>
          <w:lang w:val="ro-MD"/>
        </w:rPr>
        <w:t>d</w:t>
      </w:r>
      <w:r w:rsidRPr="003F4D72">
        <w:rPr>
          <w:rFonts w:asciiTheme="majorHAnsi" w:hAnsiTheme="majorHAnsi" w:cstheme="majorHAnsi"/>
          <w:lang w:val="ro-MD"/>
        </w:rPr>
        <w:t>ebursări nr. 2</w:t>
      </w:r>
      <w:r w:rsidR="00815A71" w:rsidRPr="003F4D72">
        <w:rPr>
          <w:rFonts w:asciiTheme="majorHAnsi" w:hAnsiTheme="majorHAnsi" w:cstheme="majorHAnsi"/>
          <w:lang w:val="ro-MD"/>
        </w:rPr>
        <w:t xml:space="preserve"> </w:t>
      </w:r>
      <w:r w:rsidR="006E0049" w:rsidRPr="003F4D72">
        <w:rPr>
          <w:rFonts w:asciiTheme="majorHAnsi" w:hAnsiTheme="majorHAnsi" w:cstheme="majorHAnsi"/>
          <w:i/>
          <w:lang w:val="ro-MD"/>
        </w:rPr>
        <w:t>„</w:t>
      </w:r>
      <w:r w:rsidRPr="003F4D72">
        <w:rPr>
          <w:rFonts w:asciiTheme="majorHAnsi" w:hAnsiTheme="majorHAnsi" w:cstheme="majorHAnsi"/>
          <w:i/>
          <w:lang w:val="ro-MD"/>
        </w:rPr>
        <w:t>Creșterea numărului de persoane cu boli cardiovasculare în 2019 față de 2017 care au beneficiat de medicamente compensate pentru tratamentul maladiilor cardiovasculare”</w:t>
      </w:r>
      <w:r w:rsidRPr="003F4D72">
        <w:rPr>
          <w:rFonts w:asciiTheme="majorHAnsi" w:hAnsiTheme="majorHAnsi" w:cstheme="majorHAnsi"/>
          <w:lang w:val="ro-MD"/>
        </w:rPr>
        <w:t xml:space="preserve">, indicator stabilit în cadrul proiectului </w:t>
      </w:r>
      <w:r w:rsidR="006E0049" w:rsidRPr="003F4D72">
        <w:rPr>
          <w:rFonts w:asciiTheme="majorHAnsi" w:hAnsiTheme="majorHAnsi" w:cstheme="majorHAnsi"/>
          <w:lang w:val="ro-MD"/>
        </w:rPr>
        <w:t>„</w:t>
      </w:r>
      <w:r w:rsidRPr="003F4D72">
        <w:rPr>
          <w:rFonts w:asciiTheme="majorHAnsi" w:hAnsiTheme="majorHAnsi" w:cstheme="majorHAnsi"/>
          <w:lang w:val="ro-MD"/>
        </w:rPr>
        <w:t>Modernizarea sectorului sănătății în Republica Moldova”</w:t>
      </w:r>
      <w:r w:rsidR="006E0049" w:rsidRPr="003F4D72">
        <w:rPr>
          <w:rFonts w:asciiTheme="majorHAnsi" w:hAnsiTheme="majorHAnsi" w:cstheme="majorHAnsi"/>
          <w:lang w:val="ro-MD"/>
        </w:rPr>
        <w:t>,</w:t>
      </w:r>
      <w:r w:rsidRPr="003F4D72">
        <w:rPr>
          <w:rFonts w:asciiTheme="majorHAnsi" w:hAnsiTheme="majorHAnsi" w:cstheme="majorHAnsi"/>
          <w:lang w:val="ro-MD"/>
        </w:rPr>
        <w:t xml:space="preserve"> finanțat de Banca Mondială.</w:t>
      </w:r>
    </w:p>
    <w:p w14:paraId="58AF22E2" w14:textId="77777777" w:rsidR="00216351" w:rsidRPr="003F4D72" w:rsidRDefault="00216351" w:rsidP="00216351">
      <w:pPr>
        <w:spacing w:after="0" w:line="276" w:lineRule="auto"/>
        <w:ind w:firstLine="567"/>
        <w:jc w:val="both"/>
        <w:rPr>
          <w:rFonts w:asciiTheme="majorHAnsi" w:hAnsiTheme="majorHAnsi" w:cstheme="majorHAnsi"/>
          <w:sz w:val="24"/>
          <w:szCs w:val="28"/>
        </w:rPr>
      </w:pPr>
      <w:r w:rsidRPr="003F4D72">
        <w:rPr>
          <w:rFonts w:asciiTheme="majorHAnsi" w:hAnsiTheme="majorHAnsi" w:cstheme="majorHAnsi"/>
          <w:sz w:val="24"/>
          <w:szCs w:val="28"/>
        </w:rPr>
        <w:t>Conform prevederilor Acordului de finanțare</w:t>
      </w:r>
      <w:r w:rsidRPr="003F4D72">
        <w:rPr>
          <w:rStyle w:val="FootnoteReference"/>
          <w:rFonts w:asciiTheme="majorHAnsi" w:hAnsiTheme="majorHAnsi" w:cstheme="majorHAnsi"/>
          <w:sz w:val="24"/>
          <w:szCs w:val="28"/>
        </w:rPr>
        <w:footnoteReference w:id="52"/>
      </w:r>
      <w:r w:rsidRPr="003F4D72">
        <w:rPr>
          <w:rFonts w:asciiTheme="majorHAnsi" w:hAnsiTheme="majorHAnsi" w:cstheme="majorHAnsi"/>
          <w:sz w:val="24"/>
          <w:szCs w:val="28"/>
        </w:rPr>
        <w:t xml:space="preserve">, pentru debursarea mijloacelor financiare ale Programului au fost stabiliți indicatori specifici care urmau a fi realizați de MSMPS </w:t>
      </w:r>
      <w:proofErr w:type="spellStart"/>
      <w:r w:rsidRPr="003F4D72">
        <w:rPr>
          <w:rFonts w:asciiTheme="majorHAnsi" w:hAnsiTheme="majorHAnsi" w:cstheme="majorHAnsi"/>
          <w:sz w:val="24"/>
          <w:szCs w:val="28"/>
        </w:rPr>
        <w:t>şi</w:t>
      </w:r>
      <w:proofErr w:type="spellEnd"/>
      <w:r w:rsidRPr="003F4D72">
        <w:rPr>
          <w:rFonts w:asciiTheme="majorHAnsi" w:hAnsiTheme="majorHAnsi" w:cstheme="majorHAnsi"/>
          <w:sz w:val="24"/>
          <w:szCs w:val="28"/>
        </w:rPr>
        <w:t xml:space="preserve"> CNAM, iar cota de finanțare alocată fiecărui indicator corespunde nivelului de realizare a acțiunilor pentru atingerea obiectivului de dezvoltare a Proiectului. </w:t>
      </w:r>
    </w:p>
    <w:p w14:paraId="51DA2472" w14:textId="55C9B749" w:rsidR="00216351" w:rsidRPr="003F4D72" w:rsidRDefault="00216351" w:rsidP="00216351">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iCs/>
          <w:sz w:val="24"/>
        </w:rPr>
        <w:t xml:space="preserve">Validarea acestui indicator va servi ca temei pentru debursarea ILD nr. 2, și anume câte 291.150,0 Drepturi Speciale de Tragere pentru fiecare majorare </w:t>
      </w:r>
      <w:r w:rsidRPr="003F4D72">
        <w:rPr>
          <w:rFonts w:asciiTheme="majorHAnsi" w:hAnsiTheme="majorHAnsi" w:cstheme="majorHAnsi"/>
          <w:iCs/>
          <w:sz w:val="24"/>
          <w:szCs w:val="24"/>
        </w:rPr>
        <w:t>cu 1 punct procentual față de nivelul de referință, până la nivelul maxim de 2.911.500,0 DST. Datele prezentate de CNAM privind realizarea indicatorului nr. 2 legat de debursări a</w:t>
      </w:r>
      <w:r w:rsidR="006E0049" w:rsidRPr="003F4D72">
        <w:rPr>
          <w:rFonts w:asciiTheme="majorHAnsi" w:hAnsiTheme="majorHAnsi" w:cstheme="majorHAnsi"/>
          <w:iCs/>
          <w:sz w:val="24"/>
          <w:szCs w:val="24"/>
        </w:rPr>
        <w:t>u</w:t>
      </w:r>
      <w:r w:rsidRPr="003F4D72">
        <w:rPr>
          <w:rFonts w:asciiTheme="majorHAnsi" w:hAnsiTheme="majorHAnsi" w:cstheme="majorHAnsi"/>
          <w:iCs/>
          <w:sz w:val="24"/>
          <w:szCs w:val="24"/>
        </w:rPr>
        <w:t xml:space="preserve"> stabilit că numărul de beneficiari a</w:t>
      </w:r>
      <w:r w:rsidR="006E0049" w:rsidRPr="003F4D72">
        <w:rPr>
          <w:rFonts w:asciiTheme="majorHAnsi" w:hAnsiTheme="majorHAnsi" w:cstheme="majorHAnsi"/>
          <w:iCs/>
          <w:sz w:val="24"/>
          <w:szCs w:val="24"/>
        </w:rPr>
        <w:t>i</w:t>
      </w:r>
      <w:r w:rsidRPr="003F4D72">
        <w:rPr>
          <w:rFonts w:asciiTheme="majorHAnsi" w:hAnsiTheme="majorHAnsi" w:cstheme="majorHAnsi"/>
          <w:iCs/>
          <w:sz w:val="24"/>
          <w:szCs w:val="24"/>
        </w:rPr>
        <w:t xml:space="preserve"> </w:t>
      </w:r>
      <w:r w:rsidRPr="003F4D72">
        <w:rPr>
          <w:rFonts w:asciiTheme="majorHAnsi" w:hAnsiTheme="majorHAnsi" w:cstheme="majorHAnsi"/>
          <w:i/>
          <w:sz w:val="24"/>
          <w:szCs w:val="24"/>
        </w:rPr>
        <w:t>medicamentelor compensate pentru tratamentul maladiilor cardiovasculare</w:t>
      </w:r>
      <w:r w:rsidRPr="003F4D72">
        <w:rPr>
          <w:rFonts w:asciiTheme="majorHAnsi" w:hAnsiTheme="majorHAnsi" w:cstheme="majorHAnsi"/>
          <w:iCs/>
          <w:sz w:val="24"/>
          <w:szCs w:val="24"/>
        </w:rPr>
        <w:t xml:space="preserve"> a crescut de la 414</w:t>
      </w:r>
      <w:r w:rsidR="006E0049" w:rsidRPr="003F4D72">
        <w:rPr>
          <w:rFonts w:asciiTheme="majorHAnsi" w:hAnsiTheme="majorHAnsi" w:cstheme="majorHAnsi"/>
          <w:iCs/>
          <w:sz w:val="24"/>
          <w:szCs w:val="24"/>
        </w:rPr>
        <w:t xml:space="preserve"> </w:t>
      </w:r>
      <w:r w:rsidRPr="003F4D72">
        <w:rPr>
          <w:rFonts w:asciiTheme="majorHAnsi" w:hAnsiTheme="majorHAnsi" w:cstheme="majorHAnsi"/>
          <w:iCs/>
          <w:sz w:val="24"/>
          <w:szCs w:val="24"/>
        </w:rPr>
        <w:t>744 de persoane</w:t>
      </w:r>
      <w:r w:rsidR="006E0049" w:rsidRPr="003F4D72">
        <w:rPr>
          <w:rFonts w:asciiTheme="majorHAnsi" w:hAnsiTheme="majorHAnsi" w:cstheme="majorHAnsi"/>
          <w:iCs/>
          <w:sz w:val="24"/>
          <w:szCs w:val="24"/>
        </w:rPr>
        <w:t>,</w:t>
      </w:r>
      <w:r w:rsidRPr="003F4D72">
        <w:rPr>
          <w:rFonts w:asciiTheme="majorHAnsi" w:hAnsiTheme="majorHAnsi" w:cstheme="majorHAnsi"/>
          <w:iCs/>
          <w:sz w:val="24"/>
          <w:szCs w:val="24"/>
        </w:rPr>
        <w:t xml:space="preserve"> în anul 2017</w:t>
      </w:r>
      <w:r w:rsidR="006E0049" w:rsidRPr="003F4D72">
        <w:rPr>
          <w:rFonts w:asciiTheme="majorHAnsi" w:hAnsiTheme="majorHAnsi" w:cstheme="majorHAnsi"/>
          <w:iCs/>
          <w:sz w:val="24"/>
          <w:szCs w:val="24"/>
        </w:rPr>
        <w:t>,</w:t>
      </w:r>
      <w:r w:rsidRPr="003F4D72">
        <w:rPr>
          <w:rFonts w:asciiTheme="majorHAnsi" w:hAnsiTheme="majorHAnsi" w:cstheme="majorHAnsi"/>
          <w:iCs/>
          <w:sz w:val="24"/>
          <w:szCs w:val="24"/>
        </w:rPr>
        <w:t xml:space="preserve"> la 453</w:t>
      </w:r>
      <w:r w:rsidR="006E0049" w:rsidRPr="003F4D72">
        <w:rPr>
          <w:rFonts w:asciiTheme="majorHAnsi" w:hAnsiTheme="majorHAnsi" w:cstheme="majorHAnsi"/>
          <w:iCs/>
          <w:sz w:val="24"/>
          <w:szCs w:val="24"/>
        </w:rPr>
        <w:t xml:space="preserve"> </w:t>
      </w:r>
      <w:r w:rsidRPr="003F4D72">
        <w:rPr>
          <w:rFonts w:asciiTheme="majorHAnsi" w:hAnsiTheme="majorHAnsi" w:cstheme="majorHAnsi"/>
          <w:iCs/>
          <w:sz w:val="24"/>
          <w:szCs w:val="24"/>
        </w:rPr>
        <w:t>160</w:t>
      </w:r>
      <w:r w:rsidR="006E0049" w:rsidRPr="003F4D72">
        <w:rPr>
          <w:rFonts w:asciiTheme="majorHAnsi" w:hAnsiTheme="majorHAnsi" w:cstheme="majorHAnsi"/>
          <w:iCs/>
          <w:sz w:val="24"/>
          <w:szCs w:val="24"/>
        </w:rPr>
        <w:t>,</w:t>
      </w:r>
      <w:r w:rsidRPr="003F4D72">
        <w:rPr>
          <w:rFonts w:asciiTheme="majorHAnsi" w:hAnsiTheme="majorHAnsi" w:cstheme="majorHAnsi"/>
          <w:iCs/>
          <w:sz w:val="24"/>
          <w:szCs w:val="24"/>
        </w:rPr>
        <w:t xml:space="preserve"> în anul 2019, </w:t>
      </w:r>
      <w:r w:rsidR="006E0049" w:rsidRPr="003F4D72">
        <w:rPr>
          <w:rFonts w:asciiTheme="majorHAnsi" w:hAnsiTheme="majorHAnsi" w:cstheme="majorHAnsi"/>
          <w:iCs/>
          <w:sz w:val="24"/>
          <w:szCs w:val="24"/>
        </w:rPr>
        <w:t>ceea ce înseamnă</w:t>
      </w:r>
      <w:r w:rsidRPr="003F4D72">
        <w:rPr>
          <w:rFonts w:asciiTheme="majorHAnsi" w:hAnsiTheme="majorHAnsi" w:cstheme="majorHAnsi"/>
          <w:iCs/>
          <w:sz w:val="24"/>
          <w:szCs w:val="24"/>
        </w:rPr>
        <w:t xml:space="preserve"> </w:t>
      </w:r>
      <w:r w:rsidR="006E0049" w:rsidRPr="003F4D72">
        <w:rPr>
          <w:rFonts w:asciiTheme="majorHAnsi" w:hAnsiTheme="majorHAnsi" w:cstheme="majorHAnsi"/>
          <w:iCs/>
          <w:sz w:val="24"/>
          <w:szCs w:val="24"/>
        </w:rPr>
        <w:t xml:space="preserve">majorarea </w:t>
      </w:r>
      <w:r w:rsidRPr="003F4D72">
        <w:rPr>
          <w:rFonts w:asciiTheme="majorHAnsi" w:hAnsiTheme="majorHAnsi" w:cstheme="majorHAnsi"/>
          <w:iCs/>
          <w:sz w:val="24"/>
          <w:szCs w:val="24"/>
        </w:rPr>
        <w:t xml:space="preserve">cu </w:t>
      </w:r>
      <w:r w:rsidRPr="003F4D72">
        <w:rPr>
          <w:rFonts w:asciiTheme="majorHAnsi" w:hAnsiTheme="majorHAnsi" w:cstheme="majorHAnsi"/>
          <w:sz w:val="24"/>
          <w:szCs w:val="24"/>
        </w:rPr>
        <w:t xml:space="preserve">9,26 puncte procentuale față de anul 2017. </w:t>
      </w:r>
    </w:p>
    <w:p w14:paraId="38B51C48" w14:textId="77777777" w:rsidR="00216351" w:rsidRPr="003F4D72" w:rsidRDefault="00216351" w:rsidP="00216351">
      <w:pPr>
        <w:suppressAutoHyphens/>
        <w:spacing w:after="0" w:line="276" w:lineRule="auto"/>
        <w:ind w:firstLine="567"/>
        <w:jc w:val="both"/>
        <w:rPr>
          <w:rFonts w:asciiTheme="majorHAnsi" w:hAnsiTheme="majorHAnsi" w:cstheme="majorHAnsi"/>
          <w:sz w:val="24"/>
          <w:szCs w:val="28"/>
        </w:rPr>
      </w:pPr>
      <w:r w:rsidRPr="003F4D72">
        <w:rPr>
          <w:rFonts w:asciiTheme="majorHAnsi" w:hAnsiTheme="majorHAnsi" w:cstheme="majorHAnsi"/>
          <w:sz w:val="24"/>
          <w:szCs w:val="24"/>
        </w:rPr>
        <w:lastRenderedPageBreak/>
        <w:t>Evaluarea rapoartelor</w:t>
      </w:r>
      <w:r w:rsidRPr="003F4D72">
        <w:rPr>
          <w:rFonts w:asciiTheme="majorHAnsi" w:hAnsiTheme="majorHAnsi" w:cstheme="majorHAnsi"/>
          <w:sz w:val="24"/>
          <w:szCs w:val="28"/>
        </w:rPr>
        <w:t xml:space="preserve"> prezentate de către CNAM denotă că în anul 2017 au fost eliberate 2 771 327 de rețete compensate pentru tratamentul maladiilor cardiovasculare, iar în anul 2019 au fost prescrise și eliberate 3 295 607 rețete compensate.</w:t>
      </w:r>
    </w:p>
    <w:p w14:paraId="170ABB18" w14:textId="6ED9E915" w:rsidR="00216351" w:rsidRPr="003F4D72" w:rsidRDefault="00216351" w:rsidP="00216351">
      <w:pPr>
        <w:suppressAutoHyphens/>
        <w:spacing w:after="0" w:line="276" w:lineRule="auto"/>
        <w:ind w:firstLine="567"/>
        <w:jc w:val="both"/>
        <w:rPr>
          <w:rFonts w:asciiTheme="majorHAnsi" w:hAnsiTheme="majorHAnsi" w:cstheme="majorHAnsi"/>
          <w:sz w:val="24"/>
          <w:szCs w:val="28"/>
        </w:rPr>
      </w:pPr>
      <w:r w:rsidRPr="003F4D72">
        <w:rPr>
          <w:rFonts w:asciiTheme="majorHAnsi" w:hAnsiTheme="majorHAnsi" w:cstheme="majorHAnsi"/>
          <w:sz w:val="24"/>
          <w:szCs w:val="28"/>
        </w:rPr>
        <w:t xml:space="preserve">Examinarea de către audit a datelor din Sistemul </w:t>
      </w:r>
      <w:r w:rsidR="006E0049" w:rsidRPr="003F4D72">
        <w:rPr>
          <w:rFonts w:asciiTheme="majorHAnsi" w:hAnsiTheme="majorHAnsi" w:cstheme="majorHAnsi"/>
          <w:sz w:val="24"/>
          <w:szCs w:val="28"/>
        </w:rPr>
        <w:t>i</w:t>
      </w:r>
      <w:r w:rsidRPr="003F4D72">
        <w:rPr>
          <w:rFonts w:asciiTheme="majorHAnsi" w:hAnsiTheme="majorHAnsi" w:cstheme="majorHAnsi"/>
          <w:sz w:val="24"/>
          <w:szCs w:val="28"/>
        </w:rPr>
        <w:t xml:space="preserve">nformațional </w:t>
      </w:r>
      <w:r w:rsidR="006E0049" w:rsidRPr="003F4D72">
        <w:rPr>
          <w:rFonts w:asciiTheme="majorHAnsi" w:hAnsiTheme="majorHAnsi" w:cstheme="majorHAnsi"/>
          <w:sz w:val="24"/>
          <w:szCs w:val="28"/>
        </w:rPr>
        <w:t>„</w:t>
      </w:r>
      <w:r w:rsidRPr="003F4D72">
        <w:rPr>
          <w:rFonts w:asciiTheme="majorHAnsi" w:hAnsiTheme="majorHAnsi" w:cstheme="majorHAnsi"/>
          <w:sz w:val="24"/>
          <w:szCs w:val="28"/>
        </w:rPr>
        <w:t xml:space="preserve">Medicamente compensate”, inclusiv a numărului de beneficiari unici </w:t>
      </w:r>
      <w:r w:rsidR="006E0049" w:rsidRPr="003F4D72">
        <w:rPr>
          <w:rFonts w:asciiTheme="majorHAnsi" w:hAnsiTheme="majorHAnsi" w:cstheme="majorHAnsi"/>
          <w:sz w:val="24"/>
          <w:szCs w:val="28"/>
        </w:rPr>
        <w:t>de</w:t>
      </w:r>
      <w:r w:rsidRPr="003F4D72">
        <w:rPr>
          <w:rFonts w:asciiTheme="majorHAnsi" w:hAnsiTheme="majorHAnsi" w:cstheme="majorHAnsi"/>
          <w:sz w:val="24"/>
          <w:szCs w:val="28"/>
        </w:rPr>
        <w:t xml:space="preserve"> medicamente compensate destinate maladiilor cardiovasculare eliberate în  2017 și 2019, atestă corespunderea datelor prezentate Băncii Mondiale de către CNAM</w:t>
      </w:r>
      <w:r w:rsidR="006E0049" w:rsidRPr="003F4D72">
        <w:rPr>
          <w:rFonts w:asciiTheme="majorHAnsi" w:hAnsiTheme="majorHAnsi" w:cstheme="majorHAnsi"/>
          <w:sz w:val="24"/>
          <w:szCs w:val="28"/>
        </w:rPr>
        <w:t>,</w:t>
      </w:r>
      <w:r w:rsidRPr="003F4D72">
        <w:rPr>
          <w:rFonts w:asciiTheme="majorHAnsi" w:hAnsiTheme="majorHAnsi" w:cstheme="majorHAnsi"/>
          <w:sz w:val="24"/>
          <w:szCs w:val="28"/>
        </w:rPr>
        <w:t xml:space="preserve"> și anume majorarea numărului de beneficiari unici de medicamente compensate de la </w:t>
      </w:r>
      <w:r w:rsidRPr="003F4D72">
        <w:rPr>
          <w:rFonts w:asciiTheme="majorHAnsi" w:hAnsiTheme="majorHAnsi" w:cstheme="majorHAnsi"/>
          <w:iCs/>
          <w:sz w:val="24"/>
          <w:szCs w:val="24"/>
        </w:rPr>
        <w:t>414</w:t>
      </w:r>
      <w:r w:rsidR="006E0049" w:rsidRPr="003F4D72">
        <w:rPr>
          <w:rFonts w:asciiTheme="majorHAnsi" w:hAnsiTheme="majorHAnsi" w:cstheme="majorHAnsi"/>
          <w:iCs/>
          <w:sz w:val="24"/>
          <w:szCs w:val="24"/>
        </w:rPr>
        <w:t xml:space="preserve"> </w:t>
      </w:r>
      <w:r w:rsidRPr="003F4D72">
        <w:rPr>
          <w:rFonts w:asciiTheme="majorHAnsi" w:hAnsiTheme="majorHAnsi" w:cstheme="majorHAnsi"/>
          <w:iCs/>
          <w:sz w:val="24"/>
          <w:szCs w:val="24"/>
        </w:rPr>
        <w:t xml:space="preserve">744 </w:t>
      </w:r>
      <w:r w:rsidR="006E0049" w:rsidRPr="003F4D72">
        <w:rPr>
          <w:rFonts w:asciiTheme="majorHAnsi" w:hAnsiTheme="majorHAnsi" w:cstheme="majorHAnsi"/>
          <w:iCs/>
          <w:sz w:val="24"/>
          <w:szCs w:val="24"/>
        </w:rPr>
        <w:t xml:space="preserve">de </w:t>
      </w:r>
      <w:r w:rsidRPr="003F4D72">
        <w:rPr>
          <w:rFonts w:asciiTheme="majorHAnsi" w:hAnsiTheme="majorHAnsi" w:cstheme="majorHAnsi"/>
          <w:sz w:val="24"/>
          <w:szCs w:val="28"/>
        </w:rPr>
        <w:t>persoane în anul 2017</w:t>
      </w:r>
      <w:r w:rsidR="006E0049" w:rsidRPr="003F4D72">
        <w:rPr>
          <w:rFonts w:asciiTheme="majorHAnsi" w:hAnsiTheme="majorHAnsi" w:cstheme="majorHAnsi"/>
          <w:sz w:val="24"/>
          <w:szCs w:val="28"/>
        </w:rPr>
        <w:t>,</w:t>
      </w:r>
      <w:r w:rsidRPr="003F4D72">
        <w:rPr>
          <w:rFonts w:asciiTheme="majorHAnsi" w:hAnsiTheme="majorHAnsi" w:cstheme="majorHAnsi"/>
          <w:sz w:val="24"/>
          <w:szCs w:val="28"/>
        </w:rPr>
        <w:t xml:space="preserve"> la 453</w:t>
      </w:r>
      <w:r w:rsidR="006E0049" w:rsidRPr="003F4D72">
        <w:rPr>
          <w:rFonts w:asciiTheme="majorHAnsi" w:hAnsiTheme="majorHAnsi" w:cstheme="majorHAnsi"/>
          <w:sz w:val="24"/>
          <w:szCs w:val="28"/>
        </w:rPr>
        <w:t xml:space="preserve"> </w:t>
      </w:r>
      <w:r w:rsidRPr="003F4D72">
        <w:rPr>
          <w:rFonts w:asciiTheme="majorHAnsi" w:hAnsiTheme="majorHAnsi" w:cstheme="majorHAnsi"/>
          <w:sz w:val="24"/>
          <w:szCs w:val="28"/>
        </w:rPr>
        <w:t>160 în anul 2019.</w:t>
      </w:r>
    </w:p>
    <w:p w14:paraId="70CE7F51" w14:textId="77777777" w:rsidR="00216351" w:rsidRPr="003F4D72" w:rsidRDefault="00216351" w:rsidP="00F81110">
      <w:pPr>
        <w:spacing w:after="0" w:line="276" w:lineRule="auto"/>
        <w:ind w:firstLine="567"/>
        <w:jc w:val="both"/>
        <w:rPr>
          <w:rFonts w:asciiTheme="majorHAnsi" w:eastAsia="Times New Roman" w:hAnsiTheme="majorHAnsi" w:cstheme="majorHAnsi"/>
          <w:b/>
          <w:bCs/>
          <w:sz w:val="24"/>
          <w:szCs w:val="24"/>
        </w:rPr>
      </w:pPr>
    </w:p>
    <w:p w14:paraId="533C29DF" w14:textId="656EA20A" w:rsidR="00F81110" w:rsidRPr="003F4D72" w:rsidRDefault="00F81110" w:rsidP="00023B8B">
      <w:pPr>
        <w:pStyle w:val="ListParagraph"/>
        <w:numPr>
          <w:ilvl w:val="1"/>
          <w:numId w:val="35"/>
        </w:numPr>
        <w:spacing w:after="0" w:line="276" w:lineRule="auto"/>
        <w:jc w:val="both"/>
        <w:rPr>
          <w:rFonts w:asciiTheme="majorHAnsi" w:eastAsia="Times New Roman" w:hAnsiTheme="majorHAnsi" w:cstheme="majorHAnsi"/>
          <w:sz w:val="24"/>
          <w:szCs w:val="24"/>
          <w:lang w:val="ro-MD"/>
        </w:rPr>
      </w:pPr>
      <w:r w:rsidRPr="003F4D72">
        <w:rPr>
          <w:rFonts w:asciiTheme="majorHAnsi" w:eastAsia="Times New Roman" w:hAnsiTheme="majorHAnsi" w:cstheme="majorHAnsi"/>
          <w:b/>
          <w:bCs/>
          <w:sz w:val="24"/>
          <w:szCs w:val="24"/>
          <w:lang w:val="ro-MD"/>
        </w:rPr>
        <w:t xml:space="preserve"> </w:t>
      </w:r>
      <w:r w:rsidR="00A52128" w:rsidRPr="003F4D72">
        <w:rPr>
          <w:rFonts w:asciiTheme="majorHAnsi" w:eastAsia="Times New Roman" w:hAnsiTheme="majorHAnsi" w:cstheme="majorHAnsi"/>
          <w:b/>
          <w:bCs/>
          <w:sz w:val="24"/>
          <w:szCs w:val="24"/>
          <w:lang w:val="ro-MD"/>
        </w:rPr>
        <w:t>CNAM</w:t>
      </w:r>
      <w:r w:rsidRPr="003F4D72">
        <w:rPr>
          <w:rFonts w:asciiTheme="majorHAnsi" w:eastAsia="Times New Roman" w:hAnsiTheme="majorHAnsi" w:cstheme="majorHAnsi"/>
          <w:b/>
          <w:bCs/>
          <w:sz w:val="24"/>
          <w:szCs w:val="24"/>
          <w:lang w:val="ro-MD"/>
        </w:rPr>
        <w:t xml:space="preserve"> dispune de un control intern managerial care necesită </w:t>
      </w:r>
      <w:r w:rsidR="00CD542E" w:rsidRPr="003F4D72">
        <w:rPr>
          <w:rFonts w:asciiTheme="majorHAnsi" w:eastAsia="Times New Roman" w:hAnsiTheme="majorHAnsi" w:cstheme="majorHAnsi"/>
          <w:b/>
          <w:bCs/>
          <w:sz w:val="24"/>
          <w:szCs w:val="24"/>
          <w:lang w:val="ro-MD"/>
        </w:rPr>
        <w:t>îmbunătățiri</w:t>
      </w:r>
      <w:r w:rsidRPr="003F4D72">
        <w:rPr>
          <w:rFonts w:asciiTheme="majorHAnsi" w:eastAsia="Times New Roman" w:hAnsiTheme="majorHAnsi" w:cstheme="majorHAnsi"/>
          <w:b/>
          <w:bCs/>
          <w:sz w:val="24"/>
          <w:szCs w:val="24"/>
          <w:lang w:val="ro-MD"/>
        </w:rPr>
        <w:t xml:space="preserve">. </w:t>
      </w:r>
    </w:p>
    <w:p w14:paraId="461F267B" w14:textId="77777777" w:rsidR="00F81110" w:rsidRPr="003F4D72" w:rsidRDefault="00F81110" w:rsidP="000A1CD6">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i/>
          <w:iCs/>
          <w:sz w:val="24"/>
          <w:szCs w:val="24"/>
        </w:rPr>
        <w:t xml:space="preserve">Potrivit </w:t>
      </w:r>
      <w:hyperlink r:id="rId19" w:history="1">
        <w:r w:rsidRPr="003F4D72">
          <w:rPr>
            <w:rFonts w:asciiTheme="majorHAnsi" w:eastAsia="Times New Roman" w:hAnsiTheme="majorHAnsi" w:cstheme="majorHAnsi"/>
            <w:i/>
            <w:iCs/>
            <w:sz w:val="24"/>
            <w:szCs w:val="24"/>
          </w:rPr>
          <w:t>Legii nr.229 din 23.09.2010</w:t>
        </w:r>
      </w:hyperlink>
      <w:r w:rsidRPr="003F4D72">
        <w:rPr>
          <w:rFonts w:asciiTheme="majorHAnsi" w:eastAsia="Times New Roman" w:hAnsiTheme="majorHAnsi" w:cstheme="majorHAnsi"/>
          <w:i/>
          <w:iCs/>
          <w:sz w:val="24"/>
          <w:szCs w:val="24"/>
        </w:rPr>
        <w:t xml:space="preserve">, directorul general al CNAM este responsabil de </w:t>
      </w:r>
      <w:r w:rsidRPr="003F4D72">
        <w:rPr>
          <w:rFonts w:asciiTheme="majorHAnsi" w:eastAsia="Times New Roman" w:hAnsiTheme="majorHAnsi" w:cstheme="majorHAnsi"/>
          <w:sz w:val="24"/>
          <w:szCs w:val="24"/>
        </w:rPr>
        <w:t xml:space="preserve">organizarea sistemului de control intern managerial conform Standardelor </w:t>
      </w:r>
      <w:r w:rsidR="00CD542E" w:rsidRPr="003F4D72">
        <w:rPr>
          <w:rFonts w:asciiTheme="majorHAnsi" w:eastAsia="Times New Roman" w:hAnsiTheme="majorHAnsi" w:cstheme="majorHAnsi"/>
          <w:sz w:val="24"/>
          <w:szCs w:val="24"/>
        </w:rPr>
        <w:t>naționale</w:t>
      </w:r>
      <w:r w:rsidRPr="003F4D72">
        <w:rPr>
          <w:rFonts w:asciiTheme="majorHAnsi" w:eastAsia="Times New Roman" w:hAnsiTheme="majorHAnsi" w:cstheme="majorHAnsi"/>
          <w:sz w:val="24"/>
          <w:szCs w:val="24"/>
        </w:rPr>
        <w:t xml:space="preserve"> de control intern în sectorul public, </w:t>
      </w:r>
      <w:r w:rsidR="00CD542E" w:rsidRPr="003F4D72">
        <w:rPr>
          <w:rFonts w:asciiTheme="majorHAnsi" w:eastAsia="Times New Roman" w:hAnsiTheme="majorHAnsi" w:cstheme="majorHAnsi"/>
          <w:sz w:val="24"/>
          <w:szCs w:val="24"/>
        </w:rPr>
        <w:t>ținând</w:t>
      </w:r>
      <w:r w:rsidRPr="003F4D72">
        <w:rPr>
          <w:rFonts w:asciiTheme="majorHAnsi" w:eastAsia="Times New Roman" w:hAnsiTheme="majorHAnsi" w:cstheme="majorHAnsi"/>
          <w:sz w:val="24"/>
          <w:szCs w:val="24"/>
        </w:rPr>
        <w:t xml:space="preserve"> cont de complexitatea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domeniul de activitate al CNAM, în baza principiilor bunei guvernări, precum: </w:t>
      </w:r>
      <w:r w:rsidR="00CD542E" w:rsidRPr="003F4D72">
        <w:rPr>
          <w:rFonts w:asciiTheme="majorHAnsi" w:eastAsia="Times New Roman" w:hAnsiTheme="majorHAnsi" w:cstheme="majorHAnsi"/>
          <w:sz w:val="24"/>
          <w:szCs w:val="24"/>
        </w:rPr>
        <w:t>transparență</w:t>
      </w:r>
      <w:r w:rsidRPr="003F4D72">
        <w:rPr>
          <w:rFonts w:asciiTheme="majorHAnsi" w:eastAsia="Times New Roman" w:hAnsiTheme="majorHAnsi" w:cstheme="majorHAnsi"/>
          <w:sz w:val="24"/>
          <w:szCs w:val="24"/>
        </w:rPr>
        <w:t xml:space="preserv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răspundere, economicitate, </w:t>
      </w:r>
      <w:r w:rsidR="00CD542E" w:rsidRPr="003F4D72">
        <w:rPr>
          <w:rFonts w:asciiTheme="majorHAnsi" w:eastAsia="Times New Roman" w:hAnsiTheme="majorHAnsi" w:cstheme="majorHAnsi"/>
          <w:sz w:val="24"/>
          <w:szCs w:val="24"/>
        </w:rPr>
        <w:t>eficiență</w:t>
      </w:r>
      <w:r w:rsidRPr="003F4D72">
        <w:rPr>
          <w:rFonts w:asciiTheme="majorHAnsi" w:eastAsia="Times New Roman" w:hAnsiTheme="majorHAnsi" w:cstheme="majorHAnsi"/>
          <w:sz w:val="24"/>
          <w:szCs w:val="24"/>
        </w:rPr>
        <w:t xml:space="preserv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eficacitate, legalitate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echitate, etică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integritate. </w:t>
      </w:r>
    </w:p>
    <w:p w14:paraId="341407B0" w14:textId="42BD0F99" w:rsidR="00F81110" w:rsidRPr="003F4D72" w:rsidRDefault="00F81110" w:rsidP="000A1CD6">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Evaluarea sistemului de control intern managerial relevă că</w:t>
      </w:r>
      <w:r w:rsidRPr="003F4D72">
        <w:rPr>
          <w:rFonts w:asciiTheme="majorHAnsi" w:eastAsia="Times New Roman" w:hAnsiTheme="majorHAnsi" w:cstheme="majorHAnsi"/>
          <w:i/>
          <w:iCs/>
          <w:sz w:val="24"/>
          <w:szCs w:val="24"/>
        </w:rPr>
        <w:t xml:space="preserve"> </w:t>
      </w:r>
      <w:r w:rsidR="00D53BE1" w:rsidRPr="003F4D72">
        <w:rPr>
          <w:rFonts w:asciiTheme="majorHAnsi" w:eastAsia="Times New Roman" w:hAnsiTheme="majorHAnsi" w:cstheme="majorHAnsi"/>
          <w:sz w:val="24"/>
          <w:szCs w:val="24"/>
        </w:rPr>
        <w:t>CNAM</w:t>
      </w:r>
      <w:r w:rsidRPr="003F4D72">
        <w:rPr>
          <w:rFonts w:asciiTheme="majorHAnsi" w:eastAsia="Times New Roman" w:hAnsiTheme="majorHAnsi" w:cstheme="majorHAnsi"/>
          <w:sz w:val="24"/>
          <w:szCs w:val="24"/>
        </w:rPr>
        <w:t xml:space="preserve"> a instituit sistemul de control</w:t>
      </w:r>
      <w:r w:rsidR="00AB1EAE" w:rsidRPr="003F4D72">
        <w:rPr>
          <w:rFonts w:asciiTheme="majorHAnsi" w:eastAsia="Times New Roman" w:hAnsiTheme="majorHAnsi" w:cstheme="majorHAnsi"/>
          <w:sz w:val="24"/>
          <w:szCs w:val="24"/>
        </w:rPr>
        <w:t xml:space="preserve"> intern managerial</w:t>
      </w:r>
      <w:r w:rsidRPr="003F4D72">
        <w:rPr>
          <w:rFonts w:asciiTheme="majorHAnsi" w:eastAsia="Times New Roman" w:hAnsiTheme="majorHAnsi" w:cstheme="majorHAnsi"/>
          <w:sz w:val="24"/>
          <w:szCs w:val="24"/>
        </w:rPr>
        <w:t xml:space="preserve">, iar conform </w:t>
      </w:r>
      <w:r w:rsidR="00CD542E" w:rsidRPr="003F4D72">
        <w:rPr>
          <w:rFonts w:asciiTheme="majorHAnsi" w:eastAsia="Times New Roman" w:hAnsiTheme="majorHAnsi" w:cstheme="majorHAnsi"/>
          <w:sz w:val="24"/>
          <w:szCs w:val="24"/>
        </w:rPr>
        <w:t>Declarației</w:t>
      </w:r>
      <w:r w:rsidRPr="003F4D72">
        <w:rPr>
          <w:rFonts w:asciiTheme="majorHAnsi" w:eastAsia="Times New Roman" w:hAnsiTheme="majorHAnsi" w:cstheme="majorHAnsi"/>
          <w:sz w:val="24"/>
          <w:szCs w:val="24"/>
        </w:rPr>
        <w:t xml:space="preserve"> de răspundere managerială, organizarea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w:t>
      </w:r>
      <w:r w:rsidR="00CD542E" w:rsidRPr="003F4D72">
        <w:rPr>
          <w:rFonts w:asciiTheme="majorHAnsi" w:eastAsia="Times New Roman" w:hAnsiTheme="majorHAnsi" w:cstheme="majorHAnsi"/>
          <w:sz w:val="24"/>
          <w:szCs w:val="24"/>
        </w:rPr>
        <w:t>funcționarea</w:t>
      </w:r>
      <w:r w:rsidRPr="003F4D72">
        <w:rPr>
          <w:rFonts w:asciiTheme="majorHAnsi" w:eastAsia="Times New Roman" w:hAnsiTheme="majorHAnsi" w:cstheme="majorHAnsi"/>
          <w:sz w:val="24"/>
          <w:szCs w:val="24"/>
        </w:rPr>
        <w:t xml:space="preserve"> acestuia permite </w:t>
      </w:r>
      <w:r w:rsidR="00CD542E" w:rsidRPr="003F4D72">
        <w:rPr>
          <w:rFonts w:asciiTheme="majorHAnsi" w:eastAsia="Times New Roman" w:hAnsiTheme="majorHAnsi" w:cstheme="majorHAnsi"/>
          <w:sz w:val="24"/>
          <w:szCs w:val="24"/>
        </w:rPr>
        <w:t>parțial</w:t>
      </w:r>
      <w:r w:rsidRPr="003F4D72">
        <w:rPr>
          <w:rFonts w:asciiTheme="majorHAnsi" w:eastAsia="Times New Roman" w:hAnsiTheme="majorHAnsi" w:cstheme="majorHAnsi"/>
          <w:sz w:val="24"/>
          <w:szCs w:val="24"/>
        </w:rPr>
        <w:t xml:space="preserve"> furnizarea unei asigurări rezonabile precum că fondurile publice alocate în scopul atingerii obiectivelor strategice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w:t>
      </w:r>
      <w:r w:rsidR="00CD542E" w:rsidRPr="003F4D72">
        <w:rPr>
          <w:rFonts w:asciiTheme="majorHAnsi" w:eastAsia="Times New Roman" w:hAnsiTheme="majorHAnsi" w:cstheme="majorHAnsi"/>
          <w:sz w:val="24"/>
          <w:szCs w:val="24"/>
        </w:rPr>
        <w:t>operaționale</w:t>
      </w:r>
      <w:r w:rsidRPr="003F4D72">
        <w:rPr>
          <w:rFonts w:asciiTheme="majorHAnsi" w:eastAsia="Times New Roman" w:hAnsiTheme="majorHAnsi" w:cstheme="majorHAnsi"/>
          <w:sz w:val="24"/>
          <w:szCs w:val="24"/>
        </w:rPr>
        <w:t xml:space="preserve"> au fost utilizate în </w:t>
      </w:r>
      <w:r w:rsidR="00CD542E" w:rsidRPr="003F4D72">
        <w:rPr>
          <w:rFonts w:asciiTheme="majorHAnsi" w:eastAsia="Times New Roman" w:hAnsiTheme="majorHAnsi" w:cstheme="majorHAnsi"/>
          <w:sz w:val="24"/>
          <w:szCs w:val="24"/>
        </w:rPr>
        <w:t>condiții</w:t>
      </w:r>
      <w:r w:rsidRPr="003F4D72">
        <w:rPr>
          <w:rFonts w:asciiTheme="majorHAnsi" w:eastAsia="Times New Roman" w:hAnsiTheme="majorHAnsi" w:cstheme="majorHAnsi"/>
          <w:sz w:val="24"/>
          <w:szCs w:val="24"/>
        </w:rPr>
        <w:t xml:space="preserve"> de </w:t>
      </w:r>
      <w:r w:rsidR="00CD542E" w:rsidRPr="003F4D72">
        <w:rPr>
          <w:rFonts w:asciiTheme="majorHAnsi" w:eastAsia="Times New Roman" w:hAnsiTheme="majorHAnsi" w:cstheme="majorHAnsi"/>
          <w:sz w:val="24"/>
          <w:szCs w:val="24"/>
        </w:rPr>
        <w:t>transparență</w:t>
      </w:r>
      <w:r w:rsidRPr="003F4D72">
        <w:rPr>
          <w:rFonts w:asciiTheme="majorHAnsi" w:eastAsia="Times New Roman" w:hAnsiTheme="majorHAnsi" w:cstheme="majorHAnsi"/>
          <w:sz w:val="24"/>
          <w:szCs w:val="24"/>
        </w:rPr>
        <w:t xml:space="preserve">, economicitate, </w:t>
      </w:r>
      <w:r w:rsidR="00CD542E" w:rsidRPr="003F4D72">
        <w:rPr>
          <w:rFonts w:asciiTheme="majorHAnsi" w:eastAsia="Times New Roman" w:hAnsiTheme="majorHAnsi" w:cstheme="majorHAnsi"/>
          <w:sz w:val="24"/>
          <w:szCs w:val="24"/>
        </w:rPr>
        <w:t>eficiență</w:t>
      </w:r>
      <w:r w:rsidRPr="003F4D72">
        <w:rPr>
          <w:rFonts w:asciiTheme="majorHAnsi" w:eastAsia="Times New Roman" w:hAnsiTheme="majorHAnsi" w:cstheme="majorHAnsi"/>
          <w:sz w:val="24"/>
          <w:szCs w:val="24"/>
        </w:rPr>
        <w:t xml:space="preserve">, eficacitate, legalitate, etică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integritate.</w:t>
      </w:r>
    </w:p>
    <w:p w14:paraId="7F77BDF4" w14:textId="1207A7C9" w:rsidR="00F81110" w:rsidRPr="003F4D72" w:rsidRDefault="00F81110" w:rsidP="000A1CD6">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Se denotă că au fost revizuite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actualizate unele procese operaționale de bază privind gestionarea fondurilor publice. De asemenea, evaluările auditului denotă că entitatea a realizat acțiuni în vederea implementării managementului riscurilor, inclusiv prin identificarea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evaluarea riscurilor care ar putea avea impact negativ în atingerea obiectivelor </w:t>
      </w:r>
      <w:r w:rsidR="00CD542E" w:rsidRPr="003F4D72">
        <w:rPr>
          <w:rFonts w:asciiTheme="majorHAnsi" w:eastAsia="Times New Roman" w:hAnsiTheme="majorHAnsi" w:cstheme="majorHAnsi"/>
          <w:sz w:val="24"/>
          <w:szCs w:val="24"/>
        </w:rPr>
        <w:t>entității</w:t>
      </w:r>
      <w:r w:rsidRPr="003F4D72">
        <w:rPr>
          <w:rFonts w:asciiTheme="majorHAnsi" w:eastAsia="Times New Roman" w:hAnsiTheme="majorHAnsi" w:cstheme="majorHAnsi"/>
          <w:sz w:val="24"/>
          <w:szCs w:val="24"/>
        </w:rPr>
        <w:t xml:space="preserv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realizarea performanțelor stabilite. În cadrul CNAM este aprobat Registrul consolidat al risc</w:t>
      </w:r>
      <w:r w:rsidR="00500231" w:rsidRPr="003F4D72">
        <w:rPr>
          <w:rFonts w:asciiTheme="majorHAnsi" w:eastAsia="Times New Roman" w:hAnsiTheme="majorHAnsi" w:cstheme="majorHAnsi"/>
          <w:sz w:val="24"/>
          <w:szCs w:val="24"/>
        </w:rPr>
        <w:t>urilor, care este actualizat se</w:t>
      </w:r>
      <w:r w:rsidRPr="003F4D72">
        <w:rPr>
          <w:rFonts w:asciiTheme="majorHAnsi" w:eastAsia="Times New Roman" w:hAnsiTheme="majorHAnsi" w:cstheme="majorHAnsi"/>
          <w:sz w:val="24"/>
          <w:szCs w:val="24"/>
        </w:rPr>
        <w:t xml:space="preserve">mestrial. </w:t>
      </w:r>
    </w:p>
    <w:p w14:paraId="2FBF43BC" w14:textId="77777777" w:rsidR="00F81110" w:rsidRPr="003F4D72" w:rsidRDefault="00F81110" w:rsidP="000A1CD6">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Totodată, aspectele descrise în raport, caracterul permanent al unor aspecte identificate în cadrul prezentului audit, precum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lipsa remedierii unor deficiențe constatate anterior relevă insuficiența controalelor interne, precum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necesitatea îmbunătățirii sistemului de control intern. </w:t>
      </w:r>
    </w:p>
    <w:p w14:paraId="57965425" w14:textId="77777777" w:rsidR="000838D9" w:rsidRPr="003F4D72" w:rsidRDefault="00F81110" w:rsidP="00261E95">
      <w:pPr>
        <w:spacing w:after="0" w:line="276" w:lineRule="auto"/>
        <w:ind w:firstLine="567"/>
        <w:jc w:val="both"/>
        <w:rPr>
          <w:rFonts w:ascii="Times New Roman" w:eastAsia="Times New Roman" w:hAnsi="Times New Roman" w:cs="Times New Roman"/>
          <w:sz w:val="24"/>
          <w:szCs w:val="24"/>
        </w:rPr>
      </w:pPr>
      <w:r w:rsidRPr="003F4D72">
        <w:rPr>
          <w:rFonts w:ascii="Times New Roman" w:eastAsia="Times New Roman" w:hAnsi="Times New Roman" w:cs="Times New Roman"/>
          <w:sz w:val="24"/>
          <w:szCs w:val="24"/>
        </w:rPr>
        <w:t> </w:t>
      </w:r>
    </w:p>
    <w:p w14:paraId="3D26E8E8" w14:textId="4F4B2F28" w:rsidR="00F81110" w:rsidRPr="003F4D72" w:rsidRDefault="00F81110" w:rsidP="00023B8B">
      <w:pPr>
        <w:pStyle w:val="ListParagraph"/>
        <w:numPr>
          <w:ilvl w:val="1"/>
          <w:numId w:val="35"/>
        </w:numPr>
        <w:spacing w:after="0" w:line="276" w:lineRule="auto"/>
        <w:jc w:val="both"/>
        <w:rPr>
          <w:rFonts w:asciiTheme="majorHAnsi" w:eastAsia="Times New Roman" w:hAnsiTheme="majorHAnsi" w:cstheme="majorHAnsi"/>
          <w:b/>
          <w:bCs/>
          <w:sz w:val="24"/>
          <w:szCs w:val="24"/>
          <w:lang w:val="ro-MD"/>
        </w:rPr>
      </w:pPr>
      <w:r w:rsidRPr="003F4D72">
        <w:rPr>
          <w:rFonts w:asciiTheme="majorHAnsi" w:eastAsia="Times New Roman" w:hAnsiTheme="majorHAnsi" w:cstheme="majorHAnsi"/>
          <w:b/>
          <w:bCs/>
          <w:sz w:val="24"/>
          <w:szCs w:val="24"/>
          <w:lang w:val="ro-MD"/>
        </w:rPr>
        <w:t xml:space="preserve"> Activitatea a</w:t>
      </w:r>
      <w:r w:rsidR="00AC41E9" w:rsidRPr="003F4D72">
        <w:rPr>
          <w:rFonts w:asciiTheme="majorHAnsi" w:eastAsia="Times New Roman" w:hAnsiTheme="majorHAnsi" w:cstheme="majorHAnsi"/>
          <w:b/>
          <w:bCs/>
          <w:sz w:val="24"/>
          <w:szCs w:val="24"/>
          <w:lang w:val="ro-MD"/>
        </w:rPr>
        <w:t>uditului intern este relevantă și asigură evaluarea proceselor</w:t>
      </w:r>
      <w:r w:rsidR="00DF6811" w:rsidRPr="003F4D72">
        <w:rPr>
          <w:rFonts w:asciiTheme="majorHAnsi" w:eastAsia="Times New Roman" w:hAnsiTheme="majorHAnsi" w:cstheme="majorHAnsi"/>
          <w:b/>
          <w:bCs/>
          <w:sz w:val="24"/>
          <w:szCs w:val="24"/>
          <w:lang w:val="ro-MD"/>
        </w:rPr>
        <w:t xml:space="preserve"> de bază</w:t>
      </w:r>
      <w:r w:rsidR="00721B26" w:rsidRPr="003F4D72">
        <w:rPr>
          <w:rFonts w:asciiTheme="majorHAnsi" w:eastAsia="Times New Roman" w:hAnsiTheme="majorHAnsi" w:cstheme="majorHAnsi"/>
          <w:b/>
          <w:bCs/>
          <w:sz w:val="24"/>
          <w:szCs w:val="24"/>
          <w:lang w:val="ro-MD"/>
        </w:rPr>
        <w:t>.</w:t>
      </w:r>
      <w:r w:rsidR="00DF6811" w:rsidRPr="003F4D72">
        <w:rPr>
          <w:rFonts w:asciiTheme="majorHAnsi" w:eastAsia="Times New Roman" w:hAnsiTheme="majorHAnsi" w:cstheme="majorHAnsi"/>
          <w:b/>
          <w:bCs/>
          <w:sz w:val="24"/>
          <w:szCs w:val="24"/>
          <w:lang w:val="ro-MD"/>
        </w:rPr>
        <w:t xml:space="preserve"> </w:t>
      </w:r>
    </w:p>
    <w:p w14:paraId="18C1E17A" w14:textId="07939BC9" w:rsidR="00F81110" w:rsidRPr="003F4D72" w:rsidRDefault="00F81110" w:rsidP="00932B80">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rPr>
        <w:t xml:space="preserve">În cadrul CNAM este instituit Serviciul audit intern, care își desfășoară activitatea în baza planului de activitate anual aprobat de către directorul Companiei. </w:t>
      </w:r>
      <w:r w:rsidRPr="003F4D72">
        <w:rPr>
          <w:rFonts w:asciiTheme="majorHAnsi" w:hAnsiTheme="majorHAnsi" w:cstheme="majorHAnsi"/>
          <w:sz w:val="24"/>
          <w:szCs w:val="24"/>
        </w:rPr>
        <w:t>Misiunea Serviciului este acordarea</w:t>
      </w:r>
      <w:r w:rsidR="00815A71" w:rsidRPr="003F4D72">
        <w:rPr>
          <w:rFonts w:asciiTheme="majorHAnsi" w:hAnsiTheme="majorHAnsi" w:cstheme="majorHAnsi"/>
          <w:sz w:val="24"/>
          <w:szCs w:val="24"/>
        </w:rPr>
        <w:t xml:space="preserve"> </w:t>
      </w:r>
      <w:r w:rsidRPr="003F4D72">
        <w:rPr>
          <w:rFonts w:asciiTheme="majorHAnsi" w:hAnsiTheme="majorHAnsi" w:cstheme="majorHAnsi"/>
          <w:sz w:val="24"/>
          <w:szCs w:val="24"/>
        </w:rPr>
        <w:t xml:space="preserve">consultanței și asigurarea obiectivă privind eficacitatea sistemului de control intern managerial, oferind recomandări pentru perfecționarea acestuia și contribuind la îmbunătățirea activității Companiei. Astfel, </w:t>
      </w:r>
      <w:r w:rsidRPr="003F4D72">
        <w:rPr>
          <w:rFonts w:asciiTheme="majorHAnsi" w:hAnsiTheme="majorHAnsi" w:cstheme="majorHAnsi"/>
          <w:sz w:val="24"/>
        </w:rPr>
        <w:t>pe parcursul anului 2020 au fost realizate activități de consiliere, inclusiv privind evaluarea și implementarea sistemului de control intern managerial d</w:t>
      </w:r>
      <w:r w:rsidR="00752A33" w:rsidRPr="003F4D72">
        <w:rPr>
          <w:rFonts w:asciiTheme="majorHAnsi" w:hAnsiTheme="majorHAnsi" w:cstheme="majorHAnsi"/>
          <w:sz w:val="24"/>
        </w:rPr>
        <w:t>in cadrul</w:t>
      </w:r>
      <w:r w:rsidR="00815A71" w:rsidRPr="003F4D72">
        <w:rPr>
          <w:rFonts w:asciiTheme="majorHAnsi" w:hAnsiTheme="majorHAnsi" w:cstheme="majorHAnsi"/>
          <w:sz w:val="24"/>
        </w:rPr>
        <w:t xml:space="preserve"> </w:t>
      </w:r>
      <w:r w:rsidR="00752A33" w:rsidRPr="003F4D72">
        <w:rPr>
          <w:rFonts w:asciiTheme="majorHAnsi" w:hAnsiTheme="majorHAnsi" w:cstheme="majorHAnsi"/>
          <w:sz w:val="24"/>
        </w:rPr>
        <w:t>Companiei, și anume</w:t>
      </w:r>
      <w:r w:rsidR="003E64C3" w:rsidRPr="003F4D72">
        <w:rPr>
          <w:rFonts w:asciiTheme="majorHAnsi" w:hAnsiTheme="majorHAnsi" w:cstheme="majorHAnsi"/>
          <w:sz w:val="24"/>
        </w:rPr>
        <w:t>:</w:t>
      </w:r>
      <w:r w:rsidR="00752A33" w:rsidRPr="003F4D72">
        <w:rPr>
          <w:rFonts w:asciiTheme="majorHAnsi" w:hAnsiTheme="majorHAnsi" w:cstheme="majorHAnsi"/>
          <w:sz w:val="24"/>
        </w:rPr>
        <w:t xml:space="preserve"> i</w:t>
      </w:r>
      <w:r w:rsidRPr="003F4D72">
        <w:rPr>
          <w:rFonts w:asciiTheme="majorHAnsi" w:hAnsiTheme="majorHAnsi" w:cstheme="majorHAnsi"/>
          <w:sz w:val="24"/>
          <w:szCs w:val="24"/>
        </w:rPr>
        <w:t xml:space="preserve">dentificarea și evaluarea punctelor slabe în cadrul sistemului de </w:t>
      </w:r>
      <w:r w:rsidRPr="003F4D72">
        <w:rPr>
          <w:rFonts w:asciiTheme="majorHAnsi" w:hAnsiTheme="majorHAnsi" w:cstheme="majorHAnsi"/>
          <w:sz w:val="24"/>
          <w:szCs w:val="24"/>
        </w:rPr>
        <w:lastRenderedPageBreak/>
        <w:t xml:space="preserve">autoevaluare și raportare a sistemului de control intern managerial (reflectarea opiniei auditului intern în cadrul </w:t>
      </w:r>
      <w:r w:rsidR="00A61E5B" w:rsidRPr="003F4D72">
        <w:rPr>
          <w:rFonts w:asciiTheme="majorHAnsi" w:hAnsiTheme="majorHAnsi" w:cstheme="majorHAnsi"/>
          <w:sz w:val="24"/>
          <w:szCs w:val="24"/>
        </w:rPr>
        <w:t>Raportului anual privind CIM).</w:t>
      </w:r>
      <w:r w:rsidR="00815A71" w:rsidRPr="003F4D72">
        <w:rPr>
          <w:rFonts w:asciiTheme="majorHAnsi" w:hAnsiTheme="majorHAnsi" w:cstheme="majorHAnsi"/>
          <w:sz w:val="24"/>
          <w:szCs w:val="24"/>
        </w:rPr>
        <w:t xml:space="preserve"> </w:t>
      </w:r>
      <w:r w:rsidRPr="003F4D72">
        <w:rPr>
          <w:rFonts w:asciiTheme="majorHAnsi" w:hAnsiTheme="majorHAnsi" w:cstheme="majorHAnsi"/>
          <w:sz w:val="24"/>
        </w:rPr>
        <w:t xml:space="preserve">Totodată, </w:t>
      </w:r>
      <w:r w:rsidRPr="003F4D72">
        <w:rPr>
          <w:rFonts w:asciiTheme="majorHAnsi" w:hAnsiTheme="majorHAnsi" w:cstheme="majorHAnsi"/>
          <w:sz w:val="24"/>
          <w:szCs w:val="24"/>
        </w:rPr>
        <w:t>conform planului de activitate al SAI</w:t>
      </w:r>
      <w:r w:rsidR="003E64C3" w:rsidRPr="003F4D72">
        <w:rPr>
          <w:rFonts w:asciiTheme="majorHAnsi" w:hAnsiTheme="majorHAnsi" w:cstheme="majorHAnsi"/>
          <w:sz w:val="24"/>
          <w:szCs w:val="24"/>
        </w:rPr>
        <w:t>,</w:t>
      </w:r>
      <w:r w:rsidRPr="003F4D72">
        <w:rPr>
          <w:rFonts w:asciiTheme="majorHAnsi" w:hAnsiTheme="majorHAnsi" w:cstheme="majorHAnsi"/>
          <w:sz w:val="24"/>
          <w:szCs w:val="24"/>
        </w:rPr>
        <w:t xml:space="preserve"> în anul 2020 au fost planificate, efectuate și aprobate 4 misiuni de audit de asigurare. </w:t>
      </w:r>
    </w:p>
    <w:p w14:paraId="60F3CCF3" w14:textId="44CC28D7" w:rsidR="00F81110" w:rsidRPr="003F4D72" w:rsidRDefault="00AC41E9" w:rsidP="00932B80">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Misiunile de audit realizate de către auditul intern </w:t>
      </w:r>
      <w:r w:rsidR="00D04EA7" w:rsidRPr="003F4D72">
        <w:rPr>
          <w:rFonts w:asciiTheme="majorHAnsi" w:hAnsiTheme="majorHAnsi" w:cstheme="majorHAnsi"/>
          <w:sz w:val="24"/>
          <w:szCs w:val="24"/>
        </w:rPr>
        <w:t xml:space="preserve">furnizează informații relevante cu privire la </w:t>
      </w:r>
      <w:r w:rsidR="00F81110" w:rsidRPr="003F4D72">
        <w:rPr>
          <w:rFonts w:asciiTheme="majorHAnsi" w:hAnsiTheme="majorHAnsi" w:cstheme="majorHAnsi"/>
          <w:sz w:val="24"/>
          <w:szCs w:val="24"/>
        </w:rPr>
        <w:t xml:space="preserve">evaluarea </w:t>
      </w:r>
      <w:r w:rsidR="00C0050E" w:rsidRPr="003F4D72">
        <w:rPr>
          <w:rFonts w:asciiTheme="majorHAnsi" w:hAnsiTheme="majorHAnsi" w:cstheme="majorHAnsi"/>
          <w:sz w:val="24"/>
          <w:szCs w:val="24"/>
        </w:rPr>
        <w:t>procese</w:t>
      </w:r>
      <w:r w:rsidR="005D3869" w:rsidRPr="003F4D72">
        <w:rPr>
          <w:rFonts w:asciiTheme="majorHAnsi" w:hAnsiTheme="majorHAnsi" w:cstheme="majorHAnsi"/>
          <w:sz w:val="24"/>
          <w:szCs w:val="24"/>
        </w:rPr>
        <w:t>lor de</w:t>
      </w:r>
      <w:r w:rsidR="00F81110" w:rsidRPr="003F4D72">
        <w:rPr>
          <w:rFonts w:asciiTheme="majorHAnsi" w:hAnsiTheme="majorHAnsi" w:cstheme="majorHAnsi"/>
          <w:sz w:val="24"/>
          <w:szCs w:val="24"/>
        </w:rPr>
        <w:t xml:space="preserve"> </w:t>
      </w:r>
      <w:r w:rsidRPr="003F4D72">
        <w:rPr>
          <w:rFonts w:asciiTheme="majorHAnsi" w:hAnsiTheme="majorHAnsi" w:cstheme="majorHAnsi"/>
          <w:sz w:val="24"/>
          <w:szCs w:val="24"/>
        </w:rPr>
        <w:t xml:space="preserve">raportare, verificare </w:t>
      </w:r>
      <w:r w:rsidR="00C0050E" w:rsidRPr="003F4D72">
        <w:rPr>
          <w:rFonts w:asciiTheme="majorHAnsi" w:hAnsiTheme="majorHAnsi" w:cstheme="majorHAnsi"/>
          <w:sz w:val="24"/>
          <w:szCs w:val="24"/>
        </w:rPr>
        <w:t xml:space="preserve">prealabilă și plata </w:t>
      </w:r>
      <w:r w:rsidRPr="003F4D72">
        <w:rPr>
          <w:rFonts w:asciiTheme="majorHAnsi" w:hAnsiTheme="majorHAnsi" w:cstheme="majorHAnsi"/>
          <w:sz w:val="24"/>
          <w:szCs w:val="24"/>
        </w:rPr>
        <w:t xml:space="preserve">serviciilor medicale prestate de </w:t>
      </w:r>
      <w:r w:rsidR="00C0050E" w:rsidRPr="003F4D72">
        <w:rPr>
          <w:rFonts w:asciiTheme="majorHAnsi" w:hAnsiTheme="majorHAnsi" w:cstheme="majorHAnsi"/>
          <w:sz w:val="24"/>
          <w:szCs w:val="24"/>
        </w:rPr>
        <w:t>instituțiile medicale</w:t>
      </w:r>
      <w:r w:rsidRPr="003F4D72">
        <w:rPr>
          <w:rFonts w:asciiTheme="majorHAnsi" w:hAnsiTheme="majorHAnsi" w:cstheme="majorHAnsi"/>
          <w:sz w:val="24"/>
          <w:szCs w:val="24"/>
        </w:rPr>
        <w:t xml:space="preserve"> contractate</w:t>
      </w:r>
      <w:r w:rsidR="00D04EA7" w:rsidRPr="003F4D72">
        <w:rPr>
          <w:rFonts w:asciiTheme="majorHAnsi" w:hAnsiTheme="majorHAnsi" w:cstheme="majorHAnsi"/>
          <w:sz w:val="24"/>
          <w:szCs w:val="24"/>
        </w:rPr>
        <w:t xml:space="preserve">, </w:t>
      </w:r>
      <w:r w:rsidR="005D3869" w:rsidRPr="003F4D72">
        <w:rPr>
          <w:rFonts w:asciiTheme="majorHAnsi" w:hAnsiTheme="majorHAnsi" w:cstheme="majorHAnsi"/>
          <w:sz w:val="24"/>
          <w:szCs w:val="24"/>
        </w:rPr>
        <w:t>remunerare</w:t>
      </w:r>
      <w:r w:rsidR="00DF6811" w:rsidRPr="003F4D72">
        <w:rPr>
          <w:rFonts w:asciiTheme="majorHAnsi" w:hAnsiTheme="majorHAnsi" w:cstheme="majorHAnsi"/>
          <w:sz w:val="24"/>
          <w:szCs w:val="24"/>
        </w:rPr>
        <w:t>a muncii prin prisma sistemului de control intern existent, management</w:t>
      </w:r>
      <w:r w:rsidR="00C0050E" w:rsidRPr="003F4D72">
        <w:rPr>
          <w:rFonts w:asciiTheme="majorHAnsi" w:hAnsiTheme="majorHAnsi" w:cstheme="majorHAnsi"/>
          <w:sz w:val="24"/>
          <w:szCs w:val="24"/>
        </w:rPr>
        <w:t>ul</w:t>
      </w:r>
      <w:r w:rsidR="00DF6811" w:rsidRPr="003F4D72">
        <w:rPr>
          <w:rFonts w:asciiTheme="majorHAnsi" w:hAnsiTheme="majorHAnsi" w:cstheme="majorHAnsi"/>
          <w:sz w:val="24"/>
          <w:szCs w:val="24"/>
        </w:rPr>
        <w:t xml:space="preserve"> resurselor umane, organiz</w:t>
      </w:r>
      <w:r w:rsidR="00C0050E" w:rsidRPr="003F4D72">
        <w:rPr>
          <w:rFonts w:asciiTheme="majorHAnsi" w:hAnsiTheme="majorHAnsi" w:cstheme="majorHAnsi"/>
          <w:sz w:val="24"/>
          <w:szCs w:val="24"/>
        </w:rPr>
        <w:t>area și desfășurarea activităților</w:t>
      </w:r>
      <w:r w:rsidR="00DF6811" w:rsidRPr="003F4D72">
        <w:rPr>
          <w:rFonts w:asciiTheme="majorHAnsi" w:hAnsiTheme="majorHAnsi" w:cstheme="majorHAnsi"/>
          <w:sz w:val="24"/>
          <w:szCs w:val="24"/>
        </w:rPr>
        <w:t xml:space="preserve"> în cadrul agențiilor teritoriale</w:t>
      </w:r>
      <w:r w:rsidR="00A61E5B" w:rsidRPr="003F4D72">
        <w:rPr>
          <w:rFonts w:asciiTheme="majorHAnsi" w:hAnsiTheme="majorHAnsi" w:cstheme="majorHAnsi"/>
          <w:sz w:val="24"/>
          <w:szCs w:val="24"/>
        </w:rPr>
        <w:t xml:space="preserve">. </w:t>
      </w:r>
    </w:p>
    <w:p w14:paraId="408EECBF" w14:textId="77777777" w:rsidR="00023B8B" w:rsidRPr="003F4D72" w:rsidRDefault="00023B8B" w:rsidP="00932B80">
      <w:pPr>
        <w:spacing w:after="0" w:line="276" w:lineRule="auto"/>
        <w:ind w:firstLine="567"/>
        <w:jc w:val="both"/>
        <w:rPr>
          <w:rFonts w:asciiTheme="majorHAnsi" w:hAnsiTheme="majorHAnsi" w:cstheme="majorHAnsi"/>
          <w:sz w:val="24"/>
          <w:szCs w:val="24"/>
        </w:rPr>
      </w:pPr>
    </w:p>
    <w:p w14:paraId="35E81CAA" w14:textId="77E8ECA7" w:rsidR="00B27338" w:rsidRPr="003F4D72" w:rsidRDefault="00102412" w:rsidP="00B27338">
      <w:pPr>
        <w:pStyle w:val="ListParagraph"/>
        <w:numPr>
          <w:ilvl w:val="1"/>
          <w:numId w:val="38"/>
        </w:numPr>
        <w:spacing w:after="0" w:line="276" w:lineRule="auto"/>
        <w:ind w:left="0" w:firstLine="284"/>
        <w:jc w:val="both"/>
        <w:rPr>
          <w:rFonts w:asciiTheme="majorHAnsi" w:eastAsia="Times New Roman" w:hAnsiTheme="majorHAnsi" w:cstheme="majorHAnsi"/>
          <w:color w:val="000000"/>
          <w:sz w:val="24"/>
          <w:szCs w:val="24"/>
          <w:lang w:val="ro-MD"/>
        </w:rPr>
      </w:pPr>
      <w:r w:rsidRPr="003F4D72">
        <w:rPr>
          <w:rFonts w:asciiTheme="majorHAnsi" w:eastAsia="Times New Roman" w:hAnsiTheme="majorHAnsi" w:cstheme="majorHAnsi"/>
          <w:b/>
          <w:bCs/>
          <w:sz w:val="24"/>
          <w:szCs w:val="24"/>
          <w:lang w:val="ro-MD"/>
        </w:rPr>
        <w:t>Cu referire la</w:t>
      </w:r>
      <w:r w:rsidR="00815A71" w:rsidRPr="003F4D72">
        <w:rPr>
          <w:rFonts w:asciiTheme="majorHAnsi" w:eastAsia="Times New Roman" w:hAnsiTheme="majorHAnsi" w:cstheme="majorHAnsi"/>
          <w:b/>
          <w:bCs/>
          <w:sz w:val="24"/>
          <w:szCs w:val="24"/>
          <w:lang w:val="ro-MD"/>
        </w:rPr>
        <w:t xml:space="preserve"> </w:t>
      </w:r>
      <w:r w:rsidRPr="003F4D72">
        <w:rPr>
          <w:rFonts w:asciiTheme="majorHAnsi" w:eastAsia="Times New Roman" w:hAnsiTheme="majorHAnsi" w:cstheme="majorHAnsi"/>
          <w:b/>
          <w:bCs/>
          <w:sz w:val="24"/>
          <w:szCs w:val="24"/>
          <w:lang w:val="ro-MD"/>
        </w:rPr>
        <w:t>i</w:t>
      </w:r>
      <w:r w:rsidR="00B27338" w:rsidRPr="003F4D72">
        <w:rPr>
          <w:rFonts w:asciiTheme="majorHAnsi" w:eastAsia="Times New Roman" w:hAnsiTheme="majorHAnsi" w:cstheme="majorHAnsi"/>
          <w:b/>
          <w:bCs/>
          <w:sz w:val="24"/>
          <w:szCs w:val="24"/>
          <w:lang w:val="ro-MD"/>
        </w:rPr>
        <w:t xml:space="preserve">mplementarea recomandărilor din </w:t>
      </w:r>
      <w:hyperlink r:id="rId20" w:history="1">
        <w:r w:rsidR="00B27338" w:rsidRPr="003F4D72">
          <w:rPr>
            <w:rFonts w:asciiTheme="majorHAnsi" w:eastAsia="Times New Roman" w:hAnsiTheme="majorHAnsi" w:cstheme="majorHAnsi"/>
            <w:b/>
            <w:bCs/>
            <w:sz w:val="24"/>
            <w:szCs w:val="24"/>
            <w:lang w:val="ro-MD"/>
          </w:rPr>
          <w:t>Hotărârea Curții de Conturi nr. 30 din 16.07.2020</w:t>
        </w:r>
      </w:hyperlink>
      <w:r w:rsidR="00B27338" w:rsidRPr="003F4D72">
        <w:rPr>
          <w:rFonts w:asciiTheme="majorHAnsi" w:eastAsia="Times New Roman" w:hAnsiTheme="majorHAnsi" w:cstheme="majorHAnsi"/>
          <w:b/>
          <w:bCs/>
          <w:sz w:val="24"/>
          <w:szCs w:val="24"/>
          <w:lang w:val="ro-MD"/>
        </w:rPr>
        <w:t xml:space="preserve"> „Cu privire la auditul financiar asupra Raportului Guvernului privind executarea fondurilor asigurării obligatorii de asisten</w:t>
      </w:r>
      <w:r w:rsidRPr="003F4D72">
        <w:rPr>
          <w:rFonts w:asciiTheme="majorHAnsi" w:eastAsia="Times New Roman" w:hAnsiTheme="majorHAnsi" w:cstheme="majorHAnsi"/>
          <w:b/>
          <w:bCs/>
          <w:sz w:val="24"/>
          <w:szCs w:val="24"/>
          <w:lang w:val="ro-MD"/>
        </w:rPr>
        <w:t>ță</w:t>
      </w:r>
      <w:r w:rsidR="00B27338" w:rsidRPr="003F4D72">
        <w:rPr>
          <w:rFonts w:asciiTheme="majorHAnsi" w:eastAsia="Times New Roman" w:hAnsiTheme="majorHAnsi" w:cstheme="majorHAnsi"/>
          <w:b/>
          <w:bCs/>
          <w:sz w:val="24"/>
          <w:szCs w:val="24"/>
          <w:lang w:val="ro-MD"/>
        </w:rPr>
        <w:t xml:space="preserve"> medicală în anul 2019”</w:t>
      </w:r>
      <w:r w:rsidR="00B27338" w:rsidRPr="003F4D72">
        <w:rPr>
          <w:rFonts w:asciiTheme="majorHAnsi" w:eastAsia="Times New Roman" w:hAnsiTheme="majorHAnsi" w:cstheme="majorHAnsi"/>
          <w:sz w:val="24"/>
          <w:szCs w:val="24"/>
          <w:lang w:val="ro-MD"/>
        </w:rPr>
        <w:t xml:space="preserve">, </w:t>
      </w:r>
      <w:r w:rsidRPr="003F4D72">
        <w:rPr>
          <w:rFonts w:asciiTheme="majorHAnsi" w:eastAsia="Times New Roman" w:hAnsiTheme="majorHAnsi" w:cstheme="majorHAnsi"/>
          <w:sz w:val="24"/>
          <w:szCs w:val="24"/>
          <w:lang w:val="ro-MD"/>
        </w:rPr>
        <w:t>se atestă</w:t>
      </w:r>
      <w:r w:rsidR="00B27338" w:rsidRPr="003F4D72">
        <w:rPr>
          <w:rFonts w:asciiTheme="majorHAnsi" w:eastAsia="Times New Roman" w:hAnsiTheme="majorHAnsi" w:cstheme="majorHAnsi"/>
          <w:color w:val="000000"/>
          <w:sz w:val="24"/>
          <w:szCs w:val="24"/>
          <w:lang w:val="ro-MD"/>
        </w:rPr>
        <w:t xml:space="preserve"> un nivel redus de realizare de către CNAM, MSMPS, precum și </w:t>
      </w:r>
      <w:r w:rsidRPr="003F4D72">
        <w:rPr>
          <w:rFonts w:asciiTheme="majorHAnsi" w:eastAsia="Times New Roman" w:hAnsiTheme="majorHAnsi" w:cstheme="majorHAnsi"/>
          <w:color w:val="000000"/>
          <w:sz w:val="24"/>
          <w:szCs w:val="24"/>
          <w:lang w:val="ro-MD"/>
        </w:rPr>
        <w:t xml:space="preserve">de </w:t>
      </w:r>
      <w:r w:rsidR="00B27338" w:rsidRPr="003F4D72">
        <w:rPr>
          <w:rFonts w:asciiTheme="majorHAnsi" w:eastAsia="Times New Roman" w:hAnsiTheme="majorHAnsi" w:cstheme="majorHAnsi"/>
          <w:color w:val="000000"/>
          <w:sz w:val="24"/>
          <w:szCs w:val="24"/>
          <w:lang w:val="ro-MD"/>
        </w:rPr>
        <w:t>alte instituții implicate. Astfel, recomandările înaintate au fost implementate la un nivel de 33,3 %</w:t>
      </w:r>
      <w:r w:rsidR="00B27338" w:rsidRPr="003F4D72">
        <w:rPr>
          <w:rFonts w:asciiTheme="majorHAnsi" w:eastAsia="Times New Roman" w:hAnsiTheme="majorHAnsi" w:cstheme="majorHAnsi"/>
          <w:sz w:val="24"/>
          <w:szCs w:val="24"/>
          <w:lang w:val="ro-MD"/>
        </w:rPr>
        <w:t xml:space="preserve">, fiind implementată o recomandare, </w:t>
      </w:r>
      <w:r w:rsidR="00B27338" w:rsidRPr="003F4D72">
        <w:rPr>
          <w:rFonts w:asciiTheme="majorHAnsi" w:eastAsia="Times New Roman" w:hAnsiTheme="majorHAnsi" w:cstheme="majorHAnsi"/>
          <w:color w:val="000000"/>
          <w:sz w:val="24"/>
          <w:szCs w:val="24"/>
          <w:lang w:val="ro-MD"/>
        </w:rPr>
        <w:t>6 recomandări - implementate parțial, iar 5 - nu au fost implementat</w:t>
      </w:r>
      <w:r w:rsidR="00635B1B" w:rsidRPr="003F4D72">
        <w:rPr>
          <w:rFonts w:asciiTheme="majorHAnsi" w:eastAsia="Times New Roman" w:hAnsiTheme="majorHAnsi" w:cstheme="majorHAnsi"/>
          <w:color w:val="000000"/>
          <w:sz w:val="24"/>
          <w:szCs w:val="24"/>
          <w:lang w:val="ro-MD"/>
        </w:rPr>
        <w:t xml:space="preserve">e, date prezentate în </w:t>
      </w:r>
      <w:r w:rsidRPr="003F4D72">
        <w:rPr>
          <w:rFonts w:asciiTheme="majorHAnsi" w:eastAsia="Times New Roman" w:hAnsiTheme="majorHAnsi" w:cstheme="majorHAnsi"/>
          <w:color w:val="000000"/>
          <w:sz w:val="24"/>
          <w:szCs w:val="24"/>
          <w:lang w:val="ro-MD"/>
        </w:rPr>
        <w:t>A</w:t>
      </w:r>
      <w:r w:rsidR="00635B1B" w:rsidRPr="003F4D72">
        <w:rPr>
          <w:rFonts w:asciiTheme="majorHAnsi" w:eastAsia="Times New Roman" w:hAnsiTheme="majorHAnsi" w:cstheme="majorHAnsi"/>
          <w:color w:val="000000"/>
          <w:sz w:val="24"/>
          <w:szCs w:val="24"/>
          <w:lang w:val="ro-MD"/>
        </w:rPr>
        <w:t>nexa nr.7</w:t>
      </w:r>
      <w:r w:rsidR="00B27338" w:rsidRPr="003F4D72">
        <w:rPr>
          <w:rFonts w:asciiTheme="majorHAnsi" w:eastAsia="Times New Roman" w:hAnsiTheme="majorHAnsi" w:cstheme="majorHAnsi"/>
          <w:color w:val="000000"/>
          <w:sz w:val="24"/>
          <w:szCs w:val="24"/>
          <w:lang w:val="ro-MD"/>
        </w:rPr>
        <w:t xml:space="preserve"> la prezentul raport de audit. </w:t>
      </w:r>
    </w:p>
    <w:p w14:paraId="24A0819F" w14:textId="77777777" w:rsidR="00B27338" w:rsidRPr="003F4D72" w:rsidRDefault="00B27338" w:rsidP="003F4D72">
      <w:pPr>
        <w:pStyle w:val="ListParagraph"/>
        <w:spacing w:after="0" w:line="276" w:lineRule="auto"/>
        <w:ind w:left="0" w:firstLine="567"/>
        <w:jc w:val="both"/>
        <w:rPr>
          <w:rFonts w:asciiTheme="majorHAnsi" w:eastAsia="Times New Roman" w:hAnsiTheme="majorHAnsi" w:cstheme="majorHAnsi"/>
          <w:color w:val="000000"/>
          <w:sz w:val="24"/>
          <w:szCs w:val="24"/>
          <w:lang w:val="ro-MD"/>
        </w:rPr>
      </w:pPr>
      <w:r w:rsidRPr="003F4D72">
        <w:rPr>
          <w:rFonts w:asciiTheme="majorHAnsi" w:eastAsia="Times New Roman" w:hAnsiTheme="majorHAnsi" w:cstheme="majorHAnsi"/>
          <w:color w:val="000000"/>
          <w:sz w:val="24"/>
          <w:szCs w:val="24"/>
          <w:lang w:val="ro-MD"/>
        </w:rPr>
        <w:t>Impactul benefic atins prin realizarea unei recomandări v-a determina evaluarea nivelului de realizare a proiectelor investiționale destinate dezvoltării și modernizării instituțiilor medicale.</w:t>
      </w:r>
      <w:r w:rsidRPr="003F4D72">
        <w:rPr>
          <w:rFonts w:asciiTheme="majorHAnsi" w:eastAsia="Times New Roman" w:hAnsiTheme="majorHAnsi" w:cstheme="majorHAnsi"/>
          <w:b/>
          <w:bCs/>
          <w:i/>
          <w:iCs/>
          <w:color w:val="000000"/>
          <w:sz w:val="24"/>
          <w:szCs w:val="24"/>
          <w:lang w:val="ro-MD"/>
        </w:rPr>
        <w:t xml:space="preserve"> </w:t>
      </w:r>
    </w:p>
    <w:p w14:paraId="3C997EC3" w14:textId="00F7A7AE" w:rsidR="00B27338" w:rsidRPr="003F4D72" w:rsidRDefault="00B27338" w:rsidP="00B27338">
      <w:pPr>
        <w:spacing w:after="0" w:line="276" w:lineRule="auto"/>
        <w:ind w:firstLine="567"/>
        <w:jc w:val="both"/>
        <w:rPr>
          <w:rFonts w:asciiTheme="majorHAnsi" w:hAnsiTheme="majorHAnsi" w:cstheme="majorHAnsi"/>
          <w:bCs/>
          <w:i/>
          <w:iCs/>
          <w:color w:val="000000"/>
          <w:sz w:val="24"/>
          <w:szCs w:val="24"/>
        </w:rPr>
      </w:pPr>
      <w:r w:rsidRPr="003F4D72">
        <w:rPr>
          <w:rFonts w:asciiTheme="majorHAnsi" w:hAnsiTheme="majorHAnsi" w:cstheme="majorHAnsi"/>
          <w:bCs/>
          <w:iCs/>
          <w:color w:val="000000"/>
          <w:sz w:val="24"/>
          <w:szCs w:val="24"/>
        </w:rPr>
        <w:t>Relevant este și nivelul parțial de implementare a unor recomandări,</w:t>
      </w:r>
      <w:r w:rsidR="00B725E8" w:rsidRPr="003F4D72" w:rsidDel="00B725E8">
        <w:rPr>
          <w:rFonts w:asciiTheme="majorHAnsi" w:hAnsiTheme="majorHAnsi" w:cstheme="majorHAnsi"/>
          <w:bCs/>
          <w:iCs/>
          <w:color w:val="000000"/>
          <w:sz w:val="24"/>
          <w:szCs w:val="24"/>
        </w:rPr>
        <w:t xml:space="preserve"> </w:t>
      </w:r>
      <w:r w:rsidRPr="003F4D72">
        <w:rPr>
          <w:rFonts w:asciiTheme="majorHAnsi" w:hAnsiTheme="majorHAnsi" w:cstheme="majorHAnsi"/>
          <w:bCs/>
          <w:iCs/>
          <w:color w:val="000000"/>
          <w:sz w:val="24"/>
          <w:szCs w:val="24"/>
        </w:rPr>
        <w:t>care se datorează proceselor complexe, cadrului instituțional sistemic și resursele de timp necesare pentru ajustarea reglementărilor ce vizează procesele de contractare, raportare și achitare a serviciilor medicale.</w:t>
      </w:r>
      <w:r w:rsidRPr="003F4D72">
        <w:rPr>
          <w:rFonts w:asciiTheme="majorHAnsi" w:hAnsiTheme="majorHAnsi" w:cstheme="majorHAnsi"/>
          <w:bCs/>
          <w:i/>
          <w:iCs/>
          <w:color w:val="000000"/>
          <w:sz w:val="24"/>
          <w:szCs w:val="24"/>
        </w:rPr>
        <w:t xml:space="preserve"> </w:t>
      </w:r>
      <w:r w:rsidRPr="003F4D72">
        <w:rPr>
          <w:rFonts w:asciiTheme="majorHAnsi" w:hAnsiTheme="majorHAnsi" w:cstheme="majorHAnsi"/>
          <w:bCs/>
          <w:iCs/>
          <w:color w:val="000000"/>
          <w:sz w:val="24"/>
          <w:szCs w:val="24"/>
        </w:rPr>
        <w:t xml:space="preserve">Deși CNAM a întreprins măsuri pentru a asigura continuitatea reformei de extindere a funcționalității SIA AMP și implementarea rețetei electronice „e-Rețetă”, acest proces urmează a fi definitivat. Aceste circumstanțe </w:t>
      </w:r>
      <w:r w:rsidRPr="003F4D72">
        <w:rPr>
          <w:rFonts w:asciiTheme="majorHAnsi" w:eastAsia="Times New Roman" w:hAnsiTheme="majorHAnsi" w:cstheme="majorHAnsi"/>
          <w:sz w:val="24"/>
          <w:szCs w:val="24"/>
        </w:rPr>
        <w:t xml:space="preserve">vor conduce la diminuarea și </w:t>
      </w:r>
      <w:r w:rsidRPr="003F4D72">
        <w:rPr>
          <w:rFonts w:asciiTheme="majorHAnsi" w:hAnsiTheme="majorHAnsi" w:cstheme="majorHAnsi"/>
          <w:bCs/>
          <w:iCs/>
          <w:color w:val="000000"/>
          <w:sz w:val="24"/>
          <w:szCs w:val="24"/>
        </w:rPr>
        <w:t xml:space="preserve">eliminarea datelor eronate ce se conțin în SI </w:t>
      </w:r>
      <w:r w:rsidR="00B725E8" w:rsidRPr="003F4D72">
        <w:rPr>
          <w:rFonts w:asciiTheme="majorHAnsi" w:hAnsiTheme="majorHAnsi" w:cstheme="majorHAnsi"/>
          <w:bCs/>
          <w:iCs/>
          <w:color w:val="000000"/>
          <w:sz w:val="24"/>
          <w:szCs w:val="24"/>
        </w:rPr>
        <w:t>„</w:t>
      </w:r>
      <w:r w:rsidRPr="003F4D72">
        <w:rPr>
          <w:rFonts w:asciiTheme="majorHAnsi" w:hAnsiTheme="majorHAnsi" w:cstheme="majorHAnsi"/>
          <w:bCs/>
          <w:iCs/>
          <w:color w:val="000000"/>
          <w:sz w:val="24"/>
          <w:szCs w:val="24"/>
        </w:rPr>
        <w:t>Medicamente compensate”, în baza cărora CNAM efectuează plăți din FAOAM.</w:t>
      </w:r>
      <w:r w:rsidR="00815A71" w:rsidRPr="003F4D72">
        <w:rPr>
          <w:rFonts w:asciiTheme="majorHAnsi" w:hAnsiTheme="majorHAnsi" w:cstheme="majorHAnsi"/>
          <w:bCs/>
          <w:i/>
          <w:iCs/>
          <w:color w:val="000000"/>
          <w:sz w:val="24"/>
          <w:szCs w:val="24"/>
        </w:rPr>
        <w:t xml:space="preserve"> </w:t>
      </w:r>
    </w:p>
    <w:p w14:paraId="67A0DC0C" w14:textId="37E87103" w:rsidR="00B27338" w:rsidRPr="003F4D72" w:rsidRDefault="00B27338" w:rsidP="00B27338">
      <w:pPr>
        <w:spacing w:after="0" w:line="276" w:lineRule="auto"/>
        <w:ind w:firstLine="567"/>
        <w:jc w:val="both"/>
        <w:rPr>
          <w:rFonts w:asciiTheme="majorHAnsi" w:hAnsiTheme="majorHAnsi" w:cstheme="majorHAnsi"/>
          <w:bCs/>
          <w:i/>
          <w:iCs/>
          <w:color w:val="000000"/>
          <w:sz w:val="24"/>
          <w:szCs w:val="24"/>
        </w:rPr>
      </w:pPr>
      <w:r w:rsidRPr="003F4D72">
        <w:rPr>
          <w:rFonts w:asciiTheme="majorHAnsi" w:hAnsiTheme="majorHAnsi" w:cstheme="majorHAnsi"/>
          <w:bCs/>
          <w:iCs/>
          <w:color w:val="000000"/>
          <w:sz w:val="24"/>
          <w:szCs w:val="24"/>
        </w:rPr>
        <w:t>Cu referire la Listele de așteptare a</w:t>
      </w:r>
      <w:r w:rsidR="00B725E8" w:rsidRPr="003F4D72">
        <w:rPr>
          <w:rFonts w:asciiTheme="majorHAnsi" w:hAnsiTheme="majorHAnsi" w:cstheme="majorHAnsi"/>
          <w:bCs/>
          <w:iCs/>
          <w:color w:val="000000"/>
          <w:sz w:val="24"/>
          <w:szCs w:val="24"/>
        </w:rPr>
        <w:t>le</w:t>
      </w:r>
      <w:r w:rsidRPr="003F4D72">
        <w:rPr>
          <w:rFonts w:asciiTheme="majorHAnsi" w:hAnsiTheme="majorHAnsi" w:cstheme="majorHAnsi"/>
          <w:bCs/>
          <w:iCs/>
          <w:color w:val="000000"/>
          <w:sz w:val="24"/>
          <w:szCs w:val="24"/>
        </w:rPr>
        <w:t xml:space="preserve"> pacienților care necesită intervenții chirurgicale, se relevă că acestea au fost preluate în noiembrie 2020 de către CNAM, iar p</w:t>
      </w:r>
      <w:r w:rsidRPr="003F4D72">
        <w:rPr>
          <w:rFonts w:asciiTheme="majorHAnsi" w:eastAsia="Times New Roman" w:hAnsiTheme="majorHAnsi" w:cstheme="majorHAnsi"/>
          <w:sz w:val="24"/>
          <w:szCs w:val="28"/>
          <w:lang w:eastAsia="ru-RU"/>
        </w:rPr>
        <w:t>rocesul de ajustare a acestora este complex, de durată și implică necesitatea actualizării datelor de la instituțiile medicale de diferite nivel</w:t>
      </w:r>
      <w:r w:rsidR="00B725E8" w:rsidRPr="003F4D72">
        <w:rPr>
          <w:rFonts w:asciiTheme="majorHAnsi" w:eastAsia="Times New Roman" w:hAnsiTheme="majorHAnsi" w:cstheme="majorHAnsi"/>
          <w:sz w:val="24"/>
          <w:szCs w:val="28"/>
          <w:lang w:eastAsia="ru-RU"/>
        </w:rPr>
        <w:t>uri</w:t>
      </w:r>
      <w:r w:rsidRPr="003F4D72">
        <w:rPr>
          <w:rFonts w:asciiTheme="majorHAnsi" w:eastAsia="Times New Roman" w:hAnsiTheme="majorHAnsi" w:cstheme="majorHAnsi"/>
          <w:sz w:val="24"/>
          <w:szCs w:val="28"/>
          <w:lang w:eastAsia="ru-RU"/>
        </w:rPr>
        <w:t>.</w:t>
      </w:r>
    </w:p>
    <w:p w14:paraId="2126B711" w14:textId="77777777" w:rsidR="00B27338" w:rsidRPr="003F4D72" w:rsidRDefault="00B27338" w:rsidP="00B27338">
      <w:pPr>
        <w:spacing w:after="0" w:line="276" w:lineRule="auto"/>
        <w:ind w:firstLine="567"/>
        <w:jc w:val="both"/>
        <w:rPr>
          <w:rFonts w:asciiTheme="majorHAnsi" w:hAnsiTheme="majorHAnsi" w:cstheme="majorHAnsi"/>
          <w:sz w:val="24"/>
          <w:szCs w:val="24"/>
          <w:shd w:val="clear" w:color="auto" w:fill="FFFFFF"/>
        </w:rPr>
      </w:pPr>
      <w:r w:rsidRPr="003F4D72">
        <w:rPr>
          <w:rFonts w:asciiTheme="majorHAnsi" w:hAnsiTheme="majorHAnsi" w:cstheme="majorHAnsi"/>
          <w:sz w:val="24"/>
          <w:szCs w:val="24"/>
          <w:shd w:val="clear" w:color="auto" w:fill="FFFFFF"/>
        </w:rPr>
        <w:t xml:space="preserve">De asemenea, ajustarea tarifelor în baza calculelor justificative </w:t>
      </w:r>
      <w:proofErr w:type="spellStart"/>
      <w:r w:rsidRPr="003F4D72">
        <w:rPr>
          <w:rFonts w:asciiTheme="majorHAnsi" w:hAnsiTheme="majorHAnsi" w:cstheme="majorHAnsi"/>
          <w:sz w:val="24"/>
          <w:szCs w:val="24"/>
          <w:shd w:val="clear" w:color="auto" w:fill="FFFFFF"/>
        </w:rPr>
        <w:t>şi</w:t>
      </w:r>
      <w:proofErr w:type="spellEnd"/>
      <w:r w:rsidRPr="003F4D72">
        <w:rPr>
          <w:rFonts w:asciiTheme="majorHAnsi" w:hAnsiTheme="majorHAnsi" w:cstheme="majorHAnsi"/>
          <w:sz w:val="24"/>
          <w:szCs w:val="24"/>
          <w:shd w:val="clear" w:color="auto" w:fill="FFFFFF"/>
        </w:rPr>
        <w:t xml:space="preserve"> echitabile, reieșind din domeniul, specificul </w:t>
      </w:r>
      <w:proofErr w:type="spellStart"/>
      <w:r w:rsidRPr="003F4D72">
        <w:rPr>
          <w:rFonts w:asciiTheme="majorHAnsi" w:hAnsiTheme="majorHAnsi" w:cstheme="majorHAnsi"/>
          <w:sz w:val="24"/>
          <w:szCs w:val="24"/>
          <w:shd w:val="clear" w:color="auto" w:fill="FFFFFF"/>
        </w:rPr>
        <w:t>şi</w:t>
      </w:r>
      <w:proofErr w:type="spellEnd"/>
      <w:r w:rsidRPr="003F4D72">
        <w:rPr>
          <w:rFonts w:asciiTheme="majorHAnsi" w:hAnsiTheme="majorHAnsi" w:cstheme="majorHAnsi"/>
          <w:sz w:val="24"/>
          <w:szCs w:val="24"/>
          <w:shd w:val="clear" w:color="auto" w:fill="FFFFFF"/>
        </w:rPr>
        <w:t xml:space="preserve"> nivelurile instituțiilor medicale, urmează a fi implementată. </w:t>
      </w:r>
    </w:p>
    <w:p w14:paraId="6549C092" w14:textId="6B445FC6" w:rsidR="00B27338" w:rsidRPr="003F4D72" w:rsidRDefault="00B27338" w:rsidP="00B27338">
      <w:pPr>
        <w:tabs>
          <w:tab w:val="left" w:pos="0"/>
        </w:tabs>
        <w:spacing w:after="0" w:line="276" w:lineRule="auto"/>
        <w:ind w:firstLine="567"/>
        <w:jc w:val="both"/>
        <w:rPr>
          <w:rFonts w:ascii="Calibri Light" w:eastAsia="Times New Roman" w:hAnsi="Calibri Light" w:cs="Calibri Light"/>
          <w:color w:val="000000"/>
          <w:sz w:val="24"/>
          <w:szCs w:val="24"/>
        </w:rPr>
      </w:pPr>
      <w:r w:rsidRPr="003F4D72">
        <w:rPr>
          <w:rFonts w:asciiTheme="majorHAnsi" w:hAnsiTheme="majorHAnsi" w:cstheme="majorHAnsi"/>
          <w:sz w:val="24"/>
          <w:szCs w:val="20"/>
        </w:rPr>
        <w:t>S-a constat</w:t>
      </w:r>
      <w:r w:rsidR="00BC0937" w:rsidRPr="003F4D72">
        <w:rPr>
          <w:rFonts w:asciiTheme="majorHAnsi" w:hAnsiTheme="majorHAnsi" w:cstheme="majorHAnsi"/>
          <w:sz w:val="24"/>
          <w:szCs w:val="20"/>
        </w:rPr>
        <w:t>at</w:t>
      </w:r>
      <w:r w:rsidRPr="003F4D72">
        <w:rPr>
          <w:rFonts w:asciiTheme="majorHAnsi" w:hAnsiTheme="majorHAnsi" w:cstheme="majorHAnsi"/>
          <w:sz w:val="24"/>
          <w:szCs w:val="20"/>
        </w:rPr>
        <w:t xml:space="preserve"> caracterul permanent cu privire la </w:t>
      </w:r>
      <w:r w:rsidRPr="003F4D72">
        <w:rPr>
          <w:rFonts w:ascii="Calibri Light" w:eastAsia="Times New Roman" w:hAnsi="Calibri Light" w:cs="Calibri Light"/>
          <w:color w:val="000000"/>
          <w:sz w:val="24"/>
          <w:szCs w:val="24"/>
        </w:rPr>
        <w:t>evaluarea pacienților unici deserviți pe parcursul anului în cadrul asistenței medicale primare, specializate de ambulatoriu, în situația contractării și alocării mijloacelor financiare conform</w:t>
      </w:r>
      <w:r w:rsidR="00815A71" w:rsidRPr="003F4D72">
        <w:rPr>
          <w:rFonts w:ascii="Calibri Light" w:eastAsia="Times New Roman" w:hAnsi="Calibri Light" w:cs="Calibri Light"/>
          <w:color w:val="000000"/>
          <w:sz w:val="24"/>
          <w:szCs w:val="24"/>
        </w:rPr>
        <w:t xml:space="preserve"> </w:t>
      </w:r>
      <w:r w:rsidRPr="003F4D72">
        <w:rPr>
          <w:rFonts w:ascii="Calibri Light" w:eastAsia="Times New Roman" w:hAnsi="Calibri Light" w:cs="Calibri Light"/>
          <w:color w:val="000000"/>
          <w:sz w:val="24"/>
          <w:szCs w:val="24"/>
        </w:rPr>
        <w:t xml:space="preserve">principiului „per </w:t>
      </w:r>
      <w:proofErr w:type="spellStart"/>
      <w:r w:rsidRPr="003F4D72">
        <w:rPr>
          <w:rFonts w:ascii="Calibri Light" w:eastAsia="Times New Roman" w:hAnsi="Calibri Light" w:cs="Calibri Light"/>
          <w:color w:val="000000"/>
          <w:sz w:val="24"/>
          <w:szCs w:val="24"/>
        </w:rPr>
        <w:t>capita</w:t>
      </w:r>
      <w:proofErr w:type="spellEnd"/>
      <w:r w:rsidRPr="003F4D72">
        <w:rPr>
          <w:rFonts w:ascii="Calibri Light" w:eastAsia="Times New Roman" w:hAnsi="Calibri Light" w:cs="Calibri Light"/>
          <w:color w:val="000000"/>
          <w:sz w:val="24"/>
          <w:szCs w:val="24"/>
        </w:rPr>
        <w:t>”.</w:t>
      </w:r>
    </w:p>
    <w:p w14:paraId="596D801F" w14:textId="5EA1EE80" w:rsidR="00B27338" w:rsidRPr="003F4D72" w:rsidRDefault="00B27338" w:rsidP="00B27338">
      <w:pPr>
        <w:tabs>
          <w:tab w:val="left" w:pos="0"/>
        </w:tabs>
        <w:spacing w:after="0" w:line="276" w:lineRule="auto"/>
        <w:ind w:firstLine="567"/>
        <w:jc w:val="both"/>
        <w:rPr>
          <w:rFonts w:ascii="Calibri Light" w:eastAsia="Times New Roman" w:hAnsi="Calibri Light" w:cs="Calibri Light"/>
          <w:color w:val="000000"/>
          <w:sz w:val="24"/>
          <w:szCs w:val="24"/>
        </w:rPr>
      </w:pPr>
      <w:r w:rsidRPr="003F4D72">
        <w:rPr>
          <w:rFonts w:ascii="Calibri Light" w:eastAsia="Times New Roman" w:hAnsi="Calibri Light" w:cs="Calibri Light"/>
          <w:color w:val="000000"/>
          <w:sz w:val="24"/>
          <w:szCs w:val="24"/>
        </w:rPr>
        <w:t xml:space="preserve">Referitor la recomandarea privind asigurarea revizuirii și ajustării cadrului de raportare a instituțiilor medicale, în condițiile realizării serviciilor medicale supra contract, se constată că nivelul de realizare este în proces. În anul 2020 acest risc nu s-a materializat, reieșind din </w:t>
      </w:r>
      <w:r w:rsidRPr="003F4D72">
        <w:rPr>
          <w:rFonts w:ascii="Calibri Light" w:eastAsia="Times New Roman" w:hAnsi="Calibri Light" w:cs="Calibri Light"/>
          <w:color w:val="000000"/>
          <w:sz w:val="24"/>
          <w:szCs w:val="24"/>
        </w:rPr>
        <w:lastRenderedPageBreak/>
        <w:t>particularitățile și restricțiile pandemiei care au afectat realizarea volumelor de servicii</w:t>
      </w:r>
      <w:r w:rsidR="00815A71" w:rsidRPr="003F4D72">
        <w:rPr>
          <w:rFonts w:ascii="Calibri Light" w:eastAsia="Times New Roman" w:hAnsi="Calibri Light" w:cs="Calibri Light"/>
          <w:color w:val="000000"/>
          <w:sz w:val="24"/>
          <w:szCs w:val="24"/>
        </w:rPr>
        <w:t xml:space="preserve"> </w:t>
      </w:r>
      <w:r w:rsidRPr="003F4D72">
        <w:rPr>
          <w:rFonts w:ascii="Calibri Light" w:eastAsia="Times New Roman" w:hAnsi="Calibri Light" w:cs="Calibri Light"/>
          <w:color w:val="000000"/>
          <w:sz w:val="24"/>
          <w:szCs w:val="24"/>
        </w:rPr>
        <w:t>medicale contractate și prestate cetățenilor.</w:t>
      </w:r>
    </w:p>
    <w:p w14:paraId="58D9125B" w14:textId="40E6676B" w:rsidR="00B27338" w:rsidRPr="003F4D72" w:rsidRDefault="00B27338" w:rsidP="00B27338">
      <w:pPr>
        <w:spacing w:after="0" w:line="276" w:lineRule="auto"/>
        <w:ind w:firstLine="567"/>
        <w:jc w:val="both"/>
        <w:rPr>
          <w:rFonts w:asciiTheme="majorHAnsi" w:eastAsia="Times New Roman" w:hAnsiTheme="majorHAnsi" w:cstheme="majorHAnsi"/>
          <w:sz w:val="24"/>
          <w:szCs w:val="24"/>
        </w:rPr>
      </w:pPr>
      <w:r w:rsidRPr="003F4D72">
        <w:rPr>
          <w:rFonts w:asciiTheme="majorHAnsi" w:hAnsiTheme="majorHAnsi" w:cstheme="majorHAnsi"/>
          <w:sz w:val="24"/>
          <w:szCs w:val="24"/>
        </w:rPr>
        <w:t>În</w:t>
      </w:r>
      <w:r w:rsidR="00BC0937" w:rsidRPr="003F4D72">
        <w:rPr>
          <w:rFonts w:asciiTheme="majorHAnsi" w:hAnsiTheme="majorHAnsi" w:cstheme="majorHAnsi"/>
          <w:sz w:val="24"/>
          <w:szCs w:val="24"/>
        </w:rPr>
        <w:t xml:space="preserve"> acest</w:t>
      </w:r>
      <w:r w:rsidRPr="003F4D72">
        <w:rPr>
          <w:rFonts w:asciiTheme="majorHAnsi" w:hAnsiTheme="majorHAnsi" w:cstheme="majorHAnsi"/>
          <w:sz w:val="24"/>
          <w:szCs w:val="24"/>
        </w:rPr>
        <w:t xml:space="preserve"> context, urmează a fi exclusă de la monitorizare HCC nr.30 din 16.07.2020, iar recomandările neimplementate sau parțial implementate sunt reiterate în prezentul Raport de audit.</w:t>
      </w:r>
      <w:r w:rsidRPr="003F4D72">
        <w:rPr>
          <w:rFonts w:asciiTheme="majorHAnsi" w:eastAsia="Times New Roman" w:hAnsiTheme="majorHAnsi" w:cstheme="majorHAnsi"/>
          <w:color w:val="000000"/>
          <w:sz w:val="24"/>
          <w:szCs w:val="24"/>
        </w:rPr>
        <w:t xml:space="preserve"> Recomandările reiterate vor contribui la îmbunătățirea proceselor, tranzacțiilor și a reglementărilor privind accesul cetățenilor la servicii</w:t>
      </w:r>
      <w:r w:rsidR="00272098" w:rsidRPr="003F4D72">
        <w:rPr>
          <w:rFonts w:asciiTheme="majorHAnsi" w:eastAsia="Times New Roman" w:hAnsiTheme="majorHAnsi" w:cstheme="majorHAnsi"/>
          <w:color w:val="000000"/>
          <w:sz w:val="24"/>
          <w:szCs w:val="24"/>
        </w:rPr>
        <w:t>le</w:t>
      </w:r>
      <w:r w:rsidRPr="003F4D72">
        <w:rPr>
          <w:rFonts w:asciiTheme="majorHAnsi" w:eastAsia="Times New Roman" w:hAnsiTheme="majorHAnsi" w:cstheme="majorHAnsi"/>
          <w:color w:val="000000"/>
          <w:sz w:val="24"/>
          <w:szCs w:val="24"/>
        </w:rPr>
        <w:t xml:space="preserve"> medicale garantate de către stat.</w:t>
      </w:r>
    </w:p>
    <w:p w14:paraId="060DFE3B" w14:textId="4F4219E4" w:rsidR="00BA41B7" w:rsidRPr="003F4D72" w:rsidRDefault="00BA41B7" w:rsidP="00B27338">
      <w:pPr>
        <w:spacing w:after="0" w:line="276" w:lineRule="auto"/>
        <w:jc w:val="both"/>
        <w:rPr>
          <w:rFonts w:ascii="Times New Roman" w:eastAsia="Times New Roman" w:hAnsi="Times New Roman" w:cs="Times New Roman"/>
          <w:b/>
          <w:bCs/>
          <w:sz w:val="24"/>
          <w:szCs w:val="24"/>
        </w:rPr>
      </w:pPr>
    </w:p>
    <w:p w14:paraId="61DEDC72" w14:textId="23F473B3" w:rsidR="00F81110" w:rsidRPr="003F4D72" w:rsidRDefault="00F81110" w:rsidP="00F81110">
      <w:pPr>
        <w:spacing w:after="0" w:line="276" w:lineRule="auto"/>
        <w:rPr>
          <w:rFonts w:asciiTheme="majorHAnsi" w:eastAsia="Times New Roman" w:hAnsiTheme="majorHAnsi" w:cstheme="majorHAnsi"/>
          <w:b/>
          <w:bCs/>
          <w:sz w:val="28"/>
          <w:szCs w:val="24"/>
        </w:rPr>
      </w:pPr>
      <w:r w:rsidRPr="003F4D72">
        <w:rPr>
          <w:rFonts w:asciiTheme="majorHAnsi" w:eastAsia="Times New Roman" w:hAnsiTheme="majorHAnsi" w:cstheme="majorHAnsi"/>
          <w:b/>
          <w:bCs/>
          <w:sz w:val="28"/>
          <w:szCs w:val="24"/>
        </w:rPr>
        <w:t>VI</w:t>
      </w:r>
      <w:r w:rsidR="00023B8B" w:rsidRPr="003F4D72">
        <w:rPr>
          <w:rFonts w:asciiTheme="majorHAnsi" w:eastAsia="Times New Roman" w:hAnsiTheme="majorHAnsi" w:cstheme="majorHAnsi"/>
          <w:b/>
          <w:bCs/>
          <w:sz w:val="28"/>
          <w:szCs w:val="24"/>
        </w:rPr>
        <w:t>I</w:t>
      </w:r>
      <w:r w:rsidRPr="003F4D72">
        <w:rPr>
          <w:rFonts w:asciiTheme="majorHAnsi" w:eastAsia="Times New Roman" w:hAnsiTheme="majorHAnsi" w:cstheme="majorHAnsi"/>
          <w:b/>
          <w:bCs/>
          <w:sz w:val="28"/>
          <w:szCs w:val="24"/>
        </w:rPr>
        <w:t>.</w:t>
      </w:r>
      <w:r w:rsidR="00815A71" w:rsidRPr="003F4D72">
        <w:rPr>
          <w:rFonts w:asciiTheme="majorHAnsi" w:eastAsia="Times New Roman" w:hAnsiTheme="majorHAnsi" w:cstheme="majorHAnsi"/>
          <w:b/>
          <w:bCs/>
          <w:sz w:val="28"/>
          <w:szCs w:val="24"/>
        </w:rPr>
        <w:t xml:space="preserve"> </w:t>
      </w:r>
      <w:r w:rsidRPr="003F4D72">
        <w:rPr>
          <w:rFonts w:asciiTheme="majorHAnsi" w:eastAsia="Times New Roman" w:hAnsiTheme="majorHAnsi" w:cstheme="majorHAnsi"/>
          <w:b/>
          <w:bCs/>
          <w:sz w:val="28"/>
          <w:szCs w:val="24"/>
        </w:rPr>
        <w:t>PREZENTAREA BUGETULUI</w:t>
      </w:r>
    </w:p>
    <w:p w14:paraId="3DBBF867" w14:textId="77777777" w:rsidR="006B1DA1" w:rsidRPr="003F4D72" w:rsidRDefault="006B1DA1" w:rsidP="006B1DA1">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Fondurile asigurării obligatorii de </w:t>
      </w:r>
      <w:proofErr w:type="spellStart"/>
      <w:r w:rsidRPr="003F4D72">
        <w:rPr>
          <w:rFonts w:asciiTheme="majorHAnsi" w:eastAsia="Times New Roman" w:hAnsiTheme="majorHAnsi" w:cstheme="majorHAnsi"/>
          <w:sz w:val="24"/>
          <w:szCs w:val="24"/>
        </w:rPr>
        <w:t>asistenţă</w:t>
      </w:r>
      <w:proofErr w:type="spellEnd"/>
      <w:r w:rsidRPr="003F4D72">
        <w:rPr>
          <w:rFonts w:asciiTheme="majorHAnsi" w:eastAsia="Times New Roman" w:hAnsiTheme="majorHAnsi" w:cstheme="majorHAnsi"/>
          <w:sz w:val="24"/>
          <w:szCs w:val="24"/>
        </w:rPr>
        <w:t xml:space="preserve"> medicală sunt parte componentă a bugetului public național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reprezintă totalitatea veniturilor, cheltuielilor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surselor de finanțare destinate pentru realizarea funcțiilor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gestionarea sistemului de asigurări obligatorii de </w:t>
      </w:r>
      <w:proofErr w:type="spellStart"/>
      <w:r w:rsidRPr="003F4D72">
        <w:rPr>
          <w:rFonts w:asciiTheme="majorHAnsi" w:eastAsia="Times New Roman" w:hAnsiTheme="majorHAnsi" w:cstheme="majorHAnsi"/>
          <w:sz w:val="24"/>
          <w:szCs w:val="24"/>
        </w:rPr>
        <w:t>asistenţă</w:t>
      </w:r>
      <w:proofErr w:type="spellEnd"/>
      <w:r w:rsidRPr="003F4D72">
        <w:rPr>
          <w:rFonts w:asciiTheme="majorHAnsi" w:eastAsia="Times New Roman" w:hAnsiTheme="majorHAnsi" w:cstheme="majorHAnsi"/>
          <w:sz w:val="24"/>
          <w:szCs w:val="24"/>
        </w:rPr>
        <w:t xml:space="preserve"> medicală</w:t>
      </w:r>
      <w:r w:rsidRPr="003F4D72">
        <w:rPr>
          <w:rStyle w:val="FootnoteReference"/>
          <w:rFonts w:eastAsia="Times New Roman" w:cstheme="majorHAnsi"/>
          <w:sz w:val="24"/>
          <w:szCs w:val="24"/>
        </w:rPr>
        <w:footnoteReference w:id="53"/>
      </w:r>
      <w:r w:rsidRPr="003F4D72">
        <w:rPr>
          <w:rFonts w:asciiTheme="majorHAnsi" w:eastAsia="Times New Roman" w:hAnsiTheme="majorHAnsi" w:cstheme="majorHAnsi"/>
          <w:sz w:val="24"/>
          <w:szCs w:val="24"/>
        </w:rPr>
        <w:t>.</w:t>
      </w:r>
    </w:p>
    <w:p w14:paraId="15978157" w14:textId="5B489097" w:rsidR="00D45C0E" w:rsidRPr="003F4D72" w:rsidRDefault="00C92520" w:rsidP="000A347E">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CNAM</w:t>
      </w:r>
      <w:r w:rsidR="006B1DA1" w:rsidRPr="003F4D72">
        <w:rPr>
          <w:rFonts w:asciiTheme="majorHAnsi" w:eastAsia="Times New Roman" w:hAnsiTheme="majorHAnsi" w:cstheme="majorHAnsi"/>
          <w:sz w:val="24"/>
          <w:szCs w:val="24"/>
        </w:rPr>
        <w:t xml:space="preserve">, în calitate de unic administrator al FAOAM, organizează </w:t>
      </w:r>
      <w:proofErr w:type="spellStart"/>
      <w:r w:rsidR="006B1DA1" w:rsidRPr="003F4D72">
        <w:rPr>
          <w:rFonts w:asciiTheme="majorHAnsi" w:eastAsia="Times New Roman" w:hAnsiTheme="majorHAnsi" w:cstheme="majorHAnsi"/>
          <w:sz w:val="24"/>
          <w:szCs w:val="24"/>
        </w:rPr>
        <w:t>şi</w:t>
      </w:r>
      <w:proofErr w:type="spellEnd"/>
      <w:r w:rsidR="006B1DA1" w:rsidRPr="003F4D72">
        <w:rPr>
          <w:rFonts w:asciiTheme="majorHAnsi" w:eastAsia="Times New Roman" w:hAnsiTheme="majorHAnsi" w:cstheme="majorHAnsi"/>
          <w:sz w:val="24"/>
          <w:szCs w:val="24"/>
        </w:rPr>
        <w:t xml:space="preserve"> ține contabilitatea executării FAOAM, potrivit normelor aprobate de Ministerul Finanțelor, </w:t>
      </w:r>
      <w:proofErr w:type="spellStart"/>
      <w:r w:rsidR="006B1DA1" w:rsidRPr="003F4D72">
        <w:rPr>
          <w:rFonts w:asciiTheme="majorHAnsi" w:eastAsia="Times New Roman" w:hAnsiTheme="majorHAnsi" w:cstheme="majorHAnsi"/>
          <w:sz w:val="24"/>
          <w:szCs w:val="24"/>
        </w:rPr>
        <w:t>şi</w:t>
      </w:r>
      <w:proofErr w:type="spellEnd"/>
      <w:r w:rsidR="006B1DA1" w:rsidRPr="003F4D72">
        <w:rPr>
          <w:rFonts w:asciiTheme="majorHAnsi" w:eastAsia="Times New Roman" w:hAnsiTheme="majorHAnsi" w:cstheme="majorHAnsi"/>
          <w:sz w:val="24"/>
          <w:szCs w:val="24"/>
        </w:rPr>
        <w:t xml:space="preserve"> asigură înregistrarea operațiunilor privind veniturile </w:t>
      </w:r>
      <w:proofErr w:type="spellStart"/>
      <w:r w:rsidR="006B1DA1" w:rsidRPr="003F4D72">
        <w:rPr>
          <w:rFonts w:asciiTheme="majorHAnsi" w:eastAsia="Times New Roman" w:hAnsiTheme="majorHAnsi" w:cstheme="majorHAnsi"/>
          <w:sz w:val="24"/>
          <w:szCs w:val="24"/>
        </w:rPr>
        <w:t>şi</w:t>
      </w:r>
      <w:proofErr w:type="spellEnd"/>
      <w:r w:rsidR="006B1DA1" w:rsidRPr="003F4D72">
        <w:rPr>
          <w:rFonts w:asciiTheme="majorHAnsi" w:eastAsia="Times New Roman" w:hAnsiTheme="majorHAnsi" w:cstheme="majorHAnsi"/>
          <w:sz w:val="24"/>
          <w:szCs w:val="24"/>
        </w:rPr>
        <w:t xml:space="preserve"> cheltuielile, precum </w:t>
      </w:r>
      <w:proofErr w:type="spellStart"/>
      <w:r w:rsidR="006B1DA1" w:rsidRPr="003F4D72">
        <w:rPr>
          <w:rFonts w:asciiTheme="majorHAnsi" w:eastAsia="Times New Roman" w:hAnsiTheme="majorHAnsi" w:cstheme="majorHAnsi"/>
          <w:sz w:val="24"/>
          <w:szCs w:val="24"/>
        </w:rPr>
        <w:t>şi</w:t>
      </w:r>
      <w:proofErr w:type="spellEnd"/>
      <w:r w:rsidR="006B1DA1" w:rsidRPr="003F4D72">
        <w:rPr>
          <w:rFonts w:asciiTheme="majorHAnsi" w:eastAsia="Times New Roman" w:hAnsiTheme="majorHAnsi" w:cstheme="majorHAnsi"/>
          <w:sz w:val="24"/>
          <w:szCs w:val="24"/>
        </w:rPr>
        <w:t xml:space="preserve"> privind datoriile achitate până la 31 decembrie, eviden</w:t>
      </w:r>
      <w:r w:rsidR="00272098" w:rsidRPr="003F4D72">
        <w:rPr>
          <w:rFonts w:asciiTheme="majorHAnsi" w:eastAsia="Times New Roman" w:hAnsiTheme="majorHAnsi" w:cstheme="majorHAnsi"/>
          <w:sz w:val="24"/>
          <w:szCs w:val="24"/>
        </w:rPr>
        <w:t>ț</w:t>
      </w:r>
      <w:r w:rsidR="006B1DA1" w:rsidRPr="003F4D72">
        <w:rPr>
          <w:rFonts w:asciiTheme="majorHAnsi" w:eastAsia="Times New Roman" w:hAnsiTheme="majorHAnsi" w:cstheme="majorHAnsi"/>
          <w:sz w:val="24"/>
          <w:szCs w:val="24"/>
        </w:rPr>
        <w:t xml:space="preserve">a transferurilor de la bugetul de stat, stabilirea rezultatului executării FAOAM prin închiderea conturilor de venituri </w:t>
      </w:r>
      <w:proofErr w:type="spellStart"/>
      <w:r w:rsidR="006B1DA1" w:rsidRPr="003F4D72">
        <w:rPr>
          <w:rFonts w:asciiTheme="majorHAnsi" w:eastAsia="Times New Roman" w:hAnsiTheme="majorHAnsi" w:cstheme="majorHAnsi"/>
          <w:sz w:val="24"/>
          <w:szCs w:val="24"/>
        </w:rPr>
        <w:t>şi</w:t>
      </w:r>
      <w:proofErr w:type="spellEnd"/>
      <w:r w:rsidR="006B1DA1" w:rsidRPr="003F4D72">
        <w:rPr>
          <w:rFonts w:asciiTheme="majorHAnsi" w:eastAsia="Times New Roman" w:hAnsiTheme="majorHAnsi" w:cstheme="majorHAnsi"/>
          <w:sz w:val="24"/>
          <w:szCs w:val="24"/>
        </w:rPr>
        <w:t xml:space="preserve"> cheltuieli, raportând aceste date către Guvern, iar ulterior Parlamentului, spre aprobare. </w:t>
      </w:r>
      <w:r w:rsidR="00A243DE" w:rsidRPr="003F4D72">
        <w:rPr>
          <w:rFonts w:asciiTheme="majorHAnsi" w:eastAsia="Times New Roman" w:hAnsiTheme="majorHAnsi" w:cstheme="majorHAnsi"/>
          <w:sz w:val="24"/>
          <w:szCs w:val="24"/>
        </w:rPr>
        <w:t>E</w:t>
      </w:r>
      <w:r w:rsidR="00DE4129" w:rsidRPr="003F4D72">
        <w:rPr>
          <w:rFonts w:asciiTheme="majorHAnsi" w:eastAsia="Times New Roman" w:hAnsiTheme="majorHAnsi" w:cstheme="majorHAnsi"/>
          <w:sz w:val="24"/>
          <w:szCs w:val="24"/>
        </w:rPr>
        <w:t>xecutarea fondurilor asigurării obligatorii de asistență medicală pe anul 2020</w:t>
      </w:r>
      <w:r w:rsidR="00A243DE" w:rsidRPr="003F4D72">
        <w:rPr>
          <w:rFonts w:asciiTheme="majorHAnsi" w:eastAsia="Times New Roman" w:hAnsiTheme="majorHAnsi" w:cstheme="majorHAnsi"/>
          <w:sz w:val="24"/>
          <w:szCs w:val="24"/>
        </w:rPr>
        <w:t xml:space="preserve"> se prezintă în tabelul ce urmează:</w:t>
      </w:r>
    </w:p>
    <w:p w14:paraId="6AB09760" w14:textId="55118D2B" w:rsidR="00A243DE" w:rsidRPr="003F4D72" w:rsidRDefault="00A243DE" w:rsidP="00C92E30">
      <w:pPr>
        <w:spacing w:after="0" w:line="276" w:lineRule="auto"/>
        <w:ind w:firstLine="567"/>
        <w:jc w:val="right"/>
        <w:rPr>
          <w:rFonts w:asciiTheme="majorHAnsi" w:eastAsia="Times New Roman" w:hAnsiTheme="majorHAnsi" w:cstheme="majorHAnsi"/>
          <w:sz w:val="20"/>
          <w:szCs w:val="24"/>
        </w:rPr>
      </w:pPr>
      <w:r w:rsidRPr="003F4D72">
        <w:rPr>
          <w:rFonts w:asciiTheme="majorHAnsi" w:eastAsia="Times New Roman" w:hAnsiTheme="majorHAnsi" w:cstheme="majorHAnsi"/>
          <w:sz w:val="20"/>
          <w:szCs w:val="24"/>
        </w:rPr>
        <w:t>Tabelul nr.</w:t>
      </w:r>
      <w:r w:rsidR="000A347E" w:rsidRPr="003F4D72">
        <w:rPr>
          <w:rFonts w:asciiTheme="majorHAnsi" w:eastAsia="Times New Roman" w:hAnsiTheme="majorHAnsi" w:cstheme="majorHAnsi"/>
          <w:sz w:val="20"/>
          <w:szCs w:val="24"/>
        </w:rPr>
        <w:t>16</w:t>
      </w:r>
      <w:r w:rsidR="00C92E30" w:rsidRPr="003F4D72">
        <w:rPr>
          <w:rFonts w:asciiTheme="majorHAnsi" w:eastAsia="Times New Roman" w:hAnsiTheme="majorHAnsi" w:cstheme="majorHAnsi"/>
          <w:sz w:val="20"/>
          <w:szCs w:val="24"/>
        </w:rPr>
        <w:t>, mil.</w:t>
      </w:r>
      <w:r w:rsidRPr="003F4D72">
        <w:rPr>
          <w:rFonts w:asciiTheme="majorHAnsi" w:eastAsia="Times New Roman" w:hAnsiTheme="majorHAnsi" w:cstheme="majorHAnsi"/>
          <w:sz w:val="20"/>
          <w:szCs w:val="24"/>
        </w:rPr>
        <w:t xml:space="preserve"> lei</w:t>
      </w:r>
    </w:p>
    <w:tbl>
      <w:tblPr>
        <w:tblpPr w:leftFromText="180" w:rightFromText="180" w:vertAnchor="text" w:horzAnchor="margin" w:tblpX="-356" w:tblpY="183"/>
        <w:tblW w:w="9776" w:type="dxa"/>
        <w:tblLayout w:type="fixed"/>
        <w:tblLook w:val="04A0" w:firstRow="1" w:lastRow="0" w:firstColumn="1" w:lastColumn="0" w:noHBand="0" w:noVBand="1"/>
      </w:tblPr>
      <w:tblGrid>
        <w:gridCol w:w="1129"/>
        <w:gridCol w:w="851"/>
        <w:gridCol w:w="886"/>
        <w:gridCol w:w="972"/>
        <w:gridCol w:w="1005"/>
        <w:gridCol w:w="993"/>
        <w:gridCol w:w="708"/>
        <w:gridCol w:w="6"/>
        <w:gridCol w:w="996"/>
        <w:gridCol w:w="810"/>
        <w:gridCol w:w="711"/>
        <w:gridCol w:w="709"/>
      </w:tblGrid>
      <w:tr w:rsidR="00DE4129" w:rsidRPr="003F4D72" w14:paraId="4E6A74A0" w14:textId="77777777" w:rsidTr="00C92E30">
        <w:trPr>
          <w:trHeight w:val="418"/>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C2AE6"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Denumirea</w:t>
            </w:r>
          </w:p>
        </w:tc>
        <w:tc>
          <w:tcPr>
            <w:tcW w:w="851" w:type="dxa"/>
            <w:vMerge w:val="restart"/>
            <w:tcBorders>
              <w:top w:val="single" w:sz="4" w:space="0" w:color="auto"/>
              <w:left w:val="nil"/>
              <w:right w:val="nil"/>
            </w:tcBorders>
            <w:shd w:val="clear" w:color="auto" w:fill="auto"/>
            <w:vAlign w:val="center"/>
          </w:tcPr>
          <w:p w14:paraId="4EF6780B" w14:textId="5235697B"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 xml:space="preserve">Executat </w:t>
            </w:r>
            <w:r w:rsidR="00272098" w:rsidRPr="003F4D72">
              <w:rPr>
                <w:rFonts w:asciiTheme="majorHAnsi" w:hAnsiTheme="majorHAnsi" w:cstheme="majorHAnsi"/>
                <w:b/>
                <w:sz w:val="18"/>
                <w:szCs w:val="18"/>
                <w:lang w:val="ro-MD"/>
              </w:rPr>
              <w:t xml:space="preserve">în </w:t>
            </w:r>
            <w:r w:rsidRPr="003F4D72">
              <w:rPr>
                <w:rFonts w:asciiTheme="majorHAnsi" w:hAnsiTheme="majorHAnsi" w:cstheme="majorHAnsi"/>
                <w:b/>
                <w:sz w:val="18"/>
                <w:szCs w:val="18"/>
                <w:lang w:val="ro-MD"/>
              </w:rPr>
              <w:t>anul 2018</w:t>
            </w:r>
          </w:p>
        </w:tc>
        <w:tc>
          <w:tcPr>
            <w:tcW w:w="886" w:type="dxa"/>
            <w:vMerge w:val="restart"/>
            <w:tcBorders>
              <w:top w:val="single" w:sz="4" w:space="0" w:color="auto"/>
              <w:left w:val="single" w:sz="4" w:space="0" w:color="auto"/>
              <w:right w:val="single" w:sz="4" w:space="0" w:color="000000"/>
            </w:tcBorders>
            <w:shd w:val="clear" w:color="auto" w:fill="auto"/>
            <w:noWrap/>
            <w:vAlign w:val="center"/>
            <w:hideMark/>
          </w:tcPr>
          <w:p w14:paraId="60682A91" w14:textId="77777777" w:rsidR="00A243DE" w:rsidRPr="003F4D72" w:rsidRDefault="00A243DE"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Executat</w:t>
            </w:r>
          </w:p>
          <w:p w14:paraId="1735DE16" w14:textId="04E29AC4" w:rsidR="00DE4129" w:rsidRPr="003F4D72" w:rsidRDefault="00272098"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 xml:space="preserve">în </w:t>
            </w:r>
            <w:r w:rsidR="00A243DE" w:rsidRPr="003F4D72">
              <w:rPr>
                <w:rFonts w:asciiTheme="majorHAnsi" w:hAnsiTheme="majorHAnsi" w:cstheme="majorHAnsi"/>
                <w:b/>
                <w:sz w:val="18"/>
                <w:szCs w:val="18"/>
                <w:lang w:val="ro-MD"/>
              </w:rPr>
              <w:t>a</w:t>
            </w:r>
            <w:r w:rsidR="00DE4129" w:rsidRPr="003F4D72">
              <w:rPr>
                <w:rFonts w:asciiTheme="majorHAnsi" w:hAnsiTheme="majorHAnsi" w:cstheme="majorHAnsi"/>
                <w:b/>
                <w:sz w:val="18"/>
                <w:szCs w:val="18"/>
                <w:lang w:val="ro-MD"/>
              </w:rPr>
              <w:t>nul 2019</w:t>
            </w:r>
          </w:p>
        </w:tc>
        <w:tc>
          <w:tcPr>
            <w:tcW w:w="972" w:type="dxa"/>
            <w:vMerge w:val="restart"/>
            <w:tcBorders>
              <w:top w:val="single" w:sz="4" w:space="0" w:color="auto"/>
              <w:left w:val="single" w:sz="4" w:space="0" w:color="auto"/>
              <w:right w:val="single" w:sz="4" w:space="0" w:color="000000"/>
            </w:tcBorders>
            <w:shd w:val="clear" w:color="auto" w:fill="auto"/>
            <w:vAlign w:val="center"/>
          </w:tcPr>
          <w:p w14:paraId="0895AA91" w14:textId="09DFCA8C"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Precizat</w:t>
            </w:r>
            <w:r w:rsidR="00815A71" w:rsidRPr="003F4D72">
              <w:rPr>
                <w:rFonts w:asciiTheme="majorHAnsi" w:hAnsiTheme="majorHAnsi" w:cstheme="majorHAnsi"/>
                <w:b/>
                <w:sz w:val="18"/>
                <w:szCs w:val="18"/>
                <w:lang w:val="ro-MD"/>
              </w:rPr>
              <w:t xml:space="preserve"> </w:t>
            </w:r>
            <w:r w:rsidR="00272098" w:rsidRPr="003F4D72">
              <w:rPr>
                <w:rFonts w:asciiTheme="majorHAnsi" w:hAnsiTheme="majorHAnsi" w:cstheme="majorHAnsi"/>
                <w:b/>
                <w:sz w:val="18"/>
                <w:szCs w:val="18"/>
                <w:lang w:val="ro-MD"/>
              </w:rPr>
              <w:t xml:space="preserve">în </w:t>
            </w:r>
            <w:r w:rsidRPr="003F4D72">
              <w:rPr>
                <w:rFonts w:asciiTheme="majorHAnsi" w:hAnsiTheme="majorHAnsi" w:cstheme="majorHAnsi"/>
                <w:b/>
                <w:sz w:val="18"/>
                <w:szCs w:val="18"/>
                <w:lang w:val="ro-MD"/>
              </w:rPr>
              <w:t>anul 2020</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D3578" w14:textId="4D3DA805"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 xml:space="preserve">Executat </w:t>
            </w:r>
            <w:r w:rsidR="00272098" w:rsidRPr="003F4D72">
              <w:rPr>
                <w:rFonts w:asciiTheme="majorHAnsi" w:hAnsiTheme="majorHAnsi" w:cstheme="majorHAnsi"/>
                <w:b/>
                <w:sz w:val="18"/>
                <w:szCs w:val="18"/>
                <w:lang w:val="ro-MD"/>
              </w:rPr>
              <w:t xml:space="preserve">în </w:t>
            </w:r>
            <w:r w:rsidRPr="003F4D72">
              <w:rPr>
                <w:rFonts w:asciiTheme="majorHAnsi" w:hAnsiTheme="majorHAnsi" w:cstheme="majorHAnsi"/>
                <w:b/>
                <w:sz w:val="18"/>
                <w:szCs w:val="18"/>
                <w:lang w:val="ro-MD"/>
              </w:rPr>
              <w:t>anul 2020</w:t>
            </w:r>
          </w:p>
        </w:tc>
        <w:tc>
          <w:tcPr>
            <w:tcW w:w="1707" w:type="dxa"/>
            <w:gridSpan w:val="3"/>
            <w:tcBorders>
              <w:top w:val="single" w:sz="4" w:space="0" w:color="auto"/>
              <w:left w:val="nil"/>
              <w:bottom w:val="single" w:sz="4" w:space="0" w:color="auto"/>
              <w:right w:val="single" w:sz="4" w:space="0" w:color="auto"/>
            </w:tcBorders>
            <w:shd w:val="clear" w:color="auto" w:fill="auto"/>
            <w:vAlign w:val="center"/>
            <w:hideMark/>
          </w:tcPr>
          <w:p w14:paraId="25B930A9" w14:textId="452A217F"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 xml:space="preserve">Executat </w:t>
            </w:r>
            <w:r w:rsidR="00272098" w:rsidRPr="003F4D72">
              <w:rPr>
                <w:rFonts w:asciiTheme="majorHAnsi" w:hAnsiTheme="majorHAnsi" w:cstheme="majorHAnsi"/>
                <w:b/>
                <w:sz w:val="18"/>
                <w:szCs w:val="18"/>
                <w:lang w:val="ro-MD"/>
              </w:rPr>
              <w:t xml:space="preserve">în </w:t>
            </w:r>
            <w:r w:rsidRPr="003F4D72">
              <w:rPr>
                <w:rFonts w:asciiTheme="majorHAnsi" w:hAnsiTheme="majorHAnsi" w:cstheme="majorHAnsi"/>
                <w:b/>
                <w:sz w:val="18"/>
                <w:szCs w:val="18"/>
                <w:lang w:val="ro-MD"/>
              </w:rPr>
              <w:t>2020</w:t>
            </w:r>
            <w:r w:rsidRPr="003F4D72">
              <w:rPr>
                <w:rFonts w:asciiTheme="majorHAnsi" w:hAnsiTheme="majorHAnsi" w:cstheme="majorHAnsi"/>
                <w:b/>
                <w:sz w:val="18"/>
                <w:szCs w:val="18"/>
                <w:lang w:val="ro-MD"/>
              </w:rPr>
              <w:br/>
            </w:r>
            <w:r w:rsidR="00C92E30" w:rsidRPr="003F4D72">
              <w:rPr>
                <w:rFonts w:asciiTheme="majorHAnsi" w:hAnsiTheme="majorHAnsi" w:cstheme="majorHAnsi"/>
                <w:b/>
                <w:sz w:val="18"/>
                <w:szCs w:val="18"/>
                <w:lang w:val="ro-MD"/>
              </w:rPr>
              <w:t>față</w:t>
            </w:r>
            <w:r w:rsidRPr="003F4D72">
              <w:rPr>
                <w:rFonts w:asciiTheme="majorHAnsi" w:hAnsiTheme="majorHAnsi" w:cstheme="majorHAnsi"/>
                <w:b/>
                <w:sz w:val="18"/>
                <w:szCs w:val="18"/>
                <w:lang w:val="ro-MD"/>
              </w:rPr>
              <w:t xml:space="preserve"> de precizat</w:t>
            </w:r>
          </w:p>
        </w:tc>
        <w:tc>
          <w:tcPr>
            <w:tcW w:w="18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C8C84CE" w14:textId="636C17E4"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Executat</w:t>
            </w:r>
            <w:r w:rsidRPr="003F4D72">
              <w:rPr>
                <w:rFonts w:asciiTheme="majorHAnsi" w:hAnsiTheme="majorHAnsi" w:cstheme="majorHAnsi"/>
                <w:b/>
                <w:sz w:val="18"/>
                <w:szCs w:val="18"/>
                <w:lang w:val="ro-MD"/>
              </w:rPr>
              <w:br/>
            </w:r>
            <w:r w:rsidR="00272098" w:rsidRPr="003F4D72">
              <w:rPr>
                <w:rFonts w:asciiTheme="majorHAnsi" w:hAnsiTheme="majorHAnsi" w:cstheme="majorHAnsi"/>
                <w:b/>
                <w:sz w:val="18"/>
                <w:szCs w:val="18"/>
                <w:lang w:val="ro-MD"/>
              </w:rPr>
              <w:t xml:space="preserve">în </w:t>
            </w:r>
            <w:r w:rsidRPr="003F4D72">
              <w:rPr>
                <w:rFonts w:asciiTheme="majorHAnsi" w:hAnsiTheme="majorHAnsi" w:cstheme="majorHAnsi"/>
                <w:b/>
                <w:sz w:val="18"/>
                <w:szCs w:val="18"/>
                <w:lang w:val="ro-MD"/>
              </w:rPr>
              <w:t xml:space="preserve">anul 2020 </w:t>
            </w:r>
            <w:proofErr w:type="spellStart"/>
            <w:r w:rsidRPr="003F4D72">
              <w:rPr>
                <w:rFonts w:asciiTheme="majorHAnsi" w:hAnsiTheme="majorHAnsi" w:cstheme="majorHAnsi"/>
                <w:b/>
                <w:sz w:val="18"/>
                <w:szCs w:val="18"/>
                <w:lang w:val="ro-MD"/>
              </w:rPr>
              <w:t>faţă</w:t>
            </w:r>
            <w:proofErr w:type="spellEnd"/>
            <w:r w:rsidRPr="003F4D72">
              <w:rPr>
                <w:rFonts w:asciiTheme="majorHAnsi" w:hAnsiTheme="majorHAnsi" w:cstheme="majorHAnsi"/>
                <w:b/>
                <w:sz w:val="18"/>
                <w:szCs w:val="18"/>
                <w:lang w:val="ro-MD"/>
              </w:rPr>
              <w:t xml:space="preserve"> de anul 2018</w:t>
            </w:r>
          </w:p>
        </w:tc>
        <w:tc>
          <w:tcPr>
            <w:tcW w:w="14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CFC2A1" w14:textId="5BC28254"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Executat</w:t>
            </w:r>
            <w:r w:rsidRPr="003F4D72">
              <w:rPr>
                <w:rFonts w:asciiTheme="majorHAnsi" w:hAnsiTheme="majorHAnsi" w:cstheme="majorHAnsi"/>
                <w:b/>
                <w:sz w:val="18"/>
                <w:szCs w:val="18"/>
                <w:lang w:val="ro-MD"/>
              </w:rPr>
              <w:br/>
            </w:r>
            <w:r w:rsidR="00272098" w:rsidRPr="003F4D72">
              <w:rPr>
                <w:rFonts w:asciiTheme="majorHAnsi" w:hAnsiTheme="majorHAnsi" w:cstheme="majorHAnsi"/>
                <w:b/>
                <w:sz w:val="18"/>
                <w:szCs w:val="18"/>
                <w:lang w:val="ro-MD"/>
              </w:rPr>
              <w:t xml:space="preserve">în </w:t>
            </w:r>
            <w:r w:rsidRPr="003F4D72">
              <w:rPr>
                <w:rFonts w:asciiTheme="majorHAnsi" w:hAnsiTheme="majorHAnsi" w:cstheme="majorHAnsi"/>
                <w:b/>
                <w:sz w:val="18"/>
                <w:szCs w:val="18"/>
                <w:lang w:val="ro-MD"/>
              </w:rPr>
              <w:t xml:space="preserve">anul 2020 </w:t>
            </w:r>
            <w:proofErr w:type="spellStart"/>
            <w:r w:rsidRPr="003F4D72">
              <w:rPr>
                <w:rFonts w:asciiTheme="majorHAnsi" w:hAnsiTheme="majorHAnsi" w:cstheme="majorHAnsi"/>
                <w:b/>
                <w:sz w:val="18"/>
                <w:szCs w:val="18"/>
                <w:lang w:val="ro-MD"/>
              </w:rPr>
              <w:t>faţă</w:t>
            </w:r>
            <w:proofErr w:type="spellEnd"/>
            <w:r w:rsidRPr="003F4D72">
              <w:rPr>
                <w:rFonts w:asciiTheme="majorHAnsi" w:hAnsiTheme="majorHAnsi" w:cstheme="majorHAnsi"/>
                <w:b/>
                <w:sz w:val="18"/>
                <w:szCs w:val="18"/>
                <w:lang w:val="ro-MD"/>
              </w:rPr>
              <w:t xml:space="preserve"> de anul 2019</w:t>
            </w:r>
          </w:p>
        </w:tc>
      </w:tr>
      <w:tr w:rsidR="00DE4129" w:rsidRPr="003F4D72" w14:paraId="735929B1" w14:textId="77777777" w:rsidTr="00C92E30">
        <w:trPr>
          <w:trHeight w:val="74"/>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90BAB"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p>
        </w:tc>
        <w:tc>
          <w:tcPr>
            <w:tcW w:w="851" w:type="dxa"/>
            <w:vMerge/>
            <w:tcBorders>
              <w:left w:val="nil"/>
              <w:bottom w:val="single" w:sz="4" w:space="0" w:color="auto"/>
              <w:right w:val="nil"/>
            </w:tcBorders>
            <w:shd w:val="clear" w:color="auto" w:fill="auto"/>
            <w:vAlign w:val="center"/>
          </w:tcPr>
          <w:p w14:paraId="27118E64"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p>
        </w:tc>
        <w:tc>
          <w:tcPr>
            <w:tcW w:w="886" w:type="dxa"/>
            <w:vMerge/>
            <w:tcBorders>
              <w:left w:val="single" w:sz="4" w:space="0" w:color="auto"/>
              <w:bottom w:val="single" w:sz="4" w:space="0" w:color="auto"/>
              <w:right w:val="single" w:sz="4" w:space="0" w:color="auto"/>
            </w:tcBorders>
            <w:shd w:val="clear" w:color="auto" w:fill="auto"/>
            <w:vAlign w:val="center"/>
          </w:tcPr>
          <w:p w14:paraId="6790620D"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p>
        </w:tc>
        <w:tc>
          <w:tcPr>
            <w:tcW w:w="972" w:type="dxa"/>
            <w:vMerge/>
            <w:tcBorders>
              <w:left w:val="single" w:sz="4" w:space="0" w:color="auto"/>
              <w:bottom w:val="single" w:sz="4" w:space="0" w:color="auto"/>
              <w:right w:val="single" w:sz="4" w:space="0" w:color="000000"/>
            </w:tcBorders>
            <w:shd w:val="clear" w:color="auto" w:fill="auto"/>
            <w:vAlign w:val="center"/>
            <w:hideMark/>
          </w:tcPr>
          <w:p w14:paraId="290E70C1"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p>
        </w:tc>
        <w:tc>
          <w:tcPr>
            <w:tcW w:w="100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14:paraId="2A086266"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p>
        </w:tc>
        <w:tc>
          <w:tcPr>
            <w:tcW w:w="993" w:type="dxa"/>
            <w:tcBorders>
              <w:top w:val="single" w:sz="4" w:space="0" w:color="auto"/>
              <w:left w:val="nil"/>
              <w:bottom w:val="single" w:sz="4" w:space="0" w:color="auto"/>
              <w:right w:val="single" w:sz="4" w:space="0" w:color="auto"/>
            </w:tcBorders>
            <w:shd w:val="clear" w:color="auto" w:fill="auto"/>
            <w:hideMark/>
          </w:tcPr>
          <w:p w14:paraId="1EB3A512"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devieri</w:t>
            </w:r>
            <w:r w:rsidRPr="003F4D72">
              <w:rPr>
                <w:rFonts w:asciiTheme="majorHAnsi" w:hAnsiTheme="majorHAnsi" w:cstheme="majorHAnsi"/>
                <w:b/>
                <w:sz w:val="18"/>
                <w:szCs w:val="18"/>
                <w:lang w:val="ro-MD"/>
              </w:rPr>
              <w:br/>
              <w:t>(+/-)</w:t>
            </w:r>
          </w:p>
        </w:tc>
        <w:tc>
          <w:tcPr>
            <w:tcW w:w="708" w:type="dxa"/>
            <w:tcBorders>
              <w:top w:val="nil"/>
              <w:left w:val="nil"/>
              <w:bottom w:val="single" w:sz="4" w:space="0" w:color="auto"/>
              <w:right w:val="single" w:sz="4" w:space="0" w:color="auto"/>
            </w:tcBorders>
            <w:shd w:val="clear" w:color="auto" w:fill="auto"/>
            <w:hideMark/>
          </w:tcPr>
          <w:p w14:paraId="6CD057FD"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br/>
              <w:t xml:space="preserve"> %</w:t>
            </w:r>
          </w:p>
        </w:tc>
        <w:tc>
          <w:tcPr>
            <w:tcW w:w="1002" w:type="dxa"/>
            <w:gridSpan w:val="2"/>
            <w:tcBorders>
              <w:top w:val="nil"/>
              <w:left w:val="single" w:sz="4" w:space="0" w:color="auto"/>
              <w:bottom w:val="single" w:sz="4" w:space="0" w:color="auto"/>
              <w:right w:val="single" w:sz="4" w:space="0" w:color="auto"/>
            </w:tcBorders>
            <w:shd w:val="clear" w:color="auto" w:fill="auto"/>
          </w:tcPr>
          <w:p w14:paraId="0FCC6472"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devieri</w:t>
            </w:r>
            <w:r w:rsidRPr="003F4D72">
              <w:rPr>
                <w:rFonts w:asciiTheme="majorHAnsi" w:hAnsiTheme="majorHAnsi" w:cstheme="majorHAnsi"/>
                <w:b/>
                <w:sz w:val="18"/>
                <w:szCs w:val="18"/>
                <w:lang w:val="ro-MD"/>
              </w:rPr>
              <w:br/>
              <w:t>(+/-)</w:t>
            </w:r>
          </w:p>
        </w:tc>
        <w:tc>
          <w:tcPr>
            <w:tcW w:w="810" w:type="dxa"/>
            <w:tcBorders>
              <w:top w:val="nil"/>
              <w:left w:val="nil"/>
              <w:bottom w:val="single" w:sz="4" w:space="0" w:color="auto"/>
              <w:right w:val="single" w:sz="4" w:space="0" w:color="auto"/>
            </w:tcBorders>
            <w:shd w:val="clear" w:color="auto" w:fill="auto"/>
          </w:tcPr>
          <w:p w14:paraId="2F3633AB"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br/>
              <w:t xml:space="preserve"> %</w:t>
            </w:r>
          </w:p>
        </w:tc>
        <w:tc>
          <w:tcPr>
            <w:tcW w:w="711" w:type="dxa"/>
            <w:tcBorders>
              <w:top w:val="nil"/>
              <w:left w:val="nil"/>
              <w:bottom w:val="single" w:sz="4" w:space="0" w:color="auto"/>
              <w:right w:val="single" w:sz="4" w:space="0" w:color="auto"/>
            </w:tcBorders>
            <w:shd w:val="clear" w:color="auto" w:fill="auto"/>
          </w:tcPr>
          <w:p w14:paraId="4D69012F"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t>devieri</w:t>
            </w:r>
            <w:r w:rsidRPr="003F4D72">
              <w:rPr>
                <w:rFonts w:asciiTheme="majorHAnsi" w:hAnsiTheme="majorHAnsi" w:cstheme="majorHAnsi"/>
                <w:b/>
                <w:sz w:val="18"/>
                <w:szCs w:val="18"/>
                <w:lang w:val="ro-MD"/>
              </w:rPr>
              <w:br/>
              <w:t>(+/-)</w:t>
            </w:r>
          </w:p>
        </w:tc>
        <w:tc>
          <w:tcPr>
            <w:tcW w:w="709" w:type="dxa"/>
            <w:tcBorders>
              <w:top w:val="nil"/>
              <w:left w:val="nil"/>
              <w:bottom w:val="single" w:sz="4" w:space="0" w:color="auto"/>
              <w:right w:val="single" w:sz="4" w:space="0" w:color="auto"/>
            </w:tcBorders>
            <w:shd w:val="clear" w:color="auto" w:fill="auto"/>
          </w:tcPr>
          <w:p w14:paraId="505F4EA6"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b/>
                <w:sz w:val="18"/>
                <w:szCs w:val="18"/>
                <w:lang w:val="ro-MD"/>
              </w:rPr>
            </w:pPr>
            <w:r w:rsidRPr="003F4D72">
              <w:rPr>
                <w:rFonts w:asciiTheme="majorHAnsi" w:hAnsiTheme="majorHAnsi" w:cstheme="majorHAnsi"/>
                <w:b/>
                <w:sz w:val="18"/>
                <w:szCs w:val="18"/>
                <w:lang w:val="ro-MD"/>
              </w:rPr>
              <w:br/>
              <w:t xml:space="preserve"> %</w:t>
            </w:r>
          </w:p>
        </w:tc>
      </w:tr>
      <w:tr w:rsidR="00DE4129" w:rsidRPr="003F4D72" w14:paraId="74CEA074" w14:textId="77777777" w:rsidTr="00C92E30">
        <w:trPr>
          <w:trHeight w:val="306"/>
        </w:trPr>
        <w:tc>
          <w:tcPr>
            <w:tcW w:w="1129" w:type="dxa"/>
            <w:tcBorders>
              <w:top w:val="nil"/>
              <w:left w:val="single" w:sz="4" w:space="0" w:color="auto"/>
              <w:bottom w:val="single" w:sz="4" w:space="0" w:color="auto"/>
              <w:right w:val="single" w:sz="4" w:space="0" w:color="auto"/>
            </w:tcBorders>
            <w:shd w:val="clear" w:color="auto" w:fill="auto"/>
            <w:noWrap/>
            <w:hideMark/>
          </w:tcPr>
          <w:p w14:paraId="3EA16103" w14:textId="77777777" w:rsidR="00DE4129" w:rsidRPr="003F4D72" w:rsidRDefault="00C92E30" w:rsidP="00C92E30">
            <w:pPr>
              <w:pStyle w:val="NormalWeb"/>
              <w:tabs>
                <w:tab w:val="left" w:pos="162"/>
              </w:tabs>
              <w:spacing w:line="276" w:lineRule="auto"/>
              <w:ind w:firstLine="0"/>
              <w:rPr>
                <w:rFonts w:asciiTheme="majorHAnsi" w:hAnsiTheme="majorHAnsi" w:cstheme="majorHAnsi"/>
                <w:b/>
                <w:sz w:val="18"/>
                <w:szCs w:val="18"/>
                <w:lang w:val="ro-MD"/>
              </w:rPr>
            </w:pPr>
            <w:r w:rsidRPr="003F4D72">
              <w:rPr>
                <w:rFonts w:asciiTheme="majorHAnsi" w:hAnsiTheme="majorHAnsi" w:cstheme="majorHAnsi"/>
                <w:b/>
                <w:sz w:val="18"/>
                <w:szCs w:val="18"/>
                <w:lang w:val="ro-MD"/>
              </w:rPr>
              <w:t>Venituri</w:t>
            </w:r>
          </w:p>
        </w:tc>
        <w:tc>
          <w:tcPr>
            <w:tcW w:w="851" w:type="dxa"/>
            <w:tcBorders>
              <w:top w:val="single" w:sz="4" w:space="0" w:color="auto"/>
              <w:left w:val="nil"/>
              <w:bottom w:val="single" w:sz="4" w:space="0" w:color="auto"/>
              <w:right w:val="nil"/>
            </w:tcBorders>
          </w:tcPr>
          <w:p w14:paraId="501397B7"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6877,4</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14:paraId="1AB02957"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7636,3</w:t>
            </w:r>
          </w:p>
        </w:tc>
        <w:tc>
          <w:tcPr>
            <w:tcW w:w="972" w:type="dxa"/>
            <w:tcBorders>
              <w:top w:val="single" w:sz="4" w:space="0" w:color="auto"/>
              <w:left w:val="nil"/>
              <w:bottom w:val="single" w:sz="4" w:space="0" w:color="auto"/>
              <w:right w:val="single" w:sz="4" w:space="0" w:color="auto"/>
            </w:tcBorders>
            <w:shd w:val="clear" w:color="auto" w:fill="auto"/>
            <w:noWrap/>
            <w:hideMark/>
          </w:tcPr>
          <w:p w14:paraId="732EAA9F"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8500,8</w:t>
            </w:r>
          </w:p>
        </w:tc>
        <w:tc>
          <w:tcPr>
            <w:tcW w:w="1005" w:type="dxa"/>
            <w:tcBorders>
              <w:top w:val="single" w:sz="4" w:space="0" w:color="auto"/>
              <w:left w:val="nil"/>
              <w:bottom w:val="single" w:sz="4" w:space="0" w:color="auto"/>
              <w:right w:val="single" w:sz="4" w:space="0" w:color="auto"/>
            </w:tcBorders>
            <w:shd w:val="clear" w:color="auto" w:fill="auto"/>
            <w:noWrap/>
            <w:hideMark/>
          </w:tcPr>
          <w:p w14:paraId="6054828E"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8542,6</w:t>
            </w:r>
          </w:p>
        </w:tc>
        <w:tc>
          <w:tcPr>
            <w:tcW w:w="993" w:type="dxa"/>
            <w:tcBorders>
              <w:top w:val="single" w:sz="4" w:space="0" w:color="auto"/>
              <w:left w:val="nil"/>
              <w:bottom w:val="single" w:sz="4" w:space="0" w:color="auto"/>
              <w:right w:val="single" w:sz="4" w:space="0" w:color="auto"/>
            </w:tcBorders>
            <w:shd w:val="clear" w:color="auto" w:fill="auto"/>
            <w:noWrap/>
          </w:tcPr>
          <w:p w14:paraId="252177E6"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41,8</w:t>
            </w:r>
          </w:p>
        </w:tc>
        <w:tc>
          <w:tcPr>
            <w:tcW w:w="708" w:type="dxa"/>
            <w:tcBorders>
              <w:top w:val="nil"/>
              <w:left w:val="nil"/>
              <w:bottom w:val="single" w:sz="4" w:space="0" w:color="auto"/>
              <w:right w:val="single" w:sz="4" w:space="0" w:color="auto"/>
            </w:tcBorders>
            <w:shd w:val="clear" w:color="auto" w:fill="auto"/>
            <w:noWrap/>
          </w:tcPr>
          <w:p w14:paraId="10018521"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100,5</w:t>
            </w:r>
          </w:p>
        </w:tc>
        <w:tc>
          <w:tcPr>
            <w:tcW w:w="1002" w:type="dxa"/>
            <w:gridSpan w:val="2"/>
            <w:tcBorders>
              <w:top w:val="nil"/>
              <w:left w:val="single" w:sz="4" w:space="0" w:color="auto"/>
              <w:bottom w:val="single" w:sz="4" w:space="0" w:color="auto"/>
              <w:right w:val="single" w:sz="4" w:space="0" w:color="auto"/>
            </w:tcBorders>
            <w:shd w:val="clear" w:color="auto" w:fill="auto"/>
            <w:noWrap/>
          </w:tcPr>
          <w:p w14:paraId="255CFCE9"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1665,2</w:t>
            </w:r>
          </w:p>
        </w:tc>
        <w:tc>
          <w:tcPr>
            <w:tcW w:w="810" w:type="dxa"/>
            <w:tcBorders>
              <w:top w:val="nil"/>
              <w:left w:val="nil"/>
              <w:bottom w:val="single" w:sz="4" w:space="0" w:color="auto"/>
              <w:right w:val="single" w:sz="4" w:space="0" w:color="auto"/>
            </w:tcBorders>
            <w:shd w:val="clear" w:color="auto" w:fill="auto"/>
            <w:noWrap/>
          </w:tcPr>
          <w:p w14:paraId="7B5F39C7"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124,2</w:t>
            </w:r>
          </w:p>
        </w:tc>
        <w:tc>
          <w:tcPr>
            <w:tcW w:w="711" w:type="dxa"/>
            <w:tcBorders>
              <w:top w:val="nil"/>
              <w:left w:val="nil"/>
              <w:bottom w:val="single" w:sz="4" w:space="0" w:color="auto"/>
              <w:right w:val="single" w:sz="4" w:space="0" w:color="auto"/>
            </w:tcBorders>
          </w:tcPr>
          <w:p w14:paraId="0F387DE8" w14:textId="0FDA97F3" w:rsidR="00DE4129" w:rsidRPr="003F4D72" w:rsidRDefault="00160584"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906,3</w:t>
            </w:r>
          </w:p>
        </w:tc>
        <w:tc>
          <w:tcPr>
            <w:tcW w:w="709" w:type="dxa"/>
            <w:tcBorders>
              <w:top w:val="nil"/>
              <w:left w:val="nil"/>
              <w:bottom w:val="single" w:sz="4" w:space="0" w:color="auto"/>
              <w:right w:val="single" w:sz="4" w:space="0" w:color="auto"/>
            </w:tcBorders>
          </w:tcPr>
          <w:p w14:paraId="0542F571" w14:textId="77777777" w:rsidR="00DE4129" w:rsidRPr="003F4D72" w:rsidRDefault="00DE4129" w:rsidP="00C92E30">
            <w:pPr>
              <w:pStyle w:val="NormalWeb"/>
              <w:tabs>
                <w:tab w:val="left" w:pos="162"/>
              </w:tabs>
              <w:spacing w:line="276" w:lineRule="auto"/>
              <w:ind w:firstLine="0"/>
              <w:jc w:val="center"/>
              <w:rPr>
                <w:rFonts w:asciiTheme="majorHAnsi" w:hAnsiTheme="majorHAnsi" w:cstheme="majorHAnsi"/>
                <w:sz w:val="18"/>
                <w:szCs w:val="18"/>
                <w:lang w:val="ro-MD"/>
              </w:rPr>
            </w:pPr>
            <w:r w:rsidRPr="003F4D72">
              <w:rPr>
                <w:rFonts w:asciiTheme="majorHAnsi" w:hAnsiTheme="majorHAnsi" w:cstheme="majorHAnsi"/>
                <w:sz w:val="18"/>
                <w:szCs w:val="18"/>
                <w:lang w:val="ro-MD"/>
              </w:rPr>
              <w:t>111,9</w:t>
            </w:r>
          </w:p>
        </w:tc>
      </w:tr>
      <w:tr w:rsidR="00DE4129" w:rsidRPr="003F4D72" w14:paraId="52542DD7" w14:textId="77777777" w:rsidTr="00C92E30">
        <w:trPr>
          <w:trHeight w:val="306"/>
        </w:trPr>
        <w:tc>
          <w:tcPr>
            <w:tcW w:w="1129" w:type="dxa"/>
            <w:tcBorders>
              <w:top w:val="single" w:sz="4" w:space="0" w:color="auto"/>
              <w:left w:val="single" w:sz="4" w:space="0" w:color="auto"/>
              <w:bottom w:val="single" w:sz="4" w:space="0" w:color="auto"/>
              <w:right w:val="single" w:sz="4" w:space="0" w:color="auto"/>
            </w:tcBorders>
            <w:shd w:val="clear" w:color="auto" w:fill="auto"/>
            <w:noWrap/>
          </w:tcPr>
          <w:p w14:paraId="35EE6905" w14:textId="77777777" w:rsidR="00DE4129" w:rsidRPr="003F4D72" w:rsidRDefault="00C92E30" w:rsidP="00C92E30">
            <w:pPr>
              <w:pStyle w:val="NormalWeb"/>
              <w:tabs>
                <w:tab w:val="left" w:pos="162"/>
              </w:tabs>
              <w:spacing w:line="276" w:lineRule="auto"/>
              <w:ind w:firstLine="0"/>
              <w:rPr>
                <w:rFonts w:asciiTheme="majorHAnsi" w:hAnsiTheme="majorHAnsi" w:cstheme="majorHAnsi"/>
                <w:b/>
                <w:sz w:val="18"/>
                <w:szCs w:val="18"/>
                <w:lang w:val="ro-MD"/>
              </w:rPr>
            </w:pPr>
            <w:r w:rsidRPr="003F4D72">
              <w:rPr>
                <w:rFonts w:asciiTheme="majorHAnsi" w:hAnsiTheme="majorHAnsi" w:cstheme="majorHAnsi"/>
                <w:b/>
                <w:sz w:val="18"/>
                <w:szCs w:val="18"/>
                <w:lang w:val="ro-MD"/>
              </w:rPr>
              <w:t>Cheltuieli</w:t>
            </w:r>
          </w:p>
        </w:tc>
        <w:tc>
          <w:tcPr>
            <w:tcW w:w="851" w:type="dxa"/>
            <w:tcBorders>
              <w:top w:val="single" w:sz="4" w:space="0" w:color="auto"/>
              <w:left w:val="single" w:sz="4" w:space="0" w:color="auto"/>
              <w:bottom w:val="single" w:sz="4" w:space="0" w:color="auto"/>
              <w:right w:val="single" w:sz="4" w:space="0" w:color="auto"/>
            </w:tcBorders>
          </w:tcPr>
          <w:p w14:paraId="163FA76E"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6714,1</w:t>
            </w:r>
          </w:p>
        </w:tc>
        <w:tc>
          <w:tcPr>
            <w:tcW w:w="886" w:type="dxa"/>
            <w:tcBorders>
              <w:top w:val="single" w:sz="4" w:space="0" w:color="auto"/>
              <w:left w:val="single" w:sz="4" w:space="0" w:color="auto"/>
              <w:bottom w:val="single" w:sz="4" w:space="0" w:color="auto"/>
              <w:right w:val="single" w:sz="4" w:space="0" w:color="auto"/>
            </w:tcBorders>
            <w:shd w:val="clear" w:color="auto" w:fill="auto"/>
            <w:noWrap/>
          </w:tcPr>
          <w:p w14:paraId="2306ECCC"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7489,7</w:t>
            </w:r>
          </w:p>
        </w:tc>
        <w:tc>
          <w:tcPr>
            <w:tcW w:w="972" w:type="dxa"/>
            <w:tcBorders>
              <w:top w:val="single" w:sz="4" w:space="0" w:color="auto"/>
              <w:left w:val="single" w:sz="4" w:space="0" w:color="auto"/>
              <w:bottom w:val="single" w:sz="4" w:space="0" w:color="auto"/>
              <w:right w:val="single" w:sz="4" w:space="0" w:color="auto"/>
            </w:tcBorders>
            <w:shd w:val="clear" w:color="auto" w:fill="auto"/>
            <w:noWrap/>
          </w:tcPr>
          <w:p w14:paraId="5BB70CAC"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8917,4</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186E1607"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8405,5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524FC177"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-511,9</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BDD18A"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94,3</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14:paraId="051C76C6"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1691,4</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0054307"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125,2</w:t>
            </w:r>
          </w:p>
        </w:tc>
        <w:tc>
          <w:tcPr>
            <w:tcW w:w="711" w:type="dxa"/>
            <w:tcBorders>
              <w:top w:val="single" w:sz="4" w:space="0" w:color="auto"/>
              <w:left w:val="single" w:sz="4" w:space="0" w:color="auto"/>
              <w:bottom w:val="single" w:sz="4" w:space="0" w:color="auto"/>
              <w:right w:val="single" w:sz="4" w:space="0" w:color="auto"/>
            </w:tcBorders>
          </w:tcPr>
          <w:p w14:paraId="54E926C1" w14:textId="17BAB9D6" w:rsidR="00DE4129" w:rsidRPr="003F4D72" w:rsidRDefault="00160584"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915,8</w:t>
            </w:r>
          </w:p>
        </w:tc>
        <w:tc>
          <w:tcPr>
            <w:tcW w:w="709" w:type="dxa"/>
            <w:tcBorders>
              <w:top w:val="single" w:sz="4" w:space="0" w:color="auto"/>
              <w:left w:val="single" w:sz="4" w:space="0" w:color="auto"/>
              <w:bottom w:val="single" w:sz="4" w:space="0" w:color="auto"/>
              <w:right w:val="single" w:sz="4" w:space="0" w:color="auto"/>
            </w:tcBorders>
          </w:tcPr>
          <w:p w14:paraId="0F809155" w14:textId="77777777" w:rsidR="00DE4129" w:rsidRPr="003F4D72" w:rsidRDefault="00DE4129" w:rsidP="00C92E30">
            <w:pPr>
              <w:spacing w:after="0" w:line="276" w:lineRule="auto"/>
              <w:jc w:val="center"/>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112,2</w:t>
            </w:r>
          </w:p>
        </w:tc>
      </w:tr>
    </w:tbl>
    <w:p w14:paraId="026F6148" w14:textId="661432FE" w:rsidR="00DE4129" w:rsidRPr="003F4D72" w:rsidRDefault="00DE4129" w:rsidP="000726AC">
      <w:pPr>
        <w:spacing w:line="276" w:lineRule="auto"/>
        <w:jc w:val="both"/>
        <w:rPr>
          <w:rFonts w:asciiTheme="majorHAnsi" w:hAnsiTheme="majorHAnsi" w:cstheme="majorHAnsi"/>
          <w:sz w:val="24"/>
          <w:szCs w:val="24"/>
        </w:rPr>
      </w:pPr>
      <w:r w:rsidRPr="003F4D72">
        <w:rPr>
          <w:rFonts w:asciiTheme="majorHAnsi" w:hAnsiTheme="majorHAnsi" w:cstheme="majorHAnsi"/>
          <w:b/>
          <w:i/>
          <w:sz w:val="20"/>
          <w:szCs w:val="24"/>
        </w:rPr>
        <w:t>Sursa:</w:t>
      </w:r>
      <w:r w:rsidRPr="003F4D72">
        <w:rPr>
          <w:rFonts w:asciiTheme="majorHAnsi" w:hAnsiTheme="majorHAnsi" w:cstheme="majorHAnsi"/>
          <w:sz w:val="18"/>
        </w:rPr>
        <w:t xml:space="preserve"> </w:t>
      </w:r>
      <w:r w:rsidRPr="003F4D72">
        <w:rPr>
          <w:rFonts w:asciiTheme="majorHAnsi" w:hAnsiTheme="majorHAnsi" w:cstheme="majorHAnsi"/>
          <w:i/>
          <w:sz w:val="20"/>
        </w:rPr>
        <w:t xml:space="preserve">Raportul privind executarea fondurilor asigurării obligatorii de asistență medicală </w:t>
      </w:r>
      <w:r w:rsidR="003C46D4" w:rsidRPr="003F4D72">
        <w:rPr>
          <w:rFonts w:asciiTheme="majorHAnsi" w:hAnsiTheme="majorHAnsi" w:cstheme="majorHAnsi"/>
          <w:i/>
          <w:sz w:val="20"/>
        </w:rPr>
        <w:t>în anul 2018, 2019, 2020.</w:t>
      </w:r>
    </w:p>
    <w:p w14:paraId="05F3C846" w14:textId="696A2098" w:rsidR="006B1DA1" w:rsidRPr="003F4D72" w:rsidRDefault="006B1DA1" w:rsidP="00BD68F3">
      <w:pPr>
        <w:spacing w:after="0" w:line="276" w:lineRule="auto"/>
        <w:ind w:firstLine="567"/>
        <w:jc w:val="both"/>
        <w:rPr>
          <w:rFonts w:asciiTheme="majorHAnsi" w:hAnsiTheme="majorHAnsi" w:cstheme="majorHAnsi"/>
          <w:b/>
          <w:sz w:val="24"/>
        </w:rPr>
      </w:pPr>
      <w:r w:rsidRPr="003F4D72">
        <w:rPr>
          <w:rFonts w:asciiTheme="majorHAnsi" w:hAnsiTheme="majorHAnsi" w:cstheme="majorHAnsi"/>
          <w:sz w:val="24"/>
          <w:szCs w:val="24"/>
          <w:lang w:eastAsia="ru-RU"/>
        </w:rPr>
        <w:t xml:space="preserve">Fondurile asigurării obligatorii de </w:t>
      </w:r>
      <w:proofErr w:type="spellStart"/>
      <w:r w:rsidRPr="003F4D72">
        <w:rPr>
          <w:rFonts w:asciiTheme="majorHAnsi" w:hAnsiTheme="majorHAnsi" w:cstheme="majorHAnsi"/>
          <w:sz w:val="24"/>
          <w:szCs w:val="24"/>
          <w:lang w:eastAsia="ru-RU"/>
        </w:rPr>
        <w:t>asistenţă</w:t>
      </w:r>
      <w:proofErr w:type="spellEnd"/>
      <w:r w:rsidRPr="003F4D72">
        <w:rPr>
          <w:rFonts w:asciiTheme="majorHAnsi" w:hAnsiTheme="majorHAnsi" w:cstheme="majorHAnsi"/>
          <w:sz w:val="24"/>
          <w:szCs w:val="24"/>
          <w:lang w:eastAsia="ru-RU"/>
        </w:rPr>
        <w:t xml:space="preserve"> medicală pe anul 2020 a</w:t>
      </w:r>
      <w:r w:rsidR="00272098" w:rsidRPr="003F4D72">
        <w:rPr>
          <w:rFonts w:asciiTheme="majorHAnsi" w:hAnsiTheme="majorHAnsi" w:cstheme="majorHAnsi"/>
          <w:sz w:val="24"/>
          <w:szCs w:val="24"/>
          <w:lang w:eastAsia="ru-RU"/>
        </w:rPr>
        <w:t>u</w:t>
      </w:r>
      <w:r w:rsidRPr="003F4D72">
        <w:rPr>
          <w:rFonts w:asciiTheme="majorHAnsi" w:hAnsiTheme="majorHAnsi" w:cstheme="majorHAnsi"/>
          <w:sz w:val="24"/>
          <w:szCs w:val="24"/>
          <w:lang w:eastAsia="ru-RU"/>
        </w:rPr>
        <w:t xml:space="preserve"> fost aprobat</w:t>
      </w:r>
      <w:r w:rsidR="00272098" w:rsidRPr="003F4D72">
        <w:rPr>
          <w:rFonts w:asciiTheme="majorHAnsi" w:hAnsiTheme="majorHAnsi" w:cstheme="majorHAnsi"/>
          <w:sz w:val="24"/>
          <w:szCs w:val="24"/>
          <w:lang w:eastAsia="ru-RU"/>
        </w:rPr>
        <w:t>e</w:t>
      </w:r>
      <w:r w:rsidRPr="003F4D72">
        <w:rPr>
          <w:rFonts w:asciiTheme="majorHAnsi" w:hAnsiTheme="majorHAnsi" w:cstheme="majorHAnsi"/>
          <w:sz w:val="24"/>
          <w:szCs w:val="24"/>
          <w:lang w:eastAsia="ru-RU"/>
        </w:rPr>
        <w:t xml:space="preserve"> inițial la venituri și cheltuieli în sume egale de </w:t>
      </w:r>
      <w:r w:rsidRPr="003F4D72">
        <w:rPr>
          <w:rFonts w:asciiTheme="majorHAnsi" w:hAnsiTheme="majorHAnsi" w:cstheme="majorHAnsi"/>
          <w:sz w:val="24"/>
          <w:szCs w:val="24"/>
        </w:rPr>
        <w:t xml:space="preserve">8383,4 mil.lei. Ulterior, în urma rectificărilor operate, veniturile au fost precizate în sumă de 8 500,8 mil. lei </w:t>
      </w:r>
      <w:proofErr w:type="spellStart"/>
      <w:r w:rsidRPr="003F4D72">
        <w:rPr>
          <w:rFonts w:asciiTheme="majorHAnsi" w:hAnsiTheme="majorHAnsi" w:cstheme="majorHAnsi"/>
          <w:sz w:val="24"/>
          <w:szCs w:val="24"/>
        </w:rPr>
        <w:t>şi</w:t>
      </w:r>
      <w:proofErr w:type="spellEnd"/>
      <w:r w:rsidRPr="003F4D72">
        <w:rPr>
          <w:rFonts w:asciiTheme="majorHAnsi" w:hAnsiTheme="majorHAnsi" w:cstheme="majorHAnsi"/>
          <w:sz w:val="24"/>
          <w:szCs w:val="24"/>
        </w:rPr>
        <w:t xml:space="preserve"> cheltuieli</w:t>
      </w:r>
      <w:r w:rsidR="00272098" w:rsidRPr="003F4D72">
        <w:rPr>
          <w:rFonts w:asciiTheme="majorHAnsi" w:hAnsiTheme="majorHAnsi" w:cstheme="majorHAnsi"/>
          <w:sz w:val="24"/>
          <w:szCs w:val="24"/>
        </w:rPr>
        <w:t>le</w:t>
      </w:r>
      <w:r w:rsidRPr="003F4D72">
        <w:rPr>
          <w:rFonts w:asciiTheme="majorHAnsi" w:hAnsiTheme="majorHAnsi" w:cstheme="majorHAnsi"/>
          <w:sz w:val="24"/>
          <w:szCs w:val="24"/>
        </w:rPr>
        <w:t xml:space="preserve"> – în sumă de 8 917,4 mil. lei, </w:t>
      </w:r>
      <w:r w:rsidRPr="003F4D72">
        <w:rPr>
          <w:rFonts w:asciiTheme="majorHAnsi" w:hAnsiTheme="majorHAnsi" w:cstheme="majorHAnsi"/>
          <w:noProof/>
          <w:sz w:val="24"/>
          <w:szCs w:val="24"/>
        </w:rPr>
        <w:t xml:space="preserve">сu un deficit în sumă de </w:t>
      </w:r>
      <w:r w:rsidRPr="003F4D72">
        <w:rPr>
          <w:rFonts w:asciiTheme="majorHAnsi" w:hAnsiTheme="majorHAnsi" w:cstheme="majorHAnsi"/>
          <w:sz w:val="24"/>
          <w:szCs w:val="24"/>
        </w:rPr>
        <w:t>416,6</w:t>
      </w:r>
      <w:r w:rsidRPr="003F4D72">
        <w:rPr>
          <w:rFonts w:asciiTheme="majorHAnsi" w:hAnsiTheme="majorHAnsi" w:cstheme="majorHAnsi"/>
          <w:noProof/>
          <w:sz w:val="24"/>
          <w:szCs w:val="24"/>
        </w:rPr>
        <w:t xml:space="preserve"> mil.lei</w:t>
      </w:r>
      <w:r w:rsidR="00272098" w:rsidRPr="003F4D72">
        <w:rPr>
          <w:rFonts w:asciiTheme="majorHAnsi" w:hAnsiTheme="majorHAnsi" w:cstheme="majorHAnsi"/>
          <w:noProof/>
          <w:sz w:val="24"/>
          <w:szCs w:val="24"/>
        </w:rPr>
        <w:t>.</w:t>
      </w:r>
    </w:p>
    <w:p w14:paraId="7456D2FC" w14:textId="7DAE47E1" w:rsidR="006B1DA1" w:rsidRPr="003F4D72" w:rsidRDefault="00DF6811" w:rsidP="00BD68F3">
      <w:pPr>
        <w:spacing w:after="0" w:line="276" w:lineRule="auto"/>
        <w:ind w:firstLine="567"/>
        <w:jc w:val="both"/>
        <w:rPr>
          <w:rFonts w:asciiTheme="majorHAnsi" w:hAnsiTheme="majorHAnsi" w:cstheme="majorHAnsi"/>
          <w:b/>
          <w:sz w:val="24"/>
        </w:rPr>
      </w:pPr>
      <w:r w:rsidRPr="003F4D72">
        <w:rPr>
          <w:rFonts w:asciiTheme="majorHAnsi" w:hAnsiTheme="majorHAnsi" w:cstheme="majorHAnsi"/>
          <w:sz w:val="24"/>
        </w:rPr>
        <w:t>Deși</w:t>
      </w:r>
      <w:r w:rsidR="006B1DA1" w:rsidRPr="003F4D72">
        <w:rPr>
          <w:rFonts w:asciiTheme="majorHAnsi" w:hAnsiTheme="majorHAnsi" w:cstheme="majorHAnsi"/>
          <w:sz w:val="24"/>
        </w:rPr>
        <w:t xml:space="preserve"> Legea </w:t>
      </w:r>
      <w:r w:rsidRPr="003F4D72">
        <w:rPr>
          <w:rFonts w:asciiTheme="majorHAnsi" w:hAnsiTheme="majorHAnsi" w:cstheme="majorHAnsi"/>
          <w:sz w:val="24"/>
        </w:rPr>
        <w:t>finanțelor</w:t>
      </w:r>
      <w:r w:rsidR="006B1DA1" w:rsidRPr="003F4D72">
        <w:rPr>
          <w:rFonts w:asciiTheme="majorHAnsi" w:hAnsiTheme="majorHAnsi" w:cstheme="majorHAnsi"/>
          <w:sz w:val="24"/>
        </w:rPr>
        <w:t xml:space="preserve"> publice </w:t>
      </w:r>
      <w:proofErr w:type="spellStart"/>
      <w:r w:rsidR="006B1DA1" w:rsidRPr="003F4D72">
        <w:rPr>
          <w:rFonts w:asciiTheme="majorHAnsi" w:hAnsiTheme="majorHAnsi" w:cstheme="majorHAnsi"/>
          <w:sz w:val="24"/>
        </w:rPr>
        <w:t>şi</w:t>
      </w:r>
      <w:proofErr w:type="spellEnd"/>
      <w:r w:rsidR="006B1DA1" w:rsidRPr="003F4D72">
        <w:rPr>
          <w:rFonts w:asciiTheme="majorHAnsi" w:hAnsiTheme="majorHAnsi" w:cstheme="majorHAnsi"/>
          <w:sz w:val="24"/>
        </w:rPr>
        <w:t xml:space="preserve"> </w:t>
      </w:r>
      <w:r w:rsidRPr="003F4D72">
        <w:rPr>
          <w:rFonts w:asciiTheme="majorHAnsi" w:hAnsiTheme="majorHAnsi" w:cstheme="majorHAnsi"/>
          <w:sz w:val="24"/>
        </w:rPr>
        <w:t>responsabilității</w:t>
      </w:r>
      <w:r w:rsidR="006B1DA1" w:rsidRPr="003F4D72">
        <w:rPr>
          <w:rFonts w:asciiTheme="majorHAnsi" w:hAnsiTheme="majorHAnsi" w:cstheme="majorHAnsi"/>
          <w:sz w:val="24"/>
        </w:rPr>
        <w:t xml:space="preserve"> bugetar-fiscale </w:t>
      </w:r>
      <w:r w:rsidRPr="003F4D72">
        <w:rPr>
          <w:rFonts w:asciiTheme="majorHAnsi" w:hAnsiTheme="majorHAnsi" w:cstheme="majorHAnsi"/>
          <w:sz w:val="24"/>
        </w:rPr>
        <w:t>stabilește</w:t>
      </w:r>
      <w:r w:rsidR="006B1DA1" w:rsidRPr="003F4D72">
        <w:rPr>
          <w:rFonts w:asciiTheme="majorHAnsi" w:hAnsiTheme="majorHAnsi" w:cstheme="majorHAnsi"/>
          <w:sz w:val="24"/>
        </w:rPr>
        <w:t xml:space="preserve"> </w:t>
      </w:r>
      <w:r w:rsidRPr="003F4D72">
        <w:rPr>
          <w:rFonts w:asciiTheme="majorHAnsi" w:hAnsiTheme="majorHAnsi" w:cstheme="majorHAnsi"/>
          <w:sz w:val="24"/>
        </w:rPr>
        <w:t>condițiile</w:t>
      </w:r>
      <w:r w:rsidR="006B1DA1" w:rsidRPr="003F4D72">
        <w:rPr>
          <w:rFonts w:asciiTheme="majorHAnsi" w:hAnsiTheme="majorHAnsi" w:cstheme="majorHAnsi"/>
          <w:sz w:val="24"/>
        </w:rPr>
        <w:t xml:space="preserve"> </w:t>
      </w:r>
      <w:proofErr w:type="spellStart"/>
      <w:r w:rsidR="006B1DA1" w:rsidRPr="003F4D72">
        <w:rPr>
          <w:rFonts w:asciiTheme="majorHAnsi" w:hAnsiTheme="majorHAnsi" w:cstheme="majorHAnsi"/>
          <w:sz w:val="24"/>
        </w:rPr>
        <w:t>şi</w:t>
      </w:r>
      <w:proofErr w:type="spellEnd"/>
      <w:r w:rsidR="006B1DA1" w:rsidRPr="003F4D72">
        <w:rPr>
          <w:rFonts w:asciiTheme="majorHAnsi" w:hAnsiTheme="majorHAnsi" w:cstheme="majorHAnsi"/>
          <w:sz w:val="24"/>
        </w:rPr>
        <w:t xml:space="preserve"> termenele generale privind modificările/precizările bugetelor anuale aprobate, indicatorii anuali ai fondurilor </w:t>
      </w:r>
      <w:r w:rsidR="006B1DA1" w:rsidRPr="003F4D72">
        <w:rPr>
          <w:rFonts w:asciiTheme="majorHAnsi" w:hAnsiTheme="majorHAnsi" w:cstheme="majorHAnsi"/>
          <w:sz w:val="24"/>
          <w:szCs w:val="24"/>
          <w:lang w:eastAsia="ru-RU"/>
        </w:rPr>
        <w:t xml:space="preserve">asigurării obligatorii de </w:t>
      </w:r>
      <w:proofErr w:type="spellStart"/>
      <w:r w:rsidR="006B1DA1" w:rsidRPr="003F4D72">
        <w:rPr>
          <w:rFonts w:asciiTheme="majorHAnsi" w:hAnsiTheme="majorHAnsi" w:cstheme="majorHAnsi"/>
          <w:sz w:val="24"/>
          <w:szCs w:val="24"/>
          <w:lang w:eastAsia="ru-RU"/>
        </w:rPr>
        <w:t>asistenţă</w:t>
      </w:r>
      <w:proofErr w:type="spellEnd"/>
      <w:r w:rsidR="006B1DA1" w:rsidRPr="003F4D72">
        <w:rPr>
          <w:rFonts w:asciiTheme="majorHAnsi" w:hAnsiTheme="majorHAnsi" w:cstheme="majorHAnsi"/>
          <w:sz w:val="24"/>
          <w:szCs w:val="24"/>
          <w:lang w:eastAsia="ru-RU"/>
        </w:rPr>
        <w:t xml:space="preserve"> medicală</w:t>
      </w:r>
      <w:r w:rsidR="006B1DA1" w:rsidRPr="003F4D72">
        <w:rPr>
          <w:rFonts w:asciiTheme="majorHAnsi" w:hAnsiTheme="majorHAnsi" w:cstheme="majorHAnsi"/>
          <w:sz w:val="24"/>
        </w:rPr>
        <w:t xml:space="preserve"> </w:t>
      </w:r>
      <w:r w:rsidRPr="003F4D72">
        <w:rPr>
          <w:rFonts w:asciiTheme="majorHAnsi" w:hAnsiTheme="majorHAnsi" w:cstheme="majorHAnsi"/>
          <w:sz w:val="24"/>
        </w:rPr>
        <w:t>aprobați</w:t>
      </w:r>
      <w:r w:rsidR="006B1DA1" w:rsidRPr="003F4D72">
        <w:rPr>
          <w:rFonts w:asciiTheme="majorHAnsi" w:hAnsiTheme="majorHAnsi" w:cstheme="majorHAnsi"/>
          <w:sz w:val="24"/>
        </w:rPr>
        <w:t xml:space="preserve"> au fost </w:t>
      </w:r>
      <w:r w:rsidRPr="003F4D72">
        <w:rPr>
          <w:rFonts w:asciiTheme="majorHAnsi" w:hAnsiTheme="majorHAnsi" w:cstheme="majorHAnsi"/>
          <w:sz w:val="24"/>
        </w:rPr>
        <w:t>precizați</w:t>
      </w:r>
      <w:r w:rsidR="006B1DA1" w:rsidRPr="003F4D72">
        <w:rPr>
          <w:rFonts w:asciiTheme="majorHAnsi" w:hAnsiTheme="majorHAnsi" w:cstheme="majorHAnsi"/>
          <w:sz w:val="24"/>
        </w:rPr>
        <w:t xml:space="preserve"> de 4 ori</w:t>
      </w:r>
      <w:r w:rsidR="006B1DA1" w:rsidRPr="003F4D72">
        <w:rPr>
          <w:rStyle w:val="FootnoteReference"/>
          <w:rFonts w:cstheme="majorHAnsi"/>
          <w:sz w:val="24"/>
        </w:rPr>
        <w:footnoteReference w:id="54"/>
      </w:r>
      <w:r w:rsidR="006B1DA1" w:rsidRPr="003F4D72">
        <w:rPr>
          <w:rFonts w:asciiTheme="majorHAnsi" w:hAnsiTheme="majorHAnsi" w:cstheme="majorHAnsi"/>
          <w:sz w:val="24"/>
        </w:rPr>
        <w:t xml:space="preserve">. </w:t>
      </w:r>
      <w:r w:rsidR="006B1DA1" w:rsidRPr="003F4D72">
        <w:rPr>
          <w:rFonts w:asciiTheme="majorHAnsi" w:hAnsiTheme="majorHAnsi" w:cstheme="majorHAnsi"/>
          <w:sz w:val="24"/>
        </w:rPr>
        <w:lastRenderedPageBreak/>
        <w:t xml:space="preserve">Precizările au fost </w:t>
      </w:r>
      <w:r w:rsidRPr="003F4D72">
        <w:rPr>
          <w:rFonts w:asciiTheme="majorHAnsi" w:hAnsiTheme="majorHAnsi" w:cstheme="majorHAnsi"/>
          <w:sz w:val="24"/>
        </w:rPr>
        <w:t>influențate</w:t>
      </w:r>
      <w:r w:rsidR="006B1DA1" w:rsidRPr="003F4D72">
        <w:rPr>
          <w:rFonts w:asciiTheme="majorHAnsi" w:hAnsiTheme="majorHAnsi" w:cstheme="majorHAnsi"/>
          <w:sz w:val="24"/>
        </w:rPr>
        <w:t xml:space="preserve"> de nivelul executării fondurilor pe parcursul anului bugetar, de acordarea suplimentelor legate de îndeplinirea indicatorului de </w:t>
      </w:r>
      <w:r w:rsidRPr="003F4D72">
        <w:rPr>
          <w:rFonts w:asciiTheme="majorHAnsi" w:hAnsiTheme="majorHAnsi" w:cstheme="majorHAnsi"/>
          <w:sz w:val="24"/>
        </w:rPr>
        <w:t>performanță</w:t>
      </w:r>
      <w:r w:rsidR="006B1DA1" w:rsidRPr="003F4D72">
        <w:rPr>
          <w:rFonts w:asciiTheme="majorHAnsi" w:hAnsiTheme="majorHAnsi" w:cstheme="majorHAnsi"/>
          <w:sz w:val="24"/>
        </w:rPr>
        <w:t xml:space="preserve"> profesională „Acordarea </w:t>
      </w:r>
      <w:r w:rsidRPr="003F4D72">
        <w:rPr>
          <w:rFonts w:asciiTheme="majorHAnsi" w:hAnsiTheme="majorHAnsi" w:cstheme="majorHAnsi"/>
          <w:sz w:val="24"/>
        </w:rPr>
        <w:t>asistenței</w:t>
      </w:r>
      <w:r w:rsidR="006B1DA1" w:rsidRPr="003F4D72">
        <w:rPr>
          <w:rFonts w:asciiTheme="majorHAnsi" w:hAnsiTheme="majorHAnsi" w:cstheme="majorHAnsi"/>
          <w:sz w:val="24"/>
        </w:rPr>
        <w:t xml:space="preserve"> medicale </w:t>
      </w:r>
      <w:r w:rsidRPr="003F4D72">
        <w:rPr>
          <w:rFonts w:asciiTheme="majorHAnsi" w:hAnsiTheme="majorHAnsi" w:cstheme="majorHAnsi"/>
          <w:sz w:val="24"/>
        </w:rPr>
        <w:t>pacienților</w:t>
      </w:r>
      <w:r w:rsidR="006B1DA1" w:rsidRPr="003F4D72">
        <w:rPr>
          <w:rFonts w:asciiTheme="majorHAnsi" w:hAnsiTheme="majorHAnsi" w:cstheme="majorHAnsi"/>
          <w:sz w:val="24"/>
        </w:rPr>
        <w:t xml:space="preserve"> cu COVID-19, în baza </w:t>
      </w:r>
      <w:r w:rsidRPr="003F4D72">
        <w:rPr>
          <w:rFonts w:asciiTheme="majorHAnsi" w:hAnsiTheme="majorHAnsi" w:cstheme="majorHAnsi"/>
          <w:sz w:val="24"/>
        </w:rPr>
        <w:t>definiției</w:t>
      </w:r>
      <w:r w:rsidR="006B1DA1" w:rsidRPr="003F4D72">
        <w:rPr>
          <w:rFonts w:asciiTheme="majorHAnsi" w:hAnsiTheme="majorHAnsi" w:cstheme="majorHAnsi"/>
          <w:sz w:val="24"/>
        </w:rPr>
        <w:t xml:space="preserve"> de caz contact/suspect/probabil/confirmat” și de creșterile salariale cu 30% pentru personalul medical și șoferi</w:t>
      </w:r>
      <w:r w:rsidR="00E83B7C" w:rsidRPr="003F4D72">
        <w:rPr>
          <w:rFonts w:asciiTheme="majorHAnsi" w:hAnsiTheme="majorHAnsi" w:cstheme="majorHAnsi"/>
          <w:sz w:val="24"/>
        </w:rPr>
        <w:t>i</w:t>
      </w:r>
      <w:r w:rsidR="006B1DA1" w:rsidRPr="003F4D72">
        <w:rPr>
          <w:rFonts w:asciiTheme="majorHAnsi" w:hAnsiTheme="majorHAnsi" w:cstheme="majorHAnsi"/>
          <w:sz w:val="24"/>
        </w:rPr>
        <w:t xml:space="preserve"> de ambulanțe, </w:t>
      </w:r>
      <w:r w:rsidR="00E83B7C" w:rsidRPr="003F4D72">
        <w:rPr>
          <w:rFonts w:asciiTheme="majorHAnsi" w:hAnsiTheme="majorHAnsi" w:cstheme="majorHAnsi"/>
          <w:sz w:val="24"/>
        </w:rPr>
        <w:t xml:space="preserve">ale căror </w:t>
      </w:r>
      <w:r w:rsidR="006B1DA1" w:rsidRPr="003F4D72">
        <w:rPr>
          <w:rFonts w:asciiTheme="majorHAnsi" w:hAnsiTheme="majorHAnsi" w:cstheme="majorHAnsi"/>
          <w:sz w:val="24"/>
        </w:rPr>
        <w:t>acoperir</w:t>
      </w:r>
      <w:r w:rsidR="00E83B7C" w:rsidRPr="003F4D72">
        <w:rPr>
          <w:rFonts w:asciiTheme="majorHAnsi" w:hAnsiTheme="majorHAnsi" w:cstheme="majorHAnsi"/>
          <w:sz w:val="24"/>
        </w:rPr>
        <w:t>i</w:t>
      </w:r>
      <w:r w:rsidR="006B1DA1" w:rsidRPr="003F4D72">
        <w:rPr>
          <w:rFonts w:asciiTheme="majorHAnsi" w:hAnsiTheme="majorHAnsi" w:cstheme="majorHAnsi"/>
          <w:sz w:val="24"/>
        </w:rPr>
        <w:t xml:space="preserve"> financiar</w:t>
      </w:r>
      <w:r w:rsidR="00E83B7C" w:rsidRPr="003F4D72">
        <w:rPr>
          <w:rFonts w:asciiTheme="majorHAnsi" w:hAnsiTheme="majorHAnsi" w:cstheme="majorHAnsi"/>
          <w:sz w:val="24"/>
        </w:rPr>
        <w:t>e</w:t>
      </w:r>
      <w:r w:rsidR="006B1DA1" w:rsidRPr="003F4D72">
        <w:rPr>
          <w:rFonts w:asciiTheme="majorHAnsi" w:hAnsiTheme="majorHAnsi" w:cstheme="majorHAnsi"/>
          <w:sz w:val="24"/>
        </w:rPr>
        <w:t xml:space="preserve"> nu au fost prevăzute în Legea pentru anul 2020. </w:t>
      </w:r>
    </w:p>
    <w:p w14:paraId="41E90F2A" w14:textId="3CAAFCAE" w:rsidR="006B1DA1" w:rsidRPr="003F4D72" w:rsidRDefault="006B1DA1" w:rsidP="00BD68F3">
      <w:pPr>
        <w:spacing w:after="0" w:line="276" w:lineRule="auto"/>
        <w:ind w:firstLine="567"/>
        <w:jc w:val="both"/>
        <w:rPr>
          <w:rFonts w:asciiTheme="majorHAnsi" w:hAnsiTheme="majorHAnsi" w:cstheme="majorHAnsi"/>
          <w:sz w:val="24"/>
        </w:rPr>
      </w:pPr>
      <w:r w:rsidRPr="003F4D72">
        <w:rPr>
          <w:rFonts w:asciiTheme="majorHAnsi" w:hAnsiTheme="majorHAnsi" w:cstheme="majorHAnsi"/>
          <w:sz w:val="24"/>
        </w:rPr>
        <w:t xml:space="preserve">Totodată, modificările indicatorilor FAOAM au fost dictate </w:t>
      </w:r>
      <w:proofErr w:type="spellStart"/>
      <w:r w:rsidRPr="003F4D72">
        <w:rPr>
          <w:rFonts w:asciiTheme="majorHAnsi" w:hAnsiTheme="majorHAnsi" w:cstheme="majorHAnsi"/>
          <w:sz w:val="24"/>
        </w:rPr>
        <w:t>şi</w:t>
      </w:r>
      <w:proofErr w:type="spellEnd"/>
      <w:r w:rsidRPr="003F4D72">
        <w:rPr>
          <w:rFonts w:asciiTheme="majorHAnsi" w:hAnsiTheme="majorHAnsi" w:cstheme="majorHAnsi"/>
          <w:sz w:val="24"/>
        </w:rPr>
        <w:t xml:space="preserve"> de </w:t>
      </w:r>
      <w:r w:rsidRPr="003F4D72">
        <w:rPr>
          <w:rFonts w:asciiTheme="majorHAnsi" w:eastAsia="Calibri" w:hAnsiTheme="majorHAnsi" w:cstheme="majorHAnsi"/>
          <w:sz w:val="24"/>
        </w:rPr>
        <w:t xml:space="preserve">impactul pandemiei de </w:t>
      </w:r>
      <w:proofErr w:type="spellStart"/>
      <w:r w:rsidRPr="003F4D72">
        <w:rPr>
          <w:rFonts w:asciiTheme="majorHAnsi" w:eastAsia="Calibri" w:hAnsiTheme="majorHAnsi" w:cstheme="majorHAnsi"/>
          <w:sz w:val="24"/>
        </w:rPr>
        <w:t>coronavirus</w:t>
      </w:r>
      <w:proofErr w:type="spellEnd"/>
      <w:r w:rsidRPr="003F4D72">
        <w:rPr>
          <w:rFonts w:asciiTheme="majorHAnsi" w:eastAsia="Calibri" w:hAnsiTheme="majorHAnsi" w:cstheme="majorHAnsi"/>
          <w:sz w:val="24"/>
        </w:rPr>
        <w:t xml:space="preserve"> (COVID-19), în condițiile stării de </w:t>
      </w:r>
      <w:r w:rsidR="00DF6811" w:rsidRPr="003F4D72">
        <w:rPr>
          <w:rFonts w:asciiTheme="majorHAnsi" w:eastAsia="Calibri" w:hAnsiTheme="majorHAnsi" w:cstheme="majorHAnsi"/>
          <w:sz w:val="24"/>
        </w:rPr>
        <w:t>urgență</w:t>
      </w:r>
      <w:r w:rsidRPr="003F4D72">
        <w:rPr>
          <w:rFonts w:asciiTheme="majorHAnsi" w:eastAsia="Calibri" w:hAnsiTheme="majorHAnsi" w:cstheme="majorHAnsi"/>
          <w:sz w:val="24"/>
        </w:rPr>
        <w:t xml:space="preserve"> pe teritoriul Republicii Moldova </w:t>
      </w:r>
      <w:r w:rsidR="00E83B7C" w:rsidRPr="003F4D72">
        <w:rPr>
          <w:rFonts w:asciiTheme="majorHAnsi" w:eastAsia="Calibri" w:hAnsiTheme="majorHAnsi" w:cstheme="majorHAnsi"/>
          <w:sz w:val="24"/>
        </w:rPr>
        <w:t>în</w:t>
      </w:r>
      <w:r w:rsidRPr="003F4D72">
        <w:rPr>
          <w:rFonts w:asciiTheme="majorHAnsi" w:eastAsia="Calibri" w:hAnsiTheme="majorHAnsi" w:cstheme="majorHAnsi"/>
          <w:sz w:val="24"/>
        </w:rPr>
        <w:t xml:space="preserve"> perioada 17 martie - 15 mai 2020</w:t>
      </w:r>
      <w:r w:rsidRPr="003F4D72">
        <w:rPr>
          <w:rStyle w:val="FootnoteReference"/>
          <w:rFonts w:eastAsia="Calibri" w:cstheme="majorHAnsi"/>
          <w:sz w:val="24"/>
        </w:rPr>
        <w:footnoteReference w:id="55"/>
      </w:r>
      <w:r w:rsidR="00E83B7C" w:rsidRPr="003F4D72">
        <w:rPr>
          <w:rFonts w:asciiTheme="majorHAnsi" w:eastAsia="Calibri" w:hAnsiTheme="majorHAnsi" w:cstheme="majorHAnsi"/>
          <w:sz w:val="24"/>
        </w:rPr>
        <w:t>,</w:t>
      </w:r>
      <w:r w:rsidRPr="003F4D72">
        <w:rPr>
          <w:rFonts w:asciiTheme="majorHAnsi" w:eastAsia="Calibri" w:hAnsiTheme="majorHAnsi" w:cstheme="majorHAnsi"/>
          <w:sz w:val="24"/>
        </w:rPr>
        <w:t xml:space="preserve"> precum și de adoptarea unor măsuri de susținere suplimentară a unor categorii de populație</w:t>
      </w:r>
      <w:r w:rsidRPr="003F4D72">
        <w:rPr>
          <w:rFonts w:asciiTheme="majorHAnsi" w:hAnsiTheme="majorHAnsi" w:cstheme="majorHAnsi"/>
          <w:sz w:val="24"/>
        </w:rPr>
        <w:t>.</w:t>
      </w:r>
    </w:p>
    <w:p w14:paraId="24F7921B" w14:textId="3BE1FAA9" w:rsidR="006B1DA1" w:rsidRPr="003F4D72" w:rsidRDefault="006B1DA1" w:rsidP="00BD68F3">
      <w:pPr>
        <w:spacing w:after="0" w:line="276" w:lineRule="auto"/>
        <w:ind w:firstLine="567"/>
        <w:jc w:val="both"/>
        <w:rPr>
          <w:rFonts w:asciiTheme="majorHAnsi" w:hAnsiTheme="majorHAnsi" w:cstheme="majorHAnsi"/>
          <w:sz w:val="24"/>
        </w:rPr>
      </w:pPr>
      <w:r w:rsidRPr="003F4D72">
        <w:rPr>
          <w:rFonts w:asciiTheme="majorHAnsi" w:hAnsiTheme="majorHAnsi" w:cstheme="majorHAnsi"/>
          <w:b/>
          <w:sz w:val="24"/>
        </w:rPr>
        <w:t>În primul proiect de modificare a Legii fondurilor asigurării obligatorii de asistență medicală</w:t>
      </w:r>
      <w:r w:rsidRPr="003F4D72">
        <w:rPr>
          <w:rStyle w:val="FootnoteReference"/>
          <w:rFonts w:asciiTheme="majorHAnsi" w:hAnsiTheme="majorHAnsi" w:cstheme="majorHAnsi"/>
          <w:b/>
          <w:sz w:val="24"/>
        </w:rPr>
        <w:footnoteReference w:id="56"/>
      </w:r>
      <w:r w:rsidRPr="003F4D72">
        <w:rPr>
          <w:rFonts w:asciiTheme="majorHAnsi" w:hAnsiTheme="majorHAnsi" w:cstheme="majorHAnsi"/>
          <w:b/>
          <w:sz w:val="24"/>
        </w:rPr>
        <w:t xml:space="preserve"> </w:t>
      </w:r>
      <w:r w:rsidRPr="003F4D72">
        <w:rPr>
          <w:rFonts w:asciiTheme="majorHAnsi" w:hAnsiTheme="majorHAnsi" w:cstheme="majorHAnsi"/>
          <w:sz w:val="24"/>
        </w:rPr>
        <w:t xml:space="preserve">pe anul 2020 au fost </w:t>
      </w:r>
      <w:r w:rsidR="00DF6811" w:rsidRPr="003F4D72">
        <w:rPr>
          <w:rFonts w:asciiTheme="majorHAnsi" w:hAnsiTheme="majorHAnsi" w:cstheme="majorHAnsi"/>
          <w:sz w:val="24"/>
        </w:rPr>
        <w:t>micșorate</w:t>
      </w:r>
      <w:r w:rsidR="002F6325" w:rsidRPr="003F4D72">
        <w:rPr>
          <w:rFonts w:asciiTheme="majorHAnsi" w:hAnsiTheme="majorHAnsi" w:cstheme="majorHAnsi"/>
          <w:sz w:val="24"/>
        </w:rPr>
        <w:t xml:space="preserve"> veniturile cu 232,0 mil.</w:t>
      </w:r>
      <w:r w:rsidRPr="003F4D72">
        <w:rPr>
          <w:rFonts w:asciiTheme="majorHAnsi" w:hAnsiTheme="majorHAnsi" w:cstheme="majorHAnsi"/>
          <w:sz w:val="24"/>
        </w:rPr>
        <w:t xml:space="preserve">lei din contul primelor de asigurare obligatorie de asistență medicală în formă de contribuție procentuală la salariu și la alte recompense, achitate </w:t>
      </w:r>
      <w:r w:rsidR="002F6325" w:rsidRPr="003F4D72">
        <w:rPr>
          <w:rFonts w:asciiTheme="majorHAnsi" w:hAnsiTheme="majorHAnsi" w:cstheme="majorHAnsi"/>
          <w:sz w:val="24"/>
        </w:rPr>
        <w:t>d</w:t>
      </w:r>
      <w:r w:rsidRPr="003F4D72">
        <w:rPr>
          <w:rFonts w:asciiTheme="majorHAnsi" w:hAnsiTheme="majorHAnsi" w:cstheme="majorHAnsi"/>
          <w:sz w:val="24"/>
        </w:rPr>
        <w:t xml:space="preserve">e </w:t>
      </w:r>
      <w:r w:rsidR="002F6325" w:rsidRPr="003F4D72">
        <w:rPr>
          <w:rFonts w:asciiTheme="majorHAnsi" w:hAnsiTheme="majorHAnsi" w:cstheme="majorHAnsi"/>
          <w:sz w:val="24"/>
        </w:rPr>
        <w:t>fiecare categorie de plătitori</w:t>
      </w:r>
      <w:r w:rsidR="00E83B7C" w:rsidRPr="003F4D72">
        <w:rPr>
          <w:rFonts w:asciiTheme="majorHAnsi" w:hAnsiTheme="majorHAnsi" w:cstheme="majorHAnsi"/>
          <w:sz w:val="24"/>
        </w:rPr>
        <w:t>,</w:t>
      </w:r>
      <w:r w:rsidR="002F6325" w:rsidRPr="003F4D72">
        <w:rPr>
          <w:rFonts w:asciiTheme="majorHAnsi" w:hAnsiTheme="majorHAnsi" w:cstheme="majorHAnsi"/>
          <w:sz w:val="24"/>
        </w:rPr>
        <w:t xml:space="preserve"> cu</w:t>
      </w:r>
      <w:r w:rsidRPr="003F4D72">
        <w:rPr>
          <w:rFonts w:asciiTheme="majorHAnsi" w:hAnsiTheme="majorHAnsi" w:cstheme="majorHAnsi"/>
          <w:sz w:val="24"/>
        </w:rPr>
        <w:t xml:space="preserve"> formarea unui deficit de 232,0 mil. lei.</w:t>
      </w:r>
    </w:p>
    <w:p w14:paraId="48ACD31A" w14:textId="06AC687F" w:rsidR="006B1DA1" w:rsidRPr="003F4D72" w:rsidRDefault="006B1DA1" w:rsidP="00BD68F3">
      <w:pPr>
        <w:spacing w:after="0" w:line="276" w:lineRule="auto"/>
        <w:ind w:firstLine="567"/>
        <w:jc w:val="both"/>
        <w:rPr>
          <w:rFonts w:asciiTheme="majorHAnsi" w:hAnsiTheme="majorHAnsi" w:cstheme="majorHAnsi"/>
          <w:sz w:val="24"/>
        </w:rPr>
      </w:pPr>
      <w:r w:rsidRPr="003F4D72">
        <w:rPr>
          <w:rFonts w:asciiTheme="majorHAnsi" w:hAnsiTheme="majorHAnsi" w:cstheme="majorHAnsi"/>
          <w:sz w:val="24"/>
        </w:rPr>
        <w:t xml:space="preserve">Deficitul format </w:t>
      </w:r>
      <w:r w:rsidR="00E83B7C" w:rsidRPr="003F4D72">
        <w:rPr>
          <w:rFonts w:asciiTheme="majorHAnsi" w:hAnsiTheme="majorHAnsi" w:cstheme="majorHAnsi"/>
          <w:sz w:val="24"/>
        </w:rPr>
        <w:t>a fost</w:t>
      </w:r>
      <w:r w:rsidRPr="003F4D72">
        <w:rPr>
          <w:rFonts w:asciiTheme="majorHAnsi" w:hAnsiTheme="majorHAnsi" w:cstheme="majorHAnsi"/>
          <w:sz w:val="24"/>
        </w:rPr>
        <w:t xml:space="preserve"> acoperit din contul soldului, care la data de 01.01.2020 a constituit 549,7 mil. lei.</w:t>
      </w:r>
    </w:p>
    <w:p w14:paraId="292B5640" w14:textId="6E68D677" w:rsidR="006B1DA1" w:rsidRPr="003F4D72" w:rsidRDefault="006B1DA1" w:rsidP="00BD68F3">
      <w:pPr>
        <w:spacing w:after="0" w:line="276" w:lineRule="auto"/>
        <w:ind w:firstLine="567"/>
        <w:jc w:val="both"/>
        <w:rPr>
          <w:rFonts w:asciiTheme="majorHAnsi" w:hAnsiTheme="majorHAnsi" w:cstheme="majorHAnsi"/>
          <w:sz w:val="24"/>
        </w:rPr>
      </w:pPr>
      <w:r w:rsidRPr="003F4D72">
        <w:rPr>
          <w:rFonts w:asciiTheme="majorHAnsi" w:hAnsiTheme="majorHAnsi" w:cstheme="majorHAnsi"/>
          <w:b/>
          <w:sz w:val="24"/>
        </w:rPr>
        <w:t>A doua modificare a fondurilor asigurării obligatorii de asistență medicală</w:t>
      </w:r>
      <w:r w:rsidRPr="003F4D72">
        <w:rPr>
          <w:rStyle w:val="FootnoteReference"/>
          <w:rFonts w:asciiTheme="majorHAnsi" w:hAnsiTheme="majorHAnsi" w:cstheme="majorHAnsi"/>
          <w:b/>
          <w:sz w:val="24"/>
        </w:rPr>
        <w:footnoteReference w:id="57"/>
      </w:r>
      <w:r w:rsidR="000A347E" w:rsidRPr="003F4D72">
        <w:rPr>
          <w:rFonts w:asciiTheme="majorHAnsi" w:hAnsiTheme="majorHAnsi" w:cstheme="majorHAnsi"/>
          <w:b/>
          <w:sz w:val="24"/>
        </w:rPr>
        <w:t>:</w:t>
      </w:r>
      <w:r w:rsidRPr="003F4D72">
        <w:rPr>
          <w:rFonts w:asciiTheme="majorHAnsi" w:hAnsiTheme="majorHAnsi" w:cstheme="majorHAnsi"/>
          <w:b/>
          <w:sz w:val="24"/>
        </w:rPr>
        <w:t xml:space="preserve"> </w:t>
      </w:r>
      <w:r w:rsidRPr="003F4D72">
        <w:rPr>
          <w:rFonts w:asciiTheme="majorHAnsi" w:hAnsiTheme="majorHAnsi" w:cstheme="majorHAnsi"/>
          <w:sz w:val="24"/>
        </w:rPr>
        <w:t>t</w:t>
      </w:r>
      <w:r w:rsidRPr="003F4D72">
        <w:rPr>
          <w:rFonts w:asciiTheme="majorHAnsi" w:eastAsia="Calibri" w:hAnsiTheme="majorHAnsi" w:cstheme="majorHAnsi"/>
          <w:sz w:val="24"/>
        </w:rPr>
        <w:t xml:space="preserve">ransferurile între bugetul de stat </w:t>
      </w:r>
      <w:proofErr w:type="spellStart"/>
      <w:r w:rsidRPr="003F4D72">
        <w:rPr>
          <w:rFonts w:asciiTheme="majorHAnsi" w:eastAsia="Calibri" w:hAnsiTheme="majorHAnsi" w:cstheme="majorHAnsi"/>
          <w:sz w:val="24"/>
        </w:rPr>
        <w:t>şi</w:t>
      </w:r>
      <w:proofErr w:type="spellEnd"/>
      <w:r w:rsidRPr="003F4D72">
        <w:rPr>
          <w:rFonts w:asciiTheme="majorHAnsi" w:eastAsia="Calibri" w:hAnsiTheme="majorHAnsi" w:cstheme="majorHAnsi"/>
          <w:sz w:val="24"/>
        </w:rPr>
        <w:t xml:space="preserve"> </w:t>
      </w:r>
      <w:r w:rsidRPr="003F4D72">
        <w:rPr>
          <w:rFonts w:asciiTheme="majorHAnsi" w:hAnsiTheme="majorHAnsi" w:cstheme="majorHAnsi"/>
          <w:sz w:val="24"/>
        </w:rPr>
        <w:t>fonduril</w:t>
      </w:r>
      <w:r w:rsidR="000E0D14" w:rsidRPr="003F4D72">
        <w:rPr>
          <w:rFonts w:asciiTheme="majorHAnsi" w:hAnsiTheme="majorHAnsi" w:cstheme="majorHAnsi"/>
          <w:sz w:val="24"/>
        </w:rPr>
        <w:t>e</w:t>
      </w:r>
      <w:r w:rsidRPr="003F4D72">
        <w:rPr>
          <w:rFonts w:asciiTheme="majorHAnsi" w:hAnsiTheme="majorHAnsi" w:cstheme="majorHAnsi"/>
          <w:sz w:val="24"/>
        </w:rPr>
        <w:t xml:space="preserve"> asigurării obligatorii de asistență medicală au fost </w:t>
      </w:r>
      <w:r w:rsidRPr="003F4D72">
        <w:rPr>
          <w:rFonts w:asciiTheme="majorHAnsi" w:eastAsia="Calibri" w:hAnsiTheme="majorHAnsi" w:cstheme="majorHAnsi"/>
          <w:sz w:val="24"/>
        </w:rPr>
        <w:t>major</w:t>
      </w:r>
      <w:r w:rsidRPr="003F4D72">
        <w:rPr>
          <w:rFonts w:asciiTheme="majorHAnsi" w:hAnsiTheme="majorHAnsi" w:cstheme="majorHAnsi"/>
          <w:sz w:val="24"/>
        </w:rPr>
        <w:t xml:space="preserve">ate atât la partea de venituri ale FAOAM, cât </w:t>
      </w:r>
      <w:proofErr w:type="spellStart"/>
      <w:r w:rsidRPr="003F4D72">
        <w:rPr>
          <w:rFonts w:asciiTheme="majorHAnsi" w:hAnsiTheme="majorHAnsi" w:cstheme="majorHAnsi"/>
          <w:sz w:val="24"/>
        </w:rPr>
        <w:t>şi</w:t>
      </w:r>
      <w:proofErr w:type="spellEnd"/>
      <w:r w:rsidRPr="003F4D72">
        <w:rPr>
          <w:rFonts w:asciiTheme="majorHAnsi" w:hAnsiTheme="majorHAnsi" w:cstheme="majorHAnsi"/>
          <w:sz w:val="24"/>
        </w:rPr>
        <w:t xml:space="preserve"> la cheltuieli pentru acordarea unor </w:t>
      </w:r>
      <w:r w:rsidR="000726AC" w:rsidRPr="003F4D72">
        <w:rPr>
          <w:rFonts w:asciiTheme="majorHAnsi" w:hAnsiTheme="majorHAnsi" w:cstheme="majorHAnsi"/>
          <w:sz w:val="24"/>
        </w:rPr>
        <w:t>plăți</w:t>
      </w:r>
      <w:r w:rsidRPr="003F4D72">
        <w:rPr>
          <w:rFonts w:asciiTheme="majorHAnsi" w:hAnsiTheme="majorHAnsi" w:cstheme="majorHAnsi"/>
          <w:sz w:val="24"/>
        </w:rPr>
        <w:t xml:space="preserve"> neprevăzute în </w:t>
      </w:r>
      <w:r w:rsidR="00E83B7C" w:rsidRPr="003F4D72">
        <w:rPr>
          <w:rFonts w:asciiTheme="majorHAnsi" w:hAnsiTheme="majorHAnsi" w:cstheme="majorHAnsi"/>
          <w:sz w:val="24"/>
        </w:rPr>
        <w:t>L</w:t>
      </w:r>
      <w:r w:rsidR="000726AC" w:rsidRPr="003F4D72">
        <w:rPr>
          <w:rFonts w:asciiTheme="majorHAnsi" w:hAnsiTheme="majorHAnsi" w:cstheme="majorHAnsi"/>
          <w:sz w:val="24"/>
        </w:rPr>
        <w:t>e</w:t>
      </w:r>
      <w:r w:rsidRPr="003F4D72">
        <w:rPr>
          <w:rFonts w:asciiTheme="majorHAnsi" w:hAnsiTheme="majorHAnsi" w:cstheme="majorHAnsi"/>
          <w:sz w:val="24"/>
        </w:rPr>
        <w:t>gea fondurilor anual</w:t>
      </w:r>
      <w:r w:rsidR="00E83B7C" w:rsidRPr="003F4D72">
        <w:rPr>
          <w:rFonts w:asciiTheme="majorHAnsi" w:hAnsiTheme="majorHAnsi" w:cstheme="majorHAnsi"/>
          <w:sz w:val="24"/>
        </w:rPr>
        <w:t>ă</w:t>
      </w:r>
      <w:r w:rsidRPr="003F4D72">
        <w:rPr>
          <w:rFonts w:asciiTheme="majorHAnsi" w:hAnsiTheme="majorHAnsi" w:cstheme="majorHAnsi"/>
          <w:sz w:val="24"/>
        </w:rPr>
        <w:t>, și anume</w:t>
      </w:r>
      <w:r w:rsidR="002F6325" w:rsidRPr="003F4D72">
        <w:rPr>
          <w:rFonts w:asciiTheme="majorHAnsi" w:hAnsiTheme="majorHAnsi" w:cstheme="majorHAnsi"/>
          <w:sz w:val="24"/>
        </w:rPr>
        <w:t>:</w:t>
      </w:r>
      <w:r w:rsidRPr="003F4D72">
        <w:rPr>
          <w:rFonts w:asciiTheme="majorHAnsi" w:hAnsiTheme="majorHAnsi" w:cstheme="majorHAnsi"/>
          <w:sz w:val="24"/>
        </w:rPr>
        <w:t xml:space="preserve"> </w:t>
      </w:r>
    </w:p>
    <w:p w14:paraId="7E98ABDD" w14:textId="11F5BB93" w:rsidR="006B1DA1" w:rsidRPr="003F4D72" w:rsidRDefault="006B1DA1" w:rsidP="00DF6811">
      <w:pPr>
        <w:pStyle w:val="ListParagraph"/>
        <w:numPr>
          <w:ilvl w:val="0"/>
          <w:numId w:val="32"/>
        </w:numPr>
        <w:spacing w:after="0" w:line="276" w:lineRule="auto"/>
        <w:ind w:left="0" w:firstLine="426"/>
        <w:contextualSpacing w:val="0"/>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t>pentru acoperirea cheltuielilor în sumă de 362,6 mil. lei necesare creșterilor salariale cu 30% pentru personalul medical și șoferi</w:t>
      </w:r>
      <w:r w:rsidR="00E83B7C" w:rsidRPr="003F4D72">
        <w:rPr>
          <w:rFonts w:asciiTheme="majorHAnsi" w:hAnsiTheme="majorHAnsi" w:cstheme="majorHAnsi"/>
          <w:sz w:val="24"/>
          <w:szCs w:val="24"/>
          <w:lang w:val="ro-MD"/>
        </w:rPr>
        <w:t>i</w:t>
      </w:r>
      <w:r w:rsidRPr="003F4D72">
        <w:rPr>
          <w:rFonts w:asciiTheme="majorHAnsi" w:hAnsiTheme="majorHAnsi" w:cstheme="majorHAnsi"/>
          <w:sz w:val="24"/>
          <w:szCs w:val="24"/>
          <w:lang w:val="ro-MD"/>
        </w:rPr>
        <w:t xml:space="preserve"> de ambulanțe din asistența medicală urgentă prespitalicească din cadrul </w:t>
      </w:r>
      <w:r w:rsidR="000726AC" w:rsidRPr="003F4D72">
        <w:rPr>
          <w:rFonts w:asciiTheme="majorHAnsi" w:hAnsiTheme="majorHAnsi" w:cstheme="majorHAnsi"/>
          <w:sz w:val="24"/>
          <w:szCs w:val="24"/>
          <w:lang w:val="ro-MD"/>
        </w:rPr>
        <w:t>instituțiilor</w:t>
      </w:r>
      <w:r w:rsidRPr="003F4D72">
        <w:rPr>
          <w:rFonts w:asciiTheme="majorHAnsi" w:hAnsiTheme="majorHAnsi" w:cstheme="majorHAnsi"/>
          <w:sz w:val="24"/>
          <w:szCs w:val="24"/>
          <w:lang w:val="ro-MD"/>
        </w:rPr>
        <w:t xml:space="preserve"> medico-sanitare publice încadrate în sistemul </w:t>
      </w:r>
      <w:r w:rsidR="000726AC" w:rsidRPr="003F4D72">
        <w:rPr>
          <w:rFonts w:asciiTheme="majorHAnsi" w:hAnsiTheme="majorHAnsi" w:cstheme="majorHAnsi"/>
          <w:sz w:val="24"/>
          <w:szCs w:val="24"/>
          <w:lang w:val="ro-MD"/>
        </w:rPr>
        <w:t>asigurării</w:t>
      </w:r>
      <w:r w:rsidRPr="003F4D72">
        <w:rPr>
          <w:rFonts w:asciiTheme="majorHAnsi" w:hAnsiTheme="majorHAnsi" w:cstheme="majorHAnsi"/>
          <w:sz w:val="24"/>
          <w:szCs w:val="24"/>
          <w:lang w:val="ro-MD"/>
        </w:rPr>
        <w:t xml:space="preserve"> obligatorii de asistență medicală</w:t>
      </w:r>
      <w:r w:rsidR="00E83B7C" w:rsidRPr="003F4D72">
        <w:rPr>
          <w:rFonts w:asciiTheme="majorHAnsi" w:hAnsiTheme="majorHAnsi" w:cstheme="majorHAnsi"/>
          <w:sz w:val="24"/>
          <w:szCs w:val="24"/>
          <w:lang w:val="ro-MD"/>
        </w:rPr>
        <w:t>,</w:t>
      </w:r>
      <w:r w:rsidRPr="003F4D72">
        <w:rPr>
          <w:rFonts w:asciiTheme="majorHAnsi" w:hAnsiTheme="majorHAnsi" w:cstheme="majorHAnsi"/>
          <w:sz w:val="24"/>
          <w:szCs w:val="24"/>
          <w:lang w:val="ro-MD"/>
        </w:rPr>
        <w:t xml:space="preserve"> </w:t>
      </w:r>
      <w:r w:rsidR="000726AC" w:rsidRPr="003F4D72">
        <w:rPr>
          <w:rFonts w:asciiTheme="majorHAnsi" w:hAnsiTheme="majorHAnsi" w:cstheme="majorHAnsi"/>
          <w:sz w:val="24"/>
          <w:szCs w:val="24"/>
          <w:lang w:val="ro-MD"/>
        </w:rPr>
        <w:t>începând</w:t>
      </w:r>
      <w:r w:rsidRPr="003F4D72">
        <w:rPr>
          <w:rFonts w:asciiTheme="majorHAnsi" w:hAnsiTheme="majorHAnsi" w:cstheme="majorHAnsi"/>
          <w:sz w:val="24"/>
          <w:szCs w:val="24"/>
          <w:lang w:val="ro-MD"/>
        </w:rPr>
        <w:t xml:space="preserve"> cu 01 septembrie 2020</w:t>
      </w:r>
      <w:r w:rsidR="00E83B7C" w:rsidRPr="003F4D72">
        <w:rPr>
          <w:rFonts w:asciiTheme="majorHAnsi" w:hAnsiTheme="majorHAnsi" w:cstheme="majorHAnsi"/>
          <w:sz w:val="24"/>
          <w:szCs w:val="24"/>
          <w:lang w:val="ro-MD"/>
        </w:rPr>
        <w:t>,</w:t>
      </w:r>
      <w:r w:rsidRPr="003F4D72">
        <w:rPr>
          <w:rFonts w:asciiTheme="majorHAnsi" w:hAnsiTheme="majorHAnsi" w:cstheme="majorHAnsi"/>
          <w:sz w:val="24"/>
          <w:szCs w:val="24"/>
          <w:lang w:val="ro-MD"/>
        </w:rPr>
        <w:t xml:space="preserve"> pentru circa 42</w:t>
      </w:r>
      <w:r w:rsidR="00E83B7C" w:rsidRPr="003F4D72">
        <w:rPr>
          <w:rFonts w:asciiTheme="majorHAnsi" w:hAnsiTheme="majorHAnsi" w:cstheme="majorHAnsi"/>
          <w:sz w:val="24"/>
          <w:szCs w:val="24"/>
          <w:lang w:val="ro-MD"/>
        </w:rPr>
        <w:t xml:space="preserve"> </w:t>
      </w:r>
      <w:r w:rsidRPr="003F4D72">
        <w:rPr>
          <w:rFonts w:asciiTheme="majorHAnsi" w:hAnsiTheme="majorHAnsi" w:cstheme="majorHAnsi"/>
          <w:sz w:val="24"/>
          <w:szCs w:val="24"/>
          <w:lang w:val="ro-MD"/>
        </w:rPr>
        <w:t>918 unități de personal ocupat</w:t>
      </w:r>
      <w:r w:rsidR="00E83B7C" w:rsidRPr="003F4D72">
        <w:rPr>
          <w:rFonts w:asciiTheme="majorHAnsi" w:hAnsiTheme="majorHAnsi" w:cstheme="majorHAnsi"/>
          <w:sz w:val="24"/>
          <w:szCs w:val="24"/>
          <w:lang w:val="ro-MD"/>
        </w:rPr>
        <w:t>,</w:t>
      </w:r>
      <w:r w:rsidRPr="003F4D72">
        <w:rPr>
          <w:rFonts w:asciiTheme="majorHAnsi" w:hAnsiTheme="majorHAnsi" w:cstheme="majorHAnsi"/>
          <w:sz w:val="24"/>
          <w:szCs w:val="24"/>
          <w:lang w:val="ro-MD"/>
        </w:rPr>
        <w:t xml:space="preserve"> sau 38</w:t>
      </w:r>
      <w:r w:rsidR="00E83B7C" w:rsidRPr="003F4D72">
        <w:rPr>
          <w:rFonts w:asciiTheme="majorHAnsi" w:hAnsiTheme="majorHAnsi" w:cstheme="majorHAnsi"/>
          <w:sz w:val="24"/>
          <w:szCs w:val="24"/>
          <w:lang w:val="ro-MD"/>
        </w:rPr>
        <w:t xml:space="preserve"> </w:t>
      </w:r>
      <w:r w:rsidRPr="003F4D72">
        <w:rPr>
          <w:rFonts w:asciiTheme="majorHAnsi" w:hAnsiTheme="majorHAnsi" w:cstheme="majorHAnsi"/>
          <w:sz w:val="24"/>
          <w:szCs w:val="24"/>
          <w:lang w:val="ro-MD"/>
        </w:rPr>
        <w:t xml:space="preserve">793 </w:t>
      </w:r>
      <w:r w:rsidR="00E83B7C" w:rsidRPr="003F4D72">
        <w:rPr>
          <w:rFonts w:asciiTheme="majorHAnsi" w:hAnsiTheme="majorHAnsi" w:cstheme="majorHAnsi"/>
          <w:sz w:val="24"/>
          <w:szCs w:val="24"/>
          <w:lang w:val="ro-MD"/>
        </w:rPr>
        <w:t xml:space="preserve">de </w:t>
      </w:r>
      <w:r w:rsidRPr="003F4D72">
        <w:rPr>
          <w:rFonts w:asciiTheme="majorHAnsi" w:hAnsiTheme="majorHAnsi" w:cstheme="majorHAnsi"/>
          <w:sz w:val="24"/>
          <w:szCs w:val="24"/>
          <w:lang w:val="ro-MD"/>
        </w:rPr>
        <w:t>angajați;</w:t>
      </w:r>
    </w:p>
    <w:p w14:paraId="42063C97" w14:textId="6DCC4EF3" w:rsidR="006B1DA1" w:rsidRPr="003F4D72" w:rsidRDefault="006B1DA1" w:rsidP="00DF6811">
      <w:pPr>
        <w:pStyle w:val="ListParagraph"/>
        <w:numPr>
          <w:ilvl w:val="0"/>
          <w:numId w:val="32"/>
        </w:numPr>
        <w:spacing w:after="0" w:line="276" w:lineRule="auto"/>
        <w:ind w:left="0" w:firstLine="426"/>
        <w:contextualSpacing w:val="0"/>
        <w:jc w:val="both"/>
        <w:rPr>
          <w:rFonts w:asciiTheme="majorHAnsi" w:hAnsiTheme="majorHAnsi" w:cstheme="majorHAnsi"/>
          <w:sz w:val="28"/>
          <w:szCs w:val="24"/>
          <w:lang w:val="ro-MD"/>
        </w:rPr>
      </w:pPr>
      <w:r w:rsidRPr="003F4D72">
        <w:rPr>
          <w:rFonts w:asciiTheme="majorHAnsi" w:hAnsiTheme="majorHAnsi" w:cstheme="majorHAnsi"/>
          <w:sz w:val="24"/>
          <w:szCs w:val="24"/>
          <w:lang w:val="ro-MD"/>
        </w:rPr>
        <w:t>pentru acoperirea chel</w:t>
      </w:r>
      <w:r w:rsidR="000A347E" w:rsidRPr="003F4D72">
        <w:rPr>
          <w:rFonts w:asciiTheme="majorHAnsi" w:hAnsiTheme="majorHAnsi" w:cstheme="majorHAnsi"/>
          <w:sz w:val="24"/>
          <w:szCs w:val="24"/>
          <w:lang w:val="ro-MD"/>
        </w:rPr>
        <w:t>tuielilor în sumă de 171,4 mil.</w:t>
      </w:r>
      <w:r w:rsidRPr="003F4D72">
        <w:rPr>
          <w:rFonts w:asciiTheme="majorHAnsi" w:hAnsiTheme="majorHAnsi" w:cstheme="majorHAnsi"/>
          <w:sz w:val="24"/>
          <w:szCs w:val="24"/>
          <w:lang w:val="ro-MD"/>
        </w:rPr>
        <w:t xml:space="preserve">lei acordate personalului </w:t>
      </w:r>
      <w:r w:rsidR="000726AC" w:rsidRPr="003F4D72">
        <w:rPr>
          <w:rFonts w:asciiTheme="majorHAnsi" w:hAnsiTheme="majorHAnsi" w:cstheme="majorHAnsi"/>
          <w:sz w:val="24"/>
          <w:szCs w:val="24"/>
          <w:lang w:val="ro-MD"/>
        </w:rPr>
        <w:t>antrenat</w:t>
      </w:r>
      <w:r w:rsidRPr="003F4D72">
        <w:rPr>
          <w:rFonts w:asciiTheme="majorHAnsi" w:hAnsiTheme="majorHAnsi" w:cstheme="majorHAnsi"/>
          <w:sz w:val="24"/>
          <w:szCs w:val="24"/>
          <w:lang w:val="ro-MD"/>
        </w:rPr>
        <w:t xml:space="preserve"> în acordarea </w:t>
      </w:r>
      <w:proofErr w:type="spellStart"/>
      <w:r w:rsidR="000726AC" w:rsidRPr="003F4D72">
        <w:rPr>
          <w:rFonts w:asciiTheme="majorHAnsi" w:hAnsiTheme="majorHAnsi" w:cstheme="majorHAnsi"/>
          <w:sz w:val="24"/>
          <w:szCs w:val="24"/>
          <w:lang w:val="ro-MD"/>
        </w:rPr>
        <w:t>asistenţ</w:t>
      </w:r>
      <w:r w:rsidR="00E83B7C" w:rsidRPr="003F4D72">
        <w:rPr>
          <w:rFonts w:asciiTheme="majorHAnsi" w:hAnsiTheme="majorHAnsi" w:cstheme="majorHAnsi"/>
          <w:sz w:val="24"/>
          <w:szCs w:val="24"/>
          <w:lang w:val="ro-MD"/>
        </w:rPr>
        <w:t>ei</w:t>
      </w:r>
      <w:proofErr w:type="spellEnd"/>
      <w:r w:rsidRPr="003F4D72">
        <w:rPr>
          <w:rFonts w:asciiTheme="majorHAnsi" w:hAnsiTheme="majorHAnsi" w:cstheme="majorHAnsi"/>
          <w:sz w:val="24"/>
          <w:szCs w:val="24"/>
          <w:lang w:val="ro-MD"/>
        </w:rPr>
        <w:t xml:space="preserve"> medical</w:t>
      </w:r>
      <w:r w:rsidR="00E83B7C" w:rsidRPr="003F4D72">
        <w:rPr>
          <w:rFonts w:asciiTheme="majorHAnsi" w:hAnsiTheme="majorHAnsi" w:cstheme="majorHAnsi"/>
          <w:sz w:val="24"/>
          <w:szCs w:val="24"/>
          <w:lang w:val="ro-MD"/>
        </w:rPr>
        <w:t>e</w:t>
      </w:r>
      <w:r w:rsidRPr="003F4D72">
        <w:rPr>
          <w:rFonts w:asciiTheme="majorHAnsi" w:hAnsiTheme="majorHAnsi" w:cstheme="majorHAnsi"/>
          <w:sz w:val="24"/>
          <w:szCs w:val="24"/>
          <w:lang w:val="ro-MD"/>
        </w:rPr>
        <w:t xml:space="preserve"> persoanelor care întrunesc criteriile definiției </w:t>
      </w:r>
      <w:r w:rsidR="00E83B7C" w:rsidRPr="003F4D72">
        <w:rPr>
          <w:rFonts w:asciiTheme="majorHAnsi" w:hAnsiTheme="majorHAnsi" w:cstheme="majorHAnsi"/>
          <w:sz w:val="24"/>
          <w:szCs w:val="24"/>
          <w:lang w:val="ro-MD"/>
        </w:rPr>
        <w:t xml:space="preserve">de </w:t>
      </w:r>
      <w:r w:rsidRPr="003F4D72">
        <w:rPr>
          <w:rFonts w:asciiTheme="majorHAnsi" w:hAnsiTheme="majorHAnsi" w:cstheme="majorHAnsi"/>
          <w:sz w:val="24"/>
          <w:szCs w:val="24"/>
          <w:lang w:val="ro-MD"/>
        </w:rPr>
        <w:t>caz COVID-19.</w:t>
      </w:r>
    </w:p>
    <w:p w14:paraId="044F37B6" w14:textId="51FDB16B" w:rsidR="006B1DA1" w:rsidRPr="003F4D72" w:rsidRDefault="00E83B7C" w:rsidP="006B1DA1">
      <w:pPr>
        <w:tabs>
          <w:tab w:val="left" w:pos="360"/>
          <w:tab w:val="left" w:pos="900"/>
        </w:tabs>
        <w:spacing w:after="0" w:line="276" w:lineRule="auto"/>
        <w:jc w:val="both"/>
        <w:rPr>
          <w:rFonts w:asciiTheme="majorHAnsi" w:hAnsiTheme="majorHAnsi" w:cstheme="majorHAnsi"/>
          <w:sz w:val="28"/>
          <w:szCs w:val="24"/>
        </w:rPr>
      </w:pPr>
      <w:r w:rsidRPr="003F4D72">
        <w:rPr>
          <w:rFonts w:asciiTheme="majorHAnsi" w:hAnsiTheme="majorHAnsi" w:cstheme="majorHAnsi"/>
          <w:b/>
          <w:sz w:val="24"/>
        </w:rPr>
        <w:tab/>
      </w:r>
      <w:r w:rsidR="006B1DA1" w:rsidRPr="003F4D72">
        <w:rPr>
          <w:rFonts w:asciiTheme="majorHAnsi" w:hAnsiTheme="majorHAnsi" w:cstheme="majorHAnsi"/>
          <w:b/>
          <w:sz w:val="24"/>
        </w:rPr>
        <w:t>Prin modificarea a treia</w:t>
      </w:r>
      <w:r w:rsidR="006B1DA1" w:rsidRPr="003F4D72">
        <w:rPr>
          <w:rStyle w:val="FootnoteReference"/>
          <w:rFonts w:asciiTheme="majorHAnsi" w:hAnsiTheme="majorHAnsi" w:cstheme="majorHAnsi"/>
          <w:b/>
          <w:sz w:val="24"/>
        </w:rPr>
        <w:footnoteReference w:id="58"/>
      </w:r>
      <w:r w:rsidR="006B1DA1" w:rsidRPr="003F4D72">
        <w:rPr>
          <w:rFonts w:asciiTheme="majorHAnsi" w:hAnsiTheme="majorHAnsi" w:cstheme="majorHAnsi"/>
          <w:sz w:val="24"/>
        </w:rPr>
        <w:t xml:space="preserve">, </w:t>
      </w:r>
      <w:r w:rsidR="006B1DA1" w:rsidRPr="003F4D72">
        <w:rPr>
          <w:rFonts w:asciiTheme="majorHAnsi" w:hAnsiTheme="majorHAnsi" w:cstheme="majorHAnsi"/>
          <w:bCs/>
          <w:sz w:val="24"/>
        </w:rPr>
        <w:t xml:space="preserve">indicatorii generali ai fondurilor asigurării obligatorii de asistență medicală pe anul 2020 au fost </w:t>
      </w:r>
      <w:r w:rsidR="000726AC" w:rsidRPr="003F4D72">
        <w:rPr>
          <w:rFonts w:asciiTheme="majorHAnsi" w:hAnsiTheme="majorHAnsi" w:cstheme="majorHAnsi"/>
          <w:bCs/>
          <w:sz w:val="24"/>
        </w:rPr>
        <w:t>modificați</w:t>
      </w:r>
      <w:r w:rsidR="006B1DA1" w:rsidRPr="003F4D72">
        <w:rPr>
          <w:rFonts w:asciiTheme="majorHAnsi" w:hAnsiTheme="majorHAnsi" w:cstheme="majorHAnsi"/>
          <w:bCs/>
          <w:sz w:val="24"/>
        </w:rPr>
        <w:t xml:space="preserve"> prin aducerea în corespundere cu indicatorii </w:t>
      </w:r>
      <w:r w:rsidR="000726AC" w:rsidRPr="003F4D72">
        <w:rPr>
          <w:rFonts w:asciiTheme="majorHAnsi" w:hAnsiTheme="majorHAnsi" w:cstheme="majorHAnsi"/>
          <w:bCs/>
          <w:sz w:val="24"/>
        </w:rPr>
        <w:t>incluși</w:t>
      </w:r>
      <w:r w:rsidR="006B1DA1" w:rsidRPr="003F4D72">
        <w:rPr>
          <w:rFonts w:asciiTheme="majorHAnsi" w:hAnsiTheme="majorHAnsi" w:cstheme="majorHAnsi"/>
          <w:bCs/>
          <w:sz w:val="24"/>
        </w:rPr>
        <w:t xml:space="preserve"> în proiectul legii pentru modificarea Legii fondurilor asigurării obligatorii de asistență medicală pe anul 2020, reieșind din încasările executate în primele 7 luni ale anului 2020</w:t>
      </w:r>
      <w:r w:rsidR="00167EBB" w:rsidRPr="003F4D72">
        <w:rPr>
          <w:rFonts w:asciiTheme="majorHAnsi" w:hAnsiTheme="majorHAnsi" w:cstheme="majorHAnsi"/>
          <w:bCs/>
          <w:sz w:val="24"/>
        </w:rPr>
        <w:t>,</w:t>
      </w:r>
      <w:r w:rsidR="006B1DA1" w:rsidRPr="003F4D72">
        <w:rPr>
          <w:rFonts w:asciiTheme="majorHAnsi" w:hAnsiTheme="majorHAnsi" w:cstheme="majorHAnsi"/>
          <w:bCs/>
          <w:sz w:val="24"/>
        </w:rPr>
        <w:t xml:space="preserve"> în comparație cu suma planificată și cu încasările realizate în aceeași perioadă a anului 2019: </w:t>
      </w:r>
    </w:p>
    <w:p w14:paraId="6E190633" w14:textId="77777777" w:rsidR="006B1DA1" w:rsidRPr="003F4D72" w:rsidRDefault="006B1DA1" w:rsidP="00DF6811">
      <w:pPr>
        <w:pStyle w:val="ListParagraph"/>
        <w:numPr>
          <w:ilvl w:val="0"/>
          <w:numId w:val="32"/>
        </w:numPr>
        <w:spacing w:after="0" w:line="276" w:lineRule="auto"/>
        <w:ind w:left="0" w:firstLine="426"/>
        <w:contextualSpacing w:val="0"/>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lastRenderedPageBreak/>
        <w:t>au fost micșorate veniturile din primele de asigurare obligatorie de asistență medicală în formă de contribuție procentuală la salariu și la alte recompense, achitate de fiecare categorie de plătitori în cuantum de 209,4 mil. lei;</w:t>
      </w:r>
    </w:p>
    <w:p w14:paraId="510FBE80" w14:textId="77777777" w:rsidR="006B1DA1" w:rsidRPr="003F4D72" w:rsidRDefault="006B1DA1" w:rsidP="00DF6811">
      <w:pPr>
        <w:pStyle w:val="ListParagraph"/>
        <w:numPr>
          <w:ilvl w:val="0"/>
          <w:numId w:val="32"/>
        </w:numPr>
        <w:spacing w:after="0" w:line="276" w:lineRule="auto"/>
        <w:ind w:left="0" w:firstLine="426"/>
        <w:contextualSpacing w:val="0"/>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t>majorarea cu 10,0 mil. lei a veniturilor din primele de asigurare obligatorie de asistență medicală în sumă fixă, achitate de persoanele fizice cu reședința sau domiciliul în Republica Moldova;</w:t>
      </w:r>
    </w:p>
    <w:p w14:paraId="640C0499" w14:textId="0C8C3A81" w:rsidR="006B1DA1" w:rsidRPr="003F4D72" w:rsidRDefault="006B1DA1" w:rsidP="00DF6811">
      <w:pPr>
        <w:pStyle w:val="ListParagraph"/>
        <w:numPr>
          <w:ilvl w:val="0"/>
          <w:numId w:val="32"/>
        </w:numPr>
        <w:spacing w:after="0" w:line="276" w:lineRule="auto"/>
        <w:ind w:left="0" w:firstLine="426"/>
        <w:contextualSpacing w:val="0"/>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t>majorarea cu 100,0 mil. lei a transferurilor curente cu destinație generală între bugetul de stat și fondurile asigurării obligatorii de asistență medicală;</w:t>
      </w:r>
    </w:p>
    <w:p w14:paraId="3C194217" w14:textId="5D84F107" w:rsidR="006B1DA1" w:rsidRPr="003F4D72" w:rsidRDefault="006B1DA1" w:rsidP="00DF6811">
      <w:pPr>
        <w:pStyle w:val="ListParagraph"/>
        <w:numPr>
          <w:ilvl w:val="0"/>
          <w:numId w:val="32"/>
        </w:numPr>
        <w:spacing w:after="0" w:line="276" w:lineRule="auto"/>
        <w:ind w:left="0" w:firstLine="426"/>
        <w:contextualSpacing w:val="0"/>
        <w:jc w:val="both"/>
        <w:rPr>
          <w:rFonts w:asciiTheme="majorHAnsi" w:hAnsiTheme="majorHAnsi" w:cstheme="majorHAnsi"/>
          <w:sz w:val="24"/>
          <w:szCs w:val="24"/>
          <w:lang w:val="ro-MD"/>
        </w:rPr>
      </w:pPr>
      <w:r w:rsidRPr="003F4D72">
        <w:rPr>
          <w:rFonts w:asciiTheme="majorHAnsi" w:hAnsiTheme="majorHAnsi" w:cstheme="majorHAnsi"/>
          <w:sz w:val="24"/>
          <w:szCs w:val="24"/>
          <w:lang w:val="ro-MD"/>
        </w:rPr>
        <w:t>majorarea altor venituri cu 20,8 mil. lei din contul încasărilor în creștere din impozitul unic perceput de la rezidenții parcurilor T</w:t>
      </w:r>
      <w:r w:rsidR="009C6B62" w:rsidRPr="003F4D72">
        <w:rPr>
          <w:rFonts w:asciiTheme="majorHAnsi" w:hAnsiTheme="majorHAnsi" w:cstheme="majorHAnsi"/>
          <w:sz w:val="24"/>
          <w:szCs w:val="24"/>
          <w:lang w:val="ro-MD"/>
        </w:rPr>
        <w:t>I</w:t>
      </w:r>
      <w:r w:rsidRPr="003F4D72">
        <w:rPr>
          <w:rFonts w:asciiTheme="majorHAnsi" w:hAnsiTheme="majorHAnsi" w:cstheme="majorHAnsi"/>
          <w:sz w:val="24"/>
          <w:szCs w:val="24"/>
          <w:lang w:val="ro-MD"/>
        </w:rPr>
        <w:t xml:space="preserve"> și diminuării veniturilor din amenzi, </w:t>
      </w:r>
      <w:r w:rsidR="00DF6811" w:rsidRPr="003F4D72">
        <w:rPr>
          <w:rFonts w:asciiTheme="majorHAnsi" w:hAnsiTheme="majorHAnsi" w:cstheme="majorHAnsi"/>
          <w:sz w:val="24"/>
          <w:szCs w:val="24"/>
          <w:lang w:val="ro-MD"/>
        </w:rPr>
        <w:t>dobânzi</w:t>
      </w:r>
      <w:r w:rsidRPr="003F4D72">
        <w:rPr>
          <w:rFonts w:asciiTheme="majorHAnsi" w:hAnsiTheme="majorHAnsi" w:cstheme="majorHAnsi"/>
          <w:sz w:val="24"/>
          <w:szCs w:val="24"/>
          <w:lang w:val="ro-MD"/>
        </w:rPr>
        <w:t xml:space="preserve"> și alte încasări.</w:t>
      </w:r>
    </w:p>
    <w:p w14:paraId="08EB3AC8" w14:textId="501F776D" w:rsidR="0099772F" w:rsidRPr="003F4D72" w:rsidRDefault="006B1DA1" w:rsidP="003C46D4">
      <w:pPr>
        <w:spacing w:after="0" w:line="276" w:lineRule="auto"/>
        <w:ind w:firstLine="567"/>
        <w:jc w:val="both"/>
        <w:rPr>
          <w:rFonts w:asciiTheme="majorHAnsi" w:hAnsiTheme="majorHAnsi" w:cstheme="majorHAnsi"/>
          <w:sz w:val="24"/>
          <w:szCs w:val="24"/>
        </w:rPr>
      </w:pPr>
      <w:r w:rsidRPr="003F4D72">
        <w:rPr>
          <w:rFonts w:asciiTheme="majorHAnsi" w:hAnsiTheme="majorHAnsi" w:cstheme="majorHAnsi"/>
          <w:sz w:val="24"/>
          <w:szCs w:val="24"/>
        </w:rPr>
        <w:t xml:space="preserve">În urma analizei exercițiului bugetar încheiat la 31 decembrie 2020, s-a constatat că veniturile </w:t>
      </w:r>
      <w:r w:rsidR="00A243DE" w:rsidRPr="003F4D72">
        <w:rPr>
          <w:rFonts w:asciiTheme="majorHAnsi" w:hAnsiTheme="majorHAnsi" w:cstheme="majorHAnsi"/>
          <w:sz w:val="24"/>
          <w:szCs w:val="24"/>
        </w:rPr>
        <w:t xml:space="preserve">au </w:t>
      </w:r>
      <w:r w:rsidR="009C6B62" w:rsidRPr="003F4D72">
        <w:rPr>
          <w:rFonts w:asciiTheme="majorHAnsi" w:hAnsiTheme="majorHAnsi" w:cstheme="majorHAnsi"/>
          <w:sz w:val="24"/>
          <w:szCs w:val="24"/>
        </w:rPr>
        <w:t xml:space="preserve">fost </w:t>
      </w:r>
      <w:r w:rsidR="00A243DE" w:rsidRPr="003F4D72">
        <w:rPr>
          <w:rFonts w:asciiTheme="majorHAnsi" w:hAnsiTheme="majorHAnsi" w:cstheme="majorHAnsi"/>
          <w:sz w:val="24"/>
          <w:szCs w:val="24"/>
        </w:rPr>
        <w:t>executat</w:t>
      </w:r>
      <w:r w:rsidR="009C6B62" w:rsidRPr="003F4D72">
        <w:rPr>
          <w:rFonts w:asciiTheme="majorHAnsi" w:hAnsiTheme="majorHAnsi" w:cstheme="majorHAnsi"/>
          <w:sz w:val="24"/>
          <w:szCs w:val="24"/>
        </w:rPr>
        <w:t>e</w:t>
      </w:r>
      <w:r w:rsidRPr="003F4D72">
        <w:rPr>
          <w:rFonts w:asciiTheme="majorHAnsi" w:hAnsiTheme="majorHAnsi" w:cstheme="majorHAnsi"/>
          <w:sz w:val="24"/>
          <w:szCs w:val="24"/>
        </w:rPr>
        <w:t xml:space="preserve"> în sumă de </w:t>
      </w:r>
      <w:r w:rsidR="00A243DE" w:rsidRPr="003F4D72">
        <w:rPr>
          <w:rFonts w:asciiTheme="majorHAnsi" w:hAnsiTheme="majorHAnsi" w:cstheme="majorHAnsi"/>
          <w:sz w:val="24"/>
          <w:szCs w:val="24"/>
        </w:rPr>
        <w:t>8</w:t>
      </w:r>
      <w:r w:rsidR="002D77C7" w:rsidRPr="003F4D72">
        <w:rPr>
          <w:rFonts w:asciiTheme="majorHAnsi" w:hAnsiTheme="majorHAnsi" w:cstheme="majorHAnsi"/>
          <w:sz w:val="24"/>
          <w:szCs w:val="24"/>
        </w:rPr>
        <w:t xml:space="preserve"> </w:t>
      </w:r>
      <w:r w:rsidR="00A243DE" w:rsidRPr="003F4D72">
        <w:rPr>
          <w:rFonts w:asciiTheme="majorHAnsi" w:hAnsiTheme="majorHAnsi" w:cstheme="majorHAnsi"/>
          <w:sz w:val="24"/>
          <w:szCs w:val="24"/>
        </w:rPr>
        <w:t>542,6 mil. lei</w:t>
      </w:r>
      <w:r w:rsidR="009C6B62" w:rsidRPr="003F4D72">
        <w:rPr>
          <w:rFonts w:asciiTheme="majorHAnsi" w:hAnsiTheme="majorHAnsi" w:cstheme="majorHAnsi"/>
          <w:sz w:val="24"/>
          <w:szCs w:val="24"/>
        </w:rPr>
        <w:t>,</w:t>
      </w:r>
      <w:r w:rsidR="00A243DE" w:rsidRPr="003F4D72">
        <w:rPr>
          <w:rFonts w:asciiTheme="majorHAnsi" w:hAnsiTheme="majorHAnsi" w:cstheme="majorHAnsi"/>
          <w:sz w:val="24"/>
          <w:szCs w:val="24"/>
        </w:rPr>
        <w:t xml:space="preserve"> </w:t>
      </w:r>
      <w:r w:rsidRPr="003F4D72">
        <w:rPr>
          <w:rFonts w:asciiTheme="majorHAnsi" w:hAnsiTheme="majorHAnsi" w:cstheme="majorHAnsi"/>
          <w:sz w:val="24"/>
          <w:szCs w:val="24"/>
        </w:rPr>
        <w:t xml:space="preserve">cu 41,8 </w:t>
      </w:r>
      <w:r w:rsidR="00A243DE" w:rsidRPr="003F4D72">
        <w:rPr>
          <w:rFonts w:asciiTheme="majorHAnsi" w:hAnsiTheme="majorHAnsi" w:cstheme="majorHAnsi"/>
          <w:sz w:val="24"/>
          <w:szCs w:val="24"/>
        </w:rPr>
        <w:t>mil.</w:t>
      </w:r>
      <w:r w:rsidRPr="003F4D72">
        <w:rPr>
          <w:rFonts w:asciiTheme="majorHAnsi" w:hAnsiTheme="majorHAnsi" w:cstheme="majorHAnsi"/>
          <w:sz w:val="24"/>
          <w:szCs w:val="24"/>
        </w:rPr>
        <w:t xml:space="preserve">lei (0,5%) mai mult </w:t>
      </w:r>
      <w:r w:rsidR="00DF6811" w:rsidRPr="003F4D72">
        <w:rPr>
          <w:rFonts w:asciiTheme="majorHAnsi" w:hAnsiTheme="majorHAnsi" w:cstheme="majorHAnsi"/>
          <w:sz w:val="24"/>
          <w:szCs w:val="24"/>
        </w:rPr>
        <w:t>decât</w:t>
      </w:r>
      <w:r w:rsidR="00A243DE" w:rsidRPr="003F4D72">
        <w:rPr>
          <w:rFonts w:asciiTheme="majorHAnsi" w:hAnsiTheme="majorHAnsi" w:cstheme="majorHAnsi"/>
          <w:sz w:val="24"/>
          <w:szCs w:val="24"/>
        </w:rPr>
        <w:t xml:space="preserve"> nivelul precizat. C</w:t>
      </w:r>
      <w:r w:rsidRPr="003F4D72">
        <w:rPr>
          <w:rFonts w:asciiTheme="majorHAnsi" w:hAnsiTheme="majorHAnsi" w:cstheme="majorHAnsi"/>
          <w:sz w:val="24"/>
          <w:szCs w:val="24"/>
        </w:rPr>
        <w:t xml:space="preserve">heltuielile de casă </w:t>
      </w:r>
      <w:r w:rsidR="00A243DE" w:rsidRPr="003F4D72">
        <w:rPr>
          <w:rFonts w:asciiTheme="majorHAnsi" w:hAnsiTheme="majorHAnsi" w:cstheme="majorHAnsi"/>
          <w:sz w:val="24"/>
          <w:szCs w:val="24"/>
        </w:rPr>
        <w:t>au constituit</w:t>
      </w:r>
      <w:r w:rsidRPr="003F4D72">
        <w:rPr>
          <w:rFonts w:asciiTheme="majorHAnsi" w:hAnsiTheme="majorHAnsi" w:cstheme="majorHAnsi"/>
          <w:sz w:val="24"/>
          <w:szCs w:val="24"/>
        </w:rPr>
        <w:t xml:space="preserve"> 8</w:t>
      </w:r>
      <w:r w:rsidR="002D77C7" w:rsidRPr="003F4D72">
        <w:rPr>
          <w:rFonts w:asciiTheme="majorHAnsi" w:hAnsiTheme="majorHAnsi" w:cstheme="majorHAnsi"/>
          <w:sz w:val="24"/>
          <w:szCs w:val="24"/>
        </w:rPr>
        <w:t xml:space="preserve"> </w:t>
      </w:r>
      <w:r w:rsidRPr="003F4D72">
        <w:rPr>
          <w:rFonts w:asciiTheme="majorHAnsi" w:hAnsiTheme="majorHAnsi" w:cstheme="majorHAnsi"/>
          <w:sz w:val="24"/>
          <w:szCs w:val="24"/>
        </w:rPr>
        <w:t xml:space="preserve">405,5 mil. lei – cu 511,9 mil. lei (5,7%) sub nivelul celor precizate. În aceste condiții, exercițiul bugetar s-a soldat cu un excedent de 137,1 mil.lei. </w:t>
      </w:r>
    </w:p>
    <w:p w14:paraId="4744C6E2" w14:textId="50589E8E" w:rsidR="000A347E" w:rsidRPr="003F4D72" w:rsidRDefault="000A347E" w:rsidP="00105C19">
      <w:pPr>
        <w:spacing w:after="0" w:line="276" w:lineRule="auto"/>
        <w:jc w:val="both"/>
        <w:rPr>
          <w:rFonts w:ascii="Times New Roman" w:eastAsia="Times New Roman" w:hAnsi="Times New Roman" w:cs="Times New Roman"/>
          <w:sz w:val="24"/>
          <w:szCs w:val="24"/>
        </w:rPr>
      </w:pPr>
    </w:p>
    <w:p w14:paraId="3ADA7956" w14:textId="77777777" w:rsidR="00B27338" w:rsidRPr="003F4D72" w:rsidRDefault="00B27338" w:rsidP="00B27338">
      <w:pPr>
        <w:spacing w:after="0" w:line="276" w:lineRule="auto"/>
        <w:rPr>
          <w:rFonts w:asciiTheme="majorHAnsi" w:eastAsia="Times New Roman" w:hAnsiTheme="majorHAnsi" w:cstheme="majorHAnsi"/>
          <w:b/>
          <w:bCs/>
          <w:sz w:val="28"/>
          <w:szCs w:val="24"/>
        </w:rPr>
      </w:pPr>
      <w:r w:rsidRPr="003F4D72">
        <w:rPr>
          <w:rFonts w:asciiTheme="majorHAnsi" w:eastAsia="Times New Roman" w:hAnsiTheme="majorHAnsi" w:cstheme="majorHAnsi"/>
          <w:b/>
          <w:bCs/>
          <w:sz w:val="28"/>
          <w:szCs w:val="24"/>
        </w:rPr>
        <w:t>VIII. RECOMANDĂRI</w:t>
      </w:r>
    </w:p>
    <w:p w14:paraId="6A6D989A" w14:textId="77777777" w:rsidR="00B27338" w:rsidRPr="003F4D72" w:rsidRDefault="00B27338" w:rsidP="00B27338">
      <w:pPr>
        <w:pStyle w:val="ListParagraph"/>
        <w:numPr>
          <w:ilvl w:val="0"/>
          <w:numId w:val="36"/>
        </w:numPr>
        <w:tabs>
          <w:tab w:val="left" w:pos="284"/>
        </w:tabs>
        <w:spacing w:after="0" w:line="276" w:lineRule="auto"/>
        <w:ind w:left="0" w:firstLine="0"/>
        <w:jc w:val="both"/>
        <w:rPr>
          <w:rFonts w:asciiTheme="majorHAnsi" w:hAnsiTheme="majorHAnsi" w:cstheme="majorHAnsi"/>
          <w:bCs/>
          <w:sz w:val="24"/>
          <w:szCs w:val="24"/>
          <w:lang w:val="ro-MD"/>
        </w:rPr>
      </w:pPr>
      <w:r w:rsidRPr="003F4D72">
        <w:rPr>
          <w:rFonts w:asciiTheme="majorHAnsi" w:hAnsiTheme="majorHAnsi" w:cstheme="majorHAnsi"/>
          <w:b/>
          <w:bCs/>
          <w:sz w:val="24"/>
          <w:szCs w:val="24"/>
          <w:lang w:val="ro-MD"/>
        </w:rPr>
        <w:t>Ministerului Sănătății, Muncii și Protecției Sociale și Companiei Naționale de Asigurări în Medicină</w:t>
      </w:r>
      <w:r w:rsidRPr="003F4D72">
        <w:rPr>
          <w:rFonts w:asciiTheme="majorHAnsi" w:hAnsiTheme="majorHAnsi" w:cstheme="majorHAnsi"/>
          <w:bCs/>
          <w:sz w:val="24"/>
          <w:szCs w:val="24"/>
          <w:lang w:val="ro-MD"/>
        </w:rPr>
        <w:t>,</w:t>
      </w:r>
      <w:r w:rsidRPr="003F4D72">
        <w:rPr>
          <w:rFonts w:asciiTheme="majorHAnsi" w:hAnsiTheme="majorHAnsi" w:cstheme="majorHAnsi"/>
          <w:b/>
          <w:bCs/>
          <w:sz w:val="24"/>
          <w:szCs w:val="24"/>
          <w:lang w:val="ro-MD"/>
        </w:rPr>
        <w:t xml:space="preserve"> </w:t>
      </w:r>
      <w:r w:rsidRPr="003F4D72">
        <w:rPr>
          <w:rFonts w:asciiTheme="majorHAnsi" w:hAnsiTheme="majorHAnsi" w:cstheme="majorHAnsi"/>
          <w:bCs/>
          <w:sz w:val="24"/>
          <w:szCs w:val="24"/>
          <w:lang w:val="ro-MD"/>
        </w:rPr>
        <w:t>pentru:</w:t>
      </w:r>
    </w:p>
    <w:p w14:paraId="09844D46" w14:textId="6235814A" w:rsidR="00B27338" w:rsidRPr="003F4D72" w:rsidRDefault="00B27338" w:rsidP="00B27338">
      <w:pPr>
        <w:tabs>
          <w:tab w:val="left" w:pos="284"/>
        </w:tabs>
        <w:spacing w:after="0" w:line="276" w:lineRule="auto"/>
        <w:jc w:val="both"/>
        <w:rPr>
          <w:rFonts w:asciiTheme="majorHAnsi" w:hAnsiTheme="majorHAnsi" w:cstheme="majorHAnsi"/>
          <w:bCs/>
          <w:sz w:val="24"/>
          <w:szCs w:val="24"/>
        </w:rPr>
      </w:pPr>
      <w:r w:rsidRPr="003F4D72">
        <w:rPr>
          <w:rFonts w:asciiTheme="majorHAnsi" w:hAnsiTheme="majorHAnsi" w:cstheme="majorHAnsi"/>
          <w:bCs/>
          <w:sz w:val="24"/>
          <w:szCs w:val="24"/>
        </w:rPr>
        <w:t xml:space="preserve">1.1. reexaminarea modului de contractare </w:t>
      </w:r>
      <w:r w:rsidR="002D77C7" w:rsidRPr="003F4D72">
        <w:rPr>
          <w:rFonts w:asciiTheme="majorHAnsi" w:hAnsiTheme="majorHAnsi" w:cstheme="majorHAnsi"/>
          <w:bCs/>
          <w:sz w:val="24"/>
          <w:szCs w:val="24"/>
        </w:rPr>
        <w:t>„</w:t>
      </w:r>
      <w:r w:rsidRPr="003F4D72">
        <w:rPr>
          <w:rFonts w:asciiTheme="majorHAnsi" w:hAnsiTheme="majorHAnsi" w:cstheme="majorHAnsi"/>
          <w:bCs/>
          <w:sz w:val="24"/>
          <w:szCs w:val="24"/>
        </w:rPr>
        <w:t>buget global”, cu elaborarea bazei de contractare a serviciilor medicale din FAOAM și stabilirea indicatorilor de rezultat pentru volumul de servicii acordate, raportate și achitate (pct.5.1);</w:t>
      </w:r>
    </w:p>
    <w:p w14:paraId="33953D8A" w14:textId="5F28CECE" w:rsidR="00B27338" w:rsidRPr="003F4D72" w:rsidRDefault="00B27338" w:rsidP="00B27338">
      <w:pPr>
        <w:tabs>
          <w:tab w:val="left" w:pos="284"/>
        </w:tabs>
        <w:spacing w:after="0" w:line="276" w:lineRule="auto"/>
        <w:jc w:val="both"/>
        <w:rPr>
          <w:rFonts w:asciiTheme="majorHAnsi" w:hAnsiTheme="majorHAnsi" w:cstheme="majorHAnsi"/>
          <w:bCs/>
          <w:sz w:val="24"/>
          <w:szCs w:val="24"/>
        </w:rPr>
      </w:pPr>
      <w:r w:rsidRPr="003F4D72">
        <w:rPr>
          <w:rFonts w:asciiTheme="majorHAnsi" w:hAnsiTheme="majorHAnsi" w:cstheme="majorHAnsi"/>
          <w:bCs/>
          <w:sz w:val="24"/>
          <w:szCs w:val="24"/>
        </w:rPr>
        <w:t>1.2. ajustarea reglementărilor aferent</w:t>
      </w:r>
      <w:r w:rsidR="002D77C7" w:rsidRPr="003F4D72">
        <w:rPr>
          <w:rFonts w:asciiTheme="majorHAnsi" w:hAnsiTheme="majorHAnsi" w:cstheme="majorHAnsi"/>
          <w:bCs/>
          <w:sz w:val="24"/>
          <w:szCs w:val="24"/>
        </w:rPr>
        <w:t>e</w:t>
      </w:r>
      <w:r w:rsidRPr="003F4D72">
        <w:rPr>
          <w:rFonts w:asciiTheme="majorHAnsi" w:hAnsiTheme="majorHAnsi" w:cstheme="majorHAnsi"/>
          <w:bCs/>
          <w:sz w:val="24"/>
          <w:szCs w:val="24"/>
        </w:rPr>
        <w:t xml:space="preserve"> proceselor, în situațiile excepționale de transportare a pacienților cu Sindrom coronarian acut de către echipele de urgență și ne/preluare de către instituțiile medicale (pct.5.5);</w:t>
      </w:r>
    </w:p>
    <w:p w14:paraId="7F669911" w14:textId="77777777" w:rsidR="00B27338" w:rsidRPr="003F4D72" w:rsidRDefault="00B27338" w:rsidP="00B27338">
      <w:pPr>
        <w:pStyle w:val="ListParagraph"/>
        <w:numPr>
          <w:ilvl w:val="0"/>
          <w:numId w:val="36"/>
        </w:numPr>
        <w:tabs>
          <w:tab w:val="left" w:pos="284"/>
          <w:tab w:val="left" w:pos="720"/>
          <w:tab w:val="left" w:pos="1276"/>
        </w:tabs>
        <w:spacing w:after="0" w:line="276" w:lineRule="auto"/>
        <w:ind w:left="0" w:firstLine="0"/>
        <w:jc w:val="both"/>
        <w:rPr>
          <w:rFonts w:asciiTheme="majorHAnsi" w:hAnsiTheme="majorHAnsi" w:cstheme="majorHAnsi"/>
          <w:bCs/>
          <w:sz w:val="24"/>
          <w:szCs w:val="24"/>
          <w:lang w:val="ro-MD"/>
        </w:rPr>
      </w:pPr>
      <w:r w:rsidRPr="003F4D72">
        <w:rPr>
          <w:rFonts w:asciiTheme="majorHAnsi" w:hAnsiTheme="majorHAnsi" w:cstheme="majorHAnsi"/>
          <w:b/>
          <w:bCs/>
          <w:sz w:val="24"/>
          <w:szCs w:val="24"/>
          <w:lang w:val="ro-MD"/>
        </w:rPr>
        <w:t>Companiei Naționale de Asigurări în Medicină</w:t>
      </w:r>
      <w:r w:rsidRPr="003F4D72">
        <w:rPr>
          <w:rFonts w:asciiTheme="majorHAnsi" w:hAnsiTheme="majorHAnsi" w:cstheme="majorHAnsi"/>
          <w:bCs/>
          <w:sz w:val="24"/>
          <w:szCs w:val="24"/>
          <w:lang w:val="ro-MD"/>
        </w:rPr>
        <w:t>,</w:t>
      </w:r>
      <w:r w:rsidRPr="003F4D72">
        <w:rPr>
          <w:rFonts w:asciiTheme="majorHAnsi" w:hAnsiTheme="majorHAnsi" w:cstheme="majorHAnsi"/>
          <w:b/>
          <w:bCs/>
          <w:sz w:val="24"/>
          <w:szCs w:val="24"/>
          <w:lang w:val="ro-MD"/>
        </w:rPr>
        <w:t xml:space="preserve"> </w:t>
      </w:r>
      <w:r w:rsidRPr="003F4D72">
        <w:rPr>
          <w:rFonts w:asciiTheme="majorHAnsi" w:hAnsiTheme="majorHAnsi" w:cstheme="majorHAnsi"/>
          <w:bCs/>
          <w:sz w:val="24"/>
          <w:szCs w:val="24"/>
          <w:lang w:val="ro-MD"/>
        </w:rPr>
        <w:t>pentru:</w:t>
      </w:r>
    </w:p>
    <w:p w14:paraId="1E0B1B63" w14:textId="7D28152F" w:rsidR="00B27338" w:rsidRPr="003F4D72" w:rsidRDefault="00B27338" w:rsidP="002F22EC">
      <w:pPr>
        <w:pStyle w:val="ListParagraph"/>
        <w:numPr>
          <w:ilvl w:val="1"/>
          <w:numId w:val="39"/>
        </w:numPr>
        <w:tabs>
          <w:tab w:val="left" w:pos="284"/>
          <w:tab w:val="left" w:pos="426"/>
          <w:tab w:val="left" w:pos="1276"/>
        </w:tabs>
        <w:spacing w:after="0" w:line="276" w:lineRule="auto"/>
        <w:ind w:left="0" w:firstLine="0"/>
        <w:jc w:val="both"/>
        <w:rPr>
          <w:rFonts w:asciiTheme="majorHAnsi" w:eastAsia="Times New Roman" w:hAnsiTheme="majorHAnsi" w:cstheme="majorHAnsi"/>
          <w:sz w:val="24"/>
          <w:szCs w:val="24"/>
          <w:lang w:val="ro-MD"/>
        </w:rPr>
      </w:pPr>
      <w:r w:rsidRPr="003F4D72">
        <w:rPr>
          <w:rFonts w:asciiTheme="majorHAnsi" w:hAnsiTheme="majorHAnsi" w:cstheme="majorHAnsi"/>
          <w:sz w:val="24"/>
          <w:szCs w:val="24"/>
          <w:lang w:val="ro-MD" w:eastAsia="ro-RO"/>
        </w:rPr>
        <w:t xml:space="preserve">actualizarea și revizuirea bazei de date a pacienților din lista de așteptare și asigurarea transparenței accesului persoanelor asigurate la tratament costisitor </w:t>
      </w:r>
      <w:r w:rsidRPr="003F4D72">
        <w:rPr>
          <w:rFonts w:asciiTheme="majorHAnsi" w:eastAsia="Times New Roman" w:hAnsiTheme="majorHAnsi" w:cstheme="majorHAnsi"/>
          <w:sz w:val="24"/>
          <w:szCs w:val="24"/>
          <w:lang w:val="ro-MD"/>
        </w:rPr>
        <w:t>(pct.6.2);</w:t>
      </w:r>
    </w:p>
    <w:p w14:paraId="2B266255" w14:textId="39ADD4EA" w:rsidR="00B27338" w:rsidRPr="003F4D72" w:rsidRDefault="00B27338" w:rsidP="002F22EC">
      <w:pPr>
        <w:pStyle w:val="ListParagraph"/>
        <w:numPr>
          <w:ilvl w:val="1"/>
          <w:numId w:val="39"/>
        </w:numPr>
        <w:tabs>
          <w:tab w:val="left" w:pos="142"/>
          <w:tab w:val="left" w:pos="426"/>
          <w:tab w:val="left" w:pos="1276"/>
        </w:tabs>
        <w:spacing w:after="0" w:line="276" w:lineRule="auto"/>
        <w:ind w:left="0" w:firstLine="0"/>
        <w:jc w:val="both"/>
        <w:rPr>
          <w:rFonts w:asciiTheme="majorHAnsi" w:hAnsiTheme="majorHAnsi" w:cstheme="majorHAnsi"/>
          <w:sz w:val="24"/>
          <w:szCs w:val="24"/>
          <w:lang w:val="ro-MD" w:eastAsia="ro-RO"/>
        </w:rPr>
      </w:pPr>
      <w:r w:rsidRPr="003F4D72">
        <w:rPr>
          <w:rFonts w:asciiTheme="majorHAnsi" w:hAnsiTheme="majorHAnsi" w:cstheme="majorHAnsi"/>
          <w:sz w:val="24"/>
          <w:szCs w:val="24"/>
          <w:lang w:val="ro-MD" w:eastAsia="ro-RO"/>
        </w:rPr>
        <w:t>evaluarea procesului de realizare a</w:t>
      </w:r>
      <w:r w:rsidR="00815A71" w:rsidRPr="003F4D72">
        <w:rPr>
          <w:rFonts w:asciiTheme="majorHAnsi" w:hAnsiTheme="majorHAnsi" w:cstheme="majorHAnsi"/>
          <w:sz w:val="24"/>
          <w:szCs w:val="24"/>
          <w:lang w:val="ro-MD" w:eastAsia="ro-RO"/>
        </w:rPr>
        <w:t xml:space="preserve"> </w:t>
      </w:r>
      <w:r w:rsidRPr="003F4D72">
        <w:rPr>
          <w:rFonts w:asciiTheme="majorHAnsi" w:hAnsiTheme="majorHAnsi" w:cstheme="majorHAnsi"/>
          <w:sz w:val="24"/>
          <w:szCs w:val="24"/>
          <w:lang w:val="ro-MD" w:eastAsia="ro-RO"/>
        </w:rPr>
        <w:t xml:space="preserve">asistenței medicale urgente prespitalicești contractate cu instituțiile medicale private, prin prisma utilizării mijloacelor FAOAM și corespunderea cu clauzele contractului de acordare a asistenței medicale a volumului </w:t>
      </w:r>
      <w:proofErr w:type="spellStart"/>
      <w:r w:rsidRPr="003F4D72">
        <w:rPr>
          <w:rFonts w:asciiTheme="majorHAnsi" w:hAnsiTheme="majorHAnsi" w:cstheme="majorHAnsi"/>
          <w:sz w:val="24"/>
          <w:szCs w:val="24"/>
          <w:lang w:val="ro-MD" w:eastAsia="ro-RO"/>
        </w:rPr>
        <w:t>şi</w:t>
      </w:r>
      <w:proofErr w:type="spellEnd"/>
      <w:r w:rsidRPr="003F4D72">
        <w:rPr>
          <w:rFonts w:asciiTheme="majorHAnsi" w:hAnsiTheme="majorHAnsi" w:cstheme="majorHAnsi"/>
          <w:sz w:val="24"/>
          <w:szCs w:val="24"/>
          <w:lang w:val="ro-MD" w:eastAsia="ro-RO"/>
        </w:rPr>
        <w:t xml:space="preserve"> costului serviciilor medicale </w:t>
      </w:r>
      <w:r w:rsidRPr="003F4D72">
        <w:rPr>
          <w:rFonts w:asciiTheme="majorHAnsi" w:eastAsia="Times New Roman" w:hAnsiTheme="majorHAnsi" w:cstheme="majorHAnsi"/>
          <w:sz w:val="24"/>
          <w:szCs w:val="24"/>
          <w:lang w:val="ro-MD"/>
        </w:rPr>
        <w:t>(pct.5.1, pct.5.2)</w:t>
      </w:r>
      <w:r w:rsidRPr="003F4D72">
        <w:rPr>
          <w:rFonts w:asciiTheme="majorHAnsi" w:hAnsiTheme="majorHAnsi" w:cstheme="majorHAnsi"/>
          <w:sz w:val="24"/>
          <w:szCs w:val="24"/>
          <w:lang w:val="ro-MD" w:eastAsia="ro-RO"/>
        </w:rPr>
        <w:t>;​</w:t>
      </w:r>
    </w:p>
    <w:p w14:paraId="7A9727A6" w14:textId="649B5DA1" w:rsidR="00B27338" w:rsidRPr="003F4D72" w:rsidRDefault="00B27338" w:rsidP="00B27338">
      <w:pPr>
        <w:pStyle w:val="NormalWeb"/>
        <w:numPr>
          <w:ilvl w:val="0"/>
          <w:numId w:val="39"/>
        </w:numPr>
        <w:tabs>
          <w:tab w:val="left" w:pos="284"/>
        </w:tabs>
        <w:spacing w:line="276" w:lineRule="auto"/>
        <w:ind w:left="0" w:firstLine="0"/>
        <w:rPr>
          <w:rFonts w:asciiTheme="majorHAnsi" w:hAnsiTheme="majorHAnsi" w:cstheme="majorHAnsi"/>
          <w:b/>
          <w:noProof/>
          <w:lang w:val="ro-MD"/>
        </w:rPr>
      </w:pPr>
      <w:r w:rsidRPr="003F4D72">
        <w:rPr>
          <w:rFonts w:asciiTheme="majorHAnsi" w:hAnsiTheme="majorHAnsi" w:cstheme="majorHAnsi"/>
          <w:b/>
          <w:noProof/>
          <w:lang w:val="ro-MD"/>
        </w:rPr>
        <w:t>Ministerului Finanțelor</w:t>
      </w:r>
      <w:r w:rsidR="002D77C7" w:rsidRPr="003F4D72">
        <w:rPr>
          <w:rFonts w:asciiTheme="majorHAnsi" w:hAnsiTheme="majorHAnsi" w:cstheme="majorHAnsi"/>
          <w:noProof/>
          <w:lang w:val="ro-MD"/>
        </w:rPr>
        <w:t>, pentru</w:t>
      </w:r>
      <w:r w:rsidRPr="003F4D72">
        <w:rPr>
          <w:rFonts w:asciiTheme="majorHAnsi" w:hAnsiTheme="majorHAnsi" w:cstheme="majorHAnsi"/>
          <w:b/>
          <w:noProof/>
          <w:lang w:val="ro-MD"/>
        </w:rPr>
        <w:t xml:space="preserve"> </w:t>
      </w:r>
      <w:r w:rsidRPr="003F4D72">
        <w:rPr>
          <w:rFonts w:asciiTheme="majorHAnsi" w:hAnsiTheme="majorHAnsi" w:cstheme="majorHAnsi"/>
          <w:lang w:val="ro-MD"/>
        </w:rPr>
        <w:t>asigurare</w:t>
      </w:r>
      <w:r w:rsidR="002D77C7" w:rsidRPr="003F4D72">
        <w:rPr>
          <w:rFonts w:asciiTheme="majorHAnsi" w:hAnsiTheme="majorHAnsi" w:cstheme="majorHAnsi"/>
          <w:lang w:val="ro-MD"/>
        </w:rPr>
        <w:t>a</w:t>
      </w:r>
      <w:r w:rsidRPr="003F4D72">
        <w:rPr>
          <w:rFonts w:asciiTheme="majorHAnsi" w:hAnsiTheme="majorHAnsi" w:cstheme="majorHAnsi"/>
          <w:lang w:val="ro-MD"/>
        </w:rPr>
        <w:t>, de comun cu Compania Națională de Asigurări în Medicină, complet</w:t>
      </w:r>
      <w:r w:rsidR="002D77C7" w:rsidRPr="003F4D72">
        <w:rPr>
          <w:rFonts w:asciiTheme="majorHAnsi" w:hAnsiTheme="majorHAnsi" w:cstheme="majorHAnsi"/>
          <w:lang w:val="ro-MD"/>
        </w:rPr>
        <w:t>ării</w:t>
      </w:r>
      <w:r w:rsidRPr="003F4D72">
        <w:rPr>
          <w:rFonts w:asciiTheme="majorHAnsi" w:hAnsiTheme="majorHAnsi" w:cstheme="majorHAnsi"/>
          <w:lang w:val="ro-MD"/>
        </w:rPr>
        <w:t xml:space="preserve"> Normelor metodologice aferente modului de întocmire a Rapoartelor privind executarea fondurilor asigurării obligatorii de asistență medicală, cu proceduri distincte de reflectare completă a veniturilor calculate (pct.3.1);</w:t>
      </w:r>
    </w:p>
    <w:p w14:paraId="13D9042B" w14:textId="4EE0BC70" w:rsidR="00B27338" w:rsidRDefault="00B27338" w:rsidP="00B27338">
      <w:pPr>
        <w:pStyle w:val="NormalWeb"/>
        <w:spacing w:line="276" w:lineRule="auto"/>
        <w:ind w:left="284" w:firstLine="0"/>
        <w:rPr>
          <w:rFonts w:asciiTheme="majorHAnsi" w:hAnsiTheme="majorHAnsi" w:cstheme="majorHAnsi"/>
          <w:b/>
          <w:noProof/>
          <w:lang w:val="ro-MD"/>
        </w:rPr>
      </w:pPr>
    </w:p>
    <w:p w14:paraId="1EA9EEAE" w14:textId="767A49A0" w:rsidR="003F4D72" w:rsidRDefault="003F4D72" w:rsidP="00B27338">
      <w:pPr>
        <w:pStyle w:val="NormalWeb"/>
        <w:spacing w:line="276" w:lineRule="auto"/>
        <w:ind w:left="284" w:firstLine="0"/>
        <w:rPr>
          <w:rFonts w:asciiTheme="majorHAnsi" w:hAnsiTheme="majorHAnsi" w:cstheme="majorHAnsi"/>
          <w:b/>
          <w:noProof/>
          <w:lang w:val="ro-MD"/>
        </w:rPr>
      </w:pPr>
    </w:p>
    <w:p w14:paraId="4C676540" w14:textId="77777777" w:rsidR="003F4D72" w:rsidRPr="003F4D72" w:rsidRDefault="003F4D72" w:rsidP="00B27338">
      <w:pPr>
        <w:pStyle w:val="NormalWeb"/>
        <w:spacing w:line="276" w:lineRule="auto"/>
        <w:ind w:left="284" w:firstLine="0"/>
        <w:rPr>
          <w:rFonts w:asciiTheme="majorHAnsi" w:hAnsiTheme="majorHAnsi" w:cstheme="majorHAnsi"/>
          <w:b/>
          <w:noProof/>
          <w:lang w:val="ro-MD"/>
        </w:rPr>
      </w:pPr>
    </w:p>
    <w:p w14:paraId="078198A7" w14:textId="3763DBAE" w:rsidR="00B27338" w:rsidRPr="003F4D72" w:rsidRDefault="00B27338" w:rsidP="00B27338">
      <w:pPr>
        <w:pStyle w:val="ListParagraph"/>
        <w:spacing w:after="0" w:line="276" w:lineRule="auto"/>
        <w:ind w:left="284"/>
        <w:jc w:val="both"/>
        <w:rPr>
          <w:rFonts w:asciiTheme="majorHAnsi" w:hAnsiTheme="majorHAnsi" w:cstheme="majorHAnsi"/>
          <w:b/>
          <w:sz w:val="24"/>
          <w:szCs w:val="24"/>
          <w:u w:val="single"/>
          <w:lang w:val="ro-MD"/>
        </w:rPr>
      </w:pPr>
      <w:r w:rsidRPr="003F4D72">
        <w:rPr>
          <w:rFonts w:asciiTheme="majorHAnsi" w:hAnsiTheme="majorHAnsi" w:cstheme="majorHAnsi"/>
          <w:b/>
          <w:sz w:val="24"/>
          <w:szCs w:val="24"/>
          <w:u w:val="single"/>
          <w:lang w:val="ro-MD"/>
        </w:rPr>
        <w:lastRenderedPageBreak/>
        <w:t xml:space="preserve">În prezentul </w:t>
      </w:r>
      <w:r w:rsidR="002C0FC8" w:rsidRPr="003F4D72">
        <w:rPr>
          <w:rFonts w:asciiTheme="majorHAnsi" w:hAnsiTheme="majorHAnsi" w:cstheme="majorHAnsi"/>
          <w:b/>
          <w:sz w:val="24"/>
          <w:szCs w:val="24"/>
          <w:u w:val="single"/>
          <w:lang w:val="ro-MD"/>
        </w:rPr>
        <w:t>R</w:t>
      </w:r>
      <w:r w:rsidRPr="003F4D72">
        <w:rPr>
          <w:rFonts w:asciiTheme="majorHAnsi" w:hAnsiTheme="majorHAnsi" w:cstheme="majorHAnsi"/>
          <w:b/>
          <w:sz w:val="24"/>
          <w:szCs w:val="24"/>
          <w:u w:val="single"/>
          <w:lang w:val="ro-MD"/>
        </w:rPr>
        <w:t>aport de audit se reiterează următoarele recomandări:</w:t>
      </w:r>
    </w:p>
    <w:p w14:paraId="11C9E688" w14:textId="77777777" w:rsidR="00B27338" w:rsidRPr="003F4D72" w:rsidRDefault="00B27338" w:rsidP="00B27338">
      <w:pPr>
        <w:pStyle w:val="ListParagraph"/>
        <w:numPr>
          <w:ilvl w:val="0"/>
          <w:numId w:val="39"/>
        </w:numPr>
        <w:tabs>
          <w:tab w:val="left" w:pos="0"/>
          <w:tab w:val="left" w:pos="284"/>
        </w:tabs>
        <w:spacing w:after="0" w:line="276" w:lineRule="auto"/>
        <w:ind w:left="0" w:firstLine="0"/>
        <w:jc w:val="both"/>
        <w:rPr>
          <w:rFonts w:asciiTheme="majorHAnsi" w:hAnsiTheme="majorHAnsi" w:cstheme="majorHAnsi"/>
          <w:bCs/>
          <w:sz w:val="24"/>
          <w:szCs w:val="24"/>
          <w:lang w:val="ro-MD"/>
        </w:rPr>
      </w:pPr>
      <w:r w:rsidRPr="003F4D72">
        <w:rPr>
          <w:rFonts w:asciiTheme="majorHAnsi" w:hAnsiTheme="majorHAnsi" w:cstheme="majorHAnsi"/>
          <w:b/>
          <w:bCs/>
          <w:sz w:val="24"/>
          <w:szCs w:val="24"/>
          <w:lang w:val="ro-MD"/>
        </w:rPr>
        <w:t>Ministerului Sănătății, Muncii și Protecției Sociale și Companiei Naționale de Asigurări în Medicină</w:t>
      </w:r>
      <w:r w:rsidRPr="003F4D72">
        <w:rPr>
          <w:rFonts w:asciiTheme="majorHAnsi" w:hAnsiTheme="majorHAnsi" w:cstheme="majorHAnsi"/>
          <w:bCs/>
          <w:sz w:val="24"/>
          <w:szCs w:val="24"/>
          <w:lang w:val="ro-MD"/>
        </w:rPr>
        <w:t>,</w:t>
      </w:r>
      <w:r w:rsidRPr="003F4D72">
        <w:rPr>
          <w:rFonts w:asciiTheme="majorHAnsi" w:hAnsiTheme="majorHAnsi" w:cstheme="majorHAnsi"/>
          <w:b/>
          <w:bCs/>
          <w:sz w:val="24"/>
          <w:szCs w:val="24"/>
          <w:lang w:val="ro-MD"/>
        </w:rPr>
        <w:t xml:space="preserve"> </w:t>
      </w:r>
      <w:r w:rsidRPr="003F4D72">
        <w:rPr>
          <w:rFonts w:asciiTheme="majorHAnsi" w:hAnsiTheme="majorHAnsi" w:cstheme="majorHAnsi"/>
          <w:bCs/>
          <w:sz w:val="24"/>
          <w:szCs w:val="24"/>
          <w:lang w:val="ro-MD"/>
        </w:rPr>
        <w:t>pentru:</w:t>
      </w:r>
    </w:p>
    <w:p w14:paraId="099DBB2A" w14:textId="0CEF7529" w:rsidR="00B27338" w:rsidRPr="003F4D72" w:rsidRDefault="00B27338" w:rsidP="00B27338">
      <w:pPr>
        <w:spacing w:after="0" w:line="276" w:lineRule="auto"/>
        <w:jc w:val="both"/>
        <w:rPr>
          <w:rFonts w:asciiTheme="majorHAnsi" w:hAnsiTheme="majorHAnsi" w:cstheme="majorHAnsi"/>
          <w:bCs/>
          <w:sz w:val="24"/>
          <w:szCs w:val="24"/>
        </w:rPr>
      </w:pPr>
      <w:r w:rsidRPr="003F4D72">
        <w:rPr>
          <w:rFonts w:asciiTheme="majorHAnsi" w:hAnsiTheme="majorHAnsi" w:cstheme="majorHAnsi"/>
          <w:bCs/>
          <w:sz w:val="24"/>
          <w:szCs w:val="24"/>
        </w:rPr>
        <w:t>4.1.</w:t>
      </w:r>
      <w:r w:rsidR="00815A71" w:rsidRPr="003F4D72">
        <w:rPr>
          <w:rFonts w:asciiTheme="majorHAnsi" w:hAnsiTheme="majorHAnsi" w:cstheme="majorHAnsi"/>
          <w:bCs/>
          <w:sz w:val="24"/>
          <w:szCs w:val="24"/>
        </w:rPr>
        <w:t xml:space="preserve"> </w:t>
      </w:r>
      <w:r w:rsidRPr="003F4D72">
        <w:rPr>
          <w:rFonts w:asciiTheme="majorHAnsi" w:hAnsiTheme="majorHAnsi" w:cstheme="majorHAnsi"/>
          <w:bCs/>
          <w:sz w:val="24"/>
          <w:szCs w:val="24"/>
        </w:rPr>
        <w:t xml:space="preserve">asigurarea elaborării și aprobării metodologiei de raportare de către instituțiile de profil a volumului de servicii medicale prestate, precum și de determinare/calculare a </w:t>
      </w:r>
      <w:r w:rsidR="002C0FC8" w:rsidRPr="003F4D72">
        <w:rPr>
          <w:rFonts w:asciiTheme="majorHAnsi" w:hAnsiTheme="majorHAnsi" w:cstheme="majorHAnsi"/>
          <w:bCs/>
          <w:sz w:val="24"/>
          <w:szCs w:val="24"/>
        </w:rPr>
        <w:t xml:space="preserve">numărului </w:t>
      </w:r>
      <w:r w:rsidRPr="003F4D72">
        <w:rPr>
          <w:rFonts w:asciiTheme="majorHAnsi" w:hAnsiTheme="majorHAnsi" w:cstheme="majorHAnsi"/>
          <w:bCs/>
          <w:sz w:val="24"/>
          <w:szCs w:val="24"/>
        </w:rPr>
        <w:t xml:space="preserve">pacienților unici deserviți pe parcursul anului, în vederea utilizării rezultative a mijloacelor financiare contractate („per </w:t>
      </w:r>
      <w:proofErr w:type="spellStart"/>
      <w:r w:rsidRPr="003F4D72">
        <w:rPr>
          <w:rFonts w:asciiTheme="majorHAnsi" w:hAnsiTheme="majorHAnsi" w:cstheme="majorHAnsi"/>
          <w:bCs/>
          <w:sz w:val="24"/>
          <w:szCs w:val="24"/>
        </w:rPr>
        <w:t>capita</w:t>
      </w:r>
      <w:proofErr w:type="spellEnd"/>
      <w:r w:rsidRPr="003F4D72">
        <w:rPr>
          <w:rFonts w:asciiTheme="majorHAnsi" w:hAnsiTheme="majorHAnsi" w:cstheme="majorHAnsi"/>
          <w:bCs/>
          <w:sz w:val="24"/>
          <w:szCs w:val="24"/>
        </w:rPr>
        <w:t xml:space="preserve">”) achitate și raportate de către CNAM </w:t>
      </w:r>
      <w:r w:rsidRPr="003F4D72">
        <w:rPr>
          <w:rFonts w:asciiTheme="majorHAnsi" w:eastAsia="Times New Roman" w:hAnsiTheme="majorHAnsi" w:cstheme="majorHAnsi"/>
          <w:sz w:val="24"/>
          <w:szCs w:val="24"/>
        </w:rPr>
        <w:t>(pct.4.3)</w:t>
      </w:r>
      <w:r w:rsidRPr="003F4D72">
        <w:rPr>
          <w:rFonts w:asciiTheme="majorHAnsi" w:hAnsiTheme="majorHAnsi" w:cstheme="majorHAnsi"/>
          <w:bCs/>
          <w:sz w:val="24"/>
          <w:szCs w:val="24"/>
        </w:rPr>
        <w:t xml:space="preserve">; </w:t>
      </w:r>
    </w:p>
    <w:p w14:paraId="0321DFE0" w14:textId="77777777" w:rsidR="00B27338" w:rsidRPr="003F4D72" w:rsidRDefault="00B27338" w:rsidP="00B27338">
      <w:pPr>
        <w:spacing w:after="0" w:line="276" w:lineRule="auto"/>
        <w:jc w:val="both"/>
        <w:rPr>
          <w:rFonts w:asciiTheme="majorHAnsi" w:hAnsiTheme="majorHAnsi" w:cstheme="majorHAnsi"/>
          <w:bCs/>
          <w:sz w:val="24"/>
          <w:szCs w:val="24"/>
        </w:rPr>
      </w:pPr>
      <w:r w:rsidRPr="003F4D72">
        <w:rPr>
          <w:rFonts w:asciiTheme="majorHAnsi" w:hAnsiTheme="majorHAnsi" w:cstheme="majorHAnsi"/>
          <w:bCs/>
          <w:sz w:val="24"/>
          <w:szCs w:val="24"/>
        </w:rPr>
        <w:t xml:space="preserve">4.2. </w:t>
      </w:r>
      <w:r w:rsidRPr="003F4D72">
        <w:rPr>
          <w:rFonts w:asciiTheme="majorHAnsi" w:hAnsiTheme="majorHAnsi" w:cstheme="majorHAnsi"/>
          <w:sz w:val="24"/>
          <w:szCs w:val="24"/>
        </w:rPr>
        <w:t xml:space="preserve">asigurarea evaluării părților componente ale cheltuielilor aferente serviciilor medicale prestate de instituțiile medicale, cu aprobarea tarifelor în baza calculelor justificative </w:t>
      </w:r>
      <w:proofErr w:type="spellStart"/>
      <w:r w:rsidRPr="003F4D72">
        <w:rPr>
          <w:rFonts w:asciiTheme="majorHAnsi" w:hAnsiTheme="majorHAnsi" w:cstheme="majorHAnsi"/>
          <w:sz w:val="24"/>
          <w:szCs w:val="24"/>
        </w:rPr>
        <w:t>şi</w:t>
      </w:r>
      <w:proofErr w:type="spellEnd"/>
      <w:r w:rsidRPr="003F4D72">
        <w:rPr>
          <w:rFonts w:asciiTheme="majorHAnsi" w:hAnsiTheme="majorHAnsi" w:cstheme="majorHAnsi"/>
          <w:sz w:val="24"/>
          <w:szCs w:val="24"/>
        </w:rPr>
        <w:t xml:space="preserve"> echitabile, reieșind din domeniul, specificul </w:t>
      </w:r>
      <w:proofErr w:type="spellStart"/>
      <w:r w:rsidRPr="003F4D72">
        <w:rPr>
          <w:rFonts w:asciiTheme="majorHAnsi" w:hAnsiTheme="majorHAnsi" w:cstheme="majorHAnsi"/>
          <w:sz w:val="24"/>
          <w:szCs w:val="24"/>
        </w:rPr>
        <w:t>şi</w:t>
      </w:r>
      <w:proofErr w:type="spellEnd"/>
      <w:r w:rsidRPr="003F4D72">
        <w:rPr>
          <w:rFonts w:asciiTheme="majorHAnsi" w:hAnsiTheme="majorHAnsi" w:cstheme="majorHAnsi"/>
          <w:sz w:val="24"/>
          <w:szCs w:val="24"/>
        </w:rPr>
        <w:t xml:space="preserve"> nivelurile instituțiilor medicale </w:t>
      </w:r>
      <w:r w:rsidRPr="003F4D72">
        <w:rPr>
          <w:rFonts w:asciiTheme="majorHAnsi" w:eastAsia="Times New Roman" w:hAnsiTheme="majorHAnsi" w:cstheme="majorHAnsi"/>
          <w:sz w:val="24"/>
          <w:szCs w:val="24"/>
        </w:rPr>
        <w:t>(pct.5.3)</w:t>
      </w:r>
      <w:r w:rsidRPr="003F4D72">
        <w:rPr>
          <w:rFonts w:asciiTheme="majorHAnsi" w:hAnsiTheme="majorHAnsi" w:cstheme="majorHAnsi"/>
          <w:sz w:val="24"/>
          <w:szCs w:val="24"/>
        </w:rPr>
        <w:t>;</w:t>
      </w:r>
    </w:p>
    <w:p w14:paraId="45964EE5" w14:textId="77777777" w:rsidR="00B27338" w:rsidRPr="003F4D72" w:rsidRDefault="00B27338" w:rsidP="00B27338">
      <w:pPr>
        <w:spacing w:after="0" w:line="276" w:lineRule="auto"/>
        <w:jc w:val="both"/>
        <w:rPr>
          <w:rFonts w:asciiTheme="majorHAnsi" w:hAnsiTheme="majorHAnsi" w:cstheme="majorHAnsi"/>
          <w:sz w:val="24"/>
          <w:szCs w:val="24"/>
        </w:rPr>
      </w:pPr>
      <w:r w:rsidRPr="003F4D72">
        <w:rPr>
          <w:rFonts w:asciiTheme="majorHAnsi" w:hAnsiTheme="majorHAnsi" w:cstheme="majorHAnsi"/>
          <w:bCs/>
          <w:sz w:val="24"/>
          <w:szCs w:val="24"/>
        </w:rPr>
        <w:t>4.3. evaluarea necesităților și accesului populației la servicii medicale de înaltă performanță</w:t>
      </w:r>
      <w:r w:rsidRPr="003F4D72">
        <w:rPr>
          <w:rFonts w:asciiTheme="majorHAnsi" w:hAnsiTheme="majorHAnsi" w:cstheme="majorHAnsi"/>
          <w:sz w:val="24"/>
          <w:szCs w:val="24"/>
        </w:rPr>
        <w:t>;</w:t>
      </w:r>
    </w:p>
    <w:p w14:paraId="325D7BB7" w14:textId="77777777" w:rsidR="00B27338" w:rsidRPr="003F4D72" w:rsidRDefault="00B27338" w:rsidP="00B27338">
      <w:pPr>
        <w:spacing w:after="0" w:line="276" w:lineRule="auto"/>
        <w:jc w:val="both"/>
        <w:rPr>
          <w:rFonts w:asciiTheme="majorHAnsi" w:hAnsiTheme="majorHAnsi" w:cstheme="majorHAnsi"/>
          <w:sz w:val="24"/>
          <w:szCs w:val="24"/>
        </w:rPr>
      </w:pPr>
      <w:r w:rsidRPr="003F4D72">
        <w:rPr>
          <w:rFonts w:asciiTheme="majorHAnsi" w:hAnsiTheme="majorHAnsi" w:cstheme="majorHAnsi"/>
          <w:sz w:val="24"/>
          <w:szCs w:val="24"/>
        </w:rPr>
        <w:t xml:space="preserve">4.4. elaborarea </w:t>
      </w:r>
      <w:proofErr w:type="spellStart"/>
      <w:r w:rsidRPr="003F4D72">
        <w:rPr>
          <w:rFonts w:asciiTheme="majorHAnsi" w:hAnsiTheme="majorHAnsi" w:cstheme="majorHAnsi"/>
          <w:sz w:val="24"/>
          <w:szCs w:val="24"/>
        </w:rPr>
        <w:t>şi</w:t>
      </w:r>
      <w:proofErr w:type="spellEnd"/>
      <w:r w:rsidRPr="003F4D72">
        <w:rPr>
          <w:rFonts w:asciiTheme="majorHAnsi" w:hAnsiTheme="majorHAnsi" w:cstheme="majorHAnsi"/>
          <w:sz w:val="24"/>
          <w:szCs w:val="24"/>
        </w:rPr>
        <w:t xml:space="preserve"> aprobarea, în modul stabilit, a criteriilor aferente delimitării </w:t>
      </w:r>
      <w:proofErr w:type="spellStart"/>
      <w:r w:rsidRPr="003F4D72">
        <w:rPr>
          <w:rFonts w:asciiTheme="majorHAnsi" w:hAnsiTheme="majorHAnsi" w:cstheme="majorHAnsi"/>
          <w:sz w:val="24"/>
          <w:szCs w:val="24"/>
        </w:rPr>
        <w:t>activităţilor</w:t>
      </w:r>
      <w:proofErr w:type="spellEnd"/>
      <w:r w:rsidRPr="003F4D72">
        <w:rPr>
          <w:rFonts w:asciiTheme="majorHAnsi" w:hAnsiTheme="majorHAnsi" w:cstheme="majorHAnsi"/>
          <w:sz w:val="24"/>
          <w:szCs w:val="24"/>
        </w:rPr>
        <w:t xml:space="preserve"> profilactice finanțate din fondul măsurilor de profilaxie de cele finanțate din fondul de bază, cu raportarea realizării indicatorilor aferenți subprogramelor bugetare;</w:t>
      </w:r>
    </w:p>
    <w:p w14:paraId="475FE1C3" w14:textId="77777777" w:rsidR="00B27338" w:rsidRPr="003F4D72" w:rsidRDefault="00B27338" w:rsidP="00B27338">
      <w:pPr>
        <w:pStyle w:val="ListParagraph"/>
        <w:numPr>
          <w:ilvl w:val="0"/>
          <w:numId w:val="39"/>
        </w:numPr>
        <w:tabs>
          <w:tab w:val="left" w:pos="284"/>
          <w:tab w:val="left" w:pos="1276"/>
        </w:tabs>
        <w:spacing w:after="0" w:line="276" w:lineRule="auto"/>
        <w:ind w:left="0" w:firstLine="0"/>
        <w:jc w:val="both"/>
        <w:rPr>
          <w:rFonts w:asciiTheme="majorHAnsi" w:hAnsiTheme="majorHAnsi" w:cstheme="majorHAnsi"/>
          <w:bCs/>
          <w:sz w:val="24"/>
          <w:szCs w:val="24"/>
          <w:lang w:val="ro-MD"/>
        </w:rPr>
      </w:pPr>
      <w:r w:rsidRPr="003F4D72">
        <w:rPr>
          <w:rFonts w:asciiTheme="majorHAnsi" w:hAnsiTheme="majorHAnsi" w:cstheme="majorHAnsi"/>
          <w:b/>
          <w:bCs/>
          <w:sz w:val="24"/>
          <w:szCs w:val="24"/>
          <w:lang w:val="ro-MD"/>
        </w:rPr>
        <w:t>Companiei Naționale de Asigurări în Medicină</w:t>
      </w:r>
      <w:r w:rsidRPr="003F4D72">
        <w:rPr>
          <w:rFonts w:asciiTheme="majorHAnsi" w:hAnsiTheme="majorHAnsi" w:cstheme="majorHAnsi"/>
          <w:bCs/>
          <w:sz w:val="24"/>
          <w:szCs w:val="24"/>
          <w:lang w:val="ro-MD"/>
        </w:rPr>
        <w:t>,</w:t>
      </w:r>
      <w:r w:rsidRPr="003F4D72">
        <w:rPr>
          <w:rFonts w:asciiTheme="majorHAnsi" w:hAnsiTheme="majorHAnsi" w:cstheme="majorHAnsi"/>
          <w:b/>
          <w:bCs/>
          <w:sz w:val="24"/>
          <w:szCs w:val="24"/>
          <w:lang w:val="ro-MD"/>
        </w:rPr>
        <w:t xml:space="preserve"> </w:t>
      </w:r>
      <w:r w:rsidRPr="003F4D72">
        <w:rPr>
          <w:rFonts w:asciiTheme="majorHAnsi" w:hAnsiTheme="majorHAnsi" w:cstheme="majorHAnsi"/>
          <w:bCs/>
          <w:sz w:val="24"/>
          <w:szCs w:val="24"/>
          <w:lang w:val="ro-MD"/>
        </w:rPr>
        <w:t>pentru:</w:t>
      </w:r>
    </w:p>
    <w:p w14:paraId="4464DE37" w14:textId="79D77E23" w:rsidR="00B27338" w:rsidRPr="003F4D72" w:rsidRDefault="00B27338" w:rsidP="00B27338">
      <w:pPr>
        <w:pStyle w:val="ListParagraph"/>
        <w:numPr>
          <w:ilvl w:val="1"/>
          <w:numId w:val="39"/>
        </w:numPr>
        <w:tabs>
          <w:tab w:val="left" w:pos="0"/>
          <w:tab w:val="left" w:pos="426"/>
          <w:tab w:val="left" w:pos="1276"/>
        </w:tabs>
        <w:spacing w:after="0" w:line="276" w:lineRule="auto"/>
        <w:ind w:left="0" w:firstLine="0"/>
        <w:jc w:val="both"/>
        <w:rPr>
          <w:rFonts w:asciiTheme="majorHAnsi" w:hAnsiTheme="majorHAnsi" w:cstheme="majorHAnsi"/>
          <w:sz w:val="24"/>
          <w:szCs w:val="24"/>
          <w:lang w:val="ro-MD" w:eastAsia="ro-RO"/>
        </w:rPr>
      </w:pPr>
      <w:r w:rsidRPr="003F4D72">
        <w:rPr>
          <w:rFonts w:asciiTheme="majorHAnsi" w:hAnsiTheme="majorHAnsi" w:cstheme="majorHAnsi"/>
          <w:sz w:val="24"/>
          <w:szCs w:val="24"/>
          <w:lang w:val="ro-MD"/>
        </w:rPr>
        <w:t xml:space="preserve">asigurarea întreprinderii măsurilor ce se impun, în scopul asigurării continuității reformelor prin extinderea funcționalității SIA „Asistență Medicală Primară” </w:t>
      </w:r>
      <w:proofErr w:type="spellStart"/>
      <w:r w:rsidRPr="003F4D72">
        <w:rPr>
          <w:rFonts w:asciiTheme="majorHAnsi" w:hAnsiTheme="majorHAnsi" w:cstheme="majorHAnsi"/>
          <w:sz w:val="24"/>
          <w:szCs w:val="24"/>
          <w:lang w:val="ro-MD"/>
        </w:rPr>
        <w:t>şi</w:t>
      </w:r>
      <w:proofErr w:type="spellEnd"/>
      <w:r w:rsidRPr="003F4D72">
        <w:rPr>
          <w:rFonts w:asciiTheme="majorHAnsi" w:hAnsiTheme="majorHAnsi" w:cstheme="majorHAnsi"/>
          <w:sz w:val="24"/>
          <w:szCs w:val="24"/>
          <w:lang w:val="ro-MD"/>
        </w:rPr>
        <w:t xml:space="preserve"> implementarea rețetei electronice „e-Rețetă”, cu stabilirea termenelor de realizare raporta</w:t>
      </w:r>
      <w:r w:rsidR="002C0FC8" w:rsidRPr="003F4D72">
        <w:rPr>
          <w:rFonts w:asciiTheme="majorHAnsi" w:hAnsiTheme="majorHAnsi" w:cstheme="majorHAnsi"/>
          <w:sz w:val="24"/>
          <w:szCs w:val="24"/>
          <w:lang w:val="ro-MD"/>
        </w:rPr>
        <w:t>te</w:t>
      </w:r>
      <w:r w:rsidRPr="003F4D72">
        <w:rPr>
          <w:rFonts w:asciiTheme="majorHAnsi" w:hAnsiTheme="majorHAnsi" w:cstheme="majorHAnsi"/>
          <w:sz w:val="24"/>
          <w:szCs w:val="24"/>
          <w:lang w:val="ro-MD"/>
        </w:rPr>
        <w:t xml:space="preserve"> </w:t>
      </w:r>
      <w:r w:rsidRPr="003F4D72">
        <w:rPr>
          <w:rFonts w:asciiTheme="majorHAnsi" w:eastAsia="Times New Roman" w:hAnsiTheme="majorHAnsi" w:cstheme="majorHAnsi"/>
          <w:sz w:val="24"/>
          <w:szCs w:val="24"/>
          <w:lang w:val="ro-MD"/>
        </w:rPr>
        <w:t>(pct.6.4)</w:t>
      </w:r>
      <w:r w:rsidRPr="003F4D72">
        <w:rPr>
          <w:rFonts w:asciiTheme="majorHAnsi" w:hAnsiTheme="majorHAnsi" w:cstheme="majorHAnsi"/>
          <w:sz w:val="24"/>
          <w:szCs w:val="24"/>
          <w:lang w:val="ro-MD"/>
        </w:rPr>
        <w:t>;</w:t>
      </w:r>
    </w:p>
    <w:p w14:paraId="6CADBECB" w14:textId="77777777" w:rsidR="00B27338" w:rsidRPr="003F4D72" w:rsidRDefault="00B27338" w:rsidP="00B27338">
      <w:pPr>
        <w:pStyle w:val="ListParagraph"/>
        <w:numPr>
          <w:ilvl w:val="1"/>
          <w:numId w:val="39"/>
        </w:numPr>
        <w:tabs>
          <w:tab w:val="left" w:pos="0"/>
          <w:tab w:val="left" w:pos="426"/>
          <w:tab w:val="left" w:pos="1276"/>
        </w:tabs>
        <w:spacing w:after="0" w:line="276" w:lineRule="auto"/>
        <w:ind w:left="0" w:firstLine="0"/>
        <w:jc w:val="both"/>
        <w:rPr>
          <w:rFonts w:asciiTheme="majorHAnsi" w:hAnsiTheme="majorHAnsi" w:cstheme="majorHAnsi"/>
          <w:sz w:val="24"/>
          <w:szCs w:val="24"/>
          <w:lang w:val="ro-MD" w:eastAsia="ro-RO"/>
        </w:rPr>
      </w:pPr>
      <w:r w:rsidRPr="003F4D72">
        <w:rPr>
          <w:rFonts w:asciiTheme="majorHAnsi" w:hAnsiTheme="majorHAnsi" w:cstheme="majorHAnsi"/>
          <w:sz w:val="24"/>
          <w:szCs w:val="24"/>
          <w:lang w:val="ro-MD"/>
        </w:rPr>
        <w:t>implementarea și aplicarea în cadrul SIA „Medicamente compensate” a filtrului de control ce ține de corectitudinea prescrierii medicamentelor (medicamentul, categoria de asigurare și maladia beneficiarului), în conformitate cu cerințele cadrului normativ</w:t>
      </w:r>
      <w:r w:rsidRPr="003F4D72">
        <w:rPr>
          <w:rStyle w:val="FootnoteReference"/>
          <w:rFonts w:asciiTheme="majorHAnsi" w:hAnsiTheme="majorHAnsi" w:cstheme="majorHAnsi"/>
          <w:sz w:val="24"/>
          <w:szCs w:val="24"/>
          <w:lang w:val="ro-MD"/>
        </w:rPr>
        <w:footnoteReference w:id="59"/>
      </w:r>
      <w:r w:rsidRPr="003F4D72">
        <w:rPr>
          <w:rFonts w:asciiTheme="majorHAnsi" w:hAnsiTheme="majorHAnsi" w:cstheme="majorHAnsi"/>
          <w:sz w:val="24"/>
          <w:szCs w:val="24"/>
          <w:lang w:val="ro-MD"/>
        </w:rPr>
        <w:t xml:space="preserve"> </w:t>
      </w:r>
      <w:r w:rsidRPr="003F4D72">
        <w:rPr>
          <w:rFonts w:asciiTheme="majorHAnsi" w:eastAsia="Times New Roman" w:hAnsiTheme="majorHAnsi" w:cstheme="majorHAnsi"/>
          <w:sz w:val="24"/>
          <w:szCs w:val="24"/>
          <w:lang w:val="ro-MD"/>
        </w:rPr>
        <w:t>(pct.6.4)</w:t>
      </w:r>
      <w:r w:rsidRPr="003F4D72">
        <w:rPr>
          <w:rFonts w:asciiTheme="majorHAnsi" w:hAnsiTheme="majorHAnsi" w:cstheme="majorHAnsi"/>
          <w:sz w:val="24"/>
          <w:szCs w:val="24"/>
          <w:lang w:val="ro-MD"/>
        </w:rPr>
        <w:t>;</w:t>
      </w:r>
    </w:p>
    <w:p w14:paraId="607D5147" w14:textId="5B0EFD33" w:rsidR="00B27338" w:rsidRPr="003F4D72" w:rsidRDefault="00B27338" w:rsidP="00B27338">
      <w:pPr>
        <w:pStyle w:val="ListParagraph"/>
        <w:numPr>
          <w:ilvl w:val="1"/>
          <w:numId w:val="39"/>
        </w:numPr>
        <w:tabs>
          <w:tab w:val="left" w:pos="0"/>
          <w:tab w:val="left" w:pos="426"/>
          <w:tab w:val="left" w:pos="1276"/>
        </w:tabs>
        <w:spacing w:after="0" w:line="276" w:lineRule="auto"/>
        <w:ind w:left="0" w:firstLine="0"/>
        <w:jc w:val="both"/>
        <w:rPr>
          <w:rFonts w:asciiTheme="majorHAnsi" w:hAnsiTheme="majorHAnsi" w:cstheme="majorHAnsi"/>
          <w:sz w:val="24"/>
          <w:szCs w:val="24"/>
          <w:lang w:val="ro-MD" w:eastAsia="ro-RO"/>
        </w:rPr>
      </w:pPr>
      <w:r w:rsidRPr="003F4D72">
        <w:rPr>
          <w:rFonts w:asciiTheme="majorHAnsi" w:hAnsiTheme="majorHAnsi" w:cstheme="majorHAnsi"/>
          <w:bCs/>
          <w:sz w:val="24"/>
          <w:szCs w:val="24"/>
          <w:lang w:val="ro-MD"/>
        </w:rPr>
        <w:t>monitorizarea și controlul realizării contractelor de achiziție a serviciilor medicale, gestionării resurselor financiare alocate, asigurării revizuirii și ajustării cadrului de raportare a instituțiilor medicale, în condițiile realizării serviciilor medicale supra contract</w:t>
      </w:r>
      <w:r w:rsidR="002C0FC8" w:rsidRPr="003F4D72">
        <w:rPr>
          <w:rFonts w:asciiTheme="majorHAnsi" w:hAnsiTheme="majorHAnsi" w:cstheme="majorHAnsi"/>
          <w:bCs/>
          <w:sz w:val="24"/>
          <w:szCs w:val="24"/>
          <w:lang w:val="ro-MD"/>
        </w:rPr>
        <w:t>.</w:t>
      </w:r>
      <w:r w:rsidRPr="003F4D72">
        <w:rPr>
          <w:rFonts w:asciiTheme="majorHAnsi" w:hAnsiTheme="majorHAnsi" w:cstheme="majorHAnsi"/>
          <w:bCs/>
          <w:sz w:val="24"/>
          <w:szCs w:val="24"/>
          <w:lang w:val="ro-MD"/>
        </w:rPr>
        <w:t xml:space="preserve"> </w:t>
      </w:r>
    </w:p>
    <w:p w14:paraId="7F108A9B" w14:textId="2F832BDE" w:rsidR="00802642" w:rsidRPr="003F4D72" w:rsidRDefault="00802642" w:rsidP="00191FA5">
      <w:pPr>
        <w:spacing w:after="0" w:line="276" w:lineRule="auto"/>
        <w:jc w:val="both"/>
        <w:rPr>
          <w:rFonts w:asciiTheme="majorHAnsi" w:eastAsia="Times New Roman" w:hAnsiTheme="majorHAnsi" w:cstheme="majorHAnsi"/>
          <w:sz w:val="24"/>
          <w:szCs w:val="24"/>
        </w:rPr>
      </w:pPr>
    </w:p>
    <w:p w14:paraId="38A2510C" w14:textId="038B4D02" w:rsidR="00F81110" w:rsidRPr="003F4D72" w:rsidRDefault="00023B8B" w:rsidP="00F81110">
      <w:pPr>
        <w:spacing w:after="0" w:line="276" w:lineRule="auto"/>
        <w:jc w:val="both"/>
        <w:rPr>
          <w:rFonts w:asciiTheme="majorHAnsi" w:eastAsia="Times New Roman" w:hAnsiTheme="majorHAnsi" w:cstheme="majorHAnsi"/>
          <w:b/>
          <w:bCs/>
          <w:sz w:val="28"/>
          <w:szCs w:val="24"/>
        </w:rPr>
      </w:pPr>
      <w:r w:rsidRPr="003F4D72">
        <w:rPr>
          <w:rFonts w:asciiTheme="majorHAnsi" w:eastAsia="Times New Roman" w:hAnsiTheme="majorHAnsi" w:cstheme="majorHAnsi"/>
          <w:b/>
          <w:bCs/>
          <w:sz w:val="28"/>
          <w:szCs w:val="24"/>
        </w:rPr>
        <w:t>IX</w:t>
      </w:r>
      <w:r w:rsidR="00F81110" w:rsidRPr="003F4D72">
        <w:rPr>
          <w:rFonts w:asciiTheme="majorHAnsi" w:eastAsia="Times New Roman" w:hAnsiTheme="majorHAnsi" w:cstheme="majorHAnsi"/>
          <w:b/>
          <w:bCs/>
          <w:sz w:val="28"/>
          <w:szCs w:val="24"/>
        </w:rPr>
        <w:t>. RESPONSABILITĂŢILE CELOR ÎNSĂRCINAŢI CU GUVERNANŢA PENTRU RAPOARTELE GUVERNULUI</w:t>
      </w:r>
    </w:p>
    <w:p w14:paraId="460C1333"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b/>
          <w:bCs/>
          <w:sz w:val="24"/>
          <w:szCs w:val="24"/>
        </w:rPr>
        <w:t>Responsabilitatea Guvernului</w:t>
      </w:r>
      <w:r w:rsidRPr="003F4D72">
        <w:rPr>
          <w:rFonts w:asciiTheme="majorHAnsi" w:eastAsia="Times New Roman" w:hAnsiTheme="majorHAnsi" w:cstheme="majorHAnsi"/>
          <w:sz w:val="24"/>
          <w:szCs w:val="24"/>
        </w:rPr>
        <w:t xml:space="preserve">, în domeniul </w:t>
      </w:r>
      <w:r w:rsidR="008459A2" w:rsidRPr="003F4D72">
        <w:rPr>
          <w:rFonts w:asciiTheme="majorHAnsi" w:eastAsia="Times New Roman" w:hAnsiTheme="majorHAnsi" w:cstheme="majorHAnsi"/>
          <w:sz w:val="24"/>
          <w:szCs w:val="24"/>
        </w:rPr>
        <w:t>finanțelor</w:t>
      </w:r>
      <w:r w:rsidRPr="003F4D72">
        <w:rPr>
          <w:rFonts w:asciiTheme="majorHAnsi" w:eastAsia="Times New Roman" w:hAnsiTheme="majorHAnsi" w:cstheme="majorHAnsi"/>
          <w:sz w:val="24"/>
          <w:szCs w:val="24"/>
        </w:rPr>
        <w:t xml:space="preserve"> publice, este de a exercita conducerea generală a </w:t>
      </w:r>
      <w:r w:rsidR="008459A2" w:rsidRPr="003F4D72">
        <w:rPr>
          <w:rFonts w:asciiTheme="majorHAnsi" w:eastAsia="Times New Roman" w:hAnsiTheme="majorHAnsi" w:cstheme="majorHAnsi"/>
          <w:sz w:val="24"/>
          <w:szCs w:val="24"/>
        </w:rPr>
        <w:t>activității</w:t>
      </w:r>
      <w:r w:rsidRPr="003F4D72">
        <w:rPr>
          <w:rFonts w:asciiTheme="majorHAnsi" w:eastAsia="Times New Roman" w:hAnsiTheme="majorHAnsi" w:cstheme="majorHAnsi"/>
          <w:sz w:val="24"/>
          <w:szCs w:val="24"/>
        </w:rPr>
        <w:t xml:space="preserve"> executive în domeniul gestionării </w:t>
      </w:r>
      <w:r w:rsidR="008459A2" w:rsidRPr="003F4D72">
        <w:rPr>
          <w:rFonts w:asciiTheme="majorHAnsi" w:eastAsia="Times New Roman" w:hAnsiTheme="majorHAnsi" w:cstheme="majorHAnsi"/>
          <w:sz w:val="24"/>
          <w:szCs w:val="24"/>
        </w:rPr>
        <w:t>finanțelor</w:t>
      </w:r>
      <w:r w:rsidRPr="003F4D72">
        <w:rPr>
          <w:rFonts w:asciiTheme="majorHAnsi" w:eastAsia="Times New Roman" w:hAnsiTheme="majorHAnsi" w:cstheme="majorHAnsi"/>
          <w:sz w:val="24"/>
          <w:szCs w:val="24"/>
        </w:rPr>
        <w:t xml:space="preserve"> publice, în conformitate cu principiile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regulile stabilite</w:t>
      </w:r>
      <w:r w:rsidRPr="003F4D72">
        <w:rPr>
          <w:rStyle w:val="FootnoteReference"/>
          <w:rFonts w:asciiTheme="majorHAnsi" w:eastAsia="Times New Roman" w:hAnsiTheme="majorHAnsi" w:cstheme="majorHAnsi"/>
          <w:sz w:val="24"/>
          <w:szCs w:val="24"/>
        </w:rPr>
        <w:footnoteReference w:id="60"/>
      </w:r>
      <w:r w:rsidRPr="003F4D72">
        <w:rPr>
          <w:rFonts w:asciiTheme="majorHAnsi" w:eastAsia="Times New Roman" w:hAnsiTheme="majorHAnsi" w:cstheme="majorHAnsi"/>
          <w:sz w:val="24"/>
          <w:szCs w:val="24"/>
        </w:rPr>
        <w:t>.</w:t>
      </w:r>
    </w:p>
    <w:p w14:paraId="58495D33"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b/>
          <w:bCs/>
          <w:sz w:val="24"/>
          <w:szCs w:val="24"/>
        </w:rPr>
        <w:t xml:space="preserve">Responsabilitatea Ministerului </w:t>
      </w:r>
      <w:proofErr w:type="spellStart"/>
      <w:r w:rsidRPr="003F4D72">
        <w:rPr>
          <w:rFonts w:asciiTheme="majorHAnsi" w:eastAsia="Times New Roman" w:hAnsiTheme="majorHAnsi" w:cstheme="majorHAnsi"/>
          <w:b/>
          <w:bCs/>
          <w:sz w:val="24"/>
          <w:szCs w:val="24"/>
        </w:rPr>
        <w:t>Sănătăţii</w:t>
      </w:r>
      <w:proofErr w:type="spellEnd"/>
      <w:r w:rsidRPr="003F4D72">
        <w:rPr>
          <w:rFonts w:asciiTheme="majorHAnsi" w:eastAsia="Times New Roman" w:hAnsiTheme="majorHAnsi" w:cstheme="majorHAnsi"/>
          <w:b/>
          <w:bCs/>
          <w:sz w:val="24"/>
          <w:szCs w:val="24"/>
        </w:rPr>
        <w:t xml:space="preserve">, Muncii </w:t>
      </w:r>
      <w:proofErr w:type="spellStart"/>
      <w:r w:rsidRPr="003F4D72">
        <w:rPr>
          <w:rFonts w:asciiTheme="majorHAnsi" w:eastAsia="Times New Roman" w:hAnsiTheme="majorHAnsi" w:cstheme="majorHAnsi"/>
          <w:b/>
          <w:bCs/>
          <w:sz w:val="24"/>
          <w:szCs w:val="24"/>
        </w:rPr>
        <w:t>şi</w:t>
      </w:r>
      <w:proofErr w:type="spellEnd"/>
      <w:r w:rsidRPr="003F4D72">
        <w:rPr>
          <w:rFonts w:asciiTheme="majorHAnsi" w:eastAsia="Times New Roman" w:hAnsiTheme="majorHAnsi" w:cstheme="majorHAnsi"/>
          <w:b/>
          <w:bCs/>
          <w:sz w:val="24"/>
          <w:szCs w:val="24"/>
        </w:rPr>
        <w:t xml:space="preserve"> </w:t>
      </w:r>
      <w:r w:rsidR="008459A2" w:rsidRPr="003F4D72">
        <w:rPr>
          <w:rFonts w:asciiTheme="majorHAnsi" w:eastAsia="Times New Roman" w:hAnsiTheme="majorHAnsi" w:cstheme="majorHAnsi"/>
          <w:b/>
          <w:bCs/>
          <w:sz w:val="24"/>
          <w:szCs w:val="24"/>
        </w:rPr>
        <w:t>Protecției</w:t>
      </w:r>
      <w:r w:rsidRPr="003F4D72">
        <w:rPr>
          <w:rFonts w:asciiTheme="majorHAnsi" w:eastAsia="Times New Roman" w:hAnsiTheme="majorHAnsi" w:cstheme="majorHAnsi"/>
          <w:b/>
          <w:bCs/>
          <w:sz w:val="24"/>
          <w:szCs w:val="24"/>
        </w:rPr>
        <w:t xml:space="preserve"> Sociale </w:t>
      </w:r>
      <w:r w:rsidRPr="003F4D72">
        <w:rPr>
          <w:rFonts w:asciiTheme="majorHAnsi" w:eastAsia="Times New Roman" w:hAnsiTheme="majorHAnsi" w:cstheme="majorHAnsi"/>
          <w:sz w:val="24"/>
          <w:szCs w:val="24"/>
        </w:rPr>
        <w:t xml:space="preserve">a constat în monitorizarea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analiza executării FAOAM</w:t>
      </w:r>
      <w:r w:rsidRPr="003F4D72">
        <w:rPr>
          <w:rStyle w:val="FootnoteReference"/>
          <w:rFonts w:asciiTheme="majorHAnsi" w:eastAsia="Times New Roman" w:hAnsiTheme="majorHAnsi" w:cstheme="majorHAnsi"/>
          <w:sz w:val="24"/>
          <w:szCs w:val="24"/>
        </w:rPr>
        <w:footnoteReference w:id="61"/>
      </w:r>
      <w:r w:rsidRPr="003F4D72">
        <w:rPr>
          <w:rFonts w:asciiTheme="majorHAnsi" w:eastAsia="Times New Roman" w:hAnsiTheme="majorHAnsi" w:cstheme="majorHAnsi"/>
          <w:sz w:val="24"/>
          <w:szCs w:val="24"/>
        </w:rPr>
        <w:t>. </w:t>
      </w:r>
    </w:p>
    <w:p w14:paraId="118946EC"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b/>
          <w:bCs/>
          <w:sz w:val="24"/>
          <w:szCs w:val="24"/>
        </w:rPr>
        <w:t xml:space="preserve">Responsabilitatea Ministerului </w:t>
      </w:r>
      <w:r w:rsidR="008459A2" w:rsidRPr="003F4D72">
        <w:rPr>
          <w:rFonts w:asciiTheme="majorHAnsi" w:eastAsia="Times New Roman" w:hAnsiTheme="majorHAnsi" w:cstheme="majorHAnsi"/>
          <w:b/>
          <w:bCs/>
          <w:sz w:val="24"/>
          <w:szCs w:val="24"/>
        </w:rPr>
        <w:t>Finanțelor</w:t>
      </w:r>
      <w:r w:rsidRPr="003F4D72">
        <w:rPr>
          <w:rFonts w:asciiTheme="majorHAnsi" w:eastAsia="Times New Roman" w:hAnsiTheme="majorHAnsi" w:cstheme="majorHAnsi"/>
          <w:b/>
          <w:bCs/>
          <w:sz w:val="24"/>
          <w:szCs w:val="24"/>
        </w:rPr>
        <w:t xml:space="preserve"> </w:t>
      </w:r>
      <w:r w:rsidR="00B06162" w:rsidRPr="003F4D72">
        <w:rPr>
          <w:rFonts w:asciiTheme="majorHAnsi" w:eastAsia="Times New Roman" w:hAnsiTheme="majorHAnsi" w:cstheme="majorHAnsi"/>
          <w:sz w:val="24"/>
          <w:szCs w:val="24"/>
        </w:rPr>
        <w:t>ține</w:t>
      </w:r>
      <w:r w:rsidRPr="003F4D72">
        <w:rPr>
          <w:rFonts w:asciiTheme="majorHAnsi" w:eastAsia="Times New Roman" w:hAnsiTheme="majorHAnsi" w:cstheme="majorHAnsi"/>
          <w:sz w:val="24"/>
          <w:szCs w:val="24"/>
        </w:rPr>
        <w:t xml:space="preserve"> de</w:t>
      </w:r>
      <w:r w:rsidRPr="003F4D72">
        <w:rPr>
          <w:rStyle w:val="FootnoteReference"/>
          <w:rFonts w:asciiTheme="majorHAnsi" w:eastAsia="Times New Roman" w:hAnsiTheme="majorHAnsi" w:cstheme="majorHAnsi"/>
          <w:sz w:val="24"/>
          <w:szCs w:val="24"/>
        </w:rPr>
        <w:footnoteReference w:id="62"/>
      </w:r>
      <w:r w:rsidRPr="003F4D72">
        <w:rPr>
          <w:rFonts w:asciiTheme="majorHAnsi" w:eastAsia="Times New Roman" w:hAnsiTheme="majorHAnsi" w:cstheme="majorHAnsi"/>
          <w:sz w:val="24"/>
          <w:szCs w:val="24"/>
        </w:rPr>
        <w:t>:</w:t>
      </w:r>
    </w:p>
    <w:p w14:paraId="5A727398" w14:textId="77777777" w:rsidR="00F81110" w:rsidRPr="003F4D72" w:rsidRDefault="00F81110" w:rsidP="002B0EEF">
      <w:pPr>
        <w:spacing w:after="0" w:line="276" w:lineRule="auto"/>
        <w:ind w:firstLine="142"/>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lastRenderedPageBreak/>
        <w:t xml:space="preserve">- elaborarea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aprobarea, în baza Legii </w:t>
      </w:r>
      <w:r w:rsidR="00B06162" w:rsidRPr="003F4D72">
        <w:rPr>
          <w:rFonts w:asciiTheme="majorHAnsi" w:eastAsia="Times New Roman" w:hAnsiTheme="majorHAnsi" w:cstheme="majorHAnsi"/>
          <w:sz w:val="24"/>
          <w:szCs w:val="24"/>
        </w:rPr>
        <w:t>contabilității</w:t>
      </w:r>
      <w:r w:rsidRPr="003F4D72">
        <w:rPr>
          <w:rFonts w:asciiTheme="majorHAnsi" w:eastAsia="Times New Roman" w:hAnsiTheme="majorHAnsi" w:cstheme="majorHAnsi"/>
          <w:sz w:val="24"/>
          <w:szCs w:val="24"/>
        </w:rPr>
        <w:t xml:space="preserv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în conformitate cu Planul de conturi contabile, a metodologiei privind </w:t>
      </w:r>
      <w:r w:rsidR="008459A2" w:rsidRPr="003F4D72">
        <w:rPr>
          <w:rFonts w:asciiTheme="majorHAnsi" w:eastAsia="Times New Roman" w:hAnsiTheme="majorHAnsi" w:cstheme="majorHAnsi"/>
          <w:sz w:val="24"/>
          <w:szCs w:val="24"/>
        </w:rPr>
        <w:t>evidența</w:t>
      </w:r>
      <w:r w:rsidRPr="003F4D72">
        <w:rPr>
          <w:rFonts w:asciiTheme="majorHAnsi" w:eastAsia="Times New Roman" w:hAnsiTheme="majorHAnsi" w:cstheme="majorHAnsi"/>
          <w:sz w:val="24"/>
          <w:szCs w:val="24"/>
        </w:rPr>
        <w:t xml:space="preserve"> contabilă în sistemul bugetar, inclusiv privind contabilitatea executării FAOAM;</w:t>
      </w:r>
    </w:p>
    <w:p w14:paraId="73C98055" w14:textId="77777777" w:rsidR="00F81110" w:rsidRPr="003F4D72" w:rsidRDefault="00F81110" w:rsidP="002B0EEF">
      <w:pPr>
        <w:spacing w:after="0" w:line="276" w:lineRule="auto"/>
        <w:ind w:firstLine="142"/>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 elaborarea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aprobarea metodologiei privind implementarea cadrului normativ-legal în domeniul </w:t>
      </w:r>
      <w:r w:rsidR="008459A2" w:rsidRPr="003F4D72">
        <w:rPr>
          <w:rFonts w:asciiTheme="majorHAnsi" w:eastAsia="Times New Roman" w:hAnsiTheme="majorHAnsi" w:cstheme="majorHAnsi"/>
          <w:sz w:val="24"/>
          <w:szCs w:val="24"/>
        </w:rPr>
        <w:t>finanțelor</w:t>
      </w:r>
      <w:r w:rsidRPr="003F4D72">
        <w:rPr>
          <w:rFonts w:asciiTheme="majorHAnsi" w:eastAsia="Times New Roman" w:hAnsiTheme="majorHAnsi" w:cstheme="majorHAnsi"/>
          <w:sz w:val="24"/>
          <w:szCs w:val="24"/>
        </w:rPr>
        <w:t xml:space="preserve"> publice, inclusiv privind </w:t>
      </w:r>
      <w:r w:rsidR="008459A2" w:rsidRPr="003F4D72">
        <w:rPr>
          <w:rFonts w:asciiTheme="majorHAnsi" w:eastAsia="Times New Roman" w:hAnsiTheme="majorHAnsi" w:cstheme="majorHAnsi"/>
          <w:sz w:val="24"/>
          <w:szCs w:val="24"/>
        </w:rPr>
        <w:t>evidența</w:t>
      </w:r>
      <w:r w:rsidRPr="003F4D72">
        <w:rPr>
          <w:rFonts w:asciiTheme="majorHAnsi" w:eastAsia="Times New Roman" w:hAnsiTheme="majorHAnsi" w:cstheme="majorHAnsi"/>
          <w:sz w:val="24"/>
          <w:szCs w:val="24"/>
        </w:rPr>
        <w:t xml:space="preserve"> contabilă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raportarea bugetelor componente ale bugetului public </w:t>
      </w:r>
      <w:r w:rsidR="008459A2" w:rsidRPr="003F4D72">
        <w:rPr>
          <w:rFonts w:asciiTheme="majorHAnsi" w:eastAsia="Times New Roman" w:hAnsiTheme="majorHAnsi" w:cstheme="majorHAnsi"/>
          <w:sz w:val="24"/>
          <w:szCs w:val="24"/>
        </w:rPr>
        <w:t>național</w:t>
      </w:r>
      <w:r w:rsidRPr="003F4D72">
        <w:rPr>
          <w:rFonts w:asciiTheme="majorHAnsi" w:eastAsia="Times New Roman" w:hAnsiTheme="majorHAnsi" w:cstheme="majorHAnsi"/>
          <w:sz w:val="24"/>
          <w:szCs w:val="24"/>
        </w:rPr>
        <w:t xml:space="preserve">, precum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acordarea </w:t>
      </w:r>
      <w:r w:rsidR="008459A2" w:rsidRPr="003F4D72">
        <w:rPr>
          <w:rFonts w:asciiTheme="majorHAnsi" w:eastAsia="Times New Roman" w:hAnsiTheme="majorHAnsi" w:cstheme="majorHAnsi"/>
          <w:sz w:val="24"/>
          <w:szCs w:val="24"/>
        </w:rPr>
        <w:t>asistenței</w:t>
      </w:r>
      <w:r w:rsidRPr="003F4D72">
        <w:rPr>
          <w:rFonts w:asciiTheme="majorHAnsi" w:eastAsia="Times New Roman" w:hAnsiTheme="majorHAnsi" w:cstheme="majorHAnsi"/>
          <w:sz w:val="24"/>
          <w:szCs w:val="24"/>
        </w:rPr>
        <w:t xml:space="preserve"> metodologice în procesul bugetar. </w:t>
      </w:r>
    </w:p>
    <w:p w14:paraId="144D2F39"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b/>
          <w:bCs/>
          <w:sz w:val="24"/>
          <w:szCs w:val="24"/>
        </w:rPr>
        <w:t xml:space="preserve">Responsabilitatea Companiei </w:t>
      </w:r>
      <w:proofErr w:type="spellStart"/>
      <w:r w:rsidRPr="003F4D72">
        <w:rPr>
          <w:rFonts w:asciiTheme="majorHAnsi" w:eastAsia="Times New Roman" w:hAnsiTheme="majorHAnsi" w:cstheme="majorHAnsi"/>
          <w:b/>
          <w:bCs/>
          <w:sz w:val="24"/>
          <w:szCs w:val="24"/>
        </w:rPr>
        <w:t>Naţionale</w:t>
      </w:r>
      <w:proofErr w:type="spellEnd"/>
      <w:r w:rsidRPr="003F4D72">
        <w:rPr>
          <w:rFonts w:asciiTheme="majorHAnsi" w:eastAsia="Times New Roman" w:hAnsiTheme="majorHAnsi" w:cstheme="majorHAnsi"/>
          <w:b/>
          <w:bCs/>
          <w:sz w:val="24"/>
          <w:szCs w:val="24"/>
        </w:rPr>
        <w:t xml:space="preserve"> de Asigurări în Medicină </w:t>
      </w:r>
      <w:r w:rsidRPr="003F4D72">
        <w:rPr>
          <w:rFonts w:asciiTheme="majorHAnsi" w:eastAsia="Times New Roman" w:hAnsiTheme="majorHAnsi" w:cstheme="majorHAnsi"/>
          <w:sz w:val="24"/>
          <w:szCs w:val="24"/>
        </w:rPr>
        <w:t xml:space="preserve">a constat în pregătirea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prezentarea fidelă către Guvern, Ministerul </w:t>
      </w:r>
      <w:proofErr w:type="spellStart"/>
      <w:r w:rsidRPr="003F4D72">
        <w:rPr>
          <w:rFonts w:asciiTheme="majorHAnsi" w:eastAsia="Times New Roman" w:hAnsiTheme="majorHAnsi" w:cstheme="majorHAnsi"/>
          <w:sz w:val="24"/>
          <w:szCs w:val="24"/>
        </w:rPr>
        <w:t>Sănătăţii</w:t>
      </w:r>
      <w:proofErr w:type="spellEnd"/>
      <w:r w:rsidRPr="003F4D72">
        <w:rPr>
          <w:rFonts w:asciiTheme="majorHAnsi" w:eastAsia="Times New Roman" w:hAnsiTheme="majorHAnsi" w:cstheme="majorHAnsi"/>
          <w:sz w:val="24"/>
          <w:szCs w:val="24"/>
        </w:rPr>
        <w:t xml:space="preserve">, Muncii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w:t>
      </w:r>
      <w:r w:rsidR="00197751" w:rsidRPr="003F4D72">
        <w:rPr>
          <w:rFonts w:asciiTheme="majorHAnsi" w:eastAsia="Times New Roman" w:hAnsiTheme="majorHAnsi" w:cstheme="majorHAnsi"/>
          <w:sz w:val="24"/>
          <w:szCs w:val="24"/>
        </w:rPr>
        <w:t>Protecției</w:t>
      </w:r>
      <w:r w:rsidRPr="003F4D72">
        <w:rPr>
          <w:rFonts w:asciiTheme="majorHAnsi" w:eastAsia="Times New Roman" w:hAnsiTheme="majorHAnsi" w:cstheme="majorHAnsi"/>
          <w:sz w:val="24"/>
          <w:szCs w:val="24"/>
        </w:rPr>
        <w:t xml:space="preserve"> Sociale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Ministerul </w:t>
      </w:r>
      <w:r w:rsidR="00197751" w:rsidRPr="003F4D72">
        <w:rPr>
          <w:rFonts w:asciiTheme="majorHAnsi" w:eastAsia="Times New Roman" w:hAnsiTheme="majorHAnsi" w:cstheme="majorHAnsi"/>
          <w:sz w:val="24"/>
          <w:szCs w:val="24"/>
        </w:rPr>
        <w:t>Finanțelor</w:t>
      </w:r>
      <w:r w:rsidRPr="003F4D72">
        <w:rPr>
          <w:rFonts w:asciiTheme="majorHAnsi" w:eastAsia="Times New Roman" w:hAnsiTheme="majorHAnsi" w:cstheme="majorHAnsi"/>
          <w:sz w:val="24"/>
          <w:szCs w:val="24"/>
        </w:rPr>
        <w:t xml:space="preserve"> a rapoartelor privind executarea FAOAM, în conformitate cu cadrul de raportare aplicabil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asigurarea publicării acestora</w:t>
      </w:r>
      <w:r w:rsidRPr="003F4D72">
        <w:rPr>
          <w:rStyle w:val="FootnoteReference"/>
          <w:rFonts w:asciiTheme="majorHAnsi" w:eastAsia="Times New Roman" w:hAnsiTheme="majorHAnsi" w:cstheme="majorHAnsi"/>
          <w:sz w:val="24"/>
          <w:szCs w:val="24"/>
        </w:rPr>
        <w:footnoteReference w:id="63"/>
      </w:r>
      <w:r w:rsidRPr="003F4D72">
        <w:rPr>
          <w:rFonts w:asciiTheme="majorHAnsi" w:eastAsia="Times New Roman" w:hAnsiTheme="majorHAnsi" w:cstheme="majorHAnsi"/>
          <w:sz w:val="24"/>
          <w:szCs w:val="24"/>
        </w:rPr>
        <w:t xml:space="preserve">. </w:t>
      </w:r>
    </w:p>
    <w:p w14:paraId="70195860" w14:textId="77777777" w:rsidR="00853014" w:rsidRPr="003F4D72" w:rsidRDefault="00F81110" w:rsidP="00F81110">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b/>
          <w:bCs/>
          <w:sz w:val="24"/>
          <w:szCs w:val="24"/>
        </w:rPr>
        <w:t xml:space="preserve">Directorul general al Companiei, </w:t>
      </w:r>
      <w:r w:rsidRPr="003F4D72">
        <w:rPr>
          <w:rFonts w:asciiTheme="majorHAnsi" w:eastAsia="Times New Roman" w:hAnsiTheme="majorHAnsi" w:cstheme="majorHAnsi"/>
          <w:sz w:val="24"/>
          <w:szCs w:val="24"/>
        </w:rPr>
        <w:t xml:space="preserve">în calitate de ordonator principal de credite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administrator al fondurilor asigurării obligatorii de </w:t>
      </w:r>
      <w:proofErr w:type="spellStart"/>
      <w:r w:rsidRPr="003F4D72">
        <w:rPr>
          <w:rFonts w:asciiTheme="majorHAnsi" w:eastAsia="Times New Roman" w:hAnsiTheme="majorHAnsi" w:cstheme="majorHAnsi"/>
          <w:sz w:val="24"/>
          <w:szCs w:val="24"/>
        </w:rPr>
        <w:t>asistenţă</w:t>
      </w:r>
      <w:proofErr w:type="spellEnd"/>
      <w:r w:rsidRPr="003F4D72">
        <w:rPr>
          <w:rFonts w:asciiTheme="majorHAnsi" w:eastAsia="Times New Roman" w:hAnsiTheme="majorHAnsi" w:cstheme="majorHAnsi"/>
          <w:sz w:val="24"/>
          <w:szCs w:val="24"/>
        </w:rPr>
        <w:t xml:space="preserve"> medicală</w:t>
      </w:r>
      <w:r w:rsidRPr="003F4D72">
        <w:rPr>
          <w:rStyle w:val="FootnoteReference"/>
          <w:rFonts w:asciiTheme="majorHAnsi" w:eastAsia="Times New Roman" w:hAnsiTheme="majorHAnsi" w:cstheme="majorHAnsi"/>
          <w:sz w:val="24"/>
          <w:szCs w:val="24"/>
        </w:rPr>
        <w:footnoteReference w:id="64"/>
      </w:r>
      <w:r w:rsidRPr="003F4D72">
        <w:rPr>
          <w:rFonts w:asciiTheme="majorHAnsi" w:eastAsia="Times New Roman" w:hAnsiTheme="majorHAnsi" w:cstheme="majorHAnsi"/>
          <w:sz w:val="24"/>
          <w:szCs w:val="24"/>
        </w:rPr>
        <w:t xml:space="preserve">, este responsabil de pregătirea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prezentarea fidelă a Raportului Guvernului privind executarea</w:t>
      </w:r>
      <w:r w:rsidR="00A61E5B" w:rsidRPr="003F4D72">
        <w:rPr>
          <w:rFonts w:asciiTheme="majorHAnsi" w:eastAsia="Times New Roman" w:hAnsiTheme="majorHAnsi" w:cstheme="majorHAnsi"/>
          <w:sz w:val="24"/>
          <w:szCs w:val="24"/>
        </w:rPr>
        <w:t xml:space="preserve"> FAOAM pentru anul 2020</w:t>
      </w:r>
      <w:r w:rsidRPr="003F4D72">
        <w:rPr>
          <w:rFonts w:asciiTheme="majorHAnsi" w:eastAsia="Times New Roman" w:hAnsiTheme="majorHAnsi" w:cstheme="majorHAnsi"/>
          <w:sz w:val="24"/>
          <w:szCs w:val="24"/>
        </w:rPr>
        <w:t xml:space="preserve"> în conformitate cu cadrul de raportare aplicabil</w:t>
      </w:r>
      <w:r w:rsidRPr="003F4D72">
        <w:rPr>
          <w:rStyle w:val="FootnoteReference"/>
          <w:rFonts w:asciiTheme="majorHAnsi" w:eastAsia="Times New Roman" w:hAnsiTheme="majorHAnsi" w:cstheme="majorHAnsi"/>
          <w:sz w:val="24"/>
          <w:szCs w:val="24"/>
        </w:rPr>
        <w:footnoteReference w:id="65"/>
      </w:r>
      <w:r w:rsidRPr="003F4D72">
        <w:rPr>
          <w:rFonts w:asciiTheme="majorHAnsi" w:eastAsia="Times New Roman" w:hAnsiTheme="majorHAnsi" w:cstheme="majorHAnsi"/>
          <w:sz w:val="24"/>
          <w:szCs w:val="24"/>
        </w:rPr>
        <w:t xml:space="preserve">. De asemenea, responsabilitatea managementului este de a organiza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implementa sistemul de control intern</w:t>
      </w:r>
      <w:r w:rsidRPr="003F4D72">
        <w:rPr>
          <w:rStyle w:val="FootnoteReference"/>
          <w:rFonts w:asciiTheme="majorHAnsi" w:eastAsia="Times New Roman" w:hAnsiTheme="majorHAnsi" w:cstheme="majorHAnsi"/>
          <w:sz w:val="24"/>
          <w:szCs w:val="24"/>
        </w:rPr>
        <w:footnoteReference w:id="66"/>
      </w:r>
      <w:r w:rsidRPr="003F4D72">
        <w:rPr>
          <w:rFonts w:asciiTheme="majorHAnsi" w:eastAsia="Times New Roman" w:hAnsiTheme="majorHAnsi" w:cstheme="majorHAnsi"/>
          <w:sz w:val="24"/>
          <w:szCs w:val="24"/>
        </w:rPr>
        <w:t xml:space="preserve">, în scopul de a asigura </w:t>
      </w:r>
      <w:r w:rsidR="00197751" w:rsidRPr="003F4D72">
        <w:rPr>
          <w:rFonts w:asciiTheme="majorHAnsi" w:eastAsia="Times New Roman" w:hAnsiTheme="majorHAnsi" w:cstheme="majorHAnsi"/>
          <w:sz w:val="24"/>
          <w:szCs w:val="24"/>
        </w:rPr>
        <w:t>desfășurarea</w:t>
      </w:r>
      <w:r w:rsidRPr="003F4D72">
        <w:rPr>
          <w:rFonts w:asciiTheme="majorHAnsi" w:eastAsia="Times New Roman" w:hAnsiTheme="majorHAnsi" w:cstheme="majorHAnsi"/>
          <w:sz w:val="24"/>
          <w:szCs w:val="24"/>
        </w:rPr>
        <w:t xml:space="preserv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organizarea eficientă a </w:t>
      </w:r>
      <w:r w:rsidR="00197751" w:rsidRPr="003F4D72">
        <w:rPr>
          <w:rFonts w:asciiTheme="majorHAnsi" w:eastAsia="Times New Roman" w:hAnsiTheme="majorHAnsi" w:cstheme="majorHAnsi"/>
          <w:sz w:val="24"/>
          <w:szCs w:val="24"/>
        </w:rPr>
        <w:t>activității</w:t>
      </w:r>
      <w:r w:rsidRPr="003F4D72">
        <w:rPr>
          <w:rFonts w:asciiTheme="majorHAnsi" w:eastAsia="Times New Roman" w:hAnsiTheme="majorHAnsi" w:cstheme="majorHAnsi"/>
          <w:sz w:val="24"/>
          <w:szCs w:val="24"/>
        </w:rPr>
        <w:t xml:space="preserve"> economice, inclusiv respectarea strictă a </w:t>
      </w:r>
      <w:r w:rsidR="00197751" w:rsidRPr="003F4D72">
        <w:rPr>
          <w:rFonts w:asciiTheme="majorHAnsi" w:eastAsia="Times New Roman" w:hAnsiTheme="majorHAnsi" w:cstheme="majorHAnsi"/>
          <w:sz w:val="24"/>
          <w:szCs w:val="24"/>
        </w:rPr>
        <w:t>integrității</w:t>
      </w:r>
      <w:r w:rsidRPr="003F4D72">
        <w:rPr>
          <w:rFonts w:asciiTheme="majorHAnsi" w:eastAsia="Times New Roman" w:hAnsiTheme="majorHAnsi" w:cstheme="majorHAnsi"/>
          <w:sz w:val="24"/>
          <w:szCs w:val="24"/>
        </w:rPr>
        <w:t xml:space="preserve"> activelor, prevenirea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descoperirea cauzelor de fraudă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eroare, exactitatea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plenitudinea datelor raportate.</w:t>
      </w:r>
      <w:r w:rsidR="00213F7E" w:rsidRPr="003F4D72">
        <w:rPr>
          <w:rFonts w:asciiTheme="majorHAnsi" w:eastAsia="Times New Roman" w:hAnsiTheme="majorHAnsi" w:cstheme="majorHAnsi"/>
          <w:sz w:val="24"/>
          <w:szCs w:val="24"/>
        </w:rPr>
        <w:t xml:space="preserve"> </w:t>
      </w:r>
    </w:p>
    <w:p w14:paraId="621DB36E" w14:textId="704D3C40" w:rsidR="00864F09" w:rsidRPr="003F4D72" w:rsidRDefault="00864F09" w:rsidP="00F81110">
      <w:pPr>
        <w:spacing w:after="0" w:line="276" w:lineRule="auto"/>
        <w:jc w:val="both"/>
        <w:rPr>
          <w:rFonts w:ascii="Times New Roman" w:eastAsia="Times New Roman" w:hAnsi="Times New Roman" w:cs="Times New Roman"/>
          <w:sz w:val="20"/>
          <w:szCs w:val="19"/>
        </w:rPr>
      </w:pPr>
    </w:p>
    <w:p w14:paraId="28795CBA" w14:textId="42B18D91" w:rsidR="00F81110" w:rsidRPr="003F4D72" w:rsidRDefault="00F81110" w:rsidP="00F81110">
      <w:pPr>
        <w:spacing w:after="0" w:line="276" w:lineRule="auto"/>
        <w:jc w:val="both"/>
        <w:rPr>
          <w:rFonts w:asciiTheme="majorHAnsi" w:eastAsia="Times New Roman" w:hAnsiTheme="majorHAnsi" w:cstheme="majorHAnsi"/>
          <w:b/>
          <w:bCs/>
          <w:sz w:val="28"/>
          <w:szCs w:val="24"/>
        </w:rPr>
      </w:pPr>
      <w:r w:rsidRPr="003F4D72">
        <w:rPr>
          <w:rFonts w:asciiTheme="majorHAnsi" w:eastAsia="Times New Roman" w:hAnsiTheme="majorHAnsi" w:cstheme="majorHAnsi"/>
          <w:b/>
          <w:bCs/>
          <w:sz w:val="28"/>
          <w:szCs w:val="24"/>
        </w:rPr>
        <w:t>X. RESPONSABILITĂŢILE AUDITORULUI ÎNTR-UN AUDIT AL RAPOARTELOR GUVERNULUI</w:t>
      </w:r>
    </w:p>
    <w:p w14:paraId="52E71646"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Auditorul este responsabil de planificarea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realizarea misiunii de audit, cu </w:t>
      </w:r>
      <w:r w:rsidR="00197751" w:rsidRPr="003F4D72">
        <w:rPr>
          <w:rFonts w:asciiTheme="majorHAnsi" w:eastAsia="Times New Roman" w:hAnsiTheme="majorHAnsi" w:cstheme="majorHAnsi"/>
          <w:sz w:val="24"/>
          <w:szCs w:val="24"/>
        </w:rPr>
        <w:t>obținerea</w:t>
      </w:r>
      <w:r w:rsidRPr="003F4D72">
        <w:rPr>
          <w:rFonts w:asciiTheme="majorHAnsi" w:eastAsia="Times New Roman" w:hAnsiTheme="majorHAnsi" w:cstheme="majorHAnsi"/>
          <w:sz w:val="24"/>
          <w:szCs w:val="24"/>
        </w:rPr>
        <w:t xml:space="preserve"> probelor suficiente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adecvate în vederea </w:t>
      </w:r>
      <w:r w:rsidR="00197751" w:rsidRPr="003F4D72">
        <w:rPr>
          <w:rFonts w:asciiTheme="majorHAnsi" w:eastAsia="Times New Roman" w:hAnsiTheme="majorHAnsi" w:cstheme="majorHAnsi"/>
          <w:sz w:val="24"/>
          <w:szCs w:val="24"/>
        </w:rPr>
        <w:t>susținerii</w:t>
      </w:r>
      <w:r w:rsidRPr="003F4D72">
        <w:rPr>
          <w:rFonts w:asciiTheme="majorHAnsi" w:eastAsia="Times New Roman" w:hAnsiTheme="majorHAnsi" w:cstheme="majorHAnsi"/>
          <w:sz w:val="24"/>
          <w:szCs w:val="24"/>
        </w:rPr>
        <w:t xml:space="preserve"> bazei pentru opinia de audit.</w:t>
      </w:r>
    </w:p>
    <w:p w14:paraId="064E58F2"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Obiectivele auditorului sunt: </w:t>
      </w:r>
      <w:r w:rsidR="00197751" w:rsidRPr="003F4D72">
        <w:rPr>
          <w:rFonts w:asciiTheme="majorHAnsi" w:eastAsia="Times New Roman" w:hAnsiTheme="majorHAnsi" w:cstheme="majorHAnsi"/>
          <w:sz w:val="24"/>
          <w:szCs w:val="24"/>
        </w:rPr>
        <w:t>obținerea</w:t>
      </w:r>
      <w:r w:rsidRPr="003F4D72">
        <w:rPr>
          <w:rFonts w:asciiTheme="majorHAnsi" w:eastAsia="Times New Roman" w:hAnsiTheme="majorHAnsi" w:cstheme="majorHAnsi"/>
          <w:sz w:val="24"/>
          <w:szCs w:val="24"/>
        </w:rPr>
        <w:t xml:space="preserve"> unei asigurări rezonabile că Raportul Guvernului privind executarea </w:t>
      </w:r>
      <w:r w:rsidR="00346F0F" w:rsidRPr="003F4D72">
        <w:rPr>
          <w:rFonts w:asciiTheme="majorHAnsi" w:eastAsia="Times New Roman" w:hAnsiTheme="majorHAnsi" w:cstheme="majorHAnsi"/>
          <w:sz w:val="24"/>
          <w:szCs w:val="24"/>
        </w:rPr>
        <w:t xml:space="preserve">fondurilor asigurării obligatorii de asistență medicală </w:t>
      </w:r>
      <w:r w:rsidRPr="003F4D72">
        <w:rPr>
          <w:rFonts w:asciiTheme="majorHAnsi" w:eastAsia="Times New Roman" w:hAnsiTheme="majorHAnsi" w:cstheme="majorHAnsi"/>
          <w:sz w:val="24"/>
          <w:szCs w:val="24"/>
        </w:rPr>
        <w:t xml:space="preserve">nu este afectat de denaturări semnificative, cauzate de fraude sau erori, precum </w:t>
      </w:r>
      <w:proofErr w:type="spellStart"/>
      <w:r w:rsidRPr="003F4D72">
        <w:rPr>
          <w:rFonts w:asciiTheme="majorHAnsi" w:eastAsia="Times New Roman" w:hAnsiTheme="majorHAnsi" w:cstheme="majorHAnsi"/>
          <w:sz w:val="24"/>
          <w:szCs w:val="24"/>
        </w:rPr>
        <w:t>şi</w:t>
      </w:r>
      <w:proofErr w:type="spellEnd"/>
      <w:r w:rsidRPr="003F4D72">
        <w:rPr>
          <w:rFonts w:asciiTheme="majorHAnsi" w:eastAsia="Times New Roman" w:hAnsiTheme="majorHAnsi" w:cstheme="majorHAnsi"/>
          <w:sz w:val="24"/>
          <w:szCs w:val="24"/>
        </w:rPr>
        <w:t xml:space="preserve"> emiterea unei opinii.</w:t>
      </w:r>
    </w:p>
    <w:p w14:paraId="06B6E368" w14:textId="77777777" w:rsidR="00F81110" w:rsidRPr="003F4D72" w:rsidRDefault="00F81110" w:rsidP="002B0EEF">
      <w:pPr>
        <w:spacing w:after="0" w:line="276" w:lineRule="auto"/>
        <w:jc w:val="both"/>
        <w:rPr>
          <w:rFonts w:asciiTheme="majorHAnsi" w:eastAsia="Times New Roman" w:hAnsiTheme="majorHAnsi" w:cstheme="majorHAnsi"/>
          <w:sz w:val="24"/>
          <w:szCs w:val="24"/>
        </w:rPr>
      </w:pPr>
      <w:r w:rsidRPr="003F4D72">
        <w:rPr>
          <w:rFonts w:asciiTheme="majorHAnsi" w:eastAsia="Times New Roman" w:hAnsiTheme="majorHAnsi" w:cstheme="majorHAnsi"/>
          <w:sz w:val="24"/>
          <w:szCs w:val="24"/>
        </w:rPr>
        <w:t xml:space="preserve">Asigurarea rezonabilă este un nivel ridicat de asigurare, dar nu este o </w:t>
      </w:r>
      <w:r w:rsidR="00197751" w:rsidRPr="003F4D72">
        <w:rPr>
          <w:rFonts w:asciiTheme="majorHAnsi" w:eastAsia="Times New Roman" w:hAnsiTheme="majorHAnsi" w:cstheme="majorHAnsi"/>
          <w:sz w:val="24"/>
          <w:szCs w:val="24"/>
        </w:rPr>
        <w:t>garanție</w:t>
      </w:r>
      <w:r w:rsidRPr="003F4D72">
        <w:rPr>
          <w:rFonts w:asciiTheme="majorHAnsi" w:eastAsia="Times New Roman" w:hAnsiTheme="majorHAnsi" w:cstheme="majorHAnsi"/>
          <w:sz w:val="24"/>
          <w:szCs w:val="24"/>
        </w:rPr>
        <w:t xml:space="preserv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w:t>
      </w:r>
      <w:r w:rsidR="00197751" w:rsidRPr="003F4D72">
        <w:rPr>
          <w:rFonts w:asciiTheme="majorHAnsi" w:eastAsia="Times New Roman" w:hAnsiTheme="majorHAnsi" w:cstheme="majorHAnsi"/>
          <w:sz w:val="24"/>
          <w:szCs w:val="24"/>
        </w:rPr>
        <w:t>influența</w:t>
      </w:r>
      <w:r w:rsidRPr="003F4D72">
        <w:rPr>
          <w:rFonts w:asciiTheme="majorHAnsi" w:eastAsia="Times New Roman" w:hAnsiTheme="majorHAnsi" w:cstheme="majorHAnsi"/>
          <w:sz w:val="24"/>
          <w:szCs w:val="24"/>
        </w:rPr>
        <w:t xml:space="preserve"> deciziile economice ale utilizatorilor acestor </w:t>
      </w:r>
      <w:r w:rsidR="00197751" w:rsidRPr="003F4D72">
        <w:rPr>
          <w:rFonts w:asciiTheme="majorHAnsi" w:eastAsia="Times New Roman" w:hAnsiTheme="majorHAnsi" w:cstheme="majorHAnsi"/>
          <w:sz w:val="24"/>
          <w:szCs w:val="24"/>
        </w:rPr>
        <w:t>situații</w:t>
      </w:r>
      <w:r w:rsidRPr="003F4D72">
        <w:rPr>
          <w:rFonts w:asciiTheme="majorHAnsi" w:eastAsia="Times New Roman" w:hAnsiTheme="majorHAnsi" w:cstheme="majorHAnsi"/>
          <w:sz w:val="24"/>
          <w:szCs w:val="24"/>
        </w:rPr>
        <w:t xml:space="preserve"> financiare. </w:t>
      </w:r>
    </w:p>
    <w:p w14:paraId="313EB5B1" w14:textId="18232FC7" w:rsidR="00DE4129" w:rsidRPr="003F4D72" w:rsidRDefault="00F81110" w:rsidP="00640ED5">
      <w:pPr>
        <w:spacing w:after="0" w:line="276" w:lineRule="auto"/>
        <w:ind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i/>
          <w:iCs/>
          <w:sz w:val="24"/>
          <w:szCs w:val="24"/>
        </w:rPr>
        <w:t xml:space="preserve">O </w:t>
      </w:r>
      <w:r w:rsidR="00C1045A" w:rsidRPr="003F4D72">
        <w:rPr>
          <w:rFonts w:asciiTheme="majorHAnsi" w:eastAsia="Times New Roman" w:hAnsiTheme="majorHAnsi" w:cstheme="majorHAnsi"/>
          <w:i/>
          <w:iCs/>
          <w:sz w:val="24"/>
          <w:szCs w:val="24"/>
        </w:rPr>
        <w:t>informație</w:t>
      </w:r>
      <w:r w:rsidRPr="003F4D72">
        <w:rPr>
          <w:rFonts w:asciiTheme="majorHAnsi" w:eastAsia="Times New Roman" w:hAnsiTheme="majorHAnsi" w:cstheme="majorHAnsi"/>
          <w:i/>
          <w:iCs/>
          <w:sz w:val="24"/>
          <w:szCs w:val="24"/>
        </w:rPr>
        <w:t xml:space="preserve"> mai detaliată privind </w:t>
      </w:r>
      <w:r w:rsidR="00197751" w:rsidRPr="003F4D72">
        <w:rPr>
          <w:rFonts w:asciiTheme="majorHAnsi" w:eastAsia="Times New Roman" w:hAnsiTheme="majorHAnsi" w:cstheme="majorHAnsi"/>
          <w:i/>
          <w:iCs/>
          <w:sz w:val="24"/>
          <w:szCs w:val="24"/>
        </w:rPr>
        <w:t>responsabilitățile</w:t>
      </w:r>
      <w:r w:rsidRPr="003F4D72">
        <w:rPr>
          <w:rFonts w:asciiTheme="majorHAnsi" w:eastAsia="Times New Roman" w:hAnsiTheme="majorHAnsi" w:cstheme="majorHAnsi"/>
          <w:i/>
          <w:iCs/>
          <w:sz w:val="24"/>
          <w:szCs w:val="24"/>
        </w:rPr>
        <w:t xml:space="preserve"> auditorului este prezentată pe pagina web a </w:t>
      </w:r>
      <w:r w:rsidR="00197751" w:rsidRPr="003F4D72">
        <w:rPr>
          <w:rFonts w:asciiTheme="majorHAnsi" w:eastAsia="Times New Roman" w:hAnsiTheme="majorHAnsi" w:cstheme="majorHAnsi"/>
          <w:i/>
          <w:iCs/>
          <w:sz w:val="24"/>
          <w:szCs w:val="24"/>
        </w:rPr>
        <w:t>Curții</w:t>
      </w:r>
      <w:r w:rsidRPr="003F4D72">
        <w:rPr>
          <w:rFonts w:asciiTheme="majorHAnsi" w:eastAsia="Times New Roman" w:hAnsiTheme="majorHAnsi" w:cstheme="majorHAnsi"/>
          <w:i/>
          <w:iCs/>
          <w:sz w:val="24"/>
          <w:szCs w:val="24"/>
        </w:rPr>
        <w:t xml:space="preserve"> de Conturi, la adresa: </w:t>
      </w:r>
      <w:hyperlink r:id="rId21" w:history="1">
        <w:r w:rsidRPr="003F4D72">
          <w:rPr>
            <w:rFonts w:asciiTheme="majorHAnsi" w:eastAsia="Times New Roman" w:hAnsiTheme="majorHAnsi" w:cstheme="majorHAnsi"/>
            <w:i/>
            <w:iCs/>
            <w:color w:val="0000FF"/>
            <w:sz w:val="24"/>
            <w:szCs w:val="24"/>
            <w:u w:val="single"/>
          </w:rPr>
          <w:t>http://www.ccrm.md/activitatea-curtii-de-conturi-1-25</w:t>
        </w:r>
      </w:hyperlink>
      <w:r w:rsidRPr="003F4D72">
        <w:rPr>
          <w:rFonts w:asciiTheme="majorHAnsi" w:eastAsia="Times New Roman" w:hAnsiTheme="majorHAnsi" w:cstheme="majorHAnsi"/>
          <w:i/>
          <w:iCs/>
          <w:sz w:val="24"/>
          <w:szCs w:val="24"/>
        </w:rPr>
        <w:t>.</w:t>
      </w:r>
      <w:r w:rsidRPr="003F4D72">
        <w:rPr>
          <w:rFonts w:asciiTheme="majorHAnsi" w:eastAsia="Times New Roman" w:hAnsiTheme="majorHAnsi" w:cstheme="majorHAnsi"/>
          <w:sz w:val="24"/>
          <w:szCs w:val="24"/>
        </w:rPr>
        <w:t xml:space="preserve"> </w:t>
      </w:r>
    </w:p>
    <w:p w14:paraId="2656E051" w14:textId="1FBD041F" w:rsidR="0017556C" w:rsidRPr="003F4D72" w:rsidRDefault="0017556C" w:rsidP="002F6325">
      <w:pPr>
        <w:spacing w:after="0" w:line="276" w:lineRule="auto"/>
        <w:jc w:val="both"/>
        <w:rPr>
          <w:rFonts w:asciiTheme="majorHAnsi" w:eastAsia="Times New Roman" w:hAnsiTheme="majorHAnsi" w:cstheme="majorHAnsi"/>
          <w:sz w:val="24"/>
          <w:szCs w:val="24"/>
        </w:rPr>
      </w:pPr>
    </w:p>
    <w:p w14:paraId="4DCD27E2" w14:textId="77777777" w:rsidR="00346F0F" w:rsidRPr="003F4D72" w:rsidRDefault="00346F0F" w:rsidP="00346F0F">
      <w:pPr>
        <w:pStyle w:val="Heading1"/>
        <w:spacing w:line="276" w:lineRule="auto"/>
        <w:rPr>
          <w:rFonts w:ascii="Calibri Light" w:hAnsi="Calibri Light" w:cs="Calibri Light"/>
          <w:b/>
          <w:color w:val="auto"/>
          <w:sz w:val="24"/>
          <w:szCs w:val="28"/>
        </w:rPr>
      </w:pPr>
      <w:bookmarkStart w:id="2" w:name="_Toc10021012"/>
      <w:r w:rsidRPr="003F4D72">
        <w:rPr>
          <w:rFonts w:ascii="Calibri Light" w:hAnsi="Calibri Light" w:cs="Calibri Light"/>
          <w:b/>
          <w:color w:val="auto"/>
          <w:sz w:val="24"/>
          <w:szCs w:val="28"/>
        </w:rPr>
        <w:t>SEMNĂTURA AUDITORULUI</w:t>
      </w:r>
      <w:bookmarkEnd w:id="2"/>
    </w:p>
    <w:tbl>
      <w:tblPr>
        <w:tblW w:w="9363" w:type="dxa"/>
        <w:tblLook w:val="04A0" w:firstRow="1" w:lastRow="0" w:firstColumn="1" w:lastColumn="0" w:noHBand="0" w:noVBand="1"/>
      </w:tblPr>
      <w:tblGrid>
        <w:gridCol w:w="6383"/>
        <w:gridCol w:w="2980"/>
      </w:tblGrid>
      <w:tr w:rsidR="00346F0F" w:rsidRPr="003F4D72" w14:paraId="2E71201C" w14:textId="77777777" w:rsidTr="00F4196A">
        <w:trPr>
          <w:trHeight w:val="284"/>
        </w:trPr>
        <w:tc>
          <w:tcPr>
            <w:tcW w:w="6383" w:type="dxa"/>
            <w:shd w:val="clear" w:color="auto" w:fill="auto"/>
          </w:tcPr>
          <w:p w14:paraId="527FE81C" w14:textId="77777777" w:rsidR="00346F0F" w:rsidRPr="003F4D72" w:rsidRDefault="0039065B" w:rsidP="00F4196A">
            <w:pPr>
              <w:spacing w:after="0" w:line="240" w:lineRule="auto"/>
              <w:jc w:val="both"/>
              <w:rPr>
                <w:rFonts w:ascii="Calibri Light" w:hAnsi="Calibri Light" w:cs="Calibri Light"/>
                <w:sz w:val="24"/>
                <w:szCs w:val="28"/>
              </w:rPr>
            </w:pPr>
            <w:r w:rsidRPr="003F4D72">
              <w:rPr>
                <w:rFonts w:ascii="Calibri Light" w:hAnsi="Calibri Light" w:cs="Calibri Light"/>
                <w:sz w:val="24"/>
                <w:szCs w:val="28"/>
              </w:rPr>
              <w:t>Echipa de audit:</w:t>
            </w:r>
          </w:p>
          <w:p w14:paraId="0FF8604D" w14:textId="77777777" w:rsidR="00346F0F" w:rsidRPr="003F4D72" w:rsidRDefault="00346F0F" w:rsidP="00F4196A">
            <w:pPr>
              <w:spacing w:after="0" w:line="240" w:lineRule="auto"/>
              <w:jc w:val="both"/>
              <w:rPr>
                <w:rFonts w:ascii="Calibri Light" w:hAnsi="Calibri Light" w:cs="Calibri Light"/>
                <w:b/>
                <w:sz w:val="24"/>
                <w:szCs w:val="28"/>
              </w:rPr>
            </w:pPr>
            <w:r w:rsidRPr="003F4D72">
              <w:rPr>
                <w:rFonts w:ascii="Calibri Light" w:hAnsi="Calibri Light" w:cs="Calibri Light"/>
                <w:b/>
                <w:sz w:val="24"/>
                <w:szCs w:val="28"/>
              </w:rPr>
              <w:t xml:space="preserve">Auditor public principal, șef al echipei de audit </w:t>
            </w:r>
          </w:p>
          <w:p w14:paraId="4693338D" w14:textId="77777777" w:rsidR="00346F0F" w:rsidRPr="003F4D72" w:rsidRDefault="00346F0F" w:rsidP="00F4196A">
            <w:pPr>
              <w:spacing w:after="0" w:line="240" w:lineRule="auto"/>
              <w:jc w:val="both"/>
              <w:rPr>
                <w:rFonts w:ascii="Calibri Light" w:hAnsi="Calibri Light" w:cs="Calibri Light"/>
                <w:b/>
                <w:sz w:val="24"/>
                <w:szCs w:val="28"/>
              </w:rPr>
            </w:pPr>
            <w:r w:rsidRPr="003F4D72">
              <w:rPr>
                <w:rFonts w:ascii="Calibri Light" w:hAnsi="Calibri Light" w:cs="Calibri Light"/>
                <w:b/>
                <w:sz w:val="24"/>
                <w:szCs w:val="28"/>
              </w:rPr>
              <w:t>Auditor public superior,</w:t>
            </w:r>
          </w:p>
          <w:p w14:paraId="182D904D" w14:textId="77777777" w:rsidR="00346F0F" w:rsidRPr="003F4D72" w:rsidRDefault="00346F0F" w:rsidP="00F4196A">
            <w:pPr>
              <w:spacing w:after="0" w:line="240" w:lineRule="auto"/>
              <w:jc w:val="both"/>
              <w:rPr>
                <w:rFonts w:ascii="Calibri Light" w:hAnsi="Calibri Light" w:cs="Calibri Light"/>
                <w:b/>
                <w:sz w:val="24"/>
                <w:szCs w:val="28"/>
              </w:rPr>
            </w:pPr>
            <w:r w:rsidRPr="003F4D72">
              <w:rPr>
                <w:rFonts w:ascii="Calibri Light" w:hAnsi="Calibri Light" w:cs="Calibri Light"/>
                <w:b/>
                <w:sz w:val="24"/>
                <w:szCs w:val="28"/>
              </w:rPr>
              <w:t>Auditor public superior,</w:t>
            </w:r>
          </w:p>
          <w:p w14:paraId="270598EA" w14:textId="77777777" w:rsidR="00346F0F" w:rsidRPr="003F4D72" w:rsidRDefault="00346F0F" w:rsidP="00F4196A">
            <w:pPr>
              <w:spacing w:after="0" w:line="240" w:lineRule="auto"/>
              <w:jc w:val="both"/>
              <w:rPr>
                <w:rFonts w:ascii="Calibri Light" w:hAnsi="Calibri Light" w:cs="Calibri Light"/>
                <w:sz w:val="24"/>
                <w:szCs w:val="28"/>
              </w:rPr>
            </w:pPr>
          </w:p>
        </w:tc>
        <w:tc>
          <w:tcPr>
            <w:tcW w:w="2980" w:type="dxa"/>
            <w:shd w:val="clear" w:color="auto" w:fill="auto"/>
          </w:tcPr>
          <w:p w14:paraId="1CC812AA" w14:textId="77777777" w:rsidR="00346F0F" w:rsidRPr="003F4D72" w:rsidRDefault="00346F0F" w:rsidP="00346F0F">
            <w:pPr>
              <w:spacing w:after="0" w:line="240" w:lineRule="auto"/>
              <w:rPr>
                <w:rFonts w:ascii="Calibri Light" w:hAnsi="Calibri Light" w:cs="Calibri Light"/>
                <w:sz w:val="24"/>
                <w:szCs w:val="28"/>
              </w:rPr>
            </w:pPr>
          </w:p>
          <w:p w14:paraId="4280CC70" w14:textId="01E45131" w:rsidR="00346F0F" w:rsidRPr="003F4D72" w:rsidRDefault="000D7B2C" w:rsidP="00346F0F">
            <w:pPr>
              <w:spacing w:after="0" w:line="240" w:lineRule="auto"/>
              <w:rPr>
                <w:rFonts w:ascii="Calibri Light" w:hAnsi="Calibri Light" w:cs="Calibri Light"/>
                <w:sz w:val="24"/>
                <w:szCs w:val="28"/>
              </w:rPr>
            </w:pPr>
            <w:r>
              <w:rPr>
                <w:rFonts w:ascii="Calibri Light" w:hAnsi="Calibri Light" w:cs="Calibri Light"/>
                <w:sz w:val="24"/>
                <w:szCs w:val="28"/>
              </w:rPr>
              <w:t xml:space="preserve">                   </w:t>
            </w:r>
            <w:r w:rsidR="00346F0F" w:rsidRPr="003F4D72">
              <w:rPr>
                <w:rFonts w:ascii="Calibri Light" w:hAnsi="Calibri Light" w:cs="Calibri Light"/>
                <w:sz w:val="24"/>
                <w:szCs w:val="28"/>
              </w:rPr>
              <w:t>Vitalie Cornovanu</w:t>
            </w:r>
          </w:p>
          <w:p w14:paraId="622FC5DE" w14:textId="77777777" w:rsidR="00346F0F" w:rsidRPr="003F4D72" w:rsidRDefault="00346F0F" w:rsidP="00F4196A">
            <w:pPr>
              <w:spacing w:after="0" w:line="240" w:lineRule="auto"/>
              <w:jc w:val="right"/>
              <w:rPr>
                <w:rFonts w:ascii="Calibri Light" w:hAnsi="Calibri Light" w:cs="Calibri Light"/>
                <w:sz w:val="24"/>
                <w:szCs w:val="28"/>
              </w:rPr>
            </w:pPr>
            <w:r w:rsidRPr="003F4D72">
              <w:rPr>
                <w:rFonts w:ascii="Calibri Light" w:hAnsi="Calibri Light" w:cs="Calibri Light"/>
                <w:sz w:val="24"/>
                <w:szCs w:val="28"/>
              </w:rPr>
              <w:t>Evghenii Grosu</w:t>
            </w:r>
          </w:p>
          <w:p w14:paraId="5DC6C60A" w14:textId="77777777" w:rsidR="00346F0F" w:rsidRPr="003F4D72" w:rsidRDefault="00346F0F" w:rsidP="00F4196A">
            <w:pPr>
              <w:spacing w:after="0" w:line="240" w:lineRule="auto"/>
              <w:jc w:val="right"/>
              <w:rPr>
                <w:rFonts w:ascii="Calibri Light" w:hAnsi="Calibri Light" w:cs="Calibri Light"/>
                <w:sz w:val="24"/>
                <w:szCs w:val="28"/>
              </w:rPr>
            </w:pPr>
            <w:r w:rsidRPr="003F4D72">
              <w:rPr>
                <w:rFonts w:ascii="Calibri Light" w:hAnsi="Calibri Light" w:cs="Calibri Light"/>
                <w:sz w:val="24"/>
                <w:szCs w:val="28"/>
              </w:rPr>
              <w:t>Cristina Bîrca</w:t>
            </w:r>
          </w:p>
          <w:p w14:paraId="2DA85928" w14:textId="77777777" w:rsidR="00346F0F" w:rsidRPr="003F4D72" w:rsidRDefault="00346F0F" w:rsidP="00346F0F">
            <w:pPr>
              <w:spacing w:after="0" w:line="240" w:lineRule="auto"/>
              <w:jc w:val="right"/>
              <w:rPr>
                <w:rFonts w:ascii="Calibri Light" w:hAnsi="Calibri Light" w:cs="Calibri Light"/>
                <w:sz w:val="24"/>
                <w:szCs w:val="28"/>
              </w:rPr>
            </w:pPr>
          </w:p>
        </w:tc>
      </w:tr>
    </w:tbl>
    <w:p w14:paraId="44E99E13" w14:textId="77777777" w:rsidR="00346F0F" w:rsidRPr="003F4D72" w:rsidRDefault="00346F0F" w:rsidP="0039065B">
      <w:pPr>
        <w:spacing w:after="0" w:line="240" w:lineRule="auto"/>
        <w:rPr>
          <w:rFonts w:ascii="Calibri Light" w:hAnsi="Calibri Light" w:cs="Calibri Light"/>
          <w:b/>
          <w:sz w:val="24"/>
          <w:szCs w:val="28"/>
        </w:rPr>
      </w:pPr>
    </w:p>
    <w:p w14:paraId="516218D1" w14:textId="77777777" w:rsidR="0039065B" w:rsidRPr="003F4D72" w:rsidRDefault="0039065B" w:rsidP="0039065B">
      <w:pPr>
        <w:spacing w:after="0" w:line="276" w:lineRule="auto"/>
        <w:ind w:left="-426" w:firstLine="567"/>
        <w:jc w:val="both"/>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t>Responsabil de organizare și monitorizarea auditului:</w:t>
      </w:r>
    </w:p>
    <w:p w14:paraId="3B5EE291" w14:textId="77777777" w:rsidR="0039065B" w:rsidRPr="003F4D72" w:rsidRDefault="0039065B" w:rsidP="0039065B">
      <w:pPr>
        <w:spacing w:after="0" w:line="276" w:lineRule="auto"/>
        <w:ind w:left="-426"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b/>
          <w:sz w:val="24"/>
          <w:szCs w:val="24"/>
        </w:rPr>
        <w:t>Sofia Ciuvalschi</w:t>
      </w:r>
      <w:r w:rsidRPr="003F4D72">
        <w:rPr>
          <w:rFonts w:asciiTheme="majorHAnsi" w:eastAsia="Times New Roman" w:hAnsiTheme="majorHAnsi" w:cstheme="majorHAnsi"/>
          <w:sz w:val="24"/>
          <w:szCs w:val="24"/>
        </w:rPr>
        <w:t>, șeful Direcției generale de audit II</w:t>
      </w:r>
    </w:p>
    <w:p w14:paraId="4226A9F2" w14:textId="77777777" w:rsidR="0039065B" w:rsidRPr="003F4D72" w:rsidRDefault="0039065B" w:rsidP="0039065B">
      <w:pPr>
        <w:spacing w:after="0" w:line="276" w:lineRule="auto"/>
        <w:ind w:left="-426" w:firstLine="567"/>
        <w:jc w:val="both"/>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t>Responsabil de asigurarea și controlul calității auditului:</w:t>
      </w:r>
    </w:p>
    <w:p w14:paraId="60527783" w14:textId="20F767F6" w:rsidR="00DF6811" w:rsidRPr="003F4D72" w:rsidRDefault="0039065B" w:rsidP="00640ED5">
      <w:pPr>
        <w:spacing w:after="0" w:line="276" w:lineRule="auto"/>
        <w:ind w:left="-426" w:firstLine="567"/>
        <w:jc w:val="both"/>
        <w:rPr>
          <w:rFonts w:asciiTheme="majorHAnsi" w:eastAsia="Times New Roman" w:hAnsiTheme="majorHAnsi" w:cstheme="majorHAnsi"/>
          <w:sz w:val="24"/>
          <w:szCs w:val="24"/>
        </w:rPr>
      </w:pPr>
      <w:r w:rsidRPr="003F4D72">
        <w:rPr>
          <w:rFonts w:asciiTheme="majorHAnsi" w:eastAsia="Times New Roman" w:hAnsiTheme="majorHAnsi" w:cstheme="majorHAnsi"/>
          <w:b/>
          <w:sz w:val="24"/>
          <w:szCs w:val="24"/>
        </w:rPr>
        <w:t>Irina Pîntea</w:t>
      </w:r>
      <w:r w:rsidRPr="003F4D72">
        <w:rPr>
          <w:rFonts w:asciiTheme="majorHAnsi" w:eastAsia="Times New Roman" w:hAnsiTheme="majorHAnsi" w:cstheme="majorHAnsi"/>
          <w:sz w:val="24"/>
          <w:szCs w:val="24"/>
        </w:rPr>
        <w:t xml:space="preserve">, șef al Direcției de audit III </w:t>
      </w:r>
      <w:r w:rsidR="00AF2B07" w:rsidRPr="003F4D72">
        <w:rPr>
          <w:rFonts w:asciiTheme="majorHAnsi" w:eastAsia="Times New Roman" w:hAnsiTheme="majorHAnsi" w:cstheme="majorHAnsi"/>
          <w:sz w:val="24"/>
          <w:szCs w:val="24"/>
        </w:rPr>
        <w:t>î</w:t>
      </w:r>
      <w:r w:rsidRPr="003F4D72">
        <w:rPr>
          <w:rFonts w:asciiTheme="majorHAnsi" w:eastAsia="Times New Roman" w:hAnsiTheme="majorHAnsi" w:cstheme="majorHAnsi"/>
          <w:sz w:val="24"/>
          <w:szCs w:val="24"/>
        </w:rPr>
        <w:t>n cadrul Direcției generale de audit II</w:t>
      </w:r>
    </w:p>
    <w:p w14:paraId="53A3B6BC" w14:textId="78FE2A57" w:rsidR="00863E65" w:rsidRPr="003F4D72" w:rsidRDefault="00863E65" w:rsidP="00A243DE">
      <w:pPr>
        <w:spacing w:after="0" w:line="276" w:lineRule="auto"/>
        <w:jc w:val="both"/>
        <w:rPr>
          <w:rFonts w:asciiTheme="majorHAnsi" w:eastAsia="Times New Roman" w:hAnsiTheme="majorHAnsi" w:cstheme="majorHAnsi"/>
          <w:sz w:val="24"/>
          <w:szCs w:val="24"/>
        </w:rPr>
      </w:pPr>
    </w:p>
    <w:p w14:paraId="49AB413E" w14:textId="16C24E8D" w:rsidR="002F6325" w:rsidRPr="003F4D72" w:rsidRDefault="002F6325" w:rsidP="00A243DE">
      <w:pPr>
        <w:spacing w:after="0" w:line="276" w:lineRule="auto"/>
        <w:jc w:val="both"/>
        <w:rPr>
          <w:rFonts w:asciiTheme="majorHAnsi" w:eastAsia="Times New Roman" w:hAnsiTheme="majorHAnsi" w:cstheme="majorHAnsi"/>
          <w:sz w:val="24"/>
          <w:szCs w:val="24"/>
        </w:rPr>
      </w:pPr>
    </w:p>
    <w:p w14:paraId="374C2EAC" w14:textId="454D3C24" w:rsidR="00B27338" w:rsidRPr="003F4D72" w:rsidRDefault="00B27338" w:rsidP="00A243DE">
      <w:pPr>
        <w:spacing w:after="0" w:line="276" w:lineRule="auto"/>
        <w:jc w:val="both"/>
        <w:rPr>
          <w:rFonts w:asciiTheme="majorHAnsi" w:eastAsia="Times New Roman" w:hAnsiTheme="majorHAnsi" w:cstheme="majorHAnsi"/>
          <w:sz w:val="24"/>
          <w:szCs w:val="24"/>
        </w:rPr>
      </w:pPr>
    </w:p>
    <w:p w14:paraId="3F090752" w14:textId="1626DA9B" w:rsidR="00B27338" w:rsidRPr="003F4D72" w:rsidRDefault="00B27338" w:rsidP="00A243DE">
      <w:pPr>
        <w:spacing w:after="0" w:line="276" w:lineRule="auto"/>
        <w:jc w:val="both"/>
        <w:rPr>
          <w:rFonts w:asciiTheme="majorHAnsi" w:eastAsia="Times New Roman" w:hAnsiTheme="majorHAnsi" w:cstheme="majorHAnsi"/>
          <w:sz w:val="24"/>
          <w:szCs w:val="24"/>
        </w:rPr>
      </w:pPr>
    </w:p>
    <w:p w14:paraId="6B9D25ED" w14:textId="7686708B" w:rsidR="00B27338" w:rsidRPr="003F4D72" w:rsidRDefault="00B27338" w:rsidP="00A243DE">
      <w:pPr>
        <w:spacing w:after="0" w:line="276" w:lineRule="auto"/>
        <w:jc w:val="both"/>
        <w:rPr>
          <w:rFonts w:asciiTheme="majorHAnsi" w:eastAsia="Times New Roman" w:hAnsiTheme="majorHAnsi" w:cstheme="majorHAnsi"/>
          <w:sz w:val="24"/>
          <w:szCs w:val="24"/>
        </w:rPr>
      </w:pPr>
    </w:p>
    <w:p w14:paraId="1E987591" w14:textId="5E3ED927" w:rsidR="00B27338" w:rsidRPr="003F4D72" w:rsidRDefault="00B27338" w:rsidP="00A243DE">
      <w:pPr>
        <w:spacing w:after="0" w:line="276" w:lineRule="auto"/>
        <w:jc w:val="both"/>
        <w:rPr>
          <w:rFonts w:asciiTheme="majorHAnsi" w:eastAsia="Times New Roman" w:hAnsiTheme="majorHAnsi" w:cstheme="majorHAnsi"/>
          <w:sz w:val="24"/>
          <w:szCs w:val="24"/>
        </w:rPr>
      </w:pPr>
    </w:p>
    <w:p w14:paraId="2C1DA162" w14:textId="0F819800" w:rsidR="00B27338" w:rsidRPr="003F4D72" w:rsidRDefault="00B27338" w:rsidP="00A243DE">
      <w:pPr>
        <w:spacing w:after="0" w:line="276" w:lineRule="auto"/>
        <w:jc w:val="both"/>
        <w:rPr>
          <w:rFonts w:asciiTheme="majorHAnsi" w:eastAsia="Times New Roman" w:hAnsiTheme="majorHAnsi" w:cstheme="majorHAnsi"/>
          <w:sz w:val="24"/>
          <w:szCs w:val="24"/>
        </w:rPr>
      </w:pPr>
    </w:p>
    <w:p w14:paraId="79B0F2D1" w14:textId="49D7BD13" w:rsidR="00B27338" w:rsidRPr="003F4D72" w:rsidRDefault="00B27338" w:rsidP="00A243DE">
      <w:pPr>
        <w:spacing w:after="0" w:line="276" w:lineRule="auto"/>
        <w:jc w:val="both"/>
        <w:rPr>
          <w:rFonts w:asciiTheme="majorHAnsi" w:eastAsia="Times New Roman" w:hAnsiTheme="majorHAnsi" w:cstheme="majorHAnsi"/>
          <w:sz w:val="24"/>
          <w:szCs w:val="24"/>
        </w:rPr>
      </w:pPr>
    </w:p>
    <w:p w14:paraId="747D6D46" w14:textId="52659770" w:rsidR="00B27338" w:rsidRPr="003F4D72" w:rsidRDefault="00B27338" w:rsidP="00A243DE">
      <w:pPr>
        <w:spacing w:after="0" w:line="276" w:lineRule="auto"/>
        <w:jc w:val="both"/>
        <w:rPr>
          <w:rFonts w:asciiTheme="majorHAnsi" w:eastAsia="Times New Roman" w:hAnsiTheme="majorHAnsi" w:cstheme="majorHAnsi"/>
          <w:sz w:val="24"/>
          <w:szCs w:val="24"/>
        </w:rPr>
      </w:pPr>
    </w:p>
    <w:p w14:paraId="1E6F807D" w14:textId="2ABC4746" w:rsidR="00B27338" w:rsidRPr="003F4D72" w:rsidRDefault="00B27338" w:rsidP="00A243DE">
      <w:pPr>
        <w:spacing w:after="0" w:line="276" w:lineRule="auto"/>
        <w:jc w:val="both"/>
        <w:rPr>
          <w:rFonts w:asciiTheme="majorHAnsi" w:eastAsia="Times New Roman" w:hAnsiTheme="majorHAnsi" w:cstheme="majorHAnsi"/>
          <w:sz w:val="24"/>
          <w:szCs w:val="24"/>
        </w:rPr>
      </w:pPr>
    </w:p>
    <w:p w14:paraId="14070E31" w14:textId="2CA4B91D" w:rsidR="00B27338" w:rsidRPr="003F4D72" w:rsidRDefault="00B27338" w:rsidP="00A243DE">
      <w:pPr>
        <w:spacing w:after="0" w:line="276" w:lineRule="auto"/>
        <w:jc w:val="both"/>
        <w:rPr>
          <w:rFonts w:asciiTheme="majorHAnsi" w:eastAsia="Times New Roman" w:hAnsiTheme="majorHAnsi" w:cstheme="majorHAnsi"/>
          <w:sz w:val="24"/>
          <w:szCs w:val="24"/>
        </w:rPr>
      </w:pPr>
    </w:p>
    <w:p w14:paraId="465E576A" w14:textId="28185C07" w:rsidR="00B27338" w:rsidRPr="003F4D72" w:rsidRDefault="00B27338" w:rsidP="00A243DE">
      <w:pPr>
        <w:spacing w:after="0" w:line="276" w:lineRule="auto"/>
        <w:jc w:val="both"/>
        <w:rPr>
          <w:rFonts w:asciiTheme="majorHAnsi" w:eastAsia="Times New Roman" w:hAnsiTheme="majorHAnsi" w:cstheme="majorHAnsi"/>
          <w:sz w:val="24"/>
          <w:szCs w:val="24"/>
        </w:rPr>
      </w:pPr>
    </w:p>
    <w:p w14:paraId="498F48B7" w14:textId="45F7B533" w:rsidR="00B27338" w:rsidRPr="003F4D72" w:rsidRDefault="00B27338" w:rsidP="00A243DE">
      <w:pPr>
        <w:spacing w:after="0" w:line="276" w:lineRule="auto"/>
        <w:jc w:val="both"/>
        <w:rPr>
          <w:rFonts w:asciiTheme="majorHAnsi" w:eastAsia="Times New Roman" w:hAnsiTheme="majorHAnsi" w:cstheme="majorHAnsi"/>
          <w:sz w:val="24"/>
          <w:szCs w:val="24"/>
        </w:rPr>
      </w:pPr>
    </w:p>
    <w:p w14:paraId="4AEF413D" w14:textId="65A64558" w:rsidR="00B27338" w:rsidRPr="003F4D72" w:rsidRDefault="00B27338" w:rsidP="00A243DE">
      <w:pPr>
        <w:spacing w:after="0" w:line="276" w:lineRule="auto"/>
        <w:jc w:val="both"/>
        <w:rPr>
          <w:rFonts w:asciiTheme="majorHAnsi" w:eastAsia="Times New Roman" w:hAnsiTheme="majorHAnsi" w:cstheme="majorHAnsi"/>
          <w:sz w:val="24"/>
          <w:szCs w:val="24"/>
        </w:rPr>
      </w:pPr>
    </w:p>
    <w:p w14:paraId="36BF1F3B" w14:textId="7E2673CC" w:rsidR="00B27338" w:rsidRPr="003F4D72" w:rsidRDefault="00B27338" w:rsidP="00A243DE">
      <w:pPr>
        <w:spacing w:after="0" w:line="276" w:lineRule="auto"/>
        <w:jc w:val="both"/>
        <w:rPr>
          <w:rFonts w:asciiTheme="majorHAnsi" w:eastAsia="Times New Roman" w:hAnsiTheme="majorHAnsi" w:cstheme="majorHAnsi"/>
          <w:sz w:val="24"/>
          <w:szCs w:val="24"/>
        </w:rPr>
      </w:pPr>
    </w:p>
    <w:p w14:paraId="24354A1A" w14:textId="3B721194" w:rsidR="00B27338" w:rsidRPr="003F4D72" w:rsidRDefault="00B27338" w:rsidP="00A243DE">
      <w:pPr>
        <w:spacing w:after="0" w:line="276" w:lineRule="auto"/>
        <w:jc w:val="both"/>
        <w:rPr>
          <w:rFonts w:asciiTheme="majorHAnsi" w:eastAsia="Times New Roman" w:hAnsiTheme="majorHAnsi" w:cstheme="majorHAnsi"/>
          <w:sz w:val="24"/>
          <w:szCs w:val="24"/>
        </w:rPr>
      </w:pPr>
    </w:p>
    <w:p w14:paraId="221936C8" w14:textId="5DDE790D" w:rsidR="00B27338" w:rsidRPr="003F4D72" w:rsidRDefault="00B27338" w:rsidP="00A243DE">
      <w:pPr>
        <w:spacing w:after="0" w:line="276" w:lineRule="auto"/>
        <w:jc w:val="both"/>
        <w:rPr>
          <w:rFonts w:asciiTheme="majorHAnsi" w:eastAsia="Times New Roman" w:hAnsiTheme="majorHAnsi" w:cstheme="majorHAnsi"/>
          <w:sz w:val="24"/>
          <w:szCs w:val="24"/>
        </w:rPr>
      </w:pPr>
    </w:p>
    <w:p w14:paraId="3AD6D4BE" w14:textId="5AF66A88" w:rsidR="00B27338" w:rsidRPr="003F4D72" w:rsidRDefault="00B27338" w:rsidP="00A243DE">
      <w:pPr>
        <w:spacing w:after="0" w:line="276" w:lineRule="auto"/>
        <w:jc w:val="both"/>
        <w:rPr>
          <w:rFonts w:asciiTheme="majorHAnsi" w:eastAsia="Times New Roman" w:hAnsiTheme="majorHAnsi" w:cstheme="majorHAnsi"/>
          <w:sz w:val="24"/>
          <w:szCs w:val="24"/>
        </w:rPr>
      </w:pPr>
    </w:p>
    <w:p w14:paraId="3A61CC3B" w14:textId="5A8043AA" w:rsidR="00B27338" w:rsidRPr="003F4D72" w:rsidRDefault="00B27338" w:rsidP="00A243DE">
      <w:pPr>
        <w:spacing w:after="0" w:line="276" w:lineRule="auto"/>
        <w:jc w:val="both"/>
        <w:rPr>
          <w:rFonts w:asciiTheme="majorHAnsi" w:eastAsia="Times New Roman" w:hAnsiTheme="majorHAnsi" w:cstheme="majorHAnsi"/>
          <w:sz w:val="24"/>
          <w:szCs w:val="24"/>
        </w:rPr>
      </w:pPr>
    </w:p>
    <w:p w14:paraId="05B0C294" w14:textId="05BF1198" w:rsidR="00B27338" w:rsidRPr="003F4D72" w:rsidRDefault="00B27338" w:rsidP="00A243DE">
      <w:pPr>
        <w:spacing w:after="0" w:line="276" w:lineRule="auto"/>
        <w:jc w:val="both"/>
        <w:rPr>
          <w:rFonts w:asciiTheme="majorHAnsi" w:eastAsia="Times New Roman" w:hAnsiTheme="majorHAnsi" w:cstheme="majorHAnsi"/>
          <w:sz w:val="24"/>
          <w:szCs w:val="24"/>
        </w:rPr>
      </w:pPr>
    </w:p>
    <w:p w14:paraId="0E12A06E" w14:textId="75B3669E" w:rsidR="00B27338" w:rsidRPr="003F4D72" w:rsidRDefault="00B27338" w:rsidP="00A243DE">
      <w:pPr>
        <w:spacing w:after="0" w:line="276" w:lineRule="auto"/>
        <w:jc w:val="both"/>
        <w:rPr>
          <w:rFonts w:asciiTheme="majorHAnsi" w:eastAsia="Times New Roman" w:hAnsiTheme="majorHAnsi" w:cstheme="majorHAnsi"/>
          <w:sz w:val="24"/>
          <w:szCs w:val="24"/>
        </w:rPr>
      </w:pPr>
    </w:p>
    <w:p w14:paraId="7E74BC32" w14:textId="5260817C" w:rsidR="00B27338" w:rsidRPr="003F4D72" w:rsidRDefault="00B27338" w:rsidP="00A243DE">
      <w:pPr>
        <w:spacing w:after="0" w:line="276" w:lineRule="auto"/>
        <w:jc w:val="both"/>
        <w:rPr>
          <w:rFonts w:asciiTheme="majorHAnsi" w:eastAsia="Times New Roman" w:hAnsiTheme="majorHAnsi" w:cstheme="majorHAnsi"/>
          <w:sz w:val="24"/>
          <w:szCs w:val="24"/>
        </w:rPr>
      </w:pPr>
    </w:p>
    <w:p w14:paraId="5B544BBC" w14:textId="6F96E33C" w:rsidR="00B27338" w:rsidRDefault="00B27338" w:rsidP="00A243DE">
      <w:pPr>
        <w:spacing w:after="0" w:line="276" w:lineRule="auto"/>
        <w:jc w:val="both"/>
        <w:rPr>
          <w:rFonts w:asciiTheme="majorHAnsi" w:eastAsia="Times New Roman" w:hAnsiTheme="majorHAnsi" w:cstheme="majorHAnsi"/>
          <w:sz w:val="24"/>
          <w:szCs w:val="24"/>
        </w:rPr>
      </w:pPr>
    </w:p>
    <w:p w14:paraId="0A9870A8" w14:textId="41B723DF" w:rsidR="00217FC2" w:rsidRDefault="00217FC2" w:rsidP="00A243DE">
      <w:pPr>
        <w:spacing w:after="0" w:line="276" w:lineRule="auto"/>
        <w:jc w:val="both"/>
        <w:rPr>
          <w:rFonts w:asciiTheme="majorHAnsi" w:eastAsia="Times New Roman" w:hAnsiTheme="majorHAnsi" w:cstheme="majorHAnsi"/>
          <w:sz w:val="24"/>
          <w:szCs w:val="24"/>
        </w:rPr>
      </w:pPr>
    </w:p>
    <w:p w14:paraId="29E7F4A9" w14:textId="77777777" w:rsidR="00217FC2" w:rsidRPr="003F4D72" w:rsidRDefault="00217FC2" w:rsidP="00A243DE">
      <w:pPr>
        <w:spacing w:after="0" w:line="276" w:lineRule="auto"/>
        <w:jc w:val="both"/>
        <w:rPr>
          <w:rFonts w:asciiTheme="majorHAnsi" w:eastAsia="Times New Roman" w:hAnsiTheme="majorHAnsi" w:cstheme="majorHAnsi"/>
          <w:sz w:val="24"/>
          <w:szCs w:val="24"/>
        </w:rPr>
      </w:pPr>
    </w:p>
    <w:p w14:paraId="53EAB31E" w14:textId="6C9F7554" w:rsidR="00B27338" w:rsidRPr="003F4D72" w:rsidRDefault="00B27338" w:rsidP="00A243DE">
      <w:pPr>
        <w:spacing w:after="0" w:line="276" w:lineRule="auto"/>
        <w:jc w:val="both"/>
        <w:rPr>
          <w:rFonts w:asciiTheme="majorHAnsi" w:eastAsia="Times New Roman" w:hAnsiTheme="majorHAnsi" w:cstheme="majorHAnsi"/>
          <w:sz w:val="24"/>
          <w:szCs w:val="24"/>
        </w:rPr>
      </w:pPr>
    </w:p>
    <w:p w14:paraId="5488D690" w14:textId="4991AE38" w:rsidR="00980BC4" w:rsidRPr="003F4D72" w:rsidRDefault="00980BC4" w:rsidP="00802642">
      <w:pPr>
        <w:spacing w:after="0" w:line="276" w:lineRule="auto"/>
        <w:jc w:val="right"/>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lastRenderedPageBreak/>
        <w:t>Anexa nr.1</w:t>
      </w:r>
    </w:p>
    <w:p w14:paraId="649151F3" w14:textId="3DB352C8" w:rsidR="007E34E4" w:rsidRPr="003F4D72" w:rsidRDefault="00FA3E6A" w:rsidP="003F4D72">
      <w:pPr>
        <w:spacing w:after="0" w:line="276" w:lineRule="auto"/>
        <w:jc w:val="center"/>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t>Valoarea primei procentuale calculate și suma datoriilor/restanțelor formate la finele perioadei de gestiune 31.12.2020,</w:t>
      </w:r>
      <w:r w:rsidR="007E34E4" w:rsidRPr="003F4D72">
        <w:rPr>
          <w:rFonts w:asciiTheme="majorHAnsi" w:eastAsia="Times New Roman" w:hAnsiTheme="majorHAnsi" w:cstheme="majorHAnsi"/>
          <w:b/>
          <w:sz w:val="24"/>
          <w:szCs w:val="24"/>
        </w:rPr>
        <w:t xml:space="preserve"> </w:t>
      </w:r>
      <w:r w:rsidRPr="003F4D72">
        <w:rPr>
          <w:rFonts w:asciiTheme="majorHAnsi" w:eastAsia="Times New Roman" w:hAnsiTheme="majorHAnsi" w:cstheme="majorHAnsi"/>
          <w:b/>
          <w:sz w:val="24"/>
          <w:szCs w:val="24"/>
        </w:rPr>
        <w:t>mii lei</w:t>
      </w:r>
    </w:p>
    <w:p w14:paraId="209C26C2" w14:textId="77777777" w:rsidR="00980BC4" w:rsidRPr="003F4D72" w:rsidRDefault="00980BC4" w:rsidP="00A243DE">
      <w:pPr>
        <w:spacing w:after="0" w:line="276" w:lineRule="auto"/>
        <w:jc w:val="both"/>
        <w:rPr>
          <w:rFonts w:asciiTheme="majorHAnsi" w:eastAsia="Times New Roman" w:hAnsiTheme="majorHAnsi" w:cstheme="majorHAnsi"/>
          <w:sz w:val="24"/>
          <w:szCs w:val="24"/>
        </w:rPr>
      </w:pPr>
    </w:p>
    <w:tbl>
      <w:tblPr>
        <w:tblStyle w:val="GridTable1Light"/>
        <w:tblW w:w="5000" w:type="pct"/>
        <w:tblLook w:val="04A0" w:firstRow="1" w:lastRow="0" w:firstColumn="1" w:lastColumn="0" w:noHBand="0" w:noVBand="1"/>
      </w:tblPr>
      <w:tblGrid>
        <w:gridCol w:w="2829"/>
        <w:gridCol w:w="1844"/>
        <w:gridCol w:w="1485"/>
        <w:gridCol w:w="1782"/>
        <w:gridCol w:w="1410"/>
      </w:tblGrid>
      <w:tr w:rsidR="00980BC4" w:rsidRPr="003F4D72" w14:paraId="6E7CF2E1" w14:textId="77777777" w:rsidTr="003452E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99" w:type="pct"/>
            <w:gridSpan w:val="2"/>
          </w:tcPr>
          <w:p w14:paraId="2187AF27" w14:textId="77777777" w:rsidR="00980BC4" w:rsidRPr="003F4D72" w:rsidRDefault="00980BC4" w:rsidP="00CB7074">
            <w:pPr>
              <w:spacing w:line="276" w:lineRule="auto"/>
              <w:contextualSpacing/>
              <w:jc w:val="center"/>
              <w:rPr>
                <w:rFonts w:asciiTheme="majorHAnsi" w:hAnsiTheme="majorHAnsi" w:cstheme="majorHAnsi"/>
                <w:noProof/>
                <w:color w:val="000000" w:themeColor="text1"/>
                <w:sz w:val="20"/>
                <w:szCs w:val="18"/>
              </w:rPr>
            </w:pPr>
            <w:r w:rsidRPr="003F4D72">
              <w:rPr>
                <w:rFonts w:asciiTheme="majorHAnsi" w:hAnsiTheme="majorHAnsi" w:cstheme="majorHAnsi"/>
                <w:noProof/>
                <w:color w:val="000000" w:themeColor="text1"/>
                <w:sz w:val="20"/>
                <w:szCs w:val="18"/>
              </w:rPr>
              <w:t>Indicatori</w:t>
            </w:r>
          </w:p>
        </w:tc>
        <w:tc>
          <w:tcPr>
            <w:tcW w:w="794" w:type="pct"/>
          </w:tcPr>
          <w:p w14:paraId="6D573A5D" w14:textId="77777777" w:rsidR="00980BC4" w:rsidRPr="003F4D72" w:rsidRDefault="00980BC4" w:rsidP="00CB70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color w:val="000000" w:themeColor="text1"/>
                <w:sz w:val="20"/>
                <w:szCs w:val="18"/>
              </w:rPr>
            </w:pPr>
            <w:r w:rsidRPr="003F4D72">
              <w:rPr>
                <w:rFonts w:asciiTheme="majorHAnsi" w:hAnsiTheme="majorHAnsi" w:cstheme="majorHAnsi"/>
                <w:noProof/>
                <w:color w:val="000000" w:themeColor="text1"/>
                <w:sz w:val="20"/>
                <w:szCs w:val="18"/>
              </w:rPr>
              <w:t>Restanța la 31.12.2019</w:t>
            </w:r>
          </w:p>
          <w:p w14:paraId="466701C3" w14:textId="77777777" w:rsidR="00980BC4" w:rsidRPr="003F4D72" w:rsidRDefault="00980BC4" w:rsidP="00CB70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color w:val="000000" w:themeColor="text1"/>
                <w:sz w:val="20"/>
                <w:szCs w:val="18"/>
              </w:rPr>
            </w:pPr>
          </w:p>
        </w:tc>
        <w:tc>
          <w:tcPr>
            <w:tcW w:w="953" w:type="pct"/>
          </w:tcPr>
          <w:p w14:paraId="78BB78F8" w14:textId="77777777" w:rsidR="00980BC4" w:rsidRPr="003F4D72" w:rsidRDefault="00980BC4" w:rsidP="00CB70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color w:val="000000" w:themeColor="text1"/>
                <w:sz w:val="20"/>
                <w:szCs w:val="18"/>
              </w:rPr>
            </w:pPr>
            <w:r w:rsidRPr="003F4D72">
              <w:rPr>
                <w:rFonts w:asciiTheme="majorHAnsi" w:hAnsiTheme="majorHAnsi" w:cstheme="majorHAnsi"/>
                <w:noProof/>
                <w:color w:val="000000" w:themeColor="text1"/>
                <w:sz w:val="20"/>
                <w:szCs w:val="18"/>
              </w:rPr>
              <w:t>Sumele calculate în perioada 01.01.2020-31.12.2020</w:t>
            </w:r>
          </w:p>
        </w:tc>
        <w:tc>
          <w:tcPr>
            <w:tcW w:w="754" w:type="pct"/>
          </w:tcPr>
          <w:p w14:paraId="4B1CA7D9" w14:textId="77777777" w:rsidR="00980BC4" w:rsidRPr="003F4D72" w:rsidRDefault="00980BC4" w:rsidP="00CB70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color w:val="000000" w:themeColor="text1"/>
                <w:sz w:val="20"/>
                <w:szCs w:val="18"/>
              </w:rPr>
            </w:pPr>
            <w:r w:rsidRPr="003F4D72">
              <w:rPr>
                <w:rFonts w:asciiTheme="majorHAnsi" w:hAnsiTheme="majorHAnsi" w:cstheme="majorHAnsi"/>
                <w:noProof/>
                <w:color w:val="000000" w:themeColor="text1"/>
                <w:sz w:val="20"/>
                <w:szCs w:val="18"/>
              </w:rPr>
              <w:t>Restanța la 31.12.2020</w:t>
            </w:r>
          </w:p>
          <w:p w14:paraId="255FFD16" w14:textId="77777777" w:rsidR="00980BC4" w:rsidRPr="003F4D72" w:rsidRDefault="00980BC4" w:rsidP="00CB707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color w:val="000000" w:themeColor="text1"/>
                <w:sz w:val="20"/>
                <w:szCs w:val="18"/>
              </w:rPr>
            </w:pPr>
          </w:p>
        </w:tc>
      </w:tr>
      <w:tr w:rsidR="00980BC4" w:rsidRPr="003F4D72" w14:paraId="342468CE" w14:textId="77777777" w:rsidTr="00CB7074">
        <w:trPr>
          <w:trHeight w:val="305"/>
        </w:trPr>
        <w:tc>
          <w:tcPr>
            <w:cnfStyle w:val="001000000000" w:firstRow="0" w:lastRow="0" w:firstColumn="1" w:lastColumn="0" w:oddVBand="0" w:evenVBand="0" w:oddHBand="0" w:evenHBand="0" w:firstRowFirstColumn="0" w:firstRowLastColumn="0" w:lastRowFirstColumn="0" w:lastRowLastColumn="0"/>
            <w:tcW w:w="1513" w:type="pct"/>
            <w:vMerge w:val="restart"/>
          </w:tcPr>
          <w:p w14:paraId="4A7EA34A" w14:textId="77777777" w:rsidR="00980BC4" w:rsidRPr="003F4D72" w:rsidRDefault="00980BC4" w:rsidP="00CB7074">
            <w:pPr>
              <w:spacing w:line="276" w:lineRule="auto"/>
              <w:contextualSpacing/>
              <w:jc w:val="both"/>
              <w:rPr>
                <w:rFonts w:asciiTheme="majorHAnsi" w:hAnsiTheme="majorHAnsi" w:cstheme="majorHAnsi"/>
                <w:noProof/>
                <w:sz w:val="20"/>
                <w:szCs w:val="18"/>
              </w:rPr>
            </w:pPr>
            <w:r w:rsidRPr="003F4D72">
              <w:rPr>
                <w:rFonts w:asciiTheme="majorHAnsi" w:hAnsiTheme="majorHAnsi" w:cstheme="majorHAnsi"/>
                <w:noProof/>
                <w:sz w:val="20"/>
                <w:szCs w:val="18"/>
              </w:rPr>
              <w:t>Prime de asigurare obligatorie medicală în formă de contribuție procentuală din salariu și alte recompense, achitate de angajatori și angajați</w:t>
            </w:r>
          </w:p>
        </w:tc>
        <w:tc>
          <w:tcPr>
            <w:tcW w:w="986" w:type="pct"/>
          </w:tcPr>
          <w:p w14:paraId="774B29F7" w14:textId="77777777" w:rsidR="00980BC4" w:rsidRPr="003F4D72" w:rsidRDefault="00980BC4" w:rsidP="00CB7074">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 xml:space="preserve">Plăți de bază </w:t>
            </w:r>
          </w:p>
        </w:tc>
        <w:tc>
          <w:tcPr>
            <w:tcW w:w="794" w:type="pct"/>
          </w:tcPr>
          <w:p w14:paraId="1995F200"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38 728,0</w:t>
            </w:r>
          </w:p>
        </w:tc>
        <w:tc>
          <w:tcPr>
            <w:tcW w:w="953" w:type="pct"/>
          </w:tcPr>
          <w:p w14:paraId="2871BAD9"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4 783 991,4</w:t>
            </w:r>
          </w:p>
        </w:tc>
        <w:tc>
          <w:tcPr>
            <w:tcW w:w="754" w:type="pct"/>
          </w:tcPr>
          <w:p w14:paraId="2E19F04C"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67 243,5</w:t>
            </w:r>
          </w:p>
        </w:tc>
      </w:tr>
      <w:tr w:rsidR="00980BC4" w:rsidRPr="003F4D72" w14:paraId="1153EF2E" w14:textId="77777777" w:rsidTr="00CB7074">
        <w:tc>
          <w:tcPr>
            <w:cnfStyle w:val="001000000000" w:firstRow="0" w:lastRow="0" w:firstColumn="1" w:lastColumn="0" w:oddVBand="0" w:evenVBand="0" w:oddHBand="0" w:evenHBand="0" w:firstRowFirstColumn="0" w:firstRowLastColumn="0" w:lastRowFirstColumn="0" w:lastRowLastColumn="0"/>
            <w:tcW w:w="1513" w:type="pct"/>
            <w:vMerge/>
          </w:tcPr>
          <w:p w14:paraId="73D56E77" w14:textId="77777777" w:rsidR="00980BC4" w:rsidRPr="003F4D72" w:rsidRDefault="00980BC4" w:rsidP="00CB7074">
            <w:pPr>
              <w:spacing w:line="276" w:lineRule="auto"/>
              <w:contextualSpacing/>
              <w:jc w:val="both"/>
              <w:rPr>
                <w:rFonts w:asciiTheme="majorHAnsi" w:hAnsiTheme="majorHAnsi" w:cstheme="majorHAnsi"/>
                <w:noProof/>
                <w:sz w:val="20"/>
                <w:szCs w:val="18"/>
              </w:rPr>
            </w:pPr>
          </w:p>
        </w:tc>
        <w:tc>
          <w:tcPr>
            <w:tcW w:w="986" w:type="pct"/>
          </w:tcPr>
          <w:p w14:paraId="5DFBBDF2" w14:textId="77777777" w:rsidR="00980BC4" w:rsidRPr="003F4D72" w:rsidRDefault="00980BC4" w:rsidP="00CB7074">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 xml:space="preserve">Majorare de întârziere </w:t>
            </w:r>
          </w:p>
        </w:tc>
        <w:tc>
          <w:tcPr>
            <w:tcW w:w="794" w:type="pct"/>
          </w:tcPr>
          <w:p w14:paraId="1DB2CA5A"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27 204,5</w:t>
            </w:r>
          </w:p>
        </w:tc>
        <w:tc>
          <w:tcPr>
            <w:tcW w:w="953" w:type="pct"/>
          </w:tcPr>
          <w:p w14:paraId="6F09A593"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26 115,0</w:t>
            </w:r>
          </w:p>
        </w:tc>
        <w:tc>
          <w:tcPr>
            <w:tcW w:w="754" w:type="pct"/>
          </w:tcPr>
          <w:p w14:paraId="6021F229"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40 346,4</w:t>
            </w:r>
          </w:p>
        </w:tc>
      </w:tr>
      <w:tr w:rsidR="00980BC4" w:rsidRPr="003F4D72" w14:paraId="1CC4EFC3" w14:textId="77777777" w:rsidTr="00CB7074">
        <w:tc>
          <w:tcPr>
            <w:cnfStyle w:val="001000000000" w:firstRow="0" w:lastRow="0" w:firstColumn="1" w:lastColumn="0" w:oddVBand="0" w:evenVBand="0" w:oddHBand="0" w:evenHBand="0" w:firstRowFirstColumn="0" w:firstRowLastColumn="0" w:lastRowFirstColumn="0" w:lastRowLastColumn="0"/>
            <w:tcW w:w="1513" w:type="pct"/>
            <w:vMerge w:val="restart"/>
          </w:tcPr>
          <w:p w14:paraId="5C0B7AD8" w14:textId="77777777" w:rsidR="00980BC4" w:rsidRPr="003F4D72" w:rsidRDefault="00980BC4" w:rsidP="00CB7074">
            <w:pPr>
              <w:spacing w:line="276" w:lineRule="auto"/>
              <w:contextualSpacing/>
              <w:jc w:val="both"/>
              <w:rPr>
                <w:rFonts w:asciiTheme="majorHAnsi" w:hAnsiTheme="majorHAnsi" w:cstheme="majorHAnsi"/>
                <w:noProof/>
                <w:sz w:val="20"/>
                <w:szCs w:val="18"/>
              </w:rPr>
            </w:pPr>
            <w:r w:rsidRPr="003F4D72">
              <w:rPr>
                <w:rFonts w:asciiTheme="majorHAnsi" w:hAnsiTheme="majorHAnsi" w:cstheme="majorHAnsi"/>
                <w:noProof/>
                <w:sz w:val="20"/>
                <w:szCs w:val="18"/>
              </w:rPr>
              <w:t>Impozit unic perceput de la rezidenții parcurilor pentru tehnologia informației</w:t>
            </w:r>
          </w:p>
        </w:tc>
        <w:tc>
          <w:tcPr>
            <w:tcW w:w="986" w:type="pct"/>
          </w:tcPr>
          <w:p w14:paraId="3F74A715" w14:textId="77777777" w:rsidR="00980BC4" w:rsidRPr="003F4D72" w:rsidRDefault="00980BC4" w:rsidP="00CB7074">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 xml:space="preserve">Plăți de bază </w:t>
            </w:r>
          </w:p>
        </w:tc>
        <w:tc>
          <w:tcPr>
            <w:tcW w:w="794" w:type="pct"/>
          </w:tcPr>
          <w:p w14:paraId="793A98B5"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118,3</w:t>
            </w:r>
          </w:p>
        </w:tc>
        <w:tc>
          <w:tcPr>
            <w:tcW w:w="953" w:type="pct"/>
          </w:tcPr>
          <w:p w14:paraId="58014DEA"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58 758,8</w:t>
            </w:r>
          </w:p>
        </w:tc>
        <w:tc>
          <w:tcPr>
            <w:tcW w:w="754" w:type="pct"/>
          </w:tcPr>
          <w:p w14:paraId="4516F515"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224,8</w:t>
            </w:r>
          </w:p>
        </w:tc>
      </w:tr>
      <w:tr w:rsidR="00980BC4" w:rsidRPr="003F4D72" w14:paraId="34C719BA" w14:textId="77777777" w:rsidTr="00CB7074">
        <w:tc>
          <w:tcPr>
            <w:cnfStyle w:val="001000000000" w:firstRow="0" w:lastRow="0" w:firstColumn="1" w:lastColumn="0" w:oddVBand="0" w:evenVBand="0" w:oddHBand="0" w:evenHBand="0" w:firstRowFirstColumn="0" w:firstRowLastColumn="0" w:lastRowFirstColumn="0" w:lastRowLastColumn="0"/>
            <w:tcW w:w="1513" w:type="pct"/>
            <w:vMerge/>
          </w:tcPr>
          <w:p w14:paraId="4A2ECA1B" w14:textId="77777777" w:rsidR="00980BC4" w:rsidRPr="003F4D72" w:rsidRDefault="00980BC4" w:rsidP="00CB7074">
            <w:pPr>
              <w:spacing w:line="276" w:lineRule="auto"/>
              <w:contextualSpacing/>
              <w:rPr>
                <w:rFonts w:asciiTheme="majorHAnsi" w:hAnsiTheme="majorHAnsi" w:cstheme="majorHAnsi"/>
                <w:noProof/>
                <w:sz w:val="20"/>
                <w:szCs w:val="18"/>
              </w:rPr>
            </w:pPr>
          </w:p>
        </w:tc>
        <w:tc>
          <w:tcPr>
            <w:tcW w:w="986" w:type="pct"/>
          </w:tcPr>
          <w:p w14:paraId="000C457B" w14:textId="77777777" w:rsidR="00980BC4" w:rsidRPr="003F4D72" w:rsidRDefault="00980BC4" w:rsidP="00CB7074">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 xml:space="preserve">Majorare de întârziere </w:t>
            </w:r>
          </w:p>
        </w:tc>
        <w:tc>
          <w:tcPr>
            <w:tcW w:w="794" w:type="pct"/>
          </w:tcPr>
          <w:p w14:paraId="71D220B9"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9,2</w:t>
            </w:r>
          </w:p>
        </w:tc>
        <w:tc>
          <w:tcPr>
            <w:tcW w:w="953" w:type="pct"/>
          </w:tcPr>
          <w:p w14:paraId="253E5D62"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115,9</w:t>
            </w:r>
          </w:p>
        </w:tc>
        <w:tc>
          <w:tcPr>
            <w:tcW w:w="754" w:type="pct"/>
          </w:tcPr>
          <w:p w14:paraId="649149BF"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35,2</w:t>
            </w:r>
          </w:p>
        </w:tc>
      </w:tr>
      <w:tr w:rsidR="00980BC4" w:rsidRPr="003F4D72" w14:paraId="2C4DD35D" w14:textId="77777777" w:rsidTr="00CB7074">
        <w:tc>
          <w:tcPr>
            <w:cnfStyle w:val="001000000000" w:firstRow="0" w:lastRow="0" w:firstColumn="1" w:lastColumn="0" w:oddVBand="0" w:evenVBand="0" w:oddHBand="0" w:evenHBand="0" w:firstRowFirstColumn="0" w:firstRowLastColumn="0" w:lastRowFirstColumn="0" w:lastRowLastColumn="0"/>
            <w:tcW w:w="2499" w:type="pct"/>
            <w:gridSpan w:val="2"/>
          </w:tcPr>
          <w:p w14:paraId="5532B947" w14:textId="77777777" w:rsidR="00980BC4" w:rsidRPr="003F4D72" w:rsidRDefault="00980BC4" w:rsidP="00CB7074">
            <w:pPr>
              <w:spacing w:line="276" w:lineRule="auto"/>
              <w:contextualSpacing/>
              <w:rPr>
                <w:rFonts w:asciiTheme="majorHAnsi" w:hAnsiTheme="majorHAnsi" w:cstheme="majorHAnsi"/>
                <w:noProof/>
                <w:sz w:val="20"/>
                <w:szCs w:val="18"/>
              </w:rPr>
            </w:pPr>
            <w:r w:rsidRPr="003F4D72">
              <w:rPr>
                <w:rFonts w:asciiTheme="majorHAnsi" w:hAnsiTheme="majorHAnsi" w:cstheme="majorHAnsi"/>
                <w:noProof/>
                <w:sz w:val="20"/>
                <w:szCs w:val="18"/>
              </w:rPr>
              <w:t xml:space="preserve">Amenzi </w:t>
            </w:r>
          </w:p>
        </w:tc>
        <w:tc>
          <w:tcPr>
            <w:tcW w:w="794" w:type="pct"/>
          </w:tcPr>
          <w:p w14:paraId="15FAC84A"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2 804,1</w:t>
            </w:r>
          </w:p>
        </w:tc>
        <w:tc>
          <w:tcPr>
            <w:tcW w:w="953" w:type="pct"/>
          </w:tcPr>
          <w:p w14:paraId="50E27D26"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214,9</w:t>
            </w:r>
          </w:p>
        </w:tc>
        <w:tc>
          <w:tcPr>
            <w:tcW w:w="754" w:type="pct"/>
          </w:tcPr>
          <w:p w14:paraId="1BE7F279"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0"/>
                <w:szCs w:val="18"/>
              </w:rPr>
            </w:pPr>
            <w:r w:rsidRPr="003F4D72">
              <w:rPr>
                <w:rFonts w:asciiTheme="majorHAnsi" w:hAnsiTheme="majorHAnsi" w:cstheme="majorHAnsi"/>
                <w:noProof/>
                <w:sz w:val="20"/>
                <w:szCs w:val="18"/>
              </w:rPr>
              <w:t>4 360,4</w:t>
            </w:r>
          </w:p>
        </w:tc>
      </w:tr>
      <w:tr w:rsidR="00980BC4" w:rsidRPr="003F4D72" w14:paraId="009F37E2" w14:textId="77777777" w:rsidTr="00CB7074">
        <w:trPr>
          <w:trHeight w:val="292"/>
        </w:trPr>
        <w:tc>
          <w:tcPr>
            <w:cnfStyle w:val="001000000000" w:firstRow="0" w:lastRow="0" w:firstColumn="1" w:lastColumn="0" w:oddVBand="0" w:evenVBand="0" w:oddHBand="0" w:evenHBand="0" w:firstRowFirstColumn="0" w:firstRowLastColumn="0" w:lastRowFirstColumn="0" w:lastRowLastColumn="0"/>
            <w:tcW w:w="2499" w:type="pct"/>
            <w:gridSpan w:val="2"/>
          </w:tcPr>
          <w:p w14:paraId="40B27498" w14:textId="77777777" w:rsidR="00980BC4" w:rsidRPr="003F4D72" w:rsidRDefault="00980BC4" w:rsidP="00CB7074">
            <w:pPr>
              <w:spacing w:line="276" w:lineRule="auto"/>
              <w:contextualSpacing/>
              <w:jc w:val="center"/>
              <w:rPr>
                <w:rFonts w:asciiTheme="majorHAnsi" w:hAnsiTheme="majorHAnsi" w:cstheme="majorHAnsi"/>
                <w:noProof/>
                <w:sz w:val="20"/>
                <w:szCs w:val="18"/>
              </w:rPr>
            </w:pPr>
            <w:r w:rsidRPr="003F4D72">
              <w:rPr>
                <w:rFonts w:asciiTheme="majorHAnsi" w:hAnsiTheme="majorHAnsi" w:cstheme="majorHAnsi"/>
                <w:noProof/>
                <w:sz w:val="20"/>
                <w:szCs w:val="18"/>
              </w:rPr>
              <w:t>Total:</w:t>
            </w:r>
          </w:p>
        </w:tc>
        <w:tc>
          <w:tcPr>
            <w:tcW w:w="794" w:type="pct"/>
          </w:tcPr>
          <w:p w14:paraId="192FD4F2" w14:textId="77777777" w:rsidR="00980BC4" w:rsidRPr="003F4D72" w:rsidRDefault="00B737B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noProof/>
                <w:sz w:val="20"/>
                <w:szCs w:val="18"/>
              </w:rPr>
            </w:pPr>
            <w:r w:rsidRPr="003F4D72">
              <w:rPr>
                <w:rFonts w:asciiTheme="majorHAnsi" w:hAnsiTheme="majorHAnsi" w:cstheme="majorHAnsi"/>
                <w:b/>
                <w:noProof/>
                <w:sz w:val="20"/>
                <w:szCs w:val="18"/>
              </w:rPr>
              <w:t>6</w:t>
            </w:r>
            <w:r w:rsidR="00980BC4" w:rsidRPr="003F4D72">
              <w:rPr>
                <w:rFonts w:asciiTheme="majorHAnsi" w:hAnsiTheme="majorHAnsi" w:cstheme="majorHAnsi"/>
                <w:b/>
                <w:noProof/>
                <w:sz w:val="20"/>
                <w:szCs w:val="18"/>
              </w:rPr>
              <w:t>8 864,2</w:t>
            </w:r>
          </w:p>
        </w:tc>
        <w:tc>
          <w:tcPr>
            <w:tcW w:w="953" w:type="pct"/>
          </w:tcPr>
          <w:p w14:paraId="5B0906B4"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noProof/>
                <w:sz w:val="20"/>
                <w:szCs w:val="18"/>
              </w:rPr>
            </w:pPr>
            <w:r w:rsidRPr="003F4D72">
              <w:rPr>
                <w:rFonts w:asciiTheme="majorHAnsi" w:hAnsiTheme="majorHAnsi" w:cstheme="majorHAnsi"/>
                <w:b/>
                <w:noProof/>
                <w:sz w:val="20"/>
                <w:szCs w:val="18"/>
              </w:rPr>
              <w:t>4 869 196,0</w:t>
            </w:r>
          </w:p>
        </w:tc>
        <w:tc>
          <w:tcPr>
            <w:tcW w:w="754" w:type="pct"/>
          </w:tcPr>
          <w:p w14:paraId="0453097A" w14:textId="77777777" w:rsidR="00980BC4" w:rsidRPr="003F4D72" w:rsidRDefault="00980BC4" w:rsidP="00CB7074">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noProof/>
                <w:sz w:val="20"/>
                <w:szCs w:val="18"/>
              </w:rPr>
            </w:pPr>
            <w:r w:rsidRPr="003F4D72">
              <w:rPr>
                <w:rFonts w:asciiTheme="majorHAnsi" w:hAnsiTheme="majorHAnsi" w:cstheme="majorHAnsi"/>
                <w:b/>
                <w:noProof/>
                <w:sz w:val="20"/>
                <w:szCs w:val="18"/>
              </w:rPr>
              <w:t>112 210,4</w:t>
            </w:r>
          </w:p>
        </w:tc>
      </w:tr>
    </w:tbl>
    <w:p w14:paraId="772F932B" w14:textId="4B3F4AC1" w:rsidR="00980BC4" w:rsidRPr="003F4D72" w:rsidRDefault="00980BC4" w:rsidP="00980BC4">
      <w:pPr>
        <w:tabs>
          <w:tab w:val="left" w:pos="1134"/>
        </w:tabs>
        <w:spacing w:after="0" w:line="276" w:lineRule="auto"/>
        <w:jc w:val="both"/>
        <w:rPr>
          <w:rFonts w:asciiTheme="majorHAnsi" w:eastAsia="Times New Roman" w:hAnsiTheme="majorHAnsi" w:cstheme="majorHAnsi"/>
          <w:i/>
          <w:noProof/>
          <w:sz w:val="20"/>
          <w:szCs w:val="20"/>
          <w:lang w:eastAsia="ru-RU"/>
        </w:rPr>
      </w:pPr>
      <w:r w:rsidRPr="003F4D72">
        <w:rPr>
          <w:rFonts w:asciiTheme="majorHAnsi" w:eastAsia="Times New Roman" w:hAnsiTheme="majorHAnsi" w:cstheme="majorHAnsi"/>
          <w:b/>
          <w:i/>
          <w:noProof/>
          <w:sz w:val="20"/>
          <w:szCs w:val="20"/>
          <w:lang w:eastAsia="ru-RU"/>
        </w:rPr>
        <w:t>Sursa:</w:t>
      </w:r>
      <w:r w:rsidRPr="003F4D72">
        <w:rPr>
          <w:rFonts w:asciiTheme="majorHAnsi" w:eastAsia="Times New Roman" w:hAnsiTheme="majorHAnsi" w:cstheme="majorHAnsi"/>
          <w:i/>
          <w:noProof/>
          <w:sz w:val="20"/>
          <w:szCs w:val="20"/>
          <w:lang w:eastAsia="ru-RU"/>
        </w:rPr>
        <w:t xml:space="preserve"> Informația prezentată de SFS</w:t>
      </w:r>
      <w:r w:rsidR="007E34E4" w:rsidRPr="003F4D72">
        <w:rPr>
          <w:rFonts w:asciiTheme="majorHAnsi" w:eastAsia="Times New Roman" w:hAnsiTheme="majorHAnsi" w:cstheme="majorHAnsi"/>
          <w:i/>
          <w:noProof/>
          <w:sz w:val="20"/>
          <w:szCs w:val="20"/>
          <w:lang w:eastAsia="ru-RU"/>
        </w:rPr>
        <w:t>.</w:t>
      </w:r>
    </w:p>
    <w:p w14:paraId="772DD00E" w14:textId="77777777" w:rsidR="00980BC4" w:rsidRPr="003F4D72" w:rsidRDefault="00980BC4" w:rsidP="00A243DE">
      <w:pPr>
        <w:spacing w:after="0" w:line="276" w:lineRule="auto"/>
        <w:jc w:val="both"/>
        <w:rPr>
          <w:rFonts w:asciiTheme="majorHAnsi" w:eastAsia="Times New Roman" w:hAnsiTheme="majorHAnsi" w:cstheme="majorHAnsi"/>
          <w:sz w:val="24"/>
          <w:szCs w:val="24"/>
        </w:rPr>
      </w:pPr>
    </w:p>
    <w:p w14:paraId="3393A2FF" w14:textId="77777777" w:rsidR="00C1045A" w:rsidRPr="003F4D72" w:rsidRDefault="00C1045A" w:rsidP="00C82FEC">
      <w:pPr>
        <w:spacing w:after="0"/>
        <w:jc w:val="both"/>
        <w:rPr>
          <w:rFonts w:asciiTheme="majorHAnsi" w:hAnsiTheme="majorHAnsi" w:cstheme="majorHAnsi"/>
          <w:b/>
          <w:sz w:val="24"/>
          <w:szCs w:val="24"/>
        </w:rPr>
      </w:pPr>
    </w:p>
    <w:p w14:paraId="345927FD" w14:textId="77777777" w:rsidR="00217FC2" w:rsidRDefault="00217FC2">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41E0D87E" w14:textId="0BDCE566" w:rsidR="00802642" w:rsidRPr="003F4D72" w:rsidRDefault="00802642" w:rsidP="00802642">
      <w:pPr>
        <w:spacing w:after="0" w:line="276" w:lineRule="auto"/>
        <w:jc w:val="right"/>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lastRenderedPageBreak/>
        <w:t>Anexa nr.2</w:t>
      </w:r>
    </w:p>
    <w:p w14:paraId="24BB7D21" w14:textId="4A5E54F3" w:rsidR="007E34E4" w:rsidRPr="003F4D72" w:rsidRDefault="007E34E4" w:rsidP="00802642">
      <w:pPr>
        <w:spacing w:after="0" w:line="276" w:lineRule="auto"/>
        <w:jc w:val="right"/>
        <w:rPr>
          <w:rFonts w:asciiTheme="majorHAnsi" w:eastAsia="Times New Roman" w:hAnsiTheme="majorHAnsi" w:cstheme="majorHAnsi"/>
          <w:b/>
          <w:sz w:val="24"/>
          <w:szCs w:val="24"/>
        </w:rPr>
      </w:pPr>
    </w:p>
    <w:p w14:paraId="1FEDD29C" w14:textId="2441619C" w:rsidR="007E34E4" w:rsidRPr="003F4D72" w:rsidRDefault="00FA3E6A" w:rsidP="003F4D72">
      <w:pPr>
        <w:spacing w:after="0" w:line="276" w:lineRule="auto"/>
        <w:jc w:val="center"/>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t>Evoluția executării fondurilor asigurării obligatorii de asistență medicală în perioada 2018-2020</w:t>
      </w:r>
    </w:p>
    <w:tbl>
      <w:tblPr>
        <w:tblStyle w:val="GridTable1Light"/>
        <w:tblW w:w="5000" w:type="pct"/>
        <w:tblLook w:val="04A0" w:firstRow="1" w:lastRow="0" w:firstColumn="1" w:lastColumn="0" w:noHBand="0" w:noVBand="1"/>
      </w:tblPr>
      <w:tblGrid>
        <w:gridCol w:w="4137"/>
        <w:gridCol w:w="1203"/>
        <w:gridCol w:w="1337"/>
        <w:gridCol w:w="1335"/>
        <w:gridCol w:w="1331"/>
        <w:gridCol w:w="7"/>
      </w:tblGrid>
      <w:tr w:rsidR="00A220EE" w:rsidRPr="003F4D72" w14:paraId="2CC0E9BE" w14:textId="77777777" w:rsidTr="0080264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12" w:type="pct"/>
            <w:vMerge w:val="restart"/>
            <w:noWrap/>
            <w:hideMark/>
          </w:tcPr>
          <w:p w14:paraId="69DE3B07" w14:textId="77777777" w:rsidR="00A220EE" w:rsidRPr="003F4D72" w:rsidRDefault="00A220EE" w:rsidP="00CB7074">
            <w:pPr>
              <w:jc w:val="cente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Indicatori</w:t>
            </w:r>
          </w:p>
        </w:tc>
        <w:tc>
          <w:tcPr>
            <w:tcW w:w="643" w:type="pct"/>
            <w:vMerge w:val="restart"/>
          </w:tcPr>
          <w:p w14:paraId="0D8B72E8" w14:textId="77777777" w:rsidR="00A220EE" w:rsidRPr="003F4D72" w:rsidRDefault="00A220EE" w:rsidP="00CB707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Unitatea de măsură</w:t>
            </w:r>
          </w:p>
        </w:tc>
        <w:tc>
          <w:tcPr>
            <w:tcW w:w="2145" w:type="pct"/>
            <w:gridSpan w:val="4"/>
            <w:noWrap/>
            <w:hideMark/>
          </w:tcPr>
          <w:p w14:paraId="39C3EF52" w14:textId="77777777" w:rsidR="00A220EE" w:rsidRPr="003F4D72" w:rsidRDefault="00A220EE" w:rsidP="00CB707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Executat</w:t>
            </w:r>
          </w:p>
        </w:tc>
      </w:tr>
      <w:tr w:rsidR="00A220EE" w:rsidRPr="003F4D72" w14:paraId="00548D80"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vMerge/>
            <w:hideMark/>
          </w:tcPr>
          <w:p w14:paraId="7FD3E667" w14:textId="77777777" w:rsidR="00A220EE" w:rsidRPr="003F4D72" w:rsidRDefault="00A220EE" w:rsidP="00CB7074">
            <w:pPr>
              <w:jc w:val="center"/>
              <w:rPr>
                <w:rFonts w:asciiTheme="majorHAnsi" w:eastAsia="Times New Roman" w:hAnsiTheme="majorHAnsi" w:cstheme="majorHAnsi"/>
                <w:b w:val="0"/>
                <w:bCs w:val="0"/>
                <w:color w:val="000000"/>
                <w:sz w:val="20"/>
                <w:szCs w:val="20"/>
              </w:rPr>
            </w:pPr>
          </w:p>
        </w:tc>
        <w:tc>
          <w:tcPr>
            <w:tcW w:w="643" w:type="pct"/>
            <w:vMerge/>
          </w:tcPr>
          <w:p w14:paraId="7F3AE91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p>
        </w:tc>
        <w:tc>
          <w:tcPr>
            <w:tcW w:w="715" w:type="pct"/>
          </w:tcPr>
          <w:p w14:paraId="120CF1F2"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2018</w:t>
            </w:r>
          </w:p>
        </w:tc>
        <w:tc>
          <w:tcPr>
            <w:tcW w:w="714" w:type="pct"/>
            <w:noWrap/>
            <w:hideMark/>
          </w:tcPr>
          <w:p w14:paraId="15AA9B9F"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2019</w:t>
            </w:r>
          </w:p>
        </w:tc>
        <w:tc>
          <w:tcPr>
            <w:tcW w:w="712" w:type="pct"/>
          </w:tcPr>
          <w:p w14:paraId="4D20D9E9"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2020</w:t>
            </w:r>
          </w:p>
        </w:tc>
      </w:tr>
      <w:tr w:rsidR="00A220EE" w:rsidRPr="003F4D72" w14:paraId="0A7AD394"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hideMark/>
          </w:tcPr>
          <w:p w14:paraId="46C51069" w14:textId="77777777" w:rsidR="00A220EE" w:rsidRPr="003F4D72" w:rsidRDefault="00A220EE" w:rsidP="00CB7074">
            <w:pP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Venituri</w:t>
            </w:r>
          </w:p>
        </w:tc>
        <w:tc>
          <w:tcPr>
            <w:tcW w:w="643" w:type="pct"/>
          </w:tcPr>
          <w:p w14:paraId="11136CBB"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color w:val="000000"/>
                <w:sz w:val="20"/>
                <w:szCs w:val="20"/>
              </w:rPr>
            </w:pPr>
            <w:r w:rsidRPr="003F4D72">
              <w:rPr>
                <w:rFonts w:asciiTheme="majorHAnsi" w:eastAsia="Times New Roman" w:hAnsiTheme="majorHAnsi" w:cstheme="majorHAnsi"/>
                <w:b/>
                <w:i/>
                <w:color w:val="000000"/>
                <w:sz w:val="20"/>
                <w:szCs w:val="20"/>
              </w:rPr>
              <w:t>mil. lei</w:t>
            </w:r>
          </w:p>
        </w:tc>
        <w:tc>
          <w:tcPr>
            <w:tcW w:w="715" w:type="pct"/>
          </w:tcPr>
          <w:p w14:paraId="313F08F8"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6877,4</w:t>
            </w:r>
          </w:p>
        </w:tc>
        <w:tc>
          <w:tcPr>
            <w:tcW w:w="714" w:type="pct"/>
            <w:noWrap/>
            <w:hideMark/>
          </w:tcPr>
          <w:p w14:paraId="5A47CD10"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7636,3</w:t>
            </w:r>
          </w:p>
        </w:tc>
        <w:tc>
          <w:tcPr>
            <w:tcW w:w="712" w:type="pct"/>
          </w:tcPr>
          <w:p w14:paraId="0F92B6C8"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8542,5</w:t>
            </w:r>
          </w:p>
        </w:tc>
      </w:tr>
      <w:tr w:rsidR="00A220EE" w:rsidRPr="003F4D72" w14:paraId="0279CCD0"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25137BBB"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Devieri +/- față de anul precedent</w:t>
            </w:r>
          </w:p>
        </w:tc>
        <w:tc>
          <w:tcPr>
            <w:tcW w:w="643" w:type="pct"/>
          </w:tcPr>
          <w:p w14:paraId="777E79CA"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mil. lei</w:t>
            </w:r>
          </w:p>
        </w:tc>
        <w:tc>
          <w:tcPr>
            <w:tcW w:w="715" w:type="pct"/>
          </w:tcPr>
          <w:p w14:paraId="4A1337D0"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620,8</w:t>
            </w:r>
          </w:p>
        </w:tc>
        <w:tc>
          <w:tcPr>
            <w:tcW w:w="714" w:type="pct"/>
            <w:noWrap/>
          </w:tcPr>
          <w:p w14:paraId="5E510319"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758,9</w:t>
            </w:r>
          </w:p>
        </w:tc>
        <w:tc>
          <w:tcPr>
            <w:tcW w:w="712" w:type="pct"/>
          </w:tcPr>
          <w:p w14:paraId="64F0BC6F"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906,2</w:t>
            </w:r>
          </w:p>
        </w:tc>
      </w:tr>
      <w:tr w:rsidR="00A220EE" w:rsidRPr="003F4D72" w14:paraId="15B66C2D"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15B2FCEA"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Ponderea în BPN</w:t>
            </w:r>
          </w:p>
        </w:tc>
        <w:tc>
          <w:tcPr>
            <w:tcW w:w="643" w:type="pct"/>
          </w:tcPr>
          <w:p w14:paraId="0E9D5D14"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w:t>
            </w:r>
          </w:p>
        </w:tc>
        <w:tc>
          <w:tcPr>
            <w:tcW w:w="715" w:type="pct"/>
          </w:tcPr>
          <w:p w14:paraId="460877FF"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11,9</w:t>
            </w:r>
          </w:p>
        </w:tc>
        <w:tc>
          <w:tcPr>
            <w:tcW w:w="714" w:type="pct"/>
            <w:noWrap/>
          </w:tcPr>
          <w:p w14:paraId="4DF04029"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12,1</w:t>
            </w:r>
          </w:p>
        </w:tc>
        <w:tc>
          <w:tcPr>
            <w:tcW w:w="712" w:type="pct"/>
          </w:tcPr>
          <w:p w14:paraId="14DA4C8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13,6</w:t>
            </w:r>
          </w:p>
        </w:tc>
      </w:tr>
      <w:tr w:rsidR="00A220EE" w:rsidRPr="003F4D72" w14:paraId="5677A0AD"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1260B65E"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Ponderea în PIB</w:t>
            </w:r>
          </w:p>
        </w:tc>
        <w:tc>
          <w:tcPr>
            <w:tcW w:w="643" w:type="pct"/>
          </w:tcPr>
          <w:p w14:paraId="2340FA95"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w:t>
            </w:r>
          </w:p>
        </w:tc>
        <w:tc>
          <w:tcPr>
            <w:tcW w:w="715" w:type="pct"/>
          </w:tcPr>
          <w:p w14:paraId="0ED9F615"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3,6</w:t>
            </w:r>
          </w:p>
        </w:tc>
        <w:tc>
          <w:tcPr>
            <w:tcW w:w="714" w:type="pct"/>
            <w:noWrap/>
          </w:tcPr>
          <w:p w14:paraId="5AC22FD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3,6</w:t>
            </w:r>
          </w:p>
        </w:tc>
        <w:tc>
          <w:tcPr>
            <w:tcW w:w="712" w:type="pct"/>
          </w:tcPr>
          <w:p w14:paraId="66B2050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4,1</w:t>
            </w:r>
          </w:p>
        </w:tc>
      </w:tr>
      <w:tr w:rsidR="00A220EE" w:rsidRPr="003F4D72" w14:paraId="12DE2205"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hideMark/>
          </w:tcPr>
          <w:p w14:paraId="465C0376" w14:textId="77777777" w:rsidR="00A220EE" w:rsidRPr="003F4D72" w:rsidRDefault="00A220EE" w:rsidP="00CB7074">
            <w:pP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Cheltuieli</w:t>
            </w:r>
          </w:p>
        </w:tc>
        <w:tc>
          <w:tcPr>
            <w:tcW w:w="643" w:type="pct"/>
          </w:tcPr>
          <w:p w14:paraId="52FD8DF3"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color w:val="000000"/>
                <w:sz w:val="20"/>
                <w:szCs w:val="20"/>
              </w:rPr>
            </w:pPr>
            <w:r w:rsidRPr="003F4D72">
              <w:rPr>
                <w:rFonts w:asciiTheme="majorHAnsi" w:eastAsia="Times New Roman" w:hAnsiTheme="majorHAnsi" w:cstheme="majorHAnsi"/>
                <w:b/>
                <w:i/>
                <w:color w:val="000000"/>
                <w:sz w:val="20"/>
                <w:szCs w:val="20"/>
              </w:rPr>
              <w:t>mil. lei</w:t>
            </w:r>
          </w:p>
        </w:tc>
        <w:tc>
          <w:tcPr>
            <w:tcW w:w="715" w:type="pct"/>
          </w:tcPr>
          <w:p w14:paraId="643B7313"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6714,1</w:t>
            </w:r>
          </w:p>
        </w:tc>
        <w:tc>
          <w:tcPr>
            <w:tcW w:w="714" w:type="pct"/>
            <w:noWrap/>
            <w:hideMark/>
          </w:tcPr>
          <w:p w14:paraId="57BA8AE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7489,7</w:t>
            </w:r>
          </w:p>
        </w:tc>
        <w:tc>
          <w:tcPr>
            <w:tcW w:w="712" w:type="pct"/>
          </w:tcPr>
          <w:p w14:paraId="2A6F8215"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8405,5</w:t>
            </w:r>
          </w:p>
        </w:tc>
      </w:tr>
      <w:tr w:rsidR="00A220EE" w:rsidRPr="003F4D72" w14:paraId="113134A0"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6ECBCABE"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Devieri +/- față de anul precedent</w:t>
            </w:r>
          </w:p>
        </w:tc>
        <w:tc>
          <w:tcPr>
            <w:tcW w:w="643" w:type="pct"/>
          </w:tcPr>
          <w:p w14:paraId="1B2DCC51"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mil. lei</w:t>
            </w:r>
          </w:p>
        </w:tc>
        <w:tc>
          <w:tcPr>
            <w:tcW w:w="715" w:type="pct"/>
          </w:tcPr>
          <w:p w14:paraId="47040B7A"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453,3</w:t>
            </w:r>
          </w:p>
        </w:tc>
        <w:tc>
          <w:tcPr>
            <w:tcW w:w="714" w:type="pct"/>
            <w:noWrap/>
          </w:tcPr>
          <w:p w14:paraId="01392F2D"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775,5</w:t>
            </w:r>
          </w:p>
        </w:tc>
        <w:tc>
          <w:tcPr>
            <w:tcW w:w="712" w:type="pct"/>
          </w:tcPr>
          <w:p w14:paraId="09D37B63"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915,8</w:t>
            </w:r>
          </w:p>
        </w:tc>
      </w:tr>
      <w:tr w:rsidR="00A220EE" w:rsidRPr="003F4D72" w14:paraId="1A5FC19C"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27BC8AD2"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Ponderea în BPN</w:t>
            </w:r>
          </w:p>
        </w:tc>
        <w:tc>
          <w:tcPr>
            <w:tcW w:w="643" w:type="pct"/>
          </w:tcPr>
          <w:p w14:paraId="07266E53"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w:t>
            </w:r>
          </w:p>
        </w:tc>
        <w:tc>
          <w:tcPr>
            <w:tcW w:w="715" w:type="pct"/>
          </w:tcPr>
          <w:p w14:paraId="686321AE"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11,3</w:t>
            </w:r>
          </w:p>
        </w:tc>
        <w:tc>
          <w:tcPr>
            <w:tcW w:w="714" w:type="pct"/>
            <w:noWrap/>
          </w:tcPr>
          <w:p w14:paraId="3E100942"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11,4</w:t>
            </w:r>
          </w:p>
        </w:tc>
        <w:tc>
          <w:tcPr>
            <w:tcW w:w="712" w:type="pct"/>
          </w:tcPr>
          <w:p w14:paraId="0840007F"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11,5</w:t>
            </w:r>
          </w:p>
        </w:tc>
      </w:tr>
      <w:tr w:rsidR="00A220EE" w:rsidRPr="003F4D72" w14:paraId="12A8F6F0"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66933D5C"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Ponderea în PIB</w:t>
            </w:r>
          </w:p>
        </w:tc>
        <w:tc>
          <w:tcPr>
            <w:tcW w:w="643" w:type="pct"/>
          </w:tcPr>
          <w:p w14:paraId="39A5DB6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w:t>
            </w:r>
          </w:p>
        </w:tc>
        <w:tc>
          <w:tcPr>
            <w:tcW w:w="715" w:type="pct"/>
          </w:tcPr>
          <w:p w14:paraId="2ADE9DE4"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3,5</w:t>
            </w:r>
          </w:p>
        </w:tc>
        <w:tc>
          <w:tcPr>
            <w:tcW w:w="714" w:type="pct"/>
            <w:noWrap/>
          </w:tcPr>
          <w:p w14:paraId="395BF265"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3,6</w:t>
            </w:r>
          </w:p>
        </w:tc>
        <w:tc>
          <w:tcPr>
            <w:tcW w:w="712" w:type="pct"/>
          </w:tcPr>
          <w:p w14:paraId="176ED9DF" w14:textId="77777777" w:rsidR="00A220EE" w:rsidRPr="003F4D72" w:rsidRDefault="00802642"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4,1</w:t>
            </w:r>
          </w:p>
        </w:tc>
      </w:tr>
      <w:tr w:rsidR="00A220EE" w:rsidRPr="003F4D72" w14:paraId="012036D7"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hideMark/>
          </w:tcPr>
          <w:p w14:paraId="77160E21" w14:textId="77777777" w:rsidR="00A220EE" w:rsidRPr="003F4D72" w:rsidRDefault="00A220EE" w:rsidP="00CB7074">
            <w:pP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Deficit (-)/Excedent (+)</w:t>
            </w:r>
          </w:p>
        </w:tc>
        <w:tc>
          <w:tcPr>
            <w:tcW w:w="643" w:type="pct"/>
          </w:tcPr>
          <w:p w14:paraId="242909FE"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color w:val="000000"/>
                <w:sz w:val="20"/>
                <w:szCs w:val="20"/>
              </w:rPr>
            </w:pPr>
            <w:r w:rsidRPr="003F4D72">
              <w:rPr>
                <w:rFonts w:asciiTheme="majorHAnsi" w:eastAsia="Times New Roman" w:hAnsiTheme="majorHAnsi" w:cstheme="majorHAnsi"/>
                <w:b/>
                <w:i/>
                <w:color w:val="000000"/>
                <w:sz w:val="20"/>
                <w:szCs w:val="20"/>
              </w:rPr>
              <w:t>mil. lei</w:t>
            </w:r>
          </w:p>
        </w:tc>
        <w:tc>
          <w:tcPr>
            <w:tcW w:w="715" w:type="pct"/>
          </w:tcPr>
          <w:p w14:paraId="55710E71"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163,3</w:t>
            </w:r>
          </w:p>
        </w:tc>
        <w:tc>
          <w:tcPr>
            <w:tcW w:w="714" w:type="pct"/>
            <w:noWrap/>
            <w:hideMark/>
          </w:tcPr>
          <w:p w14:paraId="6D43F597"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146,6</w:t>
            </w:r>
          </w:p>
        </w:tc>
        <w:tc>
          <w:tcPr>
            <w:tcW w:w="712" w:type="pct"/>
          </w:tcPr>
          <w:p w14:paraId="63319B50"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rPr>
            </w:pPr>
            <w:r w:rsidRPr="003F4D72">
              <w:rPr>
                <w:rFonts w:asciiTheme="majorHAnsi" w:eastAsia="Times New Roman" w:hAnsiTheme="majorHAnsi" w:cstheme="majorHAnsi"/>
                <w:b/>
                <w:color w:val="000000"/>
                <w:sz w:val="20"/>
                <w:szCs w:val="20"/>
              </w:rPr>
              <w:t>137,0</w:t>
            </w:r>
          </w:p>
        </w:tc>
      </w:tr>
      <w:tr w:rsidR="00A220EE" w:rsidRPr="003F4D72" w14:paraId="4CB8BD7A"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4BE4835D"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Devieri +/- față de anul precedent</w:t>
            </w:r>
          </w:p>
        </w:tc>
        <w:tc>
          <w:tcPr>
            <w:tcW w:w="643" w:type="pct"/>
          </w:tcPr>
          <w:p w14:paraId="1890558A"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mil. lei</w:t>
            </w:r>
          </w:p>
        </w:tc>
        <w:tc>
          <w:tcPr>
            <w:tcW w:w="715" w:type="pct"/>
          </w:tcPr>
          <w:p w14:paraId="742E4A6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167,5</w:t>
            </w:r>
          </w:p>
        </w:tc>
        <w:tc>
          <w:tcPr>
            <w:tcW w:w="714" w:type="pct"/>
            <w:noWrap/>
          </w:tcPr>
          <w:p w14:paraId="2EE91EE5"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-16,6</w:t>
            </w:r>
          </w:p>
        </w:tc>
        <w:tc>
          <w:tcPr>
            <w:tcW w:w="712" w:type="pct"/>
          </w:tcPr>
          <w:p w14:paraId="40530A23"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-9,6</w:t>
            </w:r>
          </w:p>
        </w:tc>
      </w:tr>
      <w:tr w:rsidR="00A220EE" w:rsidRPr="003F4D72" w14:paraId="155FE624" w14:textId="77777777" w:rsidTr="00802642">
        <w:trPr>
          <w:gridAfter w:val="1"/>
          <w:wAfter w:w="5" w:type="pct"/>
          <w:trHeight w:val="290"/>
        </w:trPr>
        <w:tc>
          <w:tcPr>
            <w:cnfStyle w:val="001000000000" w:firstRow="0" w:lastRow="0" w:firstColumn="1" w:lastColumn="0" w:oddVBand="0" w:evenVBand="0" w:oddHBand="0" w:evenHBand="0" w:firstRowFirstColumn="0" w:firstRowLastColumn="0" w:lastRowFirstColumn="0" w:lastRowLastColumn="0"/>
            <w:tcW w:w="2212" w:type="pct"/>
            <w:noWrap/>
          </w:tcPr>
          <w:p w14:paraId="6649C636" w14:textId="77777777" w:rsidR="00A220EE" w:rsidRPr="003F4D72" w:rsidRDefault="00A220EE" w:rsidP="00CB7074">
            <w:pPr>
              <w:pStyle w:val="NormalWeb"/>
              <w:tabs>
                <w:tab w:val="left" w:pos="162"/>
              </w:tabs>
              <w:spacing w:line="276" w:lineRule="auto"/>
              <w:ind w:firstLine="0"/>
              <w:jc w:val="left"/>
              <w:rPr>
                <w:rFonts w:asciiTheme="majorHAnsi" w:hAnsiTheme="majorHAnsi" w:cstheme="majorHAnsi"/>
                <w:sz w:val="20"/>
                <w:szCs w:val="20"/>
                <w:lang w:val="ro-MD"/>
              </w:rPr>
            </w:pPr>
            <w:r w:rsidRPr="003F4D72">
              <w:rPr>
                <w:rFonts w:asciiTheme="majorHAnsi" w:hAnsiTheme="majorHAnsi" w:cstheme="majorHAnsi"/>
                <w:sz w:val="20"/>
                <w:szCs w:val="20"/>
                <w:lang w:val="ro-MD"/>
              </w:rPr>
              <w:t>Ponderea în PIB</w:t>
            </w:r>
          </w:p>
        </w:tc>
        <w:tc>
          <w:tcPr>
            <w:tcW w:w="643" w:type="pct"/>
          </w:tcPr>
          <w:p w14:paraId="3745FE1A"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w:t>
            </w:r>
          </w:p>
        </w:tc>
        <w:tc>
          <w:tcPr>
            <w:tcW w:w="715" w:type="pct"/>
          </w:tcPr>
          <w:p w14:paraId="13320849"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0,1</w:t>
            </w:r>
          </w:p>
        </w:tc>
        <w:tc>
          <w:tcPr>
            <w:tcW w:w="714" w:type="pct"/>
            <w:noWrap/>
          </w:tcPr>
          <w:p w14:paraId="01748E06"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0,1</w:t>
            </w:r>
          </w:p>
        </w:tc>
        <w:tc>
          <w:tcPr>
            <w:tcW w:w="712" w:type="pct"/>
          </w:tcPr>
          <w:p w14:paraId="6F7923D0" w14:textId="77777777" w:rsidR="00A220EE" w:rsidRPr="003F4D72" w:rsidRDefault="00A220EE" w:rsidP="00CB7074">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0,1</w:t>
            </w:r>
          </w:p>
        </w:tc>
      </w:tr>
    </w:tbl>
    <w:p w14:paraId="1B0CB099" w14:textId="77777777" w:rsidR="00A220EE" w:rsidRPr="003F4D72" w:rsidRDefault="00A220EE" w:rsidP="00802642">
      <w:pPr>
        <w:spacing w:after="0" w:line="276" w:lineRule="auto"/>
        <w:jc w:val="both"/>
        <w:rPr>
          <w:rFonts w:asciiTheme="majorHAnsi" w:hAnsiTheme="majorHAnsi" w:cstheme="majorHAnsi"/>
          <w:i/>
          <w:noProof/>
          <w:color w:val="1F4E79" w:themeColor="accent1" w:themeShade="80"/>
          <w:sz w:val="20"/>
          <w:szCs w:val="20"/>
          <w:u w:val="single"/>
        </w:rPr>
      </w:pPr>
      <w:r w:rsidRPr="003F4D72">
        <w:rPr>
          <w:rFonts w:asciiTheme="majorHAnsi" w:hAnsiTheme="majorHAnsi" w:cstheme="majorHAnsi"/>
          <w:b/>
          <w:i/>
          <w:sz w:val="20"/>
          <w:szCs w:val="20"/>
        </w:rPr>
        <w:t>Sursa:</w:t>
      </w:r>
      <w:r w:rsidRPr="003F4D72">
        <w:rPr>
          <w:rFonts w:asciiTheme="majorHAnsi" w:hAnsiTheme="majorHAnsi" w:cstheme="majorHAnsi"/>
          <w:sz w:val="20"/>
          <w:szCs w:val="20"/>
        </w:rPr>
        <w:t xml:space="preserve"> </w:t>
      </w:r>
      <w:r w:rsidRPr="003F4D72">
        <w:rPr>
          <w:rFonts w:asciiTheme="majorHAnsi" w:hAnsiTheme="majorHAnsi" w:cstheme="majorHAnsi"/>
          <w:i/>
          <w:noProof/>
          <w:sz w:val="20"/>
          <w:szCs w:val="20"/>
        </w:rPr>
        <w:t xml:space="preserve">Rapoartele privind executarea fondurilor asigurării obligatorii de asistență medicală (Formularul nr.1 CNAM) pentru anii 2018-2020, </w:t>
      </w:r>
      <w:hyperlink r:id="rId22" w:history="1">
        <w:r w:rsidRPr="003F4D72">
          <w:rPr>
            <w:rStyle w:val="Hyperlink"/>
            <w:rFonts w:asciiTheme="majorHAnsi" w:hAnsiTheme="majorHAnsi" w:cstheme="majorHAnsi"/>
            <w:i/>
            <w:noProof/>
            <w:sz w:val="20"/>
            <w:szCs w:val="20"/>
          </w:rPr>
          <w:t>www.statistica.gov.md</w:t>
        </w:r>
      </w:hyperlink>
    </w:p>
    <w:p w14:paraId="50DF95ED" w14:textId="77777777" w:rsidR="00A220EE" w:rsidRPr="003F4D72" w:rsidRDefault="00A220EE" w:rsidP="00C82FEC">
      <w:pPr>
        <w:spacing w:after="0"/>
        <w:jc w:val="both"/>
        <w:rPr>
          <w:rFonts w:asciiTheme="majorHAnsi" w:hAnsiTheme="majorHAnsi" w:cstheme="majorHAnsi"/>
          <w:b/>
          <w:sz w:val="24"/>
          <w:szCs w:val="24"/>
        </w:rPr>
      </w:pPr>
    </w:p>
    <w:p w14:paraId="2C8795B7" w14:textId="4256E136" w:rsidR="00217FC2" w:rsidRDefault="00217FC2">
      <w:pPr>
        <w:rPr>
          <w:rFonts w:asciiTheme="majorHAnsi" w:hAnsiTheme="majorHAnsi" w:cstheme="majorHAnsi"/>
          <w:b/>
          <w:sz w:val="24"/>
          <w:szCs w:val="24"/>
        </w:rPr>
      </w:pPr>
      <w:r>
        <w:rPr>
          <w:rFonts w:asciiTheme="majorHAnsi" w:hAnsiTheme="majorHAnsi" w:cstheme="majorHAnsi"/>
          <w:b/>
          <w:sz w:val="24"/>
          <w:szCs w:val="24"/>
        </w:rPr>
        <w:br w:type="page"/>
      </w:r>
    </w:p>
    <w:p w14:paraId="5A6D73ED" w14:textId="1AD1B2E0" w:rsidR="00486D4D" w:rsidRPr="003F4D72" w:rsidRDefault="00486D4D" w:rsidP="00486D4D">
      <w:pPr>
        <w:spacing w:after="0" w:line="276" w:lineRule="auto"/>
        <w:jc w:val="right"/>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lastRenderedPageBreak/>
        <w:t>Anexa nr.3</w:t>
      </w:r>
    </w:p>
    <w:p w14:paraId="79C807E0" w14:textId="49581136" w:rsidR="00240C27" w:rsidRPr="003F4D72" w:rsidRDefault="00240C27" w:rsidP="00486D4D">
      <w:pPr>
        <w:spacing w:after="0" w:line="276" w:lineRule="auto"/>
        <w:jc w:val="right"/>
        <w:rPr>
          <w:rFonts w:asciiTheme="majorHAnsi" w:eastAsia="Times New Roman" w:hAnsiTheme="majorHAnsi" w:cstheme="majorHAnsi"/>
          <w:b/>
          <w:sz w:val="24"/>
          <w:szCs w:val="24"/>
        </w:rPr>
      </w:pPr>
      <w:r w:rsidRPr="003F4D72">
        <w:rPr>
          <w:rFonts w:asciiTheme="majorHAnsi" w:hAnsiTheme="majorHAnsi" w:cstheme="majorHAnsi"/>
          <w:noProof/>
          <w:sz w:val="24"/>
          <w:szCs w:val="24"/>
          <w:lang w:val="en-US"/>
        </w:rPr>
        <w:drawing>
          <wp:inline distT="0" distB="0" distL="0" distR="0" wp14:anchorId="52992739" wp14:editId="46BDA760">
            <wp:extent cx="5943600" cy="3056507"/>
            <wp:effectExtent l="0" t="0" r="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715B78" w14:textId="7B4A60E1" w:rsidR="00240C27" w:rsidRPr="003F4D72" w:rsidRDefault="00240C27" w:rsidP="00240C27">
      <w:pPr>
        <w:spacing w:after="0" w:line="276" w:lineRule="auto"/>
        <w:jc w:val="center"/>
        <w:rPr>
          <w:rFonts w:asciiTheme="majorHAnsi" w:hAnsiTheme="majorHAnsi" w:cstheme="majorHAnsi"/>
          <w:sz w:val="20"/>
          <w:szCs w:val="20"/>
        </w:rPr>
      </w:pPr>
      <w:r w:rsidRPr="003F4D72">
        <w:rPr>
          <w:rFonts w:asciiTheme="majorHAnsi" w:hAnsiTheme="majorHAnsi" w:cstheme="majorHAnsi"/>
          <w:b/>
          <w:bCs/>
          <w:sz w:val="20"/>
          <w:szCs w:val="20"/>
        </w:rPr>
        <w:t>Figura nr.5 Structura cheltuielilor pe subprograme în totalul cheltuielilor CNAM executate în anul 2020</w:t>
      </w:r>
    </w:p>
    <w:p w14:paraId="60CEE601" w14:textId="77777777" w:rsidR="00240C27" w:rsidRPr="003F4D72" w:rsidRDefault="00240C27" w:rsidP="00240C27">
      <w:pPr>
        <w:spacing w:after="0" w:line="276" w:lineRule="auto"/>
        <w:ind w:right="-634"/>
        <w:jc w:val="center"/>
        <w:rPr>
          <w:rFonts w:asciiTheme="majorHAnsi" w:hAnsiTheme="majorHAnsi" w:cstheme="majorHAnsi"/>
          <w:sz w:val="20"/>
          <w:szCs w:val="20"/>
        </w:rPr>
      </w:pPr>
      <w:r w:rsidRPr="003F4D72">
        <w:rPr>
          <w:rFonts w:asciiTheme="majorHAnsi" w:hAnsiTheme="majorHAnsi" w:cstheme="majorHAnsi"/>
          <w:b/>
          <w:i/>
          <w:sz w:val="20"/>
          <w:szCs w:val="20"/>
        </w:rPr>
        <w:t>Sursă:</w:t>
      </w:r>
      <w:r w:rsidRPr="003F4D72">
        <w:rPr>
          <w:rFonts w:asciiTheme="majorHAnsi" w:hAnsiTheme="majorHAnsi" w:cstheme="majorHAnsi"/>
          <w:i/>
          <w:sz w:val="20"/>
          <w:szCs w:val="20"/>
        </w:rPr>
        <w:t xml:space="preserve"> Date calculate de audit în baza informațiilor din Raportul privind executarea programelor de cheltuieli ale fondurilor asigurării obligatorii de asistență medicală la situația din 31 decembrie 2020 (Formularul nr.2 CNAM)</w:t>
      </w:r>
    </w:p>
    <w:p w14:paraId="03D3EBFA" w14:textId="07B129FA" w:rsidR="00217FC2" w:rsidRDefault="00217FC2">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09B06F19" w14:textId="43ABB047" w:rsidR="00240C27" w:rsidRPr="003F4D72" w:rsidRDefault="00240C27" w:rsidP="00240C27">
      <w:pPr>
        <w:spacing w:after="0" w:line="276" w:lineRule="auto"/>
        <w:jc w:val="right"/>
        <w:rPr>
          <w:rFonts w:asciiTheme="majorHAnsi" w:eastAsia="Times New Roman" w:hAnsiTheme="majorHAnsi" w:cstheme="majorHAnsi"/>
          <w:b/>
          <w:sz w:val="24"/>
          <w:szCs w:val="24"/>
        </w:rPr>
      </w:pPr>
      <w:r w:rsidRPr="003F4D72">
        <w:rPr>
          <w:rFonts w:asciiTheme="majorHAnsi" w:eastAsia="Times New Roman" w:hAnsiTheme="majorHAnsi" w:cstheme="majorHAnsi"/>
          <w:b/>
          <w:sz w:val="24"/>
          <w:szCs w:val="24"/>
        </w:rPr>
        <w:lastRenderedPageBreak/>
        <w:t>Anexa nr.4</w:t>
      </w:r>
    </w:p>
    <w:tbl>
      <w:tblPr>
        <w:tblW w:w="0" w:type="auto"/>
        <w:tblLayout w:type="fixed"/>
        <w:tblLook w:val="04A0" w:firstRow="1" w:lastRow="0" w:firstColumn="1" w:lastColumn="0" w:noHBand="0" w:noVBand="1"/>
      </w:tblPr>
      <w:tblGrid>
        <w:gridCol w:w="3256"/>
        <w:gridCol w:w="1984"/>
        <w:gridCol w:w="1134"/>
        <w:gridCol w:w="1276"/>
        <w:gridCol w:w="1700"/>
      </w:tblGrid>
      <w:tr w:rsidR="00486D4D" w:rsidRPr="003F4D72" w14:paraId="392DDD24" w14:textId="77777777" w:rsidTr="00EF4460">
        <w:trPr>
          <w:trHeight w:val="864"/>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40D0"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Denumirea prestatorului de servicii medicale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8942CC0"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 xml:space="preserve">Suma destinată acoperirii </w:t>
            </w:r>
          </w:p>
          <w:p w14:paraId="77859CA3"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 xml:space="preserve">volumelor contractuale neexecutate pe perioada stării de urgență în sănătate publică </w:t>
            </w:r>
            <w:r w:rsidRPr="003F4D72">
              <w:rPr>
                <w:rFonts w:asciiTheme="majorHAnsi" w:eastAsia="Times New Roman" w:hAnsiTheme="majorHAnsi" w:cs="Times New Roman"/>
                <w:b/>
                <w:bCs/>
                <w:sz w:val="20"/>
                <w:szCs w:val="20"/>
              </w:rPr>
              <w:br/>
              <w:t xml:space="preserve"> (mil.lei)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D6FFB7"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Numărul de cazuri tratate</w:t>
            </w:r>
            <w:r w:rsidRPr="003F4D72">
              <w:rPr>
                <w:rFonts w:asciiTheme="majorHAnsi" w:eastAsia="Times New Roman" w:hAnsiTheme="majorHAnsi" w:cs="Times New Roman"/>
                <w:b/>
                <w:bCs/>
                <w:sz w:val="20"/>
                <w:szCs w:val="20"/>
              </w:rPr>
              <w:br/>
              <w:t>contractat inițial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1CFBE6"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Numărul de cazuri tratate executate</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CF8A064"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Numărul cazurilor tratate</w:t>
            </w:r>
            <w:r w:rsidRPr="003F4D72">
              <w:rPr>
                <w:rFonts w:asciiTheme="majorHAnsi" w:eastAsia="Times New Roman" w:hAnsiTheme="majorHAnsi" w:cs="Times New Roman"/>
                <w:b/>
                <w:bCs/>
                <w:sz w:val="20"/>
                <w:szCs w:val="20"/>
              </w:rPr>
              <w:br/>
              <w:t>contractate inițial comparativ cu cazurile tratate</w:t>
            </w:r>
            <w:r w:rsidRPr="003F4D72">
              <w:rPr>
                <w:rFonts w:asciiTheme="majorHAnsi" w:eastAsia="Times New Roman" w:hAnsiTheme="majorHAnsi" w:cs="Times New Roman"/>
                <w:b/>
                <w:bCs/>
                <w:sz w:val="20"/>
                <w:szCs w:val="20"/>
              </w:rPr>
              <w:br/>
              <w:t>executate</w:t>
            </w:r>
          </w:p>
        </w:tc>
      </w:tr>
      <w:tr w:rsidR="00486D4D" w:rsidRPr="003F4D72" w14:paraId="2C9A2EBA"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F898C7D"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1</w:t>
            </w:r>
          </w:p>
        </w:tc>
        <w:tc>
          <w:tcPr>
            <w:tcW w:w="1984" w:type="dxa"/>
            <w:tcBorders>
              <w:top w:val="nil"/>
              <w:left w:val="nil"/>
              <w:bottom w:val="single" w:sz="4" w:space="0" w:color="auto"/>
              <w:right w:val="single" w:sz="4" w:space="0" w:color="auto"/>
            </w:tcBorders>
            <w:shd w:val="clear" w:color="auto" w:fill="auto"/>
            <w:vAlign w:val="center"/>
            <w:hideMark/>
          </w:tcPr>
          <w:p w14:paraId="4ADF6C27"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7844FEB6"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09EC9790"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4</w:t>
            </w:r>
          </w:p>
        </w:tc>
        <w:tc>
          <w:tcPr>
            <w:tcW w:w="1700" w:type="dxa"/>
            <w:tcBorders>
              <w:top w:val="nil"/>
              <w:left w:val="nil"/>
              <w:bottom w:val="single" w:sz="4" w:space="0" w:color="auto"/>
              <w:right w:val="single" w:sz="4" w:space="0" w:color="auto"/>
            </w:tcBorders>
            <w:shd w:val="clear" w:color="auto" w:fill="auto"/>
            <w:vAlign w:val="center"/>
            <w:hideMark/>
          </w:tcPr>
          <w:p w14:paraId="547F2423" w14:textId="77777777" w:rsidR="00486D4D" w:rsidRPr="003F4D72" w:rsidRDefault="00486D4D" w:rsidP="00486D4D">
            <w:pPr>
              <w:spacing w:after="0" w:line="240" w:lineRule="auto"/>
              <w:jc w:val="center"/>
              <w:rPr>
                <w:rFonts w:asciiTheme="majorHAnsi" w:eastAsia="Times New Roman" w:hAnsiTheme="majorHAnsi" w:cs="Times New Roman"/>
                <w:b/>
                <w:bCs/>
                <w:sz w:val="20"/>
                <w:szCs w:val="20"/>
              </w:rPr>
            </w:pPr>
            <w:r w:rsidRPr="003F4D72">
              <w:rPr>
                <w:rFonts w:asciiTheme="majorHAnsi" w:eastAsia="Times New Roman" w:hAnsiTheme="majorHAnsi" w:cs="Times New Roman"/>
                <w:b/>
                <w:bCs/>
                <w:sz w:val="20"/>
                <w:szCs w:val="20"/>
              </w:rPr>
              <w:t>5=3-4</w:t>
            </w:r>
          </w:p>
        </w:tc>
      </w:tr>
      <w:tr w:rsidR="00486D4D" w:rsidRPr="003F4D72" w14:paraId="0A3486AC"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1FF7182"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Institutul Mamei și Copilului</w:t>
            </w:r>
          </w:p>
        </w:tc>
        <w:tc>
          <w:tcPr>
            <w:tcW w:w="1984" w:type="dxa"/>
            <w:tcBorders>
              <w:top w:val="nil"/>
              <w:left w:val="nil"/>
              <w:bottom w:val="single" w:sz="4" w:space="0" w:color="auto"/>
              <w:right w:val="single" w:sz="4" w:space="0" w:color="auto"/>
            </w:tcBorders>
            <w:shd w:val="clear" w:color="auto" w:fill="auto"/>
            <w:noWrap/>
            <w:vAlign w:val="bottom"/>
            <w:hideMark/>
          </w:tcPr>
          <w:p w14:paraId="2FB25D3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67,0</w:t>
            </w:r>
          </w:p>
        </w:tc>
        <w:tc>
          <w:tcPr>
            <w:tcW w:w="1134" w:type="dxa"/>
            <w:tcBorders>
              <w:top w:val="nil"/>
              <w:left w:val="nil"/>
              <w:bottom w:val="single" w:sz="4" w:space="0" w:color="auto"/>
              <w:right w:val="single" w:sz="4" w:space="0" w:color="auto"/>
            </w:tcBorders>
            <w:shd w:val="clear" w:color="auto" w:fill="auto"/>
            <w:noWrap/>
            <w:vAlign w:val="bottom"/>
            <w:hideMark/>
          </w:tcPr>
          <w:p w14:paraId="68AE204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41.297</w:t>
            </w:r>
          </w:p>
        </w:tc>
        <w:tc>
          <w:tcPr>
            <w:tcW w:w="1276" w:type="dxa"/>
            <w:tcBorders>
              <w:top w:val="nil"/>
              <w:left w:val="nil"/>
              <w:bottom w:val="single" w:sz="4" w:space="0" w:color="auto"/>
              <w:right w:val="single" w:sz="4" w:space="0" w:color="auto"/>
            </w:tcBorders>
            <w:shd w:val="clear" w:color="auto" w:fill="auto"/>
            <w:noWrap/>
            <w:vAlign w:val="bottom"/>
            <w:hideMark/>
          </w:tcPr>
          <w:p w14:paraId="7B18365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30.273</w:t>
            </w:r>
          </w:p>
        </w:tc>
        <w:tc>
          <w:tcPr>
            <w:tcW w:w="1700" w:type="dxa"/>
            <w:tcBorders>
              <w:top w:val="nil"/>
              <w:left w:val="nil"/>
              <w:bottom w:val="single" w:sz="4" w:space="0" w:color="auto"/>
              <w:right w:val="single" w:sz="4" w:space="0" w:color="auto"/>
            </w:tcBorders>
            <w:shd w:val="clear" w:color="auto" w:fill="auto"/>
            <w:noWrap/>
            <w:vAlign w:val="bottom"/>
            <w:hideMark/>
          </w:tcPr>
          <w:p w14:paraId="6AE910C0"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11.024</w:t>
            </w:r>
          </w:p>
        </w:tc>
      </w:tr>
      <w:tr w:rsidR="00486D4D" w:rsidRPr="003F4D72" w14:paraId="5EB65A4E"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C1F1DC6"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Republican „</w:t>
            </w:r>
            <w:proofErr w:type="spellStart"/>
            <w:r w:rsidRPr="003F4D72">
              <w:rPr>
                <w:rFonts w:asciiTheme="majorHAnsi" w:eastAsia="Times New Roman" w:hAnsiTheme="majorHAnsi" w:cs="Times New Roman"/>
                <w:sz w:val="20"/>
                <w:szCs w:val="20"/>
              </w:rPr>
              <w:t>Timofei</w:t>
            </w:r>
            <w:proofErr w:type="spellEnd"/>
            <w:r w:rsidRPr="003F4D72">
              <w:rPr>
                <w:rFonts w:asciiTheme="majorHAnsi" w:eastAsia="Times New Roman" w:hAnsiTheme="majorHAnsi" w:cs="Times New Roman"/>
                <w:sz w:val="20"/>
                <w:szCs w:val="20"/>
              </w:rPr>
              <w:t xml:space="preserve"> </w:t>
            </w:r>
            <w:proofErr w:type="spellStart"/>
            <w:r w:rsidRPr="003F4D72">
              <w:rPr>
                <w:rFonts w:asciiTheme="majorHAnsi" w:eastAsia="Times New Roman" w:hAnsiTheme="majorHAnsi" w:cs="Times New Roman"/>
                <w:sz w:val="20"/>
                <w:szCs w:val="20"/>
              </w:rPr>
              <w:t>Moșneaga</w:t>
            </w:r>
            <w:proofErr w:type="spellEnd"/>
            <w:r w:rsidRPr="003F4D72">
              <w:rPr>
                <w:rFonts w:asciiTheme="majorHAnsi" w:eastAsia="Times New Roman" w:hAnsiTheme="majorHAnsi" w:cs="Times New Roman"/>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14:paraId="70C5EBA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84,5</w:t>
            </w:r>
          </w:p>
        </w:tc>
        <w:tc>
          <w:tcPr>
            <w:tcW w:w="1134" w:type="dxa"/>
            <w:tcBorders>
              <w:top w:val="nil"/>
              <w:left w:val="nil"/>
              <w:bottom w:val="single" w:sz="4" w:space="0" w:color="auto"/>
              <w:right w:val="single" w:sz="4" w:space="0" w:color="auto"/>
            </w:tcBorders>
            <w:shd w:val="clear" w:color="auto" w:fill="auto"/>
            <w:noWrap/>
            <w:vAlign w:val="bottom"/>
            <w:hideMark/>
          </w:tcPr>
          <w:p w14:paraId="73ED49E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25.191</w:t>
            </w:r>
          </w:p>
        </w:tc>
        <w:tc>
          <w:tcPr>
            <w:tcW w:w="1276" w:type="dxa"/>
            <w:tcBorders>
              <w:top w:val="nil"/>
              <w:left w:val="nil"/>
              <w:bottom w:val="single" w:sz="4" w:space="0" w:color="auto"/>
              <w:right w:val="single" w:sz="4" w:space="0" w:color="auto"/>
            </w:tcBorders>
            <w:shd w:val="clear" w:color="auto" w:fill="auto"/>
            <w:noWrap/>
            <w:vAlign w:val="bottom"/>
            <w:hideMark/>
          </w:tcPr>
          <w:p w14:paraId="713897E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12.693</w:t>
            </w:r>
          </w:p>
        </w:tc>
        <w:tc>
          <w:tcPr>
            <w:tcW w:w="1700" w:type="dxa"/>
            <w:tcBorders>
              <w:top w:val="nil"/>
              <w:left w:val="nil"/>
              <w:bottom w:val="single" w:sz="4" w:space="0" w:color="auto"/>
              <w:right w:val="single" w:sz="4" w:space="0" w:color="auto"/>
            </w:tcBorders>
            <w:shd w:val="clear" w:color="auto" w:fill="auto"/>
            <w:noWrap/>
            <w:vAlign w:val="bottom"/>
            <w:hideMark/>
          </w:tcPr>
          <w:p w14:paraId="23285E4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12.498</w:t>
            </w:r>
          </w:p>
        </w:tc>
      </w:tr>
      <w:tr w:rsidR="00486D4D" w:rsidRPr="003F4D72" w14:paraId="434E7B81"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B3543B"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Institutul de Medicină Urgentă</w:t>
            </w:r>
          </w:p>
        </w:tc>
        <w:tc>
          <w:tcPr>
            <w:tcW w:w="1984" w:type="dxa"/>
            <w:tcBorders>
              <w:top w:val="nil"/>
              <w:left w:val="nil"/>
              <w:bottom w:val="single" w:sz="4" w:space="0" w:color="auto"/>
              <w:right w:val="single" w:sz="4" w:space="0" w:color="auto"/>
            </w:tcBorders>
            <w:shd w:val="clear" w:color="auto" w:fill="auto"/>
            <w:noWrap/>
            <w:vAlign w:val="bottom"/>
            <w:hideMark/>
          </w:tcPr>
          <w:p w14:paraId="3EB3128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43,6</w:t>
            </w:r>
          </w:p>
        </w:tc>
        <w:tc>
          <w:tcPr>
            <w:tcW w:w="1134" w:type="dxa"/>
            <w:tcBorders>
              <w:top w:val="nil"/>
              <w:left w:val="nil"/>
              <w:bottom w:val="single" w:sz="4" w:space="0" w:color="auto"/>
              <w:right w:val="single" w:sz="4" w:space="0" w:color="auto"/>
            </w:tcBorders>
            <w:shd w:val="clear" w:color="auto" w:fill="auto"/>
            <w:noWrap/>
            <w:vAlign w:val="bottom"/>
            <w:hideMark/>
          </w:tcPr>
          <w:p w14:paraId="76D9CC1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21.469</w:t>
            </w:r>
          </w:p>
        </w:tc>
        <w:tc>
          <w:tcPr>
            <w:tcW w:w="1276" w:type="dxa"/>
            <w:tcBorders>
              <w:top w:val="nil"/>
              <w:left w:val="nil"/>
              <w:bottom w:val="single" w:sz="4" w:space="0" w:color="auto"/>
              <w:right w:val="single" w:sz="4" w:space="0" w:color="auto"/>
            </w:tcBorders>
            <w:shd w:val="clear" w:color="auto" w:fill="auto"/>
            <w:noWrap/>
            <w:vAlign w:val="bottom"/>
            <w:hideMark/>
          </w:tcPr>
          <w:p w14:paraId="1C78219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13.145</w:t>
            </w:r>
          </w:p>
        </w:tc>
        <w:tc>
          <w:tcPr>
            <w:tcW w:w="1700" w:type="dxa"/>
            <w:tcBorders>
              <w:top w:val="nil"/>
              <w:left w:val="nil"/>
              <w:bottom w:val="single" w:sz="4" w:space="0" w:color="auto"/>
              <w:right w:val="single" w:sz="4" w:space="0" w:color="auto"/>
            </w:tcBorders>
            <w:shd w:val="clear" w:color="auto" w:fill="auto"/>
            <w:noWrap/>
            <w:vAlign w:val="bottom"/>
            <w:hideMark/>
          </w:tcPr>
          <w:p w14:paraId="47AC97F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8.324</w:t>
            </w:r>
          </w:p>
        </w:tc>
      </w:tr>
      <w:tr w:rsidR="00486D4D" w:rsidRPr="003F4D72" w14:paraId="1943F0A0"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4E4D41D"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al Ministerului Sănătății, Muncii și Protecției Sociale</w:t>
            </w:r>
          </w:p>
        </w:tc>
        <w:tc>
          <w:tcPr>
            <w:tcW w:w="1984" w:type="dxa"/>
            <w:tcBorders>
              <w:top w:val="nil"/>
              <w:left w:val="nil"/>
              <w:bottom w:val="single" w:sz="4" w:space="0" w:color="auto"/>
              <w:right w:val="single" w:sz="4" w:space="0" w:color="auto"/>
            </w:tcBorders>
            <w:shd w:val="clear" w:color="auto" w:fill="auto"/>
            <w:noWrap/>
            <w:vAlign w:val="bottom"/>
            <w:hideMark/>
          </w:tcPr>
          <w:p w14:paraId="49AA249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23,5</w:t>
            </w:r>
          </w:p>
        </w:tc>
        <w:tc>
          <w:tcPr>
            <w:tcW w:w="1134" w:type="dxa"/>
            <w:tcBorders>
              <w:top w:val="nil"/>
              <w:left w:val="nil"/>
              <w:bottom w:val="single" w:sz="4" w:space="0" w:color="auto"/>
              <w:right w:val="single" w:sz="4" w:space="0" w:color="auto"/>
            </w:tcBorders>
            <w:shd w:val="clear" w:color="auto" w:fill="auto"/>
            <w:noWrap/>
            <w:vAlign w:val="bottom"/>
            <w:hideMark/>
          </w:tcPr>
          <w:p w14:paraId="1F4B913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6.420</w:t>
            </w:r>
          </w:p>
        </w:tc>
        <w:tc>
          <w:tcPr>
            <w:tcW w:w="1276" w:type="dxa"/>
            <w:tcBorders>
              <w:top w:val="nil"/>
              <w:left w:val="nil"/>
              <w:bottom w:val="single" w:sz="4" w:space="0" w:color="auto"/>
              <w:right w:val="single" w:sz="4" w:space="0" w:color="auto"/>
            </w:tcBorders>
            <w:shd w:val="clear" w:color="auto" w:fill="auto"/>
            <w:noWrap/>
            <w:vAlign w:val="bottom"/>
            <w:hideMark/>
          </w:tcPr>
          <w:p w14:paraId="310E162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2.706</w:t>
            </w:r>
          </w:p>
        </w:tc>
        <w:tc>
          <w:tcPr>
            <w:tcW w:w="1700" w:type="dxa"/>
            <w:tcBorders>
              <w:top w:val="nil"/>
              <w:left w:val="nil"/>
              <w:bottom w:val="single" w:sz="4" w:space="0" w:color="auto"/>
              <w:right w:val="single" w:sz="4" w:space="0" w:color="auto"/>
            </w:tcBorders>
            <w:shd w:val="clear" w:color="auto" w:fill="auto"/>
            <w:noWrap/>
            <w:vAlign w:val="bottom"/>
            <w:hideMark/>
          </w:tcPr>
          <w:p w14:paraId="04750B6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3.714</w:t>
            </w:r>
          </w:p>
        </w:tc>
      </w:tr>
      <w:tr w:rsidR="00486D4D" w:rsidRPr="003F4D72" w14:paraId="31D09B85"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E72DB0D"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Institutul de Cardiologie</w:t>
            </w:r>
          </w:p>
        </w:tc>
        <w:tc>
          <w:tcPr>
            <w:tcW w:w="1984" w:type="dxa"/>
            <w:tcBorders>
              <w:top w:val="nil"/>
              <w:left w:val="nil"/>
              <w:bottom w:val="single" w:sz="4" w:space="0" w:color="auto"/>
              <w:right w:val="single" w:sz="4" w:space="0" w:color="auto"/>
            </w:tcBorders>
            <w:shd w:val="clear" w:color="auto" w:fill="auto"/>
            <w:noWrap/>
            <w:vAlign w:val="bottom"/>
            <w:hideMark/>
          </w:tcPr>
          <w:p w14:paraId="774A730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17,1</w:t>
            </w:r>
          </w:p>
        </w:tc>
        <w:tc>
          <w:tcPr>
            <w:tcW w:w="1134" w:type="dxa"/>
            <w:tcBorders>
              <w:top w:val="nil"/>
              <w:left w:val="nil"/>
              <w:bottom w:val="single" w:sz="4" w:space="0" w:color="auto"/>
              <w:right w:val="single" w:sz="4" w:space="0" w:color="auto"/>
            </w:tcBorders>
            <w:shd w:val="clear" w:color="auto" w:fill="auto"/>
            <w:noWrap/>
            <w:vAlign w:val="bottom"/>
            <w:hideMark/>
          </w:tcPr>
          <w:p w14:paraId="7E2B2C8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9.492</w:t>
            </w:r>
          </w:p>
        </w:tc>
        <w:tc>
          <w:tcPr>
            <w:tcW w:w="1276" w:type="dxa"/>
            <w:tcBorders>
              <w:top w:val="nil"/>
              <w:left w:val="nil"/>
              <w:bottom w:val="single" w:sz="4" w:space="0" w:color="auto"/>
              <w:right w:val="single" w:sz="4" w:space="0" w:color="auto"/>
            </w:tcBorders>
            <w:shd w:val="clear" w:color="auto" w:fill="auto"/>
            <w:noWrap/>
            <w:vAlign w:val="bottom"/>
            <w:hideMark/>
          </w:tcPr>
          <w:p w14:paraId="595738C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6.425</w:t>
            </w:r>
          </w:p>
        </w:tc>
        <w:tc>
          <w:tcPr>
            <w:tcW w:w="1700" w:type="dxa"/>
            <w:tcBorders>
              <w:top w:val="nil"/>
              <w:left w:val="nil"/>
              <w:bottom w:val="single" w:sz="4" w:space="0" w:color="auto"/>
              <w:right w:val="single" w:sz="4" w:space="0" w:color="auto"/>
            </w:tcBorders>
            <w:shd w:val="clear" w:color="auto" w:fill="auto"/>
            <w:noWrap/>
            <w:vAlign w:val="bottom"/>
            <w:hideMark/>
          </w:tcPr>
          <w:p w14:paraId="022A74D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3.067</w:t>
            </w:r>
          </w:p>
        </w:tc>
      </w:tr>
      <w:tr w:rsidR="00486D4D" w:rsidRPr="003F4D72" w14:paraId="70A334D2"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AEB0121"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de Traumatologie și Ortopedie</w:t>
            </w:r>
          </w:p>
        </w:tc>
        <w:tc>
          <w:tcPr>
            <w:tcW w:w="1984" w:type="dxa"/>
            <w:tcBorders>
              <w:top w:val="nil"/>
              <w:left w:val="nil"/>
              <w:bottom w:val="single" w:sz="4" w:space="0" w:color="auto"/>
              <w:right w:val="single" w:sz="4" w:space="0" w:color="auto"/>
            </w:tcBorders>
            <w:shd w:val="clear" w:color="auto" w:fill="auto"/>
            <w:noWrap/>
            <w:vAlign w:val="bottom"/>
            <w:hideMark/>
          </w:tcPr>
          <w:p w14:paraId="1497283B"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05EF1FBA"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4.167</w:t>
            </w:r>
          </w:p>
        </w:tc>
        <w:tc>
          <w:tcPr>
            <w:tcW w:w="1276" w:type="dxa"/>
            <w:tcBorders>
              <w:top w:val="nil"/>
              <w:left w:val="nil"/>
              <w:bottom w:val="single" w:sz="4" w:space="0" w:color="auto"/>
              <w:right w:val="single" w:sz="4" w:space="0" w:color="auto"/>
            </w:tcBorders>
            <w:shd w:val="clear" w:color="auto" w:fill="auto"/>
            <w:noWrap/>
            <w:vAlign w:val="bottom"/>
            <w:hideMark/>
          </w:tcPr>
          <w:p w14:paraId="41A0D03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3.106</w:t>
            </w:r>
          </w:p>
        </w:tc>
        <w:tc>
          <w:tcPr>
            <w:tcW w:w="1700" w:type="dxa"/>
            <w:tcBorders>
              <w:top w:val="nil"/>
              <w:left w:val="nil"/>
              <w:bottom w:val="single" w:sz="4" w:space="0" w:color="auto"/>
              <w:right w:val="single" w:sz="4" w:space="0" w:color="auto"/>
            </w:tcBorders>
            <w:shd w:val="clear" w:color="auto" w:fill="auto"/>
            <w:noWrap/>
            <w:vAlign w:val="bottom"/>
            <w:hideMark/>
          </w:tcPr>
          <w:p w14:paraId="5160261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1.061</w:t>
            </w:r>
          </w:p>
        </w:tc>
      </w:tr>
      <w:tr w:rsidR="00486D4D" w:rsidRPr="003F4D72" w14:paraId="67EB2C7A"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02E5A05"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Institutul de Neurologie și Neurochirurgie „</w:t>
            </w:r>
            <w:proofErr w:type="spellStart"/>
            <w:r w:rsidRPr="003F4D72">
              <w:rPr>
                <w:rFonts w:asciiTheme="majorHAnsi" w:eastAsia="Times New Roman" w:hAnsiTheme="majorHAnsi" w:cs="Times New Roman"/>
                <w:sz w:val="20"/>
                <w:szCs w:val="20"/>
              </w:rPr>
              <w:t>Diomid</w:t>
            </w:r>
            <w:proofErr w:type="spellEnd"/>
            <w:r w:rsidRPr="003F4D72">
              <w:rPr>
                <w:rFonts w:asciiTheme="majorHAnsi" w:eastAsia="Times New Roman" w:hAnsiTheme="majorHAnsi" w:cs="Times New Roman"/>
                <w:sz w:val="20"/>
                <w:szCs w:val="20"/>
              </w:rPr>
              <w:t xml:space="preserve"> Gherman”</w:t>
            </w:r>
          </w:p>
        </w:tc>
        <w:tc>
          <w:tcPr>
            <w:tcW w:w="1984" w:type="dxa"/>
            <w:tcBorders>
              <w:top w:val="nil"/>
              <w:left w:val="nil"/>
              <w:bottom w:val="single" w:sz="4" w:space="0" w:color="auto"/>
              <w:right w:val="single" w:sz="4" w:space="0" w:color="auto"/>
            </w:tcBorders>
            <w:shd w:val="clear" w:color="auto" w:fill="auto"/>
            <w:noWrap/>
            <w:vAlign w:val="bottom"/>
            <w:hideMark/>
          </w:tcPr>
          <w:p w14:paraId="4D4043D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35784B2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4.530</w:t>
            </w:r>
          </w:p>
        </w:tc>
        <w:tc>
          <w:tcPr>
            <w:tcW w:w="1276" w:type="dxa"/>
            <w:tcBorders>
              <w:top w:val="nil"/>
              <w:left w:val="nil"/>
              <w:bottom w:val="single" w:sz="4" w:space="0" w:color="auto"/>
              <w:right w:val="single" w:sz="4" w:space="0" w:color="auto"/>
            </w:tcBorders>
            <w:shd w:val="clear" w:color="auto" w:fill="auto"/>
            <w:noWrap/>
            <w:vAlign w:val="bottom"/>
            <w:hideMark/>
          </w:tcPr>
          <w:p w14:paraId="62E7F72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3.118</w:t>
            </w:r>
          </w:p>
        </w:tc>
        <w:tc>
          <w:tcPr>
            <w:tcW w:w="1700" w:type="dxa"/>
            <w:tcBorders>
              <w:top w:val="nil"/>
              <w:left w:val="nil"/>
              <w:bottom w:val="single" w:sz="4" w:space="0" w:color="auto"/>
              <w:right w:val="single" w:sz="4" w:space="0" w:color="auto"/>
            </w:tcBorders>
            <w:shd w:val="clear" w:color="auto" w:fill="auto"/>
            <w:noWrap/>
            <w:vAlign w:val="bottom"/>
            <w:hideMark/>
          </w:tcPr>
          <w:p w14:paraId="780160C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1.412</w:t>
            </w:r>
          </w:p>
        </w:tc>
      </w:tr>
      <w:tr w:rsidR="00486D4D" w:rsidRPr="003F4D72" w14:paraId="731CE502"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4163157"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Institutul Oncologic</w:t>
            </w:r>
          </w:p>
        </w:tc>
        <w:tc>
          <w:tcPr>
            <w:tcW w:w="1984" w:type="dxa"/>
            <w:tcBorders>
              <w:top w:val="nil"/>
              <w:left w:val="nil"/>
              <w:bottom w:val="single" w:sz="4" w:space="0" w:color="auto"/>
              <w:right w:val="single" w:sz="4" w:space="0" w:color="auto"/>
            </w:tcBorders>
            <w:shd w:val="clear" w:color="auto" w:fill="auto"/>
            <w:noWrap/>
            <w:vAlign w:val="bottom"/>
            <w:hideMark/>
          </w:tcPr>
          <w:p w14:paraId="226FBB7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15,0</w:t>
            </w:r>
          </w:p>
        </w:tc>
        <w:tc>
          <w:tcPr>
            <w:tcW w:w="1134" w:type="dxa"/>
            <w:tcBorders>
              <w:top w:val="nil"/>
              <w:left w:val="nil"/>
              <w:bottom w:val="single" w:sz="4" w:space="0" w:color="auto"/>
              <w:right w:val="single" w:sz="4" w:space="0" w:color="auto"/>
            </w:tcBorders>
            <w:shd w:val="clear" w:color="auto" w:fill="auto"/>
            <w:noWrap/>
            <w:vAlign w:val="bottom"/>
            <w:hideMark/>
          </w:tcPr>
          <w:p w14:paraId="3377641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24.502</w:t>
            </w:r>
          </w:p>
        </w:tc>
        <w:tc>
          <w:tcPr>
            <w:tcW w:w="1276" w:type="dxa"/>
            <w:tcBorders>
              <w:top w:val="nil"/>
              <w:left w:val="nil"/>
              <w:bottom w:val="single" w:sz="4" w:space="0" w:color="auto"/>
              <w:right w:val="single" w:sz="4" w:space="0" w:color="auto"/>
            </w:tcBorders>
            <w:shd w:val="clear" w:color="auto" w:fill="auto"/>
            <w:noWrap/>
            <w:vAlign w:val="bottom"/>
            <w:hideMark/>
          </w:tcPr>
          <w:p w14:paraId="06470E5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21.541</w:t>
            </w:r>
          </w:p>
        </w:tc>
        <w:tc>
          <w:tcPr>
            <w:tcW w:w="1700" w:type="dxa"/>
            <w:tcBorders>
              <w:top w:val="nil"/>
              <w:left w:val="nil"/>
              <w:bottom w:val="single" w:sz="4" w:space="0" w:color="auto"/>
              <w:right w:val="single" w:sz="4" w:space="0" w:color="auto"/>
            </w:tcBorders>
            <w:shd w:val="clear" w:color="auto" w:fill="auto"/>
            <w:noWrap/>
            <w:vAlign w:val="bottom"/>
            <w:hideMark/>
          </w:tcPr>
          <w:p w14:paraId="6EFCCBA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2.961</w:t>
            </w:r>
          </w:p>
        </w:tc>
      </w:tr>
      <w:tr w:rsidR="00486D4D" w:rsidRPr="003F4D72" w14:paraId="39152C9C"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68A71F1"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de Boli Infecțioase „Toma Ciorbă”</w:t>
            </w:r>
          </w:p>
        </w:tc>
        <w:tc>
          <w:tcPr>
            <w:tcW w:w="1984" w:type="dxa"/>
            <w:tcBorders>
              <w:top w:val="nil"/>
              <w:left w:val="nil"/>
              <w:bottom w:val="single" w:sz="4" w:space="0" w:color="auto"/>
              <w:right w:val="single" w:sz="4" w:space="0" w:color="auto"/>
            </w:tcBorders>
            <w:shd w:val="clear" w:color="auto" w:fill="auto"/>
            <w:noWrap/>
            <w:vAlign w:val="bottom"/>
            <w:hideMark/>
          </w:tcPr>
          <w:p w14:paraId="7841F9E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14:paraId="161CD41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6.200</w:t>
            </w:r>
          </w:p>
        </w:tc>
        <w:tc>
          <w:tcPr>
            <w:tcW w:w="1276" w:type="dxa"/>
            <w:tcBorders>
              <w:top w:val="nil"/>
              <w:left w:val="nil"/>
              <w:bottom w:val="single" w:sz="4" w:space="0" w:color="auto"/>
              <w:right w:val="single" w:sz="4" w:space="0" w:color="auto"/>
            </w:tcBorders>
            <w:shd w:val="clear" w:color="auto" w:fill="auto"/>
            <w:noWrap/>
            <w:vAlign w:val="bottom"/>
            <w:hideMark/>
          </w:tcPr>
          <w:p w14:paraId="6B01EAD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1.934</w:t>
            </w:r>
          </w:p>
        </w:tc>
        <w:tc>
          <w:tcPr>
            <w:tcW w:w="1700" w:type="dxa"/>
            <w:tcBorders>
              <w:top w:val="nil"/>
              <w:left w:val="nil"/>
              <w:bottom w:val="single" w:sz="4" w:space="0" w:color="auto"/>
              <w:right w:val="single" w:sz="4" w:space="0" w:color="auto"/>
            </w:tcBorders>
            <w:shd w:val="clear" w:color="auto" w:fill="auto"/>
            <w:noWrap/>
            <w:vAlign w:val="bottom"/>
            <w:hideMark/>
          </w:tcPr>
          <w:p w14:paraId="439B54E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4.266</w:t>
            </w:r>
          </w:p>
        </w:tc>
      </w:tr>
      <w:tr w:rsidR="00486D4D" w:rsidRPr="003F4D72" w14:paraId="2B5CF31A" w14:textId="77777777" w:rsidTr="00EF4460">
        <w:trPr>
          <w:trHeight w:val="127"/>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C5D3ED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de Dermatologie și Maladii Comunicabile </w:t>
            </w:r>
          </w:p>
        </w:tc>
        <w:tc>
          <w:tcPr>
            <w:tcW w:w="1984" w:type="dxa"/>
            <w:tcBorders>
              <w:top w:val="nil"/>
              <w:left w:val="nil"/>
              <w:bottom w:val="single" w:sz="4" w:space="0" w:color="auto"/>
              <w:right w:val="single" w:sz="4" w:space="0" w:color="auto"/>
            </w:tcBorders>
            <w:shd w:val="clear" w:color="auto" w:fill="auto"/>
            <w:noWrap/>
            <w:vAlign w:val="bottom"/>
            <w:hideMark/>
          </w:tcPr>
          <w:p w14:paraId="204022E9"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hideMark/>
          </w:tcPr>
          <w:p w14:paraId="5787FAAB"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2.800</w:t>
            </w:r>
          </w:p>
        </w:tc>
        <w:tc>
          <w:tcPr>
            <w:tcW w:w="1276" w:type="dxa"/>
            <w:tcBorders>
              <w:top w:val="nil"/>
              <w:left w:val="nil"/>
              <w:bottom w:val="single" w:sz="4" w:space="0" w:color="auto"/>
              <w:right w:val="single" w:sz="4" w:space="0" w:color="auto"/>
            </w:tcBorders>
            <w:shd w:val="clear" w:color="auto" w:fill="auto"/>
            <w:noWrap/>
            <w:vAlign w:val="bottom"/>
            <w:hideMark/>
          </w:tcPr>
          <w:p w14:paraId="16A84A8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1.834</w:t>
            </w:r>
          </w:p>
        </w:tc>
        <w:tc>
          <w:tcPr>
            <w:tcW w:w="1700" w:type="dxa"/>
            <w:tcBorders>
              <w:top w:val="nil"/>
              <w:left w:val="nil"/>
              <w:bottom w:val="single" w:sz="4" w:space="0" w:color="auto"/>
              <w:right w:val="single" w:sz="4" w:space="0" w:color="auto"/>
            </w:tcBorders>
            <w:shd w:val="clear" w:color="auto" w:fill="auto"/>
            <w:noWrap/>
            <w:vAlign w:val="bottom"/>
            <w:hideMark/>
          </w:tcPr>
          <w:p w14:paraId="5140507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966</w:t>
            </w:r>
          </w:p>
        </w:tc>
      </w:tr>
      <w:tr w:rsidR="00486D4D" w:rsidRPr="003F4D72" w14:paraId="119B0C0E"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7E6F38E"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Institutul de </w:t>
            </w:r>
            <w:proofErr w:type="spellStart"/>
            <w:r w:rsidRPr="003F4D72">
              <w:rPr>
                <w:rFonts w:asciiTheme="majorHAnsi" w:eastAsia="Times New Roman" w:hAnsiTheme="majorHAnsi" w:cs="Times New Roman"/>
                <w:sz w:val="20"/>
                <w:szCs w:val="20"/>
              </w:rPr>
              <w:t>Ftiziopneumologie</w:t>
            </w:r>
            <w:proofErr w:type="spellEnd"/>
            <w:r w:rsidRPr="003F4D72">
              <w:rPr>
                <w:rFonts w:asciiTheme="majorHAnsi" w:eastAsia="Times New Roman" w:hAnsiTheme="majorHAnsi" w:cs="Times New Roman"/>
                <w:sz w:val="20"/>
                <w:szCs w:val="20"/>
              </w:rPr>
              <w:t xml:space="preserve"> „Chiril </w:t>
            </w:r>
            <w:proofErr w:type="spellStart"/>
            <w:r w:rsidRPr="003F4D72">
              <w:rPr>
                <w:rFonts w:asciiTheme="majorHAnsi" w:eastAsia="Times New Roman" w:hAnsiTheme="majorHAnsi" w:cs="Times New Roman"/>
                <w:sz w:val="20"/>
                <w:szCs w:val="20"/>
              </w:rPr>
              <w:t>Draganiuc</w:t>
            </w:r>
            <w:proofErr w:type="spellEnd"/>
            <w:r w:rsidRPr="003F4D72">
              <w:rPr>
                <w:rFonts w:asciiTheme="majorHAnsi" w:eastAsia="Times New Roman" w:hAnsiTheme="majorHAnsi" w:cs="Times New Roman"/>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14:paraId="621A508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14,7</w:t>
            </w:r>
          </w:p>
        </w:tc>
        <w:tc>
          <w:tcPr>
            <w:tcW w:w="1134" w:type="dxa"/>
            <w:tcBorders>
              <w:top w:val="nil"/>
              <w:left w:val="nil"/>
              <w:bottom w:val="single" w:sz="4" w:space="0" w:color="auto"/>
              <w:right w:val="single" w:sz="4" w:space="0" w:color="auto"/>
            </w:tcBorders>
            <w:shd w:val="clear" w:color="auto" w:fill="auto"/>
            <w:noWrap/>
            <w:vAlign w:val="bottom"/>
            <w:hideMark/>
          </w:tcPr>
          <w:p w14:paraId="268FF88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800</w:t>
            </w:r>
          </w:p>
        </w:tc>
        <w:tc>
          <w:tcPr>
            <w:tcW w:w="1276" w:type="dxa"/>
            <w:tcBorders>
              <w:top w:val="nil"/>
              <w:left w:val="nil"/>
              <w:bottom w:val="single" w:sz="4" w:space="0" w:color="auto"/>
              <w:right w:val="single" w:sz="4" w:space="0" w:color="auto"/>
            </w:tcBorders>
            <w:shd w:val="clear" w:color="auto" w:fill="auto"/>
            <w:noWrap/>
            <w:vAlign w:val="bottom"/>
            <w:hideMark/>
          </w:tcPr>
          <w:p w14:paraId="7C3E105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294</w:t>
            </w:r>
          </w:p>
        </w:tc>
        <w:tc>
          <w:tcPr>
            <w:tcW w:w="1700" w:type="dxa"/>
            <w:tcBorders>
              <w:top w:val="nil"/>
              <w:left w:val="nil"/>
              <w:bottom w:val="single" w:sz="4" w:space="0" w:color="auto"/>
              <w:right w:val="single" w:sz="4" w:space="0" w:color="auto"/>
            </w:tcBorders>
            <w:shd w:val="clear" w:color="auto" w:fill="auto"/>
            <w:noWrap/>
            <w:vAlign w:val="bottom"/>
            <w:hideMark/>
          </w:tcPr>
          <w:p w14:paraId="74057D0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506</w:t>
            </w:r>
          </w:p>
        </w:tc>
      </w:tr>
      <w:tr w:rsidR="00486D4D" w:rsidRPr="003F4D72" w14:paraId="00CEB0A6"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42A2EB6"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Bălți</w:t>
            </w:r>
          </w:p>
        </w:tc>
        <w:tc>
          <w:tcPr>
            <w:tcW w:w="1984" w:type="dxa"/>
            <w:tcBorders>
              <w:top w:val="nil"/>
              <w:left w:val="nil"/>
              <w:bottom w:val="single" w:sz="4" w:space="0" w:color="auto"/>
              <w:right w:val="single" w:sz="4" w:space="0" w:color="auto"/>
            </w:tcBorders>
            <w:shd w:val="clear" w:color="auto" w:fill="auto"/>
            <w:noWrap/>
            <w:vAlign w:val="bottom"/>
            <w:hideMark/>
          </w:tcPr>
          <w:p w14:paraId="614EA36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32,4</w:t>
            </w:r>
          </w:p>
        </w:tc>
        <w:tc>
          <w:tcPr>
            <w:tcW w:w="1134" w:type="dxa"/>
            <w:tcBorders>
              <w:top w:val="nil"/>
              <w:left w:val="nil"/>
              <w:bottom w:val="single" w:sz="4" w:space="0" w:color="auto"/>
              <w:right w:val="single" w:sz="4" w:space="0" w:color="auto"/>
            </w:tcBorders>
            <w:shd w:val="clear" w:color="auto" w:fill="auto"/>
            <w:noWrap/>
            <w:vAlign w:val="bottom"/>
            <w:hideMark/>
          </w:tcPr>
          <w:p w14:paraId="20DEA0F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30.952</w:t>
            </w:r>
          </w:p>
        </w:tc>
        <w:tc>
          <w:tcPr>
            <w:tcW w:w="1276" w:type="dxa"/>
            <w:tcBorders>
              <w:top w:val="nil"/>
              <w:left w:val="nil"/>
              <w:bottom w:val="single" w:sz="4" w:space="0" w:color="auto"/>
              <w:right w:val="single" w:sz="4" w:space="0" w:color="auto"/>
            </w:tcBorders>
            <w:shd w:val="clear" w:color="auto" w:fill="auto"/>
            <w:noWrap/>
            <w:vAlign w:val="bottom"/>
            <w:hideMark/>
          </w:tcPr>
          <w:p w14:paraId="17D2370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22.156</w:t>
            </w:r>
          </w:p>
        </w:tc>
        <w:tc>
          <w:tcPr>
            <w:tcW w:w="1700" w:type="dxa"/>
            <w:tcBorders>
              <w:top w:val="nil"/>
              <w:left w:val="nil"/>
              <w:bottom w:val="single" w:sz="4" w:space="0" w:color="auto"/>
              <w:right w:val="single" w:sz="4" w:space="0" w:color="auto"/>
            </w:tcBorders>
            <w:shd w:val="clear" w:color="auto" w:fill="auto"/>
            <w:noWrap/>
            <w:vAlign w:val="bottom"/>
            <w:hideMark/>
          </w:tcPr>
          <w:p w14:paraId="7696588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8.796</w:t>
            </w:r>
          </w:p>
        </w:tc>
      </w:tr>
      <w:tr w:rsidR="00486D4D" w:rsidRPr="003F4D72" w14:paraId="25687351"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5B8AFA"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de Stat</w:t>
            </w:r>
          </w:p>
        </w:tc>
        <w:tc>
          <w:tcPr>
            <w:tcW w:w="1984" w:type="dxa"/>
            <w:tcBorders>
              <w:top w:val="nil"/>
              <w:left w:val="nil"/>
              <w:bottom w:val="single" w:sz="4" w:space="0" w:color="auto"/>
              <w:right w:val="single" w:sz="4" w:space="0" w:color="auto"/>
            </w:tcBorders>
            <w:shd w:val="clear" w:color="auto" w:fill="auto"/>
            <w:noWrap/>
            <w:vAlign w:val="bottom"/>
            <w:hideMark/>
          </w:tcPr>
          <w:p w14:paraId="16EF54E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6,2</w:t>
            </w:r>
          </w:p>
        </w:tc>
        <w:tc>
          <w:tcPr>
            <w:tcW w:w="1134" w:type="dxa"/>
            <w:tcBorders>
              <w:top w:val="nil"/>
              <w:left w:val="nil"/>
              <w:bottom w:val="single" w:sz="4" w:space="0" w:color="auto"/>
              <w:right w:val="single" w:sz="4" w:space="0" w:color="auto"/>
            </w:tcBorders>
            <w:shd w:val="clear" w:color="auto" w:fill="auto"/>
            <w:noWrap/>
            <w:vAlign w:val="bottom"/>
            <w:hideMark/>
          </w:tcPr>
          <w:p w14:paraId="76996DE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3.398</w:t>
            </w:r>
          </w:p>
        </w:tc>
        <w:tc>
          <w:tcPr>
            <w:tcW w:w="1276" w:type="dxa"/>
            <w:tcBorders>
              <w:top w:val="nil"/>
              <w:left w:val="nil"/>
              <w:bottom w:val="single" w:sz="4" w:space="0" w:color="auto"/>
              <w:right w:val="single" w:sz="4" w:space="0" w:color="auto"/>
            </w:tcBorders>
            <w:shd w:val="clear" w:color="auto" w:fill="auto"/>
            <w:noWrap/>
            <w:vAlign w:val="bottom"/>
            <w:hideMark/>
          </w:tcPr>
          <w:p w14:paraId="771A5E1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793</w:t>
            </w:r>
          </w:p>
        </w:tc>
        <w:tc>
          <w:tcPr>
            <w:tcW w:w="1700" w:type="dxa"/>
            <w:tcBorders>
              <w:top w:val="nil"/>
              <w:left w:val="nil"/>
              <w:bottom w:val="single" w:sz="4" w:space="0" w:color="auto"/>
              <w:right w:val="single" w:sz="4" w:space="0" w:color="auto"/>
            </w:tcBorders>
            <w:shd w:val="clear" w:color="auto" w:fill="auto"/>
            <w:noWrap/>
            <w:vAlign w:val="bottom"/>
            <w:hideMark/>
          </w:tcPr>
          <w:p w14:paraId="49999EA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2.605</w:t>
            </w:r>
          </w:p>
        </w:tc>
      </w:tr>
      <w:tr w:rsidR="00486D4D" w:rsidRPr="003F4D72" w14:paraId="24DE1AF6" w14:textId="77777777" w:rsidTr="00EF4460">
        <w:trPr>
          <w:trHeight w:val="32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31CAD90"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Municipal de Copii nr.1</w:t>
            </w:r>
          </w:p>
        </w:tc>
        <w:tc>
          <w:tcPr>
            <w:tcW w:w="1984" w:type="dxa"/>
            <w:tcBorders>
              <w:top w:val="nil"/>
              <w:left w:val="nil"/>
              <w:bottom w:val="single" w:sz="4" w:space="0" w:color="auto"/>
              <w:right w:val="single" w:sz="4" w:space="0" w:color="auto"/>
            </w:tcBorders>
            <w:shd w:val="clear" w:color="auto" w:fill="auto"/>
            <w:noWrap/>
            <w:vAlign w:val="bottom"/>
            <w:hideMark/>
          </w:tcPr>
          <w:p w14:paraId="6E3B3D8F"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7,3</w:t>
            </w:r>
          </w:p>
        </w:tc>
        <w:tc>
          <w:tcPr>
            <w:tcW w:w="1134" w:type="dxa"/>
            <w:tcBorders>
              <w:top w:val="nil"/>
              <w:left w:val="nil"/>
              <w:bottom w:val="single" w:sz="4" w:space="0" w:color="auto"/>
              <w:right w:val="single" w:sz="4" w:space="0" w:color="auto"/>
            </w:tcBorders>
            <w:shd w:val="clear" w:color="auto" w:fill="auto"/>
            <w:noWrap/>
            <w:vAlign w:val="bottom"/>
            <w:hideMark/>
          </w:tcPr>
          <w:p w14:paraId="71B58564"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6.330</w:t>
            </w:r>
          </w:p>
        </w:tc>
        <w:tc>
          <w:tcPr>
            <w:tcW w:w="1276" w:type="dxa"/>
            <w:tcBorders>
              <w:top w:val="nil"/>
              <w:left w:val="nil"/>
              <w:bottom w:val="single" w:sz="4" w:space="0" w:color="auto"/>
              <w:right w:val="single" w:sz="4" w:space="0" w:color="auto"/>
            </w:tcBorders>
            <w:shd w:val="clear" w:color="auto" w:fill="auto"/>
            <w:noWrap/>
            <w:vAlign w:val="bottom"/>
            <w:hideMark/>
          </w:tcPr>
          <w:p w14:paraId="5BCB43A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3.837</w:t>
            </w:r>
          </w:p>
        </w:tc>
        <w:tc>
          <w:tcPr>
            <w:tcW w:w="1700" w:type="dxa"/>
            <w:tcBorders>
              <w:top w:val="nil"/>
              <w:left w:val="nil"/>
              <w:bottom w:val="single" w:sz="4" w:space="0" w:color="auto"/>
              <w:right w:val="single" w:sz="4" w:space="0" w:color="auto"/>
            </w:tcBorders>
            <w:shd w:val="clear" w:color="auto" w:fill="auto"/>
            <w:noWrap/>
            <w:vAlign w:val="bottom"/>
            <w:hideMark/>
          </w:tcPr>
          <w:p w14:paraId="1FEEBD3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2.493</w:t>
            </w:r>
          </w:p>
        </w:tc>
      </w:tr>
      <w:tr w:rsidR="00486D4D" w:rsidRPr="003F4D72" w14:paraId="59C27690" w14:textId="77777777" w:rsidTr="00EF4460">
        <w:trPr>
          <w:trHeight w:val="1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7BD0E61"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Clinic Municipal de Copii „V. </w:t>
            </w:r>
            <w:proofErr w:type="spellStart"/>
            <w:r w:rsidRPr="003F4D72">
              <w:rPr>
                <w:rFonts w:asciiTheme="majorHAnsi" w:eastAsia="Times New Roman" w:hAnsiTheme="majorHAnsi" w:cs="Times New Roman"/>
                <w:sz w:val="20"/>
                <w:szCs w:val="20"/>
              </w:rPr>
              <w:t>Ignatenco</w:t>
            </w:r>
            <w:proofErr w:type="spellEnd"/>
            <w:r w:rsidRPr="003F4D72">
              <w:rPr>
                <w:rFonts w:asciiTheme="majorHAnsi" w:eastAsia="Times New Roman" w:hAnsiTheme="majorHAnsi" w:cs="Times New Roman"/>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14:paraId="2ADD963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21,9</w:t>
            </w:r>
          </w:p>
        </w:tc>
        <w:tc>
          <w:tcPr>
            <w:tcW w:w="1134" w:type="dxa"/>
            <w:tcBorders>
              <w:top w:val="nil"/>
              <w:left w:val="nil"/>
              <w:bottom w:val="single" w:sz="4" w:space="0" w:color="auto"/>
              <w:right w:val="single" w:sz="4" w:space="0" w:color="auto"/>
            </w:tcBorders>
            <w:shd w:val="clear" w:color="auto" w:fill="auto"/>
            <w:noWrap/>
            <w:vAlign w:val="bottom"/>
            <w:hideMark/>
          </w:tcPr>
          <w:p w14:paraId="11D8F3A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14.100</w:t>
            </w:r>
          </w:p>
        </w:tc>
        <w:tc>
          <w:tcPr>
            <w:tcW w:w="1276" w:type="dxa"/>
            <w:tcBorders>
              <w:top w:val="nil"/>
              <w:left w:val="nil"/>
              <w:bottom w:val="single" w:sz="4" w:space="0" w:color="auto"/>
              <w:right w:val="single" w:sz="4" w:space="0" w:color="auto"/>
            </w:tcBorders>
            <w:shd w:val="clear" w:color="auto" w:fill="auto"/>
            <w:noWrap/>
            <w:vAlign w:val="bottom"/>
            <w:hideMark/>
          </w:tcPr>
          <w:p w14:paraId="4B07490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8.552</w:t>
            </w:r>
          </w:p>
        </w:tc>
        <w:tc>
          <w:tcPr>
            <w:tcW w:w="1700" w:type="dxa"/>
            <w:tcBorders>
              <w:top w:val="nil"/>
              <w:left w:val="nil"/>
              <w:bottom w:val="single" w:sz="4" w:space="0" w:color="auto"/>
              <w:right w:val="single" w:sz="4" w:space="0" w:color="auto"/>
            </w:tcBorders>
            <w:shd w:val="clear" w:color="auto" w:fill="auto"/>
            <w:noWrap/>
            <w:vAlign w:val="bottom"/>
            <w:hideMark/>
          </w:tcPr>
          <w:p w14:paraId="718A17D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5.548</w:t>
            </w:r>
          </w:p>
        </w:tc>
      </w:tr>
      <w:tr w:rsidR="00486D4D" w:rsidRPr="003F4D72" w14:paraId="6C4E466E"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44B6721"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Clinic Municipal de Boli Contagioase Copii </w:t>
            </w:r>
          </w:p>
        </w:tc>
        <w:tc>
          <w:tcPr>
            <w:tcW w:w="1984" w:type="dxa"/>
            <w:tcBorders>
              <w:top w:val="nil"/>
              <w:left w:val="nil"/>
              <w:bottom w:val="single" w:sz="4" w:space="0" w:color="auto"/>
              <w:right w:val="single" w:sz="4" w:space="0" w:color="auto"/>
            </w:tcBorders>
            <w:shd w:val="clear" w:color="auto" w:fill="auto"/>
            <w:noWrap/>
            <w:vAlign w:val="bottom"/>
            <w:hideMark/>
          </w:tcPr>
          <w:p w14:paraId="2BC0174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8,5</w:t>
            </w:r>
          </w:p>
        </w:tc>
        <w:tc>
          <w:tcPr>
            <w:tcW w:w="1134" w:type="dxa"/>
            <w:tcBorders>
              <w:top w:val="nil"/>
              <w:left w:val="nil"/>
              <w:bottom w:val="single" w:sz="4" w:space="0" w:color="auto"/>
              <w:right w:val="single" w:sz="4" w:space="0" w:color="auto"/>
            </w:tcBorders>
            <w:shd w:val="clear" w:color="auto" w:fill="auto"/>
            <w:noWrap/>
            <w:vAlign w:val="bottom"/>
            <w:hideMark/>
          </w:tcPr>
          <w:p w14:paraId="034A0B2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5.800</w:t>
            </w:r>
          </w:p>
        </w:tc>
        <w:tc>
          <w:tcPr>
            <w:tcW w:w="1276" w:type="dxa"/>
            <w:tcBorders>
              <w:top w:val="nil"/>
              <w:left w:val="nil"/>
              <w:bottom w:val="single" w:sz="4" w:space="0" w:color="auto"/>
              <w:right w:val="single" w:sz="4" w:space="0" w:color="auto"/>
            </w:tcBorders>
            <w:shd w:val="clear" w:color="auto" w:fill="auto"/>
            <w:noWrap/>
            <w:vAlign w:val="bottom"/>
            <w:hideMark/>
          </w:tcPr>
          <w:p w14:paraId="4A99F95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1.919</w:t>
            </w:r>
          </w:p>
        </w:tc>
        <w:tc>
          <w:tcPr>
            <w:tcW w:w="1700" w:type="dxa"/>
            <w:tcBorders>
              <w:top w:val="nil"/>
              <w:left w:val="nil"/>
              <w:bottom w:val="single" w:sz="4" w:space="0" w:color="auto"/>
              <w:right w:val="single" w:sz="4" w:space="0" w:color="auto"/>
            </w:tcBorders>
            <w:shd w:val="clear" w:color="auto" w:fill="auto"/>
            <w:noWrap/>
            <w:vAlign w:val="bottom"/>
            <w:hideMark/>
          </w:tcPr>
          <w:p w14:paraId="1000086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3.881</w:t>
            </w:r>
          </w:p>
        </w:tc>
      </w:tr>
      <w:tr w:rsidR="00486D4D" w:rsidRPr="003F4D72" w14:paraId="7ED6139E"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1F0D7F5"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Municipal „Gheorghe Paladi”</w:t>
            </w:r>
          </w:p>
        </w:tc>
        <w:tc>
          <w:tcPr>
            <w:tcW w:w="1984" w:type="dxa"/>
            <w:tcBorders>
              <w:top w:val="nil"/>
              <w:left w:val="nil"/>
              <w:bottom w:val="single" w:sz="4" w:space="0" w:color="auto"/>
              <w:right w:val="single" w:sz="4" w:space="0" w:color="auto"/>
            </w:tcBorders>
            <w:shd w:val="clear" w:color="auto" w:fill="auto"/>
            <w:noWrap/>
            <w:vAlign w:val="bottom"/>
            <w:hideMark/>
          </w:tcPr>
          <w:p w14:paraId="5F999E5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30,1</w:t>
            </w:r>
          </w:p>
        </w:tc>
        <w:tc>
          <w:tcPr>
            <w:tcW w:w="1134" w:type="dxa"/>
            <w:tcBorders>
              <w:top w:val="nil"/>
              <w:left w:val="nil"/>
              <w:bottom w:val="single" w:sz="4" w:space="0" w:color="auto"/>
              <w:right w:val="single" w:sz="4" w:space="0" w:color="auto"/>
            </w:tcBorders>
            <w:shd w:val="clear" w:color="auto" w:fill="auto"/>
            <w:noWrap/>
            <w:vAlign w:val="bottom"/>
            <w:hideMark/>
          </w:tcPr>
          <w:p w14:paraId="235CE66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28.150</w:t>
            </w:r>
          </w:p>
        </w:tc>
        <w:tc>
          <w:tcPr>
            <w:tcW w:w="1276" w:type="dxa"/>
            <w:tcBorders>
              <w:top w:val="nil"/>
              <w:left w:val="nil"/>
              <w:bottom w:val="single" w:sz="4" w:space="0" w:color="auto"/>
              <w:right w:val="single" w:sz="4" w:space="0" w:color="auto"/>
            </w:tcBorders>
            <w:shd w:val="clear" w:color="auto" w:fill="auto"/>
            <w:noWrap/>
            <w:vAlign w:val="bottom"/>
            <w:hideMark/>
          </w:tcPr>
          <w:p w14:paraId="3E007D2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20.826</w:t>
            </w:r>
          </w:p>
        </w:tc>
        <w:tc>
          <w:tcPr>
            <w:tcW w:w="1700" w:type="dxa"/>
            <w:tcBorders>
              <w:top w:val="nil"/>
              <w:left w:val="nil"/>
              <w:bottom w:val="single" w:sz="4" w:space="0" w:color="auto"/>
              <w:right w:val="single" w:sz="4" w:space="0" w:color="auto"/>
            </w:tcBorders>
            <w:shd w:val="clear" w:color="auto" w:fill="auto"/>
            <w:noWrap/>
            <w:vAlign w:val="bottom"/>
            <w:hideMark/>
          </w:tcPr>
          <w:p w14:paraId="33CDF25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7.324</w:t>
            </w:r>
          </w:p>
        </w:tc>
      </w:tr>
      <w:tr w:rsidR="00486D4D" w:rsidRPr="003F4D72" w14:paraId="617C3844"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5BBA0D0"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Municipal „</w:t>
            </w:r>
            <w:r w:rsidR="00CB7074" w:rsidRPr="003F4D72">
              <w:rPr>
                <w:rFonts w:asciiTheme="majorHAnsi" w:eastAsia="Times New Roman" w:hAnsiTheme="majorHAnsi" w:cs="Times New Roman"/>
                <w:sz w:val="20"/>
                <w:szCs w:val="20"/>
              </w:rPr>
              <w:t>Sfântul</w:t>
            </w:r>
            <w:r w:rsidRPr="003F4D72">
              <w:rPr>
                <w:rFonts w:asciiTheme="majorHAnsi" w:eastAsia="Times New Roman" w:hAnsiTheme="majorHAnsi" w:cs="Times New Roman"/>
                <w:sz w:val="20"/>
                <w:szCs w:val="20"/>
              </w:rPr>
              <w:t xml:space="preserve"> Arhanghel Mihail”</w:t>
            </w:r>
          </w:p>
        </w:tc>
        <w:tc>
          <w:tcPr>
            <w:tcW w:w="1984" w:type="dxa"/>
            <w:tcBorders>
              <w:top w:val="nil"/>
              <w:left w:val="nil"/>
              <w:bottom w:val="single" w:sz="4" w:space="0" w:color="auto"/>
              <w:right w:val="single" w:sz="4" w:space="0" w:color="auto"/>
            </w:tcBorders>
            <w:shd w:val="clear" w:color="auto" w:fill="auto"/>
            <w:noWrap/>
            <w:vAlign w:val="bottom"/>
            <w:hideMark/>
          </w:tcPr>
          <w:p w14:paraId="3A1534B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18,2</w:t>
            </w:r>
          </w:p>
        </w:tc>
        <w:tc>
          <w:tcPr>
            <w:tcW w:w="1134" w:type="dxa"/>
            <w:tcBorders>
              <w:top w:val="nil"/>
              <w:left w:val="nil"/>
              <w:bottom w:val="single" w:sz="4" w:space="0" w:color="auto"/>
              <w:right w:val="single" w:sz="4" w:space="0" w:color="auto"/>
            </w:tcBorders>
            <w:shd w:val="clear" w:color="auto" w:fill="auto"/>
            <w:noWrap/>
            <w:vAlign w:val="bottom"/>
            <w:hideMark/>
          </w:tcPr>
          <w:p w14:paraId="5A9317C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10.410</w:t>
            </w:r>
          </w:p>
        </w:tc>
        <w:tc>
          <w:tcPr>
            <w:tcW w:w="1276" w:type="dxa"/>
            <w:tcBorders>
              <w:top w:val="nil"/>
              <w:left w:val="nil"/>
              <w:bottom w:val="single" w:sz="4" w:space="0" w:color="auto"/>
              <w:right w:val="single" w:sz="4" w:space="0" w:color="auto"/>
            </w:tcBorders>
            <w:shd w:val="clear" w:color="auto" w:fill="auto"/>
            <w:noWrap/>
            <w:vAlign w:val="bottom"/>
            <w:hideMark/>
          </w:tcPr>
          <w:p w14:paraId="5804374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2.881</w:t>
            </w:r>
          </w:p>
        </w:tc>
        <w:tc>
          <w:tcPr>
            <w:tcW w:w="1700" w:type="dxa"/>
            <w:tcBorders>
              <w:top w:val="nil"/>
              <w:left w:val="nil"/>
              <w:bottom w:val="single" w:sz="4" w:space="0" w:color="auto"/>
              <w:right w:val="single" w:sz="4" w:space="0" w:color="auto"/>
            </w:tcBorders>
            <w:shd w:val="clear" w:color="auto" w:fill="auto"/>
            <w:noWrap/>
            <w:vAlign w:val="bottom"/>
            <w:hideMark/>
          </w:tcPr>
          <w:p w14:paraId="34CAC1D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7.529</w:t>
            </w:r>
          </w:p>
        </w:tc>
      </w:tr>
      <w:tr w:rsidR="00486D4D" w:rsidRPr="003F4D72" w14:paraId="7F57C14A"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58761A4"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Municipal „</w:t>
            </w:r>
            <w:r w:rsidR="00CB7074" w:rsidRPr="003F4D72">
              <w:rPr>
                <w:rFonts w:asciiTheme="majorHAnsi" w:eastAsia="Times New Roman" w:hAnsiTheme="majorHAnsi" w:cs="Times New Roman"/>
                <w:sz w:val="20"/>
                <w:szCs w:val="20"/>
              </w:rPr>
              <w:t>Sfântă</w:t>
            </w:r>
            <w:r w:rsidRPr="003F4D72">
              <w:rPr>
                <w:rFonts w:asciiTheme="majorHAnsi" w:eastAsia="Times New Roman" w:hAnsiTheme="majorHAnsi" w:cs="Times New Roman"/>
                <w:sz w:val="20"/>
                <w:szCs w:val="20"/>
              </w:rPr>
              <w:t xml:space="preserve"> Treime”</w:t>
            </w:r>
          </w:p>
        </w:tc>
        <w:tc>
          <w:tcPr>
            <w:tcW w:w="1984" w:type="dxa"/>
            <w:tcBorders>
              <w:top w:val="nil"/>
              <w:left w:val="nil"/>
              <w:bottom w:val="single" w:sz="4" w:space="0" w:color="auto"/>
              <w:right w:val="single" w:sz="4" w:space="0" w:color="auto"/>
            </w:tcBorders>
            <w:shd w:val="clear" w:color="auto" w:fill="auto"/>
            <w:noWrap/>
            <w:vAlign w:val="bottom"/>
            <w:hideMark/>
          </w:tcPr>
          <w:p w14:paraId="65B9C1B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4,8</w:t>
            </w:r>
          </w:p>
        </w:tc>
        <w:tc>
          <w:tcPr>
            <w:tcW w:w="1134" w:type="dxa"/>
            <w:tcBorders>
              <w:top w:val="nil"/>
              <w:left w:val="nil"/>
              <w:bottom w:val="single" w:sz="4" w:space="0" w:color="auto"/>
              <w:right w:val="single" w:sz="4" w:space="0" w:color="auto"/>
            </w:tcBorders>
            <w:shd w:val="clear" w:color="auto" w:fill="auto"/>
            <w:noWrap/>
            <w:vAlign w:val="bottom"/>
            <w:hideMark/>
          </w:tcPr>
          <w:p w14:paraId="2249947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20.110</w:t>
            </w:r>
          </w:p>
        </w:tc>
        <w:tc>
          <w:tcPr>
            <w:tcW w:w="1276" w:type="dxa"/>
            <w:tcBorders>
              <w:top w:val="nil"/>
              <w:left w:val="nil"/>
              <w:bottom w:val="single" w:sz="4" w:space="0" w:color="auto"/>
              <w:right w:val="single" w:sz="4" w:space="0" w:color="auto"/>
            </w:tcBorders>
            <w:shd w:val="clear" w:color="auto" w:fill="auto"/>
            <w:noWrap/>
            <w:vAlign w:val="bottom"/>
            <w:hideMark/>
          </w:tcPr>
          <w:p w14:paraId="7BD1BD9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16.505</w:t>
            </w:r>
          </w:p>
        </w:tc>
        <w:tc>
          <w:tcPr>
            <w:tcW w:w="1700" w:type="dxa"/>
            <w:tcBorders>
              <w:top w:val="nil"/>
              <w:left w:val="nil"/>
              <w:bottom w:val="single" w:sz="4" w:space="0" w:color="auto"/>
              <w:right w:val="single" w:sz="4" w:space="0" w:color="auto"/>
            </w:tcBorders>
            <w:shd w:val="clear" w:color="auto" w:fill="auto"/>
            <w:noWrap/>
            <w:vAlign w:val="bottom"/>
            <w:hideMark/>
          </w:tcPr>
          <w:p w14:paraId="38646A8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3.605</w:t>
            </w:r>
          </w:p>
        </w:tc>
      </w:tr>
      <w:tr w:rsidR="00486D4D" w:rsidRPr="003F4D72" w14:paraId="61461BAF"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49F249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Clinic Municipal nr.4</w:t>
            </w:r>
          </w:p>
        </w:tc>
        <w:tc>
          <w:tcPr>
            <w:tcW w:w="1984" w:type="dxa"/>
            <w:tcBorders>
              <w:top w:val="nil"/>
              <w:left w:val="nil"/>
              <w:bottom w:val="single" w:sz="4" w:space="0" w:color="auto"/>
              <w:right w:val="single" w:sz="4" w:space="0" w:color="auto"/>
            </w:tcBorders>
            <w:shd w:val="clear" w:color="auto" w:fill="auto"/>
            <w:noWrap/>
            <w:vAlign w:val="bottom"/>
            <w:hideMark/>
          </w:tcPr>
          <w:p w14:paraId="484AFC6F"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14:paraId="7FC310C7"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14:paraId="7967960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0</w:t>
            </w:r>
          </w:p>
        </w:tc>
        <w:tc>
          <w:tcPr>
            <w:tcW w:w="1700" w:type="dxa"/>
            <w:tcBorders>
              <w:top w:val="nil"/>
              <w:left w:val="nil"/>
              <w:bottom w:val="single" w:sz="4" w:space="0" w:color="auto"/>
              <w:right w:val="single" w:sz="4" w:space="0" w:color="auto"/>
            </w:tcBorders>
            <w:shd w:val="clear" w:color="auto" w:fill="auto"/>
            <w:noWrap/>
            <w:vAlign w:val="bottom"/>
            <w:hideMark/>
          </w:tcPr>
          <w:p w14:paraId="15F4895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0</w:t>
            </w:r>
          </w:p>
        </w:tc>
      </w:tr>
      <w:tr w:rsidR="00486D4D" w:rsidRPr="003F4D72" w14:paraId="126188F0"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9A0E82E"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Maternitatea Municipală nr.2</w:t>
            </w:r>
          </w:p>
        </w:tc>
        <w:tc>
          <w:tcPr>
            <w:tcW w:w="1984" w:type="dxa"/>
            <w:tcBorders>
              <w:top w:val="nil"/>
              <w:left w:val="nil"/>
              <w:bottom w:val="single" w:sz="4" w:space="0" w:color="auto"/>
              <w:right w:val="single" w:sz="4" w:space="0" w:color="auto"/>
            </w:tcBorders>
            <w:shd w:val="clear" w:color="auto" w:fill="auto"/>
            <w:noWrap/>
            <w:vAlign w:val="bottom"/>
            <w:hideMark/>
          </w:tcPr>
          <w:p w14:paraId="0CF8243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26926DA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3.868</w:t>
            </w:r>
          </w:p>
        </w:tc>
        <w:tc>
          <w:tcPr>
            <w:tcW w:w="1276" w:type="dxa"/>
            <w:tcBorders>
              <w:top w:val="nil"/>
              <w:left w:val="nil"/>
              <w:bottom w:val="single" w:sz="4" w:space="0" w:color="auto"/>
              <w:right w:val="single" w:sz="4" w:space="0" w:color="auto"/>
            </w:tcBorders>
            <w:shd w:val="clear" w:color="auto" w:fill="auto"/>
            <w:noWrap/>
            <w:vAlign w:val="bottom"/>
            <w:hideMark/>
          </w:tcPr>
          <w:p w14:paraId="5A86974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1.885</w:t>
            </w:r>
          </w:p>
        </w:tc>
        <w:tc>
          <w:tcPr>
            <w:tcW w:w="1700" w:type="dxa"/>
            <w:tcBorders>
              <w:top w:val="nil"/>
              <w:left w:val="nil"/>
              <w:bottom w:val="single" w:sz="4" w:space="0" w:color="auto"/>
              <w:right w:val="single" w:sz="4" w:space="0" w:color="auto"/>
            </w:tcBorders>
            <w:shd w:val="clear" w:color="auto" w:fill="auto"/>
            <w:noWrap/>
            <w:vAlign w:val="bottom"/>
            <w:hideMark/>
          </w:tcPr>
          <w:p w14:paraId="786694A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1.983</w:t>
            </w:r>
          </w:p>
        </w:tc>
      </w:tr>
      <w:tr w:rsidR="00486D4D" w:rsidRPr="003F4D72" w14:paraId="3721C302"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CF1091"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Clinic Municipal de </w:t>
            </w:r>
            <w:proofErr w:type="spellStart"/>
            <w:r w:rsidRPr="003F4D72">
              <w:rPr>
                <w:rFonts w:asciiTheme="majorHAnsi" w:eastAsia="Times New Roman" w:hAnsiTheme="majorHAnsi" w:cs="Times New Roman"/>
                <w:sz w:val="20"/>
                <w:szCs w:val="20"/>
              </w:rPr>
              <w:t>Ftiziopneumologie</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CBB590E"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14:paraId="5A542169"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14:paraId="6892A33E"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0</w:t>
            </w:r>
          </w:p>
        </w:tc>
        <w:tc>
          <w:tcPr>
            <w:tcW w:w="1700" w:type="dxa"/>
            <w:tcBorders>
              <w:top w:val="nil"/>
              <w:left w:val="nil"/>
              <w:bottom w:val="single" w:sz="4" w:space="0" w:color="auto"/>
              <w:right w:val="single" w:sz="4" w:space="0" w:color="auto"/>
            </w:tcBorders>
            <w:shd w:val="clear" w:color="auto" w:fill="auto"/>
            <w:noWrap/>
            <w:vAlign w:val="bottom"/>
            <w:hideMark/>
          </w:tcPr>
          <w:p w14:paraId="5C8D632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0</w:t>
            </w:r>
          </w:p>
        </w:tc>
      </w:tr>
      <w:tr w:rsidR="00486D4D" w:rsidRPr="003F4D72" w14:paraId="22989F1D"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542F686"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Raional </w:t>
            </w:r>
            <w:proofErr w:type="spellStart"/>
            <w:r w:rsidRPr="003F4D72">
              <w:rPr>
                <w:rFonts w:asciiTheme="majorHAnsi" w:eastAsia="Times New Roman" w:hAnsiTheme="majorHAnsi" w:cs="Times New Roman"/>
                <w:sz w:val="20"/>
                <w:szCs w:val="20"/>
              </w:rPr>
              <w:t>Edineț</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14:paraId="14F8418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14:paraId="12F5CF0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9.230</w:t>
            </w:r>
          </w:p>
        </w:tc>
        <w:tc>
          <w:tcPr>
            <w:tcW w:w="1276" w:type="dxa"/>
            <w:tcBorders>
              <w:top w:val="nil"/>
              <w:left w:val="nil"/>
              <w:bottom w:val="single" w:sz="4" w:space="0" w:color="auto"/>
              <w:right w:val="single" w:sz="4" w:space="0" w:color="auto"/>
            </w:tcBorders>
            <w:shd w:val="clear" w:color="auto" w:fill="auto"/>
            <w:noWrap/>
            <w:vAlign w:val="bottom"/>
            <w:hideMark/>
          </w:tcPr>
          <w:p w14:paraId="7B13045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7.364</w:t>
            </w:r>
          </w:p>
        </w:tc>
        <w:tc>
          <w:tcPr>
            <w:tcW w:w="1700" w:type="dxa"/>
            <w:tcBorders>
              <w:top w:val="nil"/>
              <w:left w:val="nil"/>
              <w:bottom w:val="single" w:sz="4" w:space="0" w:color="auto"/>
              <w:right w:val="single" w:sz="4" w:space="0" w:color="auto"/>
            </w:tcBorders>
            <w:shd w:val="clear" w:color="auto" w:fill="auto"/>
            <w:noWrap/>
            <w:vAlign w:val="bottom"/>
            <w:hideMark/>
          </w:tcPr>
          <w:p w14:paraId="239B946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1.866</w:t>
            </w:r>
          </w:p>
        </w:tc>
      </w:tr>
      <w:tr w:rsidR="00486D4D" w:rsidRPr="003F4D72" w14:paraId="7E3A646B"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41CECC2"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Briceni</w:t>
            </w:r>
          </w:p>
        </w:tc>
        <w:tc>
          <w:tcPr>
            <w:tcW w:w="1984" w:type="dxa"/>
            <w:tcBorders>
              <w:top w:val="nil"/>
              <w:left w:val="nil"/>
              <w:bottom w:val="single" w:sz="4" w:space="0" w:color="auto"/>
              <w:right w:val="single" w:sz="4" w:space="0" w:color="auto"/>
            </w:tcBorders>
            <w:shd w:val="clear" w:color="auto" w:fill="auto"/>
            <w:noWrap/>
            <w:vAlign w:val="bottom"/>
            <w:hideMark/>
          </w:tcPr>
          <w:p w14:paraId="74B3A46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14:paraId="2AB783D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4.726</w:t>
            </w:r>
          </w:p>
        </w:tc>
        <w:tc>
          <w:tcPr>
            <w:tcW w:w="1276" w:type="dxa"/>
            <w:tcBorders>
              <w:top w:val="nil"/>
              <w:left w:val="nil"/>
              <w:bottom w:val="single" w:sz="4" w:space="0" w:color="auto"/>
              <w:right w:val="single" w:sz="4" w:space="0" w:color="auto"/>
            </w:tcBorders>
            <w:shd w:val="clear" w:color="auto" w:fill="auto"/>
            <w:noWrap/>
            <w:vAlign w:val="bottom"/>
            <w:hideMark/>
          </w:tcPr>
          <w:p w14:paraId="5D48FF4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2.915</w:t>
            </w:r>
          </w:p>
        </w:tc>
        <w:tc>
          <w:tcPr>
            <w:tcW w:w="1700" w:type="dxa"/>
            <w:tcBorders>
              <w:top w:val="nil"/>
              <w:left w:val="nil"/>
              <w:bottom w:val="single" w:sz="4" w:space="0" w:color="auto"/>
              <w:right w:val="single" w:sz="4" w:space="0" w:color="auto"/>
            </w:tcBorders>
            <w:shd w:val="clear" w:color="auto" w:fill="auto"/>
            <w:noWrap/>
            <w:vAlign w:val="bottom"/>
            <w:hideMark/>
          </w:tcPr>
          <w:p w14:paraId="5477426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1.811</w:t>
            </w:r>
          </w:p>
        </w:tc>
      </w:tr>
      <w:tr w:rsidR="00486D4D" w:rsidRPr="003F4D72" w14:paraId="547BEE56"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12B4D44"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lastRenderedPageBreak/>
              <w:t xml:space="preserve">IMSP Spitalul Raional </w:t>
            </w:r>
            <w:r w:rsidR="00CB7074" w:rsidRPr="003F4D72">
              <w:rPr>
                <w:rFonts w:asciiTheme="majorHAnsi" w:eastAsia="Times New Roman" w:hAnsiTheme="majorHAnsi" w:cs="Times New Roman"/>
                <w:sz w:val="20"/>
                <w:szCs w:val="20"/>
              </w:rPr>
              <w:t>Râșcani</w:t>
            </w:r>
          </w:p>
        </w:tc>
        <w:tc>
          <w:tcPr>
            <w:tcW w:w="1984" w:type="dxa"/>
            <w:tcBorders>
              <w:top w:val="nil"/>
              <w:left w:val="nil"/>
              <w:bottom w:val="single" w:sz="4" w:space="0" w:color="auto"/>
              <w:right w:val="single" w:sz="4" w:space="0" w:color="auto"/>
            </w:tcBorders>
            <w:shd w:val="clear" w:color="auto" w:fill="auto"/>
            <w:noWrap/>
            <w:vAlign w:val="bottom"/>
            <w:hideMark/>
          </w:tcPr>
          <w:p w14:paraId="153FEED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14:paraId="50BB60D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5.241</w:t>
            </w:r>
          </w:p>
        </w:tc>
        <w:tc>
          <w:tcPr>
            <w:tcW w:w="1276" w:type="dxa"/>
            <w:tcBorders>
              <w:top w:val="nil"/>
              <w:left w:val="nil"/>
              <w:bottom w:val="single" w:sz="4" w:space="0" w:color="auto"/>
              <w:right w:val="single" w:sz="4" w:space="0" w:color="auto"/>
            </w:tcBorders>
            <w:shd w:val="clear" w:color="auto" w:fill="auto"/>
            <w:noWrap/>
            <w:vAlign w:val="bottom"/>
            <w:hideMark/>
          </w:tcPr>
          <w:p w14:paraId="3F7FCA3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4.350</w:t>
            </w:r>
          </w:p>
        </w:tc>
        <w:tc>
          <w:tcPr>
            <w:tcW w:w="1700" w:type="dxa"/>
            <w:tcBorders>
              <w:top w:val="nil"/>
              <w:left w:val="nil"/>
              <w:bottom w:val="single" w:sz="4" w:space="0" w:color="auto"/>
              <w:right w:val="single" w:sz="4" w:space="0" w:color="auto"/>
            </w:tcBorders>
            <w:shd w:val="clear" w:color="auto" w:fill="auto"/>
            <w:noWrap/>
            <w:vAlign w:val="bottom"/>
            <w:hideMark/>
          </w:tcPr>
          <w:p w14:paraId="247C6D5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891</w:t>
            </w:r>
          </w:p>
        </w:tc>
      </w:tr>
      <w:tr w:rsidR="00486D4D" w:rsidRPr="003F4D72" w14:paraId="0B709A07"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1732E8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Glodeni</w:t>
            </w:r>
          </w:p>
        </w:tc>
        <w:tc>
          <w:tcPr>
            <w:tcW w:w="1984" w:type="dxa"/>
            <w:tcBorders>
              <w:top w:val="nil"/>
              <w:left w:val="nil"/>
              <w:bottom w:val="single" w:sz="4" w:space="0" w:color="auto"/>
              <w:right w:val="single" w:sz="4" w:space="0" w:color="auto"/>
            </w:tcBorders>
            <w:shd w:val="clear" w:color="auto" w:fill="auto"/>
            <w:noWrap/>
            <w:vAlign w:val="bottom"/>
            <w:hideMark/>
          </w:tcPr>
          <w:p w14:paraId="2ACC263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6,2</w:t>
            </w:r>
          </w:p>
        </w:tc>
        <w:tc>
          <w:tcPr>
            <w:tcW w:w="1134" w:type="dxa"/>
            <w:tcBorders>
              <w:top w:val="nil"/>
              <w:left w:val="nil"/>
              <w:bottom w:val="single" w:sz="4" w:space="0" w:color="auto"/>
              <w:right w:val="single" w:sz="4" w:space="0" w:color="auto"/>
            </w:tcBorders>
            <w:shd w:val="clear" w:color="auto" w:fill="auto"/>
            <w:noWrap/>
            <w:vAlign w:val="bottom"/>
            <w:hideMark/>
          </w:tcPr>
          <w:p w14:paraId="74E1EE0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4.938</w:t>
            </w:r>
          </w:p>
        </w:tc>
        <w:tc>
          <w:tcPr>
            <w:tcW w:w="1276" w:type="dxa"/>
            <w:tcBorders>
              <w:top w:val="nil"/>
              <w:left w:val="nil"/>
              <w:bottom w:val="single" w:sz="4" w:space="0" w:color="auto"/>
              <w:right w:val="single" w:sz="4" w:space="0" w:color="auto"/>
            </w:tcBorders>
            <w:shd w:val="clear" w:color="auto" w:fill="auto"/>
            <w:noWrap/>
            <w:vAlign w:val="bottom"/>
            <w:hideMark/>
          </w:tcPr>
          <w:p w14:paraId="1A7586A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3.394</w:t>
            </w:r>
          </w:p>
        </w:tc>
        <w:tc>
          <w:tcPr>
            <w:tcW w:w="1700" w:type="dxa"/>
            <w:tcBorders>
              <w:top w:val="nil"/>
              <w:left w:val="nil"/>
              <w:bottom w:val="single" w:sz="4" w:space="0" w:color="auto"/>
              <w:right w:val="single" w:sz="4" w:space="0" w:color="auto"/>
            </w:tcBorders>
            <w:shd w:val="clear" w:color="auto" w:fill="auto"/>
            <w:noWrap/>
            <w:vAlign w:val="bottom"/>
            <w:hideMark/>
          </w:tcPr>
          <w:p w14:paraId="29BB246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1.544</w:t>
            </w:r>
          </w:p>
        </w:tc>
      </w:tr>
      <w:tr w:rsidR="00486D4D" w:rsidRPr="003F4D72" w14:paraId="79DEEAD8"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9D1B5C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Raional </w:t>
            </w:r>
            <w:r w:rsidR="00CB7074" w:rsidRPr="003F4D72">
              <w:rPr>
                <w:rFonts w:asciiTheme="majorHAnsi" w:eastAsia="Times New Roman" w:hAnsiTheme="majorHAnsi" w:cs="Times New Roman"/>
                <w:sz w:val="20"/>
                <w:szCs w:val="20"/>
              </w:rPr>
              <w:t>Sângerei</w:t>
            </w:r>
          </w:p>
        </w:tc>
        <w:tc>
          <w:tcPr>
            <w:tcW w:w="1984" w:type="dxa"/>
            <w:tcBorders>
              <w:top w:val="nil"/>
              <w:left w:val="nil"/>
              <w:bottom w:val="single" w:sz="4" w:space="0" w:color="auto"/>
              <w:right w:val="single" w:sz="4" w:space="0" w:color="auto"/>
            </w:tcBorders>
            <w:shd w:val="clear" w:color="auto" w:fill="auto"/>
            <w:noWrap/>
            <w:vAlign w:val="bottom"/>
            <w:hideMark/>
          </w:tcPr>
          <w:p w14:paraId="7D36F50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14:paraId="4062B25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5.198</w:t>
            </w:r>
          </w:p>
        </w:tc>
        <w:tc>
          <w:tcPr>
            <w:tcW w:w="1276" w:type="dxa"/>
            <w:tcBorders>
              <w:top w:val="nil"/>
              <w:left w:val="nil"/>
              <w:bottom w:val="single" w:sz="4" w:space="0" w:color="auto"/>
              <w:right w:val="single" w:sz="4" w:space="0" w:color="auto"/>
            </w:tcBorders>
            <w:shd w:val="clear" w:color="auto" w:fill="auto"/>
            <w:noWrap/>
            <w:vAlign w:val="bottom"/>
            <w:hideMark/>
          </w:tcPr>
          <w:p w14:paraId="256047E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4.018</w:t>
            </w:r>
          </w:p>
        </w:tc>
        <w:tc>
          <w:tcPr>
            <w:tcW w:w="1700" w:type="dxa"/>
            <w:tcBorders>
              <w:top w:val="nil"/>
              <w:left w:val="nil"/>
              <w:bottom w:val="single" w:sz="4" w:space="0" w:color="auto"/>
              <w:right w:val="single" w:sz="4" w:space="0" w:color="auto"/>
            </w:tcBorders>
            <w:shd w:val="clear" w:color="auto" w:fill="auto"/>
            <w:noWrap/>
            <w:vAlign w:val="bottom"/>
            <w:hideMark/>
          </w:tcPr>
          <w:p w14:paraId="79B3981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1.180</w:t>
            </w:r>
          </w:p>
        </w:tc>
      </w:tr>
      <w:tr w:rsidR="00486D4D" w:rsidRPr="003F4D72" w14:paraId="63504F36"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7E452BB"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Soroca „</w:t>
            </w:r>
            <w:r w:rsidR="00CB7074" w:rsidRPr="003F4D72">
              <w:rPr>
                <w:rFonts w:asciiTheme="majorHAnsi" w:eastAsia="Times New Roman" w:hAnsiTheme="majorHAnsi" w:cs="Times New Roman"/>
                <w:sz w:val="20"/>
                <w:szCs w:val="20"/>
              </w:rPr>
              <w:t>A. Prisăcari</w:t>
            </w:r>
            <w:r w:rsidRPr="003F4D72">
              <w:rPr>
                <w:rFonts w:asciiTheme="majorHAnsi" w:eastAsia="Times New Roman" w:hAnsiTheme="majorHAnsi" w:cs="Times New Roman"/>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14:paraId="0D46D04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70B1603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10.160</w:t>
            </w:r>
          </w:p>
        </w:tc>
        <w:tc>
          <w:tcPr>
            <w:tcW w:w="1276" w:type="dxa"/>
            <w:tcBorders>
              <w:top w:val="nil"/>
              <w:left w:val="nil"/>
              <w:bottom w:val="single" w:sz="4" w:space="0" w:color="auto"/>
              <w:right w:val="single" w:sz="4" w:space="0" w:color="auto"/>
            </w:tcBorders>
            <w:shd w:val="clear" w:color="auto" w:fill="auto"/>
            <w:noWrap/>
            <w:vAlign w:val="bottom"/>
            <w:hideMark/>
          </w:tcPr>
          <w:p w14:paraId="5FC4830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5.571</w:t>
            </w:r>
          </w:p>
        </w:tc>
        <w:tc>
          <w:tcPr>
            <w:tcW w:w="1700" w:type="dxa"/>
            <w:tcBorders>
              <w:top w:val="nil"/>
              <w:left w:val="nil"/>
              <w:bottom w:val="single" w:sz="4" w:space="0" w:color="auto"/>
              <w:right w:val="single" w:sz="4" w:space="0" w:color="auto"/>
            </w:tcBorders>
            <w:shd w:val="clear" w:color="auto" w:fill="auto"/>
            <w:noWrap/>
            <w:vAlign w:val="bottom"/>
            <w:hideMark/>
          </w:tcPr>
          <w:p w14:paraId="10E2AE9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4.589</w:t>
            </w:r>
          </w:p>
        </w:tc>
      </w:tr>
      <w:tr w:rsidR="00486D4D" w:rsidRPr="003F4D72" w14:paraId="124A60AF"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AFBB697"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Raional Drochia „Nicolae </w:t>
            </w:r>
            <w:proofErr w:type="spellStart"/>
            <w:r w:rsidRPr="003F4D72">
              <w:rPr>
                <w:rFonts w:asciiTheme="majorHAnsi" w:eastAsia="Times New Roman" w:hAnsiTheme="majorHAnsi" w:cs="Times New Roman"/>
                <w:sz w:val="20"/>
                <w:szCs w:val="20"/>
              </w:rPr>
              <w:t>Testemițanu</w:t>
            </w:r>
            <w:proofErr w:type="spellEnd"/>
            <w:r w:rsidRPr="003F4D72">
              <w:rPr>
                <w:rFonts w:asciiTheme="majorHAnsi" w:eastAsia="Times New Roman" w:hAnsiTheme="majorHAnsi" w:cs="Times New Roman"/>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14:paraId="45988EE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14:paraId="08AE274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7.868</w:t>
            </w:r>
          </w:p>
        </w:tc>
        <w:tc>
          <w:tcPr>
            <w:tcW w:w="1276" w:type="dxa"/>
            <w:tcBorders>
              <w:top w:val="nil"/>
              <w:left w:val="nil"/>
              <w:bottom w:val="single" w:sz="4" w:space="0" w:color="auto"/>
              <w:right w:val="single" w:sz="4" w:space="0" w:color="auto"/>
            </w:tcBorders>
            <w:shd w:val="clear" w:color="auto" w:fill="auto"/>
            <w:noWrap/>
            <w:vAlign w:val="bottom"/>
            <w:hideMark/>
          </w:tcPr>
          <w:p w14:paraId="1C25AAF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6.000</w:t>
            </w:r>
          </w:p>
        </w:tc>
        <w:tc>
          <w:tcPr>
            <w:tcW w:w="1700" w:type="dxa"/>
            <w:tcBorders>
              <w:top w:val="nil"/>
              <w:left w:val="nil"/>
              <w:bottom w:val="single" w:sz="4" w:space="0" w:color="auto"/>
              <w:right w:val="single" w:sz="4" w:space="0" w:color="auto"/>
            </w:tcBorders>
            <w:shd w:val="clear" w:color="auto" w:fill="auto"/>
            <w:noWrap/>
            <w:vAlign w:val="bottom"/>
            <w:hideMark/>
          </w:tcPr>
          <w:p w14:paraId="6C1C3C8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1.868</w:t>
            </w:r>
          </w:p>
        </w:tc>
      </w:tr>
      <w:tr w:rsidR="00486D4D" w:rsidRPr="003F4D72" w14:paraId="1994560B" w14:textId="77777777" w:rsidTr="00EF4460">
        <w:trPr>
          <w:trHeight w:val="31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A6BCD0D"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Florești</w:t>
            </w:r>
          </w:p>
        </w:tc>
        <w:tc>
          <w:tcPr>
            <w:tcW w:w="1984" w:type="dxa"/>
            <w:tcBorders>
              <w:top w:val="nil"/>
              <w:left w:val="nil"/>
              <w:bottom w:val="single" w:sz="4" w:space="0" w:color="auto"/>
              <w:right w:val="single" w:sz="4" w:space="0" w:color="auto"/>
            </w:tcBorders>
            <w:shd w:val="clear" w:color="auto" w:fill="auto"/>
            <w:noWrap/>
            <w:vAlign w:val="bottom"/>
            <w:hideMark/>
          </w:tcPr>
          <w:p w14:paraId="24A63D6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14:paraId="188E251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9.409</w:t>
            </w:r>
          </w:p>
        </w:tc>
        <w:tc>
          <w:tcPr>
            <w:tcW w:w="1276" w:type="dxa"/>
            <w:tcBorders>
              <w:top w:val="nil"/>
              <w:left w:val="nil"/>
              <w:bottom w:val="single" w:sz="4" w:space="0" w:color="auto"/>
              <w:right w:val="single" w:sz="4" w:space="0" w:color="auto"/>
            </w:tcBorders>
            <w:shd w:val="clear" w:color="auto" w:fill="auto"/>
            <w:noWrap/>
            <w:vAlign w:val="bottom"/>
            <w:hideMark/>
          </w:tcPr>
          <w:p w14:paraId="203164D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8.062</w:t>
            </w:r>
          </w:p>
        </w:tc>
        <w:tc>
          <w:tcPr>
            <w:tcW w:w="1700" w:type="dxa"/>
            <w:tcBorders>
              <w:top w:val="nil"/>
              <w:left w:val="nil"/>
              <w:bottom w:val="single" w:sz="4" w:space="0" w:color="auto"/>
              <w:right w:val="single" w:sz="4" w:space="0" w:color="auto"/>
            </w:tcBorders>
            <w:shd w:val="clear" w:color="auto" w:fill="auto"/>
            <w:noWrap/>
            <w:vAlign w:val="bottom"/>
            <w:hideMark/>
          </w:tcPr>
          <w:p w14:paraId="21F6F15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1.347</w:t>
            </w:r>
          </w:p>
        </w:tc>
      </w:tr>
      <w:tr w:rsidR="00486D4D" w:rsidRPr="003F4D72" w14:paraId="45809D3B" w14:textId="77777777" w:rsidTr="00EF4460">
        <w:trPr>
          <w:trHeight w:val="7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AB59E8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Ocnița</w:t>
            </w:r>
          </w:p>
        </w:tc>
        <w:tc>
          <w:tcPr>
            <w:tcW w:w="1984" w:type="dxa"/>
            <w:tcBorders>
              <w:top w:val="nil"/>
              <w:left w:val="nil"/>
              <w:bottom w:val="single" w:sz="4" w:space="0" w:color="auto"/>
              <w:right w:val="single" w:sz="4" w:space="0" w:color="auto"/>
            </w:tcBorders>
            <w:shd w:val="clear" w:color="auto" w:fill="auto"/>
            <w:noWrap/>
            <w:vAlign w:val="bottom"/>
            <w:hideMark/>
          </w:tcPr>
          <w:p w14:paraId="548F027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14:paraId="0D5EB19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4.564</w:t>
            </w:r>
          </w:p>
        </w:tc>
        <w:tc>
          <w:tcPr>
            <w:tcW w:w="1276" w:type="dxa"/>
            <w:tcBorders>
              <w:top w:val="nil"/>
              <w:left w:val="nil"/>
              <w:bottom w:val="single" w:sz="4" w:space="0" w:color="auto"/>
              <w:right w:val="single" w:sz="4" w:space="0" w:color="auto"/>
            </w:tcBorders>
            <w:shd w:val="clear" w:color="auto" w:fill="auto"/>
            <w:noWrap/>
            <w:vAlign w:val="bottom"/>
            <w:hideMark/>
          </w:tcPr>
          <w:p w14:paraId="04D02C0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4.195</w:t>
            </w:r>
          </w:p>
        </w:tc>
        <w:tc>
          <w:tcPr>
            <w:tcW w:w="1700" w:type="dxa"/>
            <w:tcBorders>
              <w:top w:val="nil"/>
              <w:left w:val="nil"/>
              <w:bottom w:val="single" w:sz="4" w:space="0" w:color="auto"/>
              <w:right w:val="single" w:sz="4" w:space="0" w:color="auto"/>
            </w:tcBorders>
            <w:shd w:val="clear" w:color="auto" w:fill="auto"/>
            <w:noWrap/>
            <w:vAlign w:val="bottom"/>
            <w:hideMark/>
          </w:tcPr>
          <w:p w14:paraId="4135BC2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369</w:t>
            </w:r>
          </w:p>
        </w:tc>
      </w:tr>
      <w:tr w:rsidR="00486D4D" w:rsidRPr="003F4D72" w14:paraId="34961F12" w14:textId="77777777" w:rsidTr="00EF4460">
        <w:trPr>
          <w:trHeight w:val="10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1CB194"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Dondușeni</w:t>
            </w:r>
          </w:p>
        </w:tc>
        <w:tc>
          <w:tcPr>
            <w:tcW w:w="1984" w:type="dxa"/>
            <w:tcBorders>
              <w:top w:val="nil"/>
              <w:left w:val="nil"/>
              <w:bottom w:val="single" w:sz="4" w:space="0" w:color="auto"/>
              <w:right w:val="single" w:sz="4" w:space="0" w:color="auto"/>
            </w:tcBorders>
            <w:shd w:val="clear" w:color="auto" w:fill="auto"/>
            <w:noWrap/>
            <w:vAlign w:val="bottom"/>
            <w:hideMark/>
          </w:tcPr>
          <w:p w14:paraId="51D5701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14:paraId="043A80A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3.747</w:t>
            </w:r>
          </w:p>
        </w:tc>
        <w:tc>
          <w:tcPr>
            <w:tcW w:w="1276" w:type="dxa"/>
            <w:tcBorders>
              <w:top w:val="nil"/>
              <w:left w:val="nil"/>
              <w:bottom w:val="single" w:sz="4" w:space="0" w:color="auto"/>
              <w:right w:val="single" w:sz="4" w:space="0" w:color="auto"/>
            </w:tcBorders>
            <w:shd w:val="clear" w:color="auto" w:fill="auto"/>
            <w:noWrap/>
            <w:vAlign w:val="bottom"/>
            <w:hideMark/>
          </w:tcPr>
          <w:p w14:paraId="5366F73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3.011</w:t>
            </w:r>
          </w:p>
        </w:tc>
        <w:tc>
          <w:tcPr>
            <w:tcW w:w="1700" w:type="dxa"/>
            <w:tcBorders>
              <w:top w:val="nil"/>
              <w:left w:val="nil"/>
              <w:bottom w:val="single" w:sz="4" w:space="0" w:color="auto"/>
              <w:right w:val="single" w:sz="4" w:space="0" w:color="auto"/>
            </w:tcBorders>
            <w:shd w:val="clear" w:color="auto" w:fill="auto"/>
            <w:noWrap/>
            <w:vAlign w:val="bottom"/>
            <w:hideMark/>
          </w:tcPr>
          <w:p w14:paraId="3025C8D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736</w:t>
            </w:r>
          </w:p>
        </w:tc>
      </w:tr>
      <w:tr w:rsidR="00486D4D" w:rsidRPr="003F4D72" w14:paraId="64AD5BE9"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32B5E6"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Orhei</w:t>
            </w:r>
          </w:p>
        </w:tc>
        <w:tc>
          <w:tcPr>
            <w:tcW w:w="1984" w:type="dxa"/>
            <w:tcBorders>
              <w:top w:val="nil"/>
              <w:left w:val="nil"/>
              <w:bottom w:val="single" w:sz="4" w:space="0" w:color="auto"/>
              <w:right w:val="single" w:sz="4" w:space="0" w:color="auto"/>
            </w:tcBorders>
            <w:shd w:val="clear" w:color="auto" w:fill="auto"/>
            <w:noWrap/>
            <w:vAlign w:val="bottom"/>
            <w:hideMark/>
          </w:tcPr>
          <w:p w14:paraId="7A7939E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8,7</w:t>
            </w:r>
          </w:p>
        </w:tc>
        <w:tc>
          <w:tcPr>
            <w:tcW w:w="1134" w:type="dxa"/>
            <w:tcBorders>
              <w:top w:val="nil"/>
              <w:left w:val="nil"/>
              <w:bottom w:val="single" w:sz="4" w:space="0" w:color="auto"/>
              <w:right w:val="single" w:sz="4" w:space="0" w:color="auto"/>
            </w:tcBorders>
            <w:shd w:val="clear" w:color="auto" w:fill="auto"/>
            <w:noWrap/>
            <w:vAlign w:val="bottom"/>
            <w:hideMark/>
          </w:tcPr>
          <w:p w14:paraId="17AE5A5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11.402</w:t>
            </w:r>
          </w:p>
        </w:tc>
        <w:tc>
          <w:tcPr>
            <w:tcW w:w="1276" w:type="dxa"/>
            <w:tcBorders>
              <w:top w:val="nil"/>
              <w:left w:val="nil"/>
              <w:bottom w:val="single" w:sz="4" w:space="0" w:color="auto"/>
              <w:right w:val="single" w:sz="4" w:space="0" w:color="auto"/>
            </w:tcBorders>
            <w:shd w:val="clear" w:color="auto" w:fill="auto"/>
            <w:noWrap/>
            <w:vAlign w:val="bottom"/>
            <w:hideMark/>
          </w:tcPr>
          <w:p w14:paraId="16CD4B6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8.779</w:t>
            </w:r>
          </w:p>
        </w:tc>
        <w:tc>
          <w:tcPr>
            <w:tcW w:w="1700" w:type="dxa"/>
            <w:tcBorders>
              <w:top w:val="nil"/>
              <w:left w:val="nil"/>
              <w:bottom w:val="single" w:sz="4" w:space="0" w:color="auto"/>
              <w:right w:val="single" w:sz="4" w:space="0" w:color="auto"/>
            </w:tcBorders>
            <w:shd w:val="clear" w:color="auto" w:fill="auto"/>
            <w:noWrap/>
            <w:vAlign w:val="bottom"/>
            <w:hideMark/>
          </w:tcPr>
          <w:p w14:paraId="5CD14E1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2.623</w:t>
            </w:r>
          </w:p>
        </w:tc>
      </w:tr>
      <w:tr w:rsidR="00486D4D" w:rsidRPr="003F4D72" w14:paraId="39F4E69F"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9ABE324"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Șoldănești</w:t>
            </w:r>
          </w:p>
        </w:tc>
        <w:tc>
          <w:tcPr>
            <w:tcW w:w="1984" w:type="dxa"/>
            <w:tcBorders>
              <w:top w:val="nil"/>
              <w:left w:val="nil"/>
              <w:bottom w:val="single" w:sz="4" w:space="0" w:color="auto"/>
              <w:right w:val="single" w:sz="4" w:space="0" w:color="auto"/>
            </w:tcBorders>
            <w:shd w:val="clear" w:color="auto" w:fill="auto"/>
            <w:noWrap/>
            <w:vAlign w:val="bottom"/>
            <w:hideMark/>
          </w:tcPr>
          <w:p w14:paraId="0235D2B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14:paraId="65E0986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2.965</w:t>
            </w:r>
          </w:p>
        </w:tc>
        <w:tc>
          <w:tcPr>
            <w:tcW w:w="1276" w:type="dxa"/>
            <w:tcBorders>
              <w:top w:val="nil"/>
              <w:left w:val="nil"/>
              <w:bottom w:val="single" w:sz="4" w:space="0" w:color="auto"/>
              <w:right w:val="single" w:sz="4" w:space="0" w:color="auto"/>
            </w:tcBorders>
            <w:shd w:val="clear" w:color="auto" w:fill="auto"/>
            <w:noWrap/>
            <w:vAlign w:val="bottom"/>
            <w:hideMark/>
          </w:tcPr>
          <w:p w14:paraId="7442B76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2.885</w:t>
            </w:r>
          </w:p>
        </w:tc>
        <w:tc>
          <w:tcPr>
            <w:tcW w:w="1700" w:type="dxa"/>
            <w:tcBorders>
              <w:top w:val="nil"/>
              <w:left w:val="nil"/>
              <w:bottom w:val="single" w:sz="4" w:space="0" w:color="auto"/>
              <w:right w:val="single" w:sz="4" w:space="0" w:color="auto"/>
            </w:tcBorders>
            <w:shd w:val="clear" w:color="auto" w:fill="auto"/>
            <w:noWrap/>
            <w:vAlign w:val="bottom"/>
            <w:hideMark/>
          </w:tcPr>
          <w:p w14:paraId="3E82C60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80</w:t>
            </w:r>
          </w:p>
        </w:tc>
      </w:tr>
      <w:tr w:rsidR="00486D4D" w:rsidRPr="003F4D72" w14:paraId="4B389790"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3402BF2"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Rezina</w:t>
            </w:r>
          </w:p>
        </w:tc>
        <w:tc>
          <w:tcPr>
            <w:tcW w:w="1984" w:type="dxa"/>
            <w:tcBorders>
              <w:top w:val="nil"/>
              <w:left w:val="nil"/>
              <w:bottom w:val="single" w:sz="4" w:space="0" w:color="auto"/>
              <w:right w:val="single" w:sz="4" w:space="0" w:color="auto"/>
            </w:tcBorders>
            <w:shd w:val="clear" w:color="auto" w:fill="auto"/>
            <w:noWrap/>
            <w:vAlign w:val="bottom"/>
            <w:hideMark/>
          </w:tcPr>
          <w:p w14:paraId="4FE28FA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14:paraId="41AD97A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3.882</w:t>
            </w:r>
          </w:p>
        </w:tc>
        <w:tc>
          <w:tcPr>
            <w:tcW w:w="1276" w:type="dxa"/>
            <w:tcBorders>
              <w:top w:val="nil"/>
              <w:left w:val="nil"/>
              <w:bottom w:val="single" w:sz="4" w:space="0" w:color="auto"/>
              <w:right w:val="single" w:sz="4" w:space="0" w:color="auto"/>
            </w:tcBorders>
            <w:shd w:val="clear" w:color="auto" w:fill="auto"/>
            <w:noWrap/>
            <w:vAlign w:val="bottom"/>
            <w:hideMark/>
          </w:tcPr>
          <w:p w14:paraId="3B9F523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2.832</w:t>
            </w:r>
          </w:p>
        </w:tc>
        <w:tc>
          <w:tcPr>
            <w:tcW w:w="1700" w:type="dxa"/>
            <w:tcBorders>
              <w:top w:val="nil"/>
              <w:left w:val="nil"/>
              <w:bottom w:val="single" w:sz="4" w:space="0" w:color="auto"/>
              <w:right w:val="single" w:sz="4" w:space="0" w:color="auto"/>
            </w:tcBorders>
            <w:shd w:val="clear" w:color="auto" w:fill="auto"/>
            <w:noWrap/>
            <w:vAlign w:val="bottom"/>
            <w:hideMark/>
          </w:tcPr>
          <w:p w14:paraId="6A22919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1.050</w:t>
            </w:r>
          </w:p>
        </w:tc>
      </w:tr>
      <w:tr w:rsidR="00486D4D" w:rsidRPr="003F4D72" w14:paraId="6C0E2F3B"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51B4840"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Telenești</w:t>
            </w:r>
          </w:p>
        </w:tc>
        <w:tc>
          <w:tcPr>
            <w:tcW w:w="1984" w:type="dxa"/>
            <w:tcBorders>
              <w:top w:val="nil"/>
              <w:left w:val="nil"/>
              <w:bottom w:val="single" w:sz="4" w:space="0" w:color="auto"/>
              <w:right w:val="single" w:sz="4" w:space="0" w:color="auto"/>
            </w:tcBorders>
            <w:shd w:val="clear" w:color="auto" w:fill="auto"/>
            <w:noWrap/>
            <w:vAlign w:val="bottom"/>
            <w:hideMark/>
          </w:tcPr>
          <w:p w14:paraId="12AFB06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w:t>
            </w:r>
          </w:p>
        </w:tc>
        <w:tc>
          <w:tcPr>
            <w:tcW w:w="1134" w:type="dxa"/>
            <w:tcBorders>
              <w:top w:val="nil"/>
              <w:left w:val="nil"/>
              <w:bottom w:val="single" w:sz="4" w:space="0" w:color="auto"/>
              <w:right w:val="single" w:sz="4" w:space="0" w:color="auto"/>
            </w:tcBorders>
            <w:shd w:val="clear" w:color="auto" w:fill="auto"/>
            <w:noWrap/>
            <w:vAlign w:val="bottom"/>
            <w:hideMark/>
          </w:tcPr>
          <w:p w14:paraId="790ED0C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4.126</w:t>
            </w:r>
          </w:p>
        </w:tc>
        <w:tc>
          <w:tcPr>
            <w:tcW w:w="1276" w:type="dxa"/>
            <w:tcBorders>
              <w:top w:val="nil"/>
              <w:left w:val="nil"/>
              <w:bottom w:val="single" w:sz="4" w:space="0" w:color="auto"/>
              <w:right w:val="single" w:sz="4" w:space="0" w:color="auto"/>
            </w:tcBorders>
            <w:shd w:val="clear" w:color="auto" w:fill="auto"/>
            <w:noWrap/>
            <w:vAlign w:val="bottom"/>
            <w:hideMark/>
          </w:tcPr>
          <w:p w14:paraId="486D5EE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3.624</w:t>
            </w:r>
          </w:p>
        </w:tc>
        <w:tc>
          <w:tcPr>
            <w:tcW w:w="1700" w:type="dxa"/>
            <w:tcBorders>
              <w:top w:val="nil"/>
              <w:left w:val="nil"/>
              <w:bottom w:val="single" w:sz="4" w:space="0" w:color="auto"/>
              <w:right w:val="single" w:sz="4" w:space="0" w:color="auto"/>
            </w:tcBorders>
            <w:shd w:val="clear" w:color="auto" w:fill="auto"/>
            <w:noWrap/>
            <w:vAlign w:val="bottom"/>
            <w:hideMark/>
          </w:tcPr>
          <w:p w14:paraId="26DFA01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502</w:t>
            </w:r>
          </w:p>
        </w:tc>
      </w:tr>
      <w:tr w:rsidR="00486D4D" w:rsidRPr="003F4D72" w14:paraId="34F032C1" w14:textId="77777777" w:rsidTr="00EF4460">
        <w:trPr>
          <w:trHeight w:val="11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736DB3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Criuleni</w:t>
            </w:r>
          </w:p>
        </w:tc>
        <w:tc>
          <w:tcPr>
            <w:tcW w:w="1984" w:type="dxa"/>
            <w:tcBorders>
              <w:top w:val="nil"/>
              <w:left w:val="nil"/>
              <w:bottom w:val="single" w:sz="4" w:space="0" w:color="auto"/>
              <w:right w:val="single" w:sz="4" w:space="0" w:color="auto"/>
            </w:tcBorders>
            <w:shd w:val="clear" w:color="auto" w:fill="auto"/>
            <w:noWrap/>
            <w:vAlign w:val="bottom"/>
            <w:hideMark/>
          </w:tcPr>
          <w:p w14:paraId="0E841B9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6,3</w:t>
            </w:r>
          </w:p>
        </w:tc>
        <w:tc>
          <w:tcPr>
            <w:tcW w:w="1134" w:type="dxa"/>
            <w:tcBorders>
              <w:top w:val="nil"/>
              <w:left w:val="nil"/>
              <w:bottom w:val="single" w:sz="4" w:space="0" w:color="auto"/>
              <w:right w:val="single" w:sz="4" w:space="0" w:color="auto"/>
            </w:tcBorders>
            <w:shd w:val="clear" w:color="auto" w:fill="auto"/>
            <w:noWrap/>
            <w:vAlign w:val="bottom"/>
            <w:hideMark/>
          </w:tcPr>
          <w:p w14:paraId="7D23C85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6.295</w:t>
            </w:r>
          </w:p>
        </w:tc>
        <w:tc>
          <w:tcPr>
            <w:tcW w:w="1276" w:type="dxa"/>
            <w:tcBorders>
              <w:top w:val="nil"/>
              <w:left w:val="nil"/>
              <w:bottom w:val="single" w:sz="4" w:space="0" w:color="auto"/>
              <w:right w:val="single" w:sz="4" w:space="0" w:color="auto"/>
            </w:tcBorders>
            <w:shd w:val="clear" w:color="auto" w:fill="auto"/>
            <w:noWrap/>
            <w:vAlign w:val="bottom"/>
            <w:hideMark/>
          </w:tcPr>
          <w:p w14:paraId="60C8E8C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4.446</w:t>
            </w:r>
          </w:p>
        </w:tc>
        <w:tc>
          <w:tcPr>
            <w:tcW w:w="1700" w:type="dxa"/>
            <w:tcBorders>
              <w:top w:val="nil"/>
              <w:left w:val="nil"/>
              <w:bottom w:val="single" w:sz="4" w:space="0" w:color="auto"/>
              <w:right w:val="single" w:sz="4" w:space="0" w:color="auto"/>
            </w:tcBorders>
            <w:shd w:val="clear" w:color="auto" w:fill="auto"/>
            <w:noWrap/>
            <w:vAlign w:val="bottom"/>
            <w:hideMark/>
          </w:tcPr>
          <w:p w14:paraId="1696DED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1.849</w:t>
            </w:r>
          </w:p>
        </w:tc>
      </w:tr>
      <w:tr w:rsidR="00486D4D" w:rsidRPr="003F4D72" w14:paraId="0744DC0A" w14:textId="77777777" w:rsidTr="00EF4460">
        <w:trPr>
          <w:trHeight w:val="12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D7DC9E"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Ungheni</w:t>
            </w:r>
          </w:p>
        </w:tc>
        <w:tc>
          <w:tcPr>
            <w:tcW w:w="1984" w:type="dxa"/>
            <w:tcBorders>
              <w:top w:val="nil"/>
              <w:left w:val="nil"/>
              <w:bottom w:val="single" w:sz="4" w:space="0" w:color="auto"/>
              <w:right w:val="single" w:sz="4" w:space="0" w:color="auto"/>
            </w:tcBorders>
            <w:shd w:val="clear" w:color="auto" w:fill="auto"/>
            <w:noWrap/>
            <w:vAlign w:val="bottom"/>
            <w:hideMark/>
          </w:tcPr>
          <w:p w14:paraId="5D3796A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7,1</w:t>
            </w:r>
          </w:p>
        </w:tc>
        <w:tc>
          <w:tcPr>
            <w:tcW w:w="1134" w:type="dxa"/>
            <w:tcBorders>
              <w:top w:val="nil"/>
              <w:left w:val="nil"/>
              <w:bottom w:val="single" w:sz="4" w:space="0" w:color="auto"/>
              <w:right w:val="single" w:sz="4" w:space="0" w:color="auto"/>
            </w:tcBorders>
            <w:shd w:val="clear" w:color="auto" w:fill="auto"/>
            <w:noWrap/>
            <w:vAlign w:val="bottom"/>
            <w:hideMark/>
          </w:tcPr>
          <w:p w14:paraId="389C5FA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10.235</w:t>
            </w:r>
          </w:p>
        </w:tc>
        <w:tc>
          <w:tcPr>
            <w:tcW w:w="1276" w:type="dxa"/>
            <w:tcBorders>
              <w:top w:val="nil"/>
              <w:left w:val="nil"/>
              <w:bottom w:val="single" w:sz="4" w:space="0" w:color="auto"/>
              <w:right w:val="single" w:sz="4" w:space="0" w:color="auto"/>
            </w:tcBorders>
            <w:shd w:val="clear" w:color="auto" w:fill="auto"/>
            <w:noWrap/>
            <w:vAlign w:val="bottom"/>
            <w:hideMark/>
          </w:tcPr>
          <w:p w14:paraId="620EB70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7.593</w:t>
            </w:r>
          </w:p>
        </w:tc>
        <w:tc>
          <w:tcPr>
            <w:tcW w:w="1700" w:type="dxa"/>
            <w:tcBorders>
              <w:top w:val="nil"/>
              <w:left w:val="nil"/>
              <w:bottom w:val="single" w:sz="4" w:space="0" w:color="auto"/>
              <w:right w:val="single" w:sz="4" w:space="0" w:color="auto"/>
            </w:tcBorders>
            <w:shd w:val="clear" w:color="auto" w:fill="auto"/>
            <w:noWrap/>
            <w:vAlign w:val="bottom"/>
            <w:hideMark/>
          </w:tcPr>
          <w:p w14:paraId="699153B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2.642</w:t>
            </w:r>
          </w:p>
        </w:tc>
      </w:tr>
      <w:tr w:rsidR="00486D4D" w:rsidRPr="003F4D72" w14:paraId="36748A2B" w14:textId="77777777" w:rsidTr="00EF4460">
        <w:trPr>
          <w:trHeight w:val="161"/>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507DAC1" w14:textId="77777777" w:rsidR="002940E5"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Raional </w:t>
            </w:r>
          </w:p>
          <w:p w14:paraId="3903B3F9" w14:textId="77777777" w:rsidR="002940E5" w:rsidRPr="003F4D72" w:rsidRDefault="002940E5" w:rsidP="00486D4D">
            <w:pPr>
              <w:spacing w:after="0" w:line="240" w:lineRule="auto"/>
              <w:jc w:val="both"/>
              <w:rPr>
                <w:rFonts w:asciiTheme="majorHAnsi" w:eastAsia="Times New Roman" w:hAnsiTheme="majorHAnsi" w:cs="Times New Roman"/>
                <w:sz w:val="20"/>
                <w:szCs w:val="20"/>
              </w:rPr>
            </w:pPr>
          </w:p>
          <w:p w14:paraId="4B2120AC" w14:textId="77777777" w:rsidR="002940E5" w:rsidRPr="003F4D72" w:rsidRDefault="002940E5" w:rsidP="00486D4D">
            <w:pPr>
              <w:spacing w:after="0" w:line="240" w:lineRule="auto"/>
              <w:jc w:val="both"/>
              <w:rPr>
                <w:rFonts w:asciiTheme="majorHAnsi" w:eastAsia="Times New Roman" w:hAnsiTheme="majorHAnsi" w:cs="Times New Roman"/>
                <w:sz w:val="20"/>
                <w:szCs w:val="20"/>
              </w:rPr>
            </w:pPr>
          </w:p>
          <w:p w14:paraId="77BA0F38" w14:textId="4BFD2FD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Călărași</w:t>
            </w:r>
          </w:p>
        </w:tc>
        <w:tc>
          <w:tcPr>
            <w:tcW w:w="1984" w:type="dxa"/>
            <w:tcBorders>
              <w:top w:val="nil"/>
              <w:left w:val="nil"/>
              <w:bottom w:val="single" w:sz="4" w:space="0" w:color="auto"/>
              <w:right w:val="single" w:sz="4" w:space="0" w:color="auto"/>
            </w:tcBorders>
            <w:shd w:val="clear" w:color="auto" w:fill="auto"/>
            <w:noWrap/>
            <w:vAlign w:val="bottom"/>
            <w:hideMark/>
          </w:tcPr>
          <w:p w14:paraId="37E6E24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14:paraId="2F82F53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5.430</w:t>
            </w:r>
          </w:p>
        </w:tc>
        <w:tc>
          <w:tcPr>
            <w:tcW w:w="1276" w:type="dxa"/>
            <w:tcBorders>
              <w:top w:val="nil"/>
              <w:left w:val="nil"/>
              <w:bottom w:val="single" w:sz="4" w:space="0" w:color="auto"/>
              <w:right w:val="single" w:sz="4" w:space="0" w:color="auto"/>
            </w:tcBorders>
            <w:shd w:val="clear" w:color="auto" w:fill="auto"/>
            <w:noWrap/>
            <w:vAlign w:val="bottom"/>
            <w:hideMark/>
          </w:tcPr>
          <w:p w14:paraId="4E050BE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4.710</w:t>
            </w:r>
          </w:p>
        </w:tc>
        <w:tc>
          <w:tcPr>
            <w:tcW w:w="1700" w:type="dxa"/>
            <w:tcBorders>
              <w:top w:val="nil"/>
              <w:left w:val="nil"/>
              <w:bottom w:val="single" w:sz="4" w:space="0" w:color="auto"/>
              <w:right w:val="single" w:sz="4" w:space="0" w:color="auto"/>
            </w:tcBorders>
            <w:shd w:val="clear" w:color="auto" w:fill="auto"/>
            <w:noWrap/>
            <w:vAlign w:val="bottom"/>
            <w:hideMark/>
          </w:tcPr>
          <w:p w14:paraId="32A6721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720</w:t>
            </w:r>
          </w:p>
        </w:tc>
      </w:tr>
      <w:tr w:rsidR="00486D4D" w:rsidRPr="003F4D72" w14:paraId="2571E82A" w14:textId="77777777" w:rsidTr="00EF4460">
        <w:trPr>
          <w:trHeight w:val="126"/>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FE55FF9"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Nisporeni</w:t>
            </w:r>
          </w:p>
        </w:tc>
        <w:tc>
          <w:tcPr>
            <w:tcW w:w="1984" w:type="dxa"/>
            <w:tcBorders>
              <w:top w:val="nil"/>
              <w:left w:val="nil"/>
              <w:bottom w:val="single" w:sz="4" w:space="0" w:color="auto"/>
              <w:right w:val="single" w:sz="4" w:space="0" w:color="auto"/>
            </w:tcBorders>
            <w:shd w:val="clear" w:color="auto" w:fill="auto"/>
            <w:noWrap/>
            <w:vAlign w:val="bottom"/>
            <w:hideMark/>
          </w:tcPr>
          <w:p w14:paraId="0D9FB0D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14:paraId="424F283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5.012</w:t>
            </w:r>
          </w:p>
        </w:tc>
        <w:tc>
          <w:tcPr>
            <w:tcW w:w="1276" w:type="dxa"/>
            <w:tcBorders>
              <w:top w:val="nil"/>
              <w:left w:val="nil"/>
              <w:bottom w:val="single" w:sz="4" w:space="0" w:color="auto"/>
              <w:right w:val="single" w:sz="4" w:space="0" w:color="auto"/>
            </w:tcBorders>
            <w:shd w:val="clear" w:color="auto" w:fill="auto"/>
            <w:noWrap/>
            <w:vAlign w:val="bottom"/>
            <w:hideMark/>
          </w:tcPr>
          <w:p w14:paraId="71C62A6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3.553</w:t>
            </w:r>
          </w:p>
        </w:tc>
        <w:tc>
          <w:tcPr>
            <w:tcW w:w="1700" w:type="dxa"/>
            <w:tcBorders>
              <w:top w:val="nil"/>
              <w:left w:val="nil"/>
              <w:bottom w:val="single" w:sz="4" w:space="0" w:color="auto"/>
              <w:right w:val="single" w:sz="4" w:space="0" w:color="auto"/>
            </w:tcBorders>
            <w:shd w:val="clear" w:color="auto" w:fill="auto"/>
            <w:noWrap/>
            <w:vAlign w:val="bottom"/>
            <w:hideMark/>
          </w:tcPr>
          <w:p w14:paraId="5A55B79D"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1.459</w:t>
            </w:r>
          </w:p>
        </w:tc>
      </w:tr>
      <w:tr w:rsidR="00486D4D" w:rsidRPr="003F4D72" w14:paraId="6B429A73"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DE45CD7"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Strășeni</w:t>
            </w:r>
          </w:p>
        </w:tc>
        <w:tc>
          <w:tcPr>
            <w:tcW w:w="1984" w:type="dxa"/>
            <w:tcBorders>
              <w:top w:val="nil"/>
              <w:left w:val="nil"/>
              <w:bottom w:val="single" w:sz="4" w:space="0" w:color="auto"/>
              <w:right w:val="single" w:sz="4" w:space="0" w:color="auto"/>
            </w:tcBorders>
            <w:shd w:val="clear" w:color="auto" w:fill="auto"/>
            <w:noWrap/>
            <w:vAlign w:val="bottom"/>
            <w:hideMark/>
          </w:tcPr>
          <w:p w14:paraId="5CCA65D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14:paraId="5BB0E83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4.782</w:t>
            </w:r>
          </w:p>
        </w:tc>
        <w:tc>
          <w:tcPr>
            <w:tcW w:w="1276" w:type="dxa"/>
            <w:tcBorders>
              <w:top w:val="nil"/>
              <w:left w:val="nil"/>
              <w:bottom w:val="single" w:sz="4" w:space="0" w:color="auto"/>
              <w:right w:val="single" w:sz="4" w:space="0" w:color="auto"/>
            </w:tcBorders>
            <w:shd w:val="clear" w:color="auto" w:fill="auto"/>
            <w:noWrap/>
            <w:vAlign w:val="bottom"/>
            <w:hideMark/>
          </w:tcPr>
          <w:p w14:paraId="2CC9E91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4.044</w:t>
            </w:r>
          </w:p>
        </w:tc>
        <w:tc>
          <w:tcPr>
            <w:tcW w:w="1700" w:type="dxa"/>
            <w:tcBorders>
              <w:top w:val="nil"/>
              <w:left w:val="nil"/>
              <w:bottom w:val="single" w:sz="4" w:space="0" w:color="auto"/>
              <w:right w:val="single" w:sz="4" w:space="0" w:color="auto"/>
            </w:tcBorders>
            <w:shd w:val="clear" w:color="auto" w:fill="auto"/>
            <w:noWrap/>
            <w:vAlign w:val="bottom"/>
            <w:hideMark/>
          </w:tcPr>
          <w:p w14:paraId="58FFE00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738</w:t>
            </w:r>
          </w:p>
        </w:tc>
      </w:tr>
      <w:tr w:rsidR="00486D4D" w:rsidRPr="003F4D72" w14:paraId="1BA40552"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52C1E2B"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Fălești</w:t>
            </w:r>
          </w:p>
        </w:tc>
        <w:tc>
          <w:tcPr>
            <w:tcW w:w="1984" w:type="dxa"/>
            <w:tcBorders>
              <w:top w:val="nil"/>
              <w:left w:val="nil"/>
              <w:bottom w:val="single" w:sz="4" w:space="0" w:color="auto"/>
              <w:right w:val="single" w:sz="4" w:space="0" w:color="auto"/>
            </w:tcBorders>
            <w:shd w:val="clear" w:color="auto" w:fill="auto"/>
            <w:noWrap/>
            <w:vAlign w:val="bottom"/>
            <w:hideMark/>
          </w:tcPr>
          <w:p w14:paraId="388E432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9,9</w:t>
            </w:r>
          </w:p>
        </w:tc>
        <w:tc>
          <w:tcPr>
            <w:tcW w:w="1134" w:type="dxa"/>
            <w:tcBorders>
              <w:top w:val="nil"/>
              <w:left w:val="nil"/>
              <w:bottom w:val="single" w:sz="4" w:space="0" w:color="auto"/>
              <w:right w:val="single" w:sz="4" w:space="0" w:color="auto"/>
            </w:tcBorders>
            <w:shd w:val="clear" w:color="auto" w:fill="auto"/>
            <w:noWrap/>
            <w:vAlign w:val="bottom"/>
            <w:hideMark/>
          </w:tcPr>
          <w:p w14:paraId="44B2AF1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5.654</w:t>
            </w:r>
          </w:p>
        </w:tc>
        <w:tc>
          <w:tcPr>
            <w:tcW w:w="1276" w:type="dxa"/>
            <w:tcBorders>
              <w:top w:val="nil"/>
              <w:left w:val="nil"/>
              <w:bottom w:val="single" w:sz="4" w:space="0" w:color="auto"/>
              <w:right w:val="single" w:sz="4" w:space="0" w:color="auto"/>
            </w:tcBorders>
            <w:shd w:val="clear" w:color="auto" w:fill="auto"/>
            <w:noWrap/>
            <w:vAlign w:val="bottom"/>
            <w:hideMark/>
          </w:tcPr>
          <w:p w14:paraId="15F3FE9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3.358</w:t>
            </w:r>
          </w:p>
        </w:tc>
        <w:tc>
          <w:tcPr>
            <w:tcW w:w="1700" w:type="dxa"/>
            <w:tcBorders>
              <w:top w:val="nil"/>
              <w:left w:val="nil"/>
              <w:bottom w:val="single" w:sz="4" w:space="0" w:color="auto"/>
              <w:right w:val="single" w:sz="4" w:space="0" w:color="auto"/>
            </w:tcBorders>
            <w:shd w:val="clear" w:color="auto" w:fill="auto"/>
            <w:noWrap/>
            <w:vAlign w:val="bottom"/>
            <w:hideMark/>
          </w:tcPr>
          <w:p w14:paraId="4C7ABCA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2.296</w:t>
            </w:r>
          </w:p>
        </w:tc>
      </w:tr>
      <w:tr w:rsidR="00486D4D" w:rsidRPr="003F4D72" w14:paraId="0DC31092"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6CEC88"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Ialoveni</w:t>
            </w:r>
          </w:p>
        </w:tc>
        <w:tc>
          <w:tcPr>
            <w:tcW w:w="1984" w:type="dxa"/>
            <w:tcBorders>
              <w:top w:val="nil"/>
              <w:left w:val="nil"/>
              <w:bottom w:val="single" w:sz="4" w:space="0" w:color="auto"/>
              <w:right w:val="single" w:sz="4" w:space="0" w:color="auto"/>
            </w:tcBorders>
            <w:shd w:val="clear" w:color="auto" w:fill="auto"/>
            <w:noWrap/>
            <w:vAlign w:val="bottom"/>
            <w:hideMark/>
          </w:tcPr>
          <w:p w14:paraId="33BB242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14:paraId="2D65D03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3.573</w:t>
            </w:r>
          </w:p>
        </w:tc>
        <w:tc>
          <w:tcPr>
            <w:tcW w:w="1276" w:type="dxa"/>
            <w:tcBorders>
              <w:top w:val="nil"/>
              <w:left w:val="nil"/>
              <w:bottom w:val="single" w:sz="4" w:space="0" w:color="auto"/>
              <w:right w:val="single" w:sz="4" w:space="0" w:color="auto"/>
            </w:tcBorders>
            <w:shd w:val="clear" w:color="auto" w:fill="auto"/>
            <w:noWrap/>
            <w:vAlign w:val="bottom"/>
            <w:hideMark/>
          </w:tcPr>
          <w:p w14:paraId="35F2B49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2.487</w:t>
            </w:r>
          </w:p>
        </w:tc>
        <w:tc>
          <w:tcPr>
            <w:tcW w:w="1700" w:type="dxa"/>
            <w:tcBorders>
              <w:top w:val="nil"/>
              <w:left w:val="nil"/>
              <w:bottom w:val="single" w:sz="4" w:space="0" w:color="auto"/>
              <w:right w:val="single" w:sz="4" w:space="0" w:color="auto"/>
            </w:tcBorders>
            <w:shd w:val="clear" w:color="auto" w:fill="auto"/>
            <w:noWrap/>
            <w:vAlign w:val="bottom"/>
            <w:hideMark/>
          </w:tcPr>
          <w:p w14:paraId="3B06C51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1.086</w:t>
            </w:r>
          </w:p>
        </w:tc>
      </w:tr>
      <w:tr w:rsidR="00486D4D" w:rsidRPr="003F4D72" w14:paraId="64485C4E"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F5F5A07"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Raional </w:t>
            </w:r>
            <w:r w:rsidR="00CB7074" w:rsidRPr="003F4D72">
              <w:rPr>
                <w:rFonts w:asciiTheme="majorHAnsi" w:eastAsia="Times New Roman" w:hAnsiTheme="majorHAnsi" w:cs="Times New Roman"/>
                <w:sz w:val="20"/>
                <w:szCs w:val="20"/>
              </w:rPr>
              <w:t>Hâncești</w:t>
            </w:r>
          </w:p>
        </w:tc>
        <w:tc>
          <w:tcPr>
            <w:tcW w:w="1984" w:type="dxa"/>
            <w:tcBorders>
              <w:top w:val="nil"/>
              <w:left w:val="nil"/>
              <w:bottom w:val="single" w:sz="4" w:space="0" w:color="auto"/>
              <w:right w:val="single" w:sz="4" w:space="0" w:color="auto"/>
            </w:tcBorders>
            <w:shd w:val="clear" w:color="auto" w:fill="auto"/>
            <w:noWrap/>
            <w:vAlign w:val="bottom"/>
            <w:hideMark/>
          </w:tcPr>
          <w:p w14:paraId="580D7FB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6,7</w:t>
            </w:r>
          </w:p>
        </w:tc>
        <w:tc>
          <w:tcPr>
            <w:tcW w:w="1134" w:type="dxa"/>
            <w:tcBorders>
              <w:top w:val="nil"/>
              <w:left w:val="nil"/>
              <w:bottom w:val="single" w:sz="4" w:space="0" w:color="auto"/>
              <w:right w:val="single" w:sz="4" w:space="0" w:color="auto"/>
            </w:tcBorders>
            <w:shd w:val="clear" w:color="auto" w:fill="auto"/>
            <w:noWrap/>
            <w:vAlign w:val="bottom"/>
            <w:hideMark/>
          </w:tcPr>
          <w:p w14:paraId="18EA03D3"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9.261</w:t>
            </w:r>
          </w:p>
        </w:tc>
        <w:tc>
          <w:tcPr>
            <w:tcW w:w="1276" w:type="dxa"/>
            <w:tcBorders>
              <w:top w:val="nil"/>
              <w:left w:val="nil"/>
              <w:bottom w:val="single" w:sz="4" w:space="0" w:color="auto"/>
              <w:right w:val="single" w:sz="4" w:space="0" w:color="auto"/>
            </w:tcBorders>
            <w:shd w:val="clear" w:color="auto" w:fill="auto"/>
            <w:noWrap/>
            <w:vAlign w:val="bottom"/>
            <w:hideMark/>
          </w:tcPr>
          <w:p w14:paraId="64A175C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7.465</w:t>
            </w:r>
          </w:p>
        </w:tc>
        <w:tc>
          <w:tcPr>
            <w:tcW w:w="1700" w:type="dxa"/>
            <w:tcBorders>
              <w:top w:val="nil"/>
              <w:left w:val="nil"/>
              <w:bottom w:val="single" w:sz="4" w:space="0" w:color="auto"/>
              <w:right w:val="single" w:sz="4" w:space="0" w:color="auto"/>
            </w:tcBorders>
            <w:shd w:val="clear" w:color="auto" w:fill="auto"/>
            <w:noWrap/>
            <w:vAlign w:val="bottom"/>
            <w:hideMark/>
          </w:tcPr>
          <w:p w14:paraId="2130B2C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1.796</w:t>
            </w:r>
          </w:p>
        </w:tc>
      </w:tr>
      <w:tr w:rsidR="00486D4D" w:rsidRPr="003F4D72" w14:paraId="090E6E04" w14:textId="77777777" w:rsidTr="00EF4460">
        <w:trPr>
          <w:trHeight w:val="6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0A038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Cărpineni </w:t>
            </w:r>
          </w:p>
        </w:tc>
        <w:tc>
          <w:tcPr>
            <w:tcW w:w="1984" w:type="dxa"/>
            <w:tcBorders>
              <w:top w:val="nil"/>
              <w:left w:val="nil"/>
              <w:bottom w:val="single" w:sz="4" w:space="0" w:color="auto"/>
              <w:right w:val="single" w:sz="4" w:space="0" w:color="auto"/>
            </w:tcBorders>
            <w:shd w:val="clear" w:color="auto" w:fill="auto"/>
            <w:noWrap/>
            <w:vAlign w:val="bottom"/>
            <w:hideMark/>
          </w:tcPr>
          <w:p w14:paraId="663596FF"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30EEAFBF" w14:textId="77777777" w:rsidR="00486D4D" w:rsidRPr="003F4D72" w:rsidRDefault="00486D4D" w:rsidP="00486D4D">
            <w:pPr>
              <w:spacing w:after="0" w:line="240" w:lineRule="auto"/>
              <w:jc w:val="right"/>
              <w:rPr>
                <w:rFonts w:asciiTheme="majorHAnsi" w:eastAsia="Times New Roman" w:hAnsiTheme="majorHAnsi" w:cs="Times New Roman"/>
                <w:color w:val="000000"/>
                <w:sz w:val="20"/>
                <w:szCs w:val="20"/>
              </w:rPr>
            </w:pPr>
            <w:r w:rsidRPr="003F4D72">
              <w:rPr>
                <w:rFonts w:asciiTheme="majorHAnsi" w:eastAsia="Times New Roman" w:hAnsiTheme="majorHAnsi" w:cs="Times New Roman"/>
                <w:color w:val="000000"/>
                <w:sz w:val="20"/>
                <w:szCs w:val="20"/>
              </w:rPr>
              <w:t>1.316</w:t>
            </w:r>
          </w:p>
        </w:tc>
        <w:tc>
          <w:tcPr>
            <w:tcW w:w="1276" w:type="dxa"/>
            <w:tcBorders>
              <w:top w:val="nil"/>
              <w:left w:val="nil"/>
              <w:bottom w:val="single" w:sz="4" w:space="0" w:color="auto"/>
              <w:right w:val="single" w:sz="4" w:space="0" w:color="auto"/>
            </w:tcBorders>
            <w:shd w:val="clear" w:color="auto" w:fill="auto"/>
            <w:noWrap/>
            <w:vAlign w:val="bottom"/>
            <w:hideMark/>
          </w:tcPr>
          <w:p w14:paraId="4FD8F69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1.168</w:t>
            </w:r>
          </w:p>
        </w:tc>
        <w:tc>
          <w:tcPr>
            <w:tcW w:w="1700" w:type="dxa"/>
            <w:tcBorders>
              <w:top w:val="nil"/>
              <w:left w:val="nil"/>
              <w:bottom w:val="single" w:sz="4" w:space="0" w:color="auto"/>
              <w:right w:val="single" w:sz="4" w:space="0" w:color="auto"/>
            </w:tcBorders>
            <w:shd w:val="clear" w:color="auto" w:fill="auto"/>
            <w:noWrap/>
            <w:vAlign w:val="bottom"/>
            <w:hideMark/>
          </w:tcPr>
          <w:p w14:paraId="5178241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148</w:t>
            </w:r>
          </w:p>
        </w:tc>
      </w:tr>
      <w:tr w:rsidR="00486D4D" w:rsidRPr="003F4D72" w14:paraId="0D26F968" w14:textId="77777777" w:rsidTr="00EF4460">
        <w:trPr>
          <w:trHeight w:val="16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99F3E23"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Căușeni „Ana și Alexandru”</w:t>
            </w:r>
          </w:p>
        </w:tc>
        <w:tc>
          <w:tcPr>
            <w:tcW w:w="1984" w:type="dxa"/>
            <w:tcBorders>
              <w:top w:val="nil"/>
              <w:left w:val="nil"/>
              <w:bottom w:val="single" w:sz="4" w:space="0" w:color="auto"/>
              <w:right w:val="single" w:sz="4" w:space="0" w:color="auto"/>
            </w:tcBorders>
            <w:shd w:val="clear" w:color="auto" w:fill="auto"/>
            <w:noWrap/>
            <w:vAlign w:val="bottom"/>
            <w:hideMark/>
          </w:tcPr>
          <w:p w14:paraId="3D1F7E6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6,2</w:t>
            </w:r>
          </w:p>
        </w:tc>
        <w:tc>
          <w:tcPr>
            <w:tcW w:w="1134" w:type="dxa"/>
            <w:tcBorders>
              <w:top w:val="nil"/>
              <w:left w:val="nil"/>
              <w:bottom w:val="single" w:sz="4" w:space="0" w:color="auto"/>
              <w:right w:val="single" w:sz="4" w:space="0" w:color="auto"/>
            </w:tcBorders>
            <w:shd w:val="clear" w:color="auto" w:fill="auto"/>
            <w:noWrap/>
            <w:vAlign w:val="bottom"/>
            <w:hideMark/>
          </w:tcPr>
          <w:p w14:paraId="7C4156B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7.678</w:t>
            </w:r>
          </w:p>
        </w:tc>
        <w:tc>
          <w:tcPr>
            <w:tcW w:w="1276" w:type="dxa"/>
            <w:tcBorders>
              <w:top w:val="nil"/>
              <w:left w:val="nil"/>
              <w:bottom w:val="single" w:sz="4" w:space="0" w:color="auto"/>
              <w:right w:val="single" w:sz="4" w:space="0" w:color="auto"/>
            </w:tcBorders>
            <w:shd w:val="clear" w:color="auto" w:fill="auto"/>
            <w:noWrap/>
            <w:vAlign w:val="bottom"/>
            <w:hideMark/>
          </w:tcPr>
          <w:p w14:paraId="71A96D4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6.214</w:t>
            </w:r>
          </w:p>
        </w:tc>
        <w:tc>
          <w:tcPr>
            <w:tcW w:w="1700" w:type="dxa"/>
            <w:tcBorders>
              <w:top w:val="nil"/>
              <w:left w:val="nil"/>
              <w:bottom w:val="single" w:sz="4" w:space="0" w:color="auto"/>
              <w:right w:val="single" w:sz="4" w:space="0" w:color="auto"/>
            </w:tcBorders>
            <w:shd w:val="clear" w:color="auto" w:fill="auto"/>
            <w:noWrap/>
            <w:vAlign w:val="bottom"/>
            <w:hideMark/>
          </w:tcPr>
          <w:p w14:paraId="0BD1DD6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1.464</w:t>
            </w:r>
          </w:p>
        </w:tc>
      </w:tr>
      <w:tr w:rsidR="00486D4D" w:rsidRPr="003F4D72" w14:paraId="6274B599" w14:textId="77777777" w:rsidTr="00EF4460">
        <w:trPr>
          <w:trHeight w:val="7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B3AC77A"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Ștefan Vodă</w:t>
            </w:r>
          </w:p>
        </w:tc>
        <w:tc>
          <w:tcPr>
            <w:tcW w:w="1984" w:type="dxa"/>
            <w:tcBorders>
              <w:top w:val="nil"/>
              <w:left w:val="nil"/>
              <w:bottom w:val="single" w:sz="4" w:space="0" w:color="auto"/>
              <w:right w:val="single" w:sz="4" w:space="0" w:color="auto"/>
            </w:tcBorders>
            <w:shd w:val="clear" w:color="auto" w:fill="auto"/>
            <w:noWrap/>
            <w:vAlign w:val="bottom"/>
            <w:hideMark/>
          </w:tcPr>
          <w:p w14:paraId="09034BB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7,5</w:t>
            </w:r>
          </w:p>
        </w:tc>
        <w:tc>
          <w:tcPr>
            <w:tcW w:w="1134" w:type="dxa"/>
            <w:tcBorders>
              <w:top w:val="nil"/>
              <w:left w:val="nil"/>
              <w:bottom w:val="single" w:sz="4" w:space="0" w:color="auto"/>
              <w:right w:val="single" w:sz="4" w:space="0" w:color="auto"/>
            </w:tcBorders>
            <w:shd w:val="clear" w:color="auto" w:fill="auto"/>
            <w:noWrap/>
            <w:vAlign w:val="bottom"/>
            <w:hideMark/>
          </w:tcPr>
          <w:p w14:paraId="5E7D893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5.426</w:t>
            </w:r>
          </w:p>
        </w:tc>
        <w:tc>
          <w:tcPr>
            <w:tcW w:w="1276" w:type="dxa"/>
            <w:tcBorders>
              <w:top w:val="nil"/>
              <w:left w:val="nil"/>
              <w:bottom w:val="single" w:sz="4" w:space="0" w:color="auto"/>
              <w:right w:val="single" w:sz="4" w:space="0" w:color="auto"/>
            </w:tcBorders>
            <w:shd w:val="clear" w:color="auto" w:fill="auto"/>
            <w:noWrap/>
            <w:vAlign w:val="bottom"/>
            <w:hideMark/>
          </w:tcPr>
          <w:p w14:paraId="11070BD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2.853</w:t>
            </w:r>
          </w:p>
        </w:tc>
        <w:tc>
          <w:tcPr>
            <w:tcW w:w="1700" w:type="dxa"/>
            <w:tcBorders>
              <w:top w:val="nil"/>
              <w:left w:val="nil"/>
              <w:bottom w:val="single" w:sz="4" w:space="0" w:color="auto"/>
              <w:right w:val="single" w:sz="4" w:space="0" w:color="auto"/>
            </w:tcBorders>
            <w:shd w:val="clear" w:color="auto" w:fill="auto"/>
            <w:noWrap/>
            <w:vAlign w:val="bottom"/>
            <w:hideMark/>
          </w:tcPr>
          <w:p w14:paraId="565DAAF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2.573</w:t>
            </w:r>
          </w:p>
        </w:tc>
      </w:tr>
      <w:tr w:rsidR="00486D4D" w:rsidRPr="003F4D72" w14:paraId="238BEAEA" w14:textId="77777777" w:rsidTr="00EF4460">
        <w:trPr>
          <w:trHeight w:val="18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2678FB1"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Anenii-Noi</w:t>
            </w:r>
          </w:p>
        </w:tc>
        <w:tc>
          <w:tcPr>
            <w:tcW w:w="1984" w:type="dxa"/>
            <w:tcBorders>
              <w:top w:val="nil"/>
              <w:left w:val="nil"/>
              <w:bottom w:val="single" w:sz="4" w:space="0" w:color="auto"/>
              <w:right w:val="single" w:sz="4" w:space="0" w:color="auto"/>
            </w:tcBorders>
            <w:shd w:val="clear" w:color="auto" w:fill="auto"/>
            <w:noWrap/>
            <w:vAlign w:val="bottom"/>
            <w:hideMark/>
          </w:tcPr>
          <w:p w14:paraId="4A003C5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4,8</w:t>
            </w:r>
          </w:p>
        </w:tc>
        <w:tc>
          <w:tcPr>
            <w:tcW w:w="1134" w:type="dxa"/>
            <w:tcBorders>
              <w:top w:val="nil"/>
              <w:left w:val="nil"/>
              <w:bottom w:val="single" w:sz="4" w:space="0" w:color="auto"/>
              <w:right w:val="single" w:sz="4" w:space="0" w:color="auto"/>
            </w:tcBorders>
            <w:shd w:val="clear" w:color="auto" w:fill="auto"/>
            <w:noWrap/>
            <w:vAlign w:val="bottom"/>
            <w:hideMark/>
          </w:tcPr>
          <w:p w14:paraId="0618851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5.034</w:t>
            </w:r>
          </w:p>
        </w:tc>
        <w:tc>
          <w:tcPr>
            <w:tcW w:w="1276" w:type="dxa"/>
            <w:tcBorders>
              <w:top w:val="nil"/>
              <w:left w:val="nil"/>
              <w:bottom w:val="single" w:sz="4" w:space="0" w:color="auto"/>
              <w:right w:val="single" w:sz="4" w:space="0" w:color="auto"/>
            </w:tcBorders>
            <w:shd w:val="clear" w:color="auto" w:fill="auto"/>
            <w:noWrap/>
            <w:vAlign w:val="bottom"/>
            <w:hideMark/>
          </w:tcPr>
          <w:p w14:paraId="75B5A96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3.257</w:t>
            </w:r>
          </w:p>
        </w:tc>
        <w:tc>
          <w:tcPr>
            <w:tcW w:w="1700" w:type="dxa"/>
            <w:tcBorders>
              <w:top w:val="nil"/>
              <w:left w:val="nil"/>
              <w:bottom w:val="single" w:sz="4" w:space="0" w:color="auto"/>
              <w:right w:val="single" w:sz="4" w:space="0" w:color="auto"/>
            </w:tcBorders>
            <w:shd w:val="clear" w:color="auto" w:fill="auto"/>
            <w:noWrap/>
            <w:vAlign w:val="bottom"/>
            <w:hideMark/>
          </w:tcPr>
          <w:p w14:paraId="552FBDA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1.777</w:t>
            </w:r>
          </w:p>
        </w:tc>
      </w:tr>
      <w:tr w:rsidR="00486D4D" w:rsidRPr="003F4D72" w14:paraId="1216DEBD"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9BFE9C6"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Cimișlia</w:t>
            </w:r>
          </w:p>
        </w:tc>
        <w:tc>
          <w:tcPr>
            <w:tcW w:w="1984" w:type="dxa"/>
            <w:tcBorders>
              <w:top w:val="nil"/>
              <w:left w:val="nil"/>
              <w:bottom w:val="single" w:sz="4" w:space="0" w:color="auto"/>
              <w:right w:val="single" w:sz="4" w:space="0" w:color="auto"/>
            </w:tcBorders>
            <w:shd w:val="clear" w:color="auto" w:fill="auto"/>
            <w:noWrap/>
            <w:vAlign w:val="bottom"/>
            <w:hideMark/>
          </w:tcPr>
          <w:p w14:paraId="627837C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14:paraId="3901C2B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4.253</w:t>
            </w:r>
          </w:p>
        </w:tc>
        <w:tc>
          <w:tcPr>
            <w:tcW w:w="1276" w:type="dxa"/>
            <w:tcBorders>
              <w:top w:val="nil"/>
              <w:left w:val="nil"/>
              <w:bottom w:val="single" w:sz="4" w:space="0" w:color="auto"/>
              <w:right w:val="single" w:sz="4" w:space="0" w:color="auto"/>
            </w:tcBorders>
            <w:shd w:val="clear" w:color="auto" w:fill="auto"/>
            <w:noWrap/>
            <w:vAlign w:val="bottom"/>
            <w:hideMark/>
          </w:tcPr>
          <w:p w14:paraId="13988B8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3.138</w:t>
            </w:r>
          </w:p>
        </w:tc>
        <w:tc>
          <w:tcPr>
            <w:tcW w:w="1700" w:type="dxa"/>
            <w:tcBorders>
              <w:top w:val="nil"/>
              <w:left w:val="nil"/>
              <w:bottom w:val="single" w:sz="4" w:space="0" w:color="auto"/>
              <w:right w:val="single" w:sz="4" w:space="0" w:color="auto"/>
            </w:tcBorders>
            <w:shd w:val="clear" w:color="auto" w:fill="auto"/>
            <w:noWrap/>
            <w:vAlign w:val="bottom"/>
            <w:hideMark/>
          </w:tcPr>
          <w:p w14:paraId="5E2D7CB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1.115</w:t>
            </w:r>
          </w:p>
        </w:tc>
      </w:tr>
      <w:tr w:rsidR="00486D4D" w:rsidRPr="003F4D72" w14:paraId="2D673394"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26BB31B"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Basarabeasca</w:t>
            </w:r>
          </w:p>
        </w:tc>
        <w:tc>
          <w:tcPr>
            <w:tcW w:w="1984" w:type="dxa"/>
            <w:tcBorders>
              <w:top w:val="nil"/>
              <w:left w:val="nil"/>
              <w:bottom w:val="single" w:sz="4" w:space="0" w:color="auto"/>
              <w:right w:val="single" w:sz="4" w:space="0" w:color="auto"/>
            </w:tcBorders>
            <w:shd w:val="clear" w:color="auto" w:fill="auto"/>
            <w:noWrap/>
            <w:vAlign w:val="bottom"/>
            <w:hideMark/>
          </w:tcPr>
          <w:p w14:paraId="48C2E05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726032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1.400</w:t>
            </w:r>
          </w:p>
        </w:tc>
        <w:tc>
          <w:tcPr>
            <w:tcW w:w="1276" w:type="dxa"/>
            <w:tcBorders>
              <w:top w:val="nil"/>
              <w:left w:val="nil"/>
              <w:bottom w:val="single" w:sz="4" w:space="0" w:color="auto"/>
              <w:right w:val="single" w:sz="4" w:space="0" w:color="auto"/>
            </w:tcBorders>
            <w:shd w:val="clear" w:color="auto" w:fill="auto"/>
            <w:noWrap/>
            <w:vAlign w:val="bottom"/>
            <w:hideMark/>
          </w:tcPr>
          <w:p w14:paraId="0855132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966</w:t>
            </w:r>
          </w:p>
        </w:tc>
        <w:tc>
          <w:tcPr>
            <w:tcW w:w="1700" w:type="dxa"/>
            <w:tcBorders>
              <w:top w:val="nil"/>
              <w:left w:val="nil"/>
              <w:bottom w:val="single" w:sz="4" w:space="0" w:color="auto"/>
              <w:right w:val="single" w:sz="4" w:space="0" w:color="auto"/>
            </w:tcBorders>
            <w:shd w:val="clear" w:color="auto" w:fill="auto"/>
            <w:noWrap/>
            <w:vAlign w:val="bottom"/>
            <w:hideMark/>
          </w:tcPr>
          <w:p w14:paraId="42CC29A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434</w:t>
            </w:r>
          </w:p>
        </w:tc>
      </w:tr>
      <w:tr w:rsidR="00486D4D" w:rsidRPr="003F4D72" w14:paraId="1C8B353F"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327FEB"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Cahul</w:t>
            </w:r>
          </w:p>
        </w:tc>
        <w:tc>
          <w:tcPr>
            <w:tcW w:w="1984" w:type="dxa"/>
            <w:tcBorders>
              <w:top w:val="nil"/>
              <w:left w:val="nil"/>
              <w:bottom w:val="single" w:sz="4" w:space="0" w:color="auto"/>
              <w:right w:val="single" w:sz="4" w:space="0" w:color="auto"/>
            </w:tcBorders>
            <w:shd w:val="clear" w:color="auto" w:fill="auto"/>
            <w:noWrap/>
            <w:vAlign w:val="bottom"/>
            <w:hideMark/>
          </w:tcPr>
          <w:p w14:paraId="0B623B55"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11,4</w:t>
            </w:r>
          </w:p>
        </w:tc>
        <w:tc>
          <w:tcPr>
            <w:tcW w:w="1134" w:type="dxa"/>
            <w:tcBorders>
              <w:top w:val="nil"/>
              <w:left w:val="nil"/>
              <w:bottom w:val="single" w:sz="4" w:space="0" w:color="auto"/>
              <w:right w:val="single" w:sz="4" w:space="0" w:color="auto"/>
            </w:tcBorders>
            <w:shd w:val="clear" w:color="auto" w:fill="auto"/>
            <w:noWrap/>
            <w:vAlign w:val="bottom"/>
            <w:hideMark/>
          </w:tcPr>
          <w:p w14:paraId="528AE12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12.506</w:t>
            </w:r>
          </w:p>
        </w:tc>
        <w:tc>
          <w:tcPr>
            <w:tcW w:w="1276" w:type="dxa"/>
            <w:tcBorders>
              <w:top w:val="nil"/>
              <w:left w:val="nil"/>
              <w:bottom w:val="single" w:sz="4" w:space="0" w:color="auto"/>
              <w:right w:val="single" w:sz="4" w:space="0" w:color="auto"/>
            </w:tcBorders>
            <w:shd w:val="clear" w:color="auto" w:fill="auto"/>
            <w:noWrap/>
            <w:vAlign w:val="bottom"/>
            <w:hideMark/>
          </w:tcPr>
          <w:p w14:paraId="34EC74A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8.295</w:t>
            </w:r>
          </w:p>
        </w:tc>
        <w:tc>
          <w:tcPr>
            <w:tcW w:w="1700" w:type="dxa"/>
            <w:tcBorders>
              <w:top w:val="nil"/>
              <w:left w:val="nil"/>
              <w:bottom w:val="single" w:sz="4" w:space="0" w:color="auto"/>
              <w:right w:val="single" w:sz="4" w:space="0" w:color="auto"/>
            </w:tcBorders>
            <w:shd w:val="clear" w:color="auto" w:fill="auto"/>
            <w:noWrap/>
            <w:vAlign w:val="bottom"/>
            <w:hideMark/>
          </w:tcPr>
          <w:p w14:paraId="6E4307B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4.211</w:t>
            </w:r>
          </w:p>
        </w:tc>
      </w:tr>
      <w:tr w:rsidR="00486D4D" w:rsidRPr="003F4D72" w14:paraId="1B96016A"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38675D9"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Cantemir</w:t>
            </w:r>
          </w:p>
        </w:tc>
        <w:tc>
          <w:tcPr>
            <w:tcW w:w="1984" w:type="dxa"/>
            <w:tcBorders>
              <w:top w:val="nil"/>
              <w:left w:val="nil"/>
              <w:bottom w:val="single" w:sz="4" w:space="0" w:color="auto"/>
              <w:right w:val="single" w:sz="4" w:space="0" w:color="auto"/>
            </w:tcBorders>
            <w:shd w:val="clear" w:color="auto" w:fill="auto"/>
            <w:noWrap/>
            <w:vAlign w:val="bottom"/>
            <w:hideMark/>
          </w:tcPr>
          <w:p w14:paraId="7863D60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14:paraId="2915CBD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4.840</w:t>
            </w:r>
          </w:p>
        </w:tc>
        <w:tc>
          <w:tcPr>
            <w:tcW w:w="1276" w:type="dxa"/>
            <w:tcBorders>
              <w:top w:val="nil"/>
              <w:left w:val="nil"/>
              <w:bottom w:val="single" w:sz="4" w:space="0" w:color="auto"/>
              <w:right w:val="single" w:sz="4" w:space="0" w:color="auto"/>
            </w:tcBorders>
            <w:shd w:val="clear" w:color="auto" w:fill="auto"/>
            <w:noWrap/>
            <w:vAlign w:val="bottom"/>
            <w:hideMark/>
          </w:tcPr>
          <w:p w14:paraId="4439CB1A"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4.569</w:t>
            </w:r>
          </w:p>
        </w:tc>
        <w:tc>
          <w:tcPr>
            <w:tcW w:w="1700" w:type="dxa"/>
            <w:tcBorders>
              <w:top w:val="nil"/>
              <w:left w:val="nil"/>
              <w:bottom w:val="single" w:sz="4" w:space="0" w:color="auto"/>
              <w:right w:val="single" w:sz="4" w:space="0" w:color="auto"/>
            </w:tcBorders>
            <w:shd w:val="clear" w:color="auto" w:fill="auto"/>
            <w:noWrap/>
            <w:vAlign w:val="bottom"/>
            <w:hideMark/>
          </w:tcPr>
          <w:p w14:paraId="78316FA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271</w:t>
            </w:r>
          </w:p>
        </w:tc>
      </w:tr>
      <w:tr w:rsidR="00486D4D" w:rsidRPr="003F4D72" w14:paraId="6CED9B4B"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4C0F095"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Leova</w:t>
            </w:r>
          </w:p>
        </w:tc>
        <w:tc>
          <w:tcPr>
            <w:tcW w:w="1984" w:type="dxa"/>
            <w:tcBorders>
              <w:top w:val="nil"/>
              <w:left w:val="nil"/>
              <w:bottom w:val="single" w:sz="4" w:space="0" w:color="auto"/>
              <w:right w:val="single" w:sz="4" w:space="0" w:color="auto"/>
            </w:tcBorders>
            <w:shd w:val="clear" w:color="auto" w:fill="auto"/>
            <w:noWrap/>
            <w:vAlign w:val="bottom"/>
            <w:hideMark/>
          </w:tcPr>
          <w:p w14:paraId="58DA835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51EE243B"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3.737</w:t>
            </w:r>
          </w:p>
        </w:tc>
        <w:tc>
          <w:tcPr>
            <w:tcW w:w="1276" w:type="dxa"/>
            <w:tcBorders>
              <w:top w:val="nil"/>
              <w:left w:val="nil"/>
              <w:bottom w:val="single" w:sz="4" w:space="0" w:color="auto"/>
              <w:right w:val="single" w:sz="4" w:space="0" w:color="auto"/>
            </w:tcBorders>
            <w:shd w:val="clear" w:color="auto" w:fill="auto"/>
            <w:noWrap/>
            <w:vAlign w:val="bottom"/>
            <w:hideMark/>
          </w:tcPr>
          <w:p w14:paraId="37F0D409"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3.241</w:t>
            </w:r>
          </w:p>
        </w:tc>
        <w:tc>
          <w:tcPr>
            <w:tcW w:w="1700" w:type="dxa"/>
            <w:tcBorders>
              <w:top w:val="nil"/>
              <w:left w:val="nil"/>
              <w:bottom w:val="single" w:sz="4" w:space="0" w:color="auto"/>
              <w:right w:val="single" w:sz="4" w:space="0" w:color="auto"/>
            </w:tcBorders>
            <w:shd w:val="clear" w:color="auto" w:fill="auto"/>
            <w:noWrap/>
            <w:vAlign w:val="bottom"/>
            <w:hideMark/>
          </w:tcPr>
          <w:p w14:paraId="2D0326A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496</w:t>
            </w:r>
          </w:p>
        </w:tc>
      </w:tr>
      <w:tr w:rsidR="00486D4D" w:rsidRPr="003F4D72" w14:paraId="1BA9E332" w14:textId="77777777" w:rsidTr="00EF4460">
        <w:trPr>
          <w:trHeight w:val="79"/>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6B7DE9"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Taraclia</w:t>
            </w:r>
          </w:p>
        </w:tc>
        <w:tc>
          <w:tcPr>
            <w:tcW w:w="1984" w:type="dxa"/>
            <w:tcBorders>
              <w:top w:val="nil"/>
              <w:left w:val="nil"/>
              <w:bottom w:val="single" w:sz="4" w:space="0" w:color="auto"/>
              <w:right w:val="single" w:sz="4" w:space="0" w:color="auto"/>
            </w:tcBorders>
            <w:shd w:val="clear" w:color="auto" w:fill="auto"/>
            <w:noWrap/>
            <w:vAlign w:val="bottom"/>
            <w:hideMark/>
          </w:tcPr>
          <w:p w14:paraId="20CA429E"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14:paraId="0A6A5B5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3.027</w:t>
            </w:r>
          </w:p>
        </w:tc>
        <w:tc>
          <w:tcPr>
            <w:tcW w:w="1276" w:type="dxa"/>
            <w:tcBorders>
              <w:top w:val="nil"/>
              <w:left w:val="nil"/>
              <w:bottom w:val="single" w:sz="4" w:space="0" w:color="auto"/>
              <w:right w:val="single" w:sz="4" w:space="0" w:color="auto"/>
            </w:tcBorders>
            <w:shd w:val="clear" w:color="auto" w:fill="auto"/>
            <w:noWrap/>
            <w:vAlign w:val="bottom"/>
            <w:hideMark/>
          </w:tcPr>
          <w:p w14:paraId="2D3E544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1.754</w:t>
            </w:r>
          </w:p>
        </w:tc>
        <w:tc>
          <w:tcPr>
            <w:tcW w:w="1700" w:type="dxa"/>
            <w:tcBorders>
              <w:top w:val="nil"/>
              <w:left w:val="nil"/>
              <w:bottom w:val="single" w:sz="4" w:space="0" w:color="auto"/>
              <w:right w:val="single" w:sz="4" w:space="0" w:color="auto"/>
            </w:tcBorders>
            <w:shd w:val="clear" w:color="auto" w:fill="auto"/>
            <w:noWrap/>
            <w:vAlign w:val="bottom"/>
            <w:hideMark/>
          </w:tcPr>
          <w:p w14:paraId="4B33C21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1.273</w:t>
            </w:r>
          </w:p>
        </w:tc>
      </w:tr>
      <w:tr w:rsidR="00486D4D" w:rsidRPr="003F4D72" w14:paraId="1F0EE8CC"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F7DABC9"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Comrat</w:t>
            </w:r>
          </w:p>
        </w:tc>
        <w:tc>
          <w:tcPr>
            <w:tcW w:w="1984" w:type="dxa"/>
            <w:tcBorders>
              <w:top w:val="nil"/>
              <w:left w:val="nil"/>
              <w:bottom w:val="single" w:sz="4" w:space="0" w:color="auto"/>
              <w:right w:val="single" w:sz="4" w:space="0" w:color="auto"/>
            </w:tcBorders>
            <w:shd w:val="clear" w:color="auto" w:fill="auto"/>
            <w:noWrap/>
            <w:vAlign w:val="bottom"/>
            <w:hideMark/>
          </w:tcPr>
          <w:p w14:paraId="733427D1"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14:paraId="32E8690C"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7.800</w:t>
            </w:r>
          </w:p>
        </w:tc>
        <w:tc>
          <w:tcPr>
            <w:tcW w:w="1276" w:type="dxa"/>
            <w:tcBorders>
              <w:top w:val="nil"/>
              <w:left w:val="nil"/>
              <w:bottom w:val="single" w:sz="4" w:space="0" w:color="auto"/>
              <w:right w:val="single" w:sz="4" w:space="0" w:color="auto"/>
            </w:tcBorders>
            <w:shd w:val="clear" w:color="auto" w:fill="auto"/>
            <w:noWrap/>
            <w:vAlign w:val="bottom"/>
            <w:hideMark/>
          </w:tcPr>
          <w:p w14:paraId="1912CF6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5.412</w:t>
            </w:r>
          </w:p>
        </w:tc>
        <w:tc>
          <w:tcPr>
            <w:tcW w:w="1700" w:type="dxa"/>
            <w:tcBorders>
              <w:top w:val="nil"/>
              <w:left w:val="nil"/>
              <w:bottom w:val="single" w:sz="4" w:space="0" w:color="auto"/>
              <w:right w:val="single" w:sz="4" w:space="0" w:color="auto"/>
            </w:tcBorders>
            <w:shd w:val="clear" w:color="auto" w:fill="auto"/>
            <w:noWrap/>
            <w:vAlign w:val="bottom"/>
            <w:hideMark/>
          </w:tcPr>
          <w:p w14:paraId="01AB2DF6"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2.388</w:t>
            </w:r>
          </w:p>
        </w:tc>
      </w:tr>
      <w:tr w:rsidR="00486D4D" w:rsidRPr="003F4D72" w14:paraId="273F2276" w14:textId="77777777" w:rsidTr="00EF4460">
        <w:trPr>
          <w:trHeight w:val="14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A0596F5"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 xml:space="preserve">IMSP Spitalul Raional </w:t>
            </w:r>
            <w:r w:rsidR="00CB7074" w:rsidRPr="003F4D72">
              <w:rPr>
                <w:rFonts w:asciiTheme="majorHAnsi" w:eastAsia="Times New Roman" w:hAnsiTheme="majorHAnsi" w:cs="Times New Roman"/>
                <w:sz w:val="20"/>
                <w:szCs w:val="20"/>
              </w:rPr>
              <w:t>Ceadâr</w:t>
            </w:r>
            <w:r w:rsidRPr="003F4D72">
              <w:rPr>
                <w:rFonts w:asciiTheme="majorHAnsi" w:eastAsia="Times New Roman" w:hAnsiTheme="majorHAnsi" w:cs="Times New Roman"/>
                <w:sz w:val="20"/>
                <w:szCs w:val="20"/>
              </w:rPr>
              <w:t>-Lunga</w:t>
            </w:r>
          </w:p>
        </w:tc>
        <w:tc>
          <w:tcPr>
            <w:tcW w:w="1984" w:type="dxa"/>
            <w:tcBorders>
              <w:top w:val="nil"/>
              <w:left w:val="nil"/>
              <w:bottom w:val="single" w:sz="4" w:space="0" w:color="auto"/>
              <w:right w:val="single" w:sz="4" w:space="0" w:color="auto"/>
            </w:tcBorders>
            <w:shd w:val="clear" w:color="auto" w:fill="auto"/>
            <w:noWrap/>
            <w:vAlign w:val="bottom"/>
            <w:hideMark/>
          </w:tcPr>
          <w:p w14:paraId="637CEC00"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6,4</w:t>
            </w:r>
          </w:p>
        </w:tc>
        <w:tc>
          <w:tcPr>
            <w:tcW w:w="1134" w:type="dxa"/>
            <w:tcBorders>
              <w:top w:val="nil"/>
              <w:left w:val="nil"/>
              <w:bottom w:val="single" w:sz="4" w:space="0" w:color="auto"/>
              <w:right w:val="single" w:sz="4" w:space="0" w:color="auto"/>
            </w:tcBorders>
            <w:shd w:val="clear" w:color="auto" w:fill="auto"/>
            <w:noWrap/>
            <w:vAlign w:val="bottom"/>
            <w:hideMark/>
          </w:tcPr>
          <w:p w14:paraId="4A76A247"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7.649</w:t>
            </w:r>
          </w:p>
        </w:tc>
        <w:tc>
          <w:tcPr>
            <w:tcW w:w="1276" w:type="dxa"/>
            <w:tcBorders>
              <w:top w:val="nil"/>
              <w:left w:val="nil"/>
              <w:bottom w:val="single" w:sz="4" w:space="0" w:color="auto"/>
              <w:right w:val="single" w:sz="4" w:space="0" w:color="auto"/>
            </w:tcBorders>
            <w:shd w:val="clear" w:color="auto" w:fill="auto"/>
            <w:noWrap/>
            <w:vAlign w:val="bottom"/>
            <w:hideMark/>
          </w:tcPr>
          <w:p w14:paraId="443C554F"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5.522</w:t>
            </w:r>
          </w:p>
        </w:tc>
        <w:tc>
          <w:tcPr>
            <w:tcW w:w="1700" w:type="dxa"/>
            <w:tcBorders>
              <w:top w:val="nil"/>
              <w:left w:val="nil"/>
              <w:bottom w:val="single" w:sz="4" w:space="0" w:color="auto"/>
              <w:right w:val="single" w:sz="4" w:space="0" w:color="auto"/>
            </w:tcBorders>
            <w:shd w:val="clear" w:color="auto" w:fill="auto"/>
            <w:noWrap/>
            <w:vAlign w:val="bottom"/>
            <w:hideMark/>
          </w:tcPr>
          <w:p w14:paraId="59A1978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2.127</w:t>
            </w:r>
          </w:p>
        </w:tc>
      </w:tr>
      <w:tr w:rsidR="00486D4D" w:rsidRPr="003F4D72" w14:paraId="6400BD93"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C19CB7B" w14:textId="77777777" w:rsidR="00486D4D" w:rsidRPr="003F4D72" w:rsidRDefault="00486D4D" w:rsidP="00486D4D">
            <w:pPr>
              <w:spacing w:after="0" w:line="240" w:lineRule="auto"/>
              <w:jc w:val="both"/>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IMSP Spitalul Raional Vulcănești</w:t>
            </w:r>
          </w:p>
        </w:tc>
        <w:tc>
          <w:tcPr>
            <w:tcW w:w="1984" w:type="dxa"/>
            <w:tcBorders>
              <w:top w:val="nil"/>
              <w:left w:val="nil"/>
              <w:bottom w:val="single" w:sz="4" w:space="0" w:color="auto"/>
              <w:right w:val="single" w:sz="4" w:space="0" w:color="auto"/>
            </w:tcBorders>
            <w:shd w:val="clear" w:color="auto" w:fill="auto"/>
            <w:noWrap/>
            <w:vAlign w:val="bottom"/>
            <w:hideMark/>
          </w:tcPr>
          <w:p w14:paraId="449FF38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14:paraId="474DF3E2"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3.105</w:t>
            </w:r>
          </w:p>
        </w:tc>
        <w:tc>
          <w:tcPr>
            <w:tcW w:w="1276" w:type="dxa"/>
            <w:tcBorders>
              <w:top w:val="nil"/>
              <w:left w:val="nil"/>
              <w:bottom w:val="single" w:sz="4" w:space="0" w:color="auto"/>
              <w:right w:val="single" w:sz="4" w:space="0" w:color="auto"/>
            </w:tcBorders>
            <w:shd w:val="clear" w:color="auto" w:fill="auto"/>
            <w:noWrap/>
            <w:vAlign w:val="bottom"/>
            <w:hideMark/>
          </w:tcPr>
          <w:p w14:paraId="1491F248"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2.685</w:t>
            </w:r>
          </w:p>
        </w:tc>
        <w:tc>
          <w:tcPr>
            <w:tcW w:w="1700" w:type="dxa"/>
            <w:tcBorders>
              <w:top w:val="nil"/>
              <w:left w:val="nil"/>
              <w:bottom w:val="single" w:sz="4" w:space="0" w:color="auto"/>
              <w:right w:val="single" w:sz="4" w:space="0" w:color="auto"/>
            </w:tcBorders>
            <w:shd w:val="clear" w:color="auto" w:fill="auto"/>
            <w:noWrap/>
            <w:vAlign w:val="bottom"/>
            <w:hideMark/>
          </w:tcPr>
          <w:p w14:paraId="3E086B14" w14:textId="77777777" w:rsidR="00486D4D" w:rsidRPr="003F4D72" w:rsidRDefault="00486D4D" w:rsidP="00486D4D">
            <w:pPr>
              <w:spacing w:after="0" w:line="240" w:lineRule="auto"/>
              <w:jc w:val="right"/>
              <w:rPr>
                <w:rFonts w:asciiTheme="majorHAnsi" w:eastAsia="Times New Roman" w:hAnsiTheme="majorHAnsi" w:cs="Times New Roman"/>
                <w:sz w:val="20"/>
                <w:szCs w:val="20"/>
              </w:rPr>
            </w:pPr>
            <w:r w:rsidRPr="003F4D72">
              <w:rPr>
                <w:rFonts w:asciiTheme="majorHAnsi" w:eastAsia="Times New Roman" w:hAnsiTheme="majorHAnsi" w:cs="Times New Roman"/>
                <w:sz w:val="20"/>
                <w:szCs w:val="20"/>
              </w:rPr>
              <w:t>420</w:t>
            </w:r>
          </w:p>
        </w:tc>
      </w:tr>
      <w:tr w:rsidR="00486D4D" w:rsidRPr="003F4D72" w14:paraId="486CBE28" w14:textId="77777777" w:rsidTr="00EF4460">
        <w:trPr>
          <w:trHeight w:val="6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B758C0B" w14:textId="77777777" w:rsidR="00486D4D" w:rsidRPr="003F4D72" w:rsidRDefault="00486D4D" w:rsidP="00486D4D">
            <w:pPr>
              <w:spacing w:after="0" w:line="240" w:lineRule="auto"/>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Total</w:t>
            </w:r>
            <w:r w:rsidR="00CB7074" w:rsidRPr="003F4D72">
              <w:rPr>
                <w:rFonts w:asciiTheme="majorHAnsi" w:eastAsia="Times New Roman" w:hAnsiTheme="majorHAnsi" w:cs="Times New Roman"/>
                <w:b/>
                <w:bCs/>
                <w:color w:val="000000"/>
                <w:sz w:val="20"/>
                <w:szCs w:val="20"/>
              </w:rPr>
              <w:t>:</w:t>
            </w:r>
          </w:p>
        </w:tc>
        <w:tc>
          <w:tcPr>
            <w:tcW w:w="1984" w:type="dxa"/>
            <w:tcBorders>
              <w:top w:val="nil"/>
              <w:left w:val="nil"/>
              <w:bottom w:val="single" w:sz="4" w:space="0" w:color="auto"/>
              <w:right w:val="single" w:sz="4" w:space="0" w:color="auto"/>
            </w:tcBorders>
            <w:shd w:val="clear" w:color="auto" w:fill="auto"/>
            <w:noWrap/>
            <w:vAlign w:val="bottom"/>
            <w:hideMark/>
          </w:tcPr>
          <w:p w14:paraId="378A3B18" w14:textId="77777777" w:rsidR="00486D4D" w:rsidRPr="003F4D72" w:rsidRDefault="00486D4D" w:rsidP="00486D4D">
            <w:pPr>
              <w:spacing w:after="0" w:line="240" w:lineRule="auto"/>
              <w:jc w:val="right"/>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619,2</w:t>
            </w:r>
          </w:p>
        </w:tc>
        <w:tc>
          <w:tcPr>
            <w:tcW w:w="1134" w:type="dxa"/>
            <w:tcBorders>
              <w:top w:val="nil"/>
              <w:left w:val="nil"/>
              <w:bottom w:val="single" w:sz="4" w:space="0" w:color="auto"/>
              <w:right w:val="single" w:sz="4" w:space="0" w:color="auto"/>
            </w:tcBorders>
            <w:shd w:val="clear" w:color="auto" w:fill="auto"/>
            <w:noWrap/>
            <w:vAlign w:val="bottom"/>
            <w:hideMark/>
          </w:tcPr>
          <w:p w14:paraId="4D09CAEE" w14:textId="77777777" w:rsidR="00486D4D" w:rsidRPr="003F4D72" w:rsidRDefault="00486D4D" w:rsidP="00486D4D">
            <w:pPr>
              <w:spacing w:after="0" w:line="240" w:lineRule="auto"/>
              <w:jc w:val="right"/>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475.455</w:t>
            </w:r>
          </w:p>
        </w:tc>
        <w:tc>
          <w:tcPr>
            <w:tcW w:w="1276" w:type="dxa"/>
            <w:tcBorders>
              <w:top w:val="nil"/>
              <w:left w:val="nil"/>
              <w:bottom w:val="single" w:sz="4" w:space="0" w:color="auto"/>
              <w:right w:val="single" w:sz="4" w:space="0" w:color="auto"/>
            </w:tcBorders>
            <w:shd w:val="clear" w:color="auto" w:fill="auto"/>
            <w:noWrap/>
            <w:vAlign w:val="bottom"/>
            <w:hideMark/>
          </w:tcPr>
          <w:p w14:paraId="0BBAE3AE" w14:textId="77777777" w:rsidR="00486D4D" w:rsidRPr="003F4D72" w:rsidRDefault="00486D4D" w:rsidP="00486D4D">
            <w:pPr>
              <w:spacing w:after="0" w:line="240" w:lineRule="auto"/>
              <w:jc w:val="right"/>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330.153</w:t>
            </w:r>
          </w:p>
        </w:tc>
        <w:tc>
          <w:tcPr>
            <w:tcW w:w="1700" w:type="dxa"/>
            <w:tcBorders>
              <w:top w:val="nil"/>
              <w:left w:val="nil"/>
              <w:bottom w:val="single" w:sz="4" w:space="0" w:color="auto"/>
              <w:right w:val="single" w:sz="4" w:space="0" w:color="auto"/>
            </w:tcBorders>
            <w:shd w:val="clear" w:color="auto" w:fill="auto"/>
            <w:noWrap/>
            <w:vAlign w:val="bottom"/>
            <w:hideMark/>
          </w:tcPr>
          <w:p w14:paraId="1BBD4E2C" w14:textId="77777777" w:rsidR="00486D4D" w:rsidRPr="003F4D72" w:rsidRDefault="00486D4D" w:rsidP="00486D4D">
            <w:pPr>
              <w:spacing w:after="0" w:line="240" w:lineRule="auto"/>
              <w:jc w:val="right"/>
              <w:rPr>
                <w:rFonts w:asciiTheme="majorHAnsi" w:eastAsia="Times New Roman" w:hAnsiTheme="majorHAnsi" w:cs="Times New Roman"/>
                <w:b/>
                <w:bCs/>
                <w:color w:val="000000"/>
                <w:sz w:val="20"/>
                <w:szCs w:val="20"/>
              </w:rPr>
            </w:pPr>
            <w:r w:rsidRPr="003F4D72">
              <w:rPr>
                <w:rFonts w:asciiTheme="majorHAnsi" w:eastAsia="Times New Roman" w:hAnsiTheme="majorHAnsi" w:cs="Times New Roman"/>
                <w:b/>
                <w:bCs/>
                <w:color w:val="000000"/>
                <w:sz w:val="20"/>
                <w:szCs w:val="20"/>
              </w:rPr>
              <w:t>145.302</w:t>
            </w:r>
          </w:p>
        </w:tc>
      </w:tr>
    </w:tbl>
    <w:p w14:paraId="7F70255F" w14:textId="5B1294AF" w:rsidR="00A220EE" w:rsidRPr="003F4D72" w:rsidRDefault="00CB7074" w:rsidP="00C82FEC">
      <w:pPr>
        <w:spacing w:after="0"/>
        <w:jc w:val="both"/>
        <w:rPr>
          <w:rFonts w:asciiTheme="majorHAnsi" w:hAnsiTheme="majorHAnsi" w:cstheme="majorHAnsi"/>
          <w:b/>
          <w:i/>
          <w:sz w:val="20"/>
          <w:szCs w:val="24"/>
        </w:rPr>
      </w:pPr>
      <w:r w:rsidRPr="003F4D72">
        <w:rPr>
          <w:rFonts w:asciiTheme="majorHAnsi" w:hAnsiTheme="majorHAnsi" w:cstheme="majorHAnsi"/>
          <w:b/>
          <w:i/>
          <w:sz w:val="20"/>
          <w:szCs w:val="24"/>
        </w:rPr>
        <w:t xml:space="preserve">Sursa: </w:t>
      </w:r>
      <w:r w:rsidRPr="003F4D72">
        <w:rPr>
          <w:rFonts w:asciiTheme="majorHAnsi" w:hAnsiTheme="majorHAnsi" w:cstheme="majorHAnsi"/>
          <w:i/>
          <w:sz w:val="20"/>
          <w:szCs w:val="24"/>
        </w:rPr>
        <w:t>Datele prezentate de către CNAM.</w:t>
      </w:r>
    </w:p>
    <w:p w14:paraId="5E7C8C51" w14:textId="40323EDE" w:rsidR="00A243DE" w:rsidRPr="003F4D72" w:rsidRDefault="00A243DE" w:rsidP="00FB241F">
      <w:pPr>
        <w:spacing w:line="276" w:lineRule="auto"/>
        <w:jc w:val="both"/>
        <w:rPr>
          <w:rFonts w:asciiTheme="majorHAnsi" w:hAnsiTheme="majorHAnsi" w:cstheme="majorHAnsi"/>
          <w:sz w:val="28"/>
          <w:szCs w:val="28"/>
        </w:rPr>
      </w:pPr>
    </w:p>
    <w:p w14:paraId="6F1F18D0" w14:textId="77777777" w:rsidR="00217FC2" w:rsidRDefault="00217FC2">
      <w:pPr>
        <w:rPr>
          <w:rFonts w:asciiTheme="majorHAnsi" w:hAnsiTheme="majorHAnsi" w:cstheme="majorHAnsi"/>
          <w:b/>
          <w:sz w:val="24"/>
          <w:szCs w:val="28"/>
        </w:rPr>
      </w:pPr>
      <w:r>
        <w:rPr>
          <w:rFonts w:asciiTheme="majorHAnsi" w:hAnsiTheme="majorHAnsi" w:cstheme="majorHAnsi"/>
          <w:b/>
          <w:sz w:val="24"/>
          <w:szCs w:val="28"/>
        </w:rPr>
        <w:br w:type="page"/>
      </w:r>
    </w:p>
    <w:p w14:paraId="62A2978F" w14:textId="0484A0F2" w:rsidR="005D6831" w:rsidRPr="003F4D72" w:rsidRDefault="005D6831" w:rsidP="005D6831">
      <w:pPr>
        <w:spacing w:line="276" w:lineRule="auto"/>
        <w:jc w:val="right"/>
        <w:rPr>
          <w:rFonts w:asciiTheme="majorHAnsi" w:hAnsiTheme="majorHAnsi" w:cstheme="majorHAnsi"/>
          <w:b/>
          <w:sz w:val="24"/>
          <w:szCs w:val="28"/>
        </w:rPr>
      </w:pPr>
      <w:r w:rsidRPr="003F4D72">
        <w:rPr>
          <w:rFonts w:asciiTheme="majorHAnsi" w:hAnsiTheme="majorHAnsi" w:cstheme="majorHAnsi"/>
          <w:b/>
          <w:sz w:val="24"/>
          <w:szCs w:val="28"/>
        </w:rPr>
        <w:lastRenderedPageBreak/>
        <w:t>Anexa nr.5</w:t>
      </w:r>
    </w:p>
    <w:tbl>
      <w:tblPr>
        <w:tblStyle w:val="TableGrid"/>
        <w:tblW w:w="5000" w:type="pct"/>
        <w:tblLook w:val="04A0" w:firstRow="1" w:lastRow="0" w:firstColumn="1" w:lastColumn="0" w:noHBand="0" w:noVBand="1"/>
      </w:tblPr>
      <w:tblGrid>
        <w:gridCol w:w="741"/>
        <w:gridCol w:w="5914"/>
        <w:gridCol w:w="2695"/>
      </w:tblGrid>
      <w:tr w:rsidR="005D6831" w:rsidRPr="003F4D72" w14:paraId="0A2F252E" w14:textId="77777777" w:rsidTr="005D6831">
        <w:trPr>
          <w:trHeight w:val="520"/>
        </w:trPr>
        <w:tc>
          <w:tcPr>
            <w:tcW w:w="396" w:type="pct"/>
            <w:hideMark/>
          </w:tcPr>
          <w:p w14:paraId="4E427422" w14:textId="77777777" w:rsidR="005D6831" w:rsidRPr="003F4D72" w:rsidRDefault="005D6831" w:rsidP="00FB3581">
            <w:pPr>
              <w:rPr>
                <w:rFonts w:asciiTheme="majorHAnsi" w:hAnsiTheme="majorHAnsi" w:cstheme="majorHAnsi"/>
                <w:b/>
                <w:bCs/>
                <w:sz w:val="20"/>
                <w:szCs w:val="20"/>
              </w:rPr>
            </w:pPr>
            <w:r w:rsidRPr="003F4D72">
              <w:rPr>
                <w:rFonts w:asciiTheme="majorHAnsi" w:hAnsiTheme="majorHAnsi" w:cstheme="majorHAnsi"/>
                <w:b/>
                <w:bCs/>
                <w:sz w:val="20"/>
                <w:szCs w:val="20"/>
              </w:rPr>
              <w:t>Nr. de ordine</w:t>
            </w:r>
          </w:p>
        </w:tc>
        <w:tc>
          <w:tcPr>
            <w:tcW w:w="3163" w:type="pct"/>
            <w:hideMark/>
          </w:tcPr>
          <w:p w14:paraId="666E185D" w14:textId="77777777" w:rsidR="005D6831" w:rsidRPr="003F4D72" w:rsidRDefault="005D6831" w:rsidP="00FB3581">
            <w:pPr>
              <w:rPr>
                <w:rFonts w:asciiTheme="majorHAnsi" w:hAnsiTheme="majorHAnsi" w:cstheme="majorHAnsi"/>
                <w:b/>
                <w:bCs/>
                <w:sz w:val="20"/>
                <w:szCs w:val="20"/>
              </w:rPr>
            </w:pPr>
            <w:r w:rsidRPr="003F4D72">
              <w:rPr>
                <w:rFonts w:asciiTheme="majorHAnsi" w:hAnsiTheme="majorHAnsi" w:cstheme="majorHAnsi"/>
                <w:b/>
                <w:bCs/>
                <w:sz w:val="20"/>
                <w:szCs w:val="20"/>
              </w:rPr>
              <w:t>Denumirea instituției medicale</w:t>
            </w:r>
          </w:p>
        </w:tc>
        <w:tc>
          <w:tcPr>
            <w:tcW w:w="1441" w:type="pct"/>
            <w:hideMark/>
          </w:tcPr>
          <w:p w14:paraId="28A983B9" w14:textId="6F739551" w:rsidR="005D6831" w:rsidRPr="003F4D72" w:rsidRDefault="005D6831" w:rsidP="007E34E4">
            <w:pPr>
              <w:rPr>
                <w:rFonts w:asciiTheme="majorHAnsi" w:hAnsiTheme="majorHAnsi" w:cstheme="majorHAnsi"/>
                <w:b/>
                <w:bCs/>
                <w:sz w:val="20"/>
                <w:szCs w:val="20"/>
              </w:rPr>
            </w:pPr>
            <w:r w:rsidRPr="003F4D72">
              <w:rPr>
                <w:rFonts w:asciiTheme="majorHAnsi" w:hAnsiTheme="majorHAnsi" w:cstheme="majorHAnsi"/>
                <w:b/>
                <w:bCs/>
                <w:sz w:val="20"/>
                <w:szCs w:val="20"/>
              </w:rPr>
              <w:t>Numărul internărilor programate efectuate în perioada stării de urgență</w:t>
            </w:r>
          </w:p>
        </w:tc>
      </w:tr>
      <w:tr w:rsidR="005D6831" w:rsidRPr="003F4D72" w14:paraId="2369C783" w14:textId="77777777" w:rsidTr="005D6831">
        <w:trPr>
          <w:trHeight w:val="290"/>
        </w:trPr>
        <w:tc>
          <w:tcPr>
            <w:tcW w:w="396" w:type="pct"/>
            <w:noWrap/>
            <w:hideMark/>
          </w:tcPr>
          <w:p w14:paraId="4DB2087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c>
          <w:tcPr>
            <w:tcW w:w="3163" w:type="pct"/>
            <w:noWrap/>
            <w:hideMark/>
          </w:tcPr>
          <w:p w14:paraId="41FA896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Clinic Municipal nr.1</w:t>
            </w:r>
          </w:p>
        </w:tc>
        <w:tc>
          <w:tcPr>
            <w:tcW w:w="1441" w:type="pct"/>
            <w:noWrap/>
            <w:hideMark/>
          </w:tcPr>
          <w:p w14:paraId="437610A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957</w:t>
            </w:r>
          </w:p>
        </w:tc>
      </w:tr>
      <w:tr w:rsidR="005D6831" w:rsidRPr="003F4D72" w14:paraId="03C3FD1E" w14:textId="77777777" w:rsidTr="005D6831">
        <w:trPr>
          <w:trHeight w:val="290"/>
        </w:trPr>
        <w:tc>
          <w:tcPr>
            <w:tcW w:w="396" w:type="pct"/>
            <w:noWrap/>
            <w:hideMark/>
          </w:tcPr>
          <w:p w14:paraId="2C17B53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w:t>
            </w:r>
          </w:p>
        </w:tc>
        <w:tc>
          <w:tcPr>
            <w:tcW w:w="3163" w:type="pct"/>
            <w:noWrap/>
            <w:hideMark/>
          </w:tcPr>
          <w:p w14:paraId="248F1961" w14:textId="2CF24C00"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 Societatea Comercial</w:t>
            </w:r>
            <w:r w:rsidR="007E34E4" w:rsidRPr="003F4D72">
              <w:rPr>
                <w:rFonts w:asciiTheme="majorHAnsi" w:hAnsiTheme="majorHAnsi" w:cstheme="majorHAnsi"/>
                <w:sz w:val="20"/>
                <w:szCs w:val="20"/>
              </w:rPr>
              <w:t>ă</w:t>
            </w:r>
            <w:r w:rsidRPr="003F4D72">
              <w:rPr>
                <w:rFonts w:asciiTheme="majorHAnsi" w:hAnsiTheme="majorHAnsi" w:cstheme="majorHAnsi"/>
                <w:sz w:val="20"/>
                <w:szCs w:val="20"/>
              </w:rPr>
              <w:t xml:space="preserve"> </w:t>
            </w:r>
            <w:r w:rsidR="007E34E4" w:rsidRPr="003F4D72">
              <w:rPr>
                <w:rFonts w:asciiTheme="majorHAnsi" w:hAnsiTheme="majorHAnsi" w:cstheme="majorHAnsi"/>
                <w:sz w:val="20"/>
                <w:szCs w:val="20"/>
              </w:rPr>
              <w:t>„</w:t>
            </w:r>
            <w:proofErr w:type="spellStart"/>
            <w:r w:rsidRPr="003F4D72">
              <w:rPr>
                <w:rFonts w:asciiTheme="majorHAnsi" w:hAnsiTheme="majorHAnsi" w:cstheme="majorHAnsi"/>
                <w:sz w:val="20"/>
                <w:szCs w:val="20"/>
              </w:rPr>
              <w:t>Repromed</w:t>
            </w:r>
            <w:proofErr w:type="spellEnd"/>
            <w:r w:rsidRPr="003F4D72">
              <w:rPr>
                <w:rFonts w:asciiTheme="majorHAnsi" w:hAnsiTheme="majorHAnsi" w:cstheme="majorHAnsi"/>
                <w:sz w:val="20"/>
                <w:szCs w:val="20"/>
              </w:rPr>
              <w:t>" SRL</w:t>
            </w:r>
          </w:p>
        </w:tc>
        <w:tc>
          <w:tcPr>
            <w:tcW w:w="1441" w:type="pct"/>
            <w:noWrap/>
            <w:hideMark/>
          </w:tcPr>
          <w:p w14:paraId="20CD6C6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323</w:t>
            </w:r>
          </w:p>
        </w:tc>
      </w:tr>
      <w:tr w:rsidR="005D6831" w:rsidRPr="003F4D72" w14:paraId="330A0A1E" w14:textId="77777777" w:rsidTr="005D6831">
        <w:trPr>
          <w:trHeight w:val="290"/>
        </w:trPr>
        <w:tc>
          <w:tcPr>
            <w:tcW w:w="396" w:type="pct"/>
            <w:noWrap/>
            <w:hideMark/>
          </w:tcPr>
          <w:p w14:paraId="10D211A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w:t>
            </w:r>
          </w:p>
        </w:tc>
        <w:tc>
          <w:tcPr>
            <w:tcW w:w="3163" w:type="pct"/>
            <w:noWrap/>
            <w:hideMark/>
          </w:tcPr>
          <w:p w14:paraId="65FB545B" w14:textId="34BE496E"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IMSP Institutul</w:t>
            </w:r>
            <w:r w:rsidR="00815A71" w:rsidRPr="003F4D72">
              <w:rPr>
                <w:rFonts w:asciiTheme="majorHAnsi" w:hAnsiTheme="majorHAnsi" w:cstheme="majorHAnsi"/>
                <w:sz w:val="20"/>
                <w:szCs w:val="20"/>
              </w:rPr>
              <w:t xml:space="preserve"> </w:t>
            </w:r>
            <w:r w:rsidRPr="003F4D72">
              <w:rPr>
                <w:rFonts w:asciiTheme="majorHAnsi" w:hAnsiTheme="majorHAnsi" w:cstheme="majorHAnsi"/>
                <w:sz w:val="20"/>
                <w:szCs w:val="20"/>
              </w:rPr>
              <w:t xml:space="preserve">Mamei </w:t>
            </w:r>
            <w:r w:rsidR="007E34E4" w:rsidRPr="003F4D72">
              <w:rPr>
                <w:rFonts w:asciiTheme="majorHAnsi" w:hAnsiTheme="majorHAnsi" w:cstheme="majorHAnsi"/>
                <w:sz w:val="20"/>
                <w:szCs w:val="20"/>
              </w:rPr>
              <w:t>ș</w:t>
            </w:r>
            <w:r w:rsidRPr="003F4D72">
              <w:rPr>
                <w:rFonts w:asciiTheme="majorHAnsi" w:hAnsiTheme="majorHAnsi" w:cstheme="majorHAnsi"/>
                <w:sz w:val="20"/>
                <w:szCs w:val="20"/>
              </w:rPr>
              <w:t>i Copilului</w:t>
            </w:r>
          </w:p>
        </w:tc>
        <w:tc>
          <w:tcPr>
            <w:tcW w:w="1441" w:type="pct"/>
            <w:noWrap/>
            <w:hideMark/>
          </w:tcPr>
          <w:p w14:paraId="75E0257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207</w:t>
            </w:r>
          </w:p>
        </w:tc>
      </w:tr>
      <w:tr w:rsidR="005D6831" w:rsidRPr="003F4D72" w14:paraId="0A41DCC3" w14:textId="77777777" w:rsidTr="005D6831">
        <w:trPr>
          <w:trHeight w:val="290"/>
        </w:trPr>
        <w:tc>
          <w:tcPr>
            <w:tcW w:w="396" w:type="pct"/>
            <w:noWrap/>
            <w:hideMark/>
          </w:tcPr>
          <w:p w14:paraId="2332EA4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w:t>
            </w:r>
          </w:p>
        </w:tc>
        <w:tc>
          <w:tcPr>
            <w:tcW w:w="3163" w:type="pct"/>
            <w:noWrap/>
            <w:hideMark/>
          </w:tcPr>
          <w:p w14:paraId="735192C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 xml:space="preserve">IMSP Institutul de </w:t>
            </w:r>
            <w:proofErr w:type="spellStart"/>
            <w:r w:rsidRPr="003F4D72">
              <w:rPr>
                <w:rFonts w:asciiTheme="majorHAnsi" w:hAnsiTheme="majorHAnsi" w:cstheme="majorHAnsi"/>
                <w:sz w:val="20"/>
                <w:szCs w:val="20"/>
              </w:rPr>
              <w:t>Ftiziopneumologie</w:t>
            </w:r>
            <w:proofErr w:type="spellEnd"/>
            <w:r w:rsidRPr="003F4D72">
              <w:rPr>
                <w:rFonts w:asciiTheme="majorHAnsi" w:hAnsiTheme="majorHAnsi" w:cstheme="majorHAnsi"/>
                <w:sz w:val="20"/>
                <w:szCs w:val="20"/>
              </w:rPr>
              <w:t xml:space="preserve"> "Chiril </w:t>
            </w:r>
            <w:proofErr w:type="spellStart"/>
            <w:r w:rsidRPr="003F4D72">
              <w:rPr>
                <w:rFonts w:asciiTheme="majorHAnsi" w:hAnsiTheme="majorHAnsi" w:cstheme="majorHAnsi"/>
                <w:sz w:val="20"/>
                <w:szCs w:val="20"/>
              </w:rPr>
              <w:t>Draganiuc</w:t>
            </w:r>
            <w:proofErr w:type="spellEnd"/>
            <w:r w:rsidRPr="003F4D72">
              <w:rPr>
                <w:rFonts w:asciiTheme="majorHAnsi" w:hAnsiTheme="majorHAnsi" w:cstheme="majorHAnsi"/>
                <w:sz w:val="20"/>
                <w:szCs w:val="20"/>
              </w:rPr>
              <w:t>"</w:t>
            </w:r>
          </w:p>
        </w:tc>
        <w:tc>
          <w:tcPr>
            <w:tcW w:w="1441" w:type="pct"/>
            <w:noWrap/>
            <w:hideMark/>
          </w:tcPr>
          <w:p w14:paraId="1B78F45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178</w:t>
            </w:r>
          </w:p>
        </w:tc>
      </w:tr>
      <w:tr w:rsidR="005D6831" w:rsidRPr="003F4D72" w14:paraId="21274E33" w14:textId="77777777" w:rsidTr="005D6831">
        <w:trPr>
          <w:trHeight w:val="290"/>
        </w:trPr>
        <w:tc>
          <w:tcPr>
            <w:tcW w:w="396" w:type="pct"/>
            <w:noWrap/>
            <w:hideMark/>
          </w:tcPr>
          <w:p w14:paraId="1BBED8B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w:t>
            </w:r>
          </w:p>
        </w:tc>
        <w:tc>
          <w:tcPr>
            <w:tcW w:w="3163" w:type="pct"/>
            <w:noWrap/>
            <w:hideMark/>
          </w:tcPr>
          <w:p w14:paraId="038BCC74" w14:textId="5936CFBD"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 xml:space="preserve">IMSP Spitalul Raional </w:t>
            </w:r>
            <w:proofErr w:type="spellStart"/>
            <w:r w:rsidRPr="003F4D72">
              <w:rPr>
                <w:rFonts w:asciiTheme="majorHAnsi" w:hAnsiTheme="majorHAnsi" w:cstheme="majorHAnsi"/>
                <w:sz w:val="20"/>
                <w:szCs w:val="20"/>
              </w:rPr>
              <w:t>Edineț</w:t>
            </w:r>
            <w:proofErr w:type="spellEnd"/>
          </w:p>
        </w:tc>
        <w:tc>
          <w:tcPr>
            <w:tcW w:w="1441" w:type="pct"/>
            <w:noWrap/>
            <w:hideMark/>
          </w:tcPr>
          <w:p w14:paraId="252F42E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117</w:t>
            </w:r>
          </w:p>
        </w:tc>
      </w:tr>
      <w:tr w:rsidR="005D6831" w:rsidRPr="003F4D72" w14:paraId="1E2A2B8A" w14:textId="77777777" w:rsidTr="005D6831">
        <w:trPr>
          <w:trHeight w:val="290"/>
        </w:trPr>
        <w:tc>
          <w:tcPr>
            <w:tcW w:w="396" w:type="pct"/>
            <w:noWrap/>
            <w:hideMark/>
          </w:tcPr>
          <w:p w14:paraId="7BEFB4A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6</w:t>
            </w:r>
          </w:p>
        </w:tc>
        <w:tc>
          <w:tcPr>
            <w:tcW w:w="3163" w:type="pct"/>
            <w:noWrap/>
            <w:hideMark/>
          </w:tcPr>
          <w:p w14:paraId="35F3028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Basarabeasca</w:t>
            </w:r>
          </w:p>
        </w:tc>
        <w:tc>
          <w:tcPr>
            <w:tcW w:w="1441" w:type="pct"/>
            <w:noWrap/>
            <w:hideMark/>
          </w:tcPr>
          <w:p w14:paraId="46B4B90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100</w:t>
            </w:r>
          </w:p>
        </w:tc>
      </w:tr>
      <w:tr w:rsidR="005D6831" w:rsidRPr="003F4D72" w14:paraId="05A5238E" w14:textId="77777777" w:rsidTr="005D6831">
        <w:trPr>
          <w:trHeight w:val="290"/>
        </w:trPr>
        <w:tc>
          <w:tcPr>
            <w:tcW w:w="396" w:type="pct"/>
            <w:noWrap/>
            <w:hideMark/>
          </w:tcPr>
          <w:p w14:paraId="52D50E3F"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7</w:t>
            </w:r>
          </w:p>
        </w:tc>
        <w:tc>
          <w:tcPr>
            <w:tcW w:w="3163" w:type="pct"/>
            <w:noWrap/>
            <w:hideMark/>
          </w:tcPr>
          <w:p w14:paraId="52905AC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Clinic de Traumatologie si Ortopedie</w:t>
            </w:r>
          </w:p>
        </w:tc>
        <w:tc>
          <w:tcPr>
            <w:tcW w:w="1441" w:type="pct"/>
            <w:noWrap/>
            <w:hideMark/>
          </w:tcPr>
          <w:p w14:paraId="06F87B7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99</w:t>
            </w:r>
          </w:p>
        </w:tc>
      </w:tr>
      <w:tr w:rsidR="005D6831" w:rsidRPr="003F4D72" w14:paraId="07BE4E49" w14:textId="77777777" w:rsidTr="005D6831">
        <w:trPr>
          <w:trHeight w:val="290"/>
        </w:trPr>
        <w:tc>
          <w:tcPr>
            <w:tcW w:w="396" w:type="pct"/>
            <w:noWrap/>
            <w:hideMark/>
          </w:tcPr>
          <w:p w14:paraId="2B51AF3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8</w:t>
            </w:r>
          </w:p>
        </w:tc>
        <w:tc>
          <w:tcPr>
            <w:tcW w:w="3163" w:type="pct"/>
            <w:noWrap/>
            <w:hideMark/>
          </w:tcPr>
          <w:p w14:paraId="77BBA66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Cantemir</w:t>
            </w:r>
          </w:p>
        </w:tc>
        <w:tc>
          <w:tcPr>
            <w:tcW w:w="1441" w:type="pct"/>
            <w:noWrap/>
            <w:hideMark/>
          </w:tcPr>
          <w:p w14:paraId="74EB739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89</w:t>
            </w:r>
          </w:p>
        </w:tc>
      </w:tr>
      <w:tr w:rsidR="005D6831" w:rsidRPr="003F4D72" w14:paraId="1B303537" w14:textId="77777777" w:rsidTr="005D6831">
        <w:trPr>
          <w:trHeight w:val="290"/>
        </w:trPr>
        <w:tc>
          <w:tcPr>
            <w:tcW w:w="396" w:type="pct"/>
            <w:noWrap/>
            <w:hideMark/>
          </w:tcPr>
          <w:p w14:paraId="2ACE05B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9</w:t>
            </w:r>
          </w:p>
        </w:tc>
        <w:tc>
          <w:tcPr>
            <w:tcW w:w="3163" w:type="pct"/>
            <w:noWrap/>
            <w:hideMark/>
          </w:tcPr>
          <w:p w14:paraId="3CBCE92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Criuleni</w:t>
            </w:r>
          </w:p>
        </w:tc>
        <w:tc>
          <w:tcPr>
            <w:tcW w:w="1441" w:type="pct"/>
            <w:noWrap/>
            <w:hideMark/>
          </w:tcPr>
          <w:p w14:paraId="3648A00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77</w:t>
            </w:r>
          </w:p>
        </w:tc>
      </w:tr>
      <w:tr w:rsidR="005D6831" w:rsidRPr="003F4D72" w14:paraId="0108C055" w14:textId="77777777" w:rsidTr="005D6831">
        <w:trPr>
          <w:trHeight w:val="290"/>
        </w:trPr>
        <w:tc>
          <w:tcPr>
            <w:tcW w:w="396" w:type="pct"/>
            <w:noWrap/>
            <w:hideMark/>
          </w:tcPr>
          <w:p w14:paraId="23763E7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10</w:t>
            </w:r>
          </w:p>
        </w:tc>
        <w:tc>
          <w:tcPr>
            <w:tcW w:w="3163" w:type="pct"/>
            <w:noWrap/>
            <w:hideMark/>
          </w:tcPr>
          <w:p w14:paraId="0A466F7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Ungheni</w:t>
            </w:r>
          </w:p>
        </w:tc>
        <w:tc>
          <w:tcPr>
            <w:tcW w:w="1441" w:type="pct"/>
            <w:noWrap/>
            <w:hideMark/>
          </w:tcPr>
          <w:p w14:paraId="4B2FBA3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76</w:t>
            </w:r>
          </w:p>
        </w:tc>
      </w:tr>
      <w:tr w:rsidR="005D6831" w:rsidRPr="003F4D72" w14:paraId="1F384BEA" w14:textId="77777777" w:rsidTr="005D6831">
        <w:trPr>
          <w:trHeight w:val="290"/>
        </w:trPr>
        <w:tc>
          <w:tcPr>
            <w:tcW w:w="396" w:type="pct"/>
            <w:noWrap/>
            <w:hideMark/>
          </w:tcPr>
          <w:p w14:paraId="47C72E4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11</w:t>
            </w:r>
          </w:p>
        </w:tc>
        <w:tc>
          <w:tcPr>
            <w:tcW w:w="3163" w:type="pct"/>
            <w:noWrap/>
            <w:hideMark/>
          </w:tcPr>
          <w:p w14:paraId="3F46685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Institutul de Cardiologie</w:t>
            </w:r>
          </w:p>
        </w:tc>
        <w:tc>
          <w:tcPr>
            <w:tcW w:w="1441" w:type="pct"/>
            <w:noWrap/>
            <w:hideMark/>
          </w:tcPr>
          <w:p w14:paraId="0B1E29D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60</w:t>
            </w:r>
          </w:p>
        </w:tc>
      </w:tr>
      <w:tr w:rsidR="005D6831" w:rsidRPr="003F4D72" w14:paraId="051A4CB7" w14:textId="77777777" w:rsidTr="005D6831">
        <w:trPr>
          <w:trHeight w:val="290"/>
        </w:trPr>
        <w:tc>
          <w:tcPr>
            <w:tcW w:w="396" w:type="pct"/>
            <w:noWrap/>
            <w:hideMark/>
          </w:tcPr>
          <w:p w14:paraId="4DC520E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12</w:t>
            </w:r>
          </w:p>
        </w:tc>
        <w:tc>
          <w:tcPr>
            <w:tcW w:w="3163" w:type="pct"/>
            <w:noWrap/>
            <w:hideMark/>
          </w:tcPr>
          <w:p w14:paraId="1E8D2AE5" w14:textId="0FDA91C6"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Hâncești</w:t>
            </w:r>
          </w:p>
        </w:tc>
        <w:tc>
          <w:tcPr>
            <w:tcW w:w="1441" w:type="pct"/>
            <w:noWrap/>
            <w:hideMark/>
          </w:tcPr>
          <w:p w14:paraId="28B3644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60</w:t>
            </w:r>
          </w:p>
        </w:tc>
      </w:tr>
      <w:tr w:rsidR="005D6831" w:rsidRPr="003F4D72" w14:paraId="5C3D315B" w14:textId="77777777" w:rsidTr="005D6831">
        <w:trPr>
          <w:trHeight w:val="290"/>
        </w:trPr>
        <w:tc>
          <w:tcPr>
            <w:tcW w:w="396" w:type="pct"/>
            <w:noWrap/>
            <w:hideMark/>
          </w:tcPr>
          <w:p w14:paraId="5CFDAAF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13</w:t>
            </w:r>
          </w:p>
        </w:tc>
        <w:tc>
          <w:tcPr>
            <w:tcW w:w="3163" w:type="pct"/>
            <w:noWrap/>
            <w:hideMark/>
          </w:tcPr>
          <w:p w14:paraId="0A93F509" w14:textId="0062E6E1"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de Dermatologie si Maladii Comunicabile</w:t>
            </w:r>
          </w:p>
        </w:tc>
        <w:tc>
          <w:tcPr>
            <w:tcW w:w="1441" w:type="pct"/>
            <w:noWrap/>
            <w:hideMark/>
          </w:tcPr>
          <w:p w14:paraId="692C1C0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56</w:t>
            </w:r>
          </w:p>
        </w:tc>
      </w:tr>
      <w:tr w:rsidR="005D6831" w:rsidRPr="003F4D72" w14:paraId="705ADDF5" w14:textId="77777777" w:rsidTr="005D6831">
        <w:trPr>
          <w:trHeight w:val="290"/>
        </w:trPr>
        <w:tc>
          <w:tcPr>
            <w:tcW w:w="396" w:type="pct"/>
            <w:noWrap/>
            <w:hideMark/>
          </w:tcPr>
          <w:p w14:paraId="329B5BF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14</w:t>
            </w:r>
          </w:p>
        </w:tc>
        <w:tc>
          <w:tcPr>
            <w:tcW w:w="3163" w:type="pct"/>
            <w:noWrap/>
            <w:hideMark/>
          </w:tcPr>
          <w:p w14:paraId="0D238F1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 xml:space="preserve">IMSP Spitalul Clinic Municipal de </w:t>
            </w:r>
            <w:proofErr w:type="spellStart"/>
            <w:r w:rsidRPr="003F4D72">
              <w:rPr>
                <w:rFonts w:asciiTheme="majorHAnsi" w:hAnsiTheme="majorHAnsi" w:cstheme="majorHAnsi"/>
                <w:sz w:val="20"/>
                <w:szCs w:val="20"/>
              </w:rPr>
              <w:t>Ftiziopneumologie</w:t>
            </w:r>
            <w:proofErr w:type="spellEnd"/>
          </w:p>
        </w:tc>
        <w:tc>
          <w:tcPr>
            <w:tcW w:w="1441" w:type="pct"/>
            <w:noWrap/>
            <w:hideMark/>
          </w:tcPr>
          <w:p w14:paraId="2834101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55</w:t>
            </w:r>
          </w:p>
        </w:tc>
      </w:tr>
      <w:tr w:rsidR="005D6831" w:rsidRPr="003F4D72" w14:paraId="5F3D01BD" w14:textId="77777777" w:rsidTr="005D6831">
        <w:trPr>
          <w:trHeight w:val="290"/>
        </w:trPr>
        <w:tc>
          <w:tcPr>
            <w:tcW w:w="396" w:type="pct"/>
            <w:noWrap/>
            <w:hideMark/>
          </w:tcPr>
          <w:p w14:paraId="6901ED6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15</w:t>
            </w:r>
          </w:p>
        </w:tc>
        <w:tc>
          <w:tcPr>
            <w:tcW w:w="3163" w:type="pct"/>
            <w:noWrap/>
            <w:hideMark/>
          </w:tcPr>
          <w:p w14:paraId="09FD4364" w14:textId="11E3DBBF"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Florești</w:t>
            </w:r>
          </w:p>
        </w:tc>
        <w:tc>
          <w:tcPr>
            <w:tcW w:w="1441" w:type="pct"/>
            <w:noWrap/>
            <w:hideMark/>
          </w:tcPr>
          <w:p w14:paraId="540F04E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52</w:t>
            </w:r>
          </w:p>
        </w:tc>
      </w:tr>
      <w:tr w:rsidR="005D6831" w:rsidRPr="003F4D72" w14:paraId="144C010F" w14:textId="77777777" w:rsidTr="005D6831">
        <w:trPr>
          <w:trHeight w:val="290"/>
        </w:trPr>
        <w:tc>
          <w:tcPr>
            <w:tcW w:w="396" w:type="pct"/>
            <w:noWrap/>
            <w:hideMark/>
          </w:tcPr>
          <w:p w14:paraId="4278A35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16</w:t>
            </w:r>
          </w:p>
        </w:tc>
        <w:tc>
          <w:tcPr>
            <w:tcW w:w="3163" w:type="pct"/>
            <w:noWrap/>
            <w:hideMark/>
          </w:tcPr>
          <w:p w14:paraId="291F788E" w14:textId="7C06B7AA"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Institutul de Neurologie și Neurochirurgie "</w:t>
            </w:r>
            <w:proofErr w:type="spellStart"/>
            <w:r w:rsidRPr="003F4D72">
              <w:rPr>
                <w:rFonts w:asciiTheme="majorHAnsi" w:hAnsiTheme="majorHAnsi" w:cstheme="majorHAnsi"/>
                <w:sz w:val="20"/>
                <w:szCs w:val="20"/>
              </w:rPr>
              <w:t>Diomid</w:t>
            </w:r>
            <w:proofErr w:type="spellEnd"/>
            <w:r w:rsidRPr="003F4D72">
              <w:rPr>
                <w:rFonts w:asciiTheme="majorHAnsi" w:hAnsiTheme="majorHAnsi" w:cstheme="majorHAnsi"/>
                <w:sz w:val="20"/>
                <w:szCs w:val="20"/>
              </w:rPr>
              <w:t xml:space="preserve"> Gherman"</w:t>
            </w:r>
          </w:p>
        </w:tc>
        <w:tc>
          <w:tcPr>
            <w:tcW w:w="1441" w:type="pct"/>
            <w:noWrap/>
            <w:hideMark/>
          </w:tcPr>
          <w:p w14:paraId="3760B6A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51</w:t>
            </w:r>
          </w:p>
        </w:tc>
      </w:tr>
      <w:tr w:rsidR="005D6831" w:rsidRPr="003F4D72" w14:paraId="6861FF86" w14:textId="77777777" w:rsidTr="005D6831">
        <w:trPr>
          <w:trHeight w:val="290"/>
        </w:trPr>
        <w:tc>
          <w:tcPr>
            <w:tcW w:w="396" w:type="pct"/>
            <w:noWrap/>
            <w:hideMark/>
          </w:tcPr>
          <w:p w14:paraId="42D14E8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17</w:t>
            </w:r>
          </w:p>
        </w:tc>
        <w:tc>
          <w:tcPr>
            <w:tcW w:w="3163" w:type="pct"/>
            <w:noWrap/>
            <w:hideMark/>
          </w:tcPr>
          <w:p w14:paraId="72BD6B39" w14:textId="2B108E92"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Telenești</w:t>
            </w:r>
          </w:p>
        </w:tc>
        <w:tc>
          <w:tcPr>
            <w:tcW w:w="1441" w:type="pct"/>
            <w:noWrap/>
            <w:hideMark/>
          </w:tcPr>
          <w:p w14:paraId="67C76B0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45</w:t>
            </w:r>
          </w:p>
        </w:tc>
      </w:tr>
      <w:tr w:rsidR="005D6831" w:rsidRPr="003F4D72" w14:paraId="535DB80C" w14:textId="77777777" w:rsidTr="005D6831">
        <w:trPr>
          <w:trHeight w:val="290"/>
        </w:trPr>
        <w:tc>
          <w:tcPr>
            <w:tcW w:w="396" w:type="pct"/>
            <w:noWrap/>
            <w:hideMark/>
          </w:tcPr>
          <w:p w14:paraId="1294ADE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18</w:t>
            </w:r>
          </w:p>
        </w:tc>
        <w:tc>
          <w:tcPr>
            <w:tcW w:w="3163" w:type="pct"/>
            <w:noWrap/>
            <w:hideMark/>
          </w:tcPr>
          <w:p w14:paraId="6CE0DBF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Cahul</w:t>
            </w:r>
          </w:p>
        </w:tc>
        <w:tc>
          <w:tcPr>
            <w:tcW w:w="1441" w:type="pct"/>
            <w:noWrap/>
            <w:hideMark/>
          </w:tcPr>
          <w:p w14:paraId="0963C3D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41</w:t>
            </w:r>
          </w:p>
        </w:tc>
      </w:tr>
      <w:tr w:rsidR="005D6831" w:rsidRPr="003F4D72" w14:paraId="68BD2A2C" w14:textId="77777777" w:rsidTr="005D6831">
        <w:trPr>
          <w:trHeight w:val="290"/>
        </w:trPr>
        <w:tc>
          <w:tcPr>
            <w:tcW w:w="396" w:type="pct"/>
            <w:noWrap/>
            <w:hideMark/>
          </w:tcPr>
          <w:p w14:paraId="4D6A782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19</w:t>
            </w:r>
          </w:p>
        </w:tc>
        <w:tc>
          <w:tcPr>
            <w:tcW w:w="3163" w:type="pct"/>
            <w:noWrap/>
            <w:hideMark/>
          </w:tcPr>
          <w:p w14:paraId="088F66AE" w14:textId="3BFA8B85"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Clinic Bălți</w:t>
            </w:r>
          </w:p>
        </w:tc>
        <w:tc>
          <w:tcPr>
            <w:tcW w:w="1441" w:type="pct"/>
            <w:noWrap/>
            <w:hideMark/>
          </w:tcPr>
          <w:p w14:paraId="0062C8C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32</w:t>
            </w:r>
          </w:p>
        </w:tc>
      </w:tr>
      <w:tr w:rsidR="005D6831" w:rsidRPr="003F4D72" w14:paraId="49F7F8D3" w14:textId="77777777" w:rsidTr="005D6831">
        <w:trPr>
          <w:trHeight w:val="290"/>
        </w:trPr>
        <w:tc>
          <w:tcPr>
            <w:tcW w:w="396" w:type="pct"/>
            <w:noWrap/>
            <w:hideMark/>
          </w:tcPr>
          <w:p w14:paraId="3C07B67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20</w:t>
            </w:r>
          </w:p>
        </w:tc>
        <w:tc>
          <w:tcPr>
            <w:tcW w:w="3163" w:type="pct"/>
            <w:noWrap/>
            <w:hideMark/>
          </w:tcPr>
          <w:p w14:paraId="0EEF2130" w14:textId="0313C599"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IMSP Spitalul Clinic Municipal nr.4</w:t>
            </w:r>
          </w:p>
        </w:tc>
        <w:tc>
          <w:tcPr>
            <w:tcW w:w="1441" w:type="pct"/>
            <w:noWrap/>
            <w:hideMark/>
          </w:tcPr>
          <w:p w14:paraId="06D8E5E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26</w:t>
            </w:r>
          </w:p>
        </w:tc>
      </w:tr>
      <w:tr w:rsidR="005D6831" w:rsidRPr="003F4D72" w14:paraId="6E44CCAD" w14:textId="77777777" w:rsidTr="005D6831">
        <w:trPr>
          <w:trHeight w:val="290"/>
        </w:trPr>
        <w:tc>
          <w:tcPr>
            <w:tcW w:w="396" w:type="pct"/>
            <w:noWrap/>
            <w:hideMark/>
          </w:tcPr>
          <w:p w14:paraId="49119BC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21</w:t>
            </w:r>
          </w:p>
        </w:tc>
        <w:tc>
          <w:tcPr>
            <w:tcW w:w="3163" w:type="pct"/>
            <w:noWrap/>
            <w:hideMark/>
          </w:tcPr>
          <w:p w14:paraId="43930FEB" w14:textId="289040BF"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IMSP Spitalul Clinic Municipal "Sfânta Treime"</w:t>
            </w:r>
          </w:p>
        </w:tc>
        <w:tc>
          <w:tcPr>
            <w:tcW w:w="1441" w:type="pct"/>
            <w:noWrap/>
            <w:hideMark/>
          </w:tcPr>
          <w:p w14:paraId="7BD67B4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22</w:t>
            </w:r>
          </w:p>
        </w:tc>
      </w:tr>
      <w:tr w:rsidR="005D6831" w:rsidRPr="003F4D72" w14:paraId="68C9A339" w14:textId="77777777" w:rsidTr="005D6831">
        <w:trPr>
          <w:trHeight w:val="290"/>
        </w:trPr>
        <w:tc>
          <w:tcPr>
            <w:tcW w:w="396" w:type="pct"/>
            <w:noWrap/>
            <w:hideMark/>
          </w:tcPr>
          <w:p w14:paraId="606D005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22</w:t>
            </w:r>
          </w:p>
        </w:tc>
        <w:tc>
          <w:tcPr>
            <w:tcW w:w="3163" w:type="pct"/>
            <w:noWrap/>
            <w:hideMark/>
          </w:tcPr>
          <w:p w14:paraId="50B3987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Leova</w:t>
            </w:r>
          </w:p>
        </w:tc>
        <w:tc>
          <w:tcPr>
            <w:tcW w:w="1441" w:type="pct"/>
            <w:noWrap/>
            <w:hideMark/>
          </w:tcPr>
          <w:p w14:paraId="14ED25A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20</w:t>
            </w:r>
          </w:p>
        </w:tc>
      </w:tr>
      <w:tr w:rsidR="005D6831" w:rsidRPr="003F4D72" w14:paraId="7C27538B" w14:textId="77777777" w:rsidTr="005D6831">
        <w:trPr>
          <w:trHeight w:val="290"/>
        </w:trPr>
        <w:tc>
          <w:tcPr>
            <w:tcW w:w="396" w:type="pct"/>
            <w:noWrap/>
            <w:hideMark/>
          </w:tcPr>
          <w:p w14:paraId="1A87A6B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23</w:t>
            </w:r>
          </w:p>
        </w:tc>
        <w:tc>
          <w:tcPr>
            <w:tcW w:w="3163" w:type="pct"/>
            <w:noWrap/>
            <w:hideMark/>
          </w:tcPr>
          <w:p w14:paraId="6113684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Anenii-Noi</w:t>
            </w:r>
          </w:p>
        </w:tc>
        <w:tc>
          <w:tcPr>
            <w:tcW w:w="1441" w:type="pct"/>
            <w:noWrap/>
            <w:hideMark/>
          </w:tcPr>
          <w:p w14:paraId="4093AB8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16</w:t>
            </w:r>
          </w:p>
        </w:tc>
      </w:tr>
      <w:tr w:rsidR="005D6831" w:rsidRPr="003F4D72" w14:paraId="422FC995" w14:textId="77777777" w:rsidTr="005D6831">
        <w:trPr>
          <w:trHeight w:val="290"/>
        </w:trPr>
        <w:tc>
          <w:tcPr>
            <w:tcW w:w="396" w:type="pct"/>
            <w:noWrap/>
            <w:hideMark/>
          </w:tcPr>
          <w:p w14:paraId="0BBCF9F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24</w:t>
            </w:r>
          </w:p>
        </w:tc>
        <w:tc>
          <w:tcPr>
            <w:tcW w:w="3163" w:type="pct"/>
            <w:noWrap/>
            <w:hideMark/>
          </w:tcPr>
          <w:p w14:paraId="6BCEB6AC" w14:textId="713EFD6E"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Strășeni</w:t>
            </w:r>
          </w:p>
        </w:tc>
        <w:tc>
          <w:tcPr>
            <w:tcW w:w="1441" w:type="pct"/>
            <w:noWrap/>
            <w:hideMark/>
          </w:tcPr>
          <w:p w14:paraId="7442CFE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14</w:t>
            </w:r>
          </w:p>
        </w:tc>
      </w:tr>
      <w:tr w:rsidR="005D6831" w:rsidRPr="003F4D72" w14:paraId="78C285CC" w14:textId="77777777" w:rsidTr="005D6831">
        <w:trPr>
          <w:trHeight w:val="290"/>
        </w:trPr>
        <w:tc>
          <w:tcPr>
            <w:tcW w:w="396" w:type="pct"/>
            <w:noWrap/>
            <w:hideMark/>
          </w:tcPr>
          <w:p w14:paraId="3E55372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25</w:t>
            </w:r>
          </w:p>
        </w:tc>
        <w:tc>
          <w:tcPr>
            <w:tcW w:w="3163" w:type="pct"/>
            <w:noWrap/>
            <w:hideMark/>
          </w:tcPr>
          <w:p w14:paraId="66321E8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Dondușeni</w:t>
            </w:r>
          </w:p>
        </w:tc>
        <w:tc>
          <w:tcPr>
            <w:tcW w:w="1441" w:type="pct"/>
            <w:noWrap/>
            <w:hideMark/>
          </w:tcPr>
          <w:p w14:paraId="2BC9D37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13</w:t>
            </w:r>
          </w:p>
        </w:tc>
      </w:tr>
      <w:tr w:rsidR="005D6831" w:rsidRPr="003F4D72" w14:paraId="4F5C2155" w14:textId="77777777" w:rsidTr="005D6831">
        <w:trPr>
          <w:trHeight w:val="290"/>
        </w:trPr>
        <w:tc>
          <w:tcPr>
            <w:tcW w:w="396" w:type="pct"/>
            <w:noWrap/>
            <w:hideMark/>
          </w:tcPr>
          <w:p w14:paraId="5993CFD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26</w:t>
            </w:r>
          </w:p>
        </w:tc>
        <w:tc>
          <w:tcPr>
            <w:tcW w:w="3163" w:type="pct"/>
            <w:noWrap/>
            <w:hideMark/>
          </w:tcPr>
          <w:p w14:paraId="1698E77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Taraclia</w:t>
            </w:r>
          </w:p>
        </w:tc>
        <w:tc>
          <w:tcPr>
            <w:tcW w:w="1441" w:type="pct"/>
            <w:noWrap/>
            <w:hideMark/>
          </w:tcPr>
          <w:p w14:paraId="02F36AF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13</w:t>
            </w:r>
          </w:p>
        </w:tc>
      </w:tr>
      <w:tr w:rsidR="005D6831" w:rsidRPr="003F4D72" w14:paraId="4BD19F8D" w14:textId="77777777" w:rsidTr="005D6831">
        <w:trPr>
          <w:trHeight w:val="290"/>
        </w:trPr>
        <w:tc>
          <w:tcPr>
            <w:tcW w:w="396" w:type="pct"/>
            <w:noWrap/>
            <w:hideMark/>
          </w:tcPr>
          <w:p w14:paraId="1C77A74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27</w:t>
            </w:r>
          </w:p>
        </w:tc>
        <w:tc>
          <w:tcPr>
            <w:tcW w:w="3163" w:type="pct"/>
            <w:noWrap/>
            <w:hideMark/>
          </w:tcPr>
          <w:p w14:paraId="355920C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Nisporeni</w:t>
            </w:r>
          </w:p>
        </w:tc>
        <w:tc>
          <w:tcPr>
            <w:tcW w:w="1441" w:type="pct"/>
            <w:noWrap/>
            <w:hideMark/>
          </w:tcPr>
          <w:p w14:paraId="374ACE1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13</w:t>
            </w:r>
          </w:p>
        </w:tc>
      </w:tr>
      <w:tr w:rsidR="005D6831" w:rsidRPr="003F4D72" w14:paraId="0B32CFDA" w14:textId="77777777" w:rsidTr="005D6831">
        <w:trPr>
          <w:trHeight w:val="290"/>
        </w:trPr>
        <w:tc>
          <w:tcPr>
            <w:tcW w:w="396" w:type="pct"/>
            <w:noWrap/>
            <w:hideMark/>
          </w:tcPr>
          <w:p w14:paraId="43E2B17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28</w:t>
            </w:r>
          </w:p>
        </w:tc>
        <w:tc>
          <w:tcPr>
            <w:tcW w:w="3163" w:type="pct"/>
            <w:noWrap/>
            <w:hideMark/>
          </w:tcPr>
          <w:p w14:paraId="6ABF533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Policlinica de Stat</w:t>
            </w:r>
          </w:p>
        </w:tc>
        <w:tc>
          <w:tcPr>
            <w:tcW w:w="1441" w:type="pct"/>
            <w:noWrap/>
            <w:hideMark/>
          </w:tcPr>
          <w:p w14:paraId="48E819C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11</w:t>
            </w:r>
          </w:p>
        </w:tc>
      </w:tr>
      <w:tr w:rsidR="005D6831" w:rsidRPr="003F4D72" w14:paraId="39E739B6" w14:textId="77777777" w:rsidTr="005D6831">
        <w:trPr>
          <w:trHeight w:val="290"/>
        </w:trPr>
        <w:tc>
          <w:tcPr>
            <w:tcW w:w="396" w:type="pct"/>
            <w:noWrap/>
            <w:hideMark/>
          </w:tcPr>
          <w:p w14:paraId="375C93C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29</w:t>
            </w:r>
          </w:p>
        </w:tc>
        <w:tc>
          <w:tcPr>
            <w:tcW w:w="3163" w:type="pct"/>
            <w:noWrap/>
            <w:hideMark/>
          </w:tcPr>
          <w:p w14:paraId="759DC18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Institutul Oncologic</w:t>
            </w:r>
          </w:p>
        </w:tc>
        <w:tc>
          <w:tcPr>
            <w:tcW w:w="1441" w:type="pct"/>
            <w:noWrap/>
            <w:hideMark/>
          </w:tcPr>
          <w:p w14:paraId="40167DD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10</w:t>
            </w:r>
          </w:p>
        </w:tc>
      </w:tr>
      <w:tr w:rsidR="005D6831" w:rsidRPr="003F4D72" w14:paraId="13D6D59B" w14:textId="77777777" w:rsidTr="005D6831">
        <w:trPr>
          <w:trHeight w:val="290"/>
        </w:trPr>
        <w:tc>
          <w:tcPr>
            <w:tcW w:w="396" w:type="pct"/>
            <w:noWrap/>
            <w:hideMark/>
          </w:tcPr>
          <w:p w14:paraId="769DDE5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30</w:t>
            </w:r>
          </w:p>
        </w:tc>
        <w:tc>
          <w:tcPr>
            <w:tcW w:w="3163" w:type="pct"/>
            <w:noWrap/>
            <w:hideMark/>
          </w:tcPr>
          <w:p w14:paraId="2166DC83" w14:textId="04C03FFE"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Râșcani</w:t>
            </w:r>
          </w:p>
        </w:tc>
        <w:tc>
          <w:tcPr>
            <w:tcW w:w="1441" w:type="pct"/>
            <w:noWrap/>
            <w:hideMark/>
          </w:tcPr>
          <w:p w14:paraId="022656A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9</w:t>
            </w:r>
          </w:p>
        </w:tc>
      </w:tr>
      <w:tr w:rsidR="005D6831" w:rsidRPr="003F4D72" w14:paraId="2E98EF3C" w14:textId="77777777" w:rsidTr="005D6831">
        <w:trPr>
          <w:trHeight w:val="290"/>
        </w:trPr>
        <w:tc>
          <w:tcPr>
            <w:tcW w:w="396" w:type="pct"/>
            <w:noWrap/>
            <w:hideMark/>
          </w:tcPr>
          <w:p w14:paraId="33CD50B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31</w:t>
            </w:r>
          </w:p>
        </w:tc>
        <w:tc>
          <w:tcPr>
            <w:tcW w:w="3163" w:type="pct"/>
            <w:noWrap/>
            <w:hideMark/>
          </w:tcPr>
          <w:p w14:paraId="669F1A5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Călărași</w:t>
            </w:r>
          </w:p>
        </w:tc>
        <w:tc>
          <w:tcPr>
            <w:tcW w:w="1441" w:type="pct"/>
            <w:noWrap/>
            <w:hideMark/>
          </w:tcPr>
          <w:p w14:paraId="00C2072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9</w:t>
            </w:r>
          </w:p>
        </w:tc>
      </w:tr>
      <w:tr w:rsidR="005D6831" w:rsidRPr="003F4D72" w14:paraId="634B989D" w14:textId="77777777" w:rsidTr="005D6831">
        <w:trPr>
          <w:trHeight w:val="290"/>
        </w:trPr>
        <w:tc>
          <w:tcPr>
            <w:tcW w:w="396" w:type="pct"/>
            <w:noWrap/>
            <w:hideMark/>
          </w:tcPr>
          <w:p w14:paraId="3C1E8DA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32</w:t>
            </w:r>
          </w:p>
        </w:tc>
        <w:tc>
          <w:tcPr>
            <w:tcW w:w="3163" w:type="pct"/>
            <w:noWrap/>
            <w:hideMark/>
          </w:tcPr>
          <w:p w14:paraId="7B2C9E6F"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 xml:space="preserve">IMSP Spitalul Raional Comrat "Isaac </w:t>
            </w:r>
            <w:proofErr w:type="spellStart"/>
            <w:r w:rsidRPr="003F4D72">
              <w:rPr>
                <w:rFonts w:asciiTheme="majorHAnsi" w:hAnsiTheme="majorHAnsi" w:cstheme="majorHAnsi"/>
                <w:sz w:val="20"/>
                <w:szCs w:val="20"/>
              </w:rPr>
              <w:t>Gurfinchel</w:t>
            </w:r>
            <w:proofErr w:type="spellEnd"/>
            <w:r w:rsidRPr="003F4D72">
              <w:rPr>
                <w:rFonts w:asciiTheme="majorHAnsi" w:hAnsiTheme="majorHAnsi" w:cstheme="majorHAnsi"/>
                <w:sz w:val="20"/>
                <w:szCs w:val="20"/>
              </w:rPr>
              <w:t>"</w:t>
            </w:r>
          </w:p>
        </w:tc>
        <w:tc>
          <w:tcPr>
            <w:tcW w:w="1441" w:type="pct"/>
            <w:noWrap/>
            <w:hideMark/>
          </w:tcPr>
          <w:p w14:paraId="79C7065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8</w:t>
            </w:r>
          </w:p>
        </w:tc>
      </w:tr>
      <w:tr w:rsidR="005D6831" w:rsidRPr="003F4D72" w14:paraId="349C68A4" w14:textId="77777777" w:rsidTr="005D6831">
        <w:trPr>
          <w:trHeight w:val="290"/>
        </w:trPr>
        <w:tc>
          <w:tcPr>
            <w:tcW w:w="396" w:type="pct"/>
            <w:noWrap/>
            <w:hideMark/>
          </w:tcPr>
          <w:p w14:paraId="662AAAD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33</w:t>
            </w:r>
          </w:p>
        </w:tc>
        <w:tc>
          <w:tcPr>
            <w:tcW w:w="3163" w:type="pct"/>
            <w:noWrap/>
            <w:hideMark/>
          </w:tcPr>
          <w:p w14:paraId="0DE97C03" w14:textId="191E93D1"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Ocnița</w:t>
            </w:r>
          </w:p>
        </w:tc>
        <w:tc>
          <w:tcPr>
            <w:tcW w:w="1441" w:type="pct"/>
            <w:noWrap/>
            <w:hideMark/>
          </w:tcPr>
          <w:p w14:paraId="51473A8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w:t>
            </w:r>
          </w:p>
        </w:tc>
      </w:tr>
      <w:tr w:rsidR="005D6831" w:rsidRPr="003F4D72" w14:paraId="0F53B512" w14:textId="77777777" w:rsidTr="005D6831">
        <w:trPr>
          <w:trHeight w:val="290"/>
        </w:trPr>
        <w:tc>
          <w:tcPr>
            <w:tcW w:w="396" w:type="pct"/>
            <w:noWrap/>
            <w:hideMark/>
          </w:tcPr>
          <w:p w14:paraId="6F67262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34</w:t>
            </w:r>
          </w:p>
        </w:tc>
        <w:tc>
          <w:tcPr>
            <w:tcW w:w="3163" w:type="pct"/>
            <w:noWrap/>
            <w:hideMark/>
          </w:tcPr>
          <w:p w14:paraId="632EB5E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Vulcănești</w:t>
            </w:r>
          </w:p>
        </w:tc>
        <w:tc>
          <w:tcPr>
            <w:tcW w:w="1441" w:type="pct"/>
            <w:noWrap/>
            <w:hideMark/>
          </w:tcPr>
          <w:p w14:paraId="12061B5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w:t>
            </w:r>
          </w:p>
        </w:tc>
      </w:tr>
      <w:tr w:rsidR="005D6831" w:rsidRPr="003F4D72" w14:paraId="6FB24DAE" w14:textId="77777777" w:rsidTr="005D6831">
        <w:trPr>
          <w:trHeight w:val="290"/>
        </w:trPr>
        <w:tc>
          <w:tcPr>
            <w:tcW w:w="396" w:type="pct"/>
            <w:noWrap/>
            <w:hideMark/>
          </w:tcPr>
          <w:p w14:paraId="19562C9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35</w:t>
            </w:r>
          </w:p>
        </w:tc>
        <w:tc>
          <w:tcPr>
            <w:tcW w:w="3163" w:type="pct"/>
            <w:noWrap/>
            <w:hideMark/>
          </w:tcPr>
          <w:p w14:paraId="19F84C8F" w14:textId="24A6DD5C"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 xml:space="preserve">IMSP Spitalul Clinic al Ministerului </w:t>
            </w:r>
            <w:proofErr w:type="spellStart"/>
            <w:r w:rsidRPr="003F4D72">
              <w:rPr>
                <w:rFonts w:asciiTheme="majorHAnsi" w:hAnsiTheme="majorHAnsi" w:cstheme="majorHAnsi"/>
                <w:sz w:val="20"/>
                <w:szCs w:val="20"/>
              </w:rPr>
              <w:t>Sănătăţii</w:t>
            </w:r>
            <w:proofErr w:type="spellEnd"/>
            <w:r w:rsidRPr="003F4D72">
              <w:rPr>
                <w:rFonts w:asciiTheme="majorHAnsi" w:hAnsiTheme="majorHAnsi" w:cstheme="majorHAnsi"/>
                <w:sz w:val="20"/>
                <w:szCs w:val="20"/>
              </w:rPr>
              <w:t>, Muncii si Protecției Sociale</w:t>
            </w:r>
          </w:p>
        </w:tc>
        <w:tc>
          <w:tcPr>
            <w:tcW w:w="1441" w:type="pct"/>
            <w:noWrap/>
            <w:hideMark/>
          </w:tcPr>
          <w:p w14:paraId="659DBEE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w:t>
            </w:r>
          </w:p>
        </w:tc>
      </w:tr>
      <w:tr w:rsidR="005D6831" w:rsidRPr="003F4D72" w14:paraId="4ADA02EF" w14:textId="77777777" w:rsidTr="005D6831">
        <w:trPr>
          <w:trHeight w:val="290"/>
        </w:trPr>
        <w:tc>
          <w:tcPr>
            <w:tcW w:w="396" w:type="pct"/>
            <w:noWrap/>
            <w:hideMark/>
          </w:tcPr>
          <w:p w14:paraId="265B064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36</w:t>
            </w:r>
          </w:p>
        </w:tc>
        <w:tc>
          <w:tcPr>
            <w:tcW w:w="3163" w:type="pct"/>
            <w:noWrap/>
            <w:hideMark/>
          </w:tcPr>
          <w:p w14:paraId="0D0C5ADD" w14:textId="1C2C0FFD"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Clinic Republican „</w:t>
            </w:r>
            <w:proofErr w:type="spellStart"/>
            <w:r w:rsidRPr="003F4D72">
              <w:rPr>
                <w:rFonts w:asciiTheme="majorHAnsi" w:hAnsiTheme="majorHAnsi" w:cstheme="majorHAnsi"/>
                <w:sz w:val="20"/>
                <w:szCs w:val="20"/>
              </w:rPr>
              <w:t>Timofei</w:t>
            </w:r>
            <w:proofErr w:type="spellEnd"/>
            <w:r w:rsidRPr="003F4D72">
              <w:rPr>
                <w:rFonts w:asciiTheme="majorHAnsi" w:hAnsiTheme="majorHAnsi" w:cstheme="majorHAnsi"/>
                <w:sz w:val="20"/>
                <w:szCs w:val="20"/>
              </w:rPr>
              <w:t xml:space="preserve"> </w:t>
            </w:r>
            <w:proofErr w:type="spellStart"/>
            <w:r w:rsidRPr="003F4D72">
              <w:rPr>
                <w:rFonts w:asciiTheme="majorHAnsi" w:hAnsiTheme="majorHAnsi" w:cstheme="majorHAnsi"/>
                <w:sz w:val="20"/>
                <w:szCs w:val="20"/>
              </w:rPr>
              <w:t>Moșneaga</w:t>
            </w:r>
            <w:proofErr w:type="spellEnd"/>
            <w:r w:rsidRPr="003F4D72">
              <w:rPr>
                <w:rFonts w:asciiTheme="majorHAnsi" w:hAnsiTheme="majorHAnsi" w:cstheme="majorHAnsi"/>
                <w:sz w:val="20"/>
                <w:szCs w:val="20"/>
              </w:rPr>
              <w:t>”</w:t>
            </w:r>
          </w:p>
        </w:tc>
        <w:tc>
          <w:tcPr>
            <w:tcW w:w="1441" w:type="pct"/>
            <w:noWrap/>
            <w:hideMark/>
          </w:tcPr>
          <w:p w14:paraId="2E0682F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w:t>
            </w:r>
          </w:p>
        </w:tc>
      </w:tr>
      <w:tr w:rsidR="005D6831" w:rsidRPr="003F4D72" w14:paraId="374C4490" w14:textId="77777777" w:rsidTr="005D6831">
        <w:trPr>
          <w:trHeight w:val="290"/>
        </w:trPr>
        <w:tc>
          <w:tcPr>
            <w:tcW w:w="396" w:type="pct"/>
            <w:noWrap/>
            <w:hideMark/>
          </w:tcPr>
          <w:p w14:paraId="28AF6B2F"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37</w:t>
            </w:r>
          </w:p>
        </w:tc>
        <w:tc>
          <w:tcPr>
            <w:tcW w:w="3163" w:type="pct"/>
            <w:noWrap/>
            <w:hideMark/>
          </w:tcPr>
          <w:p w14:paraId="6CAFB42D" w14:textId="4110A1C7"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IMSP Spitalul clinic de boli infecțioase "Toma Ciorb</w:t>
            </w:r>
            <w:r w:rsidR="007E34E4" w:rsidRPr="003F4D72">
              <w:rPr>
                <w:rFonts w:asciiTheme="majorHAnsi" w:hAnsiTheme="majorHAnsi" w:cstheme="majorHAnsi"/>
                <w:sz w:val="20"/>
                <w:szCs w:val="20"/>
              </w:rPr>
              <w:t>ă</w:t>
            </w:r>
            <w:r w:rsidRPr="003F4D72">
              <w:rPr>
                <w:rFonts w:asciiTheme="majorHAnsi" w:hAnsiTheme="majorHAnsi" w:cstheme="majorHAnsi"/>
                <w:sz w:val="20"/>
                <w:szCs w:val="20"/>
              </w:rPr>
              <w:t>"</w:t>
            </w:r>
          </w:p>
        </w:tc>
        <w:tc>
          <w:tcPr>
            <w:tcW w:w="1441" w:type="pct"/>
            <w:noWrap/>
            <w:hideMark/>
          </w:tcPr>
          <w:p w14:paraId="2BA014D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w:t>
            </w:r>
          </w:p>
        </w:tc>
      </w:tr>
      <w:tr w:rsidR="005D6831" w:rsidRPr="003F4D72" w14:paraId="61B7A9A9" w14:textId="77777777" w:rsidTr="005D6831">
        <w:trPr>
          <w:trHeight w:val="290"/>
        </w:trPr>
        <w:tc>
          <w:tcPr>
            <w:tcW w:w="396" w:type="pct"/>
            <w:noWrap/>
            <w:hideMark/>
          </w:tcPr>
          <w:p w14:paraId="03EF149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38</w:t>
            </w:r>
          </w:p>
        </w:tc>
        <w:tc>
          <w:tcPr>
            <w:tcW w:w="3163" w:type="pct"/>
            <w:noWrap/>
            <w:hideMark/>
          </w:tcPr>
          <w:p w14:paraId="05F5BB40"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 xml:space="preserve">IMSP Dispensarul Republican de </w:t>
            </w:r>
            <w:proofErr w:type="spellStart"/>
            <w:r w:rsidRPr="003F4D72">
              <w:rPr>
                <w:rFonts w:asciiTheme="majorHAnsi" w:hAnsiTheme="majorHAnsi" w:cstheme="majorHAnsi"/>
                <w:sz w:val="20"/>
                <w:szCs w:val="20"/>
              </w:rPr>
              <w:t>Narcologie</w:t>
            </w:r>
            <w:proofErr w:type="spellEnd"/>
          </w:p>
        </w:tc>
        <w:tc>
          <w:tcPr>
            <w:tcW w:w="1441" w:type="pct"/>
            <w:noWrap/>
            <w:hideMark/>
          </w:tcPr>
          <w:p w14:paraId="3F1D4A4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w:t>
            </w:r>
          </w:p>
        </w:tc>
      </w:tr>
      <w:tr w:rsidR="005D6831" w:rsidRPr="003F4D72" w14:paraId="3882C086" w14:textId="77777777" w:rsidTr="005D6831">
        <w:trPr>
          <w:trHeight w:val="290"/>
        </w:trPr>
        <w:tc>
          <w:tcPr>
            <w:tcW w:w="396" w:type="pct"/>
            <w:noWrap/>
            <w:hideMark/>
          </w:tcPr>
          <w:p w14:paraId="5DF49BBF"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39</w:t>
            </w:r>
          </w:p>
        </w:tc>
        <w:tc>
          <w:tcPr>
            <w:tcW w:w="3163" w:type="pct"/>
            <w:noWrap/>
            <w:hideMark/>
          </w:tcPr>
          <w:p w14:paraId="0C07E90C" w14:textId="7ED46B53"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Ceadâr-Lunga</w:t>
            </w:r>
          </w:p>
        </w:tc>
        <w:tc>
          <w:tcPr>
            <w:tcW w:w="1441" w:type="pct"/>
            <w:noWrap/>
            <w:hideMark/>
          </w:tcPr>
          <w:p w14:paraId="2684321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w:t>
            </w:r>
          </w:p>
        </w:tc>
      </w:tr>
      <w:tr w:rsidR="005D6831" w:rsidRPr="003F4D72" w14:paraId="7EE7798F" w14:textId="77777777" w:rsidTr="005D6831">
        <w:trPr>
          <w:trHeight w:val="290"/>
        </w:trPr>
        <w:tc>
          <w:tcPr>
            <w:tcW w:w="396" w:type="pct"/>
            <w:noWrap/>
            <w:hideMark/>
          </w:tcPr>
          <w:p w14:paraId="0B20AD8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lastRenderedPageBreak/>
              <w:t>40</w:t>
            </w:r>
          </w:p>
        </w:tc>
        <w:tc>
          <w:tcPr>
            <w:tcW w:w="3163" w:type="pct"/>
            <w:noWrap/>
            <w:hideMark/>
          </w:tcPr>
          <w:p w14:paraId="7FAE97AA" w14:textId="4856CDEF"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IMSP Institutul de Medicin</w:t>
            </w:r>
            <w:r w:rsidR="007E34E4" w:rsidRPr="003F4D72">
              <w:rPr>
                <w:rFonts w:asciiTheme="majorHAnsi" w:hAnsiTheme="majorHAnsi" w:cstheme="majorHAnsi"/>
                <w:sz w:val="20"/>
                <w:szCs w:val="20"/>
              </w:rPr>
              <w:t>ă</w:t>
            </w:r>
            <w:r w:rsidRPr="003F4D72">
              <w:rPr>
                <w:rFonts w:asciiTheme="majorHAnsi" w:hAnsiTheme="majorHAnsi" w:cstheme="majorHAnsi"/>
                <w:sz w:val="20"/>
                <w:szCs w:val="20"/>
              </w:rPr>
              <w:t xml:space="preserve"> Urgent</w:t>
            </w:r>
            <w:r w:rsidR="007E34E4" w:rsidRPr="003F4D72">
              <w:rPr>
                <w:rFonts w:asciiTheme="majorHAnsi" w:hAnsiTheme="majorHAnsi" w:cstheme="majorHAnsi"/>
                <w:sz w:val="20"/>
                <w:szCs w:val="20"/>
              </w:rPr>
              <w:t>ă</w:t>
            </w:r>
          </w:p>
        </w:tc>
        <w:tc>
          <w:tcPr>
            <w:tcW w:w="1441" w:type="pct"/>
            <w:noWrap/>
            <w:hideMark/>
          </w:tcPr>
          <w:p w14:paraId="67FD63B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w:t>
            </w:r>
          </w:p>
        </w:tc>
      </w:tr>
      <w:tr w:rsidR="005D6831" w:rsidRPr="003F4D72" w14:paraId="75BA9518" w14:textId="77777777" w:rsidTr="005D6831">
        <w:trPr>
          <w:trHeight w:val="290"/>
        </w:trPr>
        <w:tc>
          <w:tcPr>
            <w:tcW w:w="396" w:type="pct"/>
            <w:noWrap/>
            <w:hideMark/>
          </w:tcPr>
          <w:p w14:paraId="112F5C7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41</w:t>
            </w:r>
          </w:p>
        </w:tc>
        <w:tc>
          <w:tcPr>
            <w:tcW w:w="3163" w:type="pct"/>
            <w:noWrap/>
            <w:hideMark/>
          </w:tcPr>
          <w:p w14:paraId="60FBCC7F" w14:textId="5C81083F"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Sângerei</w:t>
            </w:r>
          </w:p>
        </w:tc>
        <w:tc>
          <w:tcPr>
            <w:tcW w:w="1441" w:type="pct"/>
            <w:noWrap/>
            <w:hideMark/>
          </w:tcPr>
          <w:p w14:paraId="36E120F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w:t>
            </w:r>
          </w:p>
        </w:tc>
      </w:tr>
      <w:tr w:rsidR="005D6831" w:rsidRPr="003F4D72" w14:paraId="12A2BAC3" w14:textId="77777777" w:rsidTr="005D6831">
        <w:trPr>
          <w:trHeight w:val="290"/>
        </w:trPr>
        <w:tc>
          <w:tcPr>
            <w:tcW w:w="396" w:type="pct"/>
            <w:noWrap/>
            <w:hideMark/>
          </w:tcPr>
          <w:p w14:paraId="11F6B31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42</w:t>
            </w:r>
          </w:p>
        </w:tc>
        <w:tc>
          <w:tcPr>
            <w:tcW w:w="3163" w:type="pct"/>
            <w:noWrap/>
            <w:hideMark/>
          </w:tcPr>
          <w:p w14:paraId="4041D02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Caro-Service SRL</w:t>
            </w:r>
          </w:p>
        </w:tc>
        <w:tc>
          <w:tcPr>
            <w:tcW w:w="1441" w:type="pct"/>
            <w:noWrap/>
            <w:hideMark/>
          </w:tcPr>
          <w:p w14:paraId="37DC1F1F"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3</w:t>
            </w:r>
          </w:p>
        </w:tc>
      </w:tr>
      <w:tr w:rsidR="005D6831" w:rsidRPr="003F4D72" w14:paraId="09FAC9C4" w14:textId="77777777" w:rsidTr="005D6831">
        <w:trPr>
          <w:trHeight w:val="290"/>
        </w:trPr>
        <w:tc>
          <w:tcPr>
            <w:tcW w:w="396" w:type="pct"/>
            <w:noWrap/>
            <w:hideMark/>
          </w:tcPr>
          <w:p w14:paraId="07E37DC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43</w:t>
            </w:r>
          </w:p>
        </w:tc>
        <w:tc>
          <w:tcPr>
            <w:tcW w:w="3163" w:type="pct"/>
            <w:noWrap/>
            <w:hideMark/>
          </w:tcPr>
          <w:p w14:paraId="3D5D9C0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Clinic de Psihiatrie</w:t>
            </w:r>
          </w:p>
        </w:tc>
        <w:tc>
          <w:tcPr>
            <w:tcW w:w="1441" w:type="pct"/>
            <w:noWrap/>
            <w:hideMark/>
          </w:tcPr>
          <w:p w14:paraId="4B36A23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w:t>
            </w:r>
          </w:p>
        </w:tc>
      </w:tr>
      <w:tr w:rsidR="005D6831" w:rsidRPr="003F4D72" w14:paraId="47A9AE76" w14:textId="77777777" w:rsidTr="005D6831">
        <w:trPr>
          <w:trHeight w:val="290"/>
        </w:trPr>
        <w:tc>
          <w:tcPr>
            <w:tcW w:w="396" w:type="pct"/>
            <w:noWrap/>
            <w:hideMark/>
          </w:tcPr>
          <w:p w14:paraId="751B223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44</w:t>
            </w:r>
          </w:p>
        </w:tc>
        <w:tc>
          <w:tcPr>
            <w:tcW w:w="3163" w:type="pct"/>
            <w:noWrap/>
            <w:hideMark/>
          </w:tcPr>
          <w:p w14:paraId="2CFD8DA6" w14:textId="6CEB7301"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Cărpineni</w:t>
            </w:r>
          </w:p>
        </w:tc>
        <w:tc>
          <w:tcPr>
            <w:tcW w:w="1441" w:type="pct"/>
            <w:noWrap/>
            <w:hideMark/>
          </w:tcPr>
          <w:p w14:paraId="162FED2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w:t>
            </w:r>
          </w:p>
        </w:tc>
      </w:tr>
      <w:tr w:rsidR="005D6831" w:rsidRPr="003F4D72" w14:paraId="268051BF" w14:textId="77777777" w:rsidTr="005D6831">
        <w:trPr>
          <w:trHeight w:val="290"/>
        </w:trPr>
        <w:tc>
          <w:tcPr>
            <w:tcW w:w="396" w:type="pct"/>
            <w:noWrap/>
            <w:hideMark/>
          </w:tcPr>
          <w:p w14:paraId="5396AEAC"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45</w:t>
            </w:r>
          </w:p>
        </w:tc>
        <w:tc>
          <w:tcPr>
            <w:tcW w:w="3163" w:type="pct"/>
            <w:noWrap/>
            <w:hideMark/>
          </w:tcPr>
          <w:p w14:paraId="56B7D31A" w14:textId="3FCB4DB1"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Căușeni</w:t>
            </w:r>
          </w:p>
        </w:tc>
        <w:tc>
          <w:tcPr>
            <w:tcW w:w="1441" w:type="pct"/>
            <w:noWrap/>
            <w:hideMark/>
          </w:tcPr>
          <w:p w14:paraId="652A656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w:t>
            </w:r>
          </w:p>
        </w:tc>
      </w:tr>
      <w:tr w:rsidR="005D6831" w:rsidRPr="003F4D72" w14:paraId="528D1FB6" w14:textId="77777777" w:rsidTr="005D6831">
        <w:trPr>
          <w:trHeight w:val="290"/>
        </w:trPr>
        <w:tc>
          <w:tcPr>
            <w:tcW w:w="396" w:type="pct"/>
            <w:noWrap/>
            <w:hideMark/>
          </w:tcPr>
          <w:p w14:paraId="23CCCA8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46</w:t>
            </w:r>
          </w:p>
        </w:tc>
        <w:tc>
          <w:tcPr>
            <w:tcW w:w="3163" w:type="pct"/>
            <w:noWrap/>
            <w:hideMark/>
          </w:tcPr>
          <w:p w14:paraId="02818099" w14:textId="78E94075" w:rsidR="005D6831" w:rsidRPr="003F4D72" w:rsidRDefault="00FA3E6A" w:rsidP="00FB3581">
            <w:pPr>
              <w:rPr>
                <w:rFonts w:asciiTheme="majorHAnsi" w:hAnsiTheme="majorHAnsi" w:cstheme="majorHAnsi"/>
                <w:sz w:val="20"/>
                <w:szCs w:val="20"/>
              </w:rPr>
            </w:pPr>
            <w:r w:rsidRPr="003F4D72">
              <w:rPr>
                <w:rFonts w:asciiTheme="majorHAnsi" w:hAnsiTheme="majorHAnsi" w:cstheme="majorHAnsi"/>
                <w:sz w:val="20"/>
                <w:szCs w:val="20"/>
              </w:rPr>
              <w:t xml:space="preserve">Spitalul Internațional </w:t>
            </w:r>
            <w:proofErr w:type="spellStart"/>
            <w:r w:rsidR="005D6831" w:rsidRPr="003F4D72">
              <w:rPr>
                <w:rFonts w:asciiTheme="majorHAnsi" w:hAnsiTheme="majorHAnsi" w:cstheme="majorHAnsi"/>
                <w:sz w:val="20"/>
                <w:szCs w:val="20"/>
              </w:rPr>
              <w:t>Medpark</w:t>
            </w:r>
            <w:proofErr w:type="spellEnd"/>
          </w:p>
        </w:tc>
        <w:tc>
          <w:tcPr>
            <w:tcW w:w="1441" w:type="pct"/>
            <w:noWrap/>
            <w:hideMark/>
          </w:tcPr>
          <w:p w14:paraId="3D2F16D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2</w:t>
            </w:r>
          </w:p>
        </w:tc>
      </w:tr>
      <w:tr w:rsidR="005D6831" w:rsidRPr="003F4D72" w14:paraId="63A736DD" w14:textId="77777777" w:rsidTr="005D6831">
        <w:trPr>
          <w:trHeight w:val="290"/>
        </w:trPr>
        <w:tc>
          <w:tcPr>
            <w:tcW w:w="396" w:type="pct"/>
            <w:noWrap/>
            <w:hideMark/>
          </w:tcPr>
          <w:p w14:paraId="0B066A8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47</w:t>
            </w:r>
          </w:p>
        </w:tc>
        <w:tc>
          <w:tcPr>
            <w:tcW w:w="3163" w:type="pct"/>
            <w:noWrap/>
            <w:hideMark/>
          </w:tcPr>
          <w:p w14:paraId="1031759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Clinic Municipal de Copii "</w:t>
            </w:r>
            <w:proofErr w:type="spellStart"/>
            <w:r w:rsidRPr="003F4D72">
              <w:rPr>
                <w:rFonts w:asciiTheme="majorHAnsi" w:hAnsiTheme="majorHAnsi" w:cstheme="majorHAnsi"/>
                <w:sz w:val="20"/>
                <w:szCs w:val="20"/>
              </w:rPr>
              <w:t>V.Ignatenco</w:t>
            </w:r>
            <w:proofErr w:type="spellEnd"/>
            <w:r w:rsidRPr="003F4D72">
              <w:rPr>
                <w:rFonts w:asciiTheme="majorHAnsi" w:hAnsiTheme="majorHAnsi" w:cstheme="majorHAnsi"/>
                <w:sz w:val="20"/>
                <w:szCs w:val="20"/>
              </w:rPr>
              <w:t>"</w:t>
            </w:r>
          </w:p>
        </w:tc>
        <w:tc>
          <w:tcPr>
            <w:tcW w:w="1441" w:type="pct"/>
            <w:noWrap/>
            <w:hideMark/>
          </w:tcPr>
          <w:p w14:paraId="5479E73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0EAF1FBE" w14:textId="77777777" w:rsidTr="005D6831">
        <w:trPr>
          <w:trHeight w:val="290"/>
        </w:trPr>
        <w:tc>
          <w:tcPr>
            <w:tcW w:w="396" w:type="pct"/>
            <w:noWrap/>
            <w:hideMark/>
          </w:tcPr>
          <w:p w14:paraId="20F0A3FD"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48</w:t>
            </w:r>
          </w:p>
        </w:tc>
        <w:tc>
          <w:tcPr>
            <w:tcW w:w="3163" w:type="pct"/>
            <w:noWrap/>
            <w:hideMark/>
          </w:tcPr>
          <w:p w14:paraId="4ACFE35F" w14:textId="10870FA2"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Fălești</w:t>
            </w:r>
          </w:p>
        </w:tc>
        <w:tc>
          <w:tcPr>
            <w:tcW w:w="1441" w:type="pct"/>
            <w:noWrap/>
            <w:hideMark/>
          </w:tcPr>
          <w:p w14:paraId="245291C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3A5734AD" w14:textId="77777777" w:rsidTr="005D6831">
        <w:trPr>
          <w:trHeight w:val="290"/>
        </w:trPr>
        <w:tc>
          <w:tcPr>
            <w:tcW w:w="396" w:type="pct"/>
            <w:noWrap/>
            <w:hideMark/>
          </w:tcPr>
          <w:p w14:paraId="6F616216"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49</w:t>
            </w:r>
          </w:p>
        </w:tc>
        <w:tc>
          <w:tcPr>
            <w:tcW w:w="3163" w:type="pct"/>
            <w:noWrap/>
            <w:hideMark/>
          </w:tcPr>
          <w:p w14:paraId="05FCCA53"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Ialoveni</w:t>
            </w:r>
          </w:p>
        </w:tc>
        <w:tc>
          <w:tcPr>
            <w:tcW w:w="1441" w:type="pct"/>
            <w:noWrap/>
            <w:hideMark/>
          </w:tcPr>
          <w:p w14:paraId="4DEA8E0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1AC72C94" w14:textId="77777777" w:rsidTr="005D6831">
        <w:trPr>
          <w:trHeight w:val="290"/>
        </w:trPr>
        <w:tc>
          <w:tcPr>
            <w:tcW w:w="396" w:type="pct"/>
            <w:noWrap/>
            <w:hideMark/>
          </w:tcPr>
          <w:p w14:paraId="3E8CA90A"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50</w:t>
            </w:r>
          </w:p>
        </w:tc>
        <w:tc>
          <w:tcPr>
            <w:tcW w:w="3163" w:type="pct"/>
            <w:noWrap/>
            <w:hideMark/>
          </w:tcPr>
          <w:p w14:paraId="353DB67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Cimișlia</w:t>
            </w:r>
          </w:p>
        </w:tc>
        <w:tc>
          <w:tcPr>
            <w:tcW w:w="1441" w:type="pct"/>
            <w:noWrap/>
            <w:hideMark/>
          </w:tcPr>
          <w:p w14:paraId="1B8D677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78CDA188" w14:textId="77777777" w:rsidTr="005D6831">
        <w:trPr>
          <w:trHeight w:val="290"/>
        </w:trPr>
        <w:tc>
          <w:tcPr>
            <w:tcW w:w="396" w:type="pct"/>
            <w:noWrap/>
            <w:hideMark/>
          </w:tcPr>
          <w:p w14:paraId="6605F644"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51</w:t>
            </w:r>
          </w:p>
        </w:tc>
        <w:tc>
          <w:tcPr>
            <w:tcW w:w="3163" w:type="pct"/>
            <w:noWrap/>
            <w:hideMark/>
          </w:tcPr>
          <w:p w14:paraId="0DC57A0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Orhei</w:t>
            </w:r>
          </w:p>
        </w:tc>
        <w:tc>
          <w:tcPr>
            <w:tcW w:w="1441" w:type="pct"/>
            <w:noWrap/>
            <w:hideMark/>
          </w:tcPr>
          <w:p w14:paraId="6BE6300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78041C1A" w14:textId="77777777" w:rsidTr="005D6831">
        <w:trPr>
          <w:trHeight w:val="290"/>
        </w:trPr>
        <w:tc>
          <w:tcPr>
            <w:tcW w:w="396" w:type="pct"/>
            <w:noWrap/>
            <w:hideMark/>
          </w:tcPr>
          <w:p w14:paraId="03BADDB7"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52</w:t>
            </w:r>
          </w:p>
        </w:tc>
        <w:tc>
          <w:tcPr>
            <w:tcW w:w="3163" w:type="pct"/>
            <w:noWrap/>
            <w:hideMark/>
          </w:tcPr>
          <w:p w14:paraId="32D859F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IMSP Spitalul Raional Soroca "</w:t>
            </w:r>
            <w:proofErr w:type="spellStart"/>
            <w:r w:rsidRPr="003F4D72">
              <w:rPr>
                <w:rFonts w:asciiTheme="majorHAnsi" w:hAnsiTheme="majorHAnsi" w:cstheme="majorHAnsi"/>
                <w:sz w:val="20"/>
                <w:szCs w:val="20"/>
              </w:rPr>
              <w:t>A.Prisacari</w:t>
            </w:r>
            <w:proofErr w:type="spellEnd"/>
            <w:r w:rsidRPr="003F4D72">
              <w:rPr>
                <w:rFonts w:asciiTheme="majorHAnsi" w:hAnsiTheme="majorHAnsi" w:cstheme="majorHAnsi"/>
                <w:sz w:val="20"/>
                <w:szCs w:val="20"/>
              </w:rPr>
              <w:t>"</w:t>
            </w:r>
          </w:p>
        </w:tc>
        <w:tc>
          <w:tcPr>
            <w:tcW w:w="1441" w:type="pct"/>
            <w:noWrap/>
            <w:hideMark/>
          </w:tcPr>
          <w:p w14:paraId="31006A8B"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134F3948" w14:textId="77777777" w:rsidTr="005D6831">
        <w:trPr>
          <w:trHeight w:val="290"/>
        </w:trPr>
        <w:tc>
          <w:tcPr>
            <w:tcW w:w="396" w:type="pct"/>
            <w:noWrap/>
            <w:hideMark/>
          </w:tcPr>
          <w:p w14:paraId="50B707D5"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53</w:t>
            </w:r>
          </w:p>
        </w:tc>
        <w:tc>
          <w:tcPr>
            <w:tcW w:w="3163" w:type="pct"/>
            <w:noWrap/>
            <w:hideMark/>
          </w:tcPr>
          <w:p w14:paraId="18B44FEC" w14:textId="452716B3"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IMSP Spitalul Raional Ștefan</w:t>
            </w:r>
            <w:r w:rsidR="007E34E4" w:rsidRPr="003F4D72">
              <w:rPr>
                <w:rFonts w:asciiTheme="majorHAnsi" w:hAnsiTheme="majorHAnsi" w:cstheme="majorHAnsi"/>
                <w:sz w:val="20"/>
                <w:szCs w:val="20"/>
              </w:rPr>
              <w:t xml:space="preserve"> </w:t>
            </w:r>
            <w:r w:rsidRPr="003F4D72">
              <w:rPr>
                <w:rFonts w:asciiTheme="majorHAnsi" w:hAnsiTheme="majorHAnsi" w:cstheme="majorHAnsi"/>
                <w:sz w:val="20"/>
                <w:szCs w:val="20"/>
              </w:rPr>
              <w:t>Vodă</w:t>
            </w:r>
          </w:p>
        </w:tc>
        <w:tc>
          <w:tcPr>
            <w:tcW w:w="1441" w:type="pct"/>
            <w:noWrap/>
            <w:hideMark/>
          </w:tcPr>
          <w:p w14:paraId="586AC688"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77615D18" w14:textId="77777777" w:rsidTr="005D6831">
        <w:trPr>
          <w:trHeight w:val="290"/>
        </w:trPr>
        <w:tc>
          <w:tcPr>
            <w:tcW w:w="396" w:type="pct"/>
            <w:noWrap/>
            <w:hideMark/>
          </w:tcPr>
          <w:p w14:paraId="61554BE2"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54</w:t>
            </w:r>
          </w:p>
        </w:tc>
        <w:tc>
          <w:tcPr>
            <w:tcW w:w="3163" w:type="pct"/>
            <w:noWrap/>
            <w:hideMark/>
          </w:tcPr>
          <w:p w14:paraId="204CF6F1" w14:textId="73154DBA"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IMS Serviciul Medical a</w:t>
            </w:r>
            <w:r w:rsidR="007E34E4" w:rsidRPr="003F4D72">
              <w:rPr>
                <w:rFonts w:asciiTheme="majorHAnsi" w:hAnsiTheme="majorHAnsi" w:cstheme="majorHAnsi"/>
                <w:sz w:val="20"/>
                <w:szCs w:val="20"/>
              </w:rPr>
              <w:t>l</w:t>
            </w:r>
            <w:r w:rsidRPr="003F4D72">
              <w:rPr>
                <w:rFonts w:asciiTheme="majorHAnsi" w:hAnsiTheme="majorHAnsi" w:cstheme="majorHAnsi"/>
                <w:sz w:val="20"/>
                <w:szCs w:val="20"/>
              </w:rPr>
              <w:t xml:space="preserve"> Ministerului Afacerilor Interne</w:t>
            </w:r>
          </w:p>
        </w:tc>
        <w:tc>
          <w:tcPr>
            <w:tcW w:w="1441" w:type="pct"/>
            <w:noWrap/>
            <w:hideMark/>
          </w:tcPr>
          <w:p w14:paraId="43AA4D39"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3332D5A7" w14:textId="77777777" w:rsidTr="005D6831">
        <w:trPr>
          <w:trHeight w:val="240"/>
        </w:trPr>
        <w:tc>
          <w:tcPr>
            <w:tcW w:w="396" w:type="pct"/>
            <w:noWrap/>
            <w:hideMark/>
          </w:tcPr>
          <w:p w14:paraId="6D3D564E"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55</w:t>
            </w:r>
          </w:p>
        </w:tc>
        <w:tc>
          <w:tcPr>
            <w:tcW w:w="3163" w:type="pct"/>
            <w:noWrap/>
            <w:hideMark/>
          </w:tcPr>
          <w:p w14:paraId="6524E073" w14:textId="6F248043" w:rsidR="005D6831" w:rsidRPr="003F4D72" w:rsidRDefault="005D6831" w:rsidP="007E34E4">
            <w:pPr>
              <w:rPr>
                <w:rFonts w:asciiTheme="majorHAnsi" w:hAnsiTheme="majorHAnsi" w:cstheme="majorHAnsi"/>
                <w:sz w:val="20"/>
                <w:szCs w:val="20"/>
              </w:rPr>
            </w:pPr>
            <w:r w:rsidRPr="003F4D72">
              <w:rPr>
                <w:rFonts w:asciiTheme="majorHAnsi" w:hAnsiTheme="majorHAnsi" w:cstheme="majorHAnsi"/>
                <w:sz w:val="20"/>
                <w:szCs w:val="20"/>
              </w:rPr>
              <w:t>Centrul de Medicin</w:t>
            </w:r>
            <w:r w:rsidR="007E34E4" w:rsidRPr="003F4D72">
              <w:rPr>
                <w:rFonts w:asciiTheme="majorHAnsi" w:hAnsiTheme="majorHAnsi" w:cstheme="majorHAnsi"/>
                <w:sz w:val="20"/>
                <w:szCs w:val="20"/>
              </w:rPr>
              <w:t>ă</w:t>
            </w:r>
            <w:r w:rsidRPr="003F4D72">
              <w:rPr>
                <w:rFonts w:asciiTheme="majorHAnsi" w:hAnsiTheme="majorHAnsi" w:cstheme="majorHAnsi"/>
                <w:sz w:val="20"/>
                <w:szCs w:val="20"/>
              </w:rPr>
              <w:t xml:space="preserve"> Intervențional</w:t>
            </w:r>
            <w:r w:rsidR="007E34E4" w:rsidRPr="003F4D72">
              <w:rPr>
                <w:rFonts w:asciiTheme="majorHAnsi" w:hAnsiTheme="majorHAnsi" w:cstheme="majorHAnsi"/>
                <w:sz w:val="20"/>
                <w:szCs w:val="20"/>
              </w:rPr>
              <w:t>ă</w:t>
            </w:r>
            <w:r w:rsidRPr="003F4D72">
              <w:rPr>
                <w:rFonts w:asciiTheme="majorHAnsi" w:hAnsiTheme="majorHAnsi" w:cstheme="majorHAnsi"/>
                <w:sz w:val="20"/>
                <w:szCs w:val="20"/>
              </w:rPr>
              <w:t xml:space="preserve"> "</w:t>
            </w:r>
            <w:proofErr w:type="spellStart"/>
            <w:r w:rsidRPr="003F4D72">
              <w:rPr>
                <w:rFonts w:asciiTheme="majorHAnsi" w:hAnsiTheme="majorHAnsi" w:cstheme="majorHAnsi"/>
                <w:sz w:val="20"/>
                <w:szCs w:val="20"/>
              </w:rPr>
              <w:t>Cardiomed</w:t>
            </w:r>
            <w:proofErr w:type="spellEnd"/>
            <w:r w:rsidRPr="003F4D72">
              <w:rPr>
                <w:rFonts w:asciiTheme="majorHAnsi" w:hAnsiTheme="majorHAnsi" w:cstheme="majorHAnsi"/>
                <w:sz w:val="20"/>
                <w:szCs w:val="20"/>
              </w:rPr>
              <w:t>"</w:t>
            </w:r>
          </w:p>
        </w:tc>
        <w:tc>
          <w:tcPr>
            <w:tcW w:w="1441" w:type="pct"/>
            <w:noWrap/>
            <w:hideMark/>
          </w:tcPr>
          <w:p w14:paraId="52C38E31" w14:textId="77777777" w:rsidR="005D6831" w:rsidRPr="003F4D72" w:rsidRDefault="005D6831" w:rsidP="00FB3581">
            <w:pPr>
              <w:rPr>
                <w:rFonts w:asciiTheme="majorHAnsi" w:hAnsiTheme="majorHAnsi" w:cstheme="majorHAnsi"/>
                <w:sz w:val="20"/>
                <w:szCs w:val="20"/>
              </w:rPr>
            </w:pPr>
            <w:r w:rsidRPr="003F4D72">
              <w:rPr>
                <w:rFonts w:asciiTheme="majorHAnsi" w:hAnsiTheme="majorHAnsi" w:cstheme="majorHAnsi"/>
                <w:sz w:val="20"/>
                <w:szCs w:val="20"/>
              </w:rPr>
              <w:t>1</w:t>
            </w:r>
          </w:p>
        </w:tc>
      </w:tr>
      <w:tr w:rsidR="005D6831" w:rsidRPr="003F4D72" w14:paraId="270DD7B9" w14:textId="77777777" w:rsidTr="005D6831">
        <w:trPr>
          <w:trHeight w:val="56"/>
        </w:trPr>
        <w:tc>
          <w:tcPr>
            <w:tcW w:w="3559" w:type="pct"/>
            <w:gridSpan w:val="2"/>
            <w:noWrap/>
            <w:hideMark/>
          </w:tcPr>
          <w:p w14:paraId="403B3811" w14:textId="77777777" w:rsidR="005D6831" w:rsidRPr="003F4D72" w:rsidRDefault="005D6831" w:rsidP="00FB3581">
            <w:pPr>
              <w:rPr>
                <w:rFonts w:asciiTheme="majorHAnsi" w:hAnsiTheme="majorHAnsi" w:cstheme="majorHAnsi"/>
                <w:b/>
                <w:bCs/>
                <w:sz w:val="20"/>
                <w:szCs w:val="20"/>
              </w:rPr>
            </w:pPr>
            <w:r w:rsidRPr="003F4D72">
              <w:rPr>
                <w:rFonts w:asciiTheme="majorHAnsi" w:hAnsiTheme="majorHAnsi" w:cstheme="majorHAnsi"/>
                <w:b/>
                <w:bCs/>
                <w:sz w:val="20"/>
                <w:szCs w:val="20"/>
              </w:rPr>
              <w:t>Total</w:t>
            </w:r>
          </w:p>
        </w:tc>
        <w:tc>
          <w:tcPr>
            <w:tcW w:w="1441" w:type="pct"/>
            <w:noWrap/>
            <w:hideMark/>
          </w:tcPr>
          <w:p w14:paraId="3AE2BA32" w14:textId="77777777" w:rsidR="005D6831" w:rsidRPr="003F4D72" w:rsidRDefault="005D6831" w:rsidP="00FB3581">
            <w:pPr>
              <w:rPr>
                <w:rFonts w:asciiTheme="majorHAnsi" w:hAnsiTheme="majorHAnsi" w:cstheme="majorHAnsi"/>
                <w:b/>
                <w:bCs/>
                <w:sz w:val="20"/>
                <w:szCs w:val="20"/>
              </w:rPr>
            </w:pPr>
            <w:r w:rsidRPr="003F4D72">
              <w:rPr>
                <w:rFonts w:asciiTheme="majorHAnsi" w:hAnsiTheme="majorHAnsi" w:cstheme="majorHAnsi"/>
                <w:b/>
                <w:bCs/>
                <w:sz w:val="20"/>
                <w:szCs w:val="20"/>
              </w:rPr>
              <w:t>2915</w:t>
            </w:r>
          </w:p>
        </w:tc>
      </w:tr>
    </w:tbl>
    <w:p w14:paraId="59BC72E7" w14:textId="7C10D4D5" w:rsidR="005D6831" w:rsidRPr="003F4D72" w:rsidRDefault="005D6831" w:rsidP="005D6831">
      <w:pPr>
        <w:spacing w:after="0"/>
        <w:jc w:val="both"/>
        <w:rPr>
          <w:rFonts w:asciiTheme="majorHAnsi" w:hAnsiTheme="majorHAnsi" w:cstheme="majorHAnsi"/>
          <w:b/>
          <w:i/>
          <w:sz w:val="20"/>
          <w:szCs w:val="24"/>
        </w:rPr>
      </w:pPr>
      <w:r w:rsidRPr="003F4D72">
        <w:rPr>
          <w:rFonts w:asciiTheme="majorHAnsi" w:hAnsiTheme="majorHAnsi" w:cstheme="majorHAnsi"/>
          <w:b/>
          <w:i/>
          <w:sz w:val="20"/>
          <w:szCs w:val="24"/>
        </w:rPr>
        <w:t xml:space="preserve">Sursa: </w:t>
      </w:r>
      <w:r w:rsidRPr="003F4D72">
        <w:rPr>
          <w:rFonts w:asciiTheme="majorHAnsi" w:hAnsiTheme="majorHAnsi" w:cstheme="majorHAnsi"/>
          <w:i/>
          <w:sz w:val="20"/>
          <w:szCs w:val="24"/>
        </w:rPr>
        <w:t xml:space="preserve">Elaborat de audit în baza informațiilor din </w:t>
      </w:r>
      <w:r w:rsidR="00437C56" w:rsidRPr="003F4D72">
        <w:rPr>
          <w:rFonts w:asciiTheme="majorHAnsi" w:eastAsia="Times New Roman" w:hAnsiTheme="majorHAnsi" w:cstheme="majorHAnsi"/>
          <w:i/>
          <w:noProof/>
          <w:sz w:val="20"/>
          <w:szCs w:val="20"/>
          <w:lang w:eastAsia="ru-RU"/>
        </w:rPr>
        <w:t>SI “Evidența şi raportarea serviciilor medicale în sistem DRG-online”</w:t>
      </w:r>
      <w:r w:rsidRPr="003F4D72">
        <w:rPr>
          <w:rFonts w:asciiTheme="majorHAnsi" w:hAnsiTheme="majorHAnsi" w:cstheme="majorHAnsi"/>
          <w:i/>
          <w:sz w:val="20"/>
          <w:szCs w:val="24"/>
        </w:rPr>
        <w:t>.</w:t>
      </w:r>
    </w:p>
    <w:p w14:paraId="5333876B" w14:textId="4C8CB81E" w:rsidR="005D6831" w:rsidRPr="003F4D72" w:rsidRDefault="005D6831" w:rsidP="00FB241F">
      <w:pPr>
        <w:spacing w:line="276" w:lineRule="auto"/>
        <w:jc w:val="both"/>
        <w:rPr>
          <w:rFonts w:asciiTheme="majorHAnsi" w:hAnsiTheme="majorHAnsi" w:cstheme="majorHAnsi"/>
          <w:sz w:val="28"/>
          <w:szCs w:val="28"/>
        </w:rPr>
      </w:pPr>
    </w:p>
    <w:p w14:paraId="4D803442" w14:textId="72E2C32C" w:rsidR="005D6831" w:rsidRPr="003F4D72" w:rsidRDefault="005D6831" w:rsidP="00FB241F">
      <w:pPr>
        <w:spacing w:line="276" w:lineRule="auto"/>
        <w:jc w:val="both"/>
        <w:rPr>
          <w:rFonts w:asciiTheme="majorHAnsi" w:hAnsiTheme="majorHAnsi" w:cstheme="majorHAnsi"/>
          <w:sz w:val="28"/>
          <w:szCs w:val="28"/>
        </w:rPr>
      </w:pPr>
    </w:p>
    <w:p w14:paraId="58B7499A" w14:textId="70D87256" w:rsidR="005D6831" w:rsidRPr="003F4D72" w:rsidRDefault="005D6831" w:rsidP="00FB241F">
      <w:pPr>
        <w:spacing w:line="276" w:lineRule="auto"/>
        <w:jc w:val="both"/>
        <w:rPr>
          <w:rFonts w:asciiTheme="majorHAnsi" w:hAnsiTheme="majorHAnsi" w:cstheme="majorHAnsi"/>
          <w:sz w:val="28"/>
          <w:szCs w:val="28"/>
        </w:rPr>
      </w:pPr>
    </w:p>
    <w:p w14:paraId="3AA73C36" w14:textId="77777777" w:rsidR="005D6831" w:rsidRPr="003F4D72" w:rsidRDefault="005D6831" w:rsidP="00FB241F">
      <w:pPr>
        <w:spacing w:line="276" w:lineRule="auto"/>
        <w:jc w:val="both"/>
        <w:rPr>
          <w:rFonts w:asciiTheme="majorHAnsi" w:hAnsiTheme="majorHAnsi" w:cstheme="majorHAnsi"/>
          <w:sz w:val="28"/>
          <w:szCs w:val="28"/>
        </w:rPr>
      </w:pPr>
    </w:p>
    <w:p w14:paraId="70474460" w14:textId="77777777" w:rsidR="005D6831" w:rsidRPr="003F4D72" w:rsidRDefault="005D6831" w:rsidP="00FB241F">
      <w:pPr>
        <w:spacing w:line="276" w:lineRule="auto"/>
        <w:jc w:val="both"/>
        <w:rPr>
          <w:rFonts w:asciiTheme="majorHAnsi" w:hAnsiTheme="majorHAnsi" w:cstheme="majorHAnsi"/>
          <w:sz w:val="28"/>
          <w:szCs w:val="28"/>
        </w:rPr>
      </w:pPr>
    </w:p>
    <w:p w14:paraId="32F02EE4" w14:textId="77777777" w:rsidR="00217FC2" w:rsidRDefault="00217FC2">
      <w:pPr>
        <w:rPr>
          <w:rFonts w:asciiTheme="majorHAnsi" w:hAnsiTheme="majorHAnsi" w:cstheme="majorHAnsi"/>
          <w:b/>
          <w:sz w:val="24"/>
          <w:szCs w:val="28"/>
        </w:rPr>
      </w:pPr>
      <w:r>
        <w:rPr>
          <w:rFonts w:asciiTheme="majorHAnsi" w:hAnsiTheme="majorHAnsi" w:cstheme="majorHAnsi"/>
          <w:b/>
          <w:sz w:val="24"/>
          <w:szCs w:val="28"/>
        </w:rPr>
        <w:br w:type="page"/>
      </w:r>
    </w:p>
    <w:p w14:paraId="6B1FE6D3" w14:textId="5568DCEC" w:rsidR="00FB241F" w:rsidRPr="003F4D72" w:rsidRDefault="00FB241F" w:rsidP="00FB241F">
      <w:pPr>
        <w:spacing w:line="276" w:lineRule="auto"/>
        <w:jc w:val="right"/>
        <w:rPr>
          <w:rFonts w:asciiTheme="majorHAnsi" w:hAnsiTheme="majorHAnsi" w:cstheme="majorHAnsi"/>
          <w:b/>
          <w:sz w:val="24"/>
          <w:szCs w:val="28"/>
        </w:rPr>
      </w:pPr>
      <w:r w:rsidRPr="003F4D72">
        <w:rPr>
          <w:rFonts w:asciiTheme="majorHAnsi" w:hAnsiTheme="majorHAnsi" w:cstheme="majorHAnsi"/>
          <w:b/>
          <w:sz w:val="24"/>
          <w:szCs w:val="28"/>
        </w:rPr>
        <w:lastRenderedPageBreak/>
        <w:t>Anexa nr.</w:t>
      </w:r>
      <w:r w:rsidR="005D6831" w:rsidRPr="003F4D72">
        <w:rPr>
          <w:rFonts w:asciiTheme="majorHAnsi" w:hAnsiTheme="majorHAnsi" w:cstheme="majorHAnsi"/>
          <w:b/>
          <w:sz w:val="24"/>
          <w:szCs w:val="28"/>
        </w:rPr>
        <w:t>6</w:t>
      </w:r>
    </w:p>
    <w:p w14:paraId="158FFA50" w14:textId="77777777" w:rsidR="007E34E4" w:rsidRPr="003F4D72" w:rsidRDefault="00FB241F" w:rsidP="00FB241F">
      <w:pPr>
        <w:spacing w:after="0" w:line="276" w:lineRule="auto"/>
        <w:jc w:val="center"/>
        <w:rPr>
          <w:rFonts w:asciiTheme="majorHAnsi" w:hAnsiTheme="majorHAnsi" w:cstheme="majorHAnsi"/>
          <w:b/>
          <w:sz w:val="24"/>
          <w:szCs w:val="28"/>
        </w:rPr>
      </w:pPr>
      <w:r w:rsidRPr="003F4D72">
        <w:rPr>
          <w:rFonts w:asciiTheme="majorHAnsi" w:hAnsiTheme="majorHAnsi" w:cstheme="majorHAnsi"/>
          <w:b/>
          <w:sz w:val="24"/>
          <w:szCs w:val="28"/>
        </w:rPr>
        <w:t>Numărul beneficiarilor de medicamente compensate pe grupe de maladii</w:t>
      </w:r>
      <w:r w:rsidR="007E34E4" w:rsidRPr="003F4D72">
        <w:rPr>
          <w:rFonts w:asciiTheme="majorHAnsi" w:hAnsiTheme="majorHAnsi" w:cstheme="majorHAnsi"/>
          <w:b/>
          <w:sz w:val="24"/>
          <w:szCs w:val="28"/>
        </w:rPr>
        <w:t>,</w:t>
      </w:r>
    </w:p>
    <w:p w14:paraId="41E71FF8" w14:textId="07279BC8" w:rsidR="00FB241F" w:rsidRPr="003F4D72" w:rsidRDefault="00FB241F" w:rsidP="00FB241F">
      <w:pPr>
        <w:spacing w:after="0" w:line="276" w:lineRule="auto"/>
        <w:jc w:val="center"/>
        <w:rPr>
          <w:rFonts w:asciiTheme="majorHAnsi" w:hAnsiTheme="majorHAnsi" w:cstheme="majorHAnsi"/>
          <w:b/>
          <w:sz w:val="24"/>
          <w:szCs w:val="28"/>
        </w:rPr>
      </w:pPr>
      <w:r w:rsidRPr="003F4D72">
        <w:rPr>
          <w:rFonts w:asciiTheme="majorHAnsi" w:hAnsiTheme="majorHAnsi" w:cstheme="majorHAnsi"/>
          <w:b/>
          <w:sz w:val="24"/>
          <w:szCs w:val="28"/>
        </w:rPr>
        <w:t xml:space="preserve"> în perioada 2017-2020</w:t>
      </w:r>
    </w:p>
    <w:tbl>
      <w:tblPr>
        <w:tblStyle w:val="GridTable1Light"/>
        <w:tblW w:w="5000" w:type="pct"/>
        <w:tblLook w:val="04A0" w:firstRow="1" w:lastRow="0" w:firstColumn="1" w:lastColumn="0" w:noHBand="0" w:noVBand="1"/>
      </w:tblPr>
      <w:tblGrid>
        <w:gridCol w:w="3317"/>
        <w:gridCol w:w="1382"/>
        <w:gridCol w:w="1371"/>
        <w:gridCol w:w="1511"/>
        <w:gridCol w:w="1769"/>
      </w:tblGrid>
      <w:tr w:rsidR="00FB241F" w:rsidRPr="003F4D72" w14:paraId="581481F9" w14:textId="77777777" w:rsidTr="00EF4460">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1774" w:type="pct"/>
            <w:hideMark/>
          </w:tcPr>
          <w:p w14:paraId="5AC2358C" w14:textId="77777777" w:rsidR="00FB241F" w:rsidRPr="003F4D72" w:rsidRDefault="00FB241F" w:rsidP="000F64F2">
            <w:pPr>
              <w:jc w:val="cente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Maladiile pentru tratamentul cărora au fost compensate medicamente</w:t>
            </w:r>
          </w:p>
        </w:tc>
        <w:tc>
          <w:tcPr>
            <w:tcW w:w="739" w:type="pct"/>
            <w:hideMark/>
          </w:tcPr>
          <w:p w14:paraId="678D2E7F" w14:textId="66598AD7" w:rsidR="00FB241F" w:rsidRPr="003F4D72" w:rsidRDefault="00FB241F" w:rsidP="007E34E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Numărul beneficiarilor în anul 2017</w:t>
            </w:r>
          </w:p>
        </w:tc>
        <w:tc>
          <w:tcPr>
            <w:tcW w:w="733" w:type="pct"/>
            <w:hideMark/>
          </w:tcPr>
          <w:p w14:paraId="2E3DBAE5" w14:textId="143047BB" w:rsidR="00FB241F" w:rsidRPr="003F4D72" w:rsidRDefault="00FB241F" w:rsidP="007E34E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Numărul beneficiarilor în anul 2018</w:t>
            </w:r>
          </w:p>
        </w:tc>
        <w:tc>
          <w:tcPr>
            <w:tcW w:w="808" w:type="pct"/>
            <w:hideMark/>
          </w:tcPr>
          <w:p w14:paraId="1137A73B" w14:textId="1B3C7A72" w:rsidR="00FB241F" w:rsidRPr="003F4D72" w:rsidRDefault="00FB241F" w:rsidP="007E34E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 xml:space="preserve">Numărul  beneficiarilor în anul 2019 </w:t>
            </w:r>
          </w:p>
        </w:tc>
        <w:tc>
          <w:tcPr>
            <w:tcW w:w="946" w:type="pct"/>
            <w:hideMark/>
          </w:tcPr>
          <w:p w14:paraId="1F173337" w14:textId="7A323303" w:rsidR="00FB241F" w:rsidRPr="003F4D72" w:rsidRDefault="00FB241F" w:rsidP="007E34E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Numărul beneficiarilor în anul 2020</w:t>
            </w:r>
          </w:p>
        </w:tc>
      </w:tr>
      <w:tr w:rsidR="00FB241F" w:rsidRPr="003F4D72" w14:paraId="360F790D"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25CB01C1"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Depresie</w:t>
            </w:r>
          </w:p>
        </w:tc>
        <w:tc>
          <w:tcPr>
            <w:tcW w:w="739" w:type="pct"/>
            <w:hideMark/>
          </w:tcPr>
          <w:p w14:paraId="780F09D9"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232</w:t>
            </w:r>
          </w:p>
        </w:tc>
        <w:tc>
          <w:tcPr>
            <w:tcW w:w="733" w:type="pct"/>
            <w:noWrap/>
            <w:hideMark/>
          </w:tcPr>
          <w:p w14:paraId="73F9C7A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549</w:t>
            </w:r>
          </w:p>
        </w:tc>
        <w:tc>
          <w:tcPr>
            <w:tcW w:w="808" w:type="pct"/>
            <w:noWrap/>
            <w:hideMark/>
          </w:tcPr>
          <w:p w14:paraId="506C912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1098</w:t>
            </w:r>
          </w:p>
        </w:tc>
        <w:tc>
          <w:tcPr>
            <w:tcW w:w="946" w:type="pct"/>
            <w:hideMark/>
          </w:tcPr>
          <w:p w14:paraId="7009766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1.176</w:t>
            </w:r>
          </w:p>
        </w:tc>
      </w:tr>
      <w:tr w:rsidR="00FB241F" w:rsidRPr="003F4D72" w14:paraId="4DEDDC64"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0AA3AD7C"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Boala Alzheimer</w:t>
            </w:r>
          </w:p>
        </w:tc>
        <w:tc>
          <w:tcPr>
            <w:tcW w:w="739" w:type="pct"/>
            <w:noWrap/>
            <w:hideMark/>
          </w:tcPr>
          <w:p w14:paraId="444325A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92</w:t>
            </w:r>
          </w:p>
        </w:tc>
        <w:tc>
          <w:tcPr>
            <w:tcW w:w="733" w:type="pct"/>
            <w:noWrap/>
            <w:hideMark/>
          </w:tcPr>
          <w:p w14:paraId="5F07FC3D"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159</w:t>
            </w:r>
          </w:p>
        </w:tc>
        <w:tc>
          <w:tcPr>
            <w:tcW w:w="808" w:type="pct"/>
            <w:hideMark/>
          </w:tcPr>
          <w:p w14:paraId="50648D1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502</w:t>
            </w:r>
          </w:p>
        </w:tc>
        <w:tc>
          <w:tcPr>
            <w:tcW w:w="946" w:type="pct"/>
            <w:hideMark/>
          </w:tcPr>
          <w:p w14:paraId="3C84CE5F"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611</w:t>
            </w:r>
          </w:p>
        </w:tc>
      </w:tr>
      <w:tr w:rsidR="00FB241F" w:rsidRPr="003F4D72" w14:paraId="32965C23"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392CC5EA"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Cardiologie</w:t>
            </w:r>
          </w:p>
        </w:tc>
        <w:tc>
          <w:tcPr>
            <w:tcW w:w="739" w:type="pct"/>
            <w:noWrap/>
            <w:hideMark/>
          </w:tcPr>
          <w:p w14:paraId="05B176D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414.744</w:t>
            </w:r>
          </w:p>
        </w:tc>
        <w:tc>
          <w:tcPr>
            <w:tcW w:w="733" w:type="pct"/>
            <w:noWrap/>
            <w:hideMark/>
          </w:tcPr>
          <w:p w14:paraId="04286E2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431.463</w:t>
            </w:r>
          </w:p>
        </w:tc>
        <w:tc>
          <w:tcPr>
            <w:tcW w:w="808" w:type="pct"/>
            <w:noWrap/>
            <w:hideMark/>
          </w:tcPr>
          <w:p w14:paraId="1E17489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453.160</w:t>
            </w:r>
          </w:p>
        </w:tc>
        <w:tc>
          <w:tcPr>
            <w:tcW w:w="946" w:type="pct"/>
            <w:noWrap/>
            <w:hideMark/>
          </w:tcPr>
          <w:p w14:paraId="7E483140"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439.421</w:t>
            </w:r>
          </w:p>
        </w:tc>
      </w:tr>
      <w:tr w:rsidR="00FB241F" w:rsidRPr="003F4D72" w14:paraId="7EAC3051" w14:textId="77777777" w:rsidTr="00EF4460">
        <w:trPr>
          <w:trHeight w:val="315"/>
        </w:trPr>
        <w:tc>
          <w:tcPr>
            <w:cnfStyle w:val="001000000000" w:firstRow="0" w:lastRow="0" w:firstColumn="1" w:lastColumn="0" w:oddVBand="0" w:evenVBand="0" w:oddHBand="0" w:evenHBand="0" w:firstRowFirstColumn="0" w:firstRowLastColumn="0" w:lastRowFirstColumn="0" w:lastRowLastColumn="0"/>
            <w:tcW w:w="1774" w:type="pct"/>
            <w:noWrap/>
            <w:hideMark/>
          </w:tcPr>
          <w:p w14:paraId="4D59762B" w14:textId="79379168"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Boli</w:t>
            </w:r>
            <w:r w:rsidR="00223194" w:rsidRPr="003F4D72">
              <w:rPr>
                <w:rFonts w:asciiTheme="majorHAnsi" w:eastAsia="Times New Roman" w:hAnsiTheme="majorHAnsi" w:cstheme="majorHAnsi"/>
                <w:color w:val="000000"/>
                <w:sz w:val="20"/>
                <w:szCs w:val="20"/>
              </w:rPr>
              <w:t>le</w:t>
            </w:r>
            <w:r w:rsidRPr="003F4D72">
              <w:rPr>
                <w:rFonts w:asciiTheme="majorHAnsi" w:eastAsia="Times New Roman" w:hAnsiTheme="majorHAnsi" w:cstheme="majorHAnsi"/>
                <w:color w:val="000000"/>
                <w:sz w:val="20"/>
                <w:szCs w:val="20"/>
              </w:rPr>
              <w:t xml:space="preserve"> aparatului digestiv</w:t>
            </w:r>
          </w:p>
        </w:tc>
        <w:tc>
          <w:tcPr>
            <w:tcW w:w="739" w:type="pct"/>
            <w:noWrap/>
            <w:hideMark/>
          </w:tcPr>
          <w:p w14:paraId="7C172616"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10.430</w:t>
            </w:r>
          </w:p>
        </w:tc>
        <w:tc>
          <w:tcPr>
            <w:tcW w:w="733" w:type="pct"/>
            <w:noWrap/>
            <w:hideMark/>
          </w:tcPr>
          <w:p w14:paraId="1F1D0B5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8.426</w:t>
            </w:r>
          </w:p>
        </w:tc>
        <w:tc>
          <w:tcPr>
            <w:tcW w:w="808" w:type="pct"/>
            <w:hideMark/>
          </w:tcPr>
          <w:p w14:paraId="38499B8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12.474</w:t>
            </w:r>
          </w:p>
        </w:tc>
        <w:tc>
          <w:tcPr>
            <w:tcW w:w="946" w:type="pct"/>
            <w:noWrap/>
            <w:hideMark/>
          </w:tcPr>
          <w:p w14:paraId="7AE001A6"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11.779</w:t>
            </w:r>
          </w:p>
        </w:tc>
      </w:tr>
      <w:tr w:rsidR="00FB241F" w:rsidRPr="003F4D72" w14:paraId="39EBA908"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2EC68CBC"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Boli endocrine</w:t>
            </w:r>
          </w:p>
        </w:tc>
        <w:tc>
          <w:tcPr>
            <w:tcW w:w="739" w:type="pct"/>
            <w:noWrap/>
            <w:hideMark/>
          </w:tcPr>
          <w:p w14:paraId="1211E523"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31.707</w:t>
            </w:r>
          </w:p>
        </w:tc>
        <w:tc>
          <w:tcPr>
            <w:tcW w:w="733" w:type="pct"/>
            <w:noWrap/>
            <w:hideMark/>
          </w:tcPr>
          <w:p w14:paraId="53902536"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33.906</w:t>
            </w:r>
          </w:p>
        </w:tc>
        <w:tc>
          <w:tcPr>
            <w:tcW w:w="808" w:type="pct"/>
            <w:noWrap/>
            <w:hideMark/>
          </w:tcPr>
          <w:p w14:paraId="5BF07CFB"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35.957</w:t>
            </w:r>
          </w:p>
        </w:tc>
        <w:tc>
          <w:tcPr>
            <w:tcW w:w="946" w:type="pct"/>
            <w:noWrap/>
            <w:hideMark/>
          </w:tcPr>
          <w:p w14:paraId="33F7866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35.304</w:t>
            </w:r>
          </w:p>
        </w:tc>
      </w:tr>
      <w:tr w:rsidR="00FB241F" w:rsidRPr="003F4D72" w14:paraId="296E2C70"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20C077AB"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Maladii respiratorii</w:t>
            </w:r>
          </w:p>
        </w:tc>
        <w:tc>
          <w:tcPr>
            <w:tcW w:w="739" w:type="pct"/>
            <w:noWrap/>
            <w:hideMark/>
          </w:tcPr>
          <w:p w14:paraId="12BB93D8"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9.590</w:t>
            </w:r>
          </w:p>
        </w:tc>
        <w:tc>
          <w:tcPr>
            <w:tcW w:w="733" w:type="pct"/>
            <w:noWrap/>
            <w:hideMark/>
          </w:tcPr>
          <w:p w14:paraId="41238C34"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10.309</w:t>
            </w:r>
          </w:p>
        </w:tc>
        <w:tc>
          <w:tcPr>
            <w:tcW w:w="808" w:type="pct"/>
            <w:hideMark/>
          </w:tcPr>
          <w:p w14:paraId="0BC66C5A"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12.851</w:t>
            </w:r>
          </w:p>
        </w:tc>
        <w:tc>
          <w:tcPr>
            <w:tcW w:w="946" w:type="pct"/>
            <w:noWrap/>
            <w:hideMark/>
          </w:tcPr>
          <w:p w14:paraId="56377AC8"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12.210</w:t>
            </w:r>
          </w:p>
        </w:tc>
      </w:tr>
      <w:tr w:rsidR="00FB241F" w:rsidRPr="003F4D72" w14:paraId="0676E42B" w14:textId="77777777" w:rsidTr="00EF4460">
        <w:trPr>
          <w:trHeight w:val="285"/>
        </w:trPr>
        <w:tc>
          <w:tcPr>
            <w:cnfStyle w:val="001000000000" w:firstRow="0" w:lastRow="0" w:firstColumn="1" w:lastColumn="0" w:oddVBand="0" w:evenVBand="0" w:oddHBand="0" w:evenHBand="0" w:firstRowFirstColumn="0" w:firstRowLastColumn="0" w:lastRowFirstColumn="0" w:lastRowLastColumn="0"/>
            <w:tcW w:w="1774" w:type="pct"/>
            <w:noWrap/>
            <w:hideMark/>
          </w:tcPr>
          <w:p w14:paraId="02ABA01B"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Profilaxia femeilor gravide</w:t>
            </w:r>
          </w:p>
        </w:tc>
        <w:tc>
          <w:tcPr>
            <w:tcW w:w="739" w:type="pct"/>
            <w:noWrap/>
            <w:hideMark/>
          </w:tcPr>
          <w:p w14:paraId="0D29D001"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31.472</w:t>
            </w:r>
          </w:p>
        </w:tc>
        <w:tc>
          <w:tcPr>
            <w:tcW w:w="733" w:type="pct"/>
            <w:noWrap/>
            <w:hideMark/>
          </w:tcPr>
          <w:p w14:paraId="181D5F94"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28.804</w:t>
            </w:r>
          </w:p>
        </w:tc>
        <w:tc>
          <w:tcPr>
            <w:tcW w:w="808" w:type="pct"/>
            <w:noWrap/>
            <w:hideMark/>
          </w:tcPr>
          <w:p w14:paraId="39E8777D"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26.460</w:t>
            </w:r>
          </w:p>
        </w:tc>
        <w:tc>
          <w:tcPr>
            <w:tcW w:w="946" w:type="pct"/>
            <w:noWrap/>
            <w:hideMark/>
          </w:tcPr>
          <w:p w14:paraId="263CD2F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21.675</w:t>
            </w:r>
          </w:p>
        </w:tc>
      </w:tr>
      <w:tr w:rsidR="00FB241F" w:rsidRPr="003F4D72" w14:paraId="5762CA45" w14:textId="77777777" w:rsidTr="00EF4460">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1A1BF833"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Epilepsie</w:t>
            </w:r>
          </w:p>
        </w:tc>
        <w:tc>
          <w:tcPr>
            <w:tcW w:w="739" w:type="pct"/>
            <w:noWrap/>
            <w:hideMark/>
          </w:tcPr>
          <w:p w14:paraId="3E0D874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12.414</w:t>
            </w:r>
          </w:p>
        </w:tc>
        <w:tc>
          <w:tcPr>
            <w:tcW w:w="733" w:type="pct"/>
            <w:noWrap/>
            <w:hideMark/>
          </w:tcPr>
          <w:p w14:paraId="280C9FD1"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12.174</w:t>
            </w:r>
          </w:p>
        </w:tc>
        <w:tc>
          <w:tcPr>
            <w:tcW w:w="808" w:type="pct"/>
            <w:noWrap/>
            <w:hideMark/>
          </w:tcPr>
          <w:p w14:paraId="075BDEA9"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12.364</w:t>
            </w:r>
          </w:p>
        </w:tc>
        <w:tc>
          <w:tcPr>
            <w:tcW w:w="946" w:type="pct"/>
            <w:noWrap/>
            <w:hideMark/>
          </w:tcPr>
          <w:p w14:paraId="6A79A2A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11.759</w:t>
            </w:r>
          </w:p>
        </w:tc>
      </w:tr>
      <w:tr w:rsidR="00FB241F" w:rsidRPr="003F4D72" w14:paraId="68760EF9" w14:textId="77777777" w:rsidTr="00EF4460">
        <w:trPr>
          <w:trHeight w:val="285"/>
        </w:trPr>
        <w:tc>
          <w:tcPr>
            <w:cnfStyle w:val="001000000000" w:firstRow="0" w:lastRow="0" w:firstColumn="1" w:lastColumn="0" w:oddVBand="0" w:evenVBand="0" w:oddHBand="0" w:evenHBand="0" w:firstRowFirstColumn="0" w:firstRowLastColumn="0" w:lastRowFirstColumn="0" w:lastRowLastColumn="0"/>
            <w:tcW w:w="1774" w:type="pct"/>
            <w:noWrap/>
            <w:hideMark/>
          </w:tcPr>
          <w:p w14:paraId="03F6A9D6"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Parkinson</w:t>
            </w:r>
          </w:p>
        </w:tc>
        <w:tc>
          <w:tcPr>
            <w:tcW w:w="739" w:type="pct"/>
            <w:noWrap/>
            <w:hideMark/>
          </w:tcPr>
          <w:p w14:paraId="28DE386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5.557</w:t>
            </w:r>
          </w:p>
        </w:tc>
        <w:tc>
          <w:tcPr>
            <w:tcW w:w="733" w:type="pct"/>
            <w:noWrap/>
            <w:hideMark/>
          </w:tcPr>
          <w:p w14:paraId="7025BF9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5.837</w:t>
            </w:r>
          </w:p>
        </w:tc>
        <w:tc>
          <w:tcPr>
            <w:tcW w:w="808" w:type="pct"/>
            <w:noWrap/>
            <w:hideMark/>
          </w:tcPr>
          <w:p w14:paraId="7333382D"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6.003</w:t>
            </w:r>
          </w:p>
        </w:tc>
        <w:tc>
          <w:tcPr>
            <w:tcW w:w="946" w:type="pct"/>
            <w:noWrap/>
            <w:hideMark/>
          </w:tcPr>
          <w:p w14:paraId="0EFF052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5.932</w:t>
            </w:r>
          </w:p>
        </w:tc>
      </w:tr>
      <w:tr w:rsidR="00FB241F" w:rsidRPr="003F4D72" w14:paraId="1D3293F8" w14:textId="77777777" w:rsidTr="00EF4460">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142943D2"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Boli psihice</w:t>
            </w:r>
          </w:p>
        </w:tc>
        <w:tc>
          <w:tcPr>
            <w:tcW w:w="739" w:type="pct"/>
            <w:noWrap/>
            <w:hideMark/>
          </w:tcPr>
          <w:p w14:paraId="0E1B8F3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16.959</w:t>
            </w:r>
          </w:p>
        </w:tc>
        <w:tc>
          <w:tcPr>
            <w:tcW w:w="733" w:type="pct"/>
            <w:noWrap/>
            <w:hideMark/>
          </w:tcPr>
          <w:p w14:paraId="52519568"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15.910</w:t>
            </w:r>
          </w:p>
        </w:tc>
        <w:tc>
          <w:tcPr>
            <w:tcW w:w="808" w:type="pct"/>
            <w:noWrap/>
            <w:hideMark/>
          </w:tcPr>
          <w:p w14:paraId="1EDD969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16.000</w:t>
            </w:r>
          </w:p>
        </w:tc>
        <w:tc>
          <w:tcPr>
            <w:tcW w:w="946" w:type="pct"/>
            <w:noWrap/>
            <w:hideMark/>
          </w:tcPr>
          <w:p w14:paraId="35E7EB1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15.574</w:t>
            </w:r>
          </w:p>
        </w:tc>
      </w:tr>
      <w:tr w:rsidR="00FB241F" w:rsidRPr="003F4D72" w14:paraId="6EBA901E"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386356ED"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Diabet zaharat</w:t>
            </w:r>
          </w:p>
        </w:tc>
        <w:tc>
          <w:tcPr>
            <w:tcW w:w="739" w:type="pct"/>
            <w:noWrap/>
            <w:hideMark/>
          </w:tcPr>
          <w:p w14:paraId="560AA706"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96.229</w:t>
            </w:r>
          </w:p>
        </w:tc>
        <w:tc>
          <w:tcPr>
            <w:tcW w:w="733" w:type="pct"/>
            <w:noWrap/>
            <w:hideMark/>
          </w:tcPr>
          <w:p w14:paraId="71B684B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101.621</w:t>
            </w:r>
          </w:p>
        </w:tc>
        <w:tc>
          <w:tcPr>
            <w:tcW w:w="808" w:type="pct"/>
            <w:noWrap/>
            <w:hideMark/>
          </w:tcPr>
          <w:p w14:paraId="020E642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108.737</w:t>
            </w:r>
          </w:p>
        </w:tc>
        <w:tc>
          <w:tcPr>
            <w:tcW w:w="946" w:type="pct"/>
            <w:noWrap/>
            <w:hideMark/>
          </w:tcPr>
          <w:p w14:paraId="7D24255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108.382</w:t>
            </w:r>
          </w:p>
        </w:tc>
      </w:tr>
      <w:tr w:rsidR="00FB241F" w:rsidRPr="003F4D72" w14:paraId="75EA88A8" w14:textId="77777777" w:rsidTr="00EF4460">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0637C151" w14:textId="7DB32EAE" w:rsidR="00FB241F" w:rsidRPr="003F4D72" w:rsidRDefault="00FB241F" w:rsidP="00223194">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Boli autoimune</w:t>
            </w:r>
          </w:p>
        </w:tc>
        <w:tc>
          <w:tcPr>
            <w:tcW w:w="739" w:type="pct"/>
            <w:noWrap/>
            <w:hideMark/>
          </w:tcPr>
          <w:p w14:paraId="240001FD"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4.319</w:t>
            </w:r>
          </w:p>
        </w:tc>
        <w:tc>
          <w:tcPr>
            <w:tcW w:w="733" w:type="pct"/>
            <w:noWrap/>
            <w:hideMark/>
          </w:tcPr>
          <w:p w14:paraId="2F591E4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4.419</w:t>
            </w:r>
          </w:p>
        </w:tc>
        <w:tc>
          <w:tcPr>
            <w:tcW w:w="808" w:type="pct"/>
            <w:noWrap/>
            <w:hideMark/>
          </w:tcPr>
          <w:p w14:paraId="08EB5BB1"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4.670</w:t>
            </w:r>
          </w:p>
        </w:tc>
        <w:tc>
          <w:tcPr>
            <w:tcW w:w="946" w:type="pct"/>
            <w:noWrap/>
            <w:hideMark/>
          </w:tcPr>
          <w:p w14:paraId="48295D3B"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4.034</w:t>
            </w:r>
          </w:p>
        </w:tc>
      </w:tr>
      <w:tr w:rsidR="00FB241F" w:rsidRPr="003F4D72" w14:paraId="5E41A579" w14:textId="77777777" w:rsidTr="00EF4460">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41898845"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Glaucom</w:t>
            </w:r>
          </w:p>
        </w:tc>
        <w:tc>
          <w:tcPr>
            <w:tcW w:w="739" w:type="pct"/>
            <w:noWrap/>
            <w:hideMark/>
          </w:tcPr>
          <w:p w14:paraId="543DA6F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11.965</w:t>
            </w:r>
          </w:p>
        </w:tc>
        <w:tc>
          <w:tcPr>
            <w:tcW w:w="733" w:type="pct"/>
            <w:hideMark/>
          </w:tcPr>
          <w:p w14:paraId="5C3C35A3"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13.001</w:t>
            </w:r>
          </w:p>
        </w:tc>
        <w:tc>
          <w:tcPr>
            <w:tcW w:w="808" w:type="pct"/>
            <w:noWrap/>
            <w:hideMark/>
          </w:tcPr>
          <w:p w14:paraId="0CE2A67A"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14.318</w:t>
            </w:r>
          </w:p>
        </w:tc>
        <w:tc>
          <w:tcPr>
            <w:tcW w:w="946" w:type="pct"/>
            <w:noWrap/>
            <w:hideMark/>
          </w:tcPr>
          <w:p w14:paraId="6E195E40"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14.137</w:t>
            </w:r>
          </w:p>
        </w:tc>
      </w:tr>
      <w:tr w:rsidR="00FB241F" w:rsidRPr="003F4D72" w14:paraId="15E6DA0F"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17760646"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 xml:space="preserve">Miastenia </w:t>
            </w:r>
            <w:proofErr w:type="spellStart"/>
            <w:r w:rsidRPr="003F4D72">
              <w:rPr>
                <w:rFonts w:asciiTheme="majorHAnsi" w:eastAsia="Times New Roman" w:hAnsiTheme="majorHAnsi" w:cstheme="majorHAnsi"/>
                <w:color w:val="000000"/>
                <w:sz w:val="20"/>
                <w:szCs w:val="20"/>
              </w:rPr>
              <w:t>gravis</w:t>
            </w:r>
            <w:proofErr w:type="spellEnd"/>
          </w:p>
        </w:tc>
        <w:tc>
          <w:tcPr>
            <w:tcW w:w="739" w:type="pct"/>
            <w:noWrap/>
            <w:hideMark/>
          </w:tcPr>
          <w:p w14:paraId="25DB73D0"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92</w:t>
            </w:r>
          </w:p>
        </w:tc>
        <w:tc>
          <w:tcPr>
            <w:tcW w:w="733" w:type="pct"/>
            <w:noWrap/>
            <w:hideMark/>
          </w:tcPr>
          <w:p w14:paraId="6EF6B7D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135</w:t>
            </w:r>
          </w:p>
        </w:tc>
        <w:tc>
          <w:tcPr>
            <w:tcW w:w="808" w:type="pct"/>
            <w:noWrap/>
            <w:hideMark/>
          </w:tcPr>
          <w:p w14:paraId="09F8C08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145</w:t>
            </w:r>
          </w:p>
        </w:tc>
        <w:tc>
          <w:tcPr>
            <w:tcW w:w="946" w:type="pct"/>
            <w:noWrap/>
            <w:hideMark/>
          </w:tcPr>
          <w:p w14:paraId="26FEBEB4"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150</w:t>
            </w:r>
          </w:p>
        </w:tc>
      </w:tr>
      <w:tr w:rsidR="00FB241F" w:rsidRPr="003F4D72" w14:paraId="77AFDABE"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54481CAF" w14:textId="77777777"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Scleroza multiplă</w:t>
            </w:r>
          </w:p>
        </w:tc>
        <w:tc>
          <w:tcPr>
            <w:tcW w:w="739" w:type="pct"/>
            <w:noWrap/>
            <w:hideMark/>
          </w:tcPr>
          <w:p w14:paraId="6D8137FE"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82</w:t>
            </w:r>
          </w:p>
        </w:tc>
        <w:tc>
          <w:tcPr>
            <w:tcW w:w="733" w:type="pct"/>
            <w:noWrap/>
            <w:hideMark/>
          </w:tcPr>
          <w:p w14:paraId="114E03F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97</w:t>
            </w:r>
          </w:p>
        </w:tc>
        <w:tc>
          <w:tcPr>
            <w:tcW w:w="808" w:type="pct"/>
            <w:noWrap/>
            <w:hideMark/>
          </w:tcPr>
          <w:p w14:paraId="78FBA5FF"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136</w:t>
            </w:r>
          </w:p>
        </w:tc>
        <w:tc>
          <w:tcPr>
            <w:tcW w:w="946" w:type="pct"/>
            <w:noWrap/>
            <w:hideMark/>
          </w:tcPr>
          <w:p w14:paraId="691C247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137</w:t>
            </w:r>
          </w:p>
        </w:tc>
      </w:tr>
      <w:tr w:rsidR="00FB241F" w:rsidRPr="003F4D72" w14:paraId="55B4948C" w14:textId="77777777" w:rsidTr="00EF4460">
        <w:trPr>
          <w:trHeight w:val="29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3067B258" w14:textId="593A1CF0"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Staționar de zi</w:t>
            </w:r>
            <w:r w:rsidR="00223194" w:rsidRPr="003F4D72">
              <w:rPr>
                <w:rFonts w:asciiTheme="majorHAnsi" w:eastAsia="Times New Roman" w:hAnsiTheme="majorHAnsi" w:cstheme="majorHAnsi"/>
                <w:color w:val="000000"/>
                <w:sz w:val="20"/>
                <w:szCs w:val="20"/>
              </w:rPr>
              <w:t>,</w:t>
            </w:r>
            <w:r w:rsidRPr="003F4D72">
              <w:rPr>
                <w:rFonts w:asciiTheme="majorHAnsi" w:eastAsia="Times New Roman" w:hAnsiTheme="majorHAnsi" w:cstheme="majorHAnsi"/>
                <w:color w:val="000000"/>
                <w:sz w:val="20"/>
                <w:szCs w:val="20"/>
              </w:rPr>
              <w:t xml:space="preserve"> adulți</w:t>
            </w:r>
          </w:p>
        </w:tc>
        <w:tc>
          <w:tcPr>
            <w:tcW w:w="739" w:type="pct"/>
            <w:noWrap/>
            <w:hideMark/>
          </w:tcPr>
          <w:p w14:paraId="1531B59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125.754</w:t>
            </w:r>
          </w:p>
        </w:tc>
        <w:tc>
          <w:tcPr>
            <w:tcW w:w="733" w:type="pct"/>
            <w:noWrap/>
            <w:hideMark/>
          </w:tcPr>
          <w:p w14:paraId="2F10DAC5"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71.685</w:t>
            </w:r>
          </w:p>
        </w:tc>
        <w:tc>
          <w:tcPr>
            <w:tcW w:w="808" w:type="pct"/>
            <w:noWrap/>
            <w:hideMark/>
          </w:tcPr>
          <w:p w14:paraId="34A57AC7"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83.278</w:t>
            </w:r>
          </w:p>
        </w:tc>
        <w:tc>
          <w:tcPr>
            <w:tcW w:w="946" w:type="pct"/>
            <w:noWrap/>
            <w:hideMark/>
          </w:tcPr>
          <w:p w14:paraId="4B63FB8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59.033</w:t>
            </w:r>
          </w:p>
        </w:tc>
      </w:tr>
      <w:tr w:rsidR="00FB241F" w:rsidRPr="003F4D72" w14:paraId="246BDFE3" w14:textId="77777777" w:rsidTr="00EF4460">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0BB3B566" w14:textId="5B63E308" w:rsidR="00FB241F" w:rsidRPr="003F4D72" w:rsidRDefault="00FB241F" w:rsidP="000F64F2">
            <w:pPr>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Staționar de zi</w:t>
            </w:r>
            <w:r w:rsidR="00223194" w:rsidRPr="003F4D72">
              <w:rPr>
                <w:rFonts w:asciiTheme="majorHAnsi" w:eastAsia="Times New Roman" w:hAnsiTheme="majorHAnsi" w:cstheme="majorHAnsi"/>
                <w:color w:val="000000"/>
                <w:sz w:val="20"/>
                <w:szCs w:val="20"/>
              </w:rPr>
              <w:t>,</w:t>
            </w:r>
            <w:r w:rsidRPr="003F4D72">
              <w:rPr>
                <w:rFonts w:asciiTheme="majorHAnsi" w:eastAsia="Times New Roman" w:hAnsiTheme="majorHAnsi" w:cstheme="majorHAnsi"/>
                <w:color w:val="000000"/>
                <w:sz w:val="20"/>
                <w:szCs w:val="20"/>
              </w:rPr>
              <w:t xml:space="preserve"> copii</w:t>
            </w:r>
          </w:p>
        </w:tc>
        <w:tc>
          <w:tcPr>
            <w:tcW w:w="739" w:type="pct"/>
            <w:noWrap/>
            <w:hideMark/>
          </w:tcPr>
          <w:p w14:paraId="0842CB2C"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284.488</w:t>
            </w:r>
          </w:p>
        </w:tc>
        <w:tc>
          <w:tcPr>
            <w:tcW w:w="733" w:type="pct"/>
            <w:noWrap/>
            <w:hideMark/>
          </w:tcPr>
          <w:p w14:paraId="0579048B"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4D72">
              <w:rPr>
                <w:rFonts w:asciiTheme="majorHAnsi" w:eastAsia="Times New Roman" w:hAnsiTheme="majorHAnsi" w:cstheme="majorHAnsi"/>
                <w:sz w:val="20"/>
                <w:szCs w:val="20"/>
              </w:rPr>
              <w:t>274.249</w:t>
            </w:r>
          </w:p>
        </w:tc>
        <w:tc>
          <w:tcPr>
            <w:tcW w:w="808" w:type="pct"/>
            <w:noWrap/>
            <w:hideMark/>
          </w:tcPr>
          <w:p w14:paraId="0EB00CC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272.351</w:t>
            </w:r>
          </w:p>
        </w:tc>
        <w:tc>
          <w:tcPr>
            <w:tcW w:w="946" w:type="pct"/>
            <w:noWrap/>
            <w:hideMark/>
          </w:tcPr>
          <w:p w14:paraId="12E6342A"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3F4D72">
              <w:rPr>
                <w:rFonts w:asciiTheme="majorHAnsi" w:eastAsia="Times New Roman" w:hAnsiTheme="majorHAnsi" w:cstheme="majorHAnsi"/>
                <w:color w:val="000000"/>
                <w:sz w:val="20"/>
                <w:szCs w:val="20"/>
              </w:rPr>
              <w:t>203.183</w:t>
            </w:r>
          </w:p>
        </w:tc>
      </w:tr>
      <w:tr w:rsidR="00FB241F" w:rsidRPr="003F4D72" w14:paraId="392C66BC" w14:textId="77777777" w:rsidTr="00EF4460">
        <w:trPr>
          <w:trHeight w:val="300"/>
        </w:trPr>
        <w:tc>
          <w:tcPr>
            <w:cnfStyle w:val="001000000000" w:firstRow="0" w:lastRow="0" w:firstColumn="1" w:lastColumn="0" w:oddVBand="0" w:evenVBand="0" w:oddHBand="0" w:evenHBand="0" w:firstRowFirstColumn="0" w:firstRowLastColumn="0" w:lastRowFirstColumn="0" w:lastRowLastColumn="0"/>
            <w:tcW w:w="1774" w:type="pct"/>
            <w:noWrap/>
            <w:hideMark/>
          </w:tcPr>
          <w:p w14:paraId="5978DCE2" w14:textId="77777777" w:rsidR="00FB241F" w:rsidRPr="003F4D72" w:rsidRDefault="00FB241F" w:rsidP="000F64F2">
            <w:pPr>
              <w:jc w:val="center"/>
              <w:rPr>
                <w:rFonts w:asciiTheme="majorHAnsi" w:eastAsia="Times New Roman" w:hAnsiTheme="majorHAnsi" w:cstheme="majorHAnsi"/>
                <w:b w:val="0"/>
                <w:bCs w:val="0"/>
                <w:color w:val="000000"/>
                <w:sz w:val="20"/>
                <w:szCs w:val="20"/>
              </w:rPr>
            </w:pPr>
            <w:r w:rsidRPr="003F4D72">
              <w:rPr>
                <w:rFonts w:asciiTheme="majorHAnsi" w:eastAsia="Times New Roman" w:hAnsiTheme="majorHAnsi" w:cstheme="majorHAnsi"/>
                <w:color w:val="000000"/>
                <w:sz w:val="20"/>
                <w:szCs w:val="20"/>
              </w:rPr>
              <w:t>Total beneficiari unici</w:t>
            </w:r>
          </w:p>
        </w:tc>
        <w:tc>
          <w:tcPr>
            <w:tcW w:w="739" w:type="pct"/>
            <w:hideMark/>
          </w:tcPr>
          <w:p w14:paraId="0CBEA6A4"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833.403</w:t>
            </w:r>
          </w:p>
        </w:tc>
        <w:tc>
          <w:tcPr>
            <w:tcW w:w="733" w:type="pct"/>
            <w:hideMark/>
          </w:tcPr>
          <w:p w14:paraId="090BA192"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815.842</w:t>
            </w:r>
          </w:p>
        </w:tc>
        <w:tc>
          <w:tcPr>
            <w:tcW w:w="808" w:type="pct"/>
            <w:hideMark/>
          </w:tcPr>
          <w:p w14:paraId="1E42162A"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832.466</w:t>
            </w:r>
          </w:p>
        </w:tc>
        <w:tc>
          <w:tcPr>
            <w:tcW w:w="946" w:type="pct"/>
            <w:hideMark/>
          </w:tcPr>
          <w:p w14:paraId="6858FE9B" w14:textId="77777777" w:rsidR="00FB241F" w:rsidRPr="003F4D72" w:rsidRDefault="00FB241F" w:rsidP="000F64F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3F4D72">
              <w:rPr>
                <w:rFonts w:asciiTheme="majorHAnsi" w:eastAsia="Times New Roman" w:hAnsiTheme="majorHAnsi" w:cstheme="majorHAnsi"/>
                <w:b/>
                <w:bCs/>
                <w:color w:val="000000"/>
                <w:sz w:val="20"/>
                <w:szCs w:val="20"/>
              </w:rPr>
              <w:t>739.067</w:t>
            </w:r>
          </w:p>
        </w:tc>
      </w:tr>
    </w:tbl>
    <w:p w14:paraId="776E1FBF" w14:textId="03215603" w:rsidR="00FB241F" w:rsidRPr="003F4D72" w:rsidRDefault="00FB241F" w:rsidP="00FB241F">
      <w:pPr>
        <w:rPr>
          <w:rFonts w:asciiTheme="majorHAnsi" w:hAnsiTheme="majorHAnsi" w:cstheme="majorHAnsi"/>
          <w:b/>
          <w:i/>
          <w:sz w:val="20"/>
          <w:szCs w:val="24"/>
        </w:rPr>
      </w:pPr>
      <w:r w:rsidRPr="003F4D72">
        <w:rPr>
          <w:rFonts w:asciiTheme="majorHAnsi" w:hAnsiTheme="majorHAnsi" w:cstheme="majorHAnsi"/>
          <w:b/>
          <w:i/>
          <w:sz w:val="20"/>
          <w:szCs w:val="24"/>
        </w:rPr>
        <w:t xml:space="preserve">Sursa: </w:t>
      </w:r>
      <w:r w:rsidR="00A243DE" w:rsidRPr="003F4D72">
        <w:rPr>
          <w:rFonts w:asciiTheme="majorHAnsi" w:hAnsiTheme="majorHAnsi" w:cstheme="majorHAnsi"/>
          <w:i/>
          <w:sz w:val="20"/>
          <w:szCs w:val="24"/>
        </w:rPr>
        <w:t>D</w:t>
      </w:r>
      <w:r w:rsidRPr="003F4D72">
        <w:rPr>
          <w:rFonts w:asciiTheme="majorHAnsi" w:hAnsiTheme="majorHAnsi" w:cstheme="majorHAnsi"/>
          <w:i/>
          <w:sz w:val="20"/>
          <w:szCs w:val="24"/>
        </w:rPr>
        <w:t>ate prezentate de CNAM</w:t>
      </w:r>
      <w:r w:rsidR="00223194" w:rsidRPr="003F4D72">
        <w:rPr>
          <w:rFonts w:asciiTheme="majorHAnsi" w:hAnsiTheme="majorHAnsi" w:cstheme="majorHAnsi"/>
          <w:i/>
          <w:sz w:val="20"/>
          <w:szCs w:val="24"/>
        </w:rPr>
        <w:t>.</w:t>
      </w:r>
    </w:p>
    <w:p w14:paraId="56C4E057" w14:textId="19AEAEE3" w:rsidR="00FB241F" w:rsidRPr="003F4D72" w:rsidRDefault="00FB241F" w:rsidP="00C82FEC">
      <w:pPr>
        <w:spacing w:after="0"/>
        <w:jc w:val="both"/>
        <w:rPr>
          <w:rFonts w:asciiTheme="majorHAnsi" w:hAnsiTheme="majorHAnsi" w:cstheme="majorHAnsi"/>
          <w:b/>
          <w:sz w:val="24"/>
          <w:szCs w:val="24"/>
        </w:rPr>
      </w:pPr>
    </w:p>
    <w:p w14:paraId="7B1084CB" w14:textId="1C26AFB4" w:rsidR="00B92E41" w:rsidRPr="003F4D72" w:rsidRDefault="00B92E41" w:rsidP="002F6325">
      <w:pPr>
        <w:rPr>
          <w:rFonts w:asciiTheme="majorHAnsi" w:hAnsiTheme="majorHAnsi" w:cstheme="majorHAnsi"/>
          <w:b/>
          <w:sz w:val="24"/>
          <w:szCs w:val="24"/>
        </w:rPr>
        <w:sectPr w:rsidR="00B92E41" w:rsidRPr="003F4D72" w:rsidSect="00EB0A52">
          <w:headerReference w:type="default" r:id="rId24"/>
          <w:footerReference w:type="default" r:id="rId25"/>
          <w:pgSz w:w="12240" w:h="15840"/>
          <w:pgMar w:top="1440" w:right="1440" w:bottom="1440" w:left="1440" w:header="720" w:footer="720" w:gutter="0"/>
          <w:cols w:space="720"/>
          <w:titlePg/>
          <w:docGrid w:linePitch="360"/>
        </w:sectPr>
      </w:pPr>
    </w:p>
    <w:p w14:paraId="076D24D8" w14:textId="6FEC8EF4" w:rsidR="00B92E41" w:rsidRPr="003F4D72" w:rsidRDefault="005D6831" w:rsidP="00B92E41">
      <w:pPr>
        <w:tabs>
          <w:tab w:val="left" w:pos="1080"/>
        </w:tabs>
        <w:spacing w:after="0" w:line="276" w:lineRule="auto"/>
        <w:contextualSpacing/>
        <w:jc w:val="right"/>
        <w:rPr>
          <w:rFonts w:asciiTheme="majorHAnsi" w:hAnsiTheme="majorHAnsi" w:cstheme="majorHAnsi"/>
          <w:b/>
          <w:sz w:val="24"/>
          <w:szCs w:val="24"/>
        </w:rPr>
      </w:pPr>
      <w:r w:rsidRPr="003F4D72">
        <w:rPr>
          <w:rFonts w:asciiTheme="majorHAnsi" w:hAnsiTheme="majorHAnsi" w:cstheme="majorHAnsi"/>
          <w:b/>
          <w:sz w:val="24"/>
          <w:szCs w:val="24"/>
        </w:rPr>
        <w:lastRenderedPageBreak/>
        <w:t>Anexa nr.7</w:t>
      </w:r>
    </w:p>
    <w:p w14:paraId="012B2B6B" w14:textId="10DFC39B" w:rsidR="00B92E41" w:rsidRPr="003F4D72" w:rsidRDefault="00B92E41" w:rsidP="00B92E41">
      <w:pPr>
        <w:tabs>
          <w:tab w:val="left" w:pos="1080"/>
        </w:tabs>
        <w:spacing w:after="0" w:line="276" w:lineRule="auto"/>
        <w:contextualSpacing/>
        <w:jc w:val="center"/>
        <w:rPr>
          <w:rFonts w:asciiTheme="majorHAnsi" w:hAnsiTheme="majorHAnsi" w:cstheme="majorHAnsi"/>
          <w:b/>
          <w:sz w:val="24"/>
          <w:szCs w:val="24"/>
        </w:rPr>
      </w:pPr>
      <w:r w:rsidRPr="003F4D72">
        <w:rPr>
          <w:rFonts w:asciiTheme="majorHAnsi" w:hAnsiTheme="majorHAnsi" w:cstheme="majorHAnsi"/>
          <w:b/>
          <w:sz w:val="24"/>
          <w:szCs w:val="24"/>
        </w:rPr>
        <w:t>Analiza implementării recomandări</w:t>
      </w:r>
      <w:r w:rsidR="00A460C2" w:rsidRPr="003F4D72">
        <w:rPr>
          <w:rFonts w:asciiTheme="majorHAnsi" w:hAnsiTheme="majorHAnsi" w:cstheme="majorHAnsi"/>
          <w:b/>
          <w:sz w:val="24"/>
          <w:szCs w:val="24"/>
        </w:rPr>
        <w:t>lor</w:t>
      </w:r>
      <w:r w:rsidR="00815A71" w:rsidRPr="003F4D72">
        <w:rPr>
          <w:rFonts w:asciiTheme="majorHAnsi" w:hAnsiTheme="majorHAnsi" w:cstheme="majorHAnsi"/>
          <w:b/>
          <w:sz w:val="24"/>
          <w:szCs w:val="24"/>
        </w:rPr>
        <w:t xml:space="preserve"> </w:t>
      </w:r>
      <w:r w:rsidRPr="003F4D72">
        <w:rPr>
          <w:rFonts w:asciiTheme="majorHAnsi" w:hAnsiTheme="majorHAnsi" w:cstheme="majorHAnsi"/>
          <w:b/>
          <w:sz w:val="24"/>
          <w:szCs w:val="24"/>
        </w:rPr>
        <w:t>înaintate de Curtea de Conturi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04"/>
        <w:gridCol w:w="7475"/>
        <w:gridCol w:w="764"/>
        <w:gridCol w:w="767"/>
        <w:gridCol w:w="930"/>
      </w:tblGrid>
      <w:tr w:rsidR="00B92E41" w:rsidRPr="003F4D72" w14:paraId="5A2C9560" w14:textId="77777777" w:rsidTr="00436DF9">
        <w:trPr>
          <w:trHeight w:val="20"/>
        </w:trPr>
        <w:tc>
          <w:tcPr>
            <w:tcW w:w="202" w:type="pct"/>
            <w:vMerge w:val="restart"/>
            <w:shd w:val="clear" w:color="auto" w:fill="auto"/>
            <w:noWrap/>
            <w:vAlign w:val="center"/>
            <w:hideMark/>
          </w:tcPr>
          <w:p w14:paraId="702D5D24"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Nr.</w:t>
            </w:r>
          </w:p>
        </w:tc>
        <w:tc>
          <w:tcPr>
            <w:tcW w:w="972" w:type="pct"/>
            <w:vMerge w:val="restart"/>
            <w:shd w:val="clear" w:color="auto" w:fill="auto"/>
            <w:vAlign w:val="center"/>
            <w:hideMark/>
          </w:tcPr>
          <w:p w14:paraId="175B33E7"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Recomandarea</w:t>
            </w:r>
          </w:p>
        </w:tc>
        <w:tc>
          <w:tcPr>
            <w:tcW w:w="2890" w:type="pct"/>
            <w:vMerge w:val="restart"/>
            <w:shd w:val="clear" w:color="auto" w:fill="auto"/>
            <w:vAlign w:val="center"/>
            <w:hideMark/>
          </w:tcPr>
          <w:p w14:paraId="20E2F3AB"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Măsurile întreprinse</w:t>
            </w:r>
          </w:p>
        </w:tc>
        <w:tc>
          <w:tcPr>
            <w:tcW w:w="935" w:type="pct"/>
            <w:gridSpan w:val="3"/>
            <w:shd w:val="clear" w:color="auto" w:fill="auto"/>
          </w:tcPr>
          <w:p w14:paraId="3DAABD4A"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Statutul implementării recomandării</w:t>
            </w:r>
          </w:p>
        </w:tc>
      </w:tr>
      <w:tr w:rsidR="00B92E41" w:rsidRPr="003F4D72" w14:paraId="6176BC67" w14:textId="77777777" w:rsidTr="00436DF9">
        <w:trPr>
          <w:trHeight w:val="20"/>
        </w:trPr>
        <w:tc>
          <w:tcPr>
            <w:tcW w:w="202" w:type="pct"/>
            <w:vMerge/>
            <w:shd w:val="clear" w:color="auto" w:fill="92D050"/>
            <w:noWrap/>
            <w:vAlign w:val="center"/>
          </w:tcPr>
          <w:p w14:paraId="7B6B6760"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p>
        </w:tc>
        <w:tc>
          <w:tcPr>
            <w:tcW w:w="972" w:type="pct"/>
            <w:vMerge/>
            <w:shd w:val="clear" w:color="auto" w:fill="92D050"/>
          </w:tcPr>
          <w:p w14:paraId="6269D678"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p>
        </w:tc>
        <w:tc>
          <w:tcPr>
            <w:tcW w:w="2890" w:type="pct"/>
            <w:vMerge/>
            <w:shd w:val="clear" w:color="auto" w:fill="92D050"/>
          </w:tcPr>
          <w:p w14:paraId="11559888"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p>
        </w:tc>
        <w:tc>
          <w:tcPr>
            <w:tcW w:w="300" w:type="pct"/>
            <w:shd w:val="clear" w:color="auto" w:fill="auto"/>
          </w:tcPr>
          <w:p w14:paraId="1BC95234" w14:textId="2301697E" w:rsidR="00B92E41" w:rsidRPr="003F4D72" w:rsidRDefault="00532082"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realizat</w:t>
            </w:r>
          </w:p>
        </w:tc>
        <w:tc>
          <w:tcPr>
            <w:tcW w:w="301" w:type="pct"/>
            <w:shd w:val="clear" w:color="auto" w:fill="auto"/>
          </w:tcPr>
          <w:p w14:paraId="15636298" w14:textId="068F956C" w:rsidR="00B92E41" w:rsidRPr="003F4D72" w:rsidRDefault="00532082"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parțial</w:t>
            </w:r>
          </w:p>
          <w:p w14:paraId="20CA228F" w14:textId="0FFDB9A8" w:rsidR="00B92E41" w:rsidRPr="003F4D72" w:rsidRDefault="00532082"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 xml:space="preserve"> realizat</w:t>
            </w:r>
          </w:p>
        </w:tc>
        <w:tc>
          <w:tcPr>
            <w:tcW w:w="334" w:type="pct"/>
            <w:shd w:val="clear" w:color="auto" w:fill="auto"/>
          </w:tcPr>
          <w:p w14:paraId="059C8A6A" w14:textId="7DFF2D1E" w:rsidR="00B92E41" w:rsidRPr="003F4D72" w:rsidRDefault="00532082"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nerealizat</w:t>
            </w:r>
          </w:p>
        </w:tc>
      </w:tr>
      <w:tr w:rsidR="00B92E41" w:rsidRPr="003F4D72" w14:paraId="699C08F7" w14:textId="77777777" w:rsidTr="00436DF9">
        <w:trPr>
          <w:trHeight w:val="20"/>
        </w:trPr>
        <w:tc>
          <w:tcPr>
            <w:tcW w:w="202" w:type="pct"/>
            <w:shd w:val="clear" w:color="auto" w:fill="FFE599" w:themeFill="accent4" w:themeFillTint="66"/>
            <w:noWrap/>
            <w:vAlign w:val="center"/>
            <w:hideMark/>
          </w:tcPr>
          <w:p w14:paraId="2326A897"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 </w:t>
            </w:r>
          </w:p>
        </w:tc>
        <w:tc>
          <w:tcPr>
            <w:tcW w:w="3863" w:type="pct"/>
            <w:gridSpan w:val="2"/>
            <w:shd w:val="clear" w:color="auto" w:fill="FFE599" w:themeFill="accent4" w:themeFillTint="66"/>
            <w:hideMark/>
          </w:tcPr>
          <w:p w14:paraId="1D1E7549" w14:textId="77777777" w:rsidR="00B92E41" w:rsidRPr="003F4D72" w:rsidRDefault="00B92E41" w:rsidP="00436DF9">
            <w:pPr>
              <w:spacing w:after="0" w:line="240" w:lineRule="auto"/>
              <w:rPr>
                <w:rFonts w:asciiTheme="majorHAnsi" w:eastAsia="Times New Roman" w:hAnsiTheme="majorHAnsi" w:cstheme="majorHAnsi"/>
                <w:b/>
                <w:bCs/>
                <w:i/>
                <w:iCs/>
                <w:sz w:val="18"/>
                <w:szCs w:val="18"/>
              </w:rPr>
            </w:pPr>
            <w:r w:rsidRPr="003F4D72">
              <w:rPr>
                <w:rFonts w:asciiTheme="majorHAnsi" w:eastAsia="Times New Roman" w:hAnsiTheme="majorHAnsi" w:cstheme="majorHAnsi"/>
                <w:b/>
                <w:bCs/>
                <w:i/>
                <w:iCs/>
                <w:sz w:val="18"/>
                <w:szCs w:val="18"/>
              </w:rPr>
              <w:t>Recomandări Companiei Naționale de Asigurări în Medicină</w:t>
            </w:r>
          </w:p>
        </w:tc>
        <w:tc>
          <w:tcPr>
            <w:tcW w:w="300" w:type="pct"/>
            <w:shd w:val="clear" w:color="auto" w:fill="FFE599" w:themeFill="accent4" w:themeFillTint="66"/>
            <w:hideMark/>
          </w:tcPr>
          <w:p w14:paraId="34862F7C" w14:textId="77777777" w:rsidR="00B92E41" w:rsidRPr="003F4D72" w:rsidRDefault="00B92E41" w:rsidP="00436DF9">
            <w:pPr>
              <w:spacing w:after="0" w:line="240" w:lineRule="auto"/>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 </w:t>
            </w:r>
          </w:p>
        </w:tc>
        <w:tc>
          <w:tcPr>
            <w:tcW w:w="301" w:type="pct"/>
            <w:shd w:val="clear" w:color="auto" w:fill="FFE599" w:themeFill="accent4" w:themeFillTint="66"/>
            <w:hideMark/>
          </w:tcPr>
          <w:p w14:paraId="1AD88A35" w14:textId="77777777" w:rsidR="00B92E41" w:rsidRPr="003F4D72" w:rsidRDefault="00B92E41" w:rsidP="00436DF9">
            <w:pPr>
              <w:spacing w:after="0" w:line="240" w:lineRule="auto"/>
              <w:rPr>
                <w:rFonts w:asciiTheme="majorHAnsi" w:eastAsia="Times New Roman" w:hAnsiTheme="majorHAnsi" w:cstheme="majorHAnsi"/>
                <w:sz w:val="18"/>
                <w:szCs w:val="18"/>
              </w:rPr>
            </w:pPr>
            <w:r w:rsidRPr="003F4D72">
              <w:rPr>
                <w:rFonts w:asciiTheme="majorHAnsi" w:eastAsia="Times New Roman" w:hAnsiTheme="majorHAnsi" w:cstheme="majorHAnsi"/>
                <w:sz w:val="18"/>
                <w:szCs w:val="18"/>
              </w:rPr>
              <w:t> </w:t>
            </w:r>
          </w:p>
        </w:tc>
        <w:tc>
          <w:tcPr>
            <w:tcW w:w="334" w:type="pct"/>
            <w:shd w:val="clear" w:color="auto" w:fill="FFE599" w:themeFill="accent4" w:themeFillTint="66"/>
          </w:tcPr>
          <w:p w14:paraId="003AC4C9" w14:textId="77777777" w:rsidR="00B92E41" w:rsidRPr="003F4D72" w:rsidRDefault="00B92E41" w:rsidP="00436DF9">
            <w:pPr>
              <w:spacing w:after="0" w:line="240" w:lineRule="auto"/>
              <w:rPr>
                <w:rFonts w:asciiTheme="majorHAnsi" w:eastAsia="Times New Roman" w:hAnsiTheme="majorHAnsi" w:cstheme="majorHAnsi"/>
                <w:sz w:val="18"/>
                <w:szCs w:val="18"/>
              </w:rPr>
            </w:pPr>
          </w:p>
        </w:tc>
      </w:tr>
      <w:tr w:rsidR="00B92E41" w:rsidRPr="003F4D72" w14:paraId="045B3886" w14:textId="77777777" w:rsidTr="00436DF9">
        <w:trPr>
          <w:trHeight w:val="20"/>
        </w:trPr>
        <w:tc>
          <w:tcPr>
            <w:tcW w:w="202" w:type="pct"/>
            <w:shd w:val="clear" w:color="auto" w:fill="auto"/>
            <w:noWrap/>
            <w:vAlign w:val="center"/>
          </w:tcPr>
          <w:p w14:paraId="2210E38B"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1</w:t>
            </w:r>
          </w:p>
        </w:tc>
        <w:tc>
          <w:tcPr>
            <w:tcW w:w="972" w:type="pct"/>
            <w:shd w:val="clear" w:color="auto" w:fill="auto"/>
          </w:tcPr>
          <w:p w14:paraId="7CF61E5D" w14:textId="77777777" w:rsidR="00B92E41" w:rsidRPr="003F4D72" w:rsidRDefault="00B92E41" w:rsidP="003F4D7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 xml:space="preserve">asigurarea întreprinderii măsurilor ce se impun, în scopul asigurării continuității reformelor prin extinderea funcționalității SIA „Asistență Medicală Primară” </w:t>
            </w:r>
            <w:proofErr w:type="spellStart"/>
            <w:r w:rsidRPr="003F4D72">
              <w:rPr>
                <w:rFonts w:asciiTheme="majorHAnsi" w:eastAsia="Times New Roman" w:hAnsiTheme="majorHAnsi" w:cstheme="majorHAnsi"/>
                <w:bCs/>
                <w:i/>
                <w:iCs/>
                <w:sz w:val="18"/>
                <w:szCs w:val="18"/>
              </w:rPr>
              <w:t>şi</w:t>
            </w:r>
            <w:proofErr w:type="spellEnd"/>
            <w:r w:rsidRPr="003F4D72">
              <w:rPr>
                <w:rFonts w:asciiTheme="majorHAnsi" w:eastAsia="Times New Roman" w:hAnsiTheme="majorHAnsi" w:cstheme="majorHAnsi"/>
                <w:bCs/>
                <w:i/>
                <w:iCs/>
                <w:sz w:val="18"/>
                <w:szCs w:val="18"/>
              </w:rPr>
              <w:t xml:space="preserve"> implementarea rețetei electronice „e-Rețetă”, cu stabilirea termenelor de realizare raportați</w:t>
            </w:r>
          </w:p>
        </w:tc>
        <w:tc>
          <w:tcPr>
            <w:tcW w:w="2890" w:type="pct"/>
            <w:shd w:val="clear" w:color="auto" w:fill="auto"/>
          </w:tcPr>
          <w:p w14:paraId="08F7D1F2" w14:textId="3FFD66FF"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Pe parcursul anului 2020 reprezentanții CNAM, desemnați prin Ordinul MSMPS și CNAM nr.1453/345-A din 17.12.2019, în cadrul grupului de lucru responsabil de dezvoltare</w:t>
            </w:r>
            <w:r w:rsidR="00815A71" w:rsidRPr="003F4D72">
              <w:rPr>
                <w:rFonts w:asciiTheme="majorHAnsi" w:eastAsia="Times New Roman" w:hAnsiTheme="majorHAnsi" w:cstheme="majorHAnsi"/>
                <w:bCs/>
                <w:i/>
                <w:iCs/>
                <w:sz w:val="18"/>
                <w:szCs w:val="18"/>
              </w:rPr>
              <w:t xml:space="preserve"> </w:t>
            </w:r>
            <w:r w:rsidRPr="003F4D72">
              <w:rPr>
                <w:rFonts w:asciiTheme="majorHAnsi" w:eastAsia="Times New Roman" w:hAnsiTheme="majorHAnsi" w:cstheme="majorHAnsi"/>
                <w:bCs/>
                <w:i/>
                <w:iCs/>
                <w:sz w:val="18"/>
                <w:szCs w:val="18"/>
              </w:rPr>
              <w:t xml:space="preserve">și implementare a funcționalităților suplimentare a SIA „AMP” și interoperabilitatea acestora cu alte sisteme informaționale au participat </w:t>
            </w:r>
            <w:r w:rsidR="00532082" w:rsidRPr="003F4D72">
              <w:rPr>
                <w:rFonts w:asciiTheme="majorHAnsi" w:eastAsia="Times New Roman" w:hAnsiTheme="majorHAnsi" w:cstheme="majorHAnsi"/>
                <w:bCs/>
                <w:i/>
                <w:iCs/>
                <w:sz w:val="18"/>
                <w:szCs w:val="18"/>
              </w:rPr>
              <w:t>la</w:t>
            </w:r>
            <w:r w:rsidRPr="003F4D72">
              <w:rPr>
                <w:rFonts w:asciiTheme="majorHAnsi" w:eastAsia="Times New Roman" w:hAnsiTheme="majorHAnsi" w:cstheme="majorHAnsi"/>
                <w:bCs/>
                <w:i/>
                <w:iCs/>
                <w:sz w:val="18"/>
                <w:szCs w:val="18"/>
              </w:rPr>
              <w:t xml:space="preserve"> toat</w:t>
            </w:r>
            <w:r w:rsidR="00532082" w:rsidRPr="003F4D72">
              <w:rPr>
                <w:rFonts w:asciiTheme="majorHAnsi" w:eastAsia="Times New Roman" w:hAnsiTheme="majorHAnsi" w:cstheme="majorHAnsi"/>
                <w:bCs/>
                <w:i/>
                <w:iCs/>
                <w:sz w:val="18"/>
                <w:szCs w:val="18"/>
              </w:rPr>
              <w:t>e</w:t>
            </w:r>
            <w:r w:rsidRPr="003F4D72">
              <w:rPr>
                <w:rFonts w:asciiTheme="majorHAnsi" w:eastAsia="Times New Roman" w:hAnsiTheme="majorHAnsi" w:cstheme="majorHAnsi"/>
                <w:bCs/>
                <w:i/>
                <w:iCs/>
                <w:sz w:val="18"/>
                <w:szCs w:val="18"/>
              </w:rPr>
              <w:t xml:space="preserve"> ședințele organizate de către MSMPS. </w:t>
            </w:r>
          </w:p>
          <w:p w14:paraId="263DE3A4" w14:textId="7B917409"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Totodată, au fost elaborate și prezentate MSMPS propuneri ce vizează</w:t>
            </w:r>
            <w:r w:rsidR="00815A71" w:rsidRPr="003F4D72">
              <w:rPr>
                <w:rFonts w:asciiTheme="majorHAnsi" w:eastAsia="Times New Roman" w:hAnsiTheme="majorHAnsi" w:cstheme="majorHAnsi"/>
                <w:bCs/>
                <w:i/>
                <w:iCs/>
                <w:sz w:val="18"/>
                <w:szCs w:val="18"/>
              </w:rPr>
              <w:t xml:space="preserve"> </w:t>
            </w:r>
            <w:r w:rsidRPr="003F4D72">
              <w:rPr>
                <w:rFonts w:asciiTheme="majorHAnsi" w:eastAsia="Times New Roman" w:hAnsiTheme="majorHAnsi" w:cstheme="majorHAnsi"/>
                <w:bCs/>
                <w:i/>
                <w:iCs/>
                <w:sz w:val="18"/>
                <w:szCs w:val="18"/>
              </w:rPr>
              <w:t>modulul/componența sistemului informațional „e-Rețeta”</w:t>
            </w:r>
          </w:p>
          <w:p w14:paraId="2F52E34B" w14:textId="304C29DE" w:rsidR="00B92E41" w:rsidRPr="003F4D72" w:rsidRDefault="00B92E41" w:rsidP="0053208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Astfel, la data de 12.08.2020, de către MSMPS a fost organizată ședința grupului de lucru, cu participarea reprezentanților Băncii Mondiale, în cadrul căreia a fost aprobată varianta finală a caietului de sarcini. La data de 04.11.2020 a fost aprobat Ordinul MSMPS nr.1016 „Cu privire la constituirea grupului de lucru responsabil de examinarea ofertei financiare, recepționarea serviciilor și acceptarea plăților pentru achiziția serviciilor de consultanță pentru Dezvoltarea funcționalităților suplimentare a SIA „AMP” și interoperabilitatea acestuia cu alte sisteme informaționale””. Varianta finală a caietului de sarcin</w:t>
            </w:r>
            <w:r w:rsidR="00532082" w:rsidRPr="003F4D72">
              <w:rPr>
                <w:rFonts w:asciiTheme="majorHAnsi" w:eastAsia="Times New Roman" w:hAnsiTheme="majorHAnsi" w:cstheme="majorHAnsi"/>
                <w:bCs/>
                <w:i/>
                <w:iCs/>
                <w:sz w:val="18"/>
                <w:szCs w:val="18"/>
              </w:rPr>
              <w:t>i</w:t>
            </w:r>
            <w:r w:rsidRPr="003F4D72">
              <w:rPr>
                <w:rFonts w:asciiTheme="majorHAnsi" w:eastAsia="Times New Roman" w:hAnsiTheme="majorHAnsi" w:cstheme="majorHAnsi"/>
                <w:bCs/>
                <w:i/>
                <w:iCs/>
                <w:sz w:val="18"/>
                <w:szCs w:val="18"/>
              </w:rPr>
              <w:t xml:space="preserve"> a fost tradusă în limba engleză și definitivată de către consultantul T</w:t>
            </w:r>
            <w:r w:rsidR="00532082" w:rsidRPr="003F4D72">
              <w:rPr>
                <w:rFonts w:asciiTheme="majorHAnsi" w:eastAsia="Times New Roman" w:hAnsiTheme="majorHAnsi" w:cstheme="majorHAnsi"/>
                <w:bCs/>
                <w:i/>
                <w:iCs/>
                <w:sz w:val="18"/>
                <w:szCs w:val="18"/>
              </w:rPr>
              <w:t>I</w:t>
            </w:r>
          </w:p>
        </w:tc>
        <w:tc>
          <w:tcPr>
            <w:tcW w:w="300" w:type="pct"/>
            <w:shd w:val="clear" w:color="auto" w:fill="auto"/>
          </w:tcPr>
          <w:p w14:paraId="19E6907C" w14:textId="77777777" w:rsidR="00B92E41" w:rsidRPr="003F4D72" w:rsidRDefault="00B92E41" w:rsidP="00436DF9">
            <w:pPr>
              <w:spacing w:after="0" w:line="240" w:lineRule="auto"/>
              <w:jc w:val="center"/>
              <w:rPr>
                <w:rFonts w:asciiTheme="majorHAnsi" w:eastAsia="Times New Roman" w:hAnsiTheme="majorHAnsi" w:cstheme="majorHAnsi"/>
                <w:b/>
                <w:sz w:val="18"/>
                <w:szCs w:val="18"/>
              </w:rPr>
            </w:pPr>
          </w:p>
        </w:tc>
        <w:tc>
          <w:tcPr>
            <w:tcW w:w="301" w:type="pct"/>
            <w:shd w:val="clear" w:color="auto" w:fill="auto"/>
          </w:tcPr>
          <w:p w14:paraId="3D41AF87" w14:textId="77777777" w:rsidR="00B92E41" w:rsidRPr="003F4D72" w:rsidRDefault="00B92E41" w:rsidP="00436DF9">
            <w:pPr>
              <w:spacing w:after="0" w:line="240" w:lineRule="auto"/>
              <w:jc w:val="center"/>
              <w:rPr>
                <w:rFonts w:asciiTheme="majorHAnsi" w:eastAsia="Times New Roman" w:hAnsiTheme="majorHAnsi" w:cstheme="majorHAnsi"/>
                <w:b/>
                <w:sz w:val="18"/>
                <w:szCs w:val="18"/>
              </w:rPr>
            </w:pPr>
            <w:r w:rsidRPr="003F4D72">
              <w:rPr>
                <w:rFonts w:asciiTheme="majorHAnsi" w:eastAsia="Times New Roman" w:hAnsiTheme="majorHAnsi" w:cstheme="majorHAnsi"/>
                <w:b/>
                <w:sz w:val="18"/>
                <w:szCs w:val="18"/>
              </w:rPr>
              <w:t>V</w:t>
            </w:r>
          </w:p>
        </w:tc>
        <w:tc>
          <w:tcPr>
            <w:tcW w:w="334" w:type="pct"/>
          </w:tcPr>
          <w:p w14:paraId="1BF796A7" w14:textId="77777777" w:rsidR="00B92E41" w:rsidRPr="003F4D72" w:rsidRDefault="00B92E41" w:rsidP="00436DF9">
            <w:pPr>
              <w:spacing w:after="0" w:line="240" w:lineRule="auto"/>
              <w:jc w:val="center"/>
              <w:rPr>
                <w:rFonts w:asciiTheme="majorHAnsi" w:eastAsia="Times New Roman" w:hAnsiTheme="majorHAnsi" w:cstheme="majorHAnsi"/>
                <w:b/>
                <w:bCs/>
                <w:iCs/>
                <w:sz w:val="18"/>
                <w:szCs w:val="18"/>
              </w:rPr>
            </w:pPr>
          </w:p>
        </w:tc>
      </w:tr>
      <w:tr w:rsidR="00B92E41" w:rsidRPr="003F4D72" w14:paraId="68152361" w14:textId="77777777" w:rsidTr="00436DF9">
        <w:trPr>
          <w:trHeight w:val="20"/>
        </w:trPr>
        <w:tc>
          <w:tcPr>
            <w:tcW w:w="202" w:type="pct"/>
            <w:shd w:val="clear" w:color="auto" w:fill="auto"/>
            <w:noWrap/>
            <w:vAlign w:val="center"/>
          </w:tcPr>
          <w:p w14:paraId="3A941478"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2</w:t>
            </w:r>
          </w:p>
        </w:tc>
        <w:tc>
          <w:tcPr>
            <w:tcW w:w="972" w:type="pct"/>
            <w:shd w:val="clear" w:color="auto" w:fill="auto"/>
          </w:tcPr>
          <w:p w14:paraId="5DE20460" w14:textId="77777777" w:rsidR="00B92E41" w:rsidRPr="003F4D72" w:rsidRDefault="00B92E41" w:rsidP="003F4D7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implementarea și aplicarea în cadrul SIA „Medicamente compensate” a filtrului de control ce ține de corectitudinea prescrierii medicamentelor (medicamentul, categoria de asigurare și maladia beneficiarului), în conformitate cu cerințele cadrului normativ</w:t>
            </w:r>
          </w:p>
        </w:tc>
        <w:tc>
          <w:tcPr>
            <w:tcW w:w="2890" w:type="pct"/>
            <w:shd w:val="clear" w:color="auto" w:fill="auto"/>
          </w:tcPr>
          <w:p w14:paraId="42CECD56" w14:textId="5C1F9D87"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CNAM a elaborat propuneri privind mecanismul de funcționare a „e-Rețetei” cu includerea ulterioară în caietul de sarcină „De achiziție sistem IT: Dezvoltare a funcționalităților suplimentare a Sistemului Informațional Automatizat „Asistența Medicală Primară” (SIA AMP) și interoperabilitatea acestuia cu alte sisteme informaționale”</w:t>
            </w:r>
            <w:r w:rsidR="00532082" w:rsidRPr="003F4D72">
              <w:rPr>
                <w:rFonts w:asciiTheme="majorHAnsi" w:eastAsia="Times New Roman" w:hAnsiTheme="majorHAnsi" w:cstheme="majorHAnsi"/>
                <w:bCs/>
                <w:i/>
                <w:iCs/>
                <w:sz w:val="18"/>
                <w:szCs w:val="18"/>
              </w:rPr>
              <w:t>,</w:t>
            </w:r>
            <w:r w:rsidRPr="003F4D72">
              <w:rPr>
                <w:rFonts w:asciiTheme="majorHAnsi" w:eastAsia="Times New Roman" w:hAnsiTheme="majorHAnsi" w:cstheme="majorHAnsi"/>
                <w:bCs/>
                <w:i/>
                <w:iCs/>
                <w:sz w:val="18"/>
                <w:szCs w:val="18"/>
              </w:rPr>
              <w:t xml:space="preserve"> și anume:</w:t>
            </w:r>
          </w:p>
          <w:p w14:paraId="12A83CC1" w14:textId="77777777"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-cerințele privind prescrierea rețetelor (filtre);</w:t>
            </w:r>
          </w:p>
          <w:p w14:paraId="5B2F69CA" w14:textId="77777777"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-cerințele privind eliberarea rețetelor;</w:t>
            </w:r>
          </w:p>
          <w:p w14:paraId="44FA54A2" w14:textId="77777777"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-cerințele privind rapoartele;</w:t>
            </w:r>
          </w:p>
          <w:p w14:paraId="528D940E" w14:textId="77777777" w:rsidR="00B92E41" w:rsidRPr="003F4D72" w:rsidRDefault="00B92E41" w:rsidP="00436DF9">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-cerințele privind securitatea, administrarea și gestionarea „e-Rețetei”;</w:t>
            </w:r>
          </w:p>
          <w:p w14:paraId="1C75C8AF" w14:textId="74EEFB8B" w:rsidR="00B92E41" w:rsidRPr="003F4D72" w:rsidRDefault="00B92E41" w:rsidP="0053208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-formularele medicale utilizate în cadrul „e-Rețeta”</w:t>
            </w:r>
          </w:p>
        </w:tc>
        <w:tc>
          <w:tcPr>
            <w:tcW w:w="300" w:type="pct"/>
            <w:shd w:val="clear" w:color="auto" w:fill="auto"/>
          </w:tcPr>
          <w:p w14:paraId="6DA0B51E" w14:textId="77777777" w:rsidR="00B92E41" w:rsidRPr="003F4D72" w:rsidRDefault="00B92E41" w:rsidP="00436DF9">
            <w:pPr>
              <w:spacing w:after="0" w:line="240" w:lineRule="auto"/>
              <w:jc w:val="center"/>
              <w:rPr>
                <w:rFonts w:asciiTheme="majorHAnsi" w:eastAsia="Times New Roman" w:hAnsiTheme="majorHAnsi" w:cstheme="majorHAnsi"/>
                <w:b/>
                <w:sz w:val="18"/>
                <w:szCs w:val="18"/>
              </w:rPr>
            </w:pPr>
          </w:p>
        </w:tc>
        <w:tc>
          <w:tcPr>
            <w:tcW w:w="301" w:type="pct"/>
            <w:shd w:val="clear" w:color="auto" w:fill="auto"/>
          </w:tcPr>
          <w:p w14:paraId="49512E0B" w14:textId="77777777" w:rsidR="00B92E41" w:rsidRPr="003F4D72" w:rsidRDefault="00B92E41" w:rsidP="00436DF9">
            <w:pPr>
              <w:spacing w:after="0" w:line="240" w:lineRule="auto"/>
              <w:jc w:val="center"/>
              <w:rPr>
                <w:rFonts w:asciiTheme="majorHAnsi" w:eastAsia="Times New Roman" w:hAnsiTheme="majorHAnsi" w:cstheme="majorHAnsi"/>
                <w:b/>
                <w:sz w:val="18"/>
                <w:szCs w:val="18"/>
              </w:rPr>
            </w:pPr>
          </w:p>
        </w:tc>
        <w:tc>
          <w:tcPr>
            <w:tcW w:w="334" w:type="pct"/>
          </w:tcPr>
          <w:p w14:paraId="4A60366F" w14:textId="77777777" w:rsidR="00B92E41" w:rsidRPr="003F4D72" w:rsidRDefault="00B92E41" w:rsidP="00436DF9">
            <w:pPr>
              <w:spacing w:after="0" w:line="240" w:lineRule="auto"/>
              <w:jc w:val="center"/>
              <w:rPr>
                <w:rFonts w:asciiTheme="majorHAnsi" w:eastAsia="Times New Roman" w:hAnsiTheme="majorHAnsi" w:cstheme="majorHAnsi"/>
                <w:b/>
                <w:bCs/>
                <w:iCs/>
                <w:sz w:val="18"/>
                <w:szCs w:val="18"/>
              </w:rPr>
            </w:pPr>
            <w:r w:rsidRPr="003F4D72">
              <w:rPr>
                <w:rFonts w:asciiTheme="majorHAnsi" w:eastAsia="Times New Roman" w:hAnsiTheme="majorHAnsi" w:cstheme="majorHAnsi"/>
                <w:b/>
                <w:bCs/>
                <w:iCs/>
                <w:sz w:val="18"/>
                <w:szCs w:val="18"/>
              </w:rPr>
              <w:t>V</w:t>
            </w:r>
          </w:p>
        </w:tc>
      </w:tr>
      <w:tr w:rsidR="00B92E41" w:rsidRPr="003F4D72" w14:paraId="37D918A3" w14:textId="77777777" w:rsidTr="00436DF9">
        <w:trPr>
          <w:trHeight w:val="20"/>
        </w:trPr>
        <w:tc>
          <w:tcPr>
            <w:tcW w:w="202" w:type="pct"/>
            <w:shd w:val="clear" w:color="auto" w:fill="auto"/>
            <w:noWrap/>
            <w:vAlign w:val="center"/>
          </w:tcPr>
          <w:p w14:paraId="0DFB1F07" w14:textId="77777777" w:rsidR="00B92E41" w:rsidRPr="003F4D72" w:rsidRDefault="00B92E41" w:rsidP="00436DF9">
            <w:pPr>
              <w:spacing w:after="0" w:line="240" w:lineRule="auto"/>
              <w:jc w:val="center"/>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3</w:t>
            </w:r>
          </w:p>
        </w:tc>
        <w:tc>
          <w:tcPr>
            <w:tcW w:w="972" w:type="pct"/>
            <w:shd w:val="clear" w:color="auto" w:fill="auto"/>
          </w:tcPr>
          <w:p w14:paraId="75E1FA66" w14:textId="77777777" w:rsidR="00B92E41" w:rsidRPr="003F4D72" w:rsidRDefault="00B92E41" w:rsidP="003F4D7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asigurarea includerii în cadrul Comisiei de monitorizare a proiectelor investiționale a personalului cu competențe în domeniul tehnic, pentru evaluarea nivelului de realizare a proiectelor investiționale și justificarea alocării mijloacelor financiare</w:t>
            </w:r>
          </w:p>
        </w:tc>
        <w:tc>
          <w:tcPr>
            <w:tcW w:w="2890" w:type="pct"/>
            <w:shd w:val="clear" w:color="auto" w:fill="auto"/>
          </w:tcPr>
          <w:p w14:paraId="7950175C" w14:textId="0F3508CC" w:rsidR="00B92E41" w:rsidRPr="003F4D72" w:rsidRDefault="00B92E41" w:rsidP="0053208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La data de 23 martie 2021 CNAM a contractat servicii de supraveghere tehnică a calității lucrărilor de reparație din cadrul proiectelor investiționale ale CNAM</w:t>
            </w:r>
          </w:p>
        </w:tc>
        <w:tc>
          <w:tcPr>
            <w:tcW w:w="300" w:type="pct"/>
            <w:shd w:val="clear" w:color="auto" w:fill="auto"/>
          </w:tcPr>
          <w:p w14:paraId="109D0B74" w14:textId="77777777" w:rsidR="00B92E41" w:rsidRPr="003F4D72" w:rsidRDefault="00B92E41" w:rsidP="00436DF9">
            <w:pPr>
              <w:spacing w:after="0" w:line="240" w:lineRule="auto"/>
              <w:jc w:val="center"/>
              <w:rPr>
                <w:rFonts w:asciiTheme="majorHAnsi" w:eastAsia="Times New Roman" w:hAnsiTheme="majorHAnsi" w:cstheme="majorHAnsi"/>
                <w:b/>
                <w:sz w:val="18"/>
                <w:szCs w:val="18"/>
              </w:rPr>
            </w:pPr>
            <w:r w:rsidRPr="003F4D72">
              <w:rPr>
                <w:rFonts w:asciiTheme="majorHAnsi" w:eastAsia="Times New Roman" w:hAnsiTheme="majorHAnsi" w:cstheme="majorHAnsi"/>
                <w:b/>
                <w:sz w:val="18"/>
                <w:szCs w:val="18"/>
              </w:rPr>
              <w:t>V</w:t>
            </w:r>
          </w:p>
        </w:tc>
        <w:tc>
          <w:tcPr>
            <w:tcW w:w="301" w:type="pct"/>
            <w:shd w:val="clear" w:color="auto" w:fill="auto"/>
          </w:tcPr>
          <w:p w14:paraId="73CD0B53" w14:textId="77777777" w:rsidR="00B92E41" w:rsidRPr="003F4D72" w:rsidRDefault="00B92E41" w:rsidP="00436DF9">
            <w:pPr>
              <w:spacing w:after="0" w:line="240" w:lineRule="auto"/>
              <w:jc w:val="center"/>
              <w:rPr>
                <w:rFonts w:asciiTheme="majorHAnsi" w:eastAsia="Times New Roman" w:hAnsiTheme="majorHAnsi" w:cstheme="majorHAnsi"/>
                <w:b/>
                <w:sz w:val="18"/>
                <w:szCs w:val="18"/>
              </w:rPr>
            </w:pPr>
          </w:p>
        </w:tc>
        <w:tc>
          <w:tcPr>
            <w:tcW w:w="334" w:type="pct"/>
          </w:tcPr>
          <w:p w14:paraId="1C38531C" w14:textId="77777777" w:rsidR="00B92E41" w:rsidRPr="003F4D72" w:rsidRDefault="00B92E41" w:rsidP="00436DF9">
            <w:pPr>
              <w:spacing w:after="0" w:line="240" w:lineRule="auto"/>
              <w:jc w:val="center"/>
              <w:rPr>
                <w:rFonts w:asciiTheme="majorHAnsi" w:eastAsia="Times New Roman" w:hAnsiTheme="majorHAnsi" w:cstheme="majorHAnsi"/>
                <w:b/>
                <w:bCs/>
                <w:iCs/>
                <w:sz w:val="18"/>
                <w:szCs w:val="18"/>
              </w:rPr>
            </w:pPr>
          </w:p>
        </w:tc>
      </w:tr>
      <w:tr w:rsidR="00B92E41" w:rsidRPr="003F4D72" w14:paraId="3C7184CC" w14:textId="77777777" w:rsidTr="00436DF9">
        <w:trPr>
          <w:trHeight w:val="20"/>
        </w:trPr>
        <w:tc>
          <w:tcPr>
            <w:tcW w:w="202" w:type="pct"/>
            <w:shd w:val="clear" w:color="auto" w:fill="auto"/>
            <w:noWrap/>
            <w:vAlign w:val="center"/>
          </w:tcPr>
          <w:p w14:paraId="1E92F949"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4</w:t>
            </w:r>
          </w:p>
        </w:tc>
        <w:tc>
          <w:tcPr>
            <w:tcW w:w="972" w:type="pct"/>
            <w:shd w:val="clear" w:color="auto" w:fill="auto"/>
          </w:tcPr>
          <w:p w14:paraId="077237B8" w14:textId="77777777" w:rsidR="00B92E41" w:rsidRPr="003F4D72" w:rsidRDefault="00B92E41" w:rsidP="003F4D7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 xml:space="preserve">asigurarea acceptării proiectelor investiționale de la </w:t>
            </w:r>
            <w:r w:rsidRPr="003F4D72">
              <w:rPr>
                <w:rFonts w:asciiTheme="majorHAnsi" w:eastAsia="Times New Roman" w:hAnsiTheme="majorHAnsi" w:cstheme="majorHAnsi"/>
                <w:bCs/>
                <w:i/>
                <w:iCs/>
                <w:sz w:val="18"/>
                <w:szCs w:val="18"/>
              </w:rPr>
              <w:lastRenderedPageBreak/>
              <w:t>instituțiile medicale, ce ar conține proiecte de lucrări și construcții aprobate, verificate în conformitate cu normele legale</w:t>
            </w:r>
          </w:p>
        </w:tc>
        <w:tc>
          <w:tcPr>
            <w:tcW w:w="2890" w:type="pct"/>
            <w:shd w:val="clear" w:color="auto" w:fill="auto"/>
          </w:tcPr>
          <w:p w14:paraId="43D04B49" w14:textId="009F32FC" w:rsidR="00B92E41" w:rsidRPr="003F4D72" w:rsidRDefault="00B92E41" w:rsidP="0053208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lastRenderedPageBreak/>
              <w:t xml:space="preserve">CNAM a modificat „Regulamentul cu privire la criteriile modalitatea de selectare și derulare a proiectelor investiționale finanțate din fondul de dezvoltare și modernizare a prestatorilor publici de </w:t>
            </w:r>
            <w:r w:rsidRPr="003F4D72">
              <w:rPr>
                <w:rFonts w:asciiTheme="majorHAnsi" w:eastAsia="Times New Roman" w:hAnsiTheme="majorHAnsi" w:cstheme="majorHAnsi"/>
                <w:bCs/>
                <w:i/>
                <w:iCs/>
                <w:sz w:val="18"/>
                <w:szCs w:val="18"/>
              </w:rPr>
              <w:lastRenderedPageBreak/>
              <w:t>servicii medicale”, aprobat prin Ordinul comun al MSMPS și CNAM nr. 729/495-A din 22.09.2016, în sensul includerii în condițiile de eligibilitate pentru participare la concursul proiectelor investiționale a unei noi condiții de eligibilitate privind prezentarea proiectului tehnic, verificat și aprobat, în conformitate cu normele legale, în cazul proiectelor ce presupun lucrări de construcții și reparații capitale</w:t>
            </w:r>
          </w:p>
        </w:tc>
        <w:tc>
          <w:tcPr>
            <w:tcW w:w="300" w:type="pct"/>
            <w:shd w:val="clear" w:color="auto" w:fill="auto"/>
          </w:tcPr>
          <w:p w14:paraId="28E50743"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p>
        </w:tc>
        <w:tc>
          <w:tcPr>
            <w:tcW w:w="301" w:type="pct"/>
            <w:shd w:val="clear" w:color="auto" w:fill="auto"/>
          </w:tcPr>
          <w:p w14:paraId="755463B6" w14:textId="77777777" w:rsidR="00B92E41" w:rsidRPr="003F4D72" w:rsidRDefault="00B92E41" w:rsidP="003F4D72">
            <w:pPr>
              <w:spacing w:after="0" w:line="240" w:lineRule="auto"/>
              <w:jc w:val="both"/>
              <w:rPr>
                <w:rFonts w:asciiTheme="majorHAnsi" w:eastAsia="Times New Roman" w:hAnsiTheme="majorHAnsi" w:cstheme="majorHAnsi"/>
                <w:sz w:val="18"/>
                <w:szCs w:val="18"/>
              </w:rPr>
            </w:pPr>
            <w:r w:rsidRPr="003F4D72">
              <w:rPr>
                <w:rFonts w:asciiTheme="majorHAnsi" w:eastAsia="Times New Roman" w:hAnsiTheme="majorHAnsi" w:cstheme="majorHAnsi"/>
                <w:b/>
                <w:sz w:val="18"/>
                <w:szCs w:val="18"/>
              </w:rPr>
              <w:t>V</w:t>
            </w:r>
          </w:p>
        </w:tc>
        <w:tc>
          <w:tcPr>
            <w:tcW w:w="334" w:type="pct"/>
            <w:shd w:val="clear" w:color="auto" w:fill="auto"/>
          </w:tcPr>
          <w:p w14:paraId="41823D2B"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p>
        </w:tc>
      </w:tr>
      <w:tr w:rsidR="00B92E41" w:rsidRPr="003F4D72" w14:paraId="351692C4" w14:textId="77777777" w:rsidTr="00436DF9">
        <w:trPr>
          <w:trHeight w:val="20"/>
        </w:trPr>
        <w:tc>
          <w:tcPr>
            <w:tcW w:w="202" w:type="pct"/>
            <w:shd w:val="clear" w:color="auto" w:fill="auto"/>
            <w:noWrap/>
            <w:vAlign w:val="center"/>
          </w:tcPr>
          <w:p w14:paraId="6A004858"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5</w:t>
            </w:r>
          </w:p>
        </w:tc>
        <w:tc>
          <w:tcPr>
            <w:tcW w:w="972" w:type="pct"/>
            <w:shd w:val="clear" w:color="auto" w:fill="auto"/>
          </w:tcPr>
          <w:p w14:paraId="27E447B0" w14:textId="77777777" w:rsidR="00B92E41" w:rsidRPr="003F4D72" w:rsidRDefault="00B92E41" w:rsidP="003F4D7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monitorizarea și controlul realizării contractelor de achiziție a serviciilor medicale, gestionării resurselor financiare alocate, asigurării revizuirii și ajustării cadrului de raportare a instituțiilor medicale, în condițiile realizării serviciilor medicale supra contract;</w:t>
            </w:r>
          </w:p>
        </w:tc>
        <w:tc>
          <w:tcPr>
            <w:tcW w:w="2890" w:type="pct"/>
            <w:shd w:val="clear" w:color="auto" w:fill="auto"/>
          </w:tcPr>
          <w:p w14:paraId="7B9EFE1B" w14:textId="28EB78D8" w:rsidR="00B92E41" w:rsidRPr="003F4D72" w:rsidRDefault="00B92E41" w:rsidP="0053208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 xml:space="preserve">La moment se elaborează proiectul de ordin comun al MSMPS </w:t>
            </w:r>
            <w:proofErr w:type="spellStart"/>
            <w:r w:rsidRPr="003F4D72">
              <w:rPr>
                <w:rFonts w:asciiTheme="majorHAnsi" w:eastAsia="Times New Roman" w:hAnsiTheme="majorHAnsi" w:cstheme="majorHAnsi"/>
                <w:bCs/>
                <w:i/>
                <w:iCs/>
                <w:sz w:val="18"/>
                <w:szCs w:val="18"/>
              </w:rPr>
              <w:t>şi</w:t>
            </w:r>
            <w:proofErr w:type="spellEnd"/>
            <w:r w:rsidRPr="003F4D72">
              <w:rPr>
                <w:rFonts w:asciiTheme="majorHAnsi" w:eastAsia="Times New Roman" w:hAnsiTheme="majorHAnsi" w:cstheme="majorHAnsi"/>
                <w:bCs/>
                <w:i/>
                <w:iCs/>
                <w:sz w:val="18"/>
                <w:szCs w:val="18"/>
              </w:rPr>
              <w:t xml:space="preserve"> CNAM privind aprobarea Criteriilor de contractare a prestatorilor de servicii medicale pentru anul 2021. (Publicat în monitorul oficial la data de 22.01.2021)</w:t>
            </w:r>
            <w:r w:rsidR="00532082" w:rsidRPr="003F4D72">
              <w:rPr>
                <w:rFonts w:asciiTheme="majorHAnsi" w:eastAsia="Times New Roman" w:hAnsiTheme="majorHAnsi" w:cstheme="majorHAnsi"/>
                <w:bCs/>
                <w:i/>
                <w:iCs/>
                <w:sz w:val="18"/>
                <w:szCs w:val="18"/>
              </w:rPr>
              <w:t>.</w:t>
            </w:r>
          </w:p>
          <w:p w14:paraId="1D87437A" w14:textId="4C2EDDC7" w:rsidR="00B92E41" w:rsidRPr="003F4D72" w:rsidRDefault="00B92E41" w:rsidP="00532082">
            <w:pPr>
              <w:spacing w:after="0" w:line="240" w:lineRule="auto"/>
              <w:jc w:val="both"/>
              <w:rPr>
                <w:rFonts w:asciiTheme="majorHAnsi" w:eastAsia="Times New Roman" w:hAnsiTheme="majorHAnsi" w:cstheme="majorHAnsi"/>
                <w:bCs/>
                <w:i/>
                <w:iCs/>
                <w:sz w:val="18"/>
                <w:szCs w:val="18"/>
              </w:rPr>
            </w:pPr>
            <w:r w:rsidRPr="003F4D72">
              <w:rPr>
                <w:rFonts w:asciiTheme="majorHAnsi" w:eastAsia="Times New Roman" w:hAnsiTheme="majorHAnsi" w:cstheme="majorHAnsi"/>
                <w:bCs/>
                <w:i/>
                <w:iCs/>
                <w:sz w:val="18"/>
                <w:szCs w:val="18"/>
              </w:rPr>
              <w:t xml:space="preserve">După aprobarea Criteriilor de contractare a prestatorilor de servicii medicale pentru anul 2021, la necesitate CNAM va opera modificări </w:t>
            </w:r>
            <w:r w:rsidR="00532082" w:rsidRPr="003F4D72">
              <w:rPr>
                <w:rFonts w:asciiTheme="majorHAnsi" w:eastAsia="Times New Roman" w:hAnsiTheme="majorHAnsi" w:cstheme="majorHAnsi"/>
                <w:bCs/>
                <w:i/>
                <w:iCs/>
                <w:sz w:val="18"/>
                <w:szCs w:val="18"/>
              </w:rPr>
              <w:t>î</w:t>
            </w:r>
            <w:r w:rsidRPr="003F4D72">
              <w:rPr>
                <w:rFonts w:asciiTheme="majorHAnsi" w:eastAsia="Times New Roman" w:hAnsiTheme="majorHAnsi" w:cstheme="majorHAnsi"/>
                <w:bCs/>
                <w:i/>
                <w:iCs/>
                <w:sz w:val="18"/>
                <w:szCs w:val="18"/>
              </w:rPr>
              <w:t xml:space="preserve">n Ordinul comun al MSMPS </w:t>
            </w:r>
            <w:proofErr w:type="spellStart"/>
            <w:r w:rsidRPr="003F4D72">
              <w:rPr>
                <w:rFonts w:asciiTheme="majorHAnsi" w:eastAsia="Times New Roman" w:hAnsiTheme="majorHAnsi" w:cstheme="majorHAnsi"/>
                <w:bCs/>
                <w:i/>
                <w:iCs/>
                <w:sz w:val="18"/>
                <w:szCs w:val="18"/>
              </w:rPr>
              <w:t>şi</w:t>
            </w:r>
            <w:proofErr w:type="spellEnd"/>
            <w:r w:rsidRPr="003F4D72">
              <w:rPr>
                <w:rFonts w:asciiTheme="majorHAnsi" w:eastAsia="Times New Roman" w:hAnsiTheme="majorHAnsi" w:cstheme="majorHAnsi"/>
                <w:bCs/>
                <w:i/>
                <w:iCs/>
                <w:sz w:val="18"/>
                <w:szCs w:val="18"/>
              </w:rPr>
              <w:t xml:space="preserve"> CNAM nr.198/86-A din 17.03.2014 „Cu privire la aprobarea formularelor de evidența medicală primară și dărilor de seamă în cadrul AOAM”</w:t>
            </w:r>
          </w:p>
        </w:tc>
        <w:tc>
          <w:tcPr>
            <w:tcW w:w="300" w:type="pct"/>
            <w:shd w:val="clear" w:color="auto" w:fill="auto"/>
          </w:tcPr>
          <w:p w14:paraId="693467EC"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p>
        </w:tc>
        <w:tc>
          <w:tcPr>
            <w:tcW w:w="301" w:type="pct"/>
            <w:shd w:val="clear" w:color="auto" w:fill="auto"/>
          </w:tcPr>
          <w:p w14:paraId="1A83C950"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r w:rsidRPr="003F4D72">
              <w:rPr>
                <w:rFonts w:asciiTheme="majorHAnsi" w:eastAsia="Times New Roman" w:hAnsiTheme="majorHAnsi" w:cstheme="majorHAnsi"/>
                <w:b/>
                <w:sz w:val="18"/>
                <w:szCs w:val="18"/>
              </w:rPr>
              <w:t>V</w:t>
            </w:r>
          </w:p>
        </w:tc>
        <w:tc>
          <w:tcPr>
            <w:tcW w:w="334" w:type="pct"/>
            <w:shd w:val="clear" w:color="auto" w:fill="auto"/>
          </w:tcPr>
          <w:p w14:paraId="4CCED036"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p>
        </w:tc>
      </w:tr>
      <w:tr w:rsidR="00B92E41" w:rsidRPr="003F4D72" w14:paraId="17D1ECAD" w14:textId="77777777" w:rsidTr="00436DF9">
        <w:trPr>
          <w:trHeight w:val="20"/>
        </w:trPr>
        <w:tc>
          <w:tcPr>
            <w:tcW w:w="202" w:type="pct"/>
            <w:shd w:val="clear" w:color="auto" w:fill="auto"/>
            <w:noWrap/>
            <w:vAlign w:val="center"/>
          </w:tcPr>
          <w:p w14:paraId="3E09394D"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6</w:t>
            </w:r>
          </w:p>
        </w:tc>
        <w:tc>
          <w:tcPr>
            <w:tcW w:w="972" w:type="pct"/>
            <w:shd w:val="clear" w:color="auto" w:fill="auto"/>
          </w:tcPr>
          <w:p w14:paraId="02E81F7C"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elaborarea </w:t>
            </w:r>
            <w:proofErr w:type="spellStart"/>
            <w:r w:rsidRPr="003F4D72">
              <w:rPr>
                <w:rFonts w:asciiTheme="majorHAnsi" w:eastAsia="Times New Roman" w:hAnsiTheme="majorHAnsi" w:cstheme="majorHAnsi"/>
                <w:i/>
                <w:sz w:val="18"/>
                <w:szCs w:val="18"/>
              </w:rPr>
              <w:t>şi</w:t>
            </w:r>
            <w:proofErr w:type="spellEnd"/>
            <w:r w:rsidRPr="003F4D72">
              <w:rPr>
                <w:rFonts w:asciiTheme="majorHAnsi" w:eastAsia="Times New Roman" w:hAnsiTheme="majorHAnsi" w:cstheme="majorHAnsi"/>
                <w:i/>
                <w:sz w:val="18"/>
                <w:szCs w:val="18"/>
              </w:rPr>
              <w:t xml:space="preserve"> aprobarea, în modul stabilit, a criteriilor aferente delimitării </w:t>
            </w:r>
            <w:proofErr w:type="spellStart"/>
            <w:r w:rsidRPr="003F4D72">
              <w:rPr>
                <w:rFonts w:asciiTheme="majorHAnsi" w:eastAsia="Times New Roman" w:hAnsiTheme="majorHAnsi" w:cstheme="majorHAnsi"/>
                <w:i/>
                <w:sz w:val="18"/>
                <w:szCs w:val="18"/>
              </w:rPr>
              <w:t>activităţilor</w:t>
            </w:r>
            <w:proofErr w:type="spellEnd"/>
            <w:r w:rsidRPr="003F4D72">
              <w:rPr>
                <w:rFonts w:asciiTheme="majorHAnsi" w:eastAsia="Times New Roman" w:hAnsiTheme="majorHAnsi" w:cstheme="majorHAnsi"/>
                <w:i/>
                <w:sz w:val="18"/>
                <w:szCs w:val="18"/>
              </w:rPr>
              <w:t xml:space="preserve"> profilactice finanțate din fondul măsurilor de profilaxie de cele finanțate din fondul de bază, cu raportarea realizării indicatorilor aferenți subprogramelor bugetare</w:t>
            </w:r>
          </w:p>
        </w:tc>
        <w:tc>
          <w:tcPr>
            <w:tcW w:w="2890" w:type="pct"/>
            <w:shd w:val="clear" w:color="auto" w:fill="auto"/>
          </w:tcPr>
          <w:p w14:paraId="1E0C89BA" w14:textId="1A59FEAF"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Prin scrisoarea CNAM nr.01-03/1885 din 23.10.2020</w:t>
            </w:r>
            <w:r w:rsidR="0053208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a fost înaintată propunerea privind crearea unui grup de lucru comun cu reprezentanții MSMPS </w:t>
            </w:r>
            <w:r w:rsidR="0053208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scopul elaborării criteriilor aferente delimitării clare a activităților profilactice din fondul măsurilor de profilaxie de cele finanțate din fondul pentru achitarea serviciilor medicale curente (fondul de bază)</w:t>
            </w:r>
          </w:p>
        </w:tc>
        <w:tc>
          <w:tcPr>
            <w:tcW w:w="300" w:type="pct"/>
            <w:shd w:val="clear" w:color="auto" w:fill="auto"/>
          </w:tcPr>
          <w:p w14:paraId="620C6875"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p>
        </w:tc>
        <w:tc>
          <w:tcPr>
            <w:tcW w:w="301" w:type="pct"/>
            <w:shd w:val="clear" w:color="auto" w:fill="auto"/>
          </w:tcPr>
          <w:p w14:paraId="111030B7"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34" w:type="pct"/>
          </w:tcPr>
          <w:p w14:paraId="352998A6"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V</w:t>
            </w:r>
          </w:p>
        </w:tc>
      </w:tr>
      <w:tr w:rsidR="00B92E41" w:rsidRPr="003F4D72" w14:paraId="32A65CA0" w14:textId="77777777" w:rsidTr="00436DF9">
        <w:trPr>
          <w:trHeight w:val="20"/>
        </w:trPr>
        <w:tc>
          <w:tcPr>
            <w:tcW w:w="202" w:type="pct"/>
            <w:shd w:val="clear" w:color="auto" w:fill="FFE599" w:themeFill="accent4" w:themeFillTint="66"/>
            <w:noWrap/>
            <w:vAlign w:val="center"/>
          </w:tcPr>
          <w:p w14:paraId="6B71708D"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863" w:type="pct"/>
            <w:gridSpan w:val="2"/>
            <w:shd w:val="clear" w:color="auto" w:fill="FFE599" w:themeFill="accent4" w:themeFillTint="66"/>
          </w:tcPr>
          <w:p w14:paraId="79F7CAE7"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r w:rsidRPr="003F4D72">
              <w:rPr>
                <w:rFonts w:asciiTheme="majorHAnsi" w:eastAsia="Times New Roman" w:hAnsiTheme="majorHAnsi" w:cstheme="majorHAnsi"/>
                <w:b/>
                <w:bCs/>
                <w:i/>
                <w:iCs/>
                <w:sz w:val="18"/>
                <w:szCs w:val="18"/>
              </w:rPr>
              <w:t>Ministerului Sănătății, Muncii și Protecției Sociale de comun cu Compania Națională de Asigurări în Medicină</w:t>
            </w:r>
          </w:p>
        </w:tc>
        <w:tc>
          <w:tcPr>
            <w:tcW w:w="300" w:type="pct"/>
            <w:shd w:val="clear" w:color="auto" w:fill="FFE599" w:themeFill="accent4" w:themeFillTint="66"/>
          </w:tcPr>
          <w:p w14:paraId="322FFF86" w14:textId="77777777" w:rsidR="00B92E41" w:rsidRPr="003F4D72" w:rsidRDefault="00B92E41" w:rsidP="003F4D72">
            <w:pPr>
              <w:spacing w:after="0" w:line="240" w:lineRule="auto"/>
              <w:jc w:val="both"/>
              <w:rPr>
                <w:rFonts w:asciiTheme="majorHAnsi" w:eastAsia="Times New Roman" w:hAnsiTheme="majorHAnsi" w:cstheme="majorHAnsi"/>
                <w:sz w:val="18"/>
                <w:szCs w:val="18"/>
              </w:rPr>
            </w:pPr>
          </w:p>
        </w:tc>
        <w:tc>
          <w:tcPr>
            <w:tcW w:w="301" w:type="pct"/>
            <w:shd w:val="clear" w:color="auto" w:fill="FFE599" w:themeFill="accent4" w:themeFillTint="66"/>
          </w:tcPr>
          <w:p w14:paraId="766A780A" w14:textId="77777777" w:rsidR="00B92E41" w:rsidRPr="003F4D72" w:rsidRDefault="00B92E41" w:rsidP="003F4D72">
            <w:pPr>
              <w:spacing w:after="0" w:line="240" w:lineRule="auto"/>
              <w:jc w:val="both"/>
              <w:rPr>
                <w:rFonts w:asciiTheme="majorHAnsi" w:eastAsia="Times New Roman" w:hAnsiTheme="majorHAnsi" w:cstheme="majorHAnsi"/>
                <w:sz w:val="18"/>
                <w:szCs w:val="18"/>
              </w:rPr>
            </w:pPr>
          </w:p>
        </w:tc>
        <w:tc>
          <w:tcPr>
            <w:tcW w:w="334" w:type="pct"/>
            <w:shd w:val="clear" w:color="auto" w:fill="FFE599" w:themeFill="accent4" w:themeFillTint="66"/>
          </w:tcPr>
          <w:p w14:paraId="6D8C18F5" w14:textId="77777777" w:rsidR="00B92E41" w:rsidRPr="003F4D72" w:rsidRDefault="00B92E41" w:rsidP="003F4D72">
            <w:pPr>
              <w:spacing w:after="0" w:line="240" w:lineRule="auto"/>
              <w:jc w:val="both"/>
              <w:rPr>
                <w:rFonts w:asciiTheme="majorHAnsi" w:eastAsia="Times New Roman" w:hAnsiTheme="majorHAnsi" w:cstheme="majorHAnsi"/>
                <w:sz w:val="18"/>
                <w:szCs w:val="18"/>
              </w:rPr>
            </w:pPr>
          </w:p>
        </w:tc>
      </w:tr>
      <w:tr w:rsidR="00B92E41" w:rsidRPr="003F4D72" w14:paraId="2BA7B88D" w14:textId="77777777" w:rsidTr="00436DF9">
        <w:trPr>
          <w:trHeight w:val="20"/>
        </w:trPr>
        <w:tc>
          <w:tcPr>
            <w:tcW w:w="202" w:type="pct"/>
            <w:shd w:val="clear" w:color="auto" w:fill="auto"/>
            <w:noWrap/>
            <w:vAlign w:val="center"/>
          </w:tcPr>
          <w:p w14:paraId="333C3613"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7</w:t>
            </w:r>
          </w:p>
        </w:tc>
        <w:tc>
          <w:tcPr>
            <w:tcW w:w="972" w:type="pct"/>
            <w:shd w:val="clear" w:color="auto" w:fill="auto"/>
          </w:tcPr>
          <w:p w14:paraId="27F3497A"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asigurarea evaluării părților componente ale cheltuielilor aferente serviciilor medicale prestate de instituțiile medicale, cu aprobarea tarifelor în baza calculelor justificative </w:t>
            </w:r>
            <w:proofErr w:type="spellStart"/>
            <w:r w:rsidRPr="003F4D72">
              <w:rPr>
                <w:rFonts w:asciiTheme="majorHAnsi" w:eastAsia="Times New Roman" w:hAnsiTheme="majorHAnsi" w:cstheme="majorHAnsi"/>
                <w:i/>
                <w:sz w:val="18"/>
                <w:szCs w:val="18"/>
              </w:rPr>
              <w:t>şi</w:t>
            </w:r>
            <w:proofErr w:type="spellEnd"/>
            <w:r w:rsidRPr="003F4D72">
              <w:rPr>
                <w:rFonts w:asciiTheme="majorHAnsi" w:eastAsia="Times New Roman" w:hAnsiTheme="majorHAnsi" w:cstheme="majorHAnsi"/>
                <w:i/>
                <w:sz w:val="18"/>
                <w:szCs w:val="18"/>
              </w:rPr>
              <w:t xml:space="preserve"> echitabile, reieșind din domeniul, specificul </w:t>
            </w:r>
            <w:proofErr w:type="spellStart"/>
            <w:r w:rsidRPr="003F4D72">
              <w:rPr>
                <w:rFonts w:asciiTheme="majorHAnsi" w:eastAsia="Times New Roman" w:hAnsiTheme="majorHAnsi" w:cstheme="majorHAnsi"/>
                <w:i/>
                <w:sz w:val="18"/>
                <w:szCs w:val="18"/>
              </w:rPr>
              <w:t>şi</w:t>
            </w:r>
            <w:proofErr w:type="spellEnd"/>
            <w:r w:rsidRPr="003F4D72">
              <w:rPr>
                <w:rFonts w:asciiTheme="majorHAnsi" w:eastAsia="Times New Roman" w:hAnsiTheme="majorHAnsi" w:cstheme="majorHAnsi"/>
                <w:i/>
                <w:sz w:val="18"/>
                <w:szCs w:val="18"/>
              </w:rPr>
              <w:t xml:space="preserve"> nivelurile instituțiilor medicale</w:t>
            </w:r>
          </w:p>
        </w:tc>
        <w:tc>
          <w:tcPr>
            <w:tcW w:w="2890" w:type="pct"/>
            <w:shd w:val="clear" w:color="auto" w:fill="auto"/>
          </w:tcPr>
          <w:p w14:paraId="3B56873E" w14:textId="76DB3D5E"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Prin Ordinul MSMPS și CNAM nr.08/02-A din 03.01.2020</w:t>
            </w:r>
            <w:r w:rsidR="00487ABA"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a fost constituit grupul de lucru inter-instituțional pentru </w:t>
            </w:r>
            <w:proofErr w:type="spellStart"/>
            <w:r w:rsidRPr="003F4D72">
              <w:rPr>
                <w:rFonts w:asciiTheme="majorHAnsi" w:eastAsia="Times New Roman" w:hAnsiTheme="majorHAnsi" w:cstheme="majorHAnsi"/>
                <w:i/>
                <w:sz w:val="18"/>
                <w:szCs w:val="18"/>
              </w:rPr>
              <w:t>costificarea</w:t>
            </w:r>
            <w:proofErr w:type="spellEnd"/>
            <w:r w:rsidRPr="003F4D72">
              <w:rPr>
                <w:rFonts w:asciiTheme="majorHAnsi" w:eastAsia="Times New Roman" w:hAnsiTheme="majorHAnsi" w:cstheme="majorHAnsi"/>
                <w:i/>
                <w:sz w:val="18"/>
                <w:szCs w:val="18"/>
              </w:rPr>
              <w:t xml:space="preserve"> Unităților de Primi</w:t>
            </w:r>
            <w:r w:rsidR="00487ABA" w:rsidRPr="003F4D72">
              <w:rPr>
                <w:rFonts w:asciiTheme="majorHAnsi" w:eastAsia="Times New Roman" w:hAnsiTheme="majorHAnsi" w:cstheme="majorHAnsi"/>
                <w:i/>
                <w:sz w:val="18"/>
                <w:szCs w:val="18"/>
              </w:rPr>
              <w:t>ri</w:t>
            </w:r>
            <w:r w:rsidRPr="003F4D72">
              <w:rPr>
                <w:rFonts w:asciiTheme="majorHAnsi" w:eastAsia="Times New Roman" w:hAnsiTheme="majorHAnsi" w:cstheme="majorHAnsi"/>
                <w:i/>
                <w:sz w:val="18"/>
                <w:szCs w:val="18"/>
              </w:rPr>
              <w:t xml:space="preserve"> Urgențe</w:t>
            </w:r>
            <w:r w:rsidR="00815A71" w:rsidRPr="003F4D72">
              <w:rPr>
                <w:rFonts w:asciiTheme="majorHAnsi" w:eastAsia="Times New Roman" w:hAnsiTheme="majorHAnsi" w:cstheme="majorHAnsi"/>
                <w:i/>
                <w:sz w:val="18"/>
                <w:szCs w:val="18"/>
              </w:rPr>
              <w:t xml:space="preserve"> </w:t>
            </w:r>
            <w:r w:rsidRPr="003F4D72">
              <w:rPr>
                <w:rFonts w:asciiTheme="majorHAnsi" w:eastAsia="Times New Roman" w:hAnsiTheme="majorHAnsi" w:cstheme="majorHAnsi"/>
                <w:i/>
                <w:sz w:val="18"/>
                <w:szCs w:val="18"/>
              </w:rPr>
              <w:t>(UPU). Totodată, a fost elaborat si examinat în cadrul grupului de lucru proiectul</w:t>
            </w:r>
            <w:r w:rsidR="00815A71" w:rsidRPr="003F4D72">
              <w:rPr>
                <w:rFonts w:asciiTheme="majorHAnsi" w:eastAsia="Times New Roman" w:hAnsiTheme="majorHAnsi" w:cstheme="majorHAnsi"/>
                <w:i/>
                <w:sz w:val="18"/>
                <w:szCs w:val="18"/>
              </w:rPr>
              <w:t xml:space="preserve"> </w:t>
            </w:r>
            <w:r w:rsidRPr="003F4D72">
              <w:rPr>
                <w:rFonts w:asciiTheme="majorHAnsi" w:eastAsia="Times New Roman" w:hAnsiTheme="majorHAnsi" w:cstheme="majorHAnsi"/>
                <w:i/>
                <w:sz w:val="18"/>
                <w:szCs w:val="18"/>
              </w:rPr>
              <w:t xml:space="preserve">metodologiei de </w:t>
            </w:r>
            <w:proofErr w:type="spellStart"/>
            <w:r w:rsidRPr="003F4D72">
              <w:rPr>
                <w:rFonts w:asciiTheme="majorHAnsi" w:eastAsia="Times New Roman" w:hAnsiTheme="majorHAnsi" w:cstheme="majorHAnsi"/>
                <w:i/>
                <w:sz w:val="18"/>
                <w:szCs w:val="18"/>
              </w:rPr>
              <w:t>costificare</w:t>
            </w:r>
            <w:proofErr w:type="spellEnd"/>
            <w:r w:rsidRPr="003F4D72">
              <w:rPr>
                <w:rFonts w:asciiTheme="majorHAnsi" w:eastAsia="Times New Roman" w:hAnsiTheme="majorHAnsi" w:cstheme="majorHAnsi"/>
                <w:i/>
                <w:sz w:val="18"/>
                <w:szCs w:val="18"/>
              </w:rPr>
              <w:t xml:space="preserve"> UPU în baza datelor colectate de la IMS de către expertul OMS.</w:t>
            </w:r>
          </w:p>
          <w:p w14:paraId="018F18AA" w14:textId="77777777" w:rsidR="00B92E41" w:rsidRPr="003F4D72" w:rsidRDefault="00B92E41" w:rsidP="00C2611E">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Prin Ordinul MSMPS nr.1026 din 05.11.2020, a fost creat grupul de lucru pentru evaluarea instituțiilor medico-sanitare publice spitalicești, care să stea la baza </w:t>
            </w:r>
            <w:proofErr w:type="spellStart"/>
            <w:r w:rsidRPr="003F4D72">
              <w:rPr>
                <w:rFonts w:asciiTheme="majorHAnsi" w:eastAsia="Times New Roman" w:hAnsiTheme="majorHAnsi" w:cstheme="majorHAnsi"/>
                <w:i/>
                <w:sz w:val="18"/>
                <w:szCs w:val="18"/>
              </w:rPr>
              <w:t>costificării</w:t>
            </w:r>
            <w:proofErr w:type="spellEnd"/>
            <w:r w:rsidRPr="003F4D72">
              <w:rPr>
                <w:rFonts w:asciiTheme="majorHAnsi" w:eastAsia="Times New Roman" w:hAnsiTheme="majorHAnsi" w:cstheme="majorHAnsi"/>
                <w:i/>
                <w:sz w:val="18"/>
                <w:szCs w:val="18"/>
              </w:rPr>
              <w:t xml:space="preserve"> serviciilor medicale.</w:t>
            </w:r>
          </w:p>
          <w:p w14:paraId="69B1DBA4" w14:textId="77777777"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Astfel, grupul creat a colectat de comun cu expertul OMS datele privind activitatea IMS în contextul </w:t>
            </w:r>
            <w:proofErr w:type="spellStart"/>
            <w:r w:rsidRPr="003F4D72">
              <w:rPr>
                <w:rFonts w:asciiTheme="majorHAnsi" w:eastAsia="Times New Roman" w:hAnsiTheme="majorHAnsi" w:cstheme="majorHAnsi"/>
                <w:i/>
                <w:sz w:val="18"/>
                <w:szCs w:val="18"/>
              </w:rPr>
              <w:t>clasterizării</w:t>
            </w:r>
            <w:proofErr w:type="spellEnd"/>
            <w:r w:rsidRPr="003F4D72">
              <w:rPr>
                <w:rFonts w:asciiTheme="majorHAnsi" w:eastAsia="Times New Roman" w:hAnsiTheme="majorHAnsi" w:cstheme="majorHAnsi"/>
                <w:i/>
                <w:sz w:val="18"/>
                <w:szCs w:val="18"/>
              </w:rPr>
              <w:t xml:space="preserve"> IMS. Prin urmare, au fost sistematizate la prima etapă datele obținute în rezultatul completării chestionarului de evaluare de către IMSP. Au fost stabilite acțiunile pe termen scurt și mediu care necesită a fi întreprinse în scopul </w:t>
            </w:r>
            <w:proofErr w:type="spellStart"/>
            <w:r w:rsidRPr="003F4D72">
              <w:rPr>
                <w:rFonts w:asciiTheme="majorHAnsi" w:eastAsia="Times New Roman" w:hAnsiTheme="majorHAnsi" w:cstheme="majorHAnsi"/>
                <w:i/>
                <w:sz w:val="18"/>
                <w:szCs w:val="18"/>
              </w:rPr>
              <w:t>costificării</w:t>
            </w:r>
            <w:proofErr w:type="spellEnd"/>
            <w:r w:rsidRPr="003F4D72">
              <w:rPr>
                <w:rFonts w:asciiTheme="majorHAnsi" w:eastAsia="Times New Roman" w:hAnsiTheme="majorHAnsi" w:cstheme="majorHAnsi"/>
                <w:i/>
                <w:sz w:val="18"/>
                <w:szCs w:val="18"/>
              </w:rPr>
              <w:t xml:space="preserve"> serviciilor medicale.</w:t>
            </w:r>
          </w:p>
          <w:p w14:paraId="67441106" w14:textId="263C813D"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În comun cu MSMPS a fost elaborat proiectul ordinului privind crearea unui grup de lucru comun între MSMPS și CNAM cu privire la ajustarea valorilor relative și a tarifelor pentru metoda de plată a spitalelor DRG (Case-</w:t>
            </w:r>
            <w:proofErr w:type="spellStart"/>
            <w:r w:rsidRPr="003F4D72">
              <w:rPr>
                <w:rFonts w:asciiTheme="majorHAnsi" w:eastAsia="Times New Roman" w:hAnsiTheme="majorHAnsi" w:cstheme="majorHAnsi"/>
                <w:i/>
                <w:sz w:val="18"/>
                <w:szCs w:val="18"/>
              </w:rPr>
              <w:t>Mix</w:t>
            </w:r>
            <w:proofErr w:type="spellEnd"/>
            <w:r w:rsidRPr="003F4D72">
              <w:rPr>
                <w:rFonts w:asciiTheme="majorHAnsi" w:eastAsia="Times New Roman" w:hAnsiTheme="majorHAnsi" w:cstheme="majorHAnsi"/>
                <w:i/>
                <w:sz w:val="18"/>
                <w:szCs w:val="18"/>
              </w:rPr>
              <w:t>). Conform prevederilor ordinului menționat, CNAM</w:t>
            </w:r>
            <w:r w:rsidR="00C2611E"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cu suportul expertului OMS, va simula în luna decembrie 2020, valorile relative și tarifele de bază pentru finanțarea spitalelor în baza metodei DRG (Case-</w:t>
            </w:r>
            <w:proofErr w:type="spellStart"/>
            <w:r w:rsidRPr="003F4D72">
              <w:rPr>
                <w:rFonts w:asciiTheme="majorHAnsi" w:eastAsia="Times New Roman" w:hAnsiTheme="majorHAnsi" w:cstheme="majorHAnsi"/>
                <w:i/>
                <w:sz w:val="18"/>
                <w:szCs w:val="18"/>
              </w:rPr>
              <w:t>Mix</w:t>
            </w:r>
            <w:proofErr w:type="spellEnd"/>
            <w:r w:rsidRPr="003F4D72">
              <w:rPr>
                <w:rFonts w:asciiTheme="majorHAnsi" w:eastAsia="Times New Roman" w:hAnsiTheme="majorHAnsi" w:cstheme="majorHAnsi"/>
                <w:i/>
                <w:sz w:val="18"/>
                <w:szCs w:val="18"/>
              </w:rPr>
              <w:t>) pentru anul 2021</w:t>
            </w:r>
          </w:p>
        </w:tc>
        <w:tc>
          <w:tcPr>
            <w:tcW w:w="300" w:type="pct"/>
            <w:shd w:val="clear" w:color="auto" w:fill="auto"/>
          </w:tcPr>
          <w:p w14:paraId="394DEE71"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p>
        </w:tc>
        <w:tc>
          <w:tcPr>
            <w:tcW w:w="301" w:type="pct"/>
            <w:shd w:val="clear" w:color="auto" w:fill="auto"/>
          </w:tcPr>
          <w:p w14:paraId="7DC14807"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34" w:type="pct"/>
          </w:tcPr>
          <w:p w14:paraId="7AF532B8" w14:textId="77777777" w:rsidR="00B92E41" w:rsidRPr="003F4D72" w:rsidRDefault="00B92E41" w:rsidP="003F4D72">
            <w:pPr>
              <w:spacing w:after="0" w:line="240" w:lineRule="auto"/>
              <w:jc w:val="both"/>
              <w:rPr>
                <w:rFonts w:asciiTheme="majorHAnsi" w:eastAsia="Times New Roman" w:hAnsiTheme="majorHAnsi" w:cstheme="majorHAnsi"/>
                <w:b/>
                <w:bCs/>
                <w:iCs/>
                <w:sz w:val="18"/>
                <w:szCs w:val="18"/>
              </w:rPr>
            </w:pPr>
            <w:r w:rsidRPr="003F4D72">
              <w:rPr>
                <w:rFonts w:asciiTheme="majorHAnsi" w:eastAsia="Times New Roman" w:hAnsiTheme="majorHAnsi" w:cstheme="majorHAnsi"/>
                <w:b/>
                <w:bCs/>
                <w:iCs/>
                <w:sz w:val="18"/>
                <w:szCs w:val="18"/>
              </w:rPr>
              <w:t>V</w:t>
            </w:r>
          </w:p>
        </w:tc>
      </w:tr>
      <w:tr w:rsidR="00B92E41" w:rsidRPr="003F4D72" w14:paraId="1AC70411" w14:textId="77777777" w:rsidTr="00436DF9">
        <w:trPr>
          <w:trHeight w:val="20"/>
        </w:trPr>
        <w:tc>
          <w:tcPr>
            <w:tcW w:w="202" w:type="pct"/>
            <w:shd w:val="clear" w:color="auto" w:fill="auto"/>
            <w:noWrap/>
            <w:vAlign w:val="center"/>
          </w:tcPr>
          <w:p w14:paraId="5C5FCEDD"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8</w:t>
            </w:r>
          </w:p>
        </w:tc>
        <w:tc>
          <w:tcPr>
            <w:tcW w:w="972" w:type="pct"/>
            <w:shd w:val="clear" w:color="auto" w:fill="auto"/>
          </w:tcPr>
          <w:p w14:paraId="628FE5BA"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evaluarea necesităților și accesului populației la servicii medicale de înaltă performanță</w:t>
            </w:r>
          </w:p>
        </w:tc>
        <w:tc>
          <w:tcPr>
            <w:tcW w:w="2890" w:type="pct"/>
            <w:shd w:val="clear" w:color="auto" w:fill="auto"/>
          </w:tcPr>
          <w:p w14:paraId="456CEA8F" w14:textId="256E0152"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Începând cu 01.11.2020</w:t>
            </w:r>
            <w:r w:rsidR="00C2611E"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a fost pilotat la nivel național Sistemul Informațional „Raportarea și evidența serviciilor medicale”</w:t>
            </w:r>
            <w:r w:rsidR="00C2611E"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w:t>
            </w:r>
            <w:r w:rsidR="00C2611E"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vederea elaborării metodologiei de estimare a accesului la serviciile medicale de înaltă performanță.</w:t>
            </w:r>
          </w:p>
          <w:p w14:paraId="7E6F4F8E" w14:textId="08356E80"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lastRenderedPageBreak/>
              <w:t>În luna decembrie 2020 urmează a fi creat grupul de lucru comun MSMPS și CNAM pentru elaborarea metodologiei de estimare a accesului la servicii medicale de înaltă performanță</w:t>
            </w:r>
          </w:p>
        </w:tc>
        <w:tc>
          <w:tcPr>
            <w:tcW w:w="300" w:type="pct"/>
            <w:shd w:val="clear" w:color="auto" w:fill="auto"/>
          </w:tcPr>
          <w:p w14:paraId="0F4BF21A"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p>
        </w:tc>
        <w:tc>
          <w:tcPr>
            <w:tcW w:w="301" w:type="pct"/>
            <w:shd w:val="clear" w:color="auto" w:fill="auto"/>
          </w:tcPr>
          <w:p w14:paraId="6F937821"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V</w:t>
            </w:r>
          </w:p>
        </w:tc>
        <w:tc>
          <w:tcPr>
            <w:tcW w:w="334" w:type="pct"/>
          </w:tcPr>
          <w:p w14:paraId="07747C08"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r>
      <w:tr w:rsidR="00B92E41" w:rsidRPr="003F4D72" w14:paraId="0681B74D" w14:textId="77777777" w:rsidTr="00436DF9">
        <w:trPr>
          <w:trHeight w:val="20"/>
        </w:trPr>
        <w:tc>
          <w:tcPr>
            <w:tcW w:w="202" w:type="pct"/>
            <w:shd w:val="clear" w:color="auto" w:fill="auto"/>
            <w:noWrap/>
            <w:vAlign w:val="center"/>
          </w:tcPr>
          <w:p w14:paraId="5FF3CCC0"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9</w:t>
            </w:r>
          </w:p>
        </w:tc>
        <w:tc>
          <w:tcPr>
            <w:tcW w:w="972" w:type="pct"/>
            <w:shd w:val="clear" w:color="auto" w:fill="auto"/>
          </w:tcPr>
          <w:p w14:paraId="2702D404"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asigurarea elaborării și aprobării metodologiei de raportare de către instituțiile de profil a volumului de servicii medicale prestate, precum și de determinare/calculare a pacienților unici deserviți pe parcursul anului, în vederea utilizării rezultative a mijloacelor financiare contractate („per </w:t>
            </w:r>
            <w:proofErr w:type="spellStart"/>
            <w:r w:rsidRPr="003F4D72">
              <w:rPr>
                <w:rFonts w:asciiTheme="majorHAnsi" w:eastAsia="Times New Roman" w:hAnsiTheme="majorHAnsi" w:cstheme="majorHAnsi"/>
                <w:i/>
                <w:sz w:val="18"/>
                <w:szCs w:val="18"/>
              </w:rPr>
              <w:t>capita</w:t>
            </w:r>
            <w:proofErr w:type="spellEnd"/>
            <w:r w:rsidRPr="003F4D72">
              <w:rPr>
                <w:rFonts w:asciiTheme="majorHAnsi" w:eastAsia="Times New Roman" w:hAnsiTheme="majorHAnsi" w:cstheme="majorHAnsi"/>
                <w:i/>
                <w:sz w:val="18"/>
                <w:szCs w:val="18"/>
              </w:rPr>
              <w:t>”), achitate și raportate de către CNAM</w:t>
            </w:r>
          </w:p>
        </w:tc>
        <w:tc>
          <w:tcPr>
            <w:tcW w:w="2890" w:type="pct"/>
            <w:shd w:val="clear" w:color="auto" w:fill="auto"/>
          </w:tcPr>
          <w:p w14:paraId="328C775E" w14:textId="04DCD176"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A fost organizată ședința comună cu reprezentanții MSMPS în vederea dezvoltării SIA „AMP”, inclusiv elaborarea unui raport în SIA „AMP” care va determina numărul pacienților unici deserviți pe parcursul anului</w:t>
            </w:r>
          </w:p>
        </w:tc>
        <w:tc>
          <w:tcPr>
            <w:tcW w:w="300" w:type="pct"/>
            <w:shd w:val="clear" w:color="auto" w:fill="auto"/>
          </w:tcPr>
          <w:p w14:paraId="51CC29CA" w14:textId="77777777" w:rsidR="00B92E41" w:rsidRPr="003F4D72" w:rsidRDefault="00B92E41" w:rsidP="003F4D72">
            <w:pPr>
              <w:spacing w:after="0" w:line="240" w:lineRule="auto"/>
              <w:jc w:val="both"/>
              <w:rPr>
                <w:rFonts w:asciiTheme="majorHAnsi" w:eastAsia="Times New Roman" w:hAnsiTheme="majorHAnsi" w:cstheme="majorHAnsi"/>
                <w:b/>
                <w:sz w:val="18"/>
                <w:szCs w:val="18"/>
              </w:rPr>
            </w:pPr>
          </w:p>
        </w:tc>
        <w:tc>
          <w:tcPr>
            <w:tcW w:w="301" w:type="pct"/>
            <w:shd w:val="clear" w:color="auto" w:fill="auto"/>
          </w:tcPr>
          <w:p w14:paraId="206BFFA7"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34" w:type="pct"/>
          </w:tcPr>
          <w:p w14:paraId="6A3B7844"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r w:rsidRPr="003F4D72">
              <w:rPr>
                <w:rFonts w:asciiTheme="majorHAnsi" w:eastAsia="Times New Roman" w:hAnsiTheme="majorHAnsi" w:cstheme="majorHAnsi"/>
                <w:b/>
                <w:bCs/>
                <w:sz w:val="18"/>
                <w:szCs w:val="18"/>
              </w:rPr>
              <w:t>V</w:t>
            </w:r>
          </w:p>
        </w:tc>
      </w:tr>
      <w:tr w:rsidR="00B92E41" w:rsidRPr="003F4D72" w14:paraId="747E2C7E" w14:textId="77777777" w:rsidTr="00436DF9">
        <w:trPr>
          <w:trHeight w:val="20"/>
        </w:trPr>
        <w:tc>
          <w:tcPr>
            <w:tcW w:w="202" w:type="pct"/>
            <w:shd w:val="clear" w:color="auto" w:fill="FFE599" w:themeFill="accent4" w:themeFillTint="66"/>
            <w:noWrap/>
            <w:vAlign w:val="center"/>
          </w:tcPr>
          <w:p w14:paraId="3961BC58"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863" w:type="pct"/>
            <w:gridSpan w:val="2"/>
            <w:shd w:val="clear" w:color="auto" w:fill="FFE599" w:themeFill="accent4" w:themeFillTint="66"/>
          </w:tcPr>
          <w:p w14:paraId="75835EB9"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r w:rsidRPr="003F4D72">
              <w:rPr>
                <w:rFonts w:asciiTheme="majorHAnsi" w:eastAsia="Times New Roman" w:hAnsiTheme="majorHAnsi" w:cstheme="majorHAnsi"/>
                <w:b/>
                <w:bCs/>
                <w:i/>
                <w:iCs/>
                <w:sz w:val="18"/>
                <w:szCs w:val="18"/>
              </w:rPr>
              <w:t>Agenției Naționale pentru Sănătate Publică</w:t>
            </w:r>
          </w:p>
        </w:tc>
        <w:tc>
          <w:tcPr>
            <w:tcW w:w="300" w:type="pct"/>
            <w:shd w:val="clear" w:color="auto" w:fill="FFE599" w:themeFill="accent4" w:themeFillTint="66"/>
          </w:tcPr>
          <w:p w14:paraId="4BD5C87B"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01" w:type="pct"/>
            <w:shd w:val="clear" w:color="auto" w:fill="FFE599" w:themeFill="accent4" w:themeFillTint="66"/>
          </w:tcPr>
          <w:p w14:paraId="6378F877"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34" w:type="pct"/>
            <w:shd w:val="clear" w:color="auto" w:fill="FFE599" w:themeFill="accent4" w:themeFillTint="66"/>
          </w:tcPr>
          <w:p w14:paraId="32E0C8A5"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r>
      <w:tr w:rsidR="00B92E41" w:rsidRPr="003F4D72" w14:paraId="61B78635" w14:textId="77777777" w:rsidTr="00436DF9">
        <w:trPr>
          <w:trHeight w:val="20"/>
        </w:trPr>
        <w:tc>
          <w:tcPr>
            <w:tcW w:w="202" w:type="pct"/>
            <w:shd w:val="clear" w:color="auto" w:fill="auto"/>
            <w:noWrap/>
            <w:vAlign w:val="center"/>
          </w:tcPr>
          <w:p w14:paraId="277DD3B6" w14:textId="77777777" w:rsidR="00B92E41" w:rsidRPr="003F4D72" w:rsidRDefault="00B92E41" w:rsidP="003F4D72">
            <w:pPr>
              <w:spacing w:after="0" w:line="240" w:lineRule="auto"/>
              <w:jc w:val="both"/>
              <w:rPr>
                <w:rFonts w:asciiTheme="majorHAnsi" w:eastAsia="Times New Roman" w:hAnsiTheme="majorHAnsi" w:cstheme="majorHAnsi"/>
                <w:b/>
                <w:bCs/>
                <w:i/>
                <w:sz w:val="18"/>
                <w:szCs w:val="18"/>
              </w:rPr>
            </w:pPr>
            <w:r w:rsidRPr="003F4D72">
              <w:rPr>
                <w:rFonts w:asciiTheme="majorHAnsi" w:eastAsia="Times New Roman" w:hAnsiTheme="majorHAnsi" w:cstheme="majorHAnsi"/>
                <w:b/>
                <w:bCs/>
                <w:i/>
                <w:sz w:val="18"/>
                <w:szCs w:val="18"/>
              </w:rPr>
              <w:t>10</w:t>
            </w:r>
          </w:p>
        </w:tc>
        <w:tc>
          <w:tcPr>
            <w:tcW w:w="972" w:type="pct"/>
            <w:shd w:val="clear" w:color="auto" w:fill="auto"/>
          </w:tcPr>
          <w:p w14:paraId="212FC35D"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întreprinderea măsurilor necesare în vederea stabilirii mecanismului de conlucrare cu părțile implicate și dispunerii de date exacte și suficiente aferente pacienților din listele de așteptare, inclusiv care au beneficiat de servicii medicale în cadrul programelor speciale</w:t>
            </w:r>
          </w:p>
        </w:tc>
        <w:tc>
          <w:tcPr>
            <w:tcW w:w="2890" w:type="pct"/>
            <w:shd w:val="clear" w:color="auto" w:fill="auto"/>
          </w:tcPr>
          <w:p w14:paraId="40667CE2" w14:textId="77777777"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Compania Națională de Asigurări în Medicină (CNAM) a fost desemnată responsabilă de gestionarea listelor de așteptare pentru tratament în cadrul programelor speciale privind protezarea articulațiilor mari (șold, genunchi, umăr) și operațiile de cataractă. În acest context a fost emis un ordin comun al Ministerului Sănătății, Muncii și Protecției Sociale și CNAM (Ordinul nr.988/297-A din 02.11.2020), ce conține regulamentele cu privire la modul de gestionare а listelor sus-</w:t>
            </w:r>
            <w:proofErr w:type="spellStart"/>
            <w:r w:rsidRPr="003F4D72">
              <w:rPr>
                <w:rFonts w:asciiTheme="majorHAnsi" w:eastAsia="Times New Roman" w:hAnsiTheme="majorHAnsi" w:cstheme="majorHAnsi"/>
                <w:i/>
                <w:sz w:val="18"/>
                <w:szCs w:val="18"/>
              </w:rPr>
              <w:t>menţionate</w:t>
            </w:r>
            <w:proofErr w:type="spellEnd"/>
            <w:r w:rsidRPr="003F4D72">
              <w:rPr>
                <w:rFonts w:asciiTheme="majorHAnsi" w:eastAsia="Times New Roman" w:hAnsiTheme="majorHAnsi" w:cstheme="majorHAnsi"/>
                <w:i/>
                <w:sz w:val="18"/>
                <w:szCs w:val="18"/>
              </w:rPr>
              <w:t xml:space="preserve">. </w:t>
            </w:r>
          </w:p>
          <w:p w14:paraId="36D1C97C" w14:textId="77777777"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CNAM se află în proces de preluare a listelor de la </w:t>
            </w:r>
            <w:proofErr w:type="spellStart"/>
            <w:r w:rsidRPr="003F4D72">
              <w:rPr>
                <w:rFonts w:asciiTheme="majorHAnsi" w:eastAsia="Times New Roman" w:hAnsiTheme="majorHAnsi" w:cstheme="majorHAnsi"/>
                <w:i/>
                <w:sz w:val="18"/>
                <w:szCs w:val="18"/>
              </w:rPr>
              <w:t>Agenţia</w:t>
            </w:r>
            <w:proofErr w:type="spellEnd"/>
            <w:r w:rsidRPr="003F4D72">
              <w:rPr>
                <w:rFonts w:asciiTheme="majorHAnsi" w:eastAsia="Times New Roman" w:hAnsiTheme="majorHAnsi" w:cstheme="majorHAnsi"/>
                <w:i/>
                <w:sz w:val="18"/>
                <w:szCs w:val="18"/>
              </w:rPr>
              <w:t xml:space="preserve"> </w:t>
            </w:r>
            <w:proofErr w:type="spellStart"/>
            <w:r w:rsidRPr="003F4D72">
              <w:rPr>
                <w:rFonts w:asciiTheme="majorHAnsi" w:eastAsia="Times New Roman" w:hAnsiTheme="majorHAnsi" w:cstheme="majorHAnsi"/>
                <w:i/>
                <w:sz w:val="18"/>
                <w:szCs w:val="18"/>
              </w:rPr>
              <w:t>Naţională</w:t>
            </w:r>
            <w:proofErr w:type="spellEnd"/>
            <w:r w:rsidRPr="003F4D72">
              <w:rPr>
                <w:rFonts w:asciiTheme="majorHAnsi" w:eastAsia="Times New Roman" w:hAnsiTheme="majorHAnsi" w:cstheme="majorHAnsi"/>
                <w:i/>
                <w:sz w:val="18"/>
                <w:szCs w:val="18"/>
              </w:rPr>
              <w:t xml:space="preserve"> pentru Sănătate Publică, </w:t>
            </w:r>
            <w:proofErr w:type="spellStart"/>
            <w:r w:rsidRPr="003F4D72">
              <w:rPr>
                <w:rFonts w:asciiTheme="majorHAnsi" w:eastAsia="Times New Roman" w:hAnsiTheme="majorHAnsi" w:cstheme="majorHAnsi"/>
                <w:i/>
                <w:sz w:val="18"/>
                <w:szCs w:val="18"/>
              </w:rPr>
              <w:t>instituţie</w:t>
            </w:r>
            <w:proofErr w:type="spellEnd"/>
            <w:r w:rsidRPr="003F4D72">
              <w:rPr>
                <w:rFonts w:asciiTheme="majorHAnsi" w:eastAsia="Times New Roman" w:hAnsiTheme="majorHAnsi" w:cstheme="majorHAnsi"/>
                <w:i/>
                <w:sz w:val="18"/>
                <w:szCs w:val="18"/>
              </w:rPr>
              <w:t xml:space="preserve"> care a gestionat anterior aceste liste de </w:t>
            </w:r>
            <w:proofErr w:type="spellStart"/>
            <w:r w:rsidRPr="003F4D72">
              <w:rPr>
                <w:rFonts w:asciiTheme="majorHAnsi" w:eastAsia="Times New Roman" w:hAnsiTheme="majorHAnsi" w:cstheme="majorHAnsi"/>
                <w:i/>
                <w:sz w:val="18"/>
                <w:szCs w:val="18"/>
              </w:rPr>
              <w:t>aşteptare</w:t>
            </w:r>
            <w:proofErr w:type="spellEnd"/>
            <w:r w:rsidRPr="003F4D72">
              <w:rPr>
                <w:rFonts w:asciiTheme="majorHAnsi" w:eastAsia="Times New Roman" w:hAnsiTheme="majorHAnsi" w:cstheme="majorHAnsi"/>
                <w:i/>
                <w:sz w:val="18"/>
                <w:szCs w:val="18"/>
              </w:rPr>
              <w:t>.</w:t>
            </w:r>
          </w:p>
          <w:p w14:paraId="292B7CA7" w14:textId="77777777"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CNAM va monitoriza </w:t>
            </w:r>
            <w:proofErr w:type="spellStart"/>
            <w:r w:rsidRPr="003F4D72">
              <w:rPr>
                <w:rFonts w:asciiTheme="majorHAnsi" w:eastAsia="Times New Roman" w:hAnsiTheme="majorHAnsi" w:cstheme="majorHAnsi"/>
                <w:i/>
                <w:sz w:val="18"/>
                <w:szCs w:val="18"/>
              </w:rPr>
              <w:t>şi</w:t>
            </w:r>
            <w:proofErr w:type="spellEnd"/>
            <w:r w:rsidRPr="003F4D72">
              <w:rPr>
                <w:rFonts w:asciiTheme="majorHAnsi" w:eastAsia="Times New Roman" w:hAnsiTheme="majorHAnsi" w:cstheme="majorHAnsi"/>
                <w:i/>
                <w:sz w:val="18"/>
                <w:szCs w:val="18"/>
              </w:rPr>
              <w:t xml:space="preserve"> </w:t>
            </w:r>
            <w:proofErr w:type="spellStart"/>
            <w:r w:rsidRPr="003F4D72">
              <w:rPr>
                <w:rFonts w:asciiTheme="majorHAnsi" w:eastAsia="Times New Roman" w:hAnsiTheme="majorHAnsi" w:cstheme="majorHAnsi"/>
                <w:i/>
                <w:sz w:val="18"/>
                <w:szCs w:val="18"/>
              </w:rPr>
              <w:t>ţine</w:t>
            </w:r>
            <w:proofErr w:type="spellEnd"/>
            <w:r w:rsidRPr="003F4D72">
              <w:rPr>
                <w:rFonts w:asciiTheme="majorHAnsi" w:eastAsia="Times New Roman" w:hAnsiTheme="majorHAnsi" w:cstheme="majorHAnsi"/>
                <w:i/>
                <w:sz w:val="18"/>
                <w:szCs w:val="18"/>
              </w:rPr>
              <w:t xml:space="preserve"> </w:t>
            </w:r>
            <w:proofErr w:type="spellStart"/>
            <w:r w:rsidRPr="003F4D72">
              <w:rPr>
                <w:rFonts w:asciiTheme="majorHAnsi" w:eastAsia="Times New Roman" w:hAnsiTheme="majorHAnsi" w:cstheme="majorHAnsi"/>
                <w:i/>
                <w:sz w:val="18"/>
                <w:szCs w:val="18"/>
              </w:rPr>
              <w:t>evidenţa</w:t>
            </w:r>
            <w:proofErr w:type="spellEnd"/>
            <w:r w:rsidRPr="003F4D72">
              <w:rPr>
                <w:rFonts w:asciiTheme="majorHAnsi" w:eastAsia="Times New Roman" w:hAnsiTheme="majorHAnsi" w:cstheme="majorHAnsi"/>
                <w:i/>
                <w:sz w:val="18"/>
                <w:szCs w:val="18"/>
              </w:rPr>
              <w:t xml:space="preserve"> atât a listelor de așteptare generală, cât și a celor urgentate pentru intervențiile de protezare și de cataractă. Listele vor fi întocmite de medicii </w:t>
            </w:r>
            <w:proofErr w:type="spellStart"/>
            <w:r w:rsidRPr="003F4D72">
              <w:rPr>
                <w:rFonts w:asciiTheme="majorHAnsi" w:eastAsia="Times New Roman" w:hAnsiTheme="majorHAnsi" w:cstheme="majorHAnsi"/>
                <w:i/>
                <w:sz w:val="18"/>
                <w:szCs w:val="18"/>
              </w:rPr>
              <w:t>specialişti</w:t>
            </w:r>
            <w:proofErr w:type="spellEnd"/>
            <w:r w:rsidRPr="003F4D72">
              <w:rPr>
                <w:rFonts w:asciiTheme="majorHAnsi" w:eastAsia="Times New Roman" w:hAnsiTheme="majorHAnsi" w:cstheme="majorHAnsi"/>
                <w:i/>
                <w:sz w:val="18"/>
                <w:szCs w:val="18"/>
              </w:rPr>
              <w:t xml:space="preserve"> </w:t>
            </w:r>
            <w:proofErr w:type="spellStart"/>
            <w:r w:rsidRPr="003F4D72">
              <w:rPr>
                <w:rFonts w:asciiTheme="majorHAnsi" w:eastAsia="Times New Roman" w:hAnsiTheme="majorHAnsi" w:cstheme="majorHAnsi"/>
                <w:i/>
                <w:sz w:val="18"/>
                <w:szCs w:val="18"/>
              </w:rPr>
              <w:t>şi</w:t>
            </w:r>
            <w:proofErr w:type="spellEnd"/>
            <w:r w:rsidRPr="003F4D72">
              <w:rPr>
                <w:rFonts w:asciiTheme="majorHAnsi" w:eastAsia="Times New Roman" w:hAnsiTheme="majorHAnsi" w:cstheme="majorHAnsi"/>
                <w:i/>
                <w:sz w:val="18"/>
                <w:szCs w:val="18"/>
              </w:rPr>
              <w:t xml:space="preserve"> de comisiile de evaluare a </w:t>
            </w:r>
            <w:proofErr w:type="spellStart"/>
            <w:r w:rsidRPr="003F4D72">
              <w:rPr>
                <w:rFonts w:asciiTheme="majorHAnsi" w:eastAsia="Times New Roman" w:hAnsiTheme="majorHAnsi" w:cstheme="majorHAnsi"/>
                <w:i/>
                <w:sz w:val="18"/>
                <w:szCs w:val="18"/>
              </w:rPr>
              <w:t>pacienţilor</w:t>
            </w:r>
            <w:proofErr w:type="spellEnd"/>
            <w:r w:rsidRPr="003F4D72">
              <w:rPr>
                <w:rFonts w:asciiTheme="majorHAnsi" w:eastAsia="Times New Roman" w:hAnsiTheme="majorHAnsi" w:cstheme="majorHAnsi"/>
                <w:i/>
                <w:sz w:val="18"/>
                <w:szCs w:val="18"/>
              </w:rPr>
              <w:t xml:space="preserve"> sau, după caz, de Consiliul de urgentare, care vor expedia lunar Companiei </w:t>
            </w:r>
            <w:proofErr w:type="spellStart"/>
            <w:r w:rsidRPr="003F4D72">
              <w:rPr>
                <w:rFonts w:asciiTheme="majorHAnsi" w:eastAsia="Times New Roman" w:hAnsiTheme="majorHAnsi" w:cstheme="majorHAnsi"/>
                <w:i/>
                <w:sz w:val="18"/>
                <w:szCs w:val="18"/>
              </w:rPr>
              <w:t>Naţionale</w:t>
            </w:r>
            <w:proofErr w:type="spellEnd"/>
            <w:r w:rsidRPr="003F4D72">
              <w:rPr>
                <w:rFonts w:asciiTheme="majorHAnsi" w:eastAsia="Times New Roman" w:hAnsiTheme="majorHAnsi" w:cstheme="majorHAnsi"/>
                <w:i/>
                <w:sz w:val="18"/>
                <w:szCs w:val="18"/>
              </w:rPr>
              <w:t xml:space="preserve"> de Asigurări în Medicină </w:t>
            </w:r>
            <w:proofErr w:type="spellStart"/>
            <w:r w:rsidRPr="003F4D72">
              <w:rPr>
                <w:rFonts w:asciiTheme="majorHAnsi" w:eastAsia="Times New Roman" w:hAnsiTheme="majorHAnsi" w:cstheme="majorHAnsi"/>
                <w:i/>
                <w:sz w:val="18"/>
                <w:szCs w:val="18"/>
              </w:rPr>
              <w:t>informaţii</w:t>
            </w:r>
            <w:proofErr w:type="spellEnd"/>
            <w:r w:rsidRPr="003F4D72">
              <w:rPr>
                <w:rFonts w:asciiTheme="majorHAnsi" w:eastAsia="Times New Roman" w:hAnsiTheme="majorHAnsi" w:cstheme="majorHAnsi"/>
                <w:i/>
                <w:sz w:val="18"/>
                <w:szCs w:val="18"/>
              </w:rPr>
              <w:t xml:space="preserve"> actualizate.</w:t>
            </w:r>
          </w:p>
          <w:p w14:paraId="0459EE02" w14:textId="1F1D06B3" w:rsidR="00B92E41" w:rsidRPr="003F4D72" w:rsidRDefault="00B92E41">
            <w:pPr>
              <w:spacing w:after="0" w:line="240" w:lineRule="auto"/>
              <w:jc w:val="both"/>
              <w:rPr>
                <w:rFonts w:asciiTheme="majorHAnsi" w:eastAsia="Times New Roman" w:hAnsiTheme="majorHAnsi" w:cstheme="majorHAnsi"/>
                <w:i/>
                <w:sz w:val="18"/>
                <w:szCs w:val="18"/>
              </w:rPr>
            </w:pPr>
            <w:proofErr w:type="spellStart"/>
            <w:r w:rsidRPr="003F4D72">
              <w:rPr>
                <w:rFonts w:asciiTheme="majorHAnsi" w:eastAsia="Times New Roman" w:hAnsiTheme="majorHAnsi" w:cstheme="majorHAnsi"/>
                <w:i/>
                <w:sz w:val="18"/>
                <w:szCs w:val="18"/>
              </w:rPr>
              <w:t>Scris.ANSP</w:t>
            </w:r>
            <w:proofErr w:type="spellEnd"/>
            <w:r w:rsidRPr="003F4D72">
              <w:rPr>
                <w:rFonts w:asciiTheme="majorHAnsi" w:eastAsia="Times New Roman" w:hAnsiTheme="majorHAnsi" w:cstheme="majorHAnsi"/>
                <w:i/>
                <w:sz w:val="18"/>
                <w:szCs w:val="18"/>
              </w:rPr>
              <w:t xml:space="preserve"> nr.01-22/3-277 din 25.01.2021: au fost remise către instituțiile </w:t>
            </w:r>
            <w:proofErr w:type="spellStart"/>
            <w:r w:rsidRPr="003F4D72">
              <w:rPr>
                <w:rFonts w:asciiTheme="majorHAnsi" w:eastAsia="Times New Roman" w:hAnsiTheme="majorHAnsi" w:cstheme="majorHAnsi"/>
                <w:i/>
                <w:sz w:val="18"/>
                <w:szCs w:val="18"/>
              </w:rPr>
              <w:t>medico</w:t>
            </w:r>
            <w:proofErr w:type="spellEnd"/>
            <w:r w:rsidRPr="003F4D72">
              <w:rPr>
                <w:rFonts w:asciiTheme="majorHAnsi" w:eastAsia="Times New Roman" w:hAnsiTheme="majorHAnsi" w:cstheme="majorHAnsi"/>
                <w:i/>
                <w:sz w:val="18"/>
                <w:szCs w:val="18"/>
              </w:rPr>
              <w:t xml:space="preserve">- sanitare spitalicești, care prestează servicii medicale in cadrul Programelor speciale, scrisorile nr. 01-22/3-3500 și nr. 01-22/3-3499 din 11.09.2020 a ANSP, cu solicitarea de a prezenta: numărul pacienților care au beneficiat de tratament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cadrul PS; numărul pacienților care nu s-au prezentat pentru tratament, a</w:t>
            </w:r>
            <w:r w:rsidR="00BB34E2" w:rsidRPr="003F4D72">
              <w:rPr>
                <w:rFonts w:asciiTheme="majorHAnsi" w:eastAsia="Times New Roman" w:hAnsiTheme="majorHAnsi" w:cstheme="majorHAnsi"/>
                <w:i/>
                <w:sz w:val="18"/>
                <w:szCs w:val="18"/>
              </w:rPr>
              <w:t>l</w:t>
            </w:r>
            <w:r w:rsidRPr="003F4D72">
              <w:rPr>
                <w:rFonts w:asciiTheme="majorHAnsi" w:eastAsia="Times New Roman" w:hAnsiTheme="majorHAnsi" w:cstheme="majorHAnsi"/>
                <w:i/>
                <w:sz w:val="18"/>
                <w:szCs w:val="18"/>
              </w:rPr>
              <w:t xml:space="preserve"> pacienților cu contraindicații temporare și a</w:t>
            </w:r>
            <w:r w:rsidR="00BB34E2" w:rsidRPr="003F4D72">
              <w:rPr>
                <w:rFonts w:asciiTheme="majorHAnsi" w:eastAsia="Times New Roman" w:hAnsiTheme="majorHAnsi" w:cstheme="majorHAnsi"/>
                <w:i/>
                <w:sz w:val="18"/>
                <w:szCs w:val="18"/>
              </w:rPr>
              <w:t>l</w:t>
            </w:r>
            <w:r w:rsidRPr="003F4D72">
              <w:rPr>
                <w:rFonts w:asciiTheme="majorHAnsi" w:eastAsia="Times New Roman" w:hAnsiTheme="majorHAnsi" w:cstheme="majorHAnsi"/>
                <w:i/>
                <w:sz w:val="18"/>
                <w:szCs w:val="18"/>
              </w:rPr>
              <w:t xml:space="preserve"> celor care din motive obiective au refuzat intervenția pe parcursul anului de gestiune; numărul estimativ de persoane care vor putea fi admise la tratament costisitor pe parcursul ultimului trimestru a</w:t>
            </w:r>
            <w:r w:rsidR="00BB34E2" w:rsidRPr="003F4D72">
              <w:rPr>
                <w:rFonts w:asciiTheme="majorHAnsi" w:eastAsia="Times New Roman" w:hAnsiTheme="majorHAnsi" w:cstheme="majorHAnsi"/>
                <w:i/>
                <w:sz w:val="18"/>
                <w:szCs w:val="18"/>
              </w:rPr>
              <w:t>l</w:t>
            </w:r>
            <w:r w:rsidRPr="003F4D72">
              <w:rPr>
                <w:rFonts w:asciiTheme="majorHAnsi" w:eastAsia="Times New Roman" w:hAnsiTheme="majorHAnsi" w:cstheme="majorHAnsi"/>
                <w:i/>
                <w:sz w:val="18"/>
                <w:szCs w:val="18"/>
              </w:rPr>
              <w:t xml:space="preserve"> anului 2020 (octombrie - decembrie)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conformitate cu disponibilitatea consumabilelor necesare pentru efectuarea serviciilor; listele actualizate a</w:t>
            </w:r>
            <w:r w:rsidR="00BB34E2" w:rsidRPr="003F4D72">
              <w:rPr>
                <w:rFonts w:asciiTheme="majorHAnsi" w:eastAsia="Times New Roman" w:hAnsiTheme="majorHAnsi" w:cstheme="majorHAnsi"/>
                <w:i/>
                <w:sz w:val="18"/>
                <w:szCs w:val="18"/>
              </w:rPr>
              <w:t>le</w:t>
            </w:r>
            <w:r w:rsidRPr="003F4D72">
              <w:rPr>
                <w:rFonts w:asciiTheme="majorHAnsi" w:eastAsia="Times New Roman" w:hAnsiTheme="majorHAnsi" w:cstheme="majorHAnsi"/>
                <w:i/>
                <w:sz w:val="18"/>
                <w:szCs w:val="18"/>
              </w:rPr>
              <w:t xml:space="preserve"> pacienților incluși in rând pentru intervenții chirurgicale costisitoare și a</w:t>
            </w:r>
            <w:r w:rsidR="00BB34E2" w:rsidRPr="003F4D72">
              <w:rPr>
                <w:rFonts w:asciiTheme="majorHAnsi" w:eastAsia="Times New Roman" w:hAnsiTheme="majorHAnsi" w:cstheme="majorHAnsi"/>
                <w:i/>
                <w:sz w:val="18"/>
                <w:szCs w:val="18"/>
              </w:rPr>
              <w:t>le</w:t>
            </w:r>
            <w:r w:rsidRPr="003F4D72">
              <w:rPr>
                <w:rFonts w:asciiTheme="majorHAnsi" w:eastAsia="Times New Roman" w:hAnsiTheme="majorHAnsi" w:cstheme="majorHAnsi"/>
                <w:i/>
                <w:sz w:val="18"/>
                <w:szCs w:val="18"/>
              </w:rPr>
              <w:t xml:space="preserve"> celor operați</w:t>
            </w:r>
          </w:p>
        </w:tc>
        <w:tc>
          <w:tcPr>
            <w:tcW w:w="300" w:type="pct"/>
            <w:shd w:val="clear" w:color="auto" w:fill="auto"/>
          </w:tcPr>
          <w:p w14:paraId="090C8651"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p>
        </w:tc>
        <w:tc>
          <w:tcPr>
            <w:tcW w:w="301" w:type="pct"/>
            <w:shd w:val="clear" w:color="auto" w:fill="auto"/>
          </w:tcPr>
          <w:p w14:paraId="40897EC2" w14:textId="77777777" w:rsidR="00B92E41" w:rsidRPr="003F4D72" w:rsidRDefault="00B92E41" w:rsidP="003F4D72">
            <w:pPr>
              <w:spacing w:after="0" w:line="240" w:lineRule="auto"/>
              <w:jc w:val="both"/>
              <w:rPr>
                <w:rFonts w:asciiTheme="majorHAnsi" w:eastAsia="Times New Roman" w:hAnsiTheme="majorHAnsi" w:cstheme="majorHAnsi"/>
                <w:b/>
                <w:bCs/>
                <w:i/>
                <w:sz w:val="18"/>
                <w:szCs w:val="18"/>
              </w:rPr>
            </w:pPr>
            <w:r w:rsidRPr="003F4D72">
              <w:rPr>
                <w:rFonts w:asciiTheme="majorHAnsi" w:eastAsia="Times New Roman" w:hAnsiTheme="majorHAnsi" w:cstheme="majorHAnsi"/>
                <w:b/>
                <w:bCs/>
                <w:i/>
                <w:sz w:val="18"/>
                <w:szCs w:val="18"/>
              </w:rPr>
              <w:t>V</w:t>
            </w:r>
          </w:p>
        </w:tc>
        <w:tc>
          <w:tcPr>
            <w:tcW w:w="334" w:type="pct"/>
          </w:tcPr>
          <w:p w14:paraId="75D0AE31"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p>
        </w:tc>
      </w:tr>
      <w:tr w:rsidR="00B92E41" w:rsidRPr="003F4D72" w14:paraId="6004BFBB" w14:textId="77777777" w:rsidTr="00436DF9">
        <w:trPr>
          <w:trHeight w:val="20"/>
        </w:trPr>
        <w:tc>
          <w:tcPr>
            <w:tcW w:w="202" w:type="pct"/>
            <w:shd w:val="clear" w:color="auto" w:fill="auto"/>
            <w:noWrap/>
            <w:vAlign w:val="center"/>
          </w:tcPr>
          <w:p w14:paraId="58A49B8F" w14:textId="77777777" w:rsidR="00B92E41" w:rsidRPr="003F4D72" w:rsidRDefault="00B92E41" w:rsidP="003F4D72">
            <w:pPr>
              <w:spacing w:after="0" w:line="240" w:lineRule="auto"/>
              <w:jc w:val="both"/>
              <w:rPr>
                <w:rFonts w:asciiTheme="majorHAnsi" w:eastAsia="Times New Roman" w:hAnsiTheme="majorHAnsi" w:cstheme="majorHAnsi"/>
                <w:b/>
                <w:bCs/>
                <w:i/>
                <w:sz w:val="18"/>
                <w:szCs w:val="18"/>
              </w:rPr>
            </w:pPr>
            <w:r w:rsidRPr="003F4D72">
              <w:rPr>
                <w:rFonts w:asciiTheme="majorHAnsi" w:eastAsia="Times New Roman" w:hAnsiTheme="majorHAnsi" w:cstheme="majorHAnsi"/>
                <w:b/>
                <w:bCs/>
                <w:i/>
                <w:sz w:val="18"/>
                <w:szCs w:val="18"/>
              </w:rPr>
              <w:t>11</w:t>
            </w:r>
          </w:p>
        </w:tc>
        <w:tc>
          <w:tcPr>
            <w:tcW w:w="972" w:type="pct"/>
            <w:shd w:val="clear" w:color="auto" w:fill="auto"/>
          </w:tcPr>
          <w:p w14:paraId="3DF0A3E7"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actualizarea și revizuirea bazei de date a pacienților din lista de așteptare și asigurarea transparenței accesului persoanelor asigurate la tratament costisitor</w:t>
            </w:r>
          </w:p>
        </w:tc>
        <w:tc>
          <w:tcPr>
            <w:tcW w:w="2890" w:type="pct"/>
            <w:shd w:val="clear" w:color="auto" w:fill="auto"/>
          </w:tcPr>
          <w:p w14:paraId="53CC9E6C" w14:textId="2CBDB755" w:rsidR="00B92E41" w:rsidRPr="003F4D72" w:rsidRDefault="00B92E41" w:rsidP="00532082">
            <w:pPr>
              <w:spacing w:after="0" w:line="240" w:lineRule="auto"/>
              <w:jc w:val="both"/>
              <w:rPr>
                <w:rFonts w:asciiTheme="majorHAnsi" w:eastAsia="Times New Roman" w:hAnsiTheme="majorHAnsi" w:cstheme="majorHAnsi"/>
                <w:i/>
                <w:sz w:val="18"/>
                <w:szCs w:val="18"/>
              </w:rPr>
            </w:pPr>
            <w:proofErr w:type="spellStart"/>
            <w:r w:rsidRPr="003F4D72">
              <w:rPr>
                <w:rFonts w:asciiTheme="majorHAnsi" w:eastAsia="Times New Roman" w:hAnsiTheme="majorHAnsi" w:cstheme="majorHAnsi"/>
                <w:i/>
                <w:sz w:val="18"/>
                <w:szCs w:val="18"/>
              </w:rPr>
              <w:t>Scris.ANSP</w:t>
            </w:r>
            <w:proofErr w:type="spellEnd"/>
            <w:r w:rsidRPr="003F4D72">
              <w:rPr>
                <w:rFonts w:asciiTheme="majorHAnsi" w:eastAsia="Times New Roman" w:hAnsiTheme="majorHAnsi" w:cstheme="majorHAnsi"/>
                <w:i/>
                <w:sz w:val="18"/>
                <w:szCs w:val="18"/>
              </w:rPr>
              <w:t xml:space="preserve"> nr.01-22/3-277 din 25.01.2021: au fost remise către instituțiile medico-sanitare spitalicești, care prestează servicii medicale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cadrul Programelor speciale, scrisorile nr. 01-22/3-3500 și nr. 01-22/3-3499 din 11.09.2020 a</w:t>
            </w:r>
            <w:r w:rsidR="00BB34E2" w:rsidRPr="003F4D72">
              <w:rPr>
                <w:rFonts w:asciiTheme="majorHAnsi" w:eastAsia="Times New Roman" w:hAnsiTheme="majorHAnsi" w:cstheme="majorHAnsi"/>
                <w:i/>
                <w:sz w:val="18"/>
                <w:szCs w:val="18"/>
              </w:rPr>
              <w:t>le</w:t>
            </w:r>
            <w:r w:rsidRPr="003F4D72">
              <w:rPr>
                <w:rFonts w:asciiTheme="majorHAnsi" w:eastAsia="Times New Roman" w:hAnsiTheme="majorHAnsi" w:cstheme="majorHAnsi"/>
                <w:i/>
                <w:sz w:val="18"/>
                <w:szCs w:val="18"/>
              </w:rPr>
              <w:t xml:space="preserve"> ANSP, cu solicitarea de a prezenta: numărului pacienților care au beneficiat de tratament in cadrul PS; numărul pacienților care nu s-au prezentat pentru tratament, a</w:t>
            </w:r>
            <w:r w:rsidR="00BB34E2" w:rsidRPr="003F4D72">
              <w:rPr>
                <w:rFonts w:asciiTheme="majorHAnsi" w:eastAsia="Times New Roman" w:hAnsiTheme="majorHAnsi" w:cstheme="majorHAnsi"/>
                <w:i/>
                <w:sz w:val="18"/>
                <w:szCs w:val="18"/>
              </w:rPr>
              <w:t>l</w:t>
            </w:r>
            <w:r w:rsidRPr="003F4D72">
              <w:rPr>
                <w:rFonts w:asciiTheme="majorHAnsi" w:eastAsia="Times New Roman" w:hAnsiTheme="majorHAnsi" w:cstheme="majorHAnsi"/>
                <w:i/>
                <w:sz w:val="18"/>
                <w:szCs w:val="18"/>
              </w:rPr>
              <w:t xml:space="preserve"> pacienților cu contraindicații temporare și a</w:t>
            </w:r>
            <w:r w:rsidR="00BB34E2" w:rsidRPr="003F4D72">
              <w:rPr>
                <w:rFonts w:asciiTheme="majorHAnsi" w:eastAsia="Times New Roman" w:hAnsiTheme="majorHAnsi" w:cstheme="majorHAnsi"/>
                <w:i/>
                <w:sz w:val="18"/>
                <w:szCs w:val="18"/>
              </w:rPr>
              <w:t>l</w:t>
            </w:r>
            <w:r w:rsidRPr="003F4D72">
              <w:rPr>
                <w:rFonts w:asciiTheme="majorHAnsi" w:eastAsia="Times New Roman" w:hAnsiTheme="majorHAnsi" w:cstheme="majorHAnsi"/>
                <w:i/>
                <w:sz w:val="18"/>
                <w:szCs w:val="18"/>
              </w:rPr>
              <w:t xml:space="preserve"> celor care din motive obiective au refuzat intervenția pe parcursul anului de gestiune; numărul estimativ de persoane care vor putea fi admise la tratament </w:t>
            </w:r>
            <w:r w:rsidRPr="003F4D72">
              <w:rPr>
                <w:rFonts w:asciiTheme="majorHAnsi" w:eastAsia="Times New Roman" w:hAnsiTheme="majorHAnsi" w:cstheme="majorHAnsi"/>
                <w:i/>
                <w:sz w:val="18"/>
                <w:szCs w:val="18"/>
              </w:rPr>
              <w:lastRenderedPageBreak/>
              <w:t>costisitor pe parcursul ultimului trimestru a</w:t>
            </w:r>
            <w:r w:rsidR="00BB34E2" w:rsidRPr="003F4D72">
              <w:rPr>
                <w:rFonts w:asciiTheme="majorHAnsi" w:eastAsia="Times New Roman" w:hAnsiTheme="majorHAnsi" w:cstheme="majorHAnsi"/>
                <w:i/>
                <w:sz w:val="18"/>
                <w:szCs w:val="18"/>
              </w:rPr>
              <w:t>l</w:t>
            </w:r>
            <w:r w:rsidRPr="003F4D72">
              <w:rPr>
                <w:rFonts w:asciiTheme="majorHAnsi" w:eastAsia="Times New Roman" w:hAnsiTheme="majorHAnsi" w:cstheme="majorHAnsi"/>
                <w:i/>
                <w:sz w:val="18"/>
                <w:szCs w:val="18"/>
              </w:rPr>
              <w:t xml:space="preserve"> anului 2020 (octombrie - decembrie)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conformitate cu disponibilitatea consumabilelor necesare pentru efectuarea serviciilor; listele actualizate a</w:t>
            </w:r>
            <w:r w:rsidR="00BB34E2" w:rsidRPr="003F4D72">
              <w:rPr>
                <w:rFonts w:asciiTheme="majorHAnsi" w:eastAsia="Times New Roman" w:hAnsiTheme="majorHAnsi" w:cstheme="majorHAnsi"/>
                <w:i/>
                <w:sz w:val="18"/>
                <w:szCs w:val="18"/>
              </w:rPr>
              <w:t>le</w:t>
            </w:r>
            <w:r w:rsidRPr="003F4D72">
              <w:rPr>
                <w:rFonts w:asciiTheme="majorHAnsi" w:eastAsia="Times New Roman" w:hAnsiTheme="majorHAnsi" w:cstheme="majorHAnsi"/>
                <w:i/>
                <w:sz w:val="18"/>
                <w:szCs w:val="18"/>
              </w:rPr>
              <w:t xml:space="preserve"> pacienților incluși in rând pentru intervenții chirurgicale costisitoare și a</w:t>
            </w:r>
            <w:r w:rsidR="00BB34E2" w:rsidRPr="003F4D72">
              <w:rPr>
                <w:rFonts w:asciiTheme="majorHAnsi" w:eastAsia="Times New Roman" w:hAnsiTheme="majorHAnsi" w:cstheme="majorHAnsi"/>
                <w:i/>
                <w:sz w:val="18"/>
                <w:szCs w:val="18"/>
              </w:rPr>
              <w:t>le</w:t>
            </w:r>
            <w:r w:rsidRPr="003F4D72">
              <w:rPr>
                <w:rFonts w:asciiTheme="majorHAnsi" w:eastAsia="Times New Roman" w:hAnsiTheme="majorHAnsi" w:cstheme="majorHAnsi"/>
                <w:i/>
                <w:sz w:val="18"/>
                <w:szCs w:val="18"/>
              </w:rPr>
              <w:t xml:space="preserve"> celor operați. Ca rezultat</w:t>
            </w:r>
            <w:r w:rsidR="00BB34E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s-a stabilit c</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xml:space="preserv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 xml:space="preserve">n perioada ianuarie - septembrie 2020 au fost efectuate 1760 </w:t>
            </w:r>
            <w:r w:rsidR="00BB34E2" w:rsidRPr="003F4D72">
              <w:rPr>
                <w:rFonts w:asciiTheme="majorHAnsi" w:eastAsia="Times New Roman" w:hAnsiTheme="majorHAnsi" w:cstheme="majorHAnsi"/>
                <w:i/>
                <w:sz w:val="18"/>
                <w:szCs w:val="18"/>
              </w:rPr>
              <w:t xml:space="preserve">de </w:t>
            </w:r>
            <w:r w:rsidRPr="003F4D72">
              <w:rPr>
                <w:rFonts w:asciiTheme="majorHAnsi" w:eastAsia="Times New Roman" w:hAnsiTheme="majorHAnsi" w:cstheme="majorHAnsi"/>
                <w:i/>
                <w:sz w:val="18"/>
                <w:szCs w:val="18"/>
              </w:rPr>
              <w:t xml:space="preserve">intervenții chirurgicale de </w:t>
            </w:r>
            <w:proofErr w:type="spellStart"/>
            <w:r w:rsidRPr="003F4D72">
              <w:rPr>
                <w:rFonts w:asciiTheme="majorHAnsi" w:eastAsia="Times New Roman" w:hAnsiTheme="majorHAnsi" w:cstheme="majorHAnsi"/>
                <w:i/>
                <w:sz w:val="18"/>
                <w:szCs w:val="18"/>
              </w:rPr>
              <w:t>endoprotezare</w:t>
            </w:r>
            <w:proofErr w:type="spellEnd"/>
            <w:r w:rsidRPr="003F4D72">
              <w:rPr>
                <w:rFonts w:asciiTheme="majorHAnsi" w:eastAsia="Times New Roman" w:hAnsiTheme="majorHAnsi" w:cstheme="majorHAnsi"/>
                <w:i/>
                <w:sz w:val="18"/>
                <w:szCs w:val="18"/>
              </w:rPr>
              <w:t xml:space="preserve">, respectiv 589 </w:t>
            </w:r>
            <w:r w:rsidR="00BB34E2" w:rsidRPr="003F4D72">
              <w:rPr>
                <w:rFonts w:asciiTheme="majorHAnsi" w:eastAsia="Times New Roman" w:hAnsiTheme="majorHAnsi" w:cstheme="majorHAnsi"/>
                <w:i/>
                <w:sz w:val="18"/>
                <w:szCs w:val="18"/>
              </w:rPr>
              <w:t xml:space="preserve">de </w:t>
            </w:r>
            <w:proofErr w:type="spellStart"/>
            <w:r w:rsidRPr="003F4D72">
              <w:rPr>
                <w:rFonts w:asciiTheme="majorHAnsi" w:eastAsia="Times New Roman" w:hAnsiTheme="majorHAnsi" w:cstheme="majorHAnsi"/>
                <w:i/>
                <w:sz w:val="18"/>
                <w:szCs w:val="18"/>
              </w:rPr>
              <w:t>artroplastii</w:t>
            </w:r>
            <w:proofErr w:type="spellEnd"/>
            <w:r w:rsidRPr="003F4D72">
              <w:rPr>
                <w:rFonts w:asciiTheme="majorHAnsi" w:eastAsia="Times New Roman" w:hAnsiTheme="majorHAnsi" w:cstheme="majorHAnsi"/>
                <w:i/>
                <w:sz w:val="18"/>
                <w:szCs w:val="18"/>
              </w:rPr>
              <w:t xml:space="preserve"> de genunchi; 1166 </w:t>
            </w:r>
            <w:r w:rsidR="00BB34E2" w:rsidRPr="003F4D72">
              <w:rPr>
                <w:rFonts w:asciiTheme="majorHAnsi" w:eastAsia="Times New Roman" w:hAnsiTheme="majorHAnsi" w:cstheme="majorHAnsi"/>
                <w:i/>
                <w:sz w:val="18"/>
                <w:szCs w:val="18"/>
              </w:rPr>
              <w:t xml:space="preserve">de </w:t>
            </w:r>
            <w:proofErr w:type="spellStart"/>
            <w:r w:rsidRPr="003F4D72">
              <w:rPr>
                <w:rFonts w:asciiTheme="majorHAnsi" w:eastAsia="Times New Roman" w:hAnsiTheme="majorHAnsi" w:cstheme="majorHAnsi"/>
                <w:i/>
                <w:sz w:val="18"/>
                <w:szCs w:val="18"/>
              </w:rPr>
              <w:t>artroplastii</w:t>
            </w:r>
            <w:proofErr w:type="spellEnd"/>
            <w:r w:rsidRPr="003F4D72">
              <w:rPr>
                <w:rFonts w:asciiTheme="majorHAnsi" w:eastAsia="Times New Roman" w:hAnsiTheme="majorHAnsi" w:cstheme="majorHAnsi"/>
                <w:i/>
                <w:sz w:val="18"/>
                <w:szCs w:val="18"/>
              </w:rPr>
              <w:t xml:space="preserve"> de femur și 5 </w:t>
            </w:r>
            <w:proofErr w:type="spellStart"/>
            <w:r w:rsidRPr="003F4D72">
              <w:rPr>
                <w:rFonts w:asciiTheme="majorHAnsi" w:eastAsia="Times New Roman" w:hAnsiTheme="majorHAnsi" w:cstheme="majorHAnsi"/>
                <w:i/>
                <w:sz w:val="18"/>
                <w:szCs w:val="18"/>
              </w:rPr>
              <w:t>artroplastii</w:t>
            </w:r>
            <w:proofErr w:type="spellEnd"/>
            <w:r w:rsidRPr="003F4D72">
              <w:rPr>
                <w:rFonts w:asciiTheme="majorHAnsi" w:eastAsia="Times New Roman" w:hAnsiTheme="majorHAnsi" w:cstheme="majorHAnsi"/>
                <w:i/>
                <w:sz w:val="18"/>
                <w:szCs w:val="18"/>
              </w:rPr>
              <w:t xml:space="preserve"> de umăr. De asemenea</w:t>
            </w:r>
            <w:r w:rsidR="00BB34E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a fost actualizat statutul pacienților remiși pentru intervenții chirurgicale costisitoare, după cum urmează: 713 pacienți ce nu s-au prezentat la intervenție chirurgical</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109 pacienți stabiliți cu contraindicații; 254 de pacienți ce au refuzat intervenția chirurgical</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1190 pacienți ce au amânat operația; 93 pacienți decedați și 393 pacienți negăsiți. Totodată</w:t>
            </w:r>
            <w:r w:rsidR="00BB34E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conform solicitării instituțiilor ce prestează servicii medicale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 xml:space="preserve">n cadrul Programelor speciale, au fost remise pentru intervenții chirurgicale costisitoare listele pacienților incluși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rând:</w:t>
            </w:r>
          </w:p>
          <w:p w14:paraId="6BE67657" w14:textId="052EF074"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 xml:space="preserve">n perioada 2017-2018 pentru </w:t>
            </w:r>
            <w:proofErr w:type="spellStart"/>
            <w:r w:rsidRPr="003F4D72">
              <w:rPr>
                <w:rFonts w:asciiTheme="majorHAnsi" w:eastAsia="Times New Roman" w:hAnsiTheme="majorHAnsi" w:cstheme="majorHAnsi"/>
                <w:i/>
                <w:sz w:val="18"/>
                <w:szCs w:val="18"/>
              </w:rPr>
              <w:t>artroplastie</w:t>
            </w:r>
            <w:proofErr w:type="spellEnd"/>
            <w:r w:rsidRPr="003F4D72">
              <w:rPr>
                <w:rFonts w:asciiTheme="majorHAnsi" w:eastAsia="Times New Roman" w:hAnsiTheme="majorHAnsi" w:cstheme="majorHAnsi"/>
                <w:i/>
                <w:sz w:val="18"/>
                <w:szCs w:val="18"/>
              </w:rPr>
              <w:t xml:space="preserve"> genunchi;</w:t>
            </w:r>
          </w:p>
          <w:p w14:paraId="0356D109" w14:textId="3606A6E4" w:rsidR="00B92E41" w:rsidRPr="003F4D72" w:rsidRDefault="00B92E41" w:rsidP="00BB34E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perioada 2019</w:t>
            </w:r>
            <w:r w:rsidR="00BB34E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inclusiv I semestru 2020</w:t>
            </w:r>
            <w:r w:rsidR="00BB34E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pentru </w:t>
            </w:r>
            <w:proofErr w:type="spellStart"/>
            <w:r w:rsidRPr="003F4D72">
              <w:rPr>
                <w:rFonts w:asciiTheme="majorHAnsi" w:eastAsia="Times New Roman" w:hAnsiTheme="majorHAnsi" w:cstheme="majorHAnsi"/>
                <w:i/>
                <w:sz w:val="18"/>
                <w:szCs w:val="18"/>
              </w:rPr>
              <w:t>artroplastie</w:t>
            </w:r>
            <w:proofErr w:type="spellEnd"/>
            <w:r w:rsidRPr="003F4D72">
              <w:rPr>
                <w:rFonts w:asciiTheme="majorHAnsi" w:eastAsia="Times New Roman" w:hAnsiTheme="majorHAnsi" w:cstheme="majorHAnsi"/>
                <w:i/>
                <w:sz w:val="18"/>
                <w:szCs w:val="18"/>
              </w:rPr>
              <w:t xml:space="preserve"> șold (practic lista de așteptare pentru </w:t>
            </w:r>
            <w:proofErr w:type="spellStart"/>
            <w:r w:rsidRPr="003F4D72">
              <w:rPr>
                <w:rFonts w:asciiTheme="majorHAnsi" w:eastAsia="Times New Roman" w:hAnsiTheme="majorHAnsi" w:cstheme="majorHAnsi"/>
                <w:i/>
                <w:sz w:val="18"/>
                <w:szCs w:val="18"/>
              </w:rPr>
              <w:t>artroplastie</w:t>
            </w:r>
            <w:proofErr w:type="spellEnd"/>
            <w:r w:rsidRPr="003F4D72">
              <w:rPr>
                <w:rFonts w:asciiTheme="majorHAnsi" w:eastAsia="Times New Roman" w:hAnsiTheme="majorHAnsi" w:cstheme="majorHAnsi"/>
                <w:i/>
                <w:sz w:val="18"/>
                <w:szCs w:val="18"/>
              </w:rPr>
              <w:t xml:space="preserve"> șold a fost epuizat</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w:t>
            </w:r>
          </w:p>
          <w:p w14:paraId="349DE943" w14:textId="77777777"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 toți pacienții pentru </w:t>
            </w:r>
            <w:proofErr w:type="spellStart"/>
            <w:r w:rsidRPr="003F4D72">
              <w:rPr>
                <w:rFonts w:asciiTheme="majorHAnsi" w:eastAsia="Times New Roman" w:hAnsiTheme="majorHAnsi" w:cstheme="majorHAnsi"/>
                <w:i/>
                <w:sz w:val="18"/>
                <w:szCs w:val="18"/>
              </w:rPr>
              <w:t>artroplastie</w:t>
            </w:r>
            <w:proofErr w:type="spellEnd"/>
            <w:r w:rsidRPr="003F4D72">
              <w:rPr>
                <w:rFonts w:asciiTheme="majorHAnsi" w:eastAsia="Times New Roman" w:hAnsiTheme="majorHAnsi" w:cstheme="majorHAnsi"/>
                <w:i/>
                <w:sz w:val="18"/>
                <w:szCs w:val="18"/>
              </w:rPr>
              <w:t xml:space="preserve"> umăr;</w:t>
            </w:r>
          </w:p>
          <w:p w14:paraId="290A8283" w14:textId="1FF025F5"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perioada 2019 pentru intervenției chirurgicale de cataract</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xml:space="preserve"> cu implantare de cristalin;</w:t>
            </w:r>
          </w:p>
          <w:p w14:paraId="133DA6E5" w14:textId="77777777"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 toți pacienții pentru intervenții </w:t>
            </w:r>
            <w:proofErr w:type="spellStart"/>
            <w:r w:rsidRPr="003F4D72">
              <w:rPr>
                <w:rFonts w:asciiTheme="majorHAnsi" w:eastAsia="Times New Roman" w:hAnsiTheme="majorHAnsi" w:cstheme="majorHAnsi"/>
                <w:i/>
                <w:sz w:val="18"/>
                <w:szCs w:val="18"/>
              </w:rPr>
              <w:t>cardiochirurgicale</w:t>
            </w:r>
            <w:proofErr w:type="spellEnd"/>
            <w:r w:rsidRPr="003F4D72">
              <w:rPr>
                <w:rFonts w:asciiTheme="majorHAnsi" w:eastAsia="Times New Roman" w:hAnsiTheme="majorHAnsi" w:cstheme="majorHAnsi"/>
                <w:i/>
                <w:sz w:val="18"/>
                <w:szCs w:val="18"/>
              </w:rPr>
              <w:t>.</w:t>
            </w:r>
          </w:p>
          <w:p w14:paraId="3F3867B9" w14:textId="3F7D06F4" w:rsidR="00B92E41" w:rsidRPr="003F4D72" w:rsidRDefault="00B92E41">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ANSP informează ca</w:t>
            </w:r>
            <w:r w:rsidR="00BB34E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 xml:space="preserve">n scopul sporirii accesului populației la tratament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cadrul Programelor speciale acoperite din mijloacele fondurilor asigurării obligatorii de asisten</w:t>
            </w:r>
            <w:r w:rsidR="00BB34E2" w:rsidRPr="003F4D72">
              <w:rPr>
                <w:rFonts w:asciiTheme="majorHAnsi" w:eastAsia="Times New Roman" w:hAnsiTheme="majorHAnsi" w:cstheme="majorHAnsi"/>
                <w:i/>
                <w:sz w:val="18"/>
                <w:szCs w:val="18"/>
              </w:rPr>
              <w:t>ță</w:t>
            </w:r>
            <w:r w:rsidRPr="003F4D72">
              <w:rPr>
                <w:rFonts w:asciiTheme="majorHAnsi" w:eastAsia="Times New Roman" w:hAnsiTheme="majorHAnsi" w:cstheme="majorHAnsi"/>
                <w:i/>
                <w:sz w:val="18"/>
                <w:szCs w:val="18"/>
              </w:rPr>
              <w:t xml:space="preserve"> medical</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xml:space="preserve"> și eficientizării utilizării surselor financiare din fondurile asigurării obligatorii de asisten</w:t>
            </w:r>
            <w:r w:rsidR="00BB34E2" w:rsidRPr="003F4D72">
              <w:rPr>
                <w:rFonts w:asciiTheme="majorHAnsi" w:eastAsia="Times New Roman" w:hAnsiTheme="majorHAnsi" w:cstheme="majorHAnsi"/>
                <w:i/>
                <w:sz w:val="18"/>
                <w:szCs w:val="18"/>
              </w:rPr>
              <w:t>ță</w:t>
            </w:r>
            <w:r w:rsidRPr="003F4D72">
              <w:rPr>
                <w:rFonts w:asciiTheme="majorHAnsi" w:eastAsia="Times New Roman" w:hAnsiTheme="majorHAnsi" w:cstheme="majorHAnsi"/>
                <w:i/>
                <w:sz w:val="18"/>
                <w:szCs w:val="18"/>
              </w:rPr>
              <w:t xml:space="preserve"> medical</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xml:space="preserv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vederea acoperirii necesităților medicale a</w:t>
            </w:r>
            <w:r w:rsidR="00BB34E2" w:rsidRPr="003F4D72">
              <w:rPr>
                <w:rFonts w:asciiTheme="majorHAnsi" w:eastAsia="Times New Roman" w:hAnsiTheme="majorHAnsi" w:cstheme="majorHAnsi"/>
                <w:i/>
                <w:sz w:val="18"/>
                <w:szCs w:val="18"/>
              </w:rPr>
              <w:t>le</w:t>
            </w:r>
            <w:r w:rsidRPr="003F4D72">
              <w:rPr>
                <w:rFonts w:asciiTheme="majorHAnsi" w:eastAsia="Times New Roman" w:hAnsiTheme="majorHAnsi" w:cstheme="majorHAnsi"/>
                <w:i/>
                <w:sz w:val="18"/>
                <w:szCs w:val="18"/>
              </w:rPr>
              <w:t xml:space="preserve"> persoanelor asigurate, precum </w:t>
            </w:r>
            <w:r w:rsidR="00BB34E2" w:rsidRPr="003F4D72">
              <w:rPr>
                <w:rFonts w:asciiTheme="majorHAnsi" w:eastAsia="Times New Roman" w:hAnsiTheme="majorHAnsi" w:cstheme="majorHAnsi"/>
                <w:i/>
                <w:sz w:val="18"/>
                <w:szCs w:val="18"/>
              </w:rPr>
              <w:t>ș</w:t>
            </w:r>
            <w:r w:rsidRPr="003F4D72">
              <w:rPr>
                <w:rFonts w:asciiTheme="majorHAnsi" w:eastAsia="Times New Roman" w:hAnsiTheme="majorHAnsi" w:cstheme="majorHAnsi"/>
                <w:i/>
                <w:sz w:val="18"/>
                <w:szCs w:val="18"/>
              </w:rPr>
              <w:t xml:space="preserve">i monitorizării prestării serviciilor medicale acordate de prestatorii de servicii medicale, Listele de așteptare pentru tratament costisitor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 xml:space="preserve">n cadrul Programelor speciale </w:t>
            </w:r>
            <w:r w:rsidR="00BB34E2" w:rsidRPr="003F4D72">
              <w:rPr>
                <w:rFonts w:asciiTheme="majorHAnsi" w:eastAsia="Times New Roman" w:hAnsiTheme="majorHAnsi" w:cstheme="majorHAnsi"/>
                <w:i/>
                <w:sz w:val="18"/>
                <w:szCs w:val="18"/>
              </w:rPr>
              <w:t>ș</w:t>
            </w:r>
            <w:r w:rsidRPr="003F4D72">
              <w:rPr>
                <w:rFonts w:asciiTheme="majorHAnsi" w:eastAsia="Times New Roman" w:hAnsiTheme="majorHAnsi" w:cstheme="majorHAnsi"/>
                <w:i/>
                <w:sz w:val="18"/>
                <w:szCs w:val="18"/>
              </w:rPr>
              <w:t xml:space="preserve">i actele adiacente acestora, au fost transmise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 xml:space="preserve">n gestiunea Companiei Naționale de Asigurări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Medicin</w:t>
            </w:r>
            <w:r w:rsidR="00BB34E2" w:rsidRPr="003F4D72">
              <w:rPr>
                <w:rFonts w:asciiTheme="majorHAnsi" w:eastAsia="Times New Roman" w:hAnsiTheme="majorHAnsi" w:cstheme="majorHAnsi"/>
                <w:i/>
                <w:sz w:val="18"/>
                <w:szCs w:val="18"/>
              </w:rPr>
              <w:t>ă</w:t>
            </w:r>
            <w:r w:rsidRPr="003F4D72">
              <w:rPr>
                <w:rFonts w:asciiTheme="majorHAnsi" w:eastAsia="Times New Roman" w:hAnsiTheme="majorHAnsi" w:cstheme="majorHAnsi"/>
                <w:i/>
                <w:sz w:val="18"/>
                <w:szCs w:val="18"/>
              </w:rPr>
              <w:t xml:space="preserve">, conform Ordinului comun al MSMPS și CNAM nr. 388/297-A din 02 noiembrie 2020 „Cu privire la gestionarea Listelor de așteptare pentru tratament in cadrul Programelor speciale”. Actul de predare-primire a listelor de așteptare pentru tratament </w:t>
            </w:r>
            <w:r w:rsidR="00BB34E2" w:rsidRPr="003F4D72">
              <w:rPr>
                <w:rFonts w:asciiTheme="majorHAnsi" w:eastAsia="Times New Roman" w:hAnsiTheme="majorHAnsi" w:cstheme="majorHAnsi"/>
                <w:i/>
                <w:sz w:val="18"/>
                <w:szCs w:val="18"/>
              </w:rPr>
              <w:t>î</w:t>
            </w:r>
            <w:r w:rsidRPr="003F4D72">
              <w:rPr>
                <w:rFonts w:asciiTheme="majorHAnsi" w:eastAsia="Times New Roman" w:hAnsiTheme="majorHAnsi" w:cstheme="majorHAnsi"/>
                <w:i/>
                <w:sz w:val="18"/>
                <w:szCs w:val="18"/>
              </w:rPr>
              <w:t>n cadrul programelor speciale din 13.XI. 2020</w:t>
            </w:r>
          </w:p>
        </w:tc>
        <w:tc>
          <w:tcPr>
            <w:tcW w:w="300" w:type="pct"/>
            <w:shd w:val="clear" w:color="auto" w:fill="auto"/>
          </w:tcPr>
          <w:p w14:paraId="71EFF773"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p>
        </w:tc>
        <w:tc>
          <w:tcPr>
            <w:tcW w:w="301" w:type="pct"/>
            <w:shd w:val="clear" w:color="auto" w:fill="auto"/>
          </w:tcPr>
          <w:p w14:paraId="1DF4EF6A" w14:textId="77777777" w:rsidR="00B92E41" w:rsidRPr="003F4D72" w:rsidRDefault="00B92E41" w:rsidP="003F4D72">
            <w:pPr>
              <w:spacing w:after="0" w:line="240" w:lineRule="auto"/>
              <w:jc w:val="both"/>
              <w:rPr>
                <w:rFonts w:asciiTheme="majorHAnsi" w:eastAsia="Times New Roman" w:hAnsiTheme="majorHAnsi" w:cstheme="majorHAnsi"/>
                <w:b/>
                <w:bCs/>
                <w:i/>
                <w:sz w:val="18"/>
                <w:szCs w:val="18"/>
              </w:rPr>
            </w:pPr>
            <w:r w:rsidRPr="003F4D72">
              <w:rPr>
                <w:rFonts w:asciiTheme="majorHAnsi" w:eastAsia="Times New Roman" w:hAnsiTheme="majorHAnsi" w:cstheme="majorHAnsi"/>
                <w:b/>
                <w:bCs/>
                <w:i/>
                <w:sz w:val="18"/>
                <w:szCs w:val="18"/>
              </w:rPr>
              <w:t>V</w:t>
            </w:r>
          </w:p>
        </w:tc>
        <w:tc>
          <w:tcPr>
            <w:tcW w:w="334" w:type="pct"/>
          </w:tcPr>
          <w:p w14:paraId="58917A11"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p>
        </w:tc>
      </w:tr>
      <w:tr w:rsidR="00B92E41" w:rsidRPr="003F4D72" w14:paraId="1F7FFA97" w14:textId="77777777" w:rsidTr="00436DF9">
        <w:trPr>
          <w:trHeight w:val="20"/>
        </w:trPr>
        <w:tc>
          <w:tcPr>
            <w:tcW w:w="202" w:type="pct"/>
            <w:shd w:val="clear" w:color="auto" w:fill="FFE599" w:themeFill="accent4" w:themeFillTint="66"/>
            <w:noWrap/>
            <w:vAlign w:val="center"/>
          </w:tcPr>
          <w:p w14:paraId="313C55CE"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863" w:type="pct"/>
            <w:gridSpan w:val="2"/>
            <w:shd w:val="clear" w:color="auto" w:fill="FFE599" w:themeFill="accent4" w:themeFillTint="66"/>
          </w:tcPr>
          <w:p w14:paraId="72B496C0" w14:textId="77777777" w:rsidR="00B92E41" w:rsidRPr="003F4D72" w:rsidRDefault="00B92E41" w:rsidP="003F4D72">
            <w:pPr>
              <w:spacing w:after="0" w:line="240" w:lineRule="auto"/>
              <w:jc w:val="both"/>
              <w:rPr>
                <w:rFonts w:asciiTheme="majorHAnsi" w:eastAsia="Times New Roman" w:hAnsiTheme="majorHAnsi" w:cstheme="majorHAnsi"/>
                <w:b/>
                <w:bCs/>
                <w:i/>
                <w:iCs/>
                <w:sz w:val="18"/>
                <w:szCs w:val="18"/>
              </w:rPr>
            </w:pPr>
            <w:r w:rsidRPr="003F4D72">
              <w:rPr>
                <w:rFonts w:asciiTheme="majorHAnsi" w:eastAsia="Times New Roman" w:hAnsiTheme="majorHAnsi" w:cstheme="majorHAnsi"/>
                <w:b/>
                <w:bCs/>
                <w:i/>
                <w:iCs/>
                <w:sz w:val="18"/>
                <w:szCs w:val="18"/>
              </w:rPr>
              <w:t>Consiliul raional Hâncești</w:t>
            </w:r>
          </w:p>
        </w:tc>
        <w:tc>
          <w:tcPr>
            <w:tcW w:w="300" w:type="pct"/>
            <w:shd w:val="clear" w:color="auto" w:fill="FFE599" w:themeFill="accent4" w:themeFillTint="66"/>
          </w:tcPr>
          <w:p w14:paraId="15083891"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01" w:type="pct"/>
            <w:shd w:val="clear" w:color="auto" w:fill="FFE599" w:themeFill="accent4" w:themeFillTint="66"/>
          </w:tcPr>
          <w:p w14:paraId="776ECD0B"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c>
          <w:tcPr>
            <w:tcW w:w="334" w:type="pct"/>
            <w:shd w:val="clear" w:color="auto" w:fill="FFE599" w:themeFill="accent4" w:themeFillTint="66"/>
          </w:tcPr>
          <w:p w14:paraId="70BD0BF0" w14:textId="77777777" w:rsidR="00B92E41" w:rsidRPr="003F4D72" w:rsidRDefault="00B92E41" w:rsidP="003F4D72">
            <w:pPr>
              <w:spacing w:after="0" w:line="240" w:lineRule="auto"/>
              <w:jc w:val="both"/>
              <w:rPr>
                <w:rFonts w:asciiTheme="majorHAnsi" w:eastAsia="Times New Roman" w:hAnsiTheme="majorHAnsi" w:cstheme="majorHAnsi"/>
                <w:b/>
                <w:bCs/>
                <w:sz w:val="18"/>
                <w:szCs w:val="18"/>
              </w:rPr>
            </w:pPr>
          </w:p>
        </w:tc>
      </w:tr>
      <w:tr w:rsidR="00B92E41" w:rsidRPr="006E0049" w14:paraId="0C4723AA" w14:textId="77777777" w:rsidTr="00436DF9">
        <w:trPr>
          <w:trHeight w:val="20"/>
        </w:trPr>
        <w:tc>
          <w:tcPr>
            <w:tcW w:w="202" w:type="pct"/>
            <w:shd w:val="clear" w:color="auto" w:fill="auto"/>
            <w:noWrap/>
            <w:vAlign w:val="center"/>
          </w:tcPr>
          <w:p w14:paraId="0BBD24D6" w14:textId="77777777" w:rsidR="00B92E41" w:rsidRPr="003F4D72" w:rsidRDefault="00B92E41" w:rsidP="003F4D72">
            <w:pPr>
              <w:spacing w:after="0" w:line="240" w:lineRule="auto"/>
              <w:jc w:val="both"/>
              <w:rPr>
                <w:rFonts w:asciiTheme="majorHAnsi" w:eastAsia="Times New Roman" w:hAnsiTheme="majorHAnsi" w:cstheme="majorHAnsi"/>
                <w:b/>
                <w:bCs/>
                <w:i/>
                <w:sz w:val="18"/>
                <w:szCs w:val="18"/>
              </w:rPr>
            </w:pPr>
            <w:r w:rsidRPr="003F4D72">
              <w:rPr>
                <w:rFonts w:asciiTheme="majorHAnsi" w:eastAsia="Times New Roman" w:hAnsiTheme="majorHAnsi" w:cstheme="majorHAnsi"/>
                <w:b/>
                <w:bCs/>
                <w:i/>
                <w:sz w:val="18"/>
                <w:szCs w:val="18"/>
              </w:rPr>
              <w:t>12</w:t>
            </w:r>
          </w:p>
        </w:tc>
        <w:tc>
          <w:tcPr>
            <w:tcW w:w="972" w:type="pct"/>
            <w:shd w:val="clear" w:color="auto" w:fill="auto"/>
          </w:tcPr>
          <w:p w14:paraId="723ADF22"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 xml:space="preserve">înregistrarea drepturilor patrimoniale la oficiile cadastrale asupra clădirilor: Centrului de Sănătate Cotul Morii; Oficiului Medicilor de Familie Bozieni; Centrului de Sănătate Mingir </w:t>
            </w:r>
            <w:proofErr w:type="spellStart"/>
            <w:r w:rsidRPr="003F4D72">
              <w:rPr>
                <w:rFonts w:asciiTheme="majorHAnsi" w:eastAsia="Times New Roman" w:hAnsiTheme="majorHAnsi" w:cstheme="majorHAnsi"/>
                <w:i/>
                <w:sz w:val="18"/>
                <w:szCs w:val="18"/>
              </w:rPr>
              <w:t>şi</w:t>
            </w:r>
            <w:proofErr w:type="spellEnd"/>
            <w:r w:rsidRPr="003F4D72">
              <w:rPr>
                <w:rFonts w:asciiTheme="majorHAnsi" w:eastAsia="Times New Roman" w:hAnsiTheme="majorHAnsi" w:cstheme="majorHAnsi"/>
                <w:i/>
                <w:sz w:val="18"/>
                <w:szCs w:val="18"/>
              </w:rPr>
              <w:t xml:space="preserve"> transmiterea în gestiune a acestora</w:t>
            </w:r>
          </w:p>
        </w:tc>
        <w:tc>
          <w:tcPr>
            <w:tcW w:w="2890" w:type="pct"/>
            <w:shd w:val="clear" w:color="auto" w:fill="auto"/>
          </w:tcPr>
          <w:p w14:paraId="578F20CC" w14:textId="3A80836D" w:rsidR="00B92E41" w:rsidRPr="003F4D72" w:rsidRDefault="00B92E41" w:rsidP="00532082">
            <w:pPr>
              <w:spacing w:after="0" w:line="240" w:lineRule="auto"/>
              <w:jc w:val="both"/>
              <w:rPr>
                <w:rFonts w:asciiTheme="majorHAnsi" w:eastAsia="Times New Roman" w:hAnsiTheme="majorHAnsi" w:cstheme="majorHAnsi"/>
                <w:i/>
                <w:sz w:val="18"/>
                <w:szCs w:val="18"/>
              </w:rPr>
            </w:pPr>
            <w:r w:rsidRPr="003F4D72">
              <w:rPr>
                <w:rFonts w:asciiTheme="majorHAnsi" w:eastAsia="Times New Roman" w:hAnsiTheme="majorHAnsi" w:cstheme="majorHAnsi"/>
                <w:i/>
                <w:sz w:val="18"/>
                <w:szCs w:val="18"/>
              </w:rPr>
              <w:t>Recomandarea înaintată ține de autoritatea publică locală, este specifică și de durată și ține exclusiv de patrimoniul acestuia. În aceste condiții</w:t>
            </w:r>
            <w:r w:rsidR="00532082" w:rsidRPr="003F4D72">
              <w:rPr>
                <w:rFonts w:asciiTheme="majorHAnsi" w:eastAsia="Times New Roman" w:hAnsiTheme="majorHAnsi" w:cstheme="majorHAnsi"/>
                <w:i/>
                <w:sz w:val="18"/>
                <w:szCs w:val="18"/>
              </w:rPr>
              <w:t>,</w:t>
            </w:r>
            <w:r w:rsidRPr="003F4D72">
              <w:rPr>
                <w:rFonts w:asciiTheme="majorHAnsi" w:eastAsia="Times New Roman" w:hAnsiTheme="majorHAnsi" w:cstheme="majorHAnsi"/>
                <w:i/>
                <w:sz w:val="18"/>
                <w:szCs w:val="18"/>
              </w:rPr>
              <w:t xml:space="preserve"> se </w:t>
            </w:r>
            <w:proofErr w:type="spellStart"/>
            <w:r w:rsidRPr="003F4D72">
              <w:rPr>
                <w:rFonts w:asciiTheme="majorHAnsi" w:eastAsia="Times New Roman" w:hAnsiTheme="majorHAnsi" w:cstheme="majorHAnsi"/>
                <w:i/>
                <w:sz w:val="18"/>
                <w:szCs w:val="18"/>
              </w:rPr>
              <w:t>propunede</w:t>
            </w:r>
            <w:proofErr w:type="spellEnd"/>
            <w:r w:rsidRPr="003F4D72">
              <w:rPr>
                <w:rFonts w:asciiTheme="majorHAnsi" w:eastAsia="Times New Roman" w:hAnsiTheme="majorHAnsi" w:cstheme="majorHAnsi"/>
                <w:i/>
                <w:sz w:val="18"/>
                <w:szCs w:val="18"/>
              </w:rPr>
              <w:t xml:space="preserve"> a fi exclusă din regim de recomandare.</w:t>
            </w:r>
          </w:p>
        </w:tc>
        <w:tc>
          <w:tcPr>
            <w:tcW w:w="300" w:type="pct"/>
            <w:shd w:val="clear" w:color="auto" w:fill="auto"/>
          </w:tcPr>
          <w:p w14:paraId="28EA1F48" w14:textId="77777777" w:rsidR="00B92E41" w:rsidRPr="003F4D72" w:rsidRDefault="00B92E41" w:rsidP="003F4D72">
            <w:pPr>
              <w:spacing w:after="0" w:line="240" w:lineRule="auto"/>
              <w:jc w:val="both"/>
              <w:rPr>
                <w:rFonts w:asciiTheme="majorHAnsi" w:eastAsia="Times New Roman" w:hAnsiTheme="majorHAnsi" w:cstheme="majorHAnsi"/>
                <w:i/>
                <w:sz w:val="18"/>
                <w:szCs w:val="18"/>
              </w:rPr>
            </w:pPr>
          </w:p>
        </w:tc>
        <w:tc>
          <w:tcPr>
            <w:tcW w:w="301" w:type="pct"/>
            <w:shd w:val="clear" w:color="auto" w:fill="auto"/>
          </w:tcPr>
          <w:p w14:paraId="38BED995" w14:textId="77777777" w:rsidR="00B92E41" w:rsidRPr="003F4D72" w:rsidRDefault="00B92E41" w:rsidP="003F4D72">
            <w:pPr>
              <w:spacing w:after="0" w:line="240" w:lineRule="auto"/>
              <w:jc w:val="both"/>
              <w:rPr>
                <w:rFonts w:asciiTheme="majorHAnsi" w:eastAsia="Times New Roman" w:hAnsiTheme="majorHAnsi" w:cstheme="majorHAnsi"/>
                <w:bCs/>
                <w:i/>
                <w:sz w:val="18"/>
                <w:szCs w:val="18"/>
              </w:rPr>
            </w:pPr>
          </w:p>
        </w:tc>
        <w:tc>
          <w:tcPr>
            <w:tcW w:w="334" w:type="pct"/>
          </w:tcPr>
          <w:p w14:paraId="0CAE0D76" w14:textId="77777777" w:rsidR="00B92E41" w:rsidRPr="003F4D72" w:rsidRDefault="00B92E41" w:rsidP="003F4D72">
            <w:pPr>
              <w:spacing w:after="0" w:line="240" w:lineRule="auto"/>
              <w:jc w:val="both"/>
              <w:rPr>
                <w:rFonts w:asciiTheme="majorHAnsi" w:eastAsia="Times New Roman" w:hAnsiTheme="majorHAnsi" w:cstheme="majorHAnsi"/>
                <w:b/>
                <w:bCs/>
                <w:i/>
                <w:sz w:val="18"/>
                <w:szCs w:val="18"/>
              </w:rPr>
            </w:pPr>
            <w:r w:rsidRPr="003F4D72">
              <w:rPr>
                <w:rFonts w:asciiTheme="majorHAnsi" w:eastAsia="Times New Roman" w:hAnsiTheme="majorHAnsi" w:cstheme="majorHAnsi"/>
                <w:b/>
                <w:bCs/>
                <w:i/>
                <w:sz w:val="18"/>
                <w:szCs w:val="18"/>
              </w:rPr>
              <w:t>V</w:t>
            </w:r>
          </w:p>
        </w:tc>
      </w:tr>
    </w:tbl>
    <w:p w14:paraId="6808E6D4" w14:textId="77777777" w:rsidR="00B92E41" w:rsidRPr="003F4D72" w:rsidRDefault="00B92E41" w:rsidP="003F4D72">
      <w:pPr>
        <w:jc w:val="both"/>
      </w:pPr>
    </w:p>
    <w:sectPr w:rsidR="00B92E41" w:rsidRPr="003F4D72" w:rsidSect="00B92E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2016" w14:textId="77777777" w:rsidR="00F912BC" w:rsidRDefault="00F912BC" w:rsidP="00F016B0">
      <w:pPr>
        <w:spacing w:after="0" w:line="240" w:lineRule="auto"/>
      </w:pPr>
      <w:r>
        <w:separator/>
      </w:r>
    </w:p>
  </w:endnote>
  <w:endnote w:type="continuationSeparator" w:id="0">
    <w:p w14:paraId="5BE49FF6" w14:textId="77777777" w:rsidR="00F912BC" w:rsidRDefault="00F912BC" w:rsidP="00F0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676198"/>
      <w:docPartObj>
        <w:docPartGallery w:val="Page Numbers (Bottom of Page)"/>
        <w:docPartUnique/>
      </w:docPartObj>
    </w:sdtPr>
    <w:sdtEndPr>
      <w:rPr>
        <w:noProof/>
      </w:rPr>
    </w:sdtEndPr>
    <w:sdtContent>
      <w:p w14:paraId="71AC2749" w14:textId="49DF1F17" w:rsidR="001C2E72" w:rsidRDefault="001C2E72">
        <w:pPr>
          <w:pStyle w:val="Footer"/>
          <w:jc w:val="right"/>
        </w:pPr>
        <w:r>
          <w:fldChar w:fldCharType="begin"/>
        </w:r>
        <w:r>
          <w:instrText xml:space="preserve"> PAGE   \* MERGEFORMAT </w:instrText>
        </w:r>
        <w:r>
          <w:fldChar w:fldCharType="separate"/>
        </w:r>
        <w:r w:rsidR="005A36A2">
          <w:rPr>
            <w:noProof/>
          </w:rPr>
          <w:t>21</w:t>
        </w:r>
        <w:r>
          <w:rPr>
            <w:noProof/>
          </w:rPr>
          <w:fldChar w:fldCharType="end"/>
        </w:r>
      </w:p>
    </w:sdtContent>
  </w:sdt>
  <w:p w14:paraId="746C0983" w14:textId="77777777" w:rsidR="001C2E72" w:rsidRDefault="001C2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E7A7B" w14:textId="77777777" w:rsidR="00F912BC" w:rsidRDefault="00F912BC" w:rsidP="00F016B0">
      <w:pPr>
        <w:spacing w:after="0" w:line="240" w:lineRule="auto"/>
      </w:pPr>
      <w:r>
        <w:separator/>
      </w:r>
    </w:p>
  </w:footnote>
  <w:footnote w:type="continuationSeparator" w:id="0">
    <w:p w14:paraId="73E70312" w14:textId="77777777" w:rsidR="00F912BC" w:rsidRDefault="00F912BC" w:rsidP="00F016B0">
      <w:pPr>
        <w:spacing w:after="0" w:line="240" w:lineRule="auto"/>
      </w:pPr>
      <w:r>
        <w:continuationSeparator/>
      </w:r>
    </w:p>
  </w:footnote>
  <w:footnote w:id="1">
    <w:p w14:paraId="76000CE2" w14:textId="77777777" w:rsidR="001C2E72" w:rsidRPr="00B222A4" w:rsidRDefault="001C2E72" w:rsidP="00101AEB">
      <w:pPr>
        <w:pStyle w:val="FootnoteText"/>
        <w:jc w:val="both"/>
        <w:rPr>
          <w:rFonts w:asciiTheme="majorHAnsi" w:hAnsiTheme="majorHAnsi" w:cstheme="majorHAnsi"/>
          <w:sz w:val="16"/>
          <w:szCs w:val="16"/>
          <w:lang w:val="ro-MD"/>
        </w:rPr>
      </w:pPr>
      <w:r w:rsidRPr="00B222A4">
        <w:rPr>
          <w:rStyle w:val="FootnoteReference"/>
          <w:rFonts w:asciiTheme="majorHAnsi" w:hAnsiTheme="majorHAnsi" w:cstheme="majorHAnsi"/>
          <w:sz w:val="16"/>
          <w:szCs w:val="16"/>
          <w:lang w:val="ro-MD"/>
        </w:rPr>
        <w:footnoteRef/>
      </w:r>
      <w:r w:rsidRPr="00B222A4">
        <w:rPr>
          <w:rFonts w:asciiTheme="majorHAnsi" w:hAnsiTheme="majorHAnsi" w:cstheme="majorHAnsi"/>
          <w:sz w:val="16"/>
          <w:szCs w:val="16"/>
          <w:lang w:val="ro-MD"/>
        </w:rPr>
        <w:t xml:space="preserve"> </w:t>
      </w:r>
      <w:r w:rsidRPr="00B222A4">
        <w:rPr>
          <w:rFonts w:asciiTheme="majorHAnsi" w:eastAsia="Times New Roman" w:hAnsiTheme="majorHAnsi" w:cstheme="majorHAnsi"/>
          <w:sz w:val="16"/>
          <w:szCs w:val="16"/>
          <w:lang w:val="ro-MD"/>
        </w:rPr>
        <w:t xml:space="preserve">Raport privind executarea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(descrierea narativă); Raport privind executarea indicatorilor generali </w:t>
      </w:r>
      <w:proofErr w:type="spellStart"/>
      <w:r w:rsidRPr="00B222A4">
        <w:rPr>
          <w:rFonts w:asciiTheme="majorHAnsi" w:eastAsia="Times New Roman" w:hAnsiTheme="majorHAnsi" w:cstheme="majorHAnsi"/>
          <w:sz w:val="16"/>
          <w:szCs w:val="16"/>
          <w:lang w:val="ro-MD"/>
        </w:rPr>
        <w:t>şi</w:t>
      </w:r>
      <w:proofErr w:type="spellEnd"/>
      <w:r w:rsidRPr="00B222A4">
        <w:rPr>
          <w:rFonts w:asciiTheme="majorHAnsi" w:eastAsia="Times New Roman" w:hAnsiTheme="majorHAnsi" w:cstheme="majorHAnsi"/>
          <w:sz w:val="16"/>
          <w:szCs w:val="16"/>
          <w:lang w:val="ro-MD"/>
        </w:rPr>
        <w:t xml:space="preserve"> surselor de finanțare ale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(conform Anexei nr.1 la Legea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Raport privind executarea veniturilor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(conform Anexei nr.1.1 la Legea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Raport privind executarea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pe cheltuieli (conform Anexei nr.1.2 la Legea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Raport privind executarea programelor de cheltuieli ale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(conform Anexei nr.2 la Legea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Raport privind executarea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Raport privind executarea fondurilor asigurării obligatorii de </w:t>
      </w:r>
      <w:proofErr w:type="spellStart"/>
      <w:r w:rsidRPr="00B222A4">
        <w:rPr>
          <w:rFonts w:asciiTheme="majorHAnsi" w:eastAsia="Times New Roman" w:hAnsiTheme="majorHAnsi" w:cstheme="majorHAnsi"/>
          <w:sz w:val="16"/>
          <w:szCs w:val="16"/>
          <w:lang w:val="ro-MD"/>
        </w:rPr>
        <w:t>asistenţă</w:t>
      </w:r>
      <w:proofErr w:type="spellEnd"/>
      <w:r w:rsidRPr="00B222A4">
        <w:rPr>
          <w:rFonts w:asciiTheme="majorHAnsi" w:eastAsia="Times New Roman" w:hAnsiTheme="majorHAnsi" w:cstheme="majorHAnsi"/>
          <w:sz w:val="16"/>
          <w:szCs w:val="16"/>
          <w:lang w:val="ro-MD"/>
        </w:rPr>
        <w:t xml:space="preserve"> medicală la partea de cheltuieli </w:t>
      </w:r>
      <w:proofErr w:type="spellStart"/>
      <w:r w:rsidRPr="00B222A4">
        <w:rPr>
          <w:rFonts w:asciiTheme="majorHAnsi" w:eastAsia="Times New Roman" w:hAnsiTheme="majorHAnsi" w:cstheme="majorHAnsi"/>
          <w:sz w:val="16"/>
          <w:szCs w:val="16"/>
          <w:lang w:val="ro-MD"/>
        </w:rPr>
        <w:t>şi</w:t>
      </w:r>
      <w:proofErr w:type="spellEnd"/>
      <w:r w:rsidRPr="00B222A4">
        <w:rPr>
          <w:rFonts w:asciiTheme="majorHAnsi" w:eastAsia="Times New Roman" w:hAnsiTheme="majorHAnsi" w:cstheme="majorHAnsi"/>
          <w:sz w:val="16"/>
          <w:szCs w:val="16"/>
          <w:lang w:val="ro-MD"/>
        </w:rPr>
        <w:t xml:space="preserve"> active nefinanciare.</w:t>
      </w:r>
    </w:p>
  </w:footnote>
  <w:footnote w:id="2">
    <w:p w14:paraId="7AFB3AD3" w14:textId="0A983F22" w:rsidR="001C2E72" w:rsidRPr="00B222A4" w:rsidRDefault="001C2E72" w:rsidP="00101AEB">
      <w:pPr>
        <w:spacing w:after="0" w:line="240" w:lineRule="auto"/>
        <w:jc w:val="both"/>
        <w:rPr>
          <w:rFonts w:asciiTheme="majorHAnsi" w:eastAsia="Times New Roman" w:hAnsiTheme="majorHAnsi" w:cstheme="majorHAnsi"/>
          <w:sz w:val="16"/>
          <w:szCs w:val="16"/>
        </w:rPr>
      </w:pPr>
      <w:r w:rsidRPr="00B222A4">
        <w:rPr>
          <w:rStyle w:val="FootnoteReference"/>
          <w:rFonts w:asciiTheme="majorHAnsi" w:hAnsiTheme="majorHAnsi" w:cstheme="majorHAnsi"/>
          <w:sz w:val="16"/>
          <w:szCs w:val="16"/>
        </w:rPr>
        <w:footnoteRef/>
      </w:r>
      <w:r w:rsidRPr="00B222A4">
        <w:rPr>
          <w:rFonts w:asciiTheme="majorHAnsi" w:hAnsiTheme="majorHAnsi" w:cstheme="majorHAnsi"/>
          <w:sz w:val="16"/>
          <w:szCs w:val="16"/>
        </w:rPr>
        <w:t xml:space="preserve"> Legea </w:t>
      </w:r>
      <w:r w:rsidR="003F4D72" w:rsidRPr="00B222A4">
        <w:rPr>
          <w:rFonts w:asciiTheme="majorHAnsi" w:hAnsiTheme="majorHAnsi" w:cstheme="majorHAnsi"/>
          <w:sz w:val="16"/>
          <w:szCs w:val="16"/>
        </w:rPr>
        <w:t>contabilității</w:t>
      </w:r>
      <w:r w:rsidRPr="00B222A4">
        <w:rPr>
          <w:rFonts w:asciiTheme="majorHAnsi" w:hAnsiTheme="majorHAnsi" w:cstheme="majorHAnsi"/>
          <w:sz w:val="16"/>
          <w:szCs w:val="16"/>
        </w:rPr>
        <w:t xml:space="preserve"> și raportării financiare nr.287 din 15.12.2017</w:t>
      </w:r>
      <w:r>
        <w:rPr>
          <w:rFonts w:asciiTheme="majorHAnsi" w:hAnsiTheme="majorHAnsi" w:cstheme="majorHAnsi"/>
          <w:sz w:val="16"/>
          <w:szCs w:val="16"/>
        </w:rPr>
        <w:t xml:space="preserve"> (în continuare – Legea nr.287 din 15.12.2017)</w:t>
      </w:r>
      <w:r w:rsidRPr="00B222A4">
        <w:rPr>
          <w:rFonts w:asciiTheme="majorHAnsi" w:hAnsiTheme="majorHAnsi" w:cstheme="majorHAnsi"/>
          <w:sz w:val="16"/>
          <w:szCs w:val="16"/>
        </w:rPr>
        <w:t>;</w:t>
      </w:r>
      <w:r w:rsidRPr="00B222A4">
        <w:rPr>
          <w:rFonts w:asciiTheme="majorHAnsi" w:eastAsia="Times New Roman" w:hAnsiTheme="majorHAnsi" w:cstheme="majorHAnsi"/>
          <w:sz w:val="16"/>
          <w:szCs w:val="16"/>
        </w:rPr>
        <w:t xml:space="preserve"> </w:t>
      </w:r>
      <w:hyperlink r:id="rId1" w:history="1">
        <w:r w:rsidRPr="00B222A4">
          <w:rPr>
            <w:rFonts w:asciiTheme="majorHAnsi" w:eastAsia="Times New Roman" w:hAnsiTheme="majorHAnsi" w:cstheme="majorHAnsi"/>
            <w:sz w:val="16"/>
            <w:szCs w:val="16"/>
          </w:rPr>
          <w:t xml:space="preserve">Ordinul ministrului </w:t>
        </w:r>
        <w:r>
          <w:rPr>
            <w:rFonts w:asciiTheme="majorHAnsi" w:eastAsia="Times New Roman" w:hAnsiTheme="majorHAnsi" w:cstheme="majorHAnsi"/>
            <w:sz w:val="16"/>
            <w:szCs w:val="16"/>
          </w:rPr>
          <w:t>F</w:t>
        </w:r>
        <w:r w:rsidRPr="00B222A4">
          <w:rPr>
            <w:rFonts w:asciiTheme="majorHAnsi" w:eastAsia="Times New Roman" w:hAnsiTheme="majorHAnsi" w:cstheme="majorHAnsi"/>
            <w:sz w:val="16"/>
            <w:szCs w:val="16"/>
          </w:rPr>
          <w:t>inanțelor nr.118 din 06.08.2013</w:t>
        </w:r>
      </w:hyperlink>
      <w:r w:rsidRPr="00B222A4">
        <w:rPr>
          <w:rFonts w:asciiTheme="majorHAnsi" w:eastAsia="Times New Roman" w:hAnsiTheme="majorHAnsi" w:cstheme="majorHAnsi"/>
          <w:sz w:val="16"/>
          <w:szCs w:val="16"/>
        </w:rPr>
        <w:t xml:space="preserve"> „Privind aprobarea Standardelor </w:t>
      </w:r>
      <w:proofErr w:type="spellStart"/>
      <w:r w:rsidRPr="00B222A4">
        <w:rPr>
          <w:rFonts w:asciiTheme="majorHAnsi" w:eastAsia="Times New Roman" w:hAnsiTheme="majorHAnsi" w:cstheme="majorHAnsi"/>
          <w:sz w:val="16"/>
          <w:szCs w:val="16"/>
        </w:rPr>
        <w:t>Naţionale</w:t>
      </w:r>
      <w:proofErr w:type="spellEnd"/>
      <w:r w:rsidRPr="00B222A4">
        <w:rPr>
          <w:rFonts w:asciiTheme="majorHAnsi" w:eastAsia="Times New Roman" w:hAnsiTheme="majorHAnsi" w:cstheme="majorHAnsi"/>
          <w:sz w:val="16"/>
          <w:szCs w:val="16"/>
        </w:rPr>
        <w:t xml:space="preserve"> de Contabilitate”; </w:t>
      </w:r>
      <w:hyperlink r:id="rId2" w:history="1">
        <w:r w:rsidRPr="00B222A4">
          <w:rPr>
            <w:rFonts w:asciiTheme="majorHAnsi" w:eastAsia="Times New Roman" w:hAnsiTheme="majorHAnsi" w:cstheme="majorHAnsi"/>
            <w:sz w:val="16"/>
            <w:szCs w:val="16"/>
          </w:rPr>
          <w:t xml:space="preserve">Ordinul ministrului </w:t>
        </w:r>
        <w:r>
          <w:rPr>
            <w:rFonts w:asciiTheme="majorHAnsi" w:eastAsia="Times New Roman" w:hAnsiTheme="majorHAnsi" w:cstheme="majorHAnsi"/>
            <w:sz w:val="16"/>
            <w:szCs w:val="16"/>
          </w:rPr>
          <w:t>F</w:t>
        </w:r>
        <w:r w:rsidRPr="00B222A4">
          <w:rPr>
            <w:rFonts w:asciiTheme="majorHAnsi" w:eastAsia="Times New Roman" w:hAnsiTheme="majorHAnsi" w:cstheme="majorHAnsi"/>
            <w:sz w:val="16"/>
            <w:szCs w:val="16"/>
          </w:rPr>
          <w:t>inanțelor nr.02 din 05.01.2018</w:t>
        </w:r>
      </w:hyperlink>
      <w:r w:rsidRPr="00B222A4">
        <w:rPr>
          <w:rFonts w:asciiTheme="majorHAnsi" w:eastAsia="Times New Roman" w:hAnsiTheme="majorHAnsi" w:cstheme="majorHAnsi"/>
          <w:sz w:val="16"/>
          <w:szCs w:val="16"/>
        </w:rPr>
        <w:t xml:space="preserve"> „Cu privire la aprobarea formularelor Rapoartelor privind executarea FAOAM”.</w:t>
      </w:r>
    </w:p>
  </w:footnote>
  <w:footnote w:id="3">
    <w:p w14:paraId="130CB341" w14:textId="77777777" w:rsidR="001C2E72" w:rsidRPr="00B222A4" w:rsidRDefault="001C2E72" w:rsidP="00101AEB">
      <w:pPr>
        <w:pStyle w:val="FootnoteText"/>
        <w:jc w:val="both"/>
        <w:rPr>
          <w:rFonts w:asciiTheme="majorHAnsi" w:hAnsiTheme="majorHAnsi" w:cstheme="majorHAnsi"/>
          <w:sz w:val="16"/>
          <w:szCs w:val="16"/>
          <w:lang w:val="ro-MD"/>
        </w:rPr>
      </w:pPr>
      <w:r w:rsidRPr="00B222A4">
        <w:rPr>
          <w:rStyle w:val="FootnoteReference"/>
          <w:rFonts w:asciiTheme="majorHAnsi" w:hAnsiTheme="majorHAnsi" w:cstheme="majorHAnsi"/>
          <w:sz w:val="16"/>
          <w:szCs w:val="16"/>
          <w:lang w:val="ro-MD"/>
        </w:rPr>
        <w:footnoteRef/>
      </w:r>
      <w:r w:rsidRPr="00B222A4">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69458F2A" w14:textId="3243F9DA" w:rsidR="001C2E72" w:rsidRPr="001C2E72" w:rsidRDefault="001C2E72" w:rsidP="002C6B6B">
      <w:pPr>
        <w:pStyle w:val="FootnoteText"/>
        <w:jc w:val="both"/>
        <w:rPr>
          <w:rFonts w:asciiTheme="majorHAnsi" w:hAnsiTheme="majorHAnsi" w:cstheme="majorHAnsi"/>
          <w:sz w:val="16"/>
          <w:szCs w:val="16"/>
          <w:lang w:val="ro-MD"/>
        </w:rPr>
      </w:pPr>
      <w:r w:rsidRPr="00B222A4">
        <w:rPr>
          <w:rStyle w:val="FootnoteReference"/>
          <w:rFonts w:asciiTheme="majorHAnsi" w:hAnsiTheme="majorHAnsi" w:cstheme="majorHAnsi"/>
          <w:sz w:val="16"/>
          <w:szCs w:val="16"/>
          <w:lang w:val="ro-MD"/>
        </w:rPr>
        <w:footnoteRef/>
      </w:r>
      <w:r w:rsidRPr="00B222A4">
        <w:rPr>
          <w:rFonts w:asciiTheme="majorHAnsi" w:hAnsiTheme="majorHAnsi" w:cstheme="majorHAnsi"/>
          <w:sz w:val="16"/>
          <w:szCs w:val="16"/>
          <w:lang w:val="ro-MD"/>
        </w:rPr>
        <w:t xml:space="preserve"> Art.73 alin. (1) din Legea</w:t>
      </w:r>
      <w:r>
        <w:rPr>
          <w:rFonts w:asciiTheme="majorHAnsi" w:hAnsiTheme="majorHAnsi" w:cstheme="majorHAnsi"/>
          <w:sz w:val="16"/>
          <w:szCs w:val="16"/>
          <w:lang w:val="ro-MD"/>
        </w:rPr>
        <w:t xml:space="preserve"> </w:t>
      </w:r>
      <w:r w:rsidRPr="00265FC7">
        <w:rPr>
          <w:rFonts w:asciiTheme="majorHAnsi" w:eastAsia="Times New Roman" w:hAnsiTheme="majorHAnsi" w:cstheme="majorHAnsi"/>
          <w:sz w:val="16"/>
          <w:szCs w:val="16"/>
          <w:lang w:val="ro-MD"/>
        </w:rPr>
        <w:t xml:space="preserve">finanțelor publice </w:t>
      </w:r>
      <w:proofErr w:type="spellStart"/>
      <w:r w:rsidRPr="00265FC7">
        <w:rPr>
          <w:rFonts w:asciiTheme="majorHAnsi" w:eastAsia="Times New Roman" w:hAnsiTheme="majorHAnsi" w:cstheme="majorHAnsi"/>
          <w:sz w:val="16"/>
          <w:szCs w:val="16"/>
          <w:lang w:val="ro-MD"/>
        </w:rPr>
        <w:t>şi</w:t>
      </w:r>
      <w:proofErr w:type="spellEnd"/>
      <w:r w:rsidRPr="00265FC7">
        <w:rPr>
          <w:rFonts w:asciiTheme="majorHAnsi" w:eastAsia="Times New Roman" w:hAnsiTheme="majorHAnsi" w:cstheme="majorHAnsi"/>
          <w:sz w:val="16"/>
          <w:szCs w:val="16"/>
          <w:lang w:val="ro-MD"/>
        </w:rPr>
        <w:t xml:space="preserve"> responsabilității bugeta</w:t>
      </w:r>
      <w:r>
        <w:rPr>
          <w:rFonts w:asciiTheme="majorHAnsi" w:eastAsia="Times New Roman" w:hAnsiTheme="majorHAnsi" w:cstheme="majorHAnsi"/>
          <w:sz w:val="16"/>
          <w:szCs w:val="16"/>
          <w:lang w:val="ro-MD"/>
        </w:rPr>
        <w:t>r-fiscale</w:t>
      </w:r>
      <w:r w:rsidRPr="00B222A4">
        <w:rPr>
          <w:rFonts w:asciiTheme="majorHAnsi" w:hAnsiTheme="majorHAnsi" w:cstheme="majorHAnsi"/>
          <w:sz w:val="16"/>
          <w:szCs w:val="16"/>
          <w:lang w:val="ro-MD"/>
        </w:rPr>
        <w:t xml:space="preserve"> nr.181 din 25.07.2014</w:t>
      </w:r>
      <w:r>
        <w:rPr>
          <w:rFonts w:asciiTheme="majorHAnsi" w:hAnsiTheme="majorHAnsi" w:cstheme="majorHAnsi"/>
          <w:sz w:val="16"/>
          <w:szCs w:val="16"/>
          <w:lang w:val="ro-MD"/>
        </w:rPr>
        <w:t xml:space="preserve"> (în continuare – Legea nr.181 din 25.07.2014)</w:t>
      </w:r>
      <w:r w:rsidRPr="00B222A4">
        <w:rPr>
          <w:rFonts w:asciiTheme="majorHAnsi" w:hAnsiTheme="majorHAnsi" w:cstheme="majorHAnsi"/>
          <w:sz w:val="16"/>
          <w:szCs w:val="16"/>
          <w:lang w:val="ro-MD"/>
        </w:rPr>
        <w:t>.</w:t>
      </w:r>
    </w:p>
  </w:footnote>
  <w:footnote w:id="5">
    <w:p w14:paraId="2C923432" w14:textId="4E5EBA7F" w:rsidR="001C2E72" w:rsidRPr="00B222A4" w:rsidRDefault="001C2E72" w:rsidP="00D04B2A">
      <w:pPr>
        <w:pStyle w:val="FootnoteText"/>
        <w:jc w:val="both"/>
        <w:rPr>
          <w:rFonts w:asciiTheme="majorHAnsi" w:hAnsiTheme="majorHAnsi" w:cstheme="majorHAnsi"/>
          <w:sz w:val="16"/>
          <w:szCs w:val="16"/>
        </w:rPr>
      </w:pPr>
      <w:r w:rsidRPr="00B222A4">
        <w:rPr>
          <w:rStyle w:val="FootnoteReference"/>
          <w:rFonts w:asciiTheme="majorHAnsi" w:hAnsiTheme="majorHAnsi" w:cstheme="majorHAnsi"/>
          <w:sz w:val="16"/>
          <w:szCs w:val="16"/>
          <w:lang w:val="ro-MD"/>
        </w:rPr>
        <w:footnoteRef/>
      </w:r>
      <w:r w:rsidRPr="00B222A4">
        <w:rPr>
          <w:rFonts w:asciiTheme="majorHAnsi" w:hAnsiTheme="majorHAnsi" w:cstheme="majorHAnsi"/>
          <w:sz w:val="16"/>
          <w:szCs w:val="16"/>
          <w:lang w:val="ro-MD"/>
        </w:rPr>
        <w:t xml:space="preserve"> </w:t>
      </w:r>
      <w:hyperlink r:id="rId3" w:history="1">
        <w:r w:rsidRPr="00B222A4">
          <w:rPr>
            <w:rFonts w:asciiTheme="majorHAnsi" w:eastAsia="Times New Roman" w:hAnsiTheme="majorHAnsi" w:cstheme="majorHAnsi"/>
            <w:sz w:val="16"/>
            <w:szCs w:val="16"/>
            <w:lang w:val="ro-MD"/>
          </w:rPr>
          <w:t>Legea nr.287 din 15.12.2017</w:t>
        </w:r>
      </w:hyperlink>
      <w:r w:rsidRPr="00B222A4">
        <w:rPr>
          <w:rFonts w:asciiTheme="majorHAnsi" w:eastAsia="Times New Roman" w:hAnsiTheme="majorHAnsi" w:cstheme="majorHAnsi"/>
          <w:sz w:val="16"/>
          <w:szCs w:val="16"/>
          <w:lang w:val="ro-MD"/>
        </w:rPr>
        <w:t>.</w:t>
      </w:r>
    </w:p>
  </w:footnote>
  <w:footnote w:id="6">
    <w:p w14:paraId="7FE93841" w14:textId="77777777" w:rsidR="001C2E72" w:rsidRPr="001C2E72" w:rsidRDefault="001C2E72" w:rsidP="00980BC4">
      <w:pPr>
        <w:pStyle w:val="FootnoteText"/>
        <w:jc w:val="both"/>
        <w:rPr>
          <w:rFonts w:asciiTheme="majorHAnsi" w:hAnsiTheme="majorHAnsi" w:cstheme="majorHAnsi"/>
          <w:sz w:val="16"/>
          <w:szCs w:val="16"/>
        </w:rPr>
      </w:pPr>
      <w:r w:rsidRPr="00B222A4">
        <w:rPr>
          <w:rStyle w:val="FootnoteReference"/>
          <w:rFonts w:asciiTheme="majorHAnsi" w:hAnsiTheme="majorHAnsi" w:cstheme="majorHAnsi"/>
          <w:sz w:val="16"/>
          <w:szCs w:val="16"/>
          <w:lang w:val="ro-MD"/>
        </w:rPr>
        <w:footnoteRef/>
      </w:r>
      <w:r w:rsidRPr="00B222A4">
        <w:rPr>
          <w:rFonts w:asciiTheme="majorHAnsi" w:hAnsiTheme="majorHAnsi" w:cstheme="majorHAnsi"/>
          <w:sz w:val="16"/>
          <w:szCs w:val="16"/>
          <w:lang w:val="ro-MD"/>
        </w:rPr>
        <w:t xml:space="preserve"> Art. 17 din Legea nr.1593-XV din 26.12.2002 cu privire la mărimea, modul și termenele de achitare a primelor de asigurare obligatorie de asistență medicală.</w:t>
      </w:r>
    </w:p>
  </w:footnote>
  <w:footnote w:id="7">
    <w:p w14:paraId="76094A09" w14:textId="77777777" w:rsidR="001C2E72" w:rsidRPr="007B1756" w:rsidRDefault="001C2E72" w:rsidP="0068189C">
      <w:pPr>
        <w:pStyle w:val="FootnoteText"/>
        <w:rPr>
          <w:rFonts w:asciiTheme="majorHAnsi" w:hAnsiTheme="majorHAnsi"/>
          <w:sz w:val="16"/>
          <w:szCs w:val="16"/>
          <w:lang w:val="ro-MD"/>
        </w:rPr>
      </w:pPr>
      <w:r w:rsidRPr="007B1756">
        <w:rPr>
          <w:rStyle w:val="FootnoteReference"/>
          <w:rFonts w:asciiTheme="majorHAnsi" w:hAnsiTheme="majorHAnsi"/>
          <w:sz w:val="16"/>
          <w:szCs w:val="16"/>
        </w:rPr>
        <w:footnoteRef/>
      </w:r>
      <w:r w:rsidRPr="007B1756">
        <w:rPr>
          <w:rFonts w:asciiTheme="majorHAnsi" w:hAnsiTheme="majorHAnsi"/>
          <w:sz w:val="16"/>
          <w:szCs w:val="16"/>
          <w:lang w:val="ro-MD"/>
        </w:rPr>
        <w:t xml:space="preserve"> Art. 16 din Legea nr.1585 din 27.02.1998 cu privire la asigurarea obligatorie de asistență medicală.</w:t>
      </w:r>
    </w:p>
  </w:footnote>
  <w:footnote w:id="8">
    <w:p w14:paraId="635DB55E" w14:textId="77777777" w:rsidR="001C2E72" w:rsidRPr="003F4D72" w:rsidRDefault="001C2E72" w:rsidP="008C1DDD">
      <w:pPr>
        <w:pStyle w:val="FootnoteText"/>
        <w:jc w:val="both"/>
        <w:rPr>
          <w:rFonts w:asciiTheme="majorHAnsi" w:hAnsiTheme="majorHAnsi"/>
          <w:sz w:val="16"/>
          <w:szCs w:val="16"/>
          <w:lang w:val="ro-MD"/>
        </w:rPr>
      </w:pPr>
      <w:r w:rsidRPr="001C2E72">
        <w:rPr>
          <w:rStyle w:val="FootnoteReference"/>
          <w:rFonts w:asciiTheme="majorHAnsi" w:hAnsiTheme="majorHAnsi"/>
          <w:sz w:val="16"/>
          <w:szCs w:val="16"/>
          <w:lang w:val="ro-MD"/>
        </w:rPr>
        <w:footnoteRef/>
      </w:r>
      <w:r w:rsidRPr="003F4D72">
        <w:rPr>
          <w:rFonts w:asciiTheme="majorHAnsi" w:hAnsiTheme="majorHAnsi"/>
          <w:sz w:val="16"/>
          <w:szCs w:val="16"/>
          <w:lang w:val="ro-MD"/>
        </w:rPr>
        <w:t xml:space="preserve"> </w:t>
      </w:r>
      <w:r w:rsidRPr="00587424">
        <w:rPr>
          <w:rFonts w:asciiTheme="majorHAnsi" w:hAnsiTheme="majorHAnsi" w:cstheme="majorHAnsi"/>
          <w:noProof/>
          <w:sz w:val="16"/>
          <w:szCs w:val="16"/>
          <w:lang w:val="ro-MD"/>
        </w:rPr>
        <w:t xml:space="preserve">Dispoziția </w:t>
      </w:r>
      <w:r w:rsidRPr="00587424">
        <w:rPr>
          <w:rFonts w:asciiTheme="majorHAnsi" w:hAnsiTheme="majorHAnsi" w:cstheme="majorHAnsi"/>
          <w:color w:val="000000" w:themeColor="text1"/>
          <w:sz w:val="16"/>
          <w:szCs w:val="16"/>
          <w:lang w:val="ro-MD"/>
        </w:rPr>
        <w:t xml:space="preserve">Comisiei </w:t>
      </w:r>
      <w:r w:rsidRPr="00587424">
        <w:rPr>
          <w:rFonts w:asciiTheme="majorHAnsi" w:hAnsiTheme="majorHAnsi" w:cstheme="majorHAnsi"/>
          <w:sz w:val="16"/>
          <w:szCs w:val="16"/>
          <w:lang w:val="ro-MD"/>
        </w:rPr>
        <w:t>p</w:t>
      </w:r>
      <w:r w:rsidRPr="00CD6CC1">
        <w:rPr>
          <w:rFonts w:asciiTheme="majorHAnsi" w:hAnsiTheme="majorHAnsi" w:cstheme="majorHAnsi"/>
          <w:sz w:val="16"/>
          <w:szCs w:val="16"/>
          <w:lang w:val="ro-MD"/>
        </w:rPr>
        <w:t xml:space="preserve">entru Situații Excepționale a Republicii Moldova </w:t>
      </w:r>
      <w:r w:rsidRPr="00CD6CC1">
        <w:rPr>
          <w:rFonts w:asciiTheme="majorHAnsi" w:hAnsiTheme="majorHAnsi" w:cstheme="majorHAnsi"/>
          <w:noProof/>
          <w:sz w:val="16"/>
          <w:szCs w:val="16"/>
          <w:lang w:val="ro-MD"/>
        </w:rPr>
        <w:t>nr.13 din 03.04.2020.</w:t>
      </w:r>
    </w:p>
  </w:footnote>
  <w:footnote w:id="9">
    <w:p w14:paraId="63915708" w14:textId="564B46C0" w:rsidR="001C2E72" w:rsidRPr="003F4D72" w:rsidRDefault="001C2E72" w:rsidP="0097413C">
      <w:pPr>
        <w:pStyle w:val="FootnoteText"/>
        <w:jc w:val="both"/>
        <w:rPr>
          <w:lang w:val="ro-MD"/>
        </w:rPr>
      </w:pPr>
      <w:r w:rsidRPr="00587424">
        <w:rPr>
          <w:rStyle w:val="FootnoteReference"/>
          <w:rFonts w:asciiTheme="majorHAnsi" w:hAnsiTheme="majorHAnsi" w:cstheme="majorHAnsi"/>
          <w:sz w:val="16"/>
          <w:szCs w:val="16"/>
          <w:lang w:val="ro-MD"/>
        </w:rPr>
        <w:footnoteRef/>
      </w:r>
      <w:r w:rsidRPr="00587424">
        <w:rPr>
          <w:rFonts w:asciiTheme="majorHAnsi" w:hAnsiTheme="majorHAnsi" w:cstheme="majorHAnsi"/>
          <w:sz w:val="16"/>
          <w:szCs w:val="16"/>
          <w:lang w:val="ro-MD"/>
        </w:rPr>
        <w:t xml:space="preserve"> </w:t>
      </w:r>
      <w:proofErr w:type="spellStart"/>
      <w:r w:rsidRPr="00587424">
        <w:rPr>
          <w:rFonts w:asciiTheme="majorHAnsi" w:hAnsiTheme="majorHAnsi" w:cstheme="majorHAnsi"/>
          <w:sz w:val="16"/>
          <w:szCs w:val="16"/>
          <w:lang w:val="ro-MD"/>
        </w:rPr>
        <w:t>Art.XI</w:t>
      </w:r>
      <w:proofErr w:type="spellEnd"/>
      <w:r w:rsidRPr="00587424">
        <w:rPr>
          <w:rFonts w:asciiTheme="majorHAnsi" w:hAnsiTheme="majorHAnsi" w:cstheme="majorHAnsi"/>
          <w:sz w:val="16"/>
          <w:szCs w:val="16"/>
          <w:lang w:val="ro-MD"/>
        </w:rPr>
        <w:t xml:space="preserve"> din Legea nr.69 din 21.05.2020 cu privire la instituirea unor măsuri pe perioada stării de urgență în sănătate publică </w:t>
      </w:r>
      <w:proofErr w:type="spellStart"/>
      <w:r w:rsidRPr="00587424">
        <w:rPr>
          <w:rFonts w:asciiTheme="majorHAnsi" w:hAnsiTheme="majorHAnsi" w:cstheme="majorHAnsi"/>
          <w:sz w:val="16"/>
          <w:szCs w:val="16"/>
          <w:lang w:val="ro-MD"/>
        </w:rPr>
        <w:t>şi</w:t>
      </w:r>
      <w:proofErr w:type="spellEnd"/>
      <w:r w:rsidRPr="00587424">
        <w:rPr>
          <w:rFonts w:asciiTheme="majorHAnsi" w:hAnsiTheme="majorHAnsi" w:cstheme="majorHAnsi"/>
          <w:sz w:val="16"/>
          <w:szCs w:val="16"/>
          <w:lang w:val="ro-MD"/>
        </w:rPr>
        <w:t xml:space="preserve"> modificarea unor acte normative.</w:t>
      </w:r>
    </w:p>
  </w:footnote>
  <w:footnote w:id="10">
    <w:p w14:paraId="59C4B348" w14:textId="3844A1C1" w:rsidR="001C2E72" w:rsidRPr="003F4D72" w:rsidRDefault="001C2E72" w:rsidP="001A097E">
      <w:pPr>
        <w:pStyle w:val="FootnoteText"/>
        <w:jc w:val="both"/>
        <w:rPr>
          <w:rFonts w:asciiTheme="majorHAnsi" w:hAnsiTheme="majorHAnsi"/>
          <w:sz w:val="16"/>
          <w:szCs w:val="16"/>
          <w:lang w:val="ro-MD"/>
        </w:rPr>
      </w:pPr>
      <w:r w:rsidRPr="003F4D72">
        <w:rPr>
          <w:rStyle w:val="FootnoteReference"/>
          <w:rFonts w:asciiTheme="majorHAnsi" w:hAnsiTheme="majorHAnsi"/>
          <w:sz w:val="16"/>
          <w:szCs w:val="16"/>
          <w:lang w:val="ro-MD"/>
        </w:rPr>
        <w:footnoteRef/>
      </w:r>
      <w:r w:rsidRPr="003F4D72">
        <w:rPr>
          <w:rFonts w:asciiTheme="majorHAnsi" w:hAnsiTheme="majorHAnsi"/>
          <w:sz w:val="16"/>
          <w:szCs w:val="16"/>
          <w:lang w:val="ro-MD"/>
        </w:rPr>
        <w:t xml:space="preserve"> </w:t>
      </w:r>
      <w:r w:rsidRPr="003F4D72">
        <w:rPr>
          <w:rFonts w:asciiTheme="majorHAnsi" w:eastAsia="Times New Roman" w:hAnsiTheme="majorHAnsi" w:cstheme="majorHAnsi"/>
          <w:noProof/>
          <w:sz w:val="16"/>
          <w:szCs w:val="16"/>
          <w:lang w:val="ro-MD" w:eastAsia="ru-RU"/>
        </w:rPr>
        <w:t>Ordinul MSMPS nr.318 din 26</w:t>
      </w:r>
      <w:r>
        <w:rPr>
          <w:rFonts w:asciiTheme="majorHAnsi" w:eastAsia="Times New Roman" w:hAnsiTheme="majorHAnsi" w:cstheme="majorHAnsi"/>
          <w:noProof/>
          <w:sz w:val="16"/>
          <w:szCs w:val="16"/>
          <w:lang w:val="ro-MD" w:eastAsia="ru-RU"/>
        </w:rPr>
        <w:t>.03.</w:t>
      </w:r>
      <w:r w:rsidRPr="003F4D72">
        <w:rPr>
          <w:rFonts w:asciiTheme="majorHAnsi" w:eastAsia="Times New Roman" w:hAnsiTheme="majorHAnsi" w:cstheme="majorHAnsi"/>
          <w:noProof/>
          <w:sz w:val="16"/>
          <w:szCs w:val="16"/>
          <w:lang w:val="ro-MD" w:eastAsia="ru-RU"/>
        </w:rPr>
        <w:t xml:space="preserve">2020 </w:t>
      </w:r>
      <w:r>
        <w:rPr>
          <w:rFonts w:asciiTheme="majorHAnsi" w:eastAsia="Times New Roman" w:hAnsiTheme="majorHAnsi" w:cstheme="majorHAnsi"/>
          <w:noProof/>
          <w:sz w:val="16"/>
          <w:szCs w:val="16"/>
          <w:lang w:val="ro-MD" w:eastAsia="ru-RU"/>
        </w:rPr>
        <w:t>„C</w:t>
      </w:r>
      <w:r w:rsidRPr="003F4D72">
        <w:rPr>
          <w:rFonts w:asciiTheme="majorHAnsi" w:eastAsia="Times New Roman" w:hAnsiTheme="majorHAnsi" w:cstheme="majorHAnsi"/>
          <w:noProof/>
          <w:sz w:val="16"/>
          <w:szCs w:val="16"/>
          <w:lang w:val="ro-MD" w:eastAsia="ru-RU"/>
        </w:rPr>
        <w:t>u privire la acordarea asistenței medicale persoanelor care întrunesc criteriile definiției de caz COVID-19”.</w:t>
      </w:r>
    </w:p>
  </w:footnote>
  <w:footnote w:id="11">
    <w:p w14:paraId="7181D382" w14:textId="3BFE4E1E" w:rsidR="001C2E72" w:rsidRPr="00D12E31" w:rsidRDefault="001C2E72" w:rsidP="003655E8">
      <w:pPr>
        <w:pStyle w:val="FootnoteText"/>
        <w:jc w:val="both"/>
        <w:rPr>
          <w:rFonts w:asciiTheme="majorHAnsi" w:hAnsiTheme="majorHAnsi" w:cstheme="majorHAnsi"/>
          <w:sz w:val="16"/>
          <w:szCs w:val="16"/>
          <w:lang w:val="ro-MD"/>
        </w:rPr>
      </w:pPr>
      <w:r w:rsidRPr="00D12E31">
        <w:rPr>
          <w:rStyle w:val="FootnoteReference"/>
          <w:rFonts w:asciiTheme="majorHAnsi" w:hAnsiTheme="majorHAnsi" w:cstheme="majorHAnsi"/>
          <w:sz w:val="16"/>
          <w:szCs w:val="16"/>
          <w:lang w:val="ro-MD"/>
        </w:rPr>
        <w:footnoteRef/>
      </w:r>
      <w:r w:rsidRPr="00D12E31">
        <w:rPr>
          <w:rFonts w:asciiTheme="majorHAnsi" w:hAnsiTheme="majorHAnsi" w:cstheme="majorHAnsi"/>
          <w:sz w:val="16"/>
          <w:szCs w:val="16"/>
          <w:lang w:val="ro-MD"/>
        </w:rPr>
        <w:t xml:space="preserve"> Pct.17 din Ordinul</w:t>
      </w:r>
      <w:r>
        <w:rPr>
          <w:rFonts w:asciiTheme="majorHAnsi" w:hAnsiTheme="majorHAnsi" w:cstheme="majorHAnsi"/>
          <w:sz w:val="16"/>
          <w:szCs w:val="16"/>
          <w:lang w:val="ro-MD"/>
        </w:rPr>
        <w:t xml:space="preserve"> MSMPS și CNAM</w:t>
      </w:r>
      <w:r w:rsidRPr="00D12E31">
        <w:rPr>
          <w:rFonts w:asciiTheme="majorHAnsi" w:hAnsiTheme="majorHAnsi" w:cstheme="majorHAnsi"/>
          <w:sz w:val="16"/>
          <w:szCs w:val="16"/>
          <w:lang w:val="ro-MD"/>
        </w:rPr>
        <w:t xml:space="preserve"> nr.1515/375-A din 31.12.2019 </w:t>
      </w:r>
      <w:r>
        <w:rPr>
          <w:rFonts w:asciiTheme="majorHAnsi" w:hAnsiTheme="majorHAnsi" w:cstheme="majorHAnsi"/>
          <w:sz w:val="16"/>
          <w:szCs w:val="16"/>
          <w:lang w:val="ro-MD"/>
        </w:rPr>
        <w:t>„P</w:t>
      </w:r>
      <w:r w:rsidRPr="00D12E31">
        <w:rPr>
          <w:rFonts w:asciiTheme="majorHAnsi" w:hAnsiTheme="majorHAnsi" w:cstheme="majorHAnsi"/>
          <w:sz w:val="16"/>
          <w:szCs w:val="16"/>
          <w:lang w:val="ro-MD"/>
        </w:rPr>
        <w:t xml:space="preserve">rivind aprobarea Criteriilor de contractare a prestatorilor de servicii medicale în cadrul sistemului asigurării obligatorii de </w:t>
      </w:r>
      <w:proofErr w:type="spellStart"/>
      <w:r w:rsidRPr="00D12E31">
        <w:rPr>
          <w:rFonts w:asciiTheme="majorHAnsi" w:hAnsiTheme="majorHAnsi" w:cstheme="majorHAnsi"/>
          <w:sz w:val="16"/>
          <w:szCs w:val="16"/>
          <w:lang w:val="ro-MD"/>
        </w:rPr>
        <w:t>asistenţă</w:t>
      </w:r>
      <w:proofErr w:type="spellEnd"/>
      <w:r w:rsidRPr="00D12E31">
        <w:rPr>
          <w:rFonts w:asciiTheme="majorHAnsi" w:hAnsiTheme="majorHAnsi" w:cstheme="majorHAnsi"/>
          <w:sz w:val="16"/>
          <w:szCs w:val="16"/>
          <w:lang w:val="ro-MD"/>
        </w:rPr>
        <w:t xml:space="preserve"> medicală pentru anul 2020</w:t>
      </w:r>
      <w:r>
        <w:rPr>
          <w:rFonts w:asciiTheme="majorHAnsi" w:hAnsiTheme="majorHAnsi" w:cstheme="majorHAnsi"/>
          <w:sz w:val="16"/>
          <w:szCs w:val="16"/>
          <w:lang w:val="ro-MD"/>
        </w:rPr>
        <w:t>”</w:t>
      </w:r>
      <w:r w:rsidRPr="00D12E31">
        <w:rPr>
          <w:rFonts w:asciiTheme="majorHAnsi" w:hAnsiTheme="majorHAnsi" w:cstheme="majorHAnsi"/>
          <w:sz w:val="16"/>
          <w:szCs w:val="16"/>
          <w:lang w:val="ro-MD"/>
        </w:rPr>
        <w:t>.</w:t>
      </w:r>
    </w:p>
  </w:footnote>
  <w:footnote w:id="12">
    <w:p w14:paraId="1C9C1CA9" w14:textId="2607A90B" w:rsidR="001C2E72" w:rsidRPr="008E7146" w:rsidRDefault="001C2E72" w:rsidP="003655E8">
      <w:pPr>
        <w:pStyle w:val="FootnoteText"/>
        <w:jc w:val="both"/>
        <w:rPr>
          <w:sz w:val="16"/>
          <w:szCs w:val="16"/>
          <w:lang w:val="ro-MD"/>
        </w:rPr>
      </w:pPr>
      <w:r w:rsidRPr="008E7146">
        <w:rPr>
          <w:rStyle w:val="FootnoteReference"/>
          <w:rFonts w:asciiTheme="majorHAnsi" w:hAnsiTheme="majorHAnsi" w:cstheme="majorHAnsi"/>
          <w:sz w:val="16"/>
          <w:szCs w:val="16"/>
          <w:lang w:val="ro-MD"/>
        </w:rPr>
        <w:footnoteRef/>
      </w:r>
      <w:r w:rsidRPr="008E7146">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8E7146">
        <w:rPr>
          <w:rFonts w:asciiTheme="majorHAnsi" w:hAnsiTheme="majorHAnsi" w:cstheme="majorHAnsi"/>
          <w:sz w:val="16"/>
          <w:szCs w:val="16"/>
          <w:lang w:val="ro-MD"/>
        </w:rPr>
        <w:t xml:space="preserve">ct.18 din Ordinul </w:t>
      </w:r>
      <w:r>
        <w:rPr>
          <w:rFonts w:asciiTheme="majorHAnsi" w:hAnsiTheme="majorHAnsi" w:cstheme="majorHAnsi"/>
          <w:sz w:val="16"/>
          <w:szCs w:val="16"/>
          <w:lang w:val="ro-MD"/>
        </w:rPr>
        <w:t>MSMPS și CNAM</w:t>
      </w:r>
      <w:r w:rsidRPr="00D12E31">
        <w:rPr>
          <w:rFonts w:asciiTheme="majorHAnsi" w:hAnsiTheme="majorHAnsi" w:cstheme="majorHAnsi"/>
          <w:sz w:val="16"/>
          <w:szCs w:val="16"/>
          <w:lang w:val="ro-MD"/>
        </w:rPr>
        <w:t xml:space="preserve"> </w:t>
      </w:r>
      <w:r w:rsidRPr="008E7146">
        <w:rPr>
          <w:rFonts w:asciiTheme="majorHAnsi" w:hAnsiTheme="majorHAnsi" w:cstheme="majorHAnsi"/>
          <w:sz w:val="16"/>
          <w:szCs w:val="16"/>
          <w:lang w:val="ro-MD"/>
        </w:rPr>
        <w:t xml:space="preserve">nr.1515/375-A din 31.12.2019 </w:t>
      </w:r>
      <w:r>
        <w:rPr>
          <w:rFonts w:asciiTheme="majorHAnsi" w:hAnsiTheme="majorHAnsi" w:cstheme="majorHAnsi"/>
          <w:sz w:val="16"/>
          <w:szCs w:val="16"/>
          <w:lang w:val="ro-MD"/>
        </w:rPr>
        <w:t>„P</w:t>
      </w:r>
      <w:r w:rsidRPr="008E7146">
        <w:rPr>
          <w:rFonts w:asciiTheme="majorHAnsi" w:hAnsiTheme="majorHAnsi" w:cstheme="majorHAnsi"/>
          <w:sz w:val="16"/>
          <w:szCs w:val="16"/>
          <w:lang w:val="ro-MD"/>
        </w:rPr>
        <w:t xml:space="preserve">rivind aprobarea Criteriilor de contractare a prestatorilor de servicii medicale în cadrul sistemului asigurării obligatorii de </w:t>
      </w:r>
      <w:proofErr w:type="spellStart"/>
      <w:r w:rsidRPr="008E7146">
        <w:rPr>
          <w:rFonts w:asciiTheme="majorHAnsi" w:hAnsiTheme="majorHAnsi" w:cstheme="majorHAnsi"/>
          <w:sz w:val="16"/>
          <w:szCs w:val="16"/>
          <w:lang w:val="ro-MD"/>
        </w:rPr>
        <w:t>asistenţă</w:t>
      </w:r>
      <w:proofErr w:type="spellEnd"/>
      <w:r w:rsidRPr="008E7146">
        <w:rPr>
          <w:rFonts w:asciiTheme="majorHAnsi" w:hAnsiTheme="majorHAnsi" w:cstheme="majorHAnsi"/>
          <w:sz w:val="16"/>
          <w:szCs w:val="16"/>
          <w:lang w:val="ro-MD"/>
        </w:rPr>
        <w:t xml:space="preserve"> medicală pentru anul 2020</w:t>
      </w:r>
      <w:r>
        <w:rPr>
          <w:rFonts w:asciiTheme="majorHAnsi" w:hAnsiTheme="majorHAnsi" w:cstheme="majorHAnsi"/>
          <w:sz w:val="16"/>
          <w:szCs w:val="16"/>
          <w:lang w:val="ro-MD"/>
        </w:rPr>
        <w:t xml:space="preserve">”; </w:t>
      </w:r>
      <w:r w:rsidRPr="008E7146">
        <w:rPr>
          <w:rFonts w:asciiTheme="majorHAnsi" w:hAnsiTheme="majorHAnsi" w:cstheme="majorHAnsi"/>
          <w:sz w:val="16"/>
          <w:szCs w:val="16"/>
          <w:lang w:val="ro-MD"/>
        </w:rPr>
        <w:t>Ordinul comun al MSMPS și CNAM nr.1088/245/2019 din 27.09.2019.</w:t>
      </w:r>
    </w:p>
  </w:footnote>
  <w:footnote w:id="13">
    <w:p w14:paraId="2C0451BE" w14:textId="3A4811F5" w:rsidR="001C2E72" w:rsidRPr="00324327" w:rsidRDefault="001C2E72" w:rsidP="003655E8">
      <w:pPr>
        <w:pStyle w:val="FootnoteText"/>
        <w:jc w:val="both"/>
        <w:rPr>
          <w:rFonts w:asciiTheme="majorHAnsi" w:hAnsiTheme="majorHAnsi" w:cstheme="majorHAnsi"/>
          <w:sz w:val="16"/>
          <w:szCs w:val="16"/>
        </w:rPr>
      </w:pPr>
      <w:r w:rsidRPr="008E7146">
        <w:rPr>
          <w:rStyle w:val="FootnoteReference"/>
          <w:rFonts w:asciiTheme="majorHAnsi" w:hAnsiTheme="majorHAnsi" w:cstheme="majorHAnsi"/>
          <w:sz w:val="16"/>
          <w:szCs w:val="16"/>
          <w:lang w:val="ro-MD"/>
        </w:rPr>
        <w:footnoteRef/>
      </w:r>
      <w:r w:rsidRPr="008E7146">
        <w:rPr>
          <w:rFonts w:asciiTheme="majorHAnsi" w:hAnsiTheme="majorHAnsi" w:cstheme="majorHAnsi"/>
          <w:sz w:val="16"/>
          <w:szCs w:val="16"/>
          <w:lang w:val="ro-MD"/>
        </w:rPr>
        <w:t xml:space="preserve"> Pct.15</w:t>
      </w:r>
      <w:r>
        <w:rPr>
          <w:rFonts w:asciiTheme="majorHAnsi" w:hAnsiTheme="majorHAnsi" w:cstheme="majorHAnsi"/>
          <w:sz w:val="16"/>
          <w:szCs w:val="16"/>
          <w:lang w:val="ro-MD"/>
        </w:rPr>
        <w:t xml:space="preserve"> și</w:t>
      </w:r>
      <w:r w:rsidRPr="008E7146">
        <w:rPr>
          <w:rFonts w:asciiTheme="majorHAnsi" w:hAnsiTheme="majorHAnsi" w:cstheme="majorHAnsi"/>
          <w:sz w:val="16"/>
          <w:szCs w:val="16"/>
          <w:lang w:val="ro-MD"/>
        </w:rPr>
        <w:t xml:space="preserve"> pct.16</w:t>
      </w:r>
      <w:r>
        <w:rPr>
          <w:rFonts w:asciiTheme="majorHAnsi" w:hAnsiTheme="majorHAnsi" w:cstheme="majorHAnsi"/>
          <w:sz w:val="16"/>
          <w:szCs w:val="16"/>
          <w:lang w:val="ro-MD"/>
        </w:rPr>
        <w:t xml:space="preserve"> </w:t>
      </w:r>
      <w:r w:rsidRPr="008E7146">
        <w:rPr>
          <w:rFonts w:asciiTheme="majorHAnsi" w:hAnsiTheme="majorHAnsi" w:cstheme="majorHAnsi"/>
          <w:sz w:val="16"/>
          <w:szCs w:val="16"/>
          <w:lang w:val="ro-MD"/>
        </w:rPr>
        <w:t xml:space="preserve">din </w:t>
      </w:r>
      <w:r>
        <w:rPr>
          <w:rFonts w:asciiTheme="majorHAnsi" w:hAnsiTheme="majorHAnsi" w:cstheme="majorHAnsi"/>
          <w:sz w:val="16"/>
          <w:szCs w:val="16"/>
          <w:lang w:val="ro-MD"/>
        </w:rPr>
        <w:t xml:space="preserve">Ordinul MSMPS </w:t>
      </w:r>
      <w:proofErr w:type="spellStart"/>
      <w:r w:rsidRPr="00D12E31">
        <w:rPr>
          <w:rFonts w:asciiTheme="majorHAnsi" w:hAnsiTheme="majorHAnsi" w:cstheme="majorHAnsi"/>
          <w:sz w:val="16"/>
          <w:szCs w:val="16"/>
          <w:lang w:val="ro-MD"/>
        </w:rPr>
        <w:t>şi</w:t>
      </w:r>
      <w:proofErr w:type="spellEnd"/>
      <w:r w:rsidRPr="00D12E31">
        <w:rPr>
          <w:rFonts w:asciiTheme="majorHAnsi" w:hAnsiTheme="majorHAnsi" w:cstheme="majorHAnsi"/>
          <w:sz w:val="16"/>
          <w:szCs w:val="16"/>
          <w:lang w:val="ro-MD"/>
        </w:rPr>
        <w:t xml:space="preserve"> CNAM nr.1592/594-A din 28.12.2018 </w:t>
      </w:r>
      <w:r>
        <w:rPr>
          <w:rFonts w:asciiTheme="majorHAnsi" w:hAnsiTheme="majorHAnsi" w:cstheme="majorHAnsi"/>
          <w:sz w:val="16"/>
          <w:szCs w:val="16"/>
          <w:lang w:val="ro-MD"/>
        </w:rPr>
        <w:t>„P</w:t>
      </w:r>
      <w:r w:rsidRPr="00D12E31">
        <w:rPr>
          <w:rFonts w:asciiTheme="majorHAnsi" w:hAnsiTheme="majorHAnsi" w:cstheme="majorHAnsi"/>
          <w:sz w:val="16"/>
          <w:szCs w:val="16"/>
          <w:lang w:val="ro-MD"/>
        </w:rPr>
        <w:t xml:space="preserve">rivind aprobarea Criteriilor de contractare a prestatorilor de servicii medicale în cadrul sistemului asigurării obligatorii de </w:t>
      </w:r>
      <w:proofErr w:type="spellStart"/>
      <w:r w:rsidRPr="00D12E31">
        <w:rPr>
          <w:rFonts w:asciiTheme="majorHAnsi" w:hAnsiTheme="majorHAnsi" w:cstheme="majorHAnsi"/>
          <w:sz w:val="16"/>
          <w:szCs w:val="16"/>
          <w:lang w:val="ro-MD"/>
        </w:rPr>
        <w:t>asistenţă</w:t>
      </w:r>
      <w:proofErr w:type="spellEnd"/>
      <w:r w:rsidRPr="00D12E31">
        <w:rPr>
          <w:rFonts w:asciiTheme="majorHAnsi" w:hAnsiTheme="majorHAnsi" w:cstheme="majorHAnsi"/>
          <w:sz w:val="16"/>
          <w:szCs w:val="16"/>
          <w:lang w:val="ro-MD"/>
        </w:rPr>
        <w:t xml:space="preserve"> medicală pentru anul 2019”.</w:t>
      </w:r>
    </w:p>
  </w:footnote>
  <w:footnote w:id="14">
    <w:p w14:paraId="4376FE97" w14:textId="7A977CD5" w:rsidR="001C2E72" w:rsidRPr="00D6659D" w:rsidRDefault="001C2E72" w:rsidP="00D6659D">
      <w:pPr>
        <w:pStyle w:val="FootnoteText"/>
        <w:jc w:val="both"/>
        <w:rPr>
          <w:rFonts w:asciiTheme="majorHAnsi" w:hAnsiTheme="majorHAnsi" w:cstheme="majorHAnsi"/>
          <w:sz w:val="16"/>
          <w:szCs w:val="16"/>
          <w:lang w:val="ro-MD"/>
        </w:rPr>
      </w:pPr>
      <w:r w:rsidRPr="008773F0">
        <w:rPr>
          <w:rStyle w:val="FootnoteReference"/>
          <w:rFonts w:asciiTheme="majorHAnsi" w:hAnsiTheme="majorHAnsi" w:cstheme="majorHAnsi"/>
          <w:sz w:val="16"/>
          <w:szCs w:val="16"/>
          <w:lang w:val="ro-MD"/>
        </w:rPr>
        <w:footnoteRef/>
      </w:r>
      <w:r w:rsidRPr="008773F0">
        <w:rPr>
          <w:rFonts w:asciiTheme="majorHAnsi" w:hAnsiTheme="majorHAnsi" w:cstheme="majorHAnsi"/>
          <w:sz w:val="16"/>
          <w:szCs w:val="16"/>
          <w:lang w:val="ro-MD"/>
        </w:rPr>
        <w:t xml:space="preserve"> </w:t>
      </w:r>
      <w:r w:rsidRPr="008773F0">
        <w:rPr>
          <w:rFonts w:asciiTheme="majorHAnsi" w:hAnsiTheme="majorHAnsi" w:cstheme="majorHAnsi"/>
          <w:noProof/>
          <w:sz w:val="16"/>
          <w:szCs w:val="16"/>
          <w:lang w:val="ro-MD"/>
        </w:rPr>
        <w:t>„</w:t>
      </w:r>
      <w:r>
        <w:rPr>
          <w:rFonts w:asciiTheme="majorHAnsi" w:hAnsiTheme="majorHAnsi" w:cstheme="majorHAnsi"/>
          <w:i/>
          <w:iCs/>
          <w:noProof/>
          <w:sz w:val="16"/>
          <w:szCs w:val="16"/>
          <w:lang w:val="ro-MD"/>
        </w:rPr>
        <w:t>B</w:t>
      </w:r>
      <w:r w:rsidRPr="008773F0">
        <w:rPr>
          <w:rFonts w:asciiTheme="majorHAnsi" w:hAnsiTheme="majorHAnsi" w:cstheme="majorHAnsi"/>
          <w:i/>
          <w:iCs/>
          <w:noProof/>
          <w:sz w:val="16"/>
          <w:szCs w:val="16"/>
          <w:lang w:val="ro-MD"/>
        </w:rPr>
        <w:t>ugetul global presupune o plată fixă pentru acoperirea cheltuielilor globale prevăzute pentru o perioadă anumită de timp, fără a le relata la anumite articole. Mărimea bugetului global este stabilită în contract și nu se schimbă pe parcursul perioadei de executare. Lipsa fixării cheltuielilor pe articole oferă posibilitatea manevrelor manageriale pentru a redistribui cheltuielile în scopul utilizării lor în cel mai eficient mod.</w:t>
      </w:r>
      <w:r>
        <w:rPr>
          <w:rFonts w:asciiTheme="majorHAnsi" w:hAnsiTheme="majorHAnsi" w:cstheme="majorHAnsi"/>
          <w:i/>
          <w:iCs/>
          <w:noProof/>
          <w:sz w:val="16"/>
          <w:szCs w:val="16"/>
          <w:lang w:val="ro-MD"/>
        </w:rPr>
        <w:t xml:space="preserve"> </w:t>
      </w:r>
      <w:r w:rsidRPr="008773F0">
        <w:rPr>
          <w:rFonts w:asciiTheme="majorHAnsi" w:hAnsiTheme="majorHAnsi" w:cstheme="majorHAnsi"/>
          <w:i/>
          <w:iCs/>
          <w:sz w:val="16"/>
          <w:szCs w:val="16"/>
          <w:lang w:val="ro-MD"/>
        </w:rPr>
        <w:t xml:space="preserve">Unul din rezultatele utilizării bugetului global este micșorarea cheltuielilor destinate asistenței medicale, deși aceasta poate purta </w:t>
      </w:r>
      <w:proofErr w:type="spellStart"/>
      <w:r w:rsidRPr="008773F0">
        <w:rPr>
          <w:rFonts w:asciiTheme="majorHAnsi" w:hAnsiTheme="majorHAnsi" w:cstheme="majorHAnsi"/>
          <w:i/>
          <w:iCs/>
          <w:sz w:val="16"/>
          <w:szCs w:val="16"/>
          <w:lang w:val="ro-MD"/>
        </w:rPr>
        <w:t>şi</w:t>
      </w:r>
      <w:proofErr w:type="spellEnd"/>
      <w:r w:rsidRPr="008773F0">
        <w:rPr>
          <w:rFonts w:asciiTheme="majorHAnsi" w:hAnsiTheme="majorHAnsi" w:cstheme="majorHAnsi"/>
          <w:i/>
          <w:iCs/>
          <w:sz w:val="16"/>
          <w:szCs w:val="16"/>
          <w:lang w:val="ro-MD"/>
        </w:rPr>
        <w:t xml:space="preserve"> aspecte negative, în cazul în care se bazează pe nerespectarea nivelului de calitate a serviciilor, reducerea volumului de servicii medicale sau reducerea neadecvată a numărului </w:t>
      </w:r>
      <w:r w:rsidRPr="00D6659D">
        <w:rPr>
          <w:rFonts w:asciiTheme="majorHAnsi" w:hAnsiTheme="majorHAnsi" w:cstheme="majorHAnsi"/>
          <w:i/>
          <w:iCs/>
          <w:sz w:val="16"/>
          <w:szCs w:val="16"/>
          <w:lang w:val="ro-MD"/>
        </w:rPr>
        <w:t>de personal</w:t>
      </w:r>
      <w:r>
        <w:rPr>
          <w:rFonts w:asciiTheme="majorHAnsi" w:hAnsiTheme="majorHAnsi" w:cstheme="majorHAnsi"/>
          <w:i/>
          <w:iCs/>
          <w:sz w:val="16"/>
          <w:szCs w:val="16"/>
          <w:lang w:val="ro-MD"/>
        </w:rPr>
        <w:t>”</w:t>
      </w:r>
      <w:r w:rsidRPr="00D6659D">
        <w:rPr>
          <w:rFonts w:asciiTheme="majorHAnsi" w:hAnsiTheme="majorHAnsi" w:cstheme="majorHAnsi"/>
          <w:i/>
          <w:iCs/>
          <w:sz w:val="16"/>
          <w:szCs w:val="16"/>
          <w:lang w:val="ro-MD"/>
        </w:rPr>
        <w:t>.</w:t>
      </w:r>
    </w:p>
  </w:footnote>
  <w:footnote w:id="15">
    <w:p w14:paraId="3AE223F8" w14:textId="5CE8E6A6" w:rsidR="001C2E72" w:rsidRPr="00D6659D" w:rsidRDefault="001C2E72" w:rsidP="00D6659D">
      <w:pPr>
        <w:pStyle w:val="FootnoteText"/>
        <w:jc w:val="both"/>
        <w:rPr>
          <w:lang w:val="ro-MD"/>
        </w:rPr>
      </w:pPr>
      <w:r w:rsidRPr="00D6659D">
        <w:rPr>
          <w:rStyle w:val="FootnoteReference"/>
          <w:rFonts w:asciiTheme="majorHAnsi" w:hAnsiTheme="majorHAnsi" w:cstheme="majorHAnsi"/>
          <w:sz w:val="16"/>
          <w:szCs w:val="16"/>
        </w:rPr>
        <w:footnoteRef/>
      </w:r>
      <w:r w:rsidRPr="00D6659D">
        <w:rPr>
          <w:rFonts w:asciiTheme="majorHAnsi" w:hAnsiTheme="majorHAnsi" w:cstheme="majorHAnsi"/>
          <w:sz w:val="16"/>
          <w:szCs w:val="16"/>
        </w:rPr>
        <w:t xml:space="preserve"> Cap. XI </w:t>
      </w:r>
      <w:r>
        <w:rPr>
          <w:rFonts w:asciiTheme="majorHAnsi" w:hAnsiTheme="majorHAnsi" w:cstheme="majorHAnsi"/>
          <w:sz w:val="16"/>
          <w:szCs w:val="16"/>
          <w:lang w:val="ro-MD"/>
        </w:rPr>
        <w:t>„</w:t>
      </w:r>
      <w:r w:rsidRPr="00D6659D">
        <w:rPr>
          <w:rFonts w:asciiTheme="majorHAnsi" w:hAnsiTheme="majorHAnsi" w:cstheme="majorHAnsi"/>
          <w:sz w:val="16"/>
          <w:szCs w:val="16"/>
          <w:lang w:val="ro-MD"/>
        </w:rPr>
        <w:t>Metodologia bugetării pe programe”</w:t>
      </w:r>
      <w:r>
        <w:rPr>
          <w:rFonts w:asciiTheme="majorHAnsi" w:hAnsiTheme="majorHAnsi" w:cstheme="majorHAnsi"/>
          <w:sz w:val="16"/>
          <w:szCs w:val="16"/>
          <w:lang w:val="ro-MD"/>
        </w:rPr>
        <w:t xml:space="preserve"> din</w:t>
      </w:r>
      <w:r w:rsidRPr="00D6659D">
        <w:rPr>
          <w:rFonts w:asciiTheme="majorHAnsi" w:hAnsiTheme="majorHAnsi" w:cstheme="majorHAnsi"/>
          <w:sz w:val="16"/>
          <w:szCs w:val="16"/>
          <w:lang w:val="ro-MD"/>
        </w:rPr>
        <w:t xml:space="preserve">, </w:t>
      </w:r>
      <w:r>
        <w:rPr>
          <w:rFonts w:asciiTheme="majorHAnsi" w:hAnsiTheme="majorHAnsi" w:cstheme="majorHAnsi"/>
          <w:sz w:val="16"/>
          <w:szCs w:val="16"/>
          <w:lang w:val="ro-MD"/>
        </w:rPr>
        <w:t>O</w:t>
      </w:r>
      <w:r w:rsidRPr="00D6659D">
        <w:rPr>
          <w:rFonts w:asciiTheme="majorHAnsi" w:hAnsiTheme="majorHAnsi" w:cstheme="majorHAnsi"/>
          <w:sz w:val="16"/>
          <w:szCs w:val="16"/>
          <w:lang w:val="ro-MD"/>
        </w:rPr>
        <w:t xml:space="preserve">rdinul ministrului </w:t>
      </w:r>
      <w:r>
        <w:rPr>
          <w:rFonts w:asciiTheme="majorHAnsi" w:hAnsiTheme="majorHAnsi" w:cstheme="majorHAnsi"/>
          <w:sz w:val="16"/>
          <w:szCs w:val="16"/>
          <w:lang w:val="ro-MD"/>
        </w:rPr>
        <w:t>F</w:t>
      </w:r>
      <w:r w:rsidRPr="00D6659D">
        <w:rPr>
          <w:rFonts w:asciiTheme="majorHAnsi" w:hAnsiTheme="majorHAnsi" w:cstheme="majorHAnsi"/>
          <w:sz w:val="16"/>
          <w:szCs w:val="16"/>
          <w:lang w:val="ro-MD"/>
        </w:rPr>
        <w:t xml:space="preserve">inanțelor nr.209 din 24.12.2015 </w:t>
      </w:r>
      <w:r>
        <w:rPr>
          <w:rFonts w:asciiTheme="majorHAnsi" w:hAnsiTheme="majorHAnsi" w:cstheme="majorHAnsi"/>
          <w:sz w:val="16"/>
          <w:szCs w:val="16"/>
          <w:lang w:val="ro-MD"/>
        </w:rPr>
        <w:t>„</w:t>
      </w:r>
      <w:r w:rsidRPr="00D6659D">
        <w:rPr>
          <w:rFonts w:asciiTheme="majorHAnsi" w:hAnsiTheme="majorHAnsi" w:cstheme="majorHAnsi"/>
          <w:sz w:val="16"/>
          <w:szCs w:val="16"/>
          <w:lang w:val="ro-MD"/>
        </w:rPr>
        <w:t>Cu privire la aprobarea setului metodologic privind elaborarea, aprobarea și modificarea bugetului”.</w:t>
      </w:r>
    </w:p>
  </w:footnote>
  <w:footnote w:id="16">
    <w:p w14:paraId="6627B6BF" w14:textId="6DE55687" w:rsidR="001C2E72" w:rsidRPr="00B84B87" w:rsidRDefault="001C2E72" w:rsidP="00916BD7">
      <w:pPr>
        <w:pStyle w:val="FootnoteText"/>
        <w:jc w:val="both"/>
        <w:rPr>
          <w:rFonts w:asciiTheme="majorHAnsi" w:hAnsiTheme="majorHAnsi" w:cstheme="majorHAnsi"/>
          <w:sz w:val="16"/>
          <w:szCs w:val="16"/>
          <w:lang w:val="ro-MD"/>
        </w:rPr>
      </w:pPr>
      <w:r w:rsidRPr="00B84B87">
        <w:rPr>
          <w:rStyle w:val="FootnoteReference"/>
          <w:rFonts w:asciiTheme="majorHAnsi" w:hAnsiTheme="majorHAnsi" w:cstheme="majorHAnsi"/>
          <w:sz w:val="16"/>
          <w:szCs w:val="16"/>
          <w:lang w:val="ro-MD"/>
        </w:rPr>
        <w:footnoteRef/>
      </w:r>
      <w:r w:rsidRPr="00B84B87">
        <w:rPr>
          <w:rFonts w:asciiTheme="majorHAnsi" w:hAnsiTheme="majorHAnsi" w:cstheme="majorHAnsi"/>
          <w:sz w:val="16"/>
          <w:szCs w:val="16"/>
          <w:lang w:val="ro-MD"/>
        </w:rPr>
        <w:t xml:space="preserve"> Ordinul MSMPS nr.989 din 03.11.2020 </w:t>
      </w:r>
      <w:r>
        <w:rPr>
          <w:rFonts w:asciiTheme="majorHAnsi" w:hAnsiTheme="majorHAnsi" w:cstheme="majorHAnsi"/>
          <w:sz w:val="16"/>
          <w:szCs w:val="16"/>
          <w:lang w:val="ro-MD"/>
        </w:rPr>
        <w:t>„C</w:t>
      </w:r>
      <w:r w:rsidRPr="00B84B87">
        <w:rPr>
          <w:rFonts w:asciiTheme="majorHAnsi" w:hAnsiTheme="majorHAnsi" w:cstheme="majorHAnsi"/>
          <w:sz w:val="16"/>
          <w:szCs w:val="16"/>
          <w:lang w:val="ro-MD"/>
        </w:rPr>
        <w:t>u privire la aprobarea rapoartelor statistice medicale de ramură pentru anul 2020”.</w:t>
      </w:r>
    </w:p>
  </w:footnote>
  <w:footnote w:id="17">
    <w:p w14:paraId="3CC0B167" w14:textId="12356C49" w:rsidR="001C2E72" w:rsidRPr="007F6261" w:rsidRDefault="001C2E72" w:rsidP="003655E8">
      <w:pPr>
        <w:pStyle w:val="FootnoteText"/>
        <w:jc w:val="both"/>
        <w:rPr>
          <w:rFonts w:asciiTheme="majorHAnsi" w:hAnsiTheme="majorHAnsi" w:cstheme="majorHAnsi"/>
          <w:sz w:val="16"/>
          <w:szCs w:val="16"/>
          <w:lang w:val="ro-MD"/>
        </w:rPr>
      </w:pPr>
      <w:r w:rsidRPr="007F6261">
        <w:rPr>
          <w:rStyle w:val="FootnoteReference"/>
          <w:rFonts w:asciiTheme="majorHAnsi" w:hAnsiTheme="majorHAnsi" w:cstheme="majorHAnsi"/>
          <w:sz w:val="16"/>
          <w:szCs w:val="16"/>
          <w:lang w:val="ro-MD"/>
        </w:rPr>
        <w:footnoteRef/>
      </w:r>
      <w:r w:rsidRPr="007F6261">
        <w:rPr>
          <w:rFonts w:asciiTheme="majorHAnsi" w:hAnsiTheme="majorHAnsi" w:cstheme="majorHAnsi"/>
          <w:sz w:val="16"/>
          <w:szCs w:val="16"/>
          <w:lang w:val="ro-MD"/>
        </w:rPr>
        <w:t xml:space="preserve"> Pct.17 din Ordinul MSMPS nr.1515/375 – A din 31.12.2019 </w:t>
      </w:r>
      <w:r>
        <w:rPr>
          <w:rFonts w:asciiTheme="majorHAnsi" w:hAnsiTheme="majorHAnsi" w:cstheme="majorHAnsi"/>
          <w:sz w:val="16"/>
          <w:szCs w:val="16"/>
          <w:lang w:val="ro-MD"/>
        </w:rPr>
        <w:t>„</w:t>
      </w:r>
      <w:r w:rsidRPr="007F6261">
        <w:rPr>
          <w:rFonts w:asciiTheme="majorHAnsi" w:hAnsiTheme="majorHAnsi" w:cstheme="majorHAnsi"/>
          <w:sz w:val="16"/>
          <w:szCs w:val="16"/>
          <w:lang w:val="ro-MD"/>
        </w:rPr>
        <w:t xml:space="preserve">Cu privire la aprobarea criteriilor de contractare a prestatorilor de </w:t>
      </w:r>
      <w:proofErr w:type="spellStart"/>
      <w:r w:rsidRPr="007F6261">
        <w:rPr>
          <w:rFonts w:asciiTheme="majorHAnsi" w:hAnsiTheme="majorHAnsi" w:cstheme="majorHAnsi"/>
          <w:sz w:val="16"/>
          <w:szCs w:val="16"/>
          <w:lang w:val="ro-MD"/>
        </w:rPr>
        <w:t>asistenţă</w:t>
      </w:r>
      <w:proofErr w:type="spellEnd"/>
      <w:r w:rsidRPr="007F6261">
        <w:rPr>
          <w:rFonts w:asciiTheme="majorHAnsi" w:hAnsiTheme="majorHAnsi" w:cstheme="majorHAnsi"/>
          <w:sz w:val="16"/>
          <w:szCs w:val="16"/>
          <w:lang w:val="ro-MD"/>
        </w:rPr>
        <w:t xml:space="preserve"> medicală în cadrul SAOAM în anul 2020”.</w:t>
      </w:r>
    </w:p>
  </w:footnote>
  <w:footnote w:id="18">
    <w:p w14:paraId="47628BEB" w14:textId="7E09B68F" w:rsidR="001C2E72" w:rsidRPr="00F8266E" w:rsidRDefault="001C2E72" w:rsidP="00F8266E">
      <w:pPr>
        <w:pStyle w:val="FootnoteText"/>
        <w:jc w:val="both"/>
        <w:rPr>
          <w:rFonts w:asciiTheme="majorHAnsi" w:hAnsiTheme="majorHAnsi" w:cstheme="majorHAnsi"/>
          <w:sz w:val="16"/>
          <w:szCs w:val="16"/>
          <w:lang w:val="ro-MD"/>
        </w:rPr>
      </w:pPr>
      <w:r w:rsidRPr="00F8266E">
        <w:rPr>
          <w:rStyle w:val="FootnoteReference"/>
          <w:rFonts w:asciiTheme="majorHAnsi" w:hAnsiTheme="majorHAnsi" w:cstheme="majorHAnsi"/>
          <w:sz w:val="16"/>
          <w:szCs w:val="16"/>
          <w:lang w:val="ro-MD"/>
        </w:rPr>
        <w:footnoteRef/>
      </w:r>
      <w:r w:rsidRPr="00F8266E">
        <w:rPr>
          <w:rFonts w:asciiTheme="majorHAnsi" w:hAnsiTheme="majorHAnsi" w:cstheme="majorHAnsi"/>
          <w:sz w:val="16"/>
          <w:szCs w:val="16"/>
          <w:lang w:val="ro-MD"/>
        </w:rPr>
        <w:t xml:space="preserve"> Pct.3.1 din Contractul-tip de acordare a asistenței medicale (de prestare a serviciilor medicale) în cadrul asigurării obligatorii de </w:t>
      </w:r>
      <w:proofErr w:type="spellStart"/>
      <w:r w:rsidRPr="00F8266E">
        <w:rPr>
          <w:rFonts w:asciiTheme="majorHAnsi" w:hAnsiTheme="majorHAnsi" w:cstheme="majorHAnsi"/>
          <w:sz w:val="16"/>
          <w:szCs w:val="16"/>
          <w:lang w:val="ro-MD"/>
        </w:rPr>
        <w:t>asistenţă</w:t>
      </w:r>
      <w:proofErr w:type="spellEnd"/>
      <w:r w:rsidRPr="00F8266E">
        <w:rPr>
          <w:rFonts w:asciiTheme="majorHAnsi" w:hAnsiTheme="majorHAnsi" w:cstheme="majorHAnsi"/>
          <w:sz w:val="16"/>
          <w:szCs w:val="16"/>
          <w:lang w:val="ro-MD"/>
        </w:rPr>
        <w:t xml:space="preserve"> medicală, aprobat prin H</w:t>
      </w:r>
      <w:r>
        <w:rPr>
          <w:rFonts w:asciiTheme="majorHAnsi" w:hAnsiTheme="majorHAnsi" w:cstheme="majorHAnsi"/>
          <w:sz w:val="16"/>
          <w:szCs w:val="16"/>
          <w:lang w:val="ro-MD"/>
        </w:rPr>
        <w:t xml:space="preserve">otărârea </w:t>
      </w:r>
      <w:r w:rsidRPr="00F8266E">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F8266E">
        <w:rPr>
          <w:rFonts w:asciiTheme="majorHAnsi" w:hAnsiTheme="majorHAnsi" w:cstheme="majorHAnsi"/>
          <w:sz w:val="16"/>
          <w:szCs w:val="16"/>
          <w:lang w:val="ro-MD"/>
        </w:rPr>
        <w:t xml:space="preserve"> nr.1636 din 18.12.2002.</w:t>
      </w:r>
    </w:p>
  </w:footnote>
  <w:footnote w:id="19">
    <w:p w14:paraId="2CBC5ABF" w14:textId="64F8D56E" w:rsidR="001C2E72" w:rsidRPr="003F4D72" w:rsidRDefault="001C2E72" w:rsidP="003F4D72">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w:t>
      </w:r>
      <w:r w:rsidRPr="00F8266E">
        <w:rPr>
          <w:rFonts w:asciiTheme="majorHAnsi" w:hAnsiTheme="majorHAnsi" w:cstheme="majorHAnsi"/>
          <w:sz w:val="16"/>
          <w:szCs w:val="16"/>
          <w:lang w:val="ro-MD"/>
        </w:rPr>
        <w:t>Ordinul ministrului Sănătății, Muncii și Protecției Sociale nr.430 din 03 aprilie 2019.</w:t>
      </w:r>
    </w:p>
  </w:footnote>
  <w:footnote w:id="20">
    <w:p w14:paraId="2A9E857F" w14:textId="77777777" w:rsidR="001C2E72" w:rsidRPr="00F8266E" w:rsidRDefault="001C2E72" w:rsidP="00F8266E">
      <w:pPr>
        <w:pStyle w:val="FootnoteText"/>
        <w:jc w:val="both"/>
        <w:rPr>
          <w:rFonts w:asciiTheme="majorHAnsi" w:hAnsiTheme="majorHAnsi" w:cstheme="majorHAnsi"/>
          <w:sz w:val="16"/>
          <w:szCs w:val="16"/>
          <w:lang w:val="ro-MD"/>
        </w:rPr>
      </w:pPr>
      <w:r w:rsidRPr="00F8266E">
        <w:rPr>
          <w:rStyle w:val="FootnoteReference"/>
          <w:rFonts w:asciiTheme="majorHAnsi" w:hAnsiTheme="majorHAnsi" w:cstheme="majorHAnsi"/>
          <w:sz w:val="16"/>
          <w:szCs w:val="16"/>
          <w:lang w:val="ro-MD"/>
        </w:rPr>
        <w:footnoteRef/>
      </w:r>
      <w:r w:rsidRPr="00F8266E">
        <w:rPr>
          <w:rFonts w:asciiTheme="majorHAnsi" w:hAnsiTheme="majorHAnsi" w:cstheme="majorHAnsi"/>
          <w:sz w:val="16"/>
          <w:szCs w:val="16"/>
          <w:lang w:val="ro-MD"/>
        </w:rPr>
        <w:t xml:space="preserve"> Contract nr.71 din 27.12.2019 privind achiziționarea serviciilor de asistență medicală urgentă prespitalicească pentru lunile ianuarie-februarie 2020 prin procedura de achiziție negociere fără publicare prealabilă a unui anunț de participare. Contract nr.72 din 27.12.2019 privind achiziționarea serviciilor de asistență medicală urgentă prespitalicească pentru lunile ianuarie-februarie 2020 prin procedura de achiziție negociere fără publicare prealabilă a unui anunț de participare.</w:t>
      </w:r>
    </w:p>
  </w:footnote>
  <w:footnote w:id="21">
    <w:p w14:paraId="1E742BC9" w14:textId="77777777" w:rsidR="001C2E72" w:rsidRPr="0020769A" w:rsidRDefault="001C2E72" w:rsidP="00F8266E">
      <w:pPr>
        <w:pStyle w:val="FootnoteText"/>
        <w:jc w:val="both"/>
        <w:rPr>
          <w:rFonts w:asciiTheme="majorHAnsi" w:hAnsiTheme="majorHAnsi" w:cstheme="majorHAnsi"/>
          <w:sz w:val="16"/>
          <w:szCs w:val="16"/>
          <w:lang w:val="ro-MD"/>
        </w:rPr>
      </w:pPr>
      <w:r w:rsidRPr="00F8266E">
        <w:rPr>
          <w:rStyle w:val="FootnoteReference"/>
          <w:rFonts w:asciiTheme="majorHAnsi" w:hAnsiTheme="majorHAnsi" w:cstheme="majorHAnsi"/>
          <w:sz w:val="16"/>
          <w:szCs w:val="16"/>
          <w:lang w:val="ro-MD"/>
        </w:rPr>
        <w:footnoteRef/>
      </w:r>
      <w:r w:rsidRPr="00F8266E">
        <w:rPr>
          <w:rFonts w:asciiTheme="majorHAnsi" w:hAnsiTheme="majorHAnsi" w:cstheme="majorHAnsi"/>
          <w:sz w:val="16"/>
          <w:szCs w:val="16"/>
          <w:lang w:val="ro-MD"/>
        </w:rPr>
        <w:t xml:space="preserve"> Contract nr.17 din 28.02.2020 privind achiziționarea serviciilor de asistență medicală urgentă prespitalicească prin procedura de achiziție publică, licitație deschisă; Contract nr.18 din 28.02.2020 privind achiziționarea serviciilor de asistență medicală urgentă prespitalicească prin procedura de achiz</w:t>
      </w:r>
      <w:r w:rsidRPr="0020769A">
        <w:rPr>
          <w:rFonts w:asciiTheme="majorHAnsi" w:hAnsiTheme="majorHAnsi" w:cstheme="majorHAnsi"/>
          <w:sz w:val="16"/>
          <w:szCs w:val="16"/>
          <w:lang w:val="ro-MD"/>
        </w:rPr>
        <w:t>iție publică, licitație deschisă.</w:t>
      </w:r>
    </w:p>
    <w:p w14:paraId="69C07EE8" w14:textId="77777777" w:rsidR="001C2E72" w:rsidRPr="003F4D72" w:rsidRDefault="001C2E72" w:rsidP="003F4D72">
      <w:pPr>
        <w:pStyle w:val="FootnoteText"/>
        <w:jc w:val="both"/>
        <w:rPr>
          <w:lang w:val="ro-MD"/>
        </w:rPr>
      </w:pPr>
    </w:p>
    <w:p w14:paraId="18D16FA9" w14:textId="77777777" w:rsidR="001C2E72" w:rsidRPr="009C7660" w:rsidRDefault="001C2E72" w:rsidP="003655E8">
      <w:pPr>
        <w:pStyle w:val="FootnoteText"/>
        <w:jc w:val="both"/>
        <w:rPr>
          <w:rFonts w:asciiTheme="majorHAnsi" w:hAnsiTheme="majorHAnsi" w:cstheme="majorHAnsi"/>
        </w:rPr>
      </w:pPr>
    </w:p>
  </w:footnote>
  <w:footnote w:id="22">
    <w:p w14:paraId="35B57705" w14:textId="47C572FF" w:rsidR="001C2E72" w:rsidRPr="006B1DA1" w:rsidRDefault="001C2E72" w:rsidP="003655E8">
      <w:pPr>
        <w:pStyle w:val="FootnoteText"/>
        <w:jc w:val="both"/>
        <w:rPr>
          <w:rFonts w:asciiTheme="majorHAnsi" w:hAnsiTheme="majorHAnsi" w:cstheme="majorHAnsi"/>
          <w:sz w:val="16"/>
          <w:szCs w:val="16"/>
          <w:lang w:val="ro-MD"/>
        </w:rPr>
      </w:pPr>
      <w:r w:rsidRPr="006B1DA1">
        <w:rPr>
          <w:rStyle w:val="FootnoteReference"/>
          <w:rFonts w:asciiTheme="majorHAnsi" w:hAnsiTheme="majorHAnsi" w:cstheme="majorHAnsi"/>
          <w:sz w:val="16"/>
          <w:szCs w:val="16"/>
          <w:lang w:val="ro-MD"/>
        </w:rPr>
        <w:footnoteRef/>
      </w:r>
      <w:r w:rsidRPr="006B1DA1">
        <w:rPr>
          <w:rFonts w:asciiTheme="majorHAnsi" w:hAnsiTheme="majorHAnsi" w:cstheme="majorHAnsi"/>
          <w:sz w:val="16"/>
          <w:szCs w:val="16"/>
          <w:lang w:val="ro-MD"/>
        </w:rPr>
        <w:t xml:space="preserve"> Tarifele de bază utilizate pentru finanțarea spitalelor în bază de DRG (Case-</w:t>
      </w:r>
      <w:proofErr w:type="spellStart"/>
      <w:r w:rsidRPr="006B1DA1">
        <w:rPr>
          <w:rFonts w:asciiTheme="majorHAnsi" w:hAnsiTheme="majorHAnsi" w:cstheme="majorHAnsi"/>
          <w:sz w:val="16"/>
          <w:szCs w:val="16"/>
          <w:lang w:val="ro-MD"/>
        </w:rPr>
        <w:t>Mix</w:t>
      </w:r>
      <w:proofErr w:type="spellEnd"/>
      <w:r w:rsidRPr="006B1DA1">
        <w:rPr>
          <w:rFonts w:asciiTheme="majorHAnsi" w:hAnsiTheme="majorHAnsi" w:cstheme="majorHAnsi"/>
          <w:sz w:val="16"/>
          <w:szCs w:val="16"/>
          <w:lang w:val="ro-MD"/>
        </w:rPr>
        <w:t xml:space="preserve">), costul unei zi/pat profil </w:t>
      </w:r>
      <w:proofErr w:type="spellStart"/>
      <w:r w:rsidRPr="006B1DA1">
        <w:rPr>
          <w:rFonts w:asciiTheme="majorHAnsi" w:hAnsiTheme="majorHAnsi" w:cstheme="majorHAnsi"/>
          <w:sz w:val="16"/>
          <w:szCs w:val="16"/>
          <w:lang w:val="ro-MD"/>
        </w:rPr>
        <w:t>ftiziopneumologie</w:t>
      </w:r>
      <w:proofErr w:type="spellEnd"/>
      <w:r w:rsidRPr="006B1DA1">
        <w:rPr>
          <w:rFonts w:asciiTheme="majorHAnsi" w:hAnsiTheme="majorHAnsi" w:cstheme="majorHAnsi"/>
          <w:sz w:val="16"/>
          <w:szCs w:val="16"/>
          <w:lang w:val="ro-MD"/>
        </w:rPr>
        <w:t>, costul unei zi/pat profil îngrijire medicală paliativă, costul unei vizite de îngrijire medicală paliativă prestată la domiciliu de echipa</w:t>
      </w:r>
      <w:r>
        <w:rPr>
          <w:rFonts w:asciiTheme="majorHAnsi" w:hAnsiTheme="majorHAnsi" w:cstheme="majorHAnsi"/>
          <w:sz w:val="16"/>
          <w:szCs w:val="16"/>
          <w:lang w:val="ro-MD"/>
        </w:rPr>
        <w:t xml:space="preserve"> </w:t>
      </w:r>
      <w:r w:rsidRPr="006B1DA1">
        <w:rPr>
          <w:rFonts w:asciiTheme="majorHAnsi" w:hAnsiTheme="majorHAnsi" w:cstheme="majorHAnsi"/>
          <w:sz w:val="16"/>
          <w:szCs w:val="16"/>
          <w:lang w:val="ro-MD"/>
        </w:rPr>
        <w:t>mobilă, costul unei vizite de îngrijire medicală la domiciliu.</w:t>
      </w:r>
    </w:p>
  </w:footnote>
  <w:footnote w:id="23">
    <w:p w14:paraId="0DA3BF61" w14:textId="77777777" w:rsidR="001C2E72" w:rsidRPr="006B1DA1" w:rsidRDefault="001C2E72" w:rsidP="003655E8">
      <w:pPr>
        <w:pStyle w:val="FootnoteText"/>
        <w:jc w:val="both"/>
        <w:rPr>
          <w:rFonts w:asciiTheme="majorHAnsi" w:hAnsiTheme="majorHAnsi" w:cstheme="majorHAnsi"/>
          <w:sz w:val="16"/>
          <w:szCs w:val="16"/>
          <w:lang w:val="ro-MD"/>
        </w:rPr>
      </w:pPr>
      <w:r w:rsidRPr="006B1DA1">
        <w:rPr>
          <w:rStyle w:val="FootnoteReference"/>
          <w:rFonts w:asciiTheme="majorHAnsi" w:hAnsiTheme="majorHAnsi" w:cstheme="majorHAnsi"/>
          <w:sz w:val="16"/>
          <w:szCs w:val="16"/>
          <w:lang w:val="ro-MD"/>
        </w:rPr>
        <w:footnoteRef/>
      </w:r>
      <w:r w:rsidRPr="006B1DA1">
        <w:rPr>
          <w:rFonts w:asciiTheme="majorHAnsi" w:hAnsiTheme="majorHAnsi" w:cstheme="majorHAnsi"/>
          <w:sz w:val="16"/>
          <w:szCs w:val="16"/>
          <w:lang w:val="ro-MD"/>
        </w:rPr>
        <w:t xml:space="preserve"> Ordinul MSMPS nr.1527 din 31.12.2019 „Cu privire la aprobarea costurilor pentru anul 2020”.</w:t>
      </w:r>
    </w:p>
  </w:footnote>
  <w:footnote w:id="24">
    <w:p w14:paraId="5DF1A76E" w14:textId="77777777" w:rsidR="001C2E72" w:rsidRPr="006B1DA1" w:rsidRDefault="001C2E72" w:rsidP="003655E8">
      <w:pPr>
        <w:pStyle w:val="FootnoteText"/>
        <w:jc w:val="both"/>
        <w:rPr>
          <w:rFonts w:asciiTheme="majorHAnsi" w:hAnsiTheme="majorHAnsi" w:cstheme="majorHAnsi"/>
          <w:sz w:val="16"/>
          <w:szCs w:val="16"/>
          <w:lang w:val="ro-MD"/>
        </w:rPr>
      </w:pPr>
      <w:r w:rsidRPr="006B1DA1">
        <w:rPr>
          <w:rStyle w:val="FootnoteReference"/>
          <w:rFonts w:asciiTheme="majorHAnsi" w:hAnsiTheme="majorHAnsi" w:cstheme="majorHAnsi"/>
          <w:sz w:val="16"/>
          <w:szCs w:val="16"/>
          <w:lang w:val="ro-MD"/>
        </w:rPr>
        <w:footnoteRef/>
      </w:r>
      <w:r w:rsidRPr="006B1DA1">
        <w:rPr>
          <w:rFonts w:asciiTheme="majorHAnsi" w:hAnsiTheme="majorHAnsi" w:cstheme="majorHAnsi"/>
          <w:sz w:val="16"/>
          <w:szCs w:val="16"/>
          <w:lang w:val="ro-MD"/>
        </w:rPr>
        <w:t xml:space="preserve"> Ordinul MSMPS nr.1593 din 28.12.2018 „Cu privire la aprobarea costurilor pentru anul 2019”.</w:t>
      </w:r>
    </w:p>
  </w:footnote>
  <w:footnote w:id="25">
    <w:p w14:paraId="1AB113D6" w14:textId="22B632B0" w:rsidR="001C2E72" w:rsidRPr="006B1DA1" w:rsidRDefault="001C2E72" w:rsidP="003655E8">
      <w:pPr>
        <w:pStyle w:val="FootnoteText"/>
        <w:jc w:val="both"/>
        <w:rPr>
          <w:rFonts w:asciiTheme="majorHAnsi" w:hAnsiTheme="majorHAnsi"/>
          <w:lang w:val="ro-MD"/>
        </w:rPr>
      </w:pPr>
      <w:r w:rsidRPr="006B1DA1">
        <w:rPr>
          <w:rStyle w:val="FootnoteReference"/>
          <w:rFonts w:asciiTheme="majorHAnsi" w:hAnsiTheme="majorHAnsi"/>
          <w:sz w:val="16"/>
          <w:szCs w:val="16"/>
          <w:lang w:val="ro-MD"/>
        </w:rPr>
        <w:footnoteRef/>
      </w:r>
      <w:r w:rsidRPr="006B1DA1">
        <w:rPr>
          <w:rFonts w:asciiTheme="majorHAnsi" w:hAnsiTheme="majorHAnsi"/>
          <w:sz w:val="16"/>
          <w:szCs w:val="16"/>
          <w:lang w:val="ro-MD"/>
        </w:rPr>
        <w:t xml:space="preserve"> </w:t>
      </w:r>
      <w:r w:rsidRPr="006B1DA1">
        <w:rPr>
          <w:rFonts w:asciiTheme="majorHAnsi" w:hAnsiTheme="majorHAnsi" w:cstheme="majorHAnsi"/>
          <w:bCs/>
          <w:sz w:val="16"/>
          <w:szCs w:val="16"/>
          <w:lang w:val="ro-MD"/>
        </w:rPr>
        <w:t>H</w:t>
      </w:r>
      <w:r>
        <w:rPr>
          <w:rFonts w:asciiTheme="majorHAnsi" w:hAnsiTheme="majorHAnsi" w:cstheme="majorHAnsi"/>
          <w:bCs/>
          <w:sz w:val="16"/>
          <w:szCs w:val="16"/>
          <w:lang w:val="ro-MD"/>
        </w:rPr>
        <w:t xml:space="preserve">otărârea </w:t>
      </w:r>
      <w:r w:rsidRPr="006B1DA1">
        <w:rPr>
          <w:rFonts w:asciiTheme="majorHAnsi" w:hAnsiTheme="majorHAnsi" w:cstheme="majorHAnsi"/>
          <w:bCs/>
          <w:sz w:val="16"/>
          <w:szCs w:val="16"/>
          <w:lang w:val="ro-MD"/>
        </w:rPr>
        <w:t>G</w:t>
      </w:r>
      <w:r>
        <w:rPr>
          <w:rFonts w:asciiTheme="majorHAnsi" w:hAnsiTheme="majorHAnsi" w:cstheme="majorHAnsi"/>
          <w:bCs/>
          <w:sz w:val="16"/>
          <w:szCs w:val="16"/>
          <w:lang w:val="ro-MD"/>
        </w:rPr>
        <w:t>uvernului</w:t>
      </w:r>
      <w:r w:rsidRPr="006B1DA1">
        <w:rPr>
          <w:rFonts w:asciiTheme="majorHAnsi" w:hAnsiTheme="majorHAnsi" w:cstheme="majorHAnsi"/>
          <w:bCs/>
          <w:sz w:val="16"/>
          <w:szCs w:val="16"/>
          <w:lang w:val="ro-MD"/>
        </w:rPr>
        <w:t xml:space="preserve"> nr.557 din 31.07.2020 „Pentru modificarea </w:t>
      </w:r>
      <w:r w:rsidRPr="006B1DA1">
        <w:rPr>
          <w:rFonts w:asciiTheme="majorHAnsi" w:hAnsiTheme="majorHAnsi" w:cstheme="majorHAnsi"/>
          <w:sz w:val="16"/>
          <w:szCs w:val="16"/>
          <w:lang w:val="ro-MD"/>
        </w:rPr>
        <w:t>Regulamentului privind salarizarea angajaților din instituțiile medico-sanitare</w:t>
      </w:r>
      <w:r w:rsidRPr="006B1DA1">
        <w:rPr>
          <w:rFonts w:asciiTheme="majorHAnsi" w:hAnsiTheme="majorHAnsi" w:cstheme="majorHAnsi"/>
          <w:bCs/>
          <w:sz w:val="16"/>
          <w:szCs w:val="16"/>
          <w:lang w:val="ro-MD"/>
        </w:rPr>
        <w:t xml:space="preserve"> </w:t>
      </w:r>
      <w:r w:rsidRPr="006B1DA1">
        <w:rPr>
          <w:rFonts w:asciiTheme="majorHAnsi" w:hAnsiTheme="majorHAnsi" w:cstheme="majorHAnsi"/>
          <w:sz w:val="16"/>
          <w:szCs w:val="16"/>
          <w:lang w:val="ro-MD"/>
        </w:rPr>
        <w:t xml:space="preserve">publice încadrate în sistemul asigurării obligatorii de </w:t>
      </w:r>
      <w:proofErr w:type="spellStart"/>
      <w:r w:rsidRPr="006B1DA1">
        <w:rPr>
          <w:rFonts w:asciiTheme="majorHAnsi" w:hAnsiTheme="majorHAnsi" w:cstheme="majorHAnsi"/>
          <w:sz w:val="16"/>
          <w:szCs w:val="16"/>
          <w:lang w:val="ro-MD"/>
        </w:rPr>
        <w:t>asistenţă</w:t>
      </w:r>
      <w:proofErr w:type="spellEnd"/>
      <w:r w:rsidRPr="006B1DA1">
        <w:rPr>
          <w:rFonts w:asciiTheme="majorHAnsi" w:hAnsiTheme="majorHAnsi" w:cstheme="majorHAnsi"/>
          <w:sz w:val="16"/>
          <w:szCs w:val="16"/>
          <w:lang w:val="ro-MD"/>
        </w:rPr>
        <w:t xml:space="preserve"> medicală, aprobat prin H</w:t>
      </w:r>
      <w:r>
        <w:rPr>
          <w:rFonts w:asciiTheme="majorHAnsi" w:hAnsiTheme="majorHAnsi" w:cstheme="majorHAnsi"/>
          <w:sz w:val="16"/>
          <w:szCs w:val="16"/>
          <w:lang w:val="ro-MD"/>
        </w:rPr>
        <w:t xml:space="preserve">otărârea </w:t>
      </w:r>
      <w:r w:rsidRPr="006B1DA1">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6B1DA1">
        <w:rPr>
          <w:rFonts w:asciiTheme="majorHAnsi" w:hAnsiTheme="majorHAnsi" w:cstheme="majorHAnsi"/>
          <w:sz w:val="16"/>
          <w:szCs w:val="16"/>
          <w:lang w:val="ro-MD"/>
        </w:rPr>
        <w:t xml:space="preserve"> nr.837/2016”.</w:t>
      </w:r>
    </w:p>
  </w:footnote>
  <w:footnote w:id="26">
    <w:p w14:paraId="1652A94C" w14:textId="77777777" w:rsidR="001C2E72" w:rsidRPr="006B1DA1" w:rsidRDefault="001C2E72" w:rsidP="003655E8">
      <w:pPr>
        <w:pStyle w:val="FootnoteText"/>
        <w:jc w:val="both"/>
        <w:rPr>
          <w:rFonts w:asciiTheme="majorHAnsi" w:hAnsiTheme="majorHAnsi"/>
          <w:sz w:val="16"/>
          <w:szCs w:val="16"/>
          <w:lang w:val="ro-MD"/>
        </w:rPr>
      </w:pPr>
      <w:r w:rsidRPr="006B1DA1">
        <w:rPr>
          <w:rStyle w:val="FootnoteReference"/>
          <w:rFonts w:asciiTheme="majorHAnsi" w:hAnsiTheme="majorHAnsi"/>
          <w:sz w:val="16"/>
          <w:szCs w:val="16"/>
          <w:lang w:val="ro-MD"/>
        </w:rPr>
        <w:footnoteRef/>
      </w:r>
      <w:r w:rsidRPr="006B1DA1">
        <w:rPr>
          <w:rFonts w:asciiTheme="majorHAnsi" w:hAnsiTheme="majorHAnsi"/>
          <w:sz w:val="16"/>
          <w:szCs w:val="16"/>
          <w:lang w:val="ro-MD"/>
        </w:rPr>
        <w:t xml:space="preserve"> Art.1 din Legea nr.1585 din 27.02.1998 cu privire la asigurarea obligatorie de asistență medicală.</w:t>
      </w:r>
    </w:p>
  </w:footnote>
  <w:footnote w:id="27">
    <w:p w14:paraId="7C35970E" w14:textId="7CD97288" w:rsidR="001C2E72" w:rsidRPr="00CF6184" w:rsidRDefault="001C2E72" w:rsidP="003655E8">
      <w:pPr>
        <w:pStyle w:val="FootnoteText"/>
        <w:jc w:val="both"/>
        <w:rPr>
          <w:rFonts w:asciiTheme="majorHAnsi" w:hAnsiTheme="majorHAnsi"/>
          <w:lang w:val="ro-MD"/>
        </w:rPr>
      </w:pPr>
      <w:r w:rsidRPr="00CF6184">
        <w:rPr>
          <w:rStyle w:val="FootnoteReference"/>
          <w:rFonts w:asciiTheme="majorHAnsi" w:hAnsiTheme="majorHAnsi"/>
          <w:sz w:val="16"/>
          <w:szCs w:val="16"/>
          <w:lang w:val="ro-MD"/>
        </w:rPr>
        <w:footnoteRef/>
      </w:r>
      <w:r w:rsidRPr="00CF6184">
        <w:rPr>
          <w:rFonts w:asciiTheme="majorHAnsi" w:hAnsiTheme="majorHAnsi"/>
          <w:sz w:val="16"/>
          <w:szCs w:val="16"/>
          <w:lang w:val="ro-MD"/>
        </w:rPr>
        <w:t xml:space="preserve"> Pct.2 alin. (2) din Metodologia stabilirii tarifelor pentru prestarea serviciilor medico-sanitare</w:t>
      </w:r>
      <w:r>
        <w:rPr>
          <w:rFonts w:asciiTheme="majorHAnsi" w:hAnsiTheme="majorHAnsi"/>
          <w:sz w:val="16"/>
          <w:szCs w:val="16"/>
          <w:lang w:val="ro-MD"/>
        </w:rPr>
        <w:t>,</w:t>
      </w:r>
      <w:r w:rsidRPr="00CF6184">
        <w:rPr>
          <w:rFonts w:asciiTheme="majorHAnsi" w:hAnsiTheme="majorHAnsi"/>
          <w:sz w:val="16"/>
          <w:szCs w:val="16"/>
          <w:lang w:val="ro-MD"/>
        </w:rPr>
        <w:t xml:space="preserve"> aprobată prin Hotărârea Guvernului nr.1020 din 29.12.2011; pct.2.1, pct. 2.2 din Contractul-tip de acordare a asistenței medicale (de prestare a serviciilor medicale) în cadrul asigurării obligatorii de </w:t>
      </w:r>
      <w:proofErr w:type="spellStart"/>
      <w:r w:rsidRPr="00CF6184">
        <w:rPr>
          <w:rFonts w:asciiTheme="majorHAnsi" w:hAnsiTheme="majorHAnsi"/>
          <w:sz w:val="16"/>
          <w:szCs w:val="16"/>
          <w:lang w:val="ro-MD"/>
        </w:rPr>
        <w:t>asistenţă</w:t>
      </w:r>
      <w:proofErr w:type="spellEnd"/>
      <w:r w:rsidRPr="00CF6184">
        <w:rPr>
          <w:rFonts w:asciiTheme="majorHAnsi" w:hAnsiTheme="majorHAnsi"/>
          <w:sz w:val="16"/>
          <w:szCs w:val="16"/>
          <w:lang w:val="ro-MD"/>
        </w:rPr>
        <w:t xml:space="preserve"> medicală, aprobat prin Hotărârea Guvernului nr.1636 din 18.12.2002; pct.4.1 din Contractul-tip de acordare a asistenței medicale (de prestare a serviciilor medicale) în cadrul asigurării obligatorii de </w:t>
      </w:r>
      <w:proofErr w:type="spellStart"/>
      <w:r w:rsidRPr="00CF6184">
        <w:rPr>
          <w:rFonts w:asciiTheme="majorHAnsi" w:hAnsiTheme="majorHAnsi"/>
          <w:sz w:val="16"/>
          <w:szCs w:val="16"/>
          <w:lang w:val="ro-MD"/>
        </w:rPr>
        <w:t>asistenţă</w:t>
      </w:r>
      <w:proofErr w:type="spellEnd"/>
      <w:r w:rsidRPr="00CF6184">
        <w:rPr>
          <w:rFonts w:asciiTheme="majorHAnsi" w:hAnsiTheme="majorHAnsi"/>
          <w:sz w:val="16"/>
          <w:szCs w:val="16"/>
          <w:lang w:val="ro-MD"/>
        </w:rPr>
        <w:t xml:space="preserve"> medicală, aprobat prin Hotărârea Guvernului nr.1636 din 18.12.2002.</w:t>
      </w:r>
    </w:p>
  </w:footnote>
  <w:footnote w:id="28">
    <w:p w14:paraId="6A1EC824" w14:textId="3D0BB9B4" w:rsidR="001C2E72" w:rsidRPr="00455387" w:rsidRDefault="001C2E72" w:rsidP="00787047">
      <w:pPr>
        <w:pStyle w:val="FootnoteText"/>
        <w:jc w:val="both"/>
        <w:rPr>
          <w:rFonts w:asciiTheme="majorHAnsi" w:hAnsiTheme="majorHAnsi" w:cstheme="majorHAnsi"/>
          <w:sz w:val="16"/>
          <w:szCs w:val="16"/>
          <w:lang w:val="ro-MD"/>
        </w:rPr>
      </w:pPr>
      <w:r w:rsidRPr="00455387">
        <w:rPr>
          <w:rStyle w:val="FootnoteReference"/>
          <w:rFonts w:asciiTheme="majorHAnsi" w:hAnsiTheme="majorHAnsi" w:cstheme="majorHAnsi"/>
          <w:sz w:val="16"/>
          <w:szCs w:val="16"/>
          <w:lang w:val="ro-MD"/>
        </w:rPr>
        <w:footnoteRef/>
      </w:r>
      <w:r w:rsidRPr="00455387">
        <w:rPr>
          <w:rFonts w:asciiTheme="majorHAnsi" w:hAnsiTheme="majorHAnsi" w:cstheme="majorHAnsi"/>
          <w:sz w:val="16"/>
          <w:szCs w:val="16"/>
          <w:lang w:val="ro-MD"/>
        </w:rPr>
        <w:t xml:space="preserve"> Pct.2 din Dispoziția Comisiei pentru Situații Excepționale a Republicii Moldova nr.8 din 28</w:t>
      </w:r>
      <w:r>
        <w:rPr>
          <w:rFonts w:asciiTheme="majorHAnsi" w:hAnsiTheme="majorHAnsi" w:cstheme="majorHAnsi"/>
          <w:sz w:val="16"/>
          <w:szCs w:val="16"/>
          <w:lang w:val="ro-MD"/>
        </w:rPr>
        <w:t>.03.</w:t>
      </w:r>
      <w:r w:rsidRPr="00455387">
        <w:rPr>
          <w:rFonts w:asciiTheme="majorHAnsi" w:hAnsiTheme="majorHAnsi" w:cstheme="majorHAnsi"/>
          <w:sz w:val="16"/>
          <w:szCs w:val="16"/>
          <w:lang w:val="ro-MD"/>
        </w:rPr>
        <w:t>2020.</w:t>
      </w:r>
    </w:p>
  </w:footnote>
  <w:footnote w:id="29">
    <w:p w14:paraId="39F0F800" w14:textId="7B10BA7D" w:rsidR="001C2E72" w:rsidRPr="00455387" w:rsidRDefault="001C2E72" w:rsidP="00787047">
      <w:pPr>
        <w:pStyle w:val="FootnoteText"/>
        <w:jc w:val="both"/>
        <w:rPr>
          <w:rFonts w:asciiTheme="majorHAnsi" w:hAnsiTheme="majorHAnsi" w:cstheme="majorHAnsi"/>
          <w:sz w:val="16"/>
          <w:szCs w:val="16"/>
          <w:lang w:val="ro-MD"/>
        </w:rPr>
      </w:pPr>
      <w:r w:rsidRPr="00455387">
        <w:rPr>
          <w:rStyle w:val="FootnoteReference"/>
          <w:rFonts w:asciiTheme="majorHAnsi" w:hAnsiTheme="majorHAnsi" w:cstheme="majorHAnsi"/>
          <w:sz w:val="16"/>
          <w:szCs w:val="16"/>
          <w:lang w:val="ro-MD"/>
        </w:rPr>
        <w:footnoteRef/>
      </w:r>
      <w:r w:rsidRPr="00455387">
        <w:rPr>
          <w:rFonts w:asciiTheme="majorHAnsi" w:hAnsiTheme="majorHAnsi" w:cstheme="majorHAnsi"/>
          <w:sz w:val="16"/>
          <w:szCs w:val="16"/>
          <w:lang w:val="ro-MD"/>
        </w:rPr>
        <w:t xml:space="preserve"> Ordinul MSMPS nr.264 din 13.03.2020 </w:t>
      </w:r>
      <w:r>
        <w:rPr>
          <w:rFonts w:asciiTheme="majorHAnsi" w:hAnsiTheme="majorHAnsi" w:cstheme="majorHAnsi"/>
          <w:sz w:val="16"/>
          <w:szCs w:val="16"/>
          <w:lang w:val="ro-MD"/>
        </w:rPr>
        <w:t>„</w:t>
      </w:r>
      <w:r w:rsidRPr="00455387">
        <w:rPr>
          <w:rFonts w:asciiTheme="majorHAnsi" w:hAnsiTheme="majorHAnsi" w:cstheme="majorHAnsi"/>
          <w:sz w:val="16"/>
          <w:szCs w:val="16"/>
          <w:lang w:val="ro-MD"/>
        </w:rPr>
        <w:t>Cu privire la sistarea internărilor programate în instituțiile medico-sanitare publice”.</w:t>
      </w:r>
    </w:p>
  </w:footnote>
  <w:footnote w:id="30">
    <w:p w14:paraId="6C66F98E" w14:textId="4BCF352F" w:rsidR="001C2E72" w:rsidRPr="004B4189" w:rsidRDefault="001C2E72" w:rsidP="00787047">
      <w:pPr>
        <w:pStyle w:val="FootnoteText"/>
        <w:jc w:val="both"/>
        <w:rPr>
          <w:lang w:val="ro-MD"/>
        </w:rPr>
      </w:pPr>
      <w:r w:rsidRPr="00455387">
        <w:rPr>
          <w:rStyle w:val="FootnoteReference"/>
          <w:rFonts w:asciiTheme="majorHAnsi" w:hAnsiTheme="majorHAnsi" w:cstheme="majorHAnsi"/>
          <w:sz w:val="16"/>
          <w:szCs w:val="16"/>
          <w:lang w:val="ro-MD"/>
        </w:rPr>
        <w:footnoteRef/>
      </w:r>
      <w:r w:rsidRPr="00455387">
        <w:rPr>
          <w:rFonts w:asciiTheme="majorHAnsi" w:hAnsiTheme="majorHAnsi" w:cstheme="majorHAnsi"/>
          <w:sz w:val="16"/>
          <w:szCs w:val="16"/>
          <w:lang w:val="ro-MD"/>
        </w:rPr>
        <w:t xml:space="preserve"> </w:t>
      </w:r>
      <w:r w:rsidRPr="00455387">
        <w:rPr>
          <w:rFonts w:asciiTheme="majorHAnsi" w:eastAsia="Times New Roman" w:hAnsiTheme="majorHAnsi" w:cstheme="majorHAnsi"/>
          <w:noProof/>
          <w:sz w:val="16"/>
          <w:szCs w:val="16"/>
          <w:lang w:val="ro-MD" w:eastAsia="ru-RU"/>
        </w:rPr>
        <w:t xml:space="preserve">Ordinul MSMPS nr.318 din 26.03.2020 </w:t>
      </w:r>
      <w:r>
        <w:rPr>
          <w:rFonts w:asciiTheme="majorHAnsi" w:eastAsia="Times New Roman" w:hAnsiTheme="majorHAnsi" w:cstheme="majorHAnsi"/>
          <w:noProof/>
          <w:sz w:val="16"/>
          <w:szCs w:val="16"/>
          <w:lang w:val="ro-MD" w:eastAsia="ru-RU"/>
        </w:rPr>
        <w:t>„C</w:t>
      </w:r>
      <w:r w:rsidRPr="00455387">
        <w:rPr>
          <w:rFonts w:asciiTheme="majorHAnsi" w:eastAsia="Times New Roman" w:hAnsiTheme="majorHAnsi" w:cstheme="majorHAnsi"/>
          <w:noProof/>
          <w:sz w:val="16"/>
          <w:szCs w:val="16"/>
          <w:lang w:val="ro-MD" w:eastAsia="ru-RU"/>
        </w:rPr>
        <w:t>u privire la acordarea asistenței medicale persoanelor care întrunesc criteriile definiției de caz Covid-19</w:t>
      </w:r>
      <w:r>
        <w:rPr>
          <w:rFonts w:asciiTheme="majorHAnsi" w:eastAsia="Times New Roman" w:hAnsiTheme="majorHAnsi" w:cstheme="majorHAnsi"/>
          <w:noProof/>
          <w:sz w:val="16"/>
          <w:szCs w:val="16"/>
          <w:lang w:val="ro-MD" w:eastAsia="ru-RU"/>
        </w:rPr>
        <w:t>”</w:t>
      </w:r>
      <w:r w:rsidRPr="00455387">
        <w:rPr>
          <w:rFonts w:asciiTheme="majorHAnsi" w:eastAsia="Times New Roman" w:hAnsiTheme="majorHAnsi" w:cstheme="majorHAnsi"/>
          <w:noProof/>
          <w:sz w:val="16"/>
          <w:szCs w:val="16"/>
          <w:lang w:val="ro-MD" w:eastAsia="ru-RU"/>
        </w:rPr>
        <w:t>.</w:t>
      </w:r>
    </w:p>
  </w:footnote>
  <w:footnote w:id="31">
    <w:p w14:paraId="0D6E59B6" w14:textId="67383BF1" w:rsidR="001C2E72" w:rsidRPr="003F4D72" w:rsidRDefault="001C2E72" w:rsidP="003655E8">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Ordinul MSMPS nr.235 din 06.03.2020 </w:t>
      </w:r>
      <w:r w:rsidRPr="003F4D72">
        <w:rPr>
          <w:rFonts w:asciiTheme="majorHAnsi" w:hAnsiTheme="majorHAnsi" w:cstheme="majorHAnsi"/>
          <w:bCs/>
          <w:sz w:val="16"/>
          <w:szCs w:val="16"/>
          <w:lang w:val="ro-MD"/>
        </w:rPr>
        <w:t xml:space="preserve">„Cu privirea la referirea pacienților cu Sindrom coronarian acut”, Ordinul MSMPS nr.460 din 11.05.2020 </w:t>
      </w:r>
      <w:r>
        <w:rPr>
          <w:rFonts w:asciiTheme="majorHAnsi" w:hAnsiTheme="majorHAnsi" w:cstheme="majorHAnsi"/>
          <w:bCs/>
          <w:sz w:val="16"/>
          <w:szCs w:val="16"/>
          <w:lang w:val="ro-MD"/>
        </w:rPr>
        <w:t>„</w:t>
      </w:r>
      <w:r w:rsidRPr="003F4D72">
        <w:rPr>
          <w:rFonts w:asciiTheme="majorHAnsi" w:hAnsiTheme="majorHAnsi" w:cstheme="majorHAnsi"/>
          <w:bCs/>
          <w:sz w:val="16"/>
          <w:szCs w:val="16"/>
          <w:lang w:val="ro-MD"/>
        </w:rPr>
        <w:t>Cu privire la modificarea anexei la Ordinul nr.235 din 2020”.</w:t>
      </w:r>
    </w:p>
  </w:footnote>
  <w:footnote w:id="32">
    <w:p w14:paraId="5D7442AE" w14:textId="193B11F3" w:rsidR="001C2E72" w:rsidRPr="002A33DF" w:rsidRDefault="001C2E72" w:rsidP="003655E8">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w:t>
      </w:r>
      <w:r w:rsidRPr="003F4D72">
        <w:rPr>
          <w:rFonts w:asciiTheme="majorHAnsi" w:hAnsiTheme="majorHAnsi" w:cstheme="majorHAnsi"/>
          <w:bCs/>
          <w:sz w:val="16"/>
          <w:szCs w:val="16"/>
          <w:lang w:val="ro-MD" w:eastAsia="ru-RU"/>
        </w:rPr>
        <w:t xml:space="preserve">Ordinul nr.287 din 19.04.2016 </w:t>
      </w:r>
      <w:r>
        <w:rPr>
          <w:rFonts w:asciiTheme="majorHAnsi" w:hAnsiTheme="majorHAnsi" w:cstheme="majorHAnsi"/>
          <w:bCs/>
          <w:sz w:val="16"/>
          <w:szCs w:val="16"/>
          <w:lang w:val="ro-MD" w:eastAsia="ru-RU"/>
        </w:rPr>
        <w:t>„C</w:t>
      </w:r>
      <w:r w:rsidRPr="002A33DF">
        <w:rPr>
          <w:rFonts w:asciiTheme="majorHAnsi" w:hAnsiTheme="majorHAnsi" w:cstheme="majorHAnsi"/>
          <w:bCs/>
          <w:sz w:val="16"/>
          <w:szCs w:val="16"/>
          <w:lang w:val="ro-MD" w:eastAsia="ru-RU"/>
        </w:rPr>
        <w:t xml:space="preserve">u privire la modificarea </w:t>
      </w:r>
      <w:r>
        <w:rPr>
          <w:rFonts w:asciiTheme="majorHAnsi" w:hAnsiTheme="majorHAnsi" w:cstheme="majorHAnsi"/>
          <w:bCs/>
          <w:sz w:val="16"/>
          <w:szCs w:val="16"/>
          <w:lang w:val="ro-MD" w:eastAsia="ru-RU"/>
        </w:rPr>
        <w:t>O</w:t>
      </w:r>
      <w:r w:rsidRPr="002A33DF">
        <w:rPr>
          <w:rFonts w:asciiTheme="majorHAnsi" w:hAnsiTheme="majorHAnsi" w:cstheme="majorHAnsi"/>
          <w:bCs/>
          <w:sz w:val="16"/>
          <w:szCs w:val="16"/>
          <w:lang w:val="ro-MD" w:eastAsia="ru-RU"/>
        </w:rPr>
        <w:t xml:space="preserve">rdinului nr.1087 din 07.10.2013 </w:t>
      </w:r>
      <w:r>
        <w:rPr>
          <w:rFonts w:asciiTheme="majorHAnsi" w:hAnsiTheme="majorHAnsi" w:cstheme="majorHAnsi"/>
          <w:bCs/>
          <w:sz w:val="16"/>
          <w:szCs w:val="16"/>
          <w:lang w:val="ro-MD" w:eastAsia="ru-RU"/>
        </w:rPr>
        <w:t>„C</w:t>
      </w:r>
      <w:r w:rsidRPr="002A33DF">
        <w:rPr>
          <w:rFonts w:asciiTheme="majorHAnsi" w:hAnsiTheme="majorHAnsi" w:cstheme="majorHAnsi"/>
          <w:bCs/>
          <w:sz w:val="16"/>
          <w:szCs w:val="16"/>
          <w:lang w:val="ro-MD" w:eastAsia="ru-RU"/>
        </w:rPr>
        <w:t xml:space="preserve">u privire la organizarea tratamentului invaziv al infarctului miocardic acut”; </w:t>
      </w:r>
      <w:r w:rsidRPr="003F4D72">
        <w:rPr>
          <w:rFonts w:asciiTheme="majorHAnsi" w:hAnsiTheme="majorHAnsi" w:cstheme="majorHAnsi"/>
          <w:bCs/>
          <w:sz w:val="16"/>
          <w:szCs w:val="16"/>
          <w:lang w:val="ro-MD" w:eastAsia="ru-RU"/>
        </w:rPr>
        <w:t xml:space="preserve">Ordinul nr.235 din 06.03.20 </w:t>
      </w:r>
      <w:r>
        <w:rPr>
          <w:rFonts w:asciiTheme="majorHAnsi" w:hAnsiTheme="majorHAnsi" w:cstheme="majorHAnsi"/>
          <w:bCs/>
          <w:sz w:val="16"/>
          <w:szCs w:val="16"/>
          <w:lang w:val="ro-MD" w:eastAsia="ru-RU"/>
        </w:rPr>
        <w:t>„C</w:t>
      </w:r>
      <w:r w:rsidRPr="003F4D72">
        <w:rPr>
          <w:rFonts w:asciiTheme="majorHAnsi" w:hAnsiTheme="majorHAnsi" w:cstheme="majorHAnsi"/>
          <w:bCs/>
          <w:sz w:val="16"/>
          <w:szCs w:val="16"/>
          <w:lang w:val="ro-MD" w:eastAsia="ru-RU"/>
        </w:rPr>
        <w:t>u privire la referirea pacienților cu Sindrom coronarian acut”; Ordinul nr.460 din 11.05.2020 „</w:t>
      </w:r>
      <w:r>
        <w:rPr>
          <w:rFonts w:asciiTheme="majorHAnsi" w:hAnsiTheme="majorHAnsi" w:cstheme="majorHAnsi"/>
          <w:bCs/>
          <w:sz w:val="16"/>
          <w:szCs w:val="16"/>
          <w:lang w:val="ro-MD" w:eastAsia="ru-RU"/>
        </w:rPr>
        <w:t>C</w:t>
      </w:r>
      <w:r w:rsidRPr="003F4D72">
        <w:rPr>
          <w:rFonts w:asciiTheme="majorHAnsi" w:hAnsiTheme="majorHAnsi" w:cstheme="majorHAnsi"/>
          <w:bCs/>
          <w:sz w:val="16"/>
          <w:szCs w:val="16"/>
          <w:lang w:val="ro-MD" w:eastAsia="ru-RU"/>
        </w:rPr>
        <w:t xml:space="preserve">u privire la modificarea anexei la </w:t>
      </w:r>
      <w:r>
        <w:rPr>
          <w:rFonts w:asciiTheme="majorHAnsi" w:hAnsiTheme="majorHAnsi" w:cstheme="majorHAnsi"/>
          <w:bCs/>
          <w:sz w:val="16"/>
          <w:szCs w:val="16"/>
          <w:lang w:val="ro-MD" w:eastAsia="ru-RU"/>
        </w:rPr>
        <w:t>O</w:t>
      </w:r>
      <w:r w:rsidRPr="003F4D72">
        <w:rPr>
          <w:rFonts w:asciiTheme="majorHAnsi" w:hAnsiTheme="majorHAnsi" w:cstheme="majorHAnsi"/>
          <w:bCs/>
          <w:sz w:val="16"/>
          <w:szCs w:val="16"/>
          <w:lang w:val="ro-MD" w:eastAsia="ru-RU"/>
        </w:rPr>
        <w:t xml:space="preserve">rdinul </w:t>
      </w:r>
      <w:r>
        <w:rPr>
          <w:rFonts w:asciiTheme="majorHAnsi" w:hAnsiTheme="majorHAnsi" w:cstheme="majorHAnsi"/>
          <w:bCs/>
          <w:sz w:val="16"/>
          <w:szCs w:val="16"/>
          <w:lang w:val="ro-MD" w:eastAsia="ru-RU"/>
        </w:rPr>
        <w:t>nr.</w:t>
      </w:r>
      <w:r w:rsidRPr="003F4D72">
        <w:rPr>
          <w:rFonts w:asciiTheme="majorHAnsi" w:hAnsiTheme="majorHAnsi" w:cstheme="majorHAnsi"/>
          <w:bCs/>
          <w:sz w:val="16"/>
          <w:szCs w:val="16"/>
          <w:lang w:val="ro-MD" w:eastAsia="ru-RU"/>
        </w:rPr>
        <w:t>235 din 06.03.2020”.</w:t>
      </w:r>
    </w:p>
  </w:footnote>
  <w:footnote w:id="33">
    <w:p w14:paraId="6F758EB4" w14:textId="77777777" w:rsidR="001C2E72" w:rsidRPr="00AE11C4" w:rsidRDefault="001C2E72" w:rsidP="001E351D">
      <w:pPr>
        <w:pStyle w:val="FootnoteText"/>
        <w:jc w:val="both"/>
        <w:rPr>
          <w:rFonts w:asciiTheme="majorHAnsi" w:hAnsiTheme="majorHAnsi"/>
          <w:sz w:val="16"/>
          <w:szCs w:val="16"/>
        </w:rPr>
      </w:pPr>
      <w:r w:rsidRPr="00AE11C4">
        <w:rPr>
          <w:rStyle w:val="FootnoteReference"/>
          <w:rFonts w:asciiTheme="majorHAnsi" w:hAnsiTheme="majorHAnsi"/>
          <w:sz w:val="16"/>
          <w:szCs w:val="16"/>
        </w:rPr>
        <w:footnoteRef/>
      </w:r>
      <w:r w:rsidRPr="00AE11C4">
        <w:rPr>
          <w:rFonts w:asciiTheme="majorHAnsi" w:hAnsiTheme="majorHAnsi"/>
          <w:sz w:val="16"/>
          <w:szCs w:val="16"/>
        </w:rPr>
        <w:t xml:space="preserve"> </w:t>
      </w:r>
      <w:r w:rsidRPr="00AE11C4">
        <w:rPr>
          <w:rFonts w:asciiTheme="majorHAnsi" w:hAnsiTheme="majorHAnsi" w:cstheme="majorHAnsi"/>
          <w:sz w:val="16"/>
          <w:szCs w:val="16"/>
          <w:lang w:val="ro-MD"/>
        </w:rPr>
        <w:t xml:space="preserve">Art. 5 alin. (3.1) din Legea nr.1585 din 27.02.1998 </w:t>
      </w:r>
      <w:r w:rsidRPr="00AE11C4">
        <w:rPr>
          <w:rFonts w:asciiTheme="majorHAnsi" w:eastAsia="Times New Roman" w:hAnsiTheme="majorHAnsi" w:cstheme="majorHAnsi"/>
          <w:sz w:val="16"/>
          <w:szCs w:val="16"/>
          <w:lang w:val="ro-MD" w:eastAsia="ru-RU"/>
        </w:rPr>
        <w:t>cu privire la asigurarea obligatorie de asistență.</w:t>
      </w:r>
    </w:p>
  </w:footnote>
  <w:footnote w:id="34">
    <w:p w14:paraId="0BF0724D" w14:textId="77777777" w:rsidR="001C2E72" w:rsidRPr="00AE11C4" w:rsidRDefault="001C2E72" w:rsidP="001E351D">
      <w:pPr>
        <w:pStyle w:val="FootnoteText"/>
        <w:jc w:val="both"/>
        <w:rPr>
          <w:rFonts w:asciiTheme="majorHAnsi" w:hAnsiTheme="majorHAnsi" w:cstheme="majorHAnsi"/>
          <w:sz w:val="16"/>
          <w:szCs w:val="16"/>
        </w:rPr>
      </w:pPr>
      <w:r w:rsidRPr="00AE11C4">
        <w:rPr>
          <w:rStyle w:val="FootnoteReference"/>
          <w:rFonts w:asciiTheme="majorHAnsi" w:hAnsiTheme="majorHAnsi" w:cstheme="majorHAnsi"/>
          <w:sz w:val="16"/>
          <w:szCs w:val="16"/>
          <w:lang w:val="ro-MD"/>
        </w:rPr>
        <w:footnoteRef/>
      </w:r>
      <w:r w:rsidRPr="00AE11C4">
        <w:rPr>
          <w:rFonts w:asciiTheme="majorHAnsi" w:hAnsiTheme="majorHAnsi" w:cstheme="majorHAnsi"/>
          <w:sz w:val="16"/>
          <w:szCs w:val="16"/>
          <w:lang w:val="ro-MD"/>
        </w:rPr>
        <w:t xml:space="preserve"> Dispoziția Comisiei pentru Situații Excepționale nr.10 din 31.03.2020 și nr.13 din 03.04.2020.</w:t>
      </w:r>
    </w:p>
  </w:footnote>
  <w:footnote w:id="35">
    <w:p w14:paraId="225D9E76" w14:textId="31E466B5" w:rsidR="001C2E72" w:rsidRPr="009F4408" w:rsidRDefault="001C2E72" w:rsidP="001E351D">
      <w:pPr>
        <w:pStyle w:val="FootnoteText"/>
        <w:jc w:val="both"/>
        <w:rPr>
          <w:rFonts w:asciiTheme="majorHAnsi" w:hAnsiTheme="majorHAnsi" w:cstheme="majorHAnsi"/>
          <w:sz w:val="16"/>
          <w:szCs w:val="16"/>
          <w:lang w:val="ro-MD"/>
        </w:rPr>
      </w:pPr>
      <w:r w:rsidRPr="00AE11C4">
        <w:rPr>
          <w:rStyle w:val="FootnoteReference"/>
          <w:rFonts w:asciiTheme="majorHAnsi" w:hAnsiTheme="majorHAnsi" w:cstheme="majorHAnsi"/>
          <w:sz w:val="16"/>
          <w:szCs w:val="16"/>
          <w:lang w:val="ro-MD"/>
        </w:rPr>
        <w:footnoteRef/>
      </w:r>
      <w:r w:rsidRPr="00AE11C4">
        <w:rPr>
          <w:rFonts w:asciiTheme="majorHAnsi" w:hAnsiTheme="majorHAnsi" w:cstheme="majorHAnsi"/>
          <w:sz w:val="16"/>
          <w:szCs w:val="16"/>
          <w:lang w:val="ro-MD"/>
        </w:rPr>
        <w:t xml:space="preserve"> Art. 4 alin. (7) din Legea </w:t>
      </w:r>
      <w:r>
        <w:rPr>
          <w:rFonts w:asciiTheme="majorHAnsi" w:hAnsiTheme="majorHAnsi" w:cstheme="majorHAnsi"/>
          <w:sz w:val="16"/>
          <w:szCs w:val="16"/>
          <w:lang w:val="ro-MD"/>
        </w:rPr>
        <w:t>f</w:t>
      </w:r>
      <w:r w:rsidRPr="00AE11C4">
        <w:rPr>
          <w:rFonts w:asciiTheme="majorHAnsi" w:hAnsiTheme="majorHAnsi" w:cstheme="majorHAnsi"/>
          <w:sz w:val="16"/>
          <w:szCs w:val="16"/>
          <w:lang w:val="ro-MD"/>
        </w:rPr>
        <w:t xml:space="preserve">ondurilor </w:t>
      </w:r>
      <w:r>
        <w:rPr>
          <w:rFonts w:asciiTheme="majorHAnsi" w:hAnsiTheme="majorHAnsi" w:cstheme="majorHAnsi"/>
          <w:sz w:val="16"/>
          <w:szCs w:val="16"/>
          <w:lang w:val="ro-MD"/>
        </w:rPr>
        <w:t>a</w:t>
      </w:r>
      <w:r w:rsidRPr="00AE11C4">
        <w:rPr>
          <w:rFonts w:asciiTheme="majorHAnsi" w:hAnsiTheme="majorHAnsi" w:cstheme="majorHAnsi"/>
          <w:sz w:val="16"/>
          <w:szCs w:val="16"/>
          <w:lang w:val="ro-MD"/>
        </w:rPr>
        <w:t xml:space="preserve">sigurării </w:t>
      </w:r>
      <w:r>
        <w:rPr>
          <w:rFonts w:asciiTheme="majorHAnsi" w:hAnsiTheme="majorHAnsi" w:cstheme="majorHAnsi"/>
          <w:sz w:val="16"/>
          <w:szCs w:val="16"/>
          <w:lang w:val="ro-MD"/>
        </w:rPr>
        <w:t>o</w:t>
      </w:r>
      <w:r w:rsidRPr="00AE11C4">
        <w:rPr>
          <w:rFonts w:asciiTheme="majorHAnsi" w:hAnsiTheme="majorHAnsi" w:cstheme="majorHAnsi"/>
          <w:sz w:val="16"/>
          <w:szCs w:val="16"/>
          <w:lang w:val="ro-MD"/>
        </w:rPr>
        <w:t xml:space="preserve">bligatorii de </w:t>
      </w:r>
      <w:r>
        <w:rPr>
          <w:rFonts w:asciiTheme="majorHAnsi" w:hAnsiTheme="majorHAnsi" w:cstheme="majorHAnsi"/>
          <w:sz w:val="16"/>
          <w:szCs w:val="16"/>
          <w:lang w:val="ro-MD"/>
        </w:rPr>
        <w:t>a</w:t>
      </w:r>
      <w:r w:rsidRPr="00AE11C4">
        <w:rPr>
          <w:rFonts w:asciiTheme="majorHAnsi" w:hAnsiTheme="majorHAnsi" w:cstheme="majorHAnsi"/>
          <w:sz w:val="16"/>
          <w:szCs w:val="16"/>
          <w:lang w:val="ro-MD"/>
        </w:rPr>
        <w:t>sistență medicală pe anul 2020, nr. 174/2019.</w:t>
      </w:r>
    </w:p>
  </w:footnote>
  <w:footnote w:id="36">
    <w:p w14:paraId="7C94C7F7" w14:textId="77777777" w:rsidR="001C2E72" w:rsidRPr="001C2E72" w:rsidRDefault="001C2E72" w:rsidP="001E351D">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Pct.25 din </w:t>
      </w:r>
      <w:r w:rsidRPr="001C2E72">
        <w:rPr>
          <w:rFonts w:asciiTheme="majorHAnsi" w:hAnsiTheme="majorHAnsi" w:cstheme="majorHAnsi"/>
          <w:sz w:val="16"/>
          <w:szCs w:val="16"/>
          <w:lang w:val="ro-MD"/>
        </w:rPr>
        <w:t>Dispoziția Comisiei pentru Situații Excepționale a Republicii Moldova nr.10 din 31.03.2020.</w:t>
      </w:r>
    </w:p>
  </w:footnote>
  <w:footnote w:id="37">
    <w:p w14:paraId="16B7E574" w14:textId="4FB9B9AC" w:rsidR="001C2E72" w:rsidRPr="007235A6" w:rsidRDefault="001C2E72" w:rsidP="00956CF3">
      <w:pPr>
        <w:pStyle w:val="FootnoteText"/>
        <w:jc w:val="both"/>
        <w:rPr>
          <w:rFonts w:asciiTheme="majorHAnsi" w:hAnsiTheme="majorHAnsi" w:cstheme="majorHAnsi"/>
          <w:sz w:val="16"/>
          <w:szCs w:val="16"/>
          <w:lang w:val="ro-MD"/>
        </w:rPr>
      </w:pPr>
      <w:r w:rsidRPr="001C2E72">
        <w:rPr>
          <w:rFonts w:asciiTheme="majorHAnsi" w:hAnsiTheme="majorHAnsi" w:cstheme="majorHAnsi"/>
          <w:sz w:val="16"/>
          <w:szCs w:val="16"/>
          <w:lang w:val="ro-MD"/>
        </w:rPr>
        <w:footnoteRef/>
      </w:r>
      <w:r w:rsidRPr="001C2E72">
        <w:rPr>
          <w:rFonts w:asciiTheme="majorHAnsi" w:hAnsiTheme="majorHAnsi" w:cstheme="majorHAnsi"/>
          <w:sz w:val="16"/>
          <w:szCs w:val="16"/>
          <w:lang w:val="ro-MD"/>
        </w:rPr>
        <w:t xml:space="preserve"> </w:t>
      </w:r>
      <w:r w:rsidRPr="003F4D72">
        <w:rPr>
          <w:rFonts w:asciiTheme="majorHAnsi" w:hAnsiTheme="majorHAnsi" w:cstheme="majorHAnsi"/>
          <w:sz w:val="16"/>
          <w:szCs w:val="16"/>
          <w:lang w:val="ro-MD"/>
        </w:rPr>
        <w:t>Pct.11 lit.j</w:t>
      </w:r>
      <w:r w:rsidRPr="003F4D72">
        <w:rPr>
          <w:rFonts w:asciiTheme="majorHAnsi" w:hAnsiTheme="majorHAnsi" w:cstheme="majorHAnsi"/>
          <w:sz w:val="16"/>
          <w:szCs w:val="16"/>
          <w:vertAlign w:val="superscript"/>
          <w:lang w:val="ro-MD"/>
        </w:rPr>
        <w:t>1</w:t>
      </w:r>
      <w:r w:rsidRPr="003F4D72">
        <w:rPr>
          <w:rFonts w:asciiTheme="majorHAnsi" w:hAnsiTheme="majorHAnsi" w:cstheme="majorHAnsi"/>
          <w:sz w:val="16"/>
          <w:szCs w:val="16"/>
          <w:lang w:val="ro-MD"/>
        </w:rPr>
        <w:t>) din</w:t>
      </w:r>
      <w:r w:rsidRPr="001C2E72">
        <w:rPr>
          <w:rFonts w:asciiTheme="majorHAnsi" w:hAnsiTheme="majorHAnsi" w:cstheme="majorHAnsi"/>
          <w:sz w:val="16"/>
          <w:szCs w:val="16"/>
          <w:lang w:val="ro-MD"/>
        </w:rPr>
        <w:t xml:space="preserve"> Hotărârea Guvernului nr.156 din 11.02.2002 „Cu privire la organizarea </w:t>
      </w:r>
      <w:proofErr w:type="spellStart"/>
      <w:r w:rsidRPr="001C2E72">
        <w:rPr>
          <w:rFonts w:asciiTheme="majorHAnsi" w:hAnsiTheme="majorHAnsi" w:cstheme="majorHAnsi"/>
          <w:sz w:val="16"/>
          <w:szCs w:val="16"/>
          <w:lang w:val="ro-MD"/>
        </w:rPr>
        <w:t>şi</w:t>
      </w:r>
      <w:proofErr w:type="spellEnd"/>
      <w:r w:rsidRPr="001C2E72">
        <w:rPr>
          <w:rFonts w:asciiTheme="majorHAnsi" w:hAnsiTheme="majorHAnsi" w:cstheme="majorHAnsi"/>
          <w:sz w:val="16"/>
          <w:szCs w:val="16"/>
          <w:lang w:val="ro-MD"/>
        </w:rPr>
        <w:t xml:space="preserve"> funcționarea Companiei </w:t>
      </w:r>
      <w:proofErr w:type="spellStart"/>
      <w:r w:rsidRPr="001C2E72">
        <w:rPr>
          <w:rFonts w:asciiTheme="majorHAnsi" w:hAnsiTheme="majorHAnsi" w:cstheme="majorHAnsi"/>
          <w:sz w:val="16"/>
          <w:szCs w:val="16"/>
          <w:lang w:val="ro-MD"/>
        </w:rPr>
        <w:t>Naţionale</w:t>
      </w:r>
      <w:proofErr w:type="spellEnd"/>
      <w:r w:rsidRPr="001C2E72">
        <w:rPr>
          <w:rFonts w:asciiTheme="majorHAnsi" w:hAnsiTheme="majorHAnsi" w:cstheme="majorHAnsi"/>
          <w:sz w:val="16"/>
          <w:szCs w:val="16"/>
          <w:lang w:val="ro-MD"/>
        </w:rPr>
        <w:t xml:space="preserve"> de Asigurări în Medicină”; </w:t>
      </w:r>
      <w:r w:rsidRPr="00762402">
        <w:rPr>
          <w:rFonts w:asciiTheme="majorHAnsi" w:hAnsiTheme="majorHAnsi" w:cstheme="majorHAnsi"/>
          <w:sz w:val="16"/>
          <w:szCs w:val="16"/>
          <w:lang w:val="ro-MD"/>
        </w:rPr>
        <w:t>art.17 din Legea nr. 1593 din 26</w:t>
      </w:r>
      <w:r w:rsidRPr="00FA3E6A">
        <w:rPr>
          <w:rFonts w:asciiTheme="majorHAnsi" w:hAnsiTheme="majorHAnsi" w:cstheme="majorHAnsi"/>
          <w:sz w:val="16"/>
          <w:szCs w:val="16"/>
          <w:lang w:val="ro-MD"/>
        </w:rPr>
        <w:t>.12.</w:t>
      </w:r>
      <w:r w:rsidRPr="003F4D72">
        <w:rPr>
          <w:rFonts w:asciiTheme="majorHAnsi" w:hAnsiTheme="majorHAnsi" w:cstheme="majorHAnsi"/>
          <w:sz w:val="16"/>
          <w:szCs w:val="16"/>
          <w:lang w:val="ro-MD"/>
        </w:rPr>
        <w:t xml:space="preserve">2002 cu privire la mărimea, modul </w:t>
      </w:r>
      <w:proofErr w:type="spellStart"/>
      <w:r w:rsidRPr="003F4D72">
        <w:rPr>
          <w:rFonts w:asciiTheme="majorHAnsi" w:hAnsiTheme="majorHAnsi" w:cstheme="majorHAnsi"/>
          <w:sz w:val="16"/>
          <w:szCs w:val="16"/>
          <w:lang w:val="ro-MD"/>
        </w:rPr>
        <w:t>şi</w:t>
      </w:r>
      <w:proofErr w:type="spellEnd"/>
      <w:r w:rsidRPr="003F4D72">
        <w:rPr>
          <w:rFonts w:asciiTheme="majorHAnsi" w:hAnsiTheme="majorHAnsi" w:cstheme="majorHAnsi"/>
          <w:sz w:val="16"/>
          <w:szCs w:val="16"/>
          <w:lang w:val="ro-MD"/>
        </w:rPr>
        <w:t xml:space="preserve"> termenele de achitare a primelor de asigurare obligatorie de </w:t>
      </w:r>
      <w:proofErr w:type="spellStart"/>
      <w:r w:rsidRPr="003F4D72">
        <w:rPr>
          <w:rFonts w:asciiTheme="majorHAnsi" w:hAnsiTheme="majorHAnsi" w:cstheme="majorHAnsi"/>
          <w:sz w:val="16"/>
          <w:szCs w:val="16"/>
          <w:lang w:val="ro-MD"/>
        </w:rPr>
        <w:t>asistenţă</w:t>
      </w:r>
      <w:proofErr w:type="spellEnd"/>
      <w:r w:rsidRPr="007235A6">
        <w:rPr>
          <w:rFonts w:asciiTheme="majorHAnsi" w:hAnsiTheme="majorHAnsi" w:cstheme="majorHAnsi"/>
          <w:sz w:val="16"/>
          <w:szCs w:val="16"/>
          <w:lang w:val="ro-MD"/>
        </w:rPr>
        <w:t xml:space="preserve"> medicală.</w:t>
      </w:r>
    </w:p>
  </w:footnote>
  <w:footnote w:id="38">
    <w:p w14:paraId="5E058198" w14:textId="688AF249" w:rsidR="001C2E72" w:rsidRPr="003F4D72" w:rsidRDefault="001C2E72">
      <w:pPr>
        <w:pStyle w:val="FootnoteText"/>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Ordinul CNAM nr.26-A din 24.01.2018.</w:t>
      </w:r>
    </w:p>
  </w:footnote>
  <w:footnote w:id="39">
    <w:p w14:paraId="4580A975" w14:textId="77777777" w:rsidR="001C2E72" w:rsidRPr="007235A6" w:rsidRDefault="001C2E72" w:rsidP="00D8150A">
      <w:pPr>
        <w:pStyle w:val="FootnoteText"/>
        <w:shd w:val="clear" w:color="auto" w:fill="FFFFFF" w:themeFill="background1"/>
        <w:jc w:val="both"/>
        <w:rPr>
          <w:rFonts w:asciiTheme="majorHAnsi" w:hAnsiTheme="majorHAnsi" w:cstheme="majorHAnsi"/>
          <w:sz w:val="16"/>
          <w:szCs w:val="16"/>
          <w:lang w:val="ro-MD"/>
        </w:rPr>
      </w:pPr>
      <w:r w:rsidRPr="007235A6">
        <w:rPr>
          <w:rStyle w:val="FootnoteReference"/>
          <w:rFonts w:asciiTheme="majorHAnsi" w:hAnsiTheme="majorHAnsi" w:cstheme="majorHAnsi"/>
          <w:sz w:val="16"/>
          <w:szCs w:val="16"/>
          <w:lang w:val="ro-MD"/>
        </w:rPr>
        <w:footnoteRef/>
      </w:r>
      <w:r w:rsidRPr="007235A6">
        <w:rPr>
          <w:rFonts w:asciiTheme="majorHAnsi" w:hAnsiTheme="majorHAnsi" w:cstheme="majorHAnsi"/>
          <w:sz w:val="16"/>
          <w:szCs w:val="16"/>
          <w:lang w:val="ro-MD"/>
        </w:rPr>
        <w:t xml:space="preserve"> Pct.2 din Ordinul MSMPS nr.710 din 07.06.2018 „Cu privire la modul de organizare a tratamentului în cadrul Programelor speciale”.</w:t>
      </w:r>
    </w:p>
  </w:footnote>
  <w:footnote w:id="40">
    <w:p w14:paraId="2034B56C" w14:textId="2314CE6F" w:rsidR="001C2E72" w:rsidRPr="00E4494B" w:rsidRDefault="001C2E72" w:rsidP="00FA4D89">
      <w:pPr>
        <w:pStyle w:val="FootnoteText"/>
        <w:jc w:val="both"/>
        <w:rPr>
          <w:rFonts w:asciiTheme="majorHAnsi" w:hAnsiTheme="majorHAnsi" w:cstheme="majorHAnsi"/>
          <w:sz w:val="16"/>
          <w:szCs w:val="16"/>
          <w:lang w:val="ro-MD"/>
        </w:rPr>
      </w:pPr>
      <w:r w:rsidRPr="007235A6">
        <w:rPr>
          <w:rStyle w:val="FootnoteReference"/>
          <w:rFonts w:asciiTheme="majorHAnsi" w:hAnsiTheme="majorHAnsi" w:cstheme="majorHAnsi"/>
          <w:sz w:val="16"/>
          <w:szCs w:val="16"/>
          <w:lang w:val="ro-MD"/>
        </w:rPr>
        <w:footnoteRef/>
      </w:r>
      <w:r w:rsidRPr="007235A6">
        <w:rPr>
          <w:rFonts w:asciiTheme="majorHAnsi" w:hAnsiTheme="majorHAnsi" w:cstheme="majorHAnsi"/>
          <w:sz w:val="16"/>
          <w:szCs w:val="16"/>
          <w:lang w:val="ro-MD"/>
        </w:rPr>
        <w:t xml:space="preserve"> Pct.3 din Ordinul MSMPS și CNAM nr.988/297-A din 02.11.2020 </w:t>
      </w:r>
      <w:r>
        <w:rPr>
          <w:rFonts w:asciiTheme="majorHAnsi" w:hAnsiTheme="majorHAnsi" w:cstheme="majorHAnsi"/>
          <w:sz w:val="16"/>
          <w:szCs w:val="16"/>
          <w:lang w:val="ro-MD"/>
        </w:rPr>
        <w:t>„C</w:t>
      </w:r>
      <w:r w:rsidRPr="007235A6">
        <w:rPr>
          <w:rFonts w:asciiTheme="majorHAnsi" w:hAnsiTheme="majorHAnsi" w:cstheme="majorHAnsi"/>
          <w:sz w:val="16"/>
          <w:szCs w:val="16"/>
          <w:lang w:val="ro-MD"/>
        </w:rPr>
        <w:t>u privire la gestionarea Listelor de așteptare pentru tratament în cadrul Programelor speciale”</w:t>
      </w:r>
      <w:r>
        <w:rPr>
          <w:rFonts w:asciiTheme="majorHAnsi" w:hAnsiTheme="majorHAnsi" w:cstheme="majorHAnsi"/>
          <w:sz w:val="16"/>
          <w:szCs w:val="16"/>
          <w:lang w:val="ro-MD"/>
        </w:rPr>
        <w:t>.</w:t>
      </w:r>
    </w:p>
  </w:footnote>
  <w:footnote w:id="41">
    <w:p w14:paraId="1D0C118F" w14:textId="70402EB8" w:rsidR="001C2E72" w:rsidRPr="00E4494B" w:rsidRDefault="001C2E72" w:rsidP="00575F87">
      <w:pPr>
        <w:pStyle w:val="FootnoteText"/>
        <w:jc w:val="both"/>
        <w:rPr>
          <w:lang w:val="ro-MD"/>
        </w:rPr>
      </w:pPr>
      <w:r w:rsidRPr="007235A6">
        <w:rPr>
          <w:rStyle w:val="FootnoteReference"/>
          <w:rFonts w:asciiTheme="majorHAnsi" w:hAnsiTheme="majorHAnsi" w:cstheme="majorHAnsi"/>
          <w:sz w:val="16"/>
          <w:szCs w:val="16"/>
          <w:lang w:val="ro-MD"/>
        </w:rPr>
        <w:footnoteRef/>
      </w:r>
      <w:r w:rsidRPr="007235A6">
        <w:rPr>
          <w:rFonts w:asciiTheme="majorHAnsi" w:hAnsiTheme="majorHAnsi" w:cstheme="majorHAnsi"/>
          <w:sz w:val="16"/>
          <w:szCs w:val="16"/>
          <w:lang w:val="ro-MD"/>
        </w:rPr>
        <w:t xml:space="preserve"> Act de predare-primire a listelor de așteptare pentru tratament în cadrul programelor speciale</w:t>
      </w:r>
      <w:r>
        <w:rPr>
          <w:rFonts w:asciiTheme="majorHAnsi" w:hAnsiTheme="majorHAnsi" w:cstheme="majorHAnsi"/>
          <w:sz w:val="16"/>
          <w:szCs w:val="16"/>
          <w:lang w:val="ro-MD"/>
        </w:rPr>
        <w:t>,</w:t>
      </w:r>
      <w:r w:rsidRPr="007235A6">
        <w:rPr>
          <w:rFonts w:asciiTheme="majorHAnsi" w:hAnsiTheme="majorHAnsi" w:cstheme="majorHAnsi"/>
          <w:sz w:val="16"/>
          <w:szCs w:val="16"/>
          <w:lang w:val="ro-MD"/>
        </w:rPr>
        <w:t xml:space="preserve"> din 13</w:t>
      </w:r>
      <w:r>
        <w:rPr>
          <w:rFonts w:asciiTheme="majorHAnsi" w:hAnsiTheme="majorHAnsi" w:cstheme="majorHAnsi"/>
          <w:sz w:val="16"/>
          <w:szCs w:val="16"/>
          <w:lang w:val="ro-MD"/>
        </w:rPr>
        <w:t>.11.</w:t>
      </w:r>
      <w:r w:rsidRPr="007235A6">
        <w:rPr>
          <w:rFonts w:asciiTheme="majorHAnsi" w:hAnsiTheme="majorHAnsi" w:cstheme="majorHAnsi"/>
          <w:sz w:val="16"/>
          <w:szCs w:val="16"/>
          <w:lang w:val="ro-MD"/>
        </w:rPr>
        <w:t>2020.</w:t>
      </w:r>
    </w:p>
  </w:footnote>
  <w:footnote w:id="42">
    <w:p w14:paraId="730A511F" w14:textId="77777777" w:rsidR="001C2E72" w:rsidRPr="00C50430" w:rsidRDefault="001C2E72">
      <w:pPr>
        <w:pStyle w:val="FootnoteText"/>
        <w:rPr>
          <w:rFonts w:asciiTheme="majorHAnsi" w:hAnsiTheme="majorHAnsi" w:cstheme="majorHAnsi"/>
          <w:sz w:val="16"/>
          <w:szCs w:val="16"/>
          <w:lang w:val="ro-MD"/>
        </w:rPr>
      </w:pPr>
      <w:r w:rsidRPr="00C50430">
        <w:rPr>
          <w:rStyle w:val="FootnoteReference"/>
          <w:rFonts w:asciiTheme="majorHAnsi" w:hAnsiTheme="majorHAnsi" w:cstheme="majorHAnsi"/>
          <w:sz w:val="16"/>
          <w:szCs w:val="16"/>
          <w:lang w:val="ro-MD"/>
        </w:rPr>
        <w:footnoteRef/>
      </w:r>
      <w:r w:rsidRPr="00C50430">
        <w:rPr>
          <w:rFonts w:asciiTheme="majorHAnsi" w:hAnsiTheme="majorHAnsi" w:cstheme="majorHAnsi"/>
          <w:sz w:val="16"/>
          <w:szCs w:val="16"/>
          <w:lang w:val="ro-MD"/>
        </w:rPr>
        <w:t xml:space="preserve"> </w:t>
      </w:r>
      <w:r w:rsidRPr="00C50430">
        <w:rPr>
          <w:rFonts w:asciiTheme="majorHAnsi" w:eastAsia="Times New Roman" w:hAnsiTheme="majorHAnsi" w:cstheme="majorHAnsi"/>
          <w:sz w:val="16"/>
          <w:szCs w:val="16"/>
          <w:lang w:val="ro-MD" w:eastAsia="ru-RU"/>
        </w:rPr>
        <w:t>Ordinul MSMPS și CNAM nr.988/297-A din 02.11.2020.</w:t>
      </w:r>
    </w:p>
  </w:footnote>
  <w:footnote w:id="43">
    <w:p w14:paraId="6DD6F89C" w14:textId="1F3EC558" w:rsidR="001C2E72" w:rsidRPr="008E7146" w:rsidRDefault="001C2E72" w:rsidP="00C50430">
      <w:pPr>
        <w:pStyle w:val="FootnoteText"/>
        <w:rPr>
          <w:rFonts w:asciiTheme="majorHAnsi" w:hAnsiTheme="majorHAnsi" w:cstheme="majorHAnsi"/>
          <w:lang w:val="ro-MD"/>
        </w:rPr>
      </w:pPr>
      <w:r w:rsidRPr="00C50430">
        <w:rPr>
          <w:rStyle w:val="FootnoteReference"/>
          <w:rFonts w:asciiTheme="majorHAnsi" w:hAnsiTheme="majorHAnsi" w:cstheme="majorHAnsi"/>
          <w:sz w:val="16"/>
          <w:lang w:val="ro-MD"/>
        </w:rPr>
        <w:footnoteRef/>
      </w:r>
      <w:r w:rsidRPr="00C50430">
        <w:rPr>
          <w:rFonts w:asciiTheme="majorHAnsi" w:hAnsiTheme="majorHAnsi" w:cstheme="majorHAnsi"/>
          <w:sz w:val="16"/>
          <w:lang w:val="ro-MD"/>
        </w:rPr>
        <w:t xml:space="preserve"> Pct.16 din Anexa nr.1 la Ordinul MSMPS și CNAM nr.988/297-A din 02.11.2020 </w:t>
      </w:r>
      <w:r>
        <w:rPr>
          <w:rFonts w:asciiTheme="majorHAnsi" w:hAnsiTheme="majorHAnsi" w:cstheme="majorHAnsi"/>
          <w:sz w:val="16"/>
          <w:lang w:val="ro-MD"/>
        </w:rPr>
        <w:t>„C</w:t>
      </w:r>
      <w:r w:rsidRPr="00C50430">
        <w:rPr>
          <w:rFonts w:asciiTheme="majorHAnsi" w:hAnsiTheme="majorHAnsi" w:cstheme="majorHAnsi"/>
          <w:sz w:val="16"/>
          <w:lang w:val="ro-MD"/>
        </w:rPr>
        <w:t>u privire la modul de gestionare а listelor de așteptare pentru tratament în cadrul programelor</w:t>
      </w:r>
      <w:r w:rsidRPr="008E7146">
        <w:rPr>
          <w:rFonts w:asciiTheme="majorHAnsi" w:hAnsiTheme="majorHAnsi" w:cstheme="majorHAnsi"/>
          <w:sz w:val="16"/>
          <w:lang w:val="ro-MD"/>
        </w:rPr>
        <w:t xml:space="preserve"> speciale”; </w:t>
      </w:r>
      <w:r>
        <w:rPr>
          <w:rFonts w:asciiTheme="majorHAnsi" w:hAnsiTheme="majorHAnsi" w:cstheme="majorHAnsi"/>
          <w:sz w:val="16"/>
          <w:lang w:val="ro-MD"/>
        </w:rPr>
        <w:t>p</w:t>
      </w:r>
      <w:r w:rsidRPr="008E7146">
        <w:rPr>
          <w:rFonts w:asciiTheme="majorHAnsi" w:hAnsiTheme="majorHAnsi" w:cstheme="majorHAnsi"/>
          <w:sz w:val="16"/>
          <w:lang w:val="ro-MD"/>
        </w:rPr>
        <w:t xml:space="preserve">ct.16 din Anexa nr.2 la Ordinul MSMPS și CNAM nr.988/297-A din 02.11.2020 </w:t>
      </w:r>
      <w:r>
        <w:rPr>
          <w:rFonts w:asciiTheme="majorHAnsi" w:hAnsiTheme="majorHAnsi" w:cstheme="majorHAnsi"/>
          <w:sz w:val="16"/>
          <w:lang w:val="ro-MD"/>
        </w:rPr>
        <w:t>„C</w:t>
      </w:r>
      <w:r w:rsidRPr="008E7146">
        <w:rPr>
          <w:rFonts w:asciiTheme="majorHAnsi" w:hAnsiTheme="majorHAnsi" w:cstheme="majorHAnsi"/>
          <w:sz w:val="16"/>
          <w:lang w:val="ro-MD"/>
        </w:rPr>
        <w:t>u privire la modul de gestionare а listelor de așteptare pentru tratament în cadrul programelor speciale”</w:t>
      </w:r>
      <w:r>
        <w:rPr>
          <w:rFonts w:asciiTheme="majorHAnsi" w:hAnsiTheme="majorHAnsi" w:cstheme="majorHAnsi"/>
          <w:sz w:val="16"/>
          <w:lang w:val="ro-MD"/>
        </w:rPr>
        <w:t>.</w:t>
      </w:r>
    </w:p>
  </w:footnote>
  <w:footnote w:id="44">
    <w:p w14:paraId="593DF2D8" w14:textId="46258F58" w:rsidR="001C2E72" w:rsidRPr="00391FEA" w:rsidRDefault="001C2E72" w:rsidP="004179FC">
      <w:pPr>
        <w:pStyle w:val="FootnoteText"/>
        <w:jc w:val="both"/>
        <w:rPr>
          <w:rFonts w:asciiTheme="majorHAnsi" w:hAnsiTheme="majorHAnsi" w:cstheme="majorHAnsi"/>
          <w:sz w:val="16"/>
          <w:szCs w:val="16"/>
          <w:lang w:val="ro-MD"/>
        </w:rPr>
      </w:pPr>
      <w:r w:rsidRPr="00391FEA">
        <w:rPr>
          <w:rStyle w:val="FootnoteReference"/>
          <w:rFonts w:asciiTheme="majorHAnsi" w:hAnsiTheme="majorHAnsi" w:cstheme="majorHAnsi"/>
          <w:sz w:val="16"/>
          <w:szCs w:val="16"/>
          <w:lang w:val="ro-MD"/>
        </w:rPr>
        <w:footnoteRef/>
      </w:r>
      <w:r w:rsidRPr="00391FEA">
        <w:rPr>
          <w:rFonts w:asciiTheme="majorHAnsi" w:hAnsiTheme="majorHAnsi" w:cstheme="majorHAnsi"/>
          <w:sz w:val="16"/>
          <w:szCs w:val="16"/>
          <w:lang w:val="ro-MD"/>
        </w:rPr>
        <w:t xml:space="preserve"> Programul special „Cardiologie intervențională", „Cardiologie intervențională congenital</w:t>
      </w:r>
      <w:r>
        <w:rPr>
          <w:rFonts w:asciiTheme="majorHAnsi" w:hAnsiTheme="majorHAnsi" w:cstheme="majorHAnsi"/>
          <w:sz w:val="16"/>
          <w:szCs w:val="16"/>
          <w:lang w:val="ro-MD"/>
        </w:rPr>
        <w:t>ă</w:t>
      </w:r>
      <w:r w:rsidRPr="00391FEA">
        <w:rPr>
          <w:rFonts w:asciiTheme="majorHAnsi" w:hAnsiTheme="majorHAnsi" w:cstheme="majorHAnsi"/>
          <w:sz w:val="16"/>
          <w:szCs w:val="16"/>
          <w:lang w:val="ro-MD"/>
        </w:rPr>
        <w:t>”, „Studiul Electrofiziologic și ablații”, „Tratament operator pentru cataractă”, „</w:t>
      </w:r>
      <w:proofErr w:type="spellStart"/>
      <w:r w:rsidRPr="00391FEA">
        <w:rPr>
          <w:rFonts w:asciiTheme="majorHAnsi" w:hAnsiTheme="majorHAnsi" w:cstheme="majorHAnsi"/>
          <w:sz w:val="16"/>
          <w:szCs w:val="16"/>
          <w:lang w:val="ro-MD"/>
        </w:rPr>
        <w:t>Cardiochirurgie</w:t>
      </w:r>
      <w:proofErr w:type="spellEnd"/>
      <w:r w:rsidRPr="00391FEA">
        <w:rPr>
          <w:rFonts w:asciiTheme="majorHAnsi" w:hAnsiTheme="majorHAnsi" w:cstheme="majorHAnsi"/>
          <w:sz w:val="16"/>
          <w:szCs w:val="16"/>
          <w:lang w:val="ro-MD"/>
        </w:rPr>
        <w:t xml:space="preserve">”, „Protezări vasculare”, „Chirurgie </w:t>
      </w:r>
      <w:proofErr w:type="spellStart"/>
      <w:r w:rsidRPr="00391FEA">
        <w:rPr>
          <w:rFonts w:asciiTheme="majorHAnsi" w:hAnsiTheme="majorHAnsi" w:cstheme="majorHAnsi"/>
          <w:sz w:val="16"/>
          <w:szCs w:val="16"/>
          <w:lang w:val="ro-MD"/>
        </w:rPr>
        <w:t>endovasculară</w:t>
      </w:r>
      <w:proofErr w:type="spellEnd"/>
      <w:r w:rsidRPr="00391FEA">
        <w:rPr>
          <w:rFonts w:asciiTheme="majorHAnsi" w:hAnsiTheme="majorHAnsi" w:cstheme="majorHAnsi"/>
          <w:sz w:val="16"/>
          <w:szCs w:val="16"/>
          <w:lang w:val="ro-MD"/>
        </w:rPr>
        <w:t>”, „Neurochirurgia fracturilor coloanei vertebrale”, „Protezarea articulațiilor mari”, „Corecția anatomică a coloanei vertebrale și cutiei toracice la copii”, „Tratamentul intervențional în AVC ischemic acut”, „</w:t>
      </w:r>
      <w:proofErr w:type="spellStart"/>
      <w:r w:rsidRPr="00391FEA">
        <w:rPr>
          <w:rFonts w:asciiTheme="majorHAnsi" w:hAnsiTheme="majorHAnsi" w:cstheme="majorHAnsi"/>
          <w:sz w:val="16"/>
          <w:szCs w:val="16"/>
          <w:lang w:val="ro-MD"/>
        </w:rPr>
        <w:t>Neuroradiologia</w:t>
      </w:r>
      <w:proofErr w:type="spellEnd"/>
      <w:r w:rsidRPr="00391FEA">
        <w:rPr>
          <w:rFonts w:asciiTheme="majorHAnsi" w:hAnsiTheme="majorHAnsi" w:cstheme="majorHAnsi"/>
          <w:sz w:val="16"/>
          <w:szCs w:val="16"/>
          <w:lang w:val="ro-MD"/>
        </w:rPr>
        <w:t xml:space="preserve"> intervențională”.</w:t>
      </w:r>
    </w:p>
  </w:footnote>
  <w:footnote w:id="45">
    <w:p w14:paraId="389A2DB3" w14:textId="5001A321" w:rsidR="001C2E72" w:rsidRPr="008E18EC" w:rsidRDefault="001C2E72" w:rsidP="004179FC">
      <w:pPr>
        <w:pStyle w:val="FootnoteText"/>
        <w:jc w:val="both"/>
        <w:rPr>
          <w:rFonts w:asciiTheme="majorHAnsi" w:hAnsiTheme="majorHAnsi"/>
          <w:sz w:val="16"/>
          <w:szCs w:val="16"/>
        </w:rPr>
      </w:pPr>
      <w:r w:rsidRPr="00391FEA">
        <w:rPr>
          <w:rStyle w:val="FootnoteReference"/>
          <w:rFonts w:asciiTheme="majorHAnsi" w:hAnsiTheme="majorHAnsi" w:cstheme="majorHAnsi"/>
          <w:sz w:val="16"/>
          <w:szCs w:val="16"/>
          <w:lang w:val="ro-MD"/>
        </w:rPr>
        <w:footnoteRef/>
      </w:r>
      <w:r w:rsidRPr="00391FEA">
        <w:rPr>
          <w:rFonts w:asciiTheme="majorHAnsi" w:hAnsiTheme="majorHAnsi" w:cstheme="majorHAnsi"/>
          <w:sz w:val="16"/>
          <w:szCs w:val="16"/>
          <w:lang w:val="ro-MD"/>
        </w:rPr>
        <w:t xml:space="preserve"> Ordinul comun al MSMPS</w:t>
      </w:r>
      <w:r>
        <w:rPr>
          <w:rFonts w:asciiTheme="majorHAnsi" w:hAnsiTheme="majorHAnsi" w:cstheme="majorHAnsi"/>
          <w:sz w:val="16"/>
          <w:szCs w:val="16"/>
          <w:lang w:val="ro-MD"/>
        </w:rPr>
        <w:t xml:space="preserve"> și </w:t>
      </w:r>
      <w:r w:rsidRPr="00391FEA">
        <w:rPr>
          <w:rFonts w:asciiTheme="majorHAnsi" w:hAnsiTheme="majorHAnsi" w:cstheme="majorHAnsi"/>
          <w:sz w:val="16"/>
          <w:szCs w:val="16"/>
          <w:lang w:val="ro-MD"/>
        </w:rPr>
        <w:t>CNAM nr. 1004/670-A din 15.12.2016 Cu privire la aprobarea Listei programelor de activitate spitalicească, Listei intervențiilor chirurgicale repartizate pe programe speciale, Listei consumabilelor costisitoare achitate suplimentar plății per „caz tratat" în cadrul programelor speciale în sistemul DRG, cu modificările ulterioare.</w:t>
      </w:r>
    </w:p>
  </w:footnote>
  <w:footnote w:id="46">
    <w:p w14:paraId="4C6A3DF7" w14:textId="77777777" w:rsidR="001C2E72" w:rsidRDefault="001C2E72" w:rsidP="00587F58">
      <w:pPr>
        <w:pStyle w:val="FootnoteText"/>
        <w:jc w:val="both"/>
      </w:pPr>
      <w:r w:rsidRPr="008E7146">
        <w:rPr>
          <w:rStyle w:val="FootnoteReference"/>
          <w:rFonts w:asciiTheme="majorHAnsi" w:hAnsiTheme="majorHAnsi" w:cstheme="majorHAnsi"/>
          <w:sz w:val="16"/>
          <w:lang w:val="ro-MD"/>
        </w:rPr>
        <w:footnoteRef/>
      </w:r>
      <w:r w:rsidRPr="008E7146">
        <w:rPr>
          <w:rFonts w:asciiTheme="majorHAnsi" w:hAnsiTheme="majorHAnsi" w:cstheme="majorHAnsi"/>
          <w:sz w:val="16"/>
          <w:lang w:val="ro-MD"/>
        </w:rPr>
        <w:t xml:space="preserve"> H</w:t>
      </w:r>
      <w:r>
        <w:rPr>
          <w:rFonts w:asciiTheme="majorHAnsi" w:hAnsiTheme="majorHAnsi" w:cstheme="majorHAnsi"/>
          <w:sz w:val="16"/>
          <w:lang w:val="ro-MD"/>
        </w:rPr>
        <w:t>otărârea Curții de Conturi nr.30 din 16.07.2020</w:t>
      </w:r>
      <w:r w:rsidRPr="008E7146">
        <w:rPr>
          <w:rFonts w:asciiTheme="majorHAnsi" w:hAnsiTheme="majorHAnsi" w:cstheme="majorHAnsi"/>
          <w:sz w:val="16"/>
          <w:lang w:val="ro-MD"/>
        </w:rPr>
        <w:t xml:space="preserve"> „Cu privire la Raportul auditului financiar al Raportului Guvernului privind executarea fondurilor asigurării obligatorii de</w:t>
      </w:r>
      <w:r>
        <w:rPr>
          <w:rFonts w:asciiTheme="majorHAnsi" w:hAnsiTheme="majorHAnsi" w:cstheme="majorHAnsi"/>
          <w:sz w:val="16"/>
          <w:lang w:val="ro-MD"/>
        </w:rPr>
        <w:t xml:space="preserve"> asistență medicală în anul 2019</w:t>
      </w:r>
      <w:r w:rsidRPr="008E7146">
        <w:rPr>
          <w:rFonts w:asciiTheme="majorHAnsi" w:hAnsiTheme="majorHAnsi" w:cstheme="majorHAnsi"/>
          <w:sz w:val="16"/>
          <w:lang w:val="ro-MD"/>
        </w:rPr>
        <w:t>”.</w:t>
      </w:r>
    </w:p>
  </w:footnote>
  <w:footnote w:id="47">
    <w:p w14:paraId="02153C53" w14:textId="77777777" w:rsidR="001C2E72" w:rsidRPr="000726AC" w:rsidRDefault="001C2E72" w:rsidP="00333B34">
      <w:pPr>
        <w:pStyle w:val="FootnoteText"/>
        <w:jc w:val="both"/>
        <w:rPr>
          <w:rFonts w:asciiTheme="majorHAnsi" w:hAnsiTheme="majorHAnsi" w:cstheme="majorHAnsi"/>
          <w:sz w:val="16"/>
          <w:szCs w:val="16"/>
          <w:lang w:val="ro-MD"/>
        </w:rPr>
      </w:pPr>
      <w:r w:rsidRPr="000726AC">
        <w:rPr>
          <w:rStyle w:val="FootnoteReference"/>
          <w:rFonts w:asciiTheme="majorHAnsi" w:hAnsiTheme="majorHAnsi" w:cstheme="majorHAnsi"/>
          <w:sz w:val="16"/>
          <w:szCs w:val="16"/>
          <w:lang w:val="ro-MD"/>
        </w:rPr>
        <w:footnoteRef/>
      </w:r>
      <w:r w:rsidRPr="000726AC">
        <w:rPr>
          <w:rFonts w:asciiTheme="majorHAnsi" w:hAnsiTheme="majorHAnsi" w:cstheme="majorHAnsi"/>
          <w:sz w:val="16"/>
          <w:szCs w:val="16"/>
          <w:lang w:val="ro-MD"/>
        </w:rPr>
        <w:t xml:space="preserve"> </w:t>
      </w:r>
      <w:hyperlink r:id="rId4" w:history="1">
        <w:r w:rsidRPr="000726AC">
          <w:rPr>
            <w:rStyle w:val="Hyperlink"/>
            <w:rFonts w:asciiTheme="majorHAnsi" w:hAnsiTheme="majorHAnsi" w:cstheme="majorHAnsi"/>
            <w:color w:val="auto"/>
            <w:sz w:val="16"/>
            <w:szCs w:val="16"/>
            <w:u w:val="none"/>
            <w:lang w:val="ro-MD"/>
          </w:rPr>
          <w:t>Ordinul comun al MS și CNAM nr.596/404A din 21.07.2016</w:t>
        </w:r>
      </w:hyperlink>
      <w:r w:rsidRPr="000726AC">
        <w:rPr>
          <w:rFonts w:asciiTheme="majorHAnsi" w:hAnsiTheme="majorHAnsi" w:cstheme="majorHAnsi"/>
          <w:sz w:val="16"/>
          <w:szCs w:val="16"/>
          <w:lang w:val="ro-MD"/>
        </w:rPr>
        <w:t xml:space="preserve"> „Privind aprobarea Normelor metodologice de aplicare a Programului unic al asigurării obligatorii de asistență medicală”.</w:t>
      </w:r>
    </w:p>
  </w:footnote>
  <w:footnote w:id="48">
    <w:p w14:paraId="166F6076" w14:textId="77777777" w:rsidR="001C2E72" w:rsidRPr="006E0049" w:rsidRDefault="001C2E72" w:rsidP="00EE57A9">
      <w:pPr>
        <w:pStyle w:val="FootnoteText"/>
        <w:jc w:val="both"/>
        <w:rPr>
          <w:rFonts w:asciiTheme="majorHAnsi" w:hAnsiTheme="majorHAnsi"/>
          <w:sz w:val="16"/>
          <w:szCs w:val="16"/>
          <w:lang w:val="ro-MD"/>
        </w:rPr>
      </w:pPr>
      <w:r w:rsidRPr="003F4D72">
        <w:rPr>
          <w:rStyle w:val="FootnoteReference"/>
          <w:rFonts w:asciiTheme="majorHAnsi" w:hAnsiTheme="majorHAnsi"/>
          <w:sz w:val="16"/>
          <w:szCs w:val="16"/>
          <w:lang w:val="ro-MD"/>
        </w:rPr>
        <w:footnoteRef/>
      </w:r>
      <w:r w:rsidRPr="003F4D72">
        <w:rPr>
          <w:rFonts w:asciiTheme="majorHAnsi" w:hAnsiTheme="majorHAnsi"/>
          <w:sz w:val="16"/>
          <w:szCs w:val="16"/>
          <w:lang w:val="ro-MD"/>
        </w:rPr>
        <w:t xml:space="preserve"> </w:t>
      </w:r>
      <w:r w:rsidRPr="006E0049">
        <w:rPr>
          <w:rFonts w:asciiTheme="majorHAnsi" w:eastAsiaTheme="minorEastAsia" w:hAnsiTheme="majorHAnsi" w:cs="Times New Roman"/>
          <w:sz w:val="16"/>
          <w:szCs w:val="16"/>
          <w:shd w:val="clear" w:color="auto" w:fill="FFFFFF"/>
          <w:lang w:val="ro-MD" w:eastAsia="ru-RU"/>
        </w:rPr>
        <w:t>Ordinul MSMPS nr.254 din 13.03.2020.</w:t>
      </w:r>
    </w:p>
  </w:footnote>
  <w:footnote w:id="49">
    <w:p w14:paraId="74D25761" w14:textId="57FC773E" w:rsidR="001C2E72" w:rsidRPr="006E0049" w:rsidRDefault="001C2E72" w:rsidP="00EE57A9">
      <w:pPr>
        <w:pStyle w:val="FootnoteText"/>
        <w:jc w:val="both"/>
        <w:rPr>
          <w:lang w:val="ro-MD"/>
        </w:rPr>
      </w:pPr>
      <w:r w:rsidRPr="003F4D72">
        <w:rPr>
          <w:rStyle w:val="FootnoteReference"/>
          <w:rFonts w:asciiTheme="majorHAnsi" w:hAnsiTheme="majorHAnsi"/>
          <w:sz w:val="16"/>
          <w:szCs w:val="16"/>
          <w:lang w:val="ro-MD"/>
        </w:rPr>
        <w:footnoteRef/>
      </w:r>
      <w:r w:rsidRPr="003F4D72">
        <w:rPr>
          <w:rFonts w:asciiTheme="majorHAnsi" w:hAnsiTheme="majorHAnsi"/>
          <w:sz w:val="16"/>
          <w:szCs w:val="16"/>
          <w:lang w:val="ro-MD"/>
        </w:rPr>
        <w:t xml:space="preserve"> </w:t>
      </w:r>
      <w:r w:rsidRPr="006E0049">
        <w:rPr>
          <w:rFonts w:asciiTheme="majorHAnsi" w:eastAsiaTheme="minorEastAsia" w:hAnsiTheme="majorHAnsi" w:cstheme="majorHAnsi"/>
          <w:sz w:val="16"/>
          <w:szCs w:val="16"/>
          <w:shd w:val="clear" w:color="auto" w:fill="FFFFFF"/>
          <w:lang w:val="ro-MD" w:eastAsia="ru-RU"/>
        </w:rPr>
        <w:t>Ordinul MSMPS nr.1513 din 31.12.2019 „Cu privire la Programul „Un doctor pentru tine”</w:t>
      </w:r>
      <w:r>
        <w:rPr>
          <w:rFonts w:asciiTheme="majorHAnsi" w:eastAsiaTheme="minorEastAsia" w:hAnsiTheme="majorHAnsi" w:cstheme="majorHAnsi"/>
          <w:sz w:val="16"/>
          <w:szCs w:val="16"/>
          <w:shd w:val="clear" w:color="auto" w:fill="FFFFFF"/>
          <w:lang w:val="ro-MD" w:eastAsia="ru-RU"/>
        </w:rPr>
        <w:t xml:space="preserve"> </w:t>
      </w:r>
      <w:r w:rsidRPr="006E0049">
        <w:rPr>
          <w:rFonts w:asciiTheme="majorHAnsi" w:eastAsiaTheme="minorEastAsia" w:hAnsiTheme="majorHAnsi" w:cstheme="majorHAnsi"/>
          <w:sz w:val="16"/>
          <w:szCs w:val="16"/>
          <w:shd w:val="clear" w:color="auto" w:fill="FFFFFF"/>
          <w:lang w:val="ro-MD" w:eastAsia="ru-RU"/>
        </w:rPr>
        <w:t>- realizarea screening-ului prin radiografia pulmonară</w:t>
      </w:r>
      <w:r>
        <w:rPr>
          <w:rFonts w:asciiTheme="majorHAnsi" w:eastAsiaTheme="minorEastAsia" w:hAnsiTheme="majorHAnsi" w:cstheme="majorHAnsi"/>
          <w:sz w:val="16"/>
          <w:szCs w:val="16"/>
          <w:shd w:val="clear" w:color="auto" w:fill="FFFFFF"/>
          <w:lang w:val="ro-MD" w:eastAsia="ru-RU"/>
        </w:rPr>
        <w:t>”</w:t>
      </w:r>
      <w:r w:rsidRPr="006E0049">
        <w:rPr>
          <w:rFonts w:asciiTheme="majorHAnsi" w:eastAsiaTheme="minorEastAsia" w:hAnsiTheme="majorHAnsi" w:cstheme="majorHAnsi"/>
          <w:sz w:val="16"/>
          <w:szCs w:val="16"/>
          <w:shd w:val="clear" w:color="auto" w:fill="FFFFFF"/>
          <w:lang w:val="ro-MD" w:eastAsia="ru-RU"/>
        </w:rPr>
        <w:t>.</w:t>
      </w:r>
    </w:p>
  </w:footnote>
  <w:footnote w:id="50">
    <w:p w14:paraId="446F0918" w14:textId="2A8F6D00" w:rsidR="001C2E72" w:rsidRPr="006E0049" w:rsidRDefault="001C2E72" w:rsidP="00EE57A9">
      <w:pPr>
        <w:pStyle w:val="FootnoteText"/>
        <w:jc w:val="both"/>
        <w:rPr>
          <w:rFonts w:asciiTheme="majorHAnsi" w:hAnsiTheme="majorHAnsi"/>
          <w:sz w:val="16"/>
          <w:szCs w:val="16"/>
          <w:lang w:val="ro-MD"/>
        </w:rPr>
      </w:pPr>
      <w:r w:rsidRPr="003F4D72">
        <w:rPr>
          <w:rStyle w:val="FootnoteReference"/>
          <w:rFonts w:asciiTheme="majorHAnsi" w:hAnsiTheme="majorHAnsi"/>
          <w:sz w:val="16"/>
          <w:szCs w:val="16"/>
          <w:lang w:val="ro-MD"/>
        </w:rPr>
        <w:footnoteRef/>
      </w:r>
      <w:r w:rsidRPr="003F4D72">
        <w:rPr>
          <w:rFonts w:asciiTheme="majorHAnsi" w:hAnsiTheme="majorHAnsi"/>
          <w:sz w:val="16"/>
          <w:szCs w:val="16"/>
          <w:lang w:val="ro-MD"/>
        </w:rPr>
        <w:t xml:space="preserve"> </w:t>
      </w:r>
      <w:r w:rsidRPr="006E0049">
        <w:rPr>
          <w:rFonts w:asciiTheme="majorHAnsi" w:hAnsiTheme="majorHAnsi" w:cstheme="majorHAnsi"/>
          <w:sz w:val="16"/>
          <w:szCs w:val="16"/>
          <w:shd w:val="clear" w:color="auto" w:fill="FFFFFF"/>
          <w:lang w:val="ro-MD"/>
        </w:rPr>
        <w:t>Ordinul MSMPS nr.1514 din 31.12.2019 „Cu privire la Programul „Un doctor pentru tine”</w:t>
      </w:r>
      <w:r>
        <w:rPr>
          <w:rFonts w:asciiTheme="majorHAnsi" w:hAnsiTheme="majorHAnsi" w:cstheme="majorHAnsi"/>
          <w:sz w:val="16"/>
          <w:szCs w:val="16"/>
          <w:shd w:val="clear" w:color="auto" w:fill="FFFFFF"/>
          <w:lang w:val="ro-MD"/>
        </w:rPr>
        <w:t xml:space="preserve"> </w:t>
      </w:r>
      <w:r w:rsidRPr="006E0049">
        <w:rPr>
          <w:rFonts w:asciiTheme="majorHAnsi" w:hAnsiTheme="majorHAnsi" w:cstheme="majorHAnsi"/>
          <w:sz w:val="16"/>
          <w:szCs w:val="16"/>
          <w:shd w:val="clear" w:color="auto" w:fill="FFFFFF"/>
          <w:lang w:val="ro-MD"/>
        </w:rPr>
        <w:t>- realizarea screening-ului cancerului mamar”.</w:t>
      </w:r>
    </w:p>
  </w:footnote>
  <w:footnote w:id="51">
    <w:p w14:paraId="72BCA413" w14:textId="5D052112" w:rsidR="001C2E72" w:rsidRPr="006E0049" w:rsidRDefault="001C2E72" w:rsidP="00EE57A9">
      <w:pPr>
        <w:pStyle w:val="FootnoteText"/>
        <w:jc w:val="both"/>
        <w:rPr>
          <w:rFonts w:asciiTheme="majorHAnsi" w:hAnsiTheme="majorHAnsi"/>
          <w:sz w:val="16"/>
          <w:szCs w:val="16"/>
          <w:lang w:val="ro-MD"/>
        </w:rPr>
      </w:pPr>
      <w:r w:rsidRPr="003F4D72">
        <w:rPr>
          <w:rStyle w:val="FootnoteReference"/>
          <w:rFonts w:asciiTheme="majorHAnsi" w:hAnsiTheme="majorHAnsi"/>
          <w:sz w:val="16"/>
          <w:szCs w:val="16"/>
          <w:lang w:val="ro-MD"/>
        </w:rPr>
        <w:footnoteRef/>
      </w:r>
      <w:r w:rsidRPr="003F4D72">
        <w:rPr>
          <w:rFonts w:asciiTheme="majorHAnsi" w:hAnsiTheme="majorHAnsi"/>
          <w:sz w:val="16"/>
          <w:szCs w:val="16"/>
          <w:lang w:val="ro-MD"/>
        </w:rPr>
        <w:t xml:space="preserve"> </w:t>
      </w:r>
      <w:r w:rsidRPr="006E0049">
        <w:rPr>
          <w:rFonts w:asciiTheme="majorHAnsi" w:hAnsiTheme="majorHAnsi" w:cstheme="majorHAnsi"/>
          <w:sz w:val="16"/>
          <w:szCs w:val="16"/>
          <w:shd w:val="clear" w:color="auto" w:fill="FFFFFF"/>
          <w:lang w:val="ro-MD"/>
        </w:rPr>
        <w:t>Ordinul MSMPS nr.1518 din 31.12.2019 „Cu privire la Programul „Un doctor pentru tine”</w:t>
      </w:r>
      <w:r>
        <w:rPr>
          <w:rFonts w:asciiTheme="majorHAnsi" w:hAnsiTheme="majorHAnsi" w:cstheme="majorHAnsi"/>
          <w:sz w:val="16"/>
          <w:szCs w:val="16"/>
          <w:shd w:val="clear" w:color="auto" w:fill="FFFFFF"/>
          <w:lang w:val="ro-MD"/>
        </w:rPr>
        <w:t xml:space="preserve"> </w:t>
      </w:r>
      <w:r w:rsidRPr="006E0049">
        <w:rPr>
          <w:rFonts w:asciiTheme="majorHAnsi" w:hAnsiTheme="majorHAnsi" w:cstheme="majorHAnsi"/>
          <w:sz w:val="16"/>
          <w:szCs w:val="16"/>
          <w:shd w:val="clear" w:color="auto" w:fill="FFFFFF"/>
          <w:lang w:val="ro-MD"/>
        </w:rPr>
        <w:t>- realizarea serviciilor medicale stomatologice pentru copii din localitățile rurale”.</w:t>
      </w:r>
    </w:p>
  </w:footnote>
  <w:footnote w:id="52">
    <w:p w14:paraId="11B83F65" w14:textId="77777777" w:rsidR="001C2E72" w:rsidRPr="003F4D72" w:rsidRDefault="001C2E72" w:rsidP="00216351">
      <w:pPr>
        <w:pStyle w:val="FootnoteText"/>
        <w:jc w:val="both"/>
        <w:rPr>
          <w:lang w:val="ro-MD"/>
        </w:rPr>
      </w:pPr>
      <w:r w:rsidRPr="006E0049">
        <w:rPr>
          <w:rStyle w:val="FootnoteReference"/>
          <w:rFonts w:asciiTheme="majorHAnsi" w:hAnsiTheme="majorHAnsi" w:cstheme="majorHAnsi"/>
          <w:sz w:val="16"/>
          <w:szCs w:val="16"/>
          <w:lang w:val="ro-MD"/>
        </w:rPr>
        <w:footnoteRef/>
      </w:r>
      <w:r w:rsidRPr="006E0049">
        <w:rPr>
          <w:rFonts w:asciiTheme="majorHAnsi" w:hAnsiTheme="majorHAnsi" w:cstheme="majorHAnsi"/>
          <w:sz w:val="16"/>
          <w:szCs w:val="16"/>
          <w:lang w:val="ro-MD"/>
        </w:rPr>
        <w:t xml:space="preserve"> Art. III pct. 3.01., secțiunea IV, pct.1 și pct.2 din Acordul de finanțare ratificat prin Legea nr.35 din 19.03.2015 (în continuare – Acordul de finanțare).</w:t>
      </w:r>
    </w:p>
  </w:footnote>
  <w:footnote w:id="53">
    <w:p w14:paraId="42394D4C" w14:textId="6E704DF4" w:rsidR="001C2E72" w:rsidRPr="00265FC7" w:rsidRDefault="001C2E72" w:rsidP="00265FC7">
      <w:pPr>
        <w:pStyle w:val="FootnoteText"/>
        <w:jc w:val="both"/>
        <w:rPr>
          <w:rFonts w:asciiTheme="majorHAnsi" w:hAnsiTheme="majorHAnsi" w:cstheme="majorHAnsi"/>
          <w:sz w:val="16"/>
          <w:szCs w:val="16"/>
        </w:rPr>
      </w:pPr>
      <w:r w:rsidRPr="00265FC7">
        <w:rPr>
          <w:rStyle w:val="FootnoteReference"/>
          <w:rFonts w:asciiTheme="majorHAnsi" w:hAnsiTheme="majorHAnsi" w:cstheme="majorHAnsi"/>
          <w:sz w:val="16"/>
          <w:szCs w:val="16"/>
        </w:rPr>
        <w:footnoteRef/>
      </w:r>
      <w:r w:rsidRPr="00265FC7">
        <w:rPr>
          <w:rFonts w:asciiTheme="majorHAnsi" w:hAnsiTheme="majorHAnsi" w:cstheme="majorHAnsi"/>
          <w:sz w:val="16"/>
          <w:szCs w:val="16"/>
        </w:rPr>
        <w:t xml:space="preserve"> </w:t>
      </w:r>
      <w:r w:rsidRPr="00265FC7">
        <w:rPr>
          <w:rFonts w:asciiTheme="majorHAnsi" w:eastAsia="Times New Roman" w:hAnsiTheme="majorHAnsi" w:cstheme="majorHAnsi"/>
          <w:sz w:val="16"/>
          <w:szCs w:val="16"/>
          <w:lang w:val="ro-MD"/>
        </w:rPr>
        <w:t xml:space="preserve">Art.3 din Legea </w:t>
      </w:r>
      <w:r>
        <w:rPr>
          <w:rFonts w:asciiTheme="majorHAnsi" w:eastAsia="Times New Roman" w:hAnsiTheme="majorHAnsi" w:cstheme="majorHAnsi"/>
          <w:sz w:val="16"/>
          <w:szCs w:val="16"/>
          <w:lang w:val="ro-MD"/>
        </w:rPr>
        <w:t>nr.181 din 25.07.2014.</w:t>
      </w:r>
    </w:p>
  </w:footnote>
  <w:footnote w:id="54">
    <w:p w14:paraId="48E54D13" w14:textId="6A75D2BB" w:rsidR="001C2E72" w:rsidRPr="003F4D72" w:rsidRDefault="001C2E72" w:rsidP="00265FC7">
      <w:pPr>
        <w:spacing w:after="0" w:line="276" w:lineRule="auto"/>
        <w:jc w:val="both"/>
        <w:rPr>
          <w:rFonts w:asciiTheme="majorHAnsi" w:hAnsiTheme="majorHAnsi" w:cstheme="majorHAnsi"/>
          <w:sz w:val="16"/>
          <w:szCs w:val="16"/>
        </w:rPr>
      </w:pPr>
      <w:r w:rsidRPr="003F4D72">
        <w:rPr>
          <w:rFonts w:asciiTheme="majorHAnsi" w:hAnsiTheme="majorHAnsi" w:cstheme="majorHAnsi"/>
          <w:sz w:val="16"/>
          <w:szCs w:val="16"/>
          <w:vertAlign w:val="superscript"/>
        </w:rPr>
        <w:footnoteRef/>
      </w:r>
      <w:r w:rsidRPr="003F4D72">
        <w:rPr>
          <w:rFonts w:asciiTheme="majorHAnsi" w:hAnsiTheme="majorHAnsi" w:cstheme="majorHAnsi"/>
          <w:sz w:val="16"/>
          <w:szCs w:val="16"/>
          <w:vertAlign w:val="superscript"/>
        </w:rPr>
        <w:t xml:space="preserve"> </w:t>
      </w:r>
      <w:r w:rsidRPr="003F4D72">
        <w:rPr>
          <w:rFonts w:asciiTheme="majorHAnsi" w:hAnsiTheme="majorHAnsi" w:cstheme="majorHAnsi"/>
          <w:sz w:val="16"/>
          <w:szCs w:val="16"/>
        </w:rPr>
        <w:t xml:space="preserve">Legea nr. 62 din 23.04.2020 pentru modificarea Legii fondurilor asigurării obligatorii de </w:t>
      </w:r>
      <w:proofErr w:type="spellStart"/>
      <w:r w:rsidRPr="003F4D72">
        <w:rPr>
          <w:rFonts w:asciiTheme="majorHAnsi" w:hAnsiTheme="majorHAnsi" w:cstheme="majorHAnsi"/>
          <w:sz w:val="16"/>
          <w:szCs w:val="16"/>
        </w:rPr>
        <w:t>asistenţă</w:t>
      </w:r>
      <w:proofErr w:type="spellEnd"/>
      <w:r w:rsidRPr="003F4D72">
        <w:rPr>
          <w:rFonts w:asciiTheme="majorHAnsi" w:hAnsiTheme="majorHAnsi" w:cstheme="majorHAnsi"/>
          <w:sz w:val="16"/>
          <w:szCs w:val="16"/>
        </w:rPr>
        <w:t xml:space="preserve"> medicală pe anul 2020 nr. 174/2019 (în continuare </w:t>
      </w:r>
      <w:r>
        <w:rPr>
          <w:rFonts w:asciiTheme="majorHAnsi" w:hAnsiTheme="majorHAnsi" w:cstheme="majorHAnsi"/>
          <w:sz w:val="16"/>
          <w:szCs w:val="16"/>
        </w:rPr>
        <w:t xml:space="preserve">– </w:t>
      </w:r>
      <w:r w:rsidRPr="003F4D72">
        <w:rPr>
          <w:rFonts w:asciiTheme="majorHAnsi" w:hAnsiTheme="majorHAnsi" w:cstheme="majorHAnsi"/>
          <w:sz w:val="16"/>
          <w:szCs w:val="16"/>
        </w:rPr>
        <w:t>Legea</w:t>
      </w:r>
      <w:r w:rsidRPr="00167EBB">
        <w:rPr>
          <w:rFonts w:asciiTheme="majorHAnsi" w:hAnsiTheme="majorHAnsi" w:cstheme="majorHAnsi"/>
          <w:sz w:val="16"/>
          <w:szCs w:val="16"/>
        </w:rPr>
        <w:t xml:space="preserve"> </w:t>
      </w:r>
      <w:r w:rsidRPr="003F4D72">
        <w:rPr>
          <w:rFonts w:asciiTheme="majorHAnsi" w:hAnsiTheme="majorHAnsi" w:cstheme="majorHAnsi"/>
          <w:sz w:val="16"/>
          <w:szCs w:val="16"/>
        </w:rPr>
        <w:t xml:space="preserve">nr. 62 din 23.04.2020); Legea nr. 69 din 21.05.2020 cu privire la instituirea unor măsuri pe perioada </w:t>
      </w:r>
      <w:r>
        <w:rPr>
          <w:rFonts w:asciiTheme="majorHAnsi" w:hAnsiTheme="majorHAnsi" w:cstheme="majorHAnsi"/>
          <w:sz w:val="16"/>
          <w:szCs w:val="16"/>
        </w:rPr>
        <w:t>s</w:t>
      </w:r>
      <w:r w:rsidRPr="003F4D72">
        <w:rPr>
          <w:rFonts w:asciiTheme="majorHAnsi" w:hAnsiTheme="majorHAnsi" w:cstheme="majorHAnsi"/>
          <w:sz w:val="16"/>
          <w:szCs w:val="16"/>
        </w:rPr>
        <w:t>tării de urgență în sănătate public</w:t>
      </w:r>
      <w:r>
        <w:rPr>
          <w:rFonts w:asciiTheme="majorHAnsi" w:hAnsiTheme="majorHAnsi" w:cstheme="majorHAnsi"/>
          <w:sz w:val="16"/>
          <w:szCs w:val="16"/>
        </w:rPr>
        <w:t>ă</w:t>
      </w:r>
      <w:r w:rsidRPr="003F4D72">
        <w:rPr>
          <w:rFonts w:asciiTheme="majorHAnsi" w:hAnsiTheme="majorHAnsi" w:cstheme="majorHAnsi"/>
          <w:sz w:val="16"/>
          <w:szCs w:val="16"/>
        </w:rPr>
        <w:t xml:space="preserve"> și modificarea unor acte normative (în continuare </w:t>
      </w:r>
      <w:r>
        <w:rPr>
          <w:rFonts w:asciiTheme="majorHAnsi" w:hAnsiTheme="majorHAnsi" w:cstheme="majorHAnsi"/>
          <w:sz w:val="16"/>
          <w:szCs w:val="16"/>
        </w:rPr>
        <w:t xml:space="preserve">– </w:t>
      </w:r>
      <w:r w:rsidRPr="003F4D72">
        <w:rPr>
          <w:rFonts w:asciiTheme="majorHAnsi" w:hAnsiTheme="majorHAnsi" w:cstheme="majorHAnsi"/>
          <w:sz w:val="16"/>
          <w:szCs w:val="16"/>
        </w:rPr>
        <w:t>Legea</w:t>
      </w:r>
      <w:r w:rsidRPr="00167EBB">
        <w:rPr>
          <w:rFonts w:asciiTheme="majorHAnsi" w:hAnsiTheme="majorHAnsi" w:cstheme="majorHAnsi"/>
          <w:sz w:val="16"/>
          <w:szCs w:val="16"/>
        </w:rPr>
        <w:t xml:space="preserve"> </w:t>
      </w:r>
      <w:r w:rsidRPr="003F4D72">
        <w:rPr>
          <w:rFonts w:asciiTheme="majorHAnsi" w:hAnsiTheme="majorHAnsi" w:cstheme="majorHAnsi"/>
          <w:sz w:val="16"/>
          <w:szCs w:val="16"/>
        </w:rPr>
        <w:t xml:space="preserve">nr. 69 din 21.05.2020); Legea nr.133 din 12.07.2020 pentru modificarea Legii fondurilor asigurării obligatorii de </w:t>
      </w:r>
      <w:proofErr w:type="spellStart"/>
      <w:r w:rsidRPr="003F4D72">
        <w:rPr>
          <w:rFonts w:asciiTheme="majorHAnsi" w:hAnsiTheme="majorHAnsi" w:cstheme="majorHAnsi"/>
          <w:sz w:val="16"/>
          <w:szCs w:val="16"/>
        </w:rPr>
        <w:t>asistenţă</w:t>
      </w:r>
      <w:proofErr w:type="spellEnd"/>
      <w:r w:rsidRPr="003F4D72">
        <w:rPr>
          <w:rFonts w:asciiTheme="majorHAnsi" w:hAnsiTheme="majorHAnsi" w:cstheme="majorHAnsi"/>
          <w:sz w:val="16"/>
          <w:szCs w:val="16"/>
        </w:rPr>
        <w:t xml:space="preserve"> medicală pe anul 2020 nr. 174/2019 (în continuare</w:t>
      </w:r>
      <w:r>
        <w:rPr>
          <w:rFonts w:asciiTheme="majorHAnsi" w:hAnsiTheme="majorHAnsi" w:cstheme="majorHAnsi"/>
          <w:sz w:val="16"/>
          <w:szCs w:val="16"/>
        </w:rPr>
        <w:t xml:space="preserve"> – </w:t>
      </w:r>
      <w:r w:rsidRPr="003F4D72">
        <w:rPr>
          <w:rFonts w:asciiTheme="majorHAnsi" w:hAnsiTheme="majorHAnsi" w:cstheme="majorHAnsi"/>
          <w:sz w:val="16"/>
          <w:szCs w:val="16"/>
        </w:rPr>
        <w:t xml:space="preserve"> Legea nr.132 din 12.07.2020); Legea nr. 175 din 11.09.2020 pentru modificarea Legii fondurilor asigurării obligatorii de </w:t>
      </w:r>
      <w:proofErr w:type="spellStart"/>
      <w:r w:rsidRPr="003F4D72">
        <w:rPr>
          <w:rFonts w:asciiTheme="majorHAnsi" w:hAnsiTheme="majorHAnsi" w:cstheme="majorHAnsi"/>
          <w:sz w:val="16"/>
          <w:szCs w:val="16"/>
        </w:rPr>
        <w:t>asistenţă</w:t>
      </w:r>
      <w:proofErr w:type="spellEnd"/>
      <w:r w:rsidRPr="003F4D72">
        <w:rPr>
          <w:rFonts w:asciiTheme="majorHAnsi" w:hAnsiTheme="majorHAnsi" w:cstheme="majorHAnsi"/>
          <w:sz w:val="16"/>
          <w:szCs w:val="16"/>
        </w:rPr>
        <w:t xml:space="preserve"> medicală pe anul 2020 nr. 174/2019 (în continuare</w:t>
      </w:r>
      <w:r>
        <w:rPr>
          <w:rFonts w:asciiTheme="majorHAnsi" w:hAnsiTheme="majorHAnsi" w:cstheme="majorHAnsi"/>
          <w:sz w:val="16"/>
          <w:szCs w:val="16"/>
        </w:rPr>
        <w:t xml:space="preserve"> –</w:t>
      </w:r>
      <w:r w:rsidRPr="003F4D72">
        <w:rPr>
          <w:rFonts w:asciiTheme="majorHAnsi" w:hAnsiTheme="majorHAnsi" w:cstheme="majorHAnsi"/>
          <w:sz w:val="16"/>
          <w:szCs w:val="16"/>
        </w:rPr>
        <w:t xml:space="preserve"> Legea nr. 175 din 11.09.2020).</w:t>
      </w:r>
    </w:p>
  </w:footnote>
  <w:footnote w:id="55">
    <w:p w14:paraId="1FCAA899" w14:textId="77777777" w:rsidR="001C2E72" w:rsidRPr="003F4D72" w:rsidRDefault="001C2E72" w:rsidP="006B1DA1">
      <w:pPr>
        <w:pStyle w:val="FootnoteText"/>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Hotărârea Parlamentului nr. 55 din 17.03.2020 privind declararea stării de urgență.</w:t>
      </w:r>
    </w:p>
  </w:footnote>
  <w:footnote w:id="56">
    <w:p w14:paraId="3CB2AF21" w14:textId="77777777" w:rsidR="001C2E72" w:rsidRPr="003F4D72" w:rsidRDefault="001C2E72" w:rsidP="006B1DA1">
      <w:pPr>
        <w:pStyle w:val="FootnoteText"/>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Legea nr. 62 din 23.04.2020.</w:t>
      </w:r>
    </w:p>
  </w:footnote>
  <w:footnote w:id="57">
    <w:p w14:paraId="2DF54BA6" w14:textId="77777777" w:rsidR="001C2E72" w:rsidRPr="003F4D72" w:rsidRDefault="001C2E72" w:rsidP="006B1DA1">
      <w:pPr>
        <w:pStyle w:val="FootnoteText"/>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Legea nr.133 din 12.07.2020.</w:t>
      </w:r>
    </w:p>
  </w:footnote>
  <w:footnote w:id="58">
    <w:p w14:paraId="3663DDCC" w14:textId="77777777" w:rsidR="001C2E72" w:rsidRPr="003F4D72" w:rsidRDefault="001C2E72" w:rsidP="006B1DA1">
      <w:pPr>
        <w:pStyle w:val="FootnoteText"/>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Legea nr. 175 din 11.09.2020.</w:t>
      </w:r>
    </w:p>
  </w:footnote>
  <w:footnote w:id="59">
    <w:p w14:paraId="42A40169" w14:textId="77777777" w:rsidR="001C2E72" w:rsidRPr="00573EE0" w:rsidRDefault="001C2E72" w:rsidP="00B27338">
      <w:pPr>
        <w:pStyle w:val="FootnoteText"/>
        <w:jc w:val="both"/>
        <w:rPr>
          <w:rFonts w:asciiTheme="majorHAnsi" w:hAnsiTheme="majorHAnsi" w:cstheme="majorHAnsi"/>
        </w:rPr>
      </w:pPr>
      <w:r w:rsidRPr="00B06162">
        <w:rPr>
          <w:rStyle w:val="FootnoteReference"/>
          <w:rFonts w:cstheme="majorHAnsi"/>
          <w:sz w:val="16"/>
          <w:lang w:val="ro-MD"/>
        </w:rPr>
        <w:footnoteRef/>
      </w:r>
      <w:r w:rsidRPr="00B06162">
        <w:rPr>
          <w:rFonts w:asciiTheme="majorHAnsi" w:hAnsiTheme="majorHAnsi" w:cstheme="majorHAnsi"/>
          <w:sz w:val="16"/>
          <w:lang w:val="ro-MD"/>
        </w:rPr>
        <w:t xml:space="preserve"> Pct.37 subpct.2) din Anexa nr.1 la Ordinul CNAM nr.72-A din 04.03.2015 „Cu privire la aprobarea instrucțiunii privind evidența și achitarea medicamentelor parțial/integral compensate din fondurile asigurării obligatorii de asistență medicală”.</w:t>
      </w:r>
    </w:p>
  </w:footnote>
  <w:footnote w:id="60">
    <w:p w14:paraId="3A7981D5" w14:textId="77777777" w:rsidR="001C2E72" w:rsidRPr="00F81110" w:rsidRDefault="001C2E72" w:rsidP="00F81110">
      <w:pPr>
        <w:pStyle w:val="FootnoteText"/>
        <w:jc w:val="both"/>
        <w:rPr>
          <w:rFonts w:asciiTheme="majorHAnsi" w:hAnsiTheme="majorHAnsi" w:cstheme="majorHAnsi"/>
          <w:sz w:val="16"/>
        </w:rPr>
      </w:pPr>
      <w:r w:rsidRPr="00F81110">
        <w:rPr>
          <w:rStyle w:val="FootnoteReference"/>
          <w:rFonts w:asciiTheme="majorHAnsi" w:hAnsiTheme="majorHAnsi" w:cstheme="majorHAnsi"/>
          <w:sz w:val="16"/>
        </w:rPr>
        <w:footnoteRef/>
      </w:r>
      <w:r w:rsidRPr="00F81110">
        <w:rPr>
          <w:rFonts w:asciiTheme="majorHAnsi" w:hAnsiTheme="majorHAnsi" w:cstheme="majorHAnsi"/>
          <w:sz w:val="16"/>
        </w:rPr>
        <w:t xml:space="preserve"> </w:t>
      </w:r>
      <w:r w:rsidRPr="00F81110">
        <w:rPr>
          <w:rFonts w:asciiTheme="majorHAnsi" w:eastAsia="Times New Roman" w:hAnsiTheme="majorHAnsi" w:cstheme="majorHAnsi"/>
          <w:sz w:val="16"/>
          <w:lang w:val="ro-MD"/>
        </w:rPr>
        <w:t xml:space="preserve">Art.19 din </w:t>
      </w:r>
      <w:hyperlink r:id="rId5" w:history="1">
        <w:r w:rsidRPr="00F81110">
          <w:rPr>
            <w:rFonts w:asciiTheme="majorHAnsi" w:eastAsia="Times New Roman" w:hAnsiTheme="majorHAnsi" w:cstheme="majorHAnsi"/>
            <w:sz w:val="16"/>
            <w:lang w:val="ro-MD"/>
          </w:rPr>
          <w:t>Legea nr.181 din 25.07.2014</w:t>
        </w:r>
      </w:hyperlink>
      <w:r w:rsidRPr="00F81110">
        <w:rPr>
          <w:rFonts w:asciiTheme="majorHAnsi" w:eastAsia="Times New Roman" w:hAnsiTheme="majorHAnsi" w:cstheme="majorHAnsi"/>
          <w:sz w:val="16"/>
          <w:lang w:val="ro-MD"/>
        </w:rPr>
        <w:t>.</w:t>
      </w:r>
    </w:p>
  </w:footnote>
  <w:footnote w:id="61">
    <w:p w14:paraId="6276A750" w14:textId="23497AE7" w:rsidR="001C2E72" w:rsidRPr="00F81110" w:rsidRDefault="001C2E72" w:rsidP="00F81110">
      <w:pPr>
        <w:pStyle w:val="FootnoteText"/>
        <w:jc w:val="both"/>
        <w:rPr>
          <w:rFonts w:asciiTheme="majorHAnsi" w:hAnsiTheme="majorHAnsi" w:cstheme="majorHAnsi"/>
          <w:sz w:val="16"/>
        </w:rPr>
      </w:pPr>
      <w:r w:rsidRPr="00F81110">
        <w:rPr>
          <w:rStyle w:val="FootnoteReference"/>
          <w:rFonts w:asciiTheme="majorHAnsi" w:hAnsiTheme="majorHAnsi" w:cstheme="majorHAnsi"/>
          <w:sz w:val="16"/>
        </w:rPr>
        <w:footnoteRef/>
      </w:r>
      <w:r w:rsidRPr="00F81110">
        <w:rPr>
          <w:rFonts w:asciiTheme="majorHAnsi" w:hAnsiTheme="majorHAnsi" w:cstheme="majorHAnsi"/>
          <w:sz w:val="16"/>
        </w:rPr>
        <w:t xml:space="preserve"> </w:t>
      </w:r>
      <w:r w:rsidRPr="00F81110">
        <w:rPr>
          <w:rFonts w:asciiTheme="majorHAnsi" w:eastAsia="Times New Roman" w:hAnsiTheme="majorHAnsi" w:cstheme="majorHAnsi"/>
          <w:sz w:val="16"/>
          <w:lang w:val="ro-MD"/>
        </w:rPr>
        <w:t xml:space="preserve">Art.22 din </w:t>
      </w:r>
      <w:hyperlink r:id="rId6" w:history="1">
        <w:r w:rsidRPr="00F81110">
          <w:rPr>
            <w:rFonts w:asciiTheme="majorHAnsi" w:eastAsia="Times New Roman" w:hAnsiTheme="majorHAnsi" w:cstheme="majorHAnsi"/>
            <w:sz w:val="16"/>
            <w:lang w:val="ro-MD"/>
          </w:rPr>
          <w:t>Legea privind controlul financiar public intern nr.229 din 23.09.2010</w:t>
        </w:r>
      </w:hyperlink>
      <w:r>
        <w:rPr>
          <w:rFonts w:asciiTheme="majorHAnsi" w:eastAsia="Times New Roman" w:hAnsiTheme="majorHAnsi" w:cstheme="majorHAnsi"/>
          <w:sz w:val="16"/>
          <w:lang w:val="ro-MD"/>
        </w:rPr>
        <w:t>.</w:t>
      </w:r>
    </w:p>
  </w:footnote>
  <w:footnote w:id="62">
    <w:p w14:paraId="7CFD8738" w14:textId="77777777" w:rsidR="001C2E72" w:rsidRPr="00F81110" w:rsidRDefault="001C2E72" w:rsidP="00F81110">
      <w:pPr>
        <w:pStyle w:val="FootnoteText"/>
        <w:jc w:val="both"/>
        <w:rPr>
          <w:rFonts w:asciiTheme="majorHAnsi" w:hAnsiTheme="majorHAnsi" w:cstheme="majorHAnsi"/>
          <w:sz w:val="16"/>
        </w:rPr>
      </w:pPr>
      <w:r w:rsidRPr="00F81110">
        <w:rPr>
          <w:rStyle w:val="FootnoteReference"/>
          <w:rFonts w:asciiTheme="majorHAnsi" w:hAnsiTheme="majorHAnsi" w:cstheme="majorHAnsi"/>
          <w:sz w:val="16"/>
        </w:rPr>
        <w:footnoteRef/>
      </w:r>
      <w:r w:rsidRPr="00F81110">
        <w:rPr>
          <w:rFonts w:asciiTheme="majorHAnsi" w:hAnsiTheme="majorHAnsi" w:cstheme="majorHAnsi"/>
          <w:sz w:val="16"/>
        </w:rPr>
        <w:t xml:space="preserve"> </w:t>
      </w:r>
      <w:hyperlink r:id="rId7" w:history="1">
        <w:r w:rsidRPr="00F81110">
          <w:rPr>
            <w:rFonts w:asciiTheme="majorHAnsi" w:eastAsia="Times New Roman" w:hAnsiTheme="majorHAnsi" w:cstheme="majorHAnsi"/>
            <w:sz w:val="16"/>
            <w:lang w:val="ro-MD"/>
          </w:rPr>
          <w:t>Legea nr.181 din 25.07.2014</w:t>
        </w:r>
      </w:hyperlink>
      <w:r>
        <w:rPr>
          <w:rFonts w:asciiTheme="majorHAnsi" w:eastAsia="Times New Roman" w:hAnsiTheme="majorHAnsi" w:cstheme="majorHAnsi"/>
          <w:sz w:val="16"/>
          <w:lang w:val="ro-MD"/>
        </w:rPr>
        <w:t>.</w:t>
      </w:r>
    </w:p>
  </w:footnote>
  <w:footnote w:id="63">
    <w:p w14:paraId="25396369" w14:textId="5BBD1C05" w:rsidR="001C2E72" w:rsidRPr="003F4D72" w:rsidRDefault="001C2E72" w:rsidP="00F81110">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Pr>
          <w:rFonts w:asciiTheme="majorHAnsi" w:eastAsia="Times New Roman" w:hAnsiTheme="majorHAnsi" w:cstheme="majorHAnsi"/>
          <w:sz w:val="16"/>
          <w:szCs w:val="16"/>
          <w:lang w:val="ro-MD"/>
        </w:rPr>
        <w:t xml:space="preserve"> </w:t>
      </w:r>
      <w:r w:rsidRPr="002A5893">
        <w:rPr>
          <w:rFonts w:asciiTheme="majorHAnsi" w:eastAsia="Times New Roman" w:hAnsiTheme="majorHAnsi" w:cstheme="majorHAnsi"/>
          <w:sz w:val="16"/>
          <w:szCs w:val="16"/>
          <w:lang w:val="ro-MD"/>
        </w:rPr>
        <w:t xml:space="preserve">Art.22 din </w:t>
      </w:r>
      <w:hyperlink r:id="rId8" w:history="1">
        <w:r w:rsidRPr="002A5893">
          <w:rPr>
            <w:rFonts w:asciiTheme="majorHAnsi" w:eastAsia="Times New Roman" w:hAnsiTheme="majorHAnsi" w:cstheme="majorHAnsi"/>
            <w:sz w:val="16"/>
            <w:szCs w:val="16"/>
            <w:lang w:val="ro-MD"/>
          </w:rPr>
          <w:t>Legea nr.181 din 25.07.2014</w:t>
        </w:r>
      </w:hyperlink>
      <w:r w:rsidRPr="002A5893">
        <w:rPr>
          <w:rFonts w:asciiTheme="majorHAnsi" w:eastAsia="Times New Roman" w:hAnsiTheme="majorHAnsi" w:cstheme="majorHAnsi"/>
          <w:sz w:val="16"/>
          <w:szCs w:val="16"/>
          <w:lang w:val="ro-MD"/>
        </w:rPr>
        <w:t>.</w:t>
      </w:r>
    </w:p>
  </w:footnote>
  <w:footnote w:id="64">
    <w:p w14:paraId="25A7748F" w14:textId="67ED6826" w:rsidR="001C2E72" w:rsidRPr="002A5893" w:rsidRDefault="001C2E72" w:rsidP="00F81110">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w:t>
      </w:r>
      <w:hyperlink r:id="rId9" w:history="1">
        <w:r w:rsidRPr="002A5893">
          <w:rPr>
            <w:rFonts w:asciiTheme="majorHAnsi" w:eastAsia="Times New Roman" w:hAnsiTheme="majorHAnsi" w:cstheme="majorHAnsi"/>
            <w:sz w:val="16"/>
            <w:szCs w:val="16"/>
            <w:lang w:val="ro-MD"/>
          </w:rPr>
          <w:t>Legea nr.287 din 15.12.2017</w:t>
        </w:r>
      </w:hyperlink>
      <w:r w:rsidRPr="002A5893">
        <w:rPr>
          <w:rFonts w:asciiTheme="majorHAnsi" w:eastAsia="Times New Roman" w:hAnsiTheme="majorHAnsi" w:cstheme="majorHAnsi"/>
          <w:sz w:val="16"/>
          <w:szCs w:val="16"/>
          <w:lang w:val="ro-MD"/>
        </w:rPr>
        <w:t>.</w:t>
      </w:r>
    </w:p>
  </w:footnote>
  <w:footnote w:id="65">
    <w:p w14:paraId="242F5B62" w14:textId="313CC6BA" w:rsidR="001C2E72" w:rsidRPr="002A5893" w:rsidRDefault="001C2E72" w:rsidP="00F81110">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w:t>
      </w:r>
      <w:hyperlink r:id="rId10" w:history="1">
        <w:r w:rsidRPr="002A5893">
          <w:rPr>
            <w:rFonts w:asciiTheme="majorHAnsi" w:eastAsia="Times New Roman" w:hAnsiTheme="majorHAnsi" w:cstheme="majorHAnsi"/>
            <w:sz w:val="16"/>
            <w:szCs w:val="16"/>
            <w:lang w:val="ro-MD"/>
          </w:rPr>
          <w:t>Legea nr.287 din 15.12.2017</w:t>
        </w:r>
      </w:hyperlink>
      <w:r w:rsidRPr="002A5893">
        <w:rPr>
          <w:rFonts w:asciiTheme="majorHAnsi" w:eastAsia="Times New Roman" w:hAnsiTheme="majorHAnsi" w:cstheme="majorHAnsi"/>
          <w:sz w:val="16"/>
          <w:szCs w:val="16"/>
          <w:lang w:val="ro-MD"/>
        </w:rPr>
        <w:t xml:space="preserve">; </w:t>
      </w:r>
      <w:hyperlink r:id="rId11" w:history="1">
        <w:r w:rsidRPr="002A5893">
          <w:rPr>
            <w:rFonts w:asciiTheme="majorHAnsi" w:eastAsia="Times New Roman" w:hAnsiTheme="majorHAnsi" w:cstheme="majorHAnsi"/>
            <w:sz w:val="16"/>
            <w:szCs w:val="16"/>
            <w:lang w:val="ro-MD"/>
          </w:rPr>
          <w:t xml:space="preserve">Ordinul ministrului </w:t>
        </w:r>
        <w:r>
          <w:rPr>
            <w:rFonts w:asciiTheme="majorHAnsi" w:eastAsia="Times New Roman" w:hAnsiTheme="majorHAnsi" w:cstheme="majorHAnsi"/>
            <w:sz w:val="16"/>
            <w:szCs w:val="16"/>
            <w:lang w:val="ro-MD"/>
          </w:rPr>
          <w:t>F</w:t>
        </w:r>
        <w:r w:rsidRPr="002A5893">
          <w:rPr>
            <w:rFonts w:asciiTheme="majorHAnsi" w:eastAsia="Times New Roman" w:hAnsiTheme="majorHAnsi" w:cstheme="majorHAnsi"/>
            <w:sz w:val="16"/>
            <w:szCs w:val="16"/>
            <w:lang w:val="ro-MD"/>
          </w:rPr>
          <w:t>inanțelor nr.118 din 06.08.2013</w:t>
        </w:r>
      </w:hyperlink>
      <w:r w:rsidRPr="002A5893">
        <w:rPr>
          <w:rFonts w:asciiTheme="majorHAnsi" w:eastAsia="Times New Roman" w:hAnsiTheme="majorHAnsi" w:cstheme="majorHAnsi"/>
          <w:sz w:val="16"/>
          <w:szCs w:val="16"/>
          <w:lang w:val="ro-MD"/>
        </w:rPr>
        <w:t xml:space="preserve"> „Privind aprobarea Standardelor </w:t>
      </w:r>
      <w:proofErr w:type="spellStart"/>
      <w:r w:rsidRPr="002A5893">
        <w:rPr>
          <w:rFonts w:asciiTheme="majorHAnsi" w:eastAsia="Times New Roman" w:hAnsiTheme="majorHAnsi" w:cstheme="majorHAnsi"/>
          <w:sz w:val="16"/>
          <w:szCs w:val="16"/>
          <w:lang w:val="ro-MD"/>
        </w:rPr>
        <w:t>Naţionale</w:t>
      </w:r>
      <w:proofErr w:type="spellEnd"/>
      <w:r w:rsidRPr="002A5893">
        <w:rPr>
          <w:rFonts w:asciiTheme="majorHAnsi" w:eastAsia="Times New Roman" w:hAnsiTheme="majorHAnsi" w:cstheme="majorHAnsi"/>
          <w:sz w:val="16"/>
          <w:szCs w:val="16"/>
          <w:lang w:val="ro-MD"/>
        </w:rPr>
        <w:t xml:space="preserve"> de Contabilitate”; </w:t>
      </w:r>
      <w:hyperlink r:id="rId12" w:history="1">
        <w:r w:rsidRPr="002A5893">
          <w:rPr>
            <w:rFonts w:asciiTheme="majorHAnsi" w:eastAsia="Times New Roman" w:hAnsiTheme="majorHAnsi" w:cstheme="majorHAnsi"/>
            <w:sz w:val="16"/>
            <w:szCs w:val="16"/>
            <w:lang w:val="ro-MD"/>
          </w:rPr>
          <w:t xml:space="preserve">Ordinul ministrului </w:t>
        </w:r>
        <w:r>
          <w:rPr>
            <w:rFonts w:asciiTheme="majorHAnsi" w:eastAsia="Times New Roman" w:hAnsiTheme="majorHAnsi" w:cstheme="majorHAnsi"/>
            <w:sz w:val="16"/>
            <w:szCs w:val="16"/>
            <w:lang w:val="ro-MD"/>
          </w:rPr>
          <w:t>F</w:t>
        </w:r>
        <w:r w:rsidRPr="002A5893">
          <w:rPr>
            <w:rFonts w:asciiTheme="majorHAnsi" w:eastAsia="Times New Roman" w:hAnsiTheme="majorHAnsi" w:cstheme="majorHAnsi"/>
            <w:sz w:val="16"/>
            <w:szCs w:val="16"/>
            <w:lang w:val="ro-MD"/>
          </w:rPr>
          <w:t>inanțelor nr.02 din 05.01.2018</w:t>
        </w:r>
      </w:hyperlink>
      <w:r w:rsidRPr="002A5893">
        <w:rPr>
          <w:rFonts w:asciiTheme="majorHAnsi" w:eastAsia="Times New Roman" w:hAnsiTheme="majorHAnsi" w:cstheme="majorHAnsi"/>
          <w:sz w:val="16"/>
          <w:szCs w:val="16"/>
          <w:lang w:val="ro-MD"/>
        </w:rPr>
        <w:t xml:space="preserve"> „Cu privire la aprobarea formularelor Rapoartelor privind executarea FAOAM”.</w:t>
      </w:r>
    </w:p>
  </w:footnote>
  <w:footnote w:id="66">
    <w:p w14:paraId="47D17260" w14:textId="77777777" w:rsidR="001C2E72" w:rsidRPr="003F4D72" w:rsidRDefault="001C2E72" w:rsidP="00F81110">
      <w:pPr>
        <w:pStyle w:val="FootnoteText"/>
        <w:jc w:val="both"/>
        <w:rPr>
          <w:rFonts w:asciiTheme="majorHAnsi" w:hAnsiTheme="majorHAnsi" w:cstheme="majorHAnsi"/>
          <w:sz w:val="16"/>
          <w:szCs w:val="16"/>
          <w:lang w:val="ro-MD"/>
        </w:rPr>
      </w:pPr>
      <w:r w:rsidRPr="003F4D72">
        <w:rPr>
          <w:rStyle w:val="FootnoteReference"/>
          <w:rFonts w:asciiTheme="majorHAnsi" w:hAnsiTheme="majorHAnsi" w:cstheme="majorHAnsi"/>
          <w:sz w:val="16"/>
          <w:szCs w:val="16"/>
          <w:lang w:val="ro-MD"/>
        </w:rPr>
        <w:footnoteRef/>
      </w:r>
      <w:r w:rsidRPr="003F4D72">
        <w:rPr>
          <w:rFonts w:asciiTheme="majorHAnsi" w:hAnsiTheme="majorHAnsi" w:cstheme="majorHAnsi"/>
          <w:sz w:val="16"/>
          <w:szCs w:val="16"/>
          <w:lang w:val="ro-MD"/>
        </w:rPr>
        <w:t xml:space="preserve"> </w:t>
      </w:r>
      <w:r w:rsidRPr="002A5893">
        <w:rPr>
          <w:rFonts w:asciiTheme="majorHAnsi" w:eastAsia="Times New Roman" w:hAnsiTheme="majorHAnsi" w:cstheme="majorHAnsi"/>
          <w:sz w:val="16"/>
          <w:szCs w:val="16"/>
          <w:lang w:val="ro-MD"/>
        </w:rPr>
        <w:t xml:space="preserve">Art.28, art.29 lit.(d) din </w:t>
      </w:r>
      <w:hyperlink r:id="rId13" w:history="1">
        <w:r w:rsidRPr="002A5893">
          <w:rPr>
            <w:rFonts w:asciiTheme="majorHAnsi" w:eastAsia="Times New Roman" w:hAnsiTheme="majorHAnsi" w:cstheme="majorHAnsi"/>
            <w:sz w:val="16"/>
            <w:szCs w:val="16"/>
            <w:lang w:val="ro-MD"/>
          </w:rPr>
          <w:t>Hotărârea Guvernului nr.156 din 11.02.2002</w:t>
        </w:r>
      </w:hyperlink>
      <w:r w:rsidRPr="002A5893">
        <w:rPr>
          <w:rFonts w:asciiTheme="majorHAnsi" w:eastAsia="Times New Roman" w:hAnsiTheme="majorHAnsi" w:cstheme="majorHAnsi"/>
          <w:sz w:val="16"/>
          <w:szCs w:val="16"/>
          <w:lang w:val="ro-MD"/>
        </w:rPr>
        <w:t xml:space="preserve"> „Cu privire la aprobarea Statutului Companiei </w:t>
      </w:r>
      <w:proofErr w:type="spellStart"/>
      <w:r w:rsidRPr="002A5893">
        <w:rPr>
          <w:rFonts w:asciiTheme="majorHAnsi" w:eastAsia="Times New Roman" w:hAnsiTheme="majorHAnsi" w:cstheme="majorHAnsi"/>
          <w:sz w:val="16"/>
          <w:szCs w:val="16"/>
          <w:lang w:val="ro-MD"/>
        </w:rPr>
        <w:t>Naţionale</w:t>
      </w:r>
      <w:proofErr w:type="spellEnd"/>
      <w:r w:rsidRPr="002A5893">
        <w:rPr>
          <w:rFonts w:asciiTheme="majorHAnsi" w:eastAsia="Times New Roman" w:hAnsiTheme="majorHAnsi" w:cstheme="majorHAnsi"/>
          <w:sz w:val="16"/>
          <w:szCs w:val="16"/>
          <w:lang w:val="ro-MD"/>
        </w:rPr>
        <w:t xml:space="preserve"> de Asigurări în Medicină”.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1376" w14:textId="77777777" w:rsidR="001C2E72" w:rsidRPr="00F016B0" w:rsidRDefault="001C2E72" w:rsidP="00F016B0">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FA6"/>
    <w:multiLevelType w:val="hybridMultilevel"/>
    <w:tmpl w:val="E0CC9E7C"/>
    <w:lvl w:ilvl="0" w:tplc="515CA642">
      <w:start w:val="5"/>
      <w:numFmt w:val="bullet"/>
      <w:lvlText w:val="-"/>
      <w:lvlJc w:val="left"/>
      <w:pPr>
        <w:ind w:left="1004" w:hanging="360"/>
      </w:pPr>
      <w:rPr>
        <w:rFonts w:ascii="Calibri Light" w:eastAsiaTheme="minorHAnsi" w:hAnsi="Calibri Light" w:cs="Calibri Light"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4F846F5"/>
    <w:multiLevelType w:val="multilevel"/>
    <w:tmpl w:val="ECD8BA90"/>
    <w:lvl w:ilvl="0">
      <w:start w:val="2"/>
      <w:numFmt w:val="decimal"/>
      <w:lvlText w:val="%1."/>
      <w:lvlJc w:val="left"/>
      <w:pPr>
        <w:ind w:left="360" w:hanging="360"/>
      </w:pPr>
      <w:rPr>
        <w:rFonts w:hint="default"/>
        <w:b/>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73A8D"/>
    <w:multiLevelType w:val="hybridMultilevel"/>
    <w:tmpl w:val="69C0802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467B"/>
    <w:multiLevelType w:val="hybridMultilevel"/>
    <w:tmpl w:val="1242BCF2"/>
    <w:lvl w:ilvl="0" w:tplc="92EA8E28">
      <w:start w:val="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D3375"/>
    <w:multiLevelType w:val="multilevel"/>
    <w:tmpl w:val="5B4ABBB4"/>
    <w:lvl w:ilvl="0">
      <w:start w:val="1"/>
      <w:numFmt w:val="upperRoman"/>
      <w:lvlText w:val="%1."/>
      <w:lvlJc w:val="right"/>
      <w:pPr>
        <w:ind w:left="720" w:hanging="360"/>
      </w:pPr>
    </w:lvl>
    <w:lvl w:ilvl="1">
      <w:start w:val="1"/>
      <w:numFmt w:val="decimal"/>
      <w:isLgl/>
      <w:lvlText w:val="%1.%2."/>
      <w:lvlJc w:val="left"/>
      <w:pPr>
        <w:ind w:left="1620" w:hanging="720"/>
      </w:pPr>
      <w:rPr>
        <w:rFonts w:hint="default"/>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5" w15:restartNumberingAfterBreak="0">
    <w:nsid w:val="14216788"/>
    <w:multiLevelType w:val="hybridMultilevel"/>
    <w:tmpl w:val="6F96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07C2E"/>
    <w:multiLevelType w:val="hybridMultilevel"/>
    <w:tmpl w:val="12B89D82"/>
    <w:lvl w:ilvl="0" w:tplc="6344C50C">
      <w:start w:val="739"/>
      <w:numFmt w:val="bullet"/>
      <w:lvlText w:val="-"/>
      <w:lvlJc w:val="left"/>
      <w:pPr>
        <w:ind w:left="420" w:hanging="360"/>
      </w:pPr>
      <w:rPr>
        <w:rFonts w:ascii="Calibri Light" w:eastAsia="SimSun" w:hAnsi="Calibri Light" w:cs="Calibri 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1EF76A7"/>
    <w:multiLevelType w:val="hybridMultilevel"/>
    <w:tmpl w:val="BF941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170B0"/>
    <w:multiLevelType w:val="hybridMultilevel"/>
    <w:tmpl w:val="8528EF38"/>
    <w:lvl w:ilvl="0" w:tplc="9A0C23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5CBF"/>
    <w:multiLevelType w:val="hybridMultilevel"/>
    <w:tmpl w:val="92E25C9A"/>
    <w:lvl w:ilvl="0" w:tplc="88A81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F2AE9"/>
    <w:multiLevelType w:val="multilevel"/>
    <w:tmpl w:val="F9CA6CB4"/>
    <w:lvl w:ilvl="0">
      <w:start w:val="2"/>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1D733F"/>
    <w:multiLevelType w:val="hybridMultilevel"/>
    <w:tmpl w:val="F358FF1C"/>
    <w:lvl w:ilvl="0" w:tplc="32D47C0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26E29"/>
    <w:multiLevelType w:val="hybridMultilevel"/>
    <w:tmpl w:val="EC30701E"/>
    <w:lvl w:ilvl="0" w:tplc="15CC8D6C">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2285D"/>
    <w:multiLevelType w:val="hybridMultilevel"/>
    <w:tmpl w:val="57C8F9DA"/>
    <w:lvl w:ilvl="0" w:tplc="1166D3EA">
      <w:numFmt w:val="bullet"/>
      <w:lvlText w:val="•"/>
      <w:lvlJc w:val="left"/>
      <w:pPr>
        <w:ind w:left="1287" w:hanging="360"/>
      </w:pPr>
      <w:rPr>
        <w:rFonts w:asciiTheme="majorHAnsi" w:eastAsiaTheme="minorHAnsi" w:hAnsiTheme="majorHAnsi" w:cstheme="minorBidi"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0E916DA"/>
    <w:multiLevelType w:val="hybridMultilevel"/>
    <w:tmpl w:val="BFA22530"/>
    <w:lvl w:ilvl="0" w:tplc="C41A9B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3AC1D40"/>
    <w:multiLevelType w:val="multilevel"/>
    <w:tmpl w:val="527A6984"/>
    <w:lvl w:ilvl="0">
      <w:start w:val="3"/>
      <w:numFmt w:val="upperRoman"/>
      <w:lvlText w:val="%1."/>
      <w:lvlJc w:val="left"/>
      <w:pPr>
        <w:ind w:left="1080" w:hanging="720"/>
      </w:pPr>
      <w:rPr>
        <w:rFonts w:hint="default"/>
      </w:rPr>
    </w:lvl>
    <w:lvl w:ilvl="1">
      <w:start w:val="1"/>
      <w:numFmt w:val="decimal"/>
      <w:isLgl/>
      <w:lvlText w:val="%1.%2"/>
      <w:lvlJc w:val="left"/>
      <w:pPr>
        <w:ind w:left="957" w:hanging="390"/>
      </w:pPr>
      <w:rPr>
        <w:rFonts w:cstheme="majorHAnsi" w:hint="default"/>
      </w:rPr>
    </w:lvl>
    <w:lvl w:ilvl="2">
      <w:start w:val="1"/>
      <w:numFmt w:val="decimal"/>
      <w:isLgl/>
      <w:lvlText w:val="%1.%2.%3"/>
      <w:lvlJc w:val="left"/>
      <w:pPr>
        <w:ind w:left="1494" w:hanging="720"/>
      </w:pPr>
      <w:rPr>
        <w:rFonts w:cstheme="majorHAnsi" w:hint="default"/>
      </w:rPr>
    </w:lvl>
    <w:lvl w:ilvl="3">
      <w:start w:val="1"/>
      <w:numFmt w:val="decimal"/>
      <w:isLgl/>
      <w:lvlText w:val="%1.%2.%3.%4"/>
      <w:lvlJc w:val="left"/>
      <w:pPr>
        <w:ind w:left="1701" w:hanging="720"/>
      </w:pPr>
      <w:rPr>
        <w:rFonts w:cstheme="majorHAnsi" w:hint="default"/>
      </w:rPr>
    </w:lvl>
    <w:lvl w:ilvl="4">
      <w:start w:val="1"/>
      <w:numFmt w:val="decimal"/>
      <w:isLgl/>
      <w:lvlText w:val="%1.%2.%3.%4.%5"/>
      <w:lvlJc w:val="left"/>
      <w:pPr>
        <w:ind w:left="2268" w:hanging="1080"/>
      </w:pPr>
      <w:rPr>
        <w:rFonts w:cstheme="majorHAnsi" w:hint="default"/>
      </w:rPr>
    </w:lvl>
    <w:lvl w:ilvl="5">
      <w:start w:val="1"/>
      <w:numFmt w:val="decimal"/>
      <w:isLgl/>
      <w:lvlText w:val="%1.%2.%3.%4.%5.%6"/>
      <w:lvlJc w:val="left"/>
      <w:pPr>
        <w:ind w:left="2475" w:hanging="1080"/>
      </w:pPr>
      <w:rPr>
        <w:rFonts w:cstheme="majorHAnsi" w:hint="default"/>
      </w:rPr>
    </w:lvl>
    <w:lvl w:ilvl="6">
      <w:start w:val="1"/>
      <w:numFmt w:val="decimal"/>
      <w:isLgl/>
      <w:lvlText w:val="%1.%2.%3.%4.%5.%6.%7"/>
      <w:lvlJc w:val="left"/>
      <w:pPr>
        <w:ind w:left="3042" w:hanging="1440"/>
      </w:pPr>
      <w:rPr>
        <w:rFonts w:cstheme="majorHAnsi" w:hint="default"/>
      </w:rPr>
    </w:lvl>
    <w:lvl w:ilvl="7">
      <w:start w:val="1"/>
      <w:numFmt w:val="decimal"/>
      <w:isLgl/>
      <w:lvlText w:val="%1.%2.%3.%4.%5.%6.%7.%8"/>
      <w:lvlJc w:val="left"/>
      <w:pPr>
        <w:ind w:left="3249" w:hanging="1440"/>
      </w:pPr>
      <w:rPr>
        <w:rFonts w:cstheme="majorHAnsi" w:hint="default"/>
      </w:rPr>
    </w:lvl>
    <w:lvl w:ilvl="8">
      <w:start w:val="1"/>
      <w:numFmt w:val="decimal"/>
      <w:isLgl/>
      <w:lvlText w:val="%1.%2.%3.%4.%5.%6.%7.%8.%9"/>
      <w:lvlJc w:val="left"/>
      <w:pPr>
        <w:ind w:left="3816" w:hanging="1800"/>
      </w:pPr>
      <w:rPr>
        <w:rFonts w:cstheme="majorHAnsi" w:hint="default"/>
      </w:rPr>
    </w:lvl>
  </w:abstractNum>
  <w:abstractNum w:abstractNumId="17" w15:restartNumberingAfterBreak="0">
    <w:nsid w:val="37AA462E"/>
    <w:multiLevelType w:val="hybridMultilevel"/>
    <w:tmpl w:val="2D1861F2"/>
    <w:lvl w:ilvl="0" w:tplc="1166D3EA">
      <w:numFmt w:val="bullet"/>
      <w:lvlText w:val="•"/>
      <w:lvlJc w:val="left"/>
      <w:pPr>
        <w:ind w:left="2422" w:hanging="360"/>
      </w:pPr>
      <w:rPr>
        <w:rFonts w:asciiTheme="majorHAnsi" w:eastAsiaTheme="minorHAnsi" w:hAnsiTheme="majorHAnsi"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3D98205E"/>
    <w:multiLevelType w:val="multilevel"/>
    <w:tmpl w:val="BC26AB6A"/>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28E7149"/>
    <w:multiLevelType w:val="multilevel"/>
    <w:tmpl w:val="55364B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60E52C2"/>
    <w:multiLevelType w:val="hybridMultilevel"/>
    <w:tmpl w:val="9EE2E918"/>
    <w:lvl w:ilvl="0" w:tplc="C41AB1B0">
      <w:numFmt w:val="bullet"/>
      <w:lvlText w:val="-"/>
      <w:lvlJc w:val="left"/>
      <w:pPr>
        <w:ind w:left="1080" w:hanging="360"/>
      </w:pPr>
      <w:rPr>
        <w:rFonts w:ascii="Times New Roman" w:eastAsia="Times New Roman" w:hAnsi="Times New Roman" w:cs="Times New Roman" w:hint="default"/>
        <w:b w:val="0"/>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6253E2B"/>
    <w:multiLevelType w:val="hybridMultilevel"/>
    <w:tmpl w:val="325EAAF0"/>
    <w:lvl w:ilvl="0" w:tplc="27508D5A">
      <w:start w:val="1"/>
      <w:numFmt w:val="decimal"/>
      <w:lvlText w:val="%1."/>
      <w:lvlJc w:val="left"/>
      <w:pPr>
        <w:ind w:left="683" w:hanging="360"/>
      </w:pPr>
      <w:rPr>
        <w:rFonts w:ascii="Times New Roman" w:hAnsi="Times New Roman" w:cs="Times New Roman" w:hint="default"/>
        <w:b/>
        <w:sz w:val="28"/>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2" w15:restartNumberingAfterBreak="0">
    <w:nsid w:val="46503875"/>
    <w:multiLevelType w:val="hybridMultilevel"/>
    <w:tmpl w:val="0D56FAAA"/>
    <w:lvl w:ilvl="0" w:tplc="D660B6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10BEE"/>
    <w:multiLevelType w:val="multilevel"/>
    <w:tmpl w:val="579084E4"/>
    <w:lvl w:ilvl="0">
      <w:start w:val="6"/>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4CAF209A"/>
    <w:multiLevelType w:val="hybridMultilevel"/>
    <w:tmpl w:val="79C01642"/>
    <w:lvl w:ilvl="0" w:tplc="77240F12">
      <w:start w:val="1"/>
      <w:numFmt w:val="decimal"/>
      <w:lvlText w:val="%1."/>
      <w:lvlJc w:val="left"/>
      <w:pPr>
        <w:ind w:left="500" w:hanging="360"/>
      </w:pPr>
      <w:rPr>
        <w:rFonts w:hint="default"/>
      </w:rPr>
    </w:lvl>
    <w:lvl w:ilvl="1" w:tplc="04180019" w:tentative="1">
      <w:start w:val="1"/>
      <w:numFmt w:val="lowerLetter"/>
      <w:lvlText w:val="%2."/>
      <w:lvlJc w:val="left"/>
      <w:pPr>
        <w:ind w:left="1220" w:hanging="360"/>
      </w:pPr>
    </w:lvl>
    <w:lvl w:ilvl="2" w:tplc="0418001B" w:tentative="1">
      <w:start w:val="1"/>
      <w:numFmt w:val="lowerRoman"/>
      <w:lvlText w:val="%3."/>
      <w:lvlJc w:val="right"/>
      <w:pPr>
        <w:ind w:left="1940" w:hanging="180"/>
      </w:pPr>
    </w:lvl>
    <w:lvl w:ilvl="3" w:tplc="0418000F" w:tentative="1">
      <w:start w:val="1"/>
      <w:numFmt w:val="decimal"/>
      <w:lvlText w:val="%4."/>
      <w:lvlJc w:val="left"/>
      <w:pPr>
        <w:ind w:left="2660" w:hanging="360"/>
      </w:pPr>
    </w:lvl>
    <w:lvl w:ilvl="4" w:tplc="04180019" w:tentative="1">
      <w:start w:val="1"/>
      <w:numFmt w:val="lowerLetter"/>
      <w:lvlText w:val="%5."/>
      <w:lvlJc w:val="left"/>
      <w:pPr>
        <w:ind w:left="3380" w:hanging="360"/>
      </w:pPr>
    </w:lvl>
    <w:lvl w:ilvl="5" w:tplc="0418001B" w:tentative="1">
      <w:start w:val="1"/>
      <w:numFmt w:val="lowerRoman"/>
      <w:lvlText w:val="%6."/>
      <w:lvlJc w:val="right"/>
      <w:pPr>
        <w:ind w:left="4100" w:hanging="180"/>
      </w:pPr>
    </w:lvl>
    <w:lvl w:ilvl="6" w:tplc="0418000F" w:tentative="1">
      <w:start w:val="1"/>
      <w:numFmt w:val="decimal"/>
      <w:lvlText w:val="%7."/>
      <w:lvlJc w:val="left"/>
      <w:pPr>
        <w:ind w:left="4820" w:hanging="360"/>
      </w:pPr>
    </w:lvl>
    <w:lvl w:ilvl="7" w:tplc="04180019" w:tentative="1">
      <w:start w:val="1"/>
      <w:numFmt w:val="lowerLetter"/>
      <w:lvlText w:val="%8."/>
      <w:lvlJc w:val="left"/>
      <w:pPr>
        <w:ind w:left="5540" w:hanging="360"/>
      </w:pPr>
    </w:lvl>
    <w:lvl w:ilvl="8" w:tplc="0418001B" w:tentative="1">
      <w:start w:val="1"/>
      <w:numFmt w:val="lowerRoman"/>
      <w:lvlText w:val="%9."/>
      <w:lvlJc w:val="right"/>
      <w:pPr>
        <w:ind w:left="6260" w:hanging="180"/>
      </w:pPr>
    </w:lvl>
  </w:abstractNum>
  <w:abstractNum w:abstractNumId="25" w15:restartNumberingAfterBreak="0">
    <w:nsid w:val="58865936"/>
    <w:multiLevelType w:val="hybridMultilevel"/>
    <w:tmpl w:val="68F4BFF6"/>
    <w:lvl w:ilvl="0" w:tplc="EC1EFCA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53213"/>
    <w:multiLevelType w:val="hybridMultilevel"/>
    <w:tmpl w:val="024A0972"/>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704CD"/>
    <w:multiLevelType w:val="multilevel"/>
    <w:tmpl w:val="734A82BC"/>
    <w:lvl w:ilvl="0">
      <w:start w:val="1"/>
      <w:numFmt w:val="decimal"/>
      <w:lvlText w:val="%1."/>
      <w:lvlJc w:val="left"/>
      <w:pPr>
        <w:ind w:left="108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EC856FF"/>
    <w:multiLevelType w:val="multilevel"/>
    <w:tmpl w:val="18724C04"/>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F063718"/>
    <w:multiLevelType w:val="hybridMultilevel"/>
    <w:tmpl w:val="4D4E04BA"/>
    <w:lvl w:ilvl="0" w:tplc="33E8AE18">
      <w:start w:val="739"/>
      <w:numFmt w:val="bullet"/>
      <w:lvlText w:val="-"/>
      <w:lvlJc w:val="left"/>
      <w:pPr>
        <w:ind w:left="720" w:hanging="360"/>
      </w:pPr>
      <w:rPr>
        <w:rFonts w:ascii="Calibri Light" w:eastAsia="SimSu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22674"/>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AE424B"/>
    <w:multiLevelType w:val="hybridMultilevel"/>
    <w:tmpl w:val="179E530A"/>
    <w:lvl w:ilvl="0" w:tplc="32D47C02">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49418C"/>
    <w:multiLevelType w:val="multilevel"/>
    <w:tmpl w:val="CA0E19A2"/>
    <w:lvl w:ilvl="0">
      <w:start w:val="6"/>
      <w:numFmt w:val="decimal"/>
      <w:lvlText w:val="%1."/>
      <w:lvlJc w:val="left"/>
      <w:pPr>
        <w:ind w:left="375" w:hanging="375"/>
      </w:pPr>
      <w:rPr>
        <w:rFonts w:hint="default"/>
        <w:b/>
        <w:color w:val="auto"/>
      </w:rPr>
    </w:lvl>
    <w:lvl w:ilvl="1">
      <w:start w:val="9"/>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3" w15:restartNumberingAfterBreak="0">
    <w:nsid w:val="690C4D64"/>
    <w:multiLevelType w:val="hybridMultilevel"/>
    <w:tmpl w:val="A9D269CA"/>
    <w:lvl w:ilvl="0" w:tplc="69A65F34">
      <w:start w:val="1"/>
      <w:numFmt w:val="upperRoman"/>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539EF"/>
    <w:multiLevelType w:val="hybridMultilevel"/>
    <w:tmpl w:val="618CC6EE"/>
    <w:lvl w:ilvl="0" w:tplc="69A07C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54F390A"/>
    <w:multiLevelType w:val="multilevel"/>
    <w:tmpl w:val="55364BD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7FD08C9"/>
    <w:multiLevelType w:val="hybridMultilevel"/>
    <w:tmpl w:val="B852D292"/>
    <w:lvl w:ilvl="0" w:tplc="DA302506">
      <w:start w:val="3"/>
      <w:numFmt w:val="bullet"/>
      <w:lvlText w:val="-"/>
      <w:lvlJc w:val="left"/>
      <w:pPr>
        <w:ind w:left="1080" w:hanging="360"/>
      </w:pPr>
      <w:rPr>
        <w:rFonts w:ascii="Calibri Light" w:eastAsia="SimSu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783097"/>
    <w:multiLevelType w:val="hybridMultilevel"/>
    <w:tmpl w:val="9E0A60E6"/>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347FD"/>
    <w:multiLevelType w:val="hybridMultilevel"/>
    <w:tmpl w:val="FFC0088C"/>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16"/>
  </w:num>
  <w:num w:numId="3">
    <w:abstractNumId w:val="3"/>
  </w:num>
  <w:num w:numId="4">
    <w:abstractNumId w:val="28"/>
  </w:num>
  <w:num w:numId="5">
    <w:abstractNumId w:val="22"/>
  </w:num>
  <w:num w:numId="6">
    <w:abstractNumId w:val="8"/>
  </w:num>
  <w:num w:numId="7">
    <w:abstractNumId w:val="15"/>
  </w:num>
  <w:num w:numId="8">
    <w:abstractNumId w:val="36"/>
  </w:num>
  <w:num w:numId="9">
    <w:abstractNumId w:val="25"/>
  </w:num>
  <w:num w:numId="10">
    <w:abstractNumId w:val="14"/>
  </w:num>
  <w:num w:numId="11">
    <w:abstractNumId w:val="17"/>
  </w:num>
  <w:num w:numId="12">
    <w:abstractNumId w:val="7"/>
  </w:num>
  <w:num w:numId="13">
    <w:abstractNumId w:val="26"/>
  </w:num>
  <w:num w:numId="14">
    <w:abstractNumId w:val="2"/>
  </w:num>
  <w:num w:numId="15">
    <w:abstractNumId w:val="30"/>
  </w:num>
  <w:num w:numId="16">
    <w:abstractNumId w:val="33"/>
  </w:num>
  <w:num w:numId="17">
    <w:abstractNumId w:val="38"/>
  </w:num>
  <w:num w:numId="18">
    <w:abstractNumId w:val="5"/>
  </w:num>
  <w:num w:numId="19">
    <w:abstractNumId w:val="20"/>
  </w:num>
  <w:num w:numId="20">
    <w:abstractNumId w:val="24"/>
  </w:num>
  <w:num w:numId="21">
    <w:abstractNumId w:val="21"/>
  </w:num>
  <w:num w:numId="22">
    <w:abstractNumId w:val="6"/>
  </w:num>
  <w:num w:numId="23">
    <w:abstractNumId w:val="29"/>
  </w:num>
  <w:num w:numId="24">
    <w:abstractNumId w:val="10"/>
  </w:num>
  <w:num w:numId="25">
    <w:abstractNumId w:val="13"/>
  </w:num>
  <w:num w:numId="26">
    <w:abstractNumId w:val="0"/>
  </w:num>
  <w:num w:numId="27">
    <w:abstractNumId w:val="18"/>
  </w:num>
  <w:num w:numId="28">
    <w:abstractNumId w:val="9"/>
  </w:num>
  <w:num w:numId="29">
    <w:abstractNumId w:val="31"/>
  </w:num>
  <w:num w:numId="30">
    <w:abstractNumId w:val="12"/>
  </w:num>
  <w:num w:numId="31">
    <w:abstractNumId w:val="11"/>
  </w:num>
  <w:num w:numId="32">
    <w:abstractNumId w:val="37"/>
  </w:num>
  <w:num w:numId="33">
    <w:abstractNumId w:val="34"/>
  </w:num>
  <w:num w:numId="34">
    <w:abstractNumId w:val="35"/>
  </w:num>
  <w:num w:numId="35">
    <w:abstractNumId w:val="23"/>
  </w:num>
  <w:num w:numId="36">
    <w:abstractNumId w:val="27"/>
  </w:num>
  <w:num w:numId="37">
    <w:abstractNumId w:val="19"/>
  </w:num>
  <w:num w:numId="38">
    <w:abstractNumId w:val="3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E6"/>
    <w:rsid w:val="000032FA"/>
    <w:rsid w:val="000048CF"/>
    <w:rsid w:val="0000492B"/>
    <w:rsid w:val="00004F58"/>
    <w:rsid w:val="000069D5"/>
    <w:rsid w:val="000077C8"/>
    <w:rsid w:val="000114E5"/>
    <w:rsid w:val="00011D17"/>
    <w:rsid w:val="00011D70"/>
    <w:rsid w:val="00012526"/>
    <w:rsid w:val="00014CAD"/>
    <w:rsid w:val="00015160"/>
    <w:rsid w:val="00016682"/>
    <w:rsid w:val="00017774"/>
    <w:rsid w:val="00022485"/>
    <w:rsid w:val="00022498"/>
    <w:rsid w:val="000225B8"/>
    <w:rsid w:val="00022EEB"/>
    <w:rsid w:val="00023B8B"/>
    <w:rsid w:val="00024594"/>
    <w:rsid w:val="000246E3"/>
    <w:rsid w:val="00026068"/>
    <w:rsid w:val="00027DD5"/>
    <w:rsid w:val="0003121B"/>
    <w:rsid w:val="000315BB"/>
    <w:rsid w:val="000317E9"/>
    <w:rsid w:val="00031BC3"/>
    <w:rsid w:val="00032560"/>
    <w:rsid w:val="00032565"/>
    <w:rsid w:val="00032EB1"/>
    <w:rsid w:val="000334B0"/>
    <w:rsid w:val="000404D7"/>
    <w:rsid w:val="000407DD"/>
    <w:rsid w:val="00042ABF"/>
    <w:rsid w:val="00042F08"/>
    <w:rsid w:val="00044DF2"/>
    <w:rsid w:val="000511DB"/>
    <w:rsid w:val="00051302"/>
    <w:rsid w:val="00051715"/>
    <w:rsid w:val="000524FA"/>
    <w:rsid w:val="000529CC"/>
    <w:rsid w:val="00056D1F"/>
    <w:rsid w:val="0005702B"/>
    <w:rsid w:val="000609A6"/>
    <w:rsid w:val="00060A26"/>
    <w:rsid w:val="00061919"/>
    <w:rsid w:val="000653A7"/>
    <w:rsid w:val="00065487"/>
    <w:rsid w:val="0006571D"/>
    <w:rsid w:val="00065EA5"/>
    <w:rsid w:val="00066E97"/>
    <w:rsid w:val="00066F09"/>
    <w:rsid w:val="0007119B"/>
    <w:rsid w:val="00071BB9"/>
    <w:rsid w:val="000726AC"/>
    <w:rsid w:val="0007347A"/>
    <w:rsid w:val="000738F3"/>
    <w:rsid w:val="00073E85"/>
    <w:rsid w:val="00075EF3"/>
    <w:rsid w:val="00075FAF"/>
    <w:rsid w:val="00076A5E"/>
    <w:rsid w:val="00076B35"/>
    <w:rsid w:val="00081A3A"/>
    <w:rsid w:val="00081A6B"/>
    <w:rsid w:val="000838D9"/>
    <w:rsid w:val="0008590B"/>
    <w:rsid w:val="00085E85"/>
    <w:rsid w:val="00086771"/>
    <w:rsid w:val="000871B1"/>
    <w:rsid w:val="00090F30"/>
    <w:rsid w:val="00091D81"/>
    <w:rsid w:val="00093304"/>
    <w:rsid w:val="00093F82"/>
    <w:rsid w:val="000949A9"/>
    <w:rsid w:val="00095BE4"/>
    <w:rsid w:val="00095F92"/>
    <w:rsid w:val="00096962"/>
    <w:rsid w:val="00096B55"/>
    <w:rsid w:val="000A1CD6"/>
    <w:rsid w:val="000A347E"/>
    <w:rsid w:val="000A396A"/>
    <w:rsid w:val="000A47DA"/>
    <w:rsid w:val="000A763B"/>
    <w:rsid w:val="000A7AAC"/>
    <w:rsid w:val="000B1024"/>
    <w:rsid w:val="000B1D8A"/>
    <w:rsid w:val="000B22D2"/>
    <w:rsid w:val="000B422F"/>
    <w:rsid w:val="000B6581"/>
    <w:rsid w:val="000B65D2"/>
    <w:rsid w:val="000B6DE7"/>
    <w:rsid w:val="000C1065"/>
    <w:rsid w:val="000C11C9"/>
    <w:rsid w:val="000C1871"/>
    <w:rsid w:val="000C2110"/>
    <w:rsid w:val="000C3174"/>
    <w:rsid w:val="000C3BDE"/>
    <w:rsid w:val="000C5207"/>
    <w:rsid w:val="000C7F74"/>
    <w:rsid w:val="000C7FB3"/>
    <w:rsid w:val="000D1AFE"/>
    <w:rsid w:val="000D2E57"/>
    <w:rsid w:val="000D3019"/>
    <w:rsid w:val="000D347B"/>
    <w:rsid w:val="000D7B2C"/>
    <w:rsid w:val="000E0017"/>
    <w:rsid w:val="000E0D14"/>
    <w:rsid w:val="000E554F"/>
    <w:rsid w:val="000F0825"/>
    <w:rsid w:val="000F4859"/>
    <w:rsid w:val="000F51BD"/>
    <w:rsid w:val="000F5611"/>
    <w:rsid w:val="000F60A6"/>
    <w:rsid w:val="000F64F2"/>
    <w:rsid w:val="000F7632"/>
    <w:rsid w:val="001013D1"/>
    <w:rsid w:val="00101AEB"/>
    <w:rsid w:val="00102412"/>
    <w:rsid w:val="001028FE"/>
    <w:rsid w:val="001041B6"/>
    <w:rsid w:val="00105C19"/>
    <w:rsid w:val="001062DE"/>
    <w:rsid w:val="00107631"/>
    <w:rsid w:val="00115909"/>
    <w:rsid w:val="00116FE8"/>
    <w:rsid w:val="0012131E"/>
    <w:rsid w:val="00121344"/>
    <w:rsid w:val="001250B2"/>
    <w:rsid w:val="001252F2"/>
    <w:rsid w:val="00130A70"/>
    <w:rsid w:val="0013160D"/>
    <w:rsid w:val="00137AA2"/>
    <w:rsid w:val="00142B6F"/>
    <w:rsid w:val="00143126"/>
    <w:rsid w:val="00145428"/>
    <w:rsid w:val="00146AF9"/>
    <w:rsid w:val="00150D18"/>
    <w:rsid w:val="00151AD4"/>
    <w:rsid w:val="00152A06"/>
    <w:rsid w:val="001544A7"/>
    <w:rsid w:val="001552E9"/>
    <w:rsid w:val="001568C8"/>
    <w:rsid w:val="00160584"/>
    <w:rsid w:val="001619E1"/>
    <w:rsid w:val="00162D9B"/>
    <w:rsid w:val="00163382"/>
    <w:rsid w:val="00164225"/>
    <w:rsid w:val="00164C8E"/>
    <w:rsid w:val="00164E80"/>
    <w:rsid w:val="0016520F"/>
    <w:rsid w:val="00165302"/>
    <w:rsid w:val="00167EBB"/>
    <w:rsid w:val="00172534"/>
    <w:rsid w:val="0017556C"/>
    <w:rsid w:val="001757D3"/>
    <w:rsid w:val="001764B6"/>
    <w:rsid w:val="001770E5"/>
    <w:rsid w:val="0017754C"/>
    <w:rsid w:val="00180602"/>
    <w:rsid w:val="001817C3"/>
    <w:rsid w:val="00182ED0"/>
    <w:rsid w:val="0018424B"/>
    <w:rsid w:val="00187AB5"/>
    <w:rsid w:val="00191FA5"/>
    <w:rsid w:val="00192F3D"/>
    <w:rsid w:val="001934D8"/>
    <w:rsid w:val="00194236"/>
    <w:rsid w:val="0019585F"/>
    <w:rsid w:val="00196108"/>
    <w:rsid w:val="0019688A"/>
    <w:rsid w:val="00196F6D"/>
    <w:rsid w:val="0019702B"/>
    <w:rsid w:val="0019738C"/>
    <w:rsid w:val="001974FA"/>
    <w:rsid w:val="00197751"/>
    <w:rsid w:val="00197E43"/>
    <w:rsid w:val="001A0941"/>
    <w:rsid w:val="001A097E"/>
    <w:rsid w:val="001A09C5"/>
    <w:rsid w:val="001A1028"/>
    <w:rsid w:val="001A14CC"/>
    <w:rsid w:val="001A1E2D"/>
    <w:rsid w:val="001A2431"/>
    <w:rsid w:val="001A263D"/>
    <w:rsid w:val="001A362E"/>
    <w:rsid w:val="001A64FF"/>
    <w:rsid w:val="001B3B61"/>
    <w:rsid w:val="001B46B2"/>
    <w:rsid w:val="001B479B"/>
    <w:rsid w:val="001B6AC3"/>
    <w:rsid w:val="001B6AF4"/>
    <w:rsid w:val="001B6E3C"/>
    <w:rsid w:val="001C0A96"/>
    <w:rsid w:val="001C2E72"/>
    <w:rsid w:val="001D0926"/>
    <w:rsid w:val="001D1517"/>
    <w:rsid w:val="001D2434"/>
    <w:rsid w:val="001D253A"/>
    <w:rsid w:val="001D6D9C"/>
    <w:rsid w:val="001E1558"/>
    <w:rsid w:val="001E283A"/>
    <w:rsid w:val="001E2848"/>
    <w:rsid w:val="001E351D"/>
    <w:rsid w:val="001E3968"/>
    <w:rsid w:val="001E5255"/>
    <w:rsid w:val="001E5733"/>
    <w:rsid w:val="001E6603"/>
    <w:rsid w:val="001E7E8C"/>
    <w:rsid w:val="001F05C8"/>
    <w:rsid w:val="001F1D95"/>
    <w:rsid w:val="001F213C"/>
    <w:rsid w:val="001F2F5F"/>
    <w:rsid w:val="001F3322"/>
    <w:rsid w:val="001F3C7C"/>
    <w:rsid w:val="002001F6"/>
    <w:rsid w:val="00202061"/>
    <w:rsid w:val="00202B87"/>
    <w:rsid w:val="0020429C"/>
    <w:rsid w:val="002045C7"/>
    <w:rsid w:val="00206367"/>
    <w:rsid w:val="00207224"/>
    <w:rsid w:val="0020769A"/>
    <w:rsid w:val="00207819"/>
    <w:rsid w:val="00210825"/>
    <w:rsid w:val="00210AE8"/>
    <w:rsid w:val="00213CF9"/>
    <w:rsid w:val="00213F7E"/>
    <w:rsid w:val="002144A8"/>
    <w:rsid w:val="00215828"/>
    <w:rsid w:val="00216351"/>
    <w:rsid w:val="00216B52"/>
    <w:rsid w:val="00216F2E"/>
    <w:rsid w:val="002171C4"/>
    <w:rsid w:val="002171FD"/>
    <w:rsid w:val="00217FC2"/>
    <w:rsid w:val="0022125D"/>
    <w:rsid w:val="002218E9"/>
    <w:rsid w:val="00222E4F"/>
    <w:rsid w:val="00223194"/>
    <w:rsid w:val="00223220"/>
    <w:rsid w:val="00223DF1"/>
    <w:rsid w:val="00224F2E"/>
    <w:rsid w:val="00230904"/>
    <w:rsid w:val="0023171B"/>
    <w:rsid w:val="0023310C"/>
    <w:rsid w:val="00233159"/>
    <w:rsid w:val="00234ACD"/>
    <w:rsid w:val="00235EFF"/>
    <w:rsid w:val="00236A5F"/>
    <w:rsid w:val="00237FE6"/>
    <w:rsid w:val="002400A3"/>
    <w:rsid w:val="00240C27"/>
    <w:rsid w:val="00241697"/>
    <w:rsid w:val="00241D32"/>
    <w:rsid w:val="002426E1"/>
    <w:rsid w:val="0024380B"/>
    <w:rsid w:val="00243C81"/>
    <w:rsid w:val="00244976"/>
    <w:rsid w:val="00244B88"/>
    <w:rsid w:val="00247B08"/>
    <w:rsid w:val="00251961"/>
    <w:rsid w:val="002533D5"/>
    <w:rsid w:val="00253797"/>
    <w:rsid w:val="00255006"/>
    <w:rsid w:val="002555E5"/>
    <w:rsid w:val="00256407"/>
    <w:rsid w:val="00257FD3"/>
    <w:rsid w:val="00261084"/>
    <w:rsid w:val="0026197F"/>
    <w:rsid w:val="00261E95"/>
    <w:rsid w:val="002621E9"/>
    <w:rsid w:val="00265356"/>
    <w:rsid w:val="002653D1"/>
    <w:rsid w:val="00265BC5"/>
    <w:rsid w:val="00265FC7"/>
    <w:rsid w:val="00267B74"/>
    <w:rsid w:val="002700C7"/>
    <w:rsid w:val="00270F8F"/>
    <w:rsid w:val="002710A5"/>
    <w:rsid w:val="00271AC7"/>
    <w:rsid w:val="00272098"/>
    <w:rsid w:val="002749CE"/>
    <w:rsid w:val="00275997"/>
    <w:rsid w:val="00275CF1"/>
    <w:rsid w:val="00276447"/>
    <w:rsid w:val="002771BE"/>
    <w:rsid w:val="00282176"/>
    <w:rsid w:val="00283488"/>
    <w:rsid w:val="00286A51"/>
    <w:rsid w:val="0029123A"/>
    <w:rsid w:val="00293652"/>
    <w:rsid w:val="00293DB6"/>
    <w:rsid w:val="002940E5"/>
    <w:rsid w:val="00295A7E"/>
    <w:rsid w:val="002967CA"/>
    <w:rsid w:val="002A063D"/>
    <w:rsid w:val="002A0851"/>
    <w:rsid w:val="002A10A3"/>
    <w:rsid w:val="002A11E9"/>
    <w:rsid w:val="002A1926"/>
    <w:rsid w:val="002A1D49"/>
    <w:rsid w:val="002A2348"/>
    <w:rsid w:val="002A2373"/>
    <w:rsid w:val="002A2B97"/>
    <w:rsid w:val="002A33DF"/>
    <w:rsid w:val="002A492E"/>
    <w:rsid w:val="002A5893"/>
    <w:rsid w:val="002A6537"/>
    <w:rsid w:val="002A6988"/>
    <w:rsid w:val="002A6D61"/>
    <w:rsid w:val="002A7100"/>
    <w:rsid w:val="002A7341"/>
    <w:rsid w:val="002B0149"/>
    <w:rsid w:val="002B0284"/>
    <w:rsid w:val="002B0900"/>
    <w:rsid w:val="002B0EEF"/>
    <w:rsid w:val="002B1D84"/>
    <w:rsid w:val="002B5CE8"/>
    <w:rsid w:val="002B6090"/>
    <w:rsid w:val="002B7F12"/>
    <w:rsid w:val="002C03B9"/>
    <w:rsid w:val="002C0FC8"/>
    <w:rsid w:val="002C1F14"/>
    <w:rsid w:val="002C24CA"/>
    <w:rsid w:val="002C2FC2"/>
    <w:rsid w:val="002C332B"/>
    <w:rsid w:val="002C39A8"/>
    <w:rsid w:val="002C4A03"/>
    <w:rsid w:val="002C5AD0"/>
    <w:rsid w:val="002C618D"/>
    <w:rsid w:val="002C6729"/>
    <w:rsid w:val="002C6964"/>
    <w:rsid w:val="002C6B6B"/>
    <w:rsid w:val="002D07B0"/>
    <w:rsid w:val="002D39AF"/>
    <w:rsid w:val="002D5F16"/>
    <w:rsid w:val="002D6BC9"/>
    <w:rsid w:val="002D77C7"/>
    <w:rsid w:val="002E0673"/>
    <w:rsid w:val="002E08A7"/>
    <w:rsid w:val="002E1C8D"/>
    <w:rsid w:val="002E352A"/>
    <w:rsid w:val="002E7A6C"/>
    <w:rsid w:val="002E7E2A"/>
    <w:rsid w:val="002E7F55"/>
    <w:rsid w:val="002F22EC"/>
    <w:rsid w:val="002F34BD"/>
    <w:rsid w:val="002F3C27"/>
    <w:rsid w:val="002F6325"/>
    <w:rsid w:val="002F7D2C"/>
    <w:rsid w:val="0030065A"/>
    <w:rsid w:val="00301DF5"/>
    <w:rsid w:val="00301F60"/>
    <w:rsid w:val="00303D18"/>
    <w:rsid w:val="003059C6"/>
    <w:rsid w:val="00307061"/>
    <w:rsid w:val="00307722"/>
    <w:rsid w:val="00311AB4"/>
    <w:rsid w:val="00311E83"/>
    <w:rsid w:val="003123F2"/>
    <w:rsid w:val="00312470"/>
    <w:rsid w:val="003131B2"/>
    <w:rsid w:val="00313CE6"/>
    <w:rsid w:val="00314898"/>
    <w:rsid w:val="0031593B"/>
    <w:rsid w:val="00320181"/>
    <w:rsid w:val="00320221"/>
    <w:rsid w:val="003205E8"/>
    <w:rsid w:val="00324327"/>
    <w:rsid w:val="003255B7"/>
    <w:rsid w:val="00330554"/>
    <w:rsid w:val="00331681"/>
    <w:rsid w:val="0033384C"/>
    <w:rsid w:val="00333B34"/>
    <w:rsid w:val="00333EC2"/>
    <w:rsid w:val="003341EF"/>
    <w:rsid w:val="003342C6"/>
    <w:rsid w:val="003347AF"/>
    <w:rsid w:val="003355A1"/>
    <w:rsid w:val="00336770"/>
    <w:rsid w:val="00341067"/>
    <w:rsid w:val="0034222F"/>
    <w:rsid w:val="003452E3"/>
    <w:rsid w:val="00345DBE"/>
    <w:rsid w:val="00346F0F"/>
    <w:rsid w:val="00347CFA"/>
    <w:rsid w:val="00350FF8"/>
    <w:rsid w:val="00351A8D"/>
    <w:rsid w:val="003520E8"/>
    <w:rsid w:val="003526A3"/>
    <w:rsid w:val="00352BE2"/>
    <w:rsid w:val="00353C03"/>
    <w:rsid w:val="00353CB8"/>
    <w:rsid w:val="00354281"/>
    <w:rsid w:val="00354A20"/>
    <w:rsid w:val="0035612C"/>
    <w:rsid w:val="00356725"/>
    <w:rsid w:val="00356D43"/>
    <w:rsid w:val="00356FEE"/>
    <w:rsid w:val="00357922"/>
    <w:rsid w:val="003600AC"/>
    <w:rsid w:val="00360210"/>
    <w:rsid w:val="00360FF2"/>
    <w:rsid w:val="003610D2"/>
    <w:rsid w:val="00361308"/>
    <w:rsid w:val="003619B0"/>
    <w:rsid w:val="00362388"/>
    <w:rsid w:val="00362A91"/>
    <w:rsid w:val="0036511B"/>
    <w:rsid w:val="0036558C"/>
    <w:rsid w:val="003655E8"/>
    <w:rsid w:val="003656FB"/>
    <w:rsid w:val="0036606E"/>
    <w:rsid w:val="00366209"/>
    <w:rsid w:val="00366CCC"/>
    <w:rsid w:val="00374EB9"/>
    <w:rsid w:val="003759E2"/>
    <w:rsid w:val="00377ED1"/>
    <w:rsid w:val="00380903"/>
    <w:rsid w:val="0038205C"/>
    <w:rsid w:val="0038417E"/>
    <w:rsid w:val="00385E81"/>
    <w:rsid w:val="00386BE2"/>
    <w:rsid w:val="003870D1"/>
    <w:rsid w:val="003901D1"/>
    <w:rsid w:val="0039065B"/>
    <w:rsid w:val="00391FEA"/>
    <w:rsid w:val="00393933"/>
    <w:rsid w:val="00393BCD"/>
    <w:rsid w:val="00395D1A"/>
    <w:rsid w:val="003963EC"/>
    <w:rsid w:val="003971C5"/>
    <w:rsid w:val="003974FC"/>
    <w:rsid w:val="003A33A9"/>
    <w:rsid w:val="003A409C"/>
    <w:rsid w:val="003A49D5"/>
    <w:rsid w:val="003A5559"/>
    <w:rsid w:val="003A569B"/>
    <w:rsid w:val="003A591B"/>
    <w:rsid w:val="003A610E"/>
    <w:rsid w:val="003A6CE7"/>
    <w:rsid w:val="003A746F"/>
    <w:rsid w:val="003A76A2"/>
    <w:rsid w:val="003A78BD"/>
    <w:rsid w:val="003B1987"/>
    <w:rsid w:val="003B2301"/>
    <w:rsid w:val="003B31A4"/>
    <w:rsid w:val="003B3473"/>
    <w:rsid w:val="003B34C9"/>
    <w:rsid w:val="003B4F57"/>
    <w:rsid w:val="003B579A"/>
    <w:rsid w:val="003B6B0D"/>
    <w:rsid w:val="003B6B5A"/>
    <w:rsid w:val="003B6C97"/>
    <w:rsid w:val="003B7B62"/>
    <w:rsid w:val="003C0508"/>
    <w:rsid w:val="003C217A"/>
    <w:rsid w:val="003C25F7"/>
    <w:rsid w:val="003C2CCA"/>
    <w:rsid w:val="003C46D4"/>
    <w:rsid w:val="003C64D2"/>
    <w:rsid w:val="003C7882"/>
    <w:rsid w:val="003C7A4F"/>
    <w:rsid w:val="003D0281"/>
    <w:rsid w:val="003D05EF"/>
    <w:rsid w:val="003D0DBC"/>
    <w:rsid w:val="003D2086"/>
    <w:rsid w:val="003D40BC"/>
    <w:rsid w:val="003D4FF1"/>
    <w:rsid w:val="003D5A80"/>
    <w:rsid w:val="003D6083"/>
    <w:rsid w:val="003D6841"/>
    <w:rsid w:val="003D6AE4"/>
    <w:rsid w:val="003E0AB0"/>
    <w:rsid w:val="003E1BBA"/>
    <w:rsid w:val="003E4F09"/>
    <w:rsid w:val="003E64C3"/>
    <w:rsid w:val="003E6F27"/>
    <w:rsid w:val="003E7786"/>
    <w:rsid w:val="003F14A3"/>
    <w:rsid w:val="003F14CB"/>
    <w:rsid w:val="003F1EDB"/>
    <w:rsid w:val="003F1F5E"/>
    <w:rsid w:val="003F281C"/>
    <w:rsid w:val="003F2F67"/>
    <w:rsid w:val="003F304E"/>
    <w:rsid w:val="003F49CF"/>
    <w:rsid w:val="003F4D72"/>
    <w:rsid w:val="003F55C3"/>
    <w:rsid w:val="003F56DF"/>
    <w:rsid w:val="003F5B87"/>
    <w:rsid w:val="003F5CC5"/>
    <w:rsid w:val="003F5D4D"/>
    <w:rsid w:val="004005D9"/>
    <w:rsid w:val="0040290D"/>
    <w:rsid w:val="00403BF1"/>
    <w:rsid w:val="0040472C"/>
    <w:rsid w:val="00404E44"/>
    <w:rsid w:val="00406024"/>
    <w:rsid w:val="0040700E"/>
    <w:rsid w:val="00407337"/>
    <w:rsid w:val="00410602"/>
    <w:rsid w:val="00412137"/>
    <w:rsid w:val="004143EF"/>
    <w:rsid w:val="00414752"/>
    <w:rsid w:val="0041486D"/>
    <w:rsid w:val="00414A42"/>
    <w:rsid w:val="00415D45"/>
    <w:rsid w:val="004170A9"/>
    <w:rsid w:val="004179FC"/>
    <w:rsid w:val="00417AAB"/>
    <w:rsid w:val="00420CB4"/>
    <w:rsid w:val="00424967"/>
    <w:rsid w:val="00425042"/>
    <w:rsid w:val="00425091"/>
    <w:rsid w:val="00426CCA"/>
    <w:rsid w:val="00430B54"/>
    <w:rsid w:val="00430F47"/>
    <w:rsid w:val="004311A4"/>
    <w:rsid w:val="00433318"/>
    <w:rsid w:val="00433A9C"/>
    <w:rsid w:val="004364C3"/>
    <w:rsid w:val="00436DF9"/>
    <w:rsid w:val="00437791"/>
    <w:rsid w:val="00437BC7"/>
    <w:rsid w:val="00437C56"/>
    <w:rsid w:val="00437D68"/>
    <w:rsid w:val="00442106"/>
    <w:rsid w:val="00442FC8"/>
    <w:rsid w:val="00443245"/>
    <w:rsid w:val="00444824"/>
    <w:rsid w:val="00445C6F"/>
    <w:rsid w:val="004510BE"/>
    <w:rsid w:val="00451184"/>
    <w:rsid w:val="0045131A"/>
    <w:rsid w:val="00451875"/>
    <w:rsid w:val="004526CE"/>
    <w:rsid w:val="00453058"/>
    <w:rsid w:val="00454126"/>
    <w:rsid w:val="00454752"/>
    <w:rsid w:val="00455387"/>
    <w:rsid w:val="0045713B"/>
    <w:rsid w:val="00457637"/>
    <w:rsid w:val="004577FA"/>
    <w:rsid w:val="004604EA"/>
    <w:rsid w:val="00460D86"/>
    <w:rsid w:val="004654EA"/>
    <w:rsid w:val="00467344"/>
    <w:rsid w:val="0046755B"/>
    <w:rsid w:val="00470A1A"/>
    <w:rsid w:val="00470C35"/>
    <w:rsid w:val="00470D49"/>
    <w:rsid w:val="00471E7A"/>
    <w:rsid w:val="00471F66"/>
    <w:rsid w:val="00472916"/>
    <w:rsid w:val="004739C0"/>
    <w:rsid w:val="00473AD1"/>
    <w:rsid w:val="00476DDA"/>
    <w:rsid w:val="00477698"/>
    <w:rsid w:val="00477ADE"/>
    <w:rsid w:val="00480EC3"/>
    <w:rsid w:val="00481AD3"/>
    <w:rsid w:val="00481D62"/>
    <w:rsid w:val="00484AE4"/>
    <w:rsid w:val="00485D3D"/>
    <w:rsid w:val="00486182"/>
    <w:rsid w:val="00486D4D"/>
    <w:rsid w:val="00486FFF"/>
    <w:rsid w:val="00487ABA"/>
    <w:rsid w:val="0049025B"/>
    <w:rsid w:val="00491473"/>
    <w:rsid w:val="00493581"/>
    <w:rsid w:val="00495479"/>
    <w:rsid w:val="004970C5"/>
    <w:rsid w:val="004A20C5"/>
    <w:rsid w:val="004A301B"/>
    <w:rsid w:val="004A4736"/>
    <w:rsid w:val="004A4AEE"/>
    <w:rsid w:val="004A6D1D"/>
    <w:rsid w:val="004B0371"/>
    <w:rsid w:val="004B0A10"/>
    <w:rsid w:val="004B0F78"/>
    <w:rsid w:val="004B18FE"/>
    <w:rsid w:val="004B3EA6"/>
    <w:rsid w:val="004B4189"/>
    <w:rsid w:val="004B4901"/>
    <w:rsid w:val="004B4CFF"/>
    <w:rsid w:val="004B56C0"/>
    <w:rsid w:val="004B579C"/>
    <w:rsid w:val="004B7684"/>
    <w:rsid w:val="004C0F07"/>
    <w:rsid w:val="004C101D"/>
    <w:rsid w:val="004C4652"/>
    <w:rsid w:val="004C53AE"/>
    <w:rsid w:val="004C7BEC"/>
    <w:rsid w:val="004C7E22"/>
    <w:rsid w:val="004C7F1E"/>
    <w:rsid w:val="004D0395"/>
    <w:rsid w:val="004D28DE"/>
    <w:rsid w:val="004D2A96"/>
    <w:rsid w:val="004D3692"/>
    <w:rsid w:val="004D4D97"/>
    <w:rsid w:val="004D4FE3"/>
    <w:rsid w:val="004D5A60"/>
    <w:rsid w:val="004D70C8"/>
    <w:rsid w:val="004E1C42"/>
    <w:rsid w:val="004E20C0"/>
    <w:rsid w:val="004E2236"/>
    <w:rsid w:val="004E2F5E"/>
    <w:rsid w:val="004E33CB"/>
    <w:rsid w:val="004E4FFB"/>
    <w:rsid w:val="004E606B"/>
    <w:rsid w:val="004E7990"/>
    <w:rsid w:val="004E7B06"/>
    <w:rsid w:val="004F2621"/>
    <w:rsid w:val="004F294F"/>
    <w:rsid w:val="004F2D1C"/>
    <w:rsid w:val="004F32B4"/>
    <w:rsid w:val="004F44A8"/>
    <w:rsid w:val="004F4762"/>
    <w:rsid w:val="004F4D6A"/>
    <w:rsid w:val="004F5C6B"/>
    <w:rsid w:val="00500231"/>
    <w:rsid w:val="0050156F"/>
    <w:rsid w:val="0050197C"/>
    <w:rsid w:val="00501A71"/>
    <w:rsid w:val="00501E2A"/>
    <w:rsid w:val="00502B5C"/>
    <w:rsid w:val="00504BFF"/>
    <w:rsid w:val="00505867"/>
    <w:rsid w:val="005064D8"/>
    <w:rsid w:val="00513176"/>
    <w:rsid w:val="005133A0"/>
    <w:rsid w:val="005157AF"/>
    <w:rsid w:val="00516CA0"/>
    <w:rsid w:val="00521074"/>
    <w:rsid w:val="00522F34"/>
    <w:rsid w:val="00525498"/>
    <w:rsid w:val="00532082"/>
    <w:rsid w:val="00533833"/>
    <w:rsid w:val="00533C0B"/>
    <w:rsid w:val="00533FF6"/>
    <w:rsid w:val="00535969"/>
    <w:rsid w:val="00536F52"/>
    <w:rsid w:val="00537219"/>
    <w:rsid w:val="00540756"/>
    <w:rsid w:val="00541450"/>
    <w:rsid w:val="0054179E"/>
    <w:rsid w:val="00543011"/>
    <w:rsid w:val="005448BF"/>
    <w:rsid w:val="005465F9"/>
    <w:rsid w:val="00550B45"/>
    <w:rsid w:val="00550F10"/>
    <w:rsid w:val="005513FD"/>
    <w:rsid w:val="00551F5B"/>
    <w:rsid w:val="00552FCA"/>
    <w:rsid w:val="00553079"/>
    <w:rsid w:val="0055381E"/>
    <w:rsid w:val="00553E9C"/>
    <w:rsid w:val="0055532A"/>
    <w:rsid w:val="00555851"/>
    <w:rsid w:val="0055684F"/>
    <w:rsid w:val="00556918"/>
    <w:rsid w:val="00561868"/>
    <w:rsid w:val="00561A1F"/>
    <w:rsid w:val="00562B20"/>
    <w:rsid w:val="0056593F"/>
    <w:rsid w:val="00567E75"/>
    <w:rsid w:val="00570EF4"/>
    <w:rsid w:val="00573614"/>
    <w:rsid w:val="005746E5"/>
    <w:rsid w:val="00575DAC"/>
    <w:rsid w:val="00575F87"/>
    <w:rsid w:val="00580183"/>
    <w:rsid w:val="005805A4"/>
    <w:rsid w:val="00583096"/>
    <w:rsid w:val="005837BA"/>
    <w:rsid w:val="0058559B"/>
    <w:rsid w:val="005862A0"/>
    <w:rsid w:val="00587424"/>
    <w:rsid w:val="00587F58"/>
    <w:rsid w:val="00592D75"/>
    <w:rsid w:val="00594613"/>
    <w:rsid w:val="00594A36"/>
    <w:rsid w:val="00595D5E"/>
    <w:rsid w:val="00596B53"/>
    <w:rsid w:val="0059748F"/>
    <w:rsid w:val="00597525"/>
    <w:rsid w:val="005A0661"/>
    <w:rsid w:val="005A0961"/>
    <w:rsid w:val="005A1796"/>
    <w:rsid w:val="005A36A2"/>
    <w:rsid w:val="005A5D6A"/>
    <w:rsid w:val="005B0D39"/>
    <w:rsid w:val="005B1F19"/>
    <w:rsid w:val="005B393A"/>
    <w:rsid w:val="005B3B61"/>
    <w:rsid w:val="005B4CE8"/>
    <w:rsid w:val="005B4D3B"/>
    <w:rsid w:val="005C094A"/>
    <w:rsid w:val="005C1B93"/>
    <w:rsid w:val="005C1F59"/>
    <w:rsid w:val="005C5470"/>
    <w:rsid w:val="005D0FD5"/>
    <w:rsid w:val="005D13BC"/>
    <w:rsid w:val="005D25BF"/>
    <w:rsid w:val="005D2D00"/>
    <w:rsid w:val="005D3869"/>
    <w:rsid w:val="005D502F"/>
    <w:rsid w:val="005D5660"/>
    <w:rsid w:val="005D5B0B"/>
    <w:rsid w:val="005D6831"/>
    <w:rsid w:val="005D6E8E"/>
    <w:rsid w:val="005D7577"/>
    <w:rsid w:val="005D78C8"/>
    <w:rsid w:val="005E1707"/>
    <w:rsid w:val="005E2760"/>
    <w:rsid w:val="005E2ADA"/>
    <w:rsid w:val="005E3826"/>
    <w:rsid w:val="005E6E89"/>
    <w:rsid w:val="005E7B44"/>
    <w:rsid w:val="005F0460"/>
    <w:rsid w:val="005F06C5"/>
    <w:rsid w:val="005F1CDB"/>
    <w:rsid w:val="005F2389"/>
    <w:rsid w:val="005F28A5"/>
    <w:rsid w:val="005F44BF"/>
    <w:rsid w:val="005F48E6"/>
    <w:rsid w:val="005F50BA"/>
    <w:rsid w:val="005F6770"/>
    <w:rsid w:val="005F72A3"/>
    <w:rsid w:val="0060378F"/>
    <w:rsid w:val="00605140"/>
    <w:rsid w:val="00606058"/>
    <w:rsid w:val="006101F9"/>
    <w:rsid w:val="00610CEF"/>
    <w:rsid w:val="0061258B"/>
    <w:rsid w:val="00613B34"/>
    <w:rsid w:val="00614806"/>
    <w:rsid w:val="00614DFF"/>
    <w:rsid w:val="00615AF9"/>
    <w:rsid w:val="00616DB5"/>
    <w:rsid w:val="0061785E"/>
    <w:rsid w:val="00621EB7"/>
    <w:rsid w:val="00623214"/>
    <w:rsid w:val="00625A76"/>
    <w:rsid w:val="006303DD"/>
    <w:rsid w:val="00631AEF"/>
    <w:rsid w:val="00634CD4"/>
    <w:rsid w:val="00635B1B"/>
    <w:rsid w:val="00640ED5"/>
    <w:rsid w:val="00642050"/>
    <w:rsid w:val="00642DFC"/>
    <w:rsid w:val="00646F8F"/>
    <w:rsid w:val="006476DE"/>
    <w:rsid w:val="00650533"/>
    <w:rsid w:val="006514B1"/>
    <w:rsid w:val="006520D9"/>
    <w:rsid w:val="006532D1"/>
    <w:rsid w:val="00657D59"/>
    <w:rsid w:val="006610B5"/>
    <w:rsid w:val="00661B3D"/>
    <w:rsid w:val="00663560"/>
    <w:rsid w:val="00665582"/>
    <w:rsid w:val="0066693E"/>
    <w:rsid w:val="0066751C"/>
    <w:rsid w:val="006707BD"/>
    <w:rsid w:val="00670BB2"/>
    <w:rsid w:val="00672A5B"/>
    <w:rsid w:val="00674530"/>
    <w:rsid w:val="00675AC3"/>
    <w:rsid w:val="0067697F"/>
    <w:rsid w:val="00676EF1"/>
    <w:rsid w:val="00677B31"/>
    <w:rsid w:val="00677E22"/>
    <w:rsid w:val="00677F1E"/>
    <w:rsid w:val="0068002F"/>
    <w:rsid w:val="0068066E"/>
    <w:rsid w:val="006809E6"/>
    <w:rsid w:val="0068189C"/>
    <w:rsid w:val="00683C96"/>
    <w:rsid w:val="006853F9"/>
    <w:rsid w:val="00685848"/>
    <w:rsid w:val="00685BD2"/>
    <w:rsid w:val="00685C1B"/>
    <w:rsid w:val="00686B89"/>
    <w:rsid w:val="00687AF9"/>
    <w:rsid w:val="00690D6A"/>
    <w:rsid w:val="0069178F"/>
    <w:rsid w:val="00691C30"/>
    <w:rsid w:val="00692EC8"/>
    <w:rsid w:val="00693E7C"/>
    <w:rsid w:val="00695106"/>
    <w:rsid w:val="006A63CF"/>
    <w:rsid w:val="006A65EE"/>
    <w:rsid w:val="006A6B09"/>
    <w:rsid w:val="006A710C"/>
    <w:rsid w:val="006A72AF"/>
    <w:rsid w:val="006A7337"/>
    <w:rsid w:val="006A7959"/>
    <w:rsid w:val="006B1263"/>
    <w:rsid w:val="006B1DA1"/>
    <w:rsid w:val="006B3EA8"/>
    <w:rsid w:val="006B4731"/>
    <w:rsid w:val="006B6B33"/>
    <w:rsid w:val="006B7601"/>
    <w:rsid w:val="006C0D34"/>
    <w:rsid w:val="006C0F64"/>
    <w:rsid w:val="006C1234"/>
    <w:rsid w:val="006C1470"/>
    <w:rsid w:val="006C1A45"/>
    <w:rsid w:val="006C1E7D"/>
    <w:rsid w:val="006C2B68"/>
    <w:rsid w:val="006C5970"/>
    <w:rsid w:val="006C7E5B"/>
    <w:rsid w:val="006D0EFC"/>
    <w:rsid w:val="006D296E"/>
    <w:rsid w:val="006D5B73"/>
    <w:rsid w:val="006D5D13"/>
    <w:rsid w:val="006D5EB2"/>
    <w:rsid w:val="006D65FB"/>
    <w:rsid w:val="006D7F27"/>
    <w:rsid w:val="006E0049"/>
    <w:rsid w:val="006E005C"/>
    <w:rsid w:val="006E0646"/>
    <w:rsid w:val="006E0BC6"/>
    <w:rsid w:val="006E1EFB"/>
    <w:rsid w:val="006E20C8"/>
    <w:rsid w:val="006E2C67"/>
    <w:rsid w:val="006E2FF6"/>
    <w:rsid w:val="006E3533"/>
    <w:rsid w:val="006E4394"/>
    <w:rsid w:val="006E50D9"/>
    <w:rsid w:val="006E59D3"/>
    <w:rsid w:val="006E68D6"/>
    <w:rsid w:val="006F00EE"/>
    <w:rsid w:val="006F00F7"/>
    <w:rsid w:val="006F2A29"/>
    <w:rsid w:val="006F4337"/>
    <w:rsid w:val="006F5850"/>
    <w:rsid w:val="006F5CEC"/>
    <w:rsid w:val="006F6A7F"/>
    <w:rsid w:val="007005D0"/>
    <w:rsid w:val="00701B77"/>
    <w:rsid w:val="00701DB5"/>
    <w:rsid w:val="00702A01"/>
    <w:rsid w:val="00703055"/>
    <w:rsid w:val="00703CC6"/>
    <w:rsid w:val="00704756"/>
    <w:rsid w:val="00705669"/>
    <w:rsid w:val="00706239"/>
    <w:rsid w:val="007068B6"/>
    <w:rsid w:val="00706A37"/>
    <w:rsid w:val="00707625"/>
    <w:rsid w:val="00707F80"/>
    <w:rsid w:val="0071041B"/>
    <w:rsid w:val="007133CA"/>
    <w:rsid w:val="00715CCA"/>
    <w:rsid w:val="00716B72"/>
    <w:rsid w:val="00717A8C"/>
    <w:rsid w:val="00720409"/>
    <w:rsid w:val="00721B26"/>
    <w:rsid w:val="00722829"/>
    <w:rsid w:val="007235A6"/>
    <w:rsid w:val="00726C10"/>
    <w:rsid w:val="00727B4B"/>
    <w:rsid w:val="0073028A"/>
    <w:rsid w:val="00730324"/>
    <w:rsid w:val="007309CE"/>
    <w:rsid w:val="0073194A"/>
    <w:rsid w:val="00731D96"/>
    <w:rsid w:val="00731EC0"/>
    <w:rsid w:val="00732742"/>
    <w:rsid w:val="00732AF9"/>
    <w:rsid w:val="00735C89"/>
    <w:rsid w:val="007405AE"/>
    <w:rsid w:val="007412B0"/>
    <w:rsid w:val="007419A0"/>
    <w:rsid w:val="00742692"/>
    <w:rsid w:val="00742F26"/>
    <w:rsid w:val="00744BD6"/>
    <w:rsid w:val="007479B6"/>
    <w:rsid w:val="00747EE1"/>
    <w:rsid w:val="0075078A"/>
    <w:rsid w:val="00752A33"/>
    <w:rsid w:val="00757705"/>
    <w:rsid w:val="00757B3E"/>
    <w:rsid w:val="00762402"/>
    <w:rsid w:val="00762D97"/>
    <w:rsid w:val="007636D3"/>
    <w:rsid w:val="0076388E"/>
    <w:rsid w:val="00763904"/>
    <w:rsid w:val="007645BC"/>
    <w:rsid w:val="0077032D"/>
    <w:rsid w:val="007706DB"/>
    <w:rsid w:val="007734E2"/>
    <w:rsid w:val="0077476A"/>
    <w:rsid w:val="00775A1E"/>
    <w:rsid w:val="007813D8"/>
    <w:rsid w:val="00781B73"/>
    <w:rsid w:val="007830C1"/>
    <w:rsid w:val="00784D30"/>
    <w:rsid w:val="00786EBA"/>
    <w:rsid w:val="00787047"/>
    <w:rsid w:val="007939AD"/>
    <w:rsid w:val="007943A1"/>
    <w:rsid w:val="00795648"/>
    <w:rsid w:val="00796121"/>
    <w:rsid w:val="007A0E1E"/>
    <w:rsid w:val="007A10AD"/>
    <w:rsid w:val="007A2007"/>
    <w:rsid w:val="007A2566"/>
    <w:rsid w:val="007A3398"/>
    <w:rsid w:val="007A3A40"/>
    <w:rsid w:val="007A3FC5"/>
    <w:rsid w:val="007A4668"/>
    <w:rsid w:val="007A4696"/>
    <w:rsid w:val="007A4A43"/>
    <w:rsid w:val="007A4E89"/>
    <w:rsid w:val="007A53B2"/>
    <w:rsid w:val="007A7986"/>
    <w:rsid w:val="007B07D9"/>
    <w:rsid w:val="007B0967"/>
    <w:rsid w:val="007B1366"/>
    <w:rsid w:val="007B17BB"/>
    <w:rsid w:val="007B251E"/>
    <w:rsid w:val="007B26F7"/>
    <w:rsid w:val="007B41BE"/>
    <w:rsid w:val="007B6AEC"/>
    <w:rsid w:val="007C08EB"/>
    <w:rsid w:val="007C0C33"/>
    <w:rsid w:val="007C34B4"/>
    <w:rsid w:val="007C54B6"/>
    <w:rsid w:val="007C68A3"/>
    <w:rsid w:val="007C6B07"/>
    <w:rsid w:val="007C7870"/>
    <w:rsid w:val="007C78F0"/>
    <w:rsid w:val="007D3A5D"/>
    <w:rsid w:val="007D7A00"/>
    <w:rsid w:val="007D7C7B"/>
    <w:rsid w:val="007E08C3"/>
    <w:rsid w:val="007E0A89"/>
    <w:rsid w:val="007E2D01"/>
    <w:rsid w:val="007E34E4"/>
    <w:rsid w:val="007E524A"/>
    <w:rsid w:val="007E773A"/>
    <w:rsid w:val="007E7D83"/>
    <w:rsid w:val="007F1D14"/>
    <w:rsid w:val="007F1F45"/>
    <w:rsid w:val="007F2B19"/>
    <w:rsid w:val="007F50CC"/>
    <w:rsid w:val="007F6261"/>
    <w:rsid w:val="007F6C11"/>
    <w:rsid w:val="007F7B7E"/>
    <w:rsid w:val="007F7C5D"/>
    <w:rsid w:val="00801E97"/>
    <w:rsid w:val="008022DA"/>
    <w:rsid w:val="00802642"/>
    <w:rsid w:val="0080519D"/>
    <w:rsid w:val="008062A6"/>
    <w:rsid w:val="00806AFE"/>
    <w:rsid w:val="00806E2D"/>
    <w:rsid w:val="0081214F"/>
    <w:rsid w:val="00813B1B"/>
    <w:rsid w:val="008143F3"/>
    <w:rsid w:val="00815A71"/>
    <w:rsid w:val="008160D9"/>
    <w:rsid w:val="00816C83"/>
    <w:rsid w:val="00816E6E"/>
    <w:rsid w:val="00820336"/>
    <w:rsid w:val="00822FFC"/>
    <w:rsid w:val="0082302A"/>
    <w:rsid w:val="00823831"/>
    <w:rsid w:val="008250C2"/>
    <w:rsid w:val="00825591"/>
    <w:rsid w:val="00830FE9"/>
    <w:rsid w:val="00833980"/>
    <w:rsid w:val="00834406"/>
    <w:rsid w:val="00835640"/>
    <w:rsid w:val="0083647E"/>
    <w:rsid w:val="00836CE1"/>
    <w:rsid w:val="008404A2"/>
    <w:rsid w:val="00840D27"/>
    <w:rsid w:val="00840DFD"/>
    <w:rsid w:val="0084138D"/>
    <w:rsid w:val="00842463"/>
    <w:rsid w:val="00844D6A"/>
    <w:rsid w:val="0084549D"/>
    <w:rsid w:val="008459A2"/>
    <w:rsid w:val="00845B93"/>
    <w:rsid w:val="008474A2"/>
    <w:rsid w:val="0085043F"/>
    <w:rsid w:val="0085217D"/>
    <w:rsid w:val="00852C2F"/>
    <w:rsid w:val="00852D03"/>
    <w:rsid w:val="00852E57"/>
    <w:rsid w:val="00853014"/>
    <w:rsid w:val="00853C3F"/>
    <w:rsid w:val="00855BBC"/>
    <w:rsid w:val="00856780"/>
    <w:rsid w:val="00856C70"/>
    <w:rsid w:val="00856E60"/>
    <w:rsid w:val="00862506"/>
    <w:rsid w:val="00863E65"/>
    <w:rsid w:val="00863ED5"/>
    <w:rsid w:val="00864052"/>
    <w:rsid w:val="00864275"/>
    <w:rsid w:val="008647E1"/>
    <w:rsid w:val="00864E8B"/>
    <w:rsid w:val="00864F09"/>
    <w:rsid w:val="008661D7"/>
    <w:rsid w:val="0086775F"/>
    <w:rsid w:val="008713FB"/>
    <w:rsid w:val="00871D9D"/>
    <w:rsid w:val="00872287"/>
    <w:rsid w:val="008773F0"/>
    <w:rsid w:val="00877568"/>
    <w:rsid w:val="00882643"/>
    <w:rsid w:val="00887F33"/>
    <w:rsid w:val="00893707"/>
    <w:rsid w:val="00894D9E"/>
    <w:rsid w:val="008957D4"/>
    <w:rsid w:val="00897B71"/>
    <w:rsid w:val="008A01E9"/>
    <w:rsid w:val="008A0C21"/>
    <w:rsid w:val="008A2FB9"/>
    <w:rsid w:val="008A6272"/>
    <w:rsid w:val="008A71ED"/>
    <w:rsid w:val="008B12A6"/>
    <w:rsid w:val="008B233D"/>
    <w:rsid w:val="008B27A8"/>
    <w:rsid w:val="008B3F84"/>
    <w:rsid w:val="008B5DC1"/>
    <w:rsid w:val="008B79FD"/>
    <w:rsid w:val="008B7BF6"/>
    <w:rsid w:val="008B7F74"/>
    <w:rsid w:val="008C024B"/>
    <w:rsid w:val="008C1D31"/>
    <w:rsid w:val="008C1DDD"/>
    <w:rsid w:val="008C1E67"/>
    <w:rsid w:val="008C2DC7"/>
    <w:rsid w:val="008C6B22"/>
    <w:rsid w:val="008C7151"/>
    <w:rsid w:val="008C7327"/>
    <w:rsid w:val="008C751F"/>
    <w:rsid w:val="008C7666"/>
    <w:rsid w:val="008C7C6C"/>
    <w:rsid w:val="008D33FA"/>
    <w:rsid w:val="008D47A5"/>
    <w:rsid w:val="008D4E8B"/>
    <w:rsid w:val="008D546D"/>
    <w:rsid w:val="008D561C"/>
    <w:rsid w:val="008D5620"/>
    <w:rsid w:val="008D5EFF"/>
    <w:rsid w:val="008D616A"/>
    <w:rsid w:val="008E0907"/>
    <w:rsid w:val="008E2A8E"/>
    <w:rsid w:val="008E4ADA"/>
    <w:rsid w:val="008E620B"/>
    <w:rsid w:val="008E65C2"/>
    <w:rsid w:val="008E7146"/>
    <w:rsid w:val="008F1D7D"/>
    <w:rsid w:val="008F23BA"/>
    <w:rsid w:val="008F23FA"/>
    <w:rsid w:val="008F2FF4"/>
    <w:rsid w:val="008F4493"/>
    <w:rsid w:val="008F6721"/>
    <w:rsid w:val="008F6963"/>
    <w:rsid w:val="008F747B"/>
    <w:rsid w:val="0090065B"/>
    <w:rsid w:val="00900BF2"/>
    <w:rsid w:val="009010B3"/>
    <w:rsid w:val="009028CE"/>
    <w:rsid w:val="00902D8F"/>
    <w:rsid w:val="00902E3F"/>
    <w:rsid w:val="009053F2"/>
    <w:rsid w:val="00907B00"/>
    <w:rsid w:val="00907E97"/>
    <w:rsid w:val="0091012E"/>
    <w:rsid w:val="00912825"/>
    <w:rsid w:val="0091284A"/>
    <w:rsid w:val="00913AC2"/>
    <w:rsid w:val="00914438"/>
    <w:rsid w:val="00915526"/>
    <w:rsid w:val="00916BD7"/>
    <w:rsid w:val="00917F82"/>
    <w:rsid w:val="00921B37"/>
    <w:rsid w:val="00924E20"/>
    <w:rsid w:val="00925BAA"/>
    <w:rsid w:val="00925EFC"/>
    <w:rsid w:val="00926889"/>
    <w:rsid w:val="0093050A"/>
    <w:rsid w:val="009311A5"/>
    <w:rsid w:val="009321A4"/>
    <w:rsid w:val="00932851"/>
    <w:rsid w:val="00932B80"/>
    <w:rsid w:val="009331CD"/>
    <w:rsid w:val="009341AA"/>
    <w:rsid w:val="00935188"/>
    <w:rsid w:val="0093692B"/>
    <w:rsid w:val="00937341"/>
    <w:rsid w:val="00941708"/>
    <w:rsid w:val="00945A52"/>
    <w:rsid w:val="00945CD3"/>
    <w:rsid w:val="00946F9D"/>
    <w:rsid w:val="00947A30"/>
    <w:rsid w:val="00950EB0"/>
    <w:rsid w:val="0095342D"/>
    <w:rsid w:val="009555CA"/>
    <w:rsid w:val="00956202"/>
    <w:rsid w:val="00956CF3"/>
    <w:rsid w:val="00962645"/>
    <w:rsid w:val="00964040"/>
    <w:rsid w:val="009650FF"/>
    <w:rsid w:val="0096571C"/>
    <w:rsid w:val="00966CAD"/>
    <w:rsid w:val="009674E2"/>
    <w:rsid w:val="00971216"/>
    <w:rsid w:val="0097413C"/>
    <w:rsid w:val="009742B5"/>
    <w:rsid w:val="00975195"/>
    <w:rsid w:val="00975D62"/>
    <w:rsid w:val="00976079"/>
    <w:rsid w:val="00977F57"/>
    <w:rsid w:val="009801CB"/>
    <w:rsid w:val="00980BC4"/>
    <w:rsid w:val="00982DFE"/>
    <w:rsid w:val="00984377"/>
    <w:rsid w:val="0098544E"/>
    <w:rsid w:val="009861A6"/>
    <w:rsid w:val="00986CC5"/>
    <w:rsid w:val="0099114F"/>
    <w:rsid w:val="009916EF"/>
    <w:rsid w:val="00991CCD"/>
    <w:rsid w:val="00992832"/>
    <w:rsid w:val="00995366"/>
    <w:rsid w:val="00995568"/>
    <w:rsid w:val="00996138"/>
    <w:rsid w:val="00997155"/>
    <w:rsid w:val="009975D2"/>
    <w:rsid w:val="0099772F"/>
    <w:rsid w:val="009A4B34"/>
    <w:rsid w:val="009A6257"/>
    <w:rsid w:val="009A63AE"/>
    <w:rsid w:val="009A7A19"/>
    <w:rsid w:val="009B09B5"/>
    <w:rsid w:val="009B2A02"/>
    <w:rsid w:val="009B2F81"/>
    <w:rsid w:val="009B4431"/>
    <w:rsid w:val="009B78E7"/>
    <w:rsid w:val="009B7A24"/>
    <w:rsid w:val="009C24C4"/>
    <w:rsid w:val="009C2B19"/>
    <w:rsid w:val="009C3B5C"/>
    <w:rsid w:val="009C4A6E"/>
    <w:rsid w:val="009C5440"/>
    <w:rsid w:val="009C6B62"/>
    <w:rsid w:val="009C7660"/>
    <w:rsid w:val="009C784F"/>
    <w:rsid w:val="009C7C17"/>
    <w:rsid w:val="009C7E06"/>
    <w:rsid w:val="009D1DCE"/>
    <w:rsid w:val="009D1FCD"/>
    <w:rsid w:val="009D22A9"/>
    <w:rsid w:val="009D2848"/>
    <w:rsid w:val="009D30D7"/>
    <w:rsid w:val="009D3C1B"/>
    <w:rsid w:val="009D526F"/>
    <w:rsid w:val="009D566B"/>
    <w:rsid w:val="009D63C2"/>
    <w:rsid w:val="009E00F3"/>
    <w:rsid w:val="009E1757"/>
    <w:rsid w:val="009E34EA"/>
    <w:rsid w:val="009E4B4F"/>
    <w:rsid w:val="009E52A2"/>
    <w:rsid w:val="009E545A"/>
    <w:rsid w:val="009F0A33"/>
    <w:rsid w:val="009F0FD8"/>
    <w:rsid w:val="009F1A69"/>
    <w:rsid w:val="009F4408"/>
    <w:rsid w:val="009F6426"/>
    <w:rsid w:val="009F6714"/>
    <w:rsid w:val="009F7794"/>
    <w:rsid w:val="009F77FF"/>
    <w:rsid w:val="00A006C8"/>
    <w:rsid w:val="00A023D9"/>
    <w:rsid w:val="00A04221"/>
    <w:rsid w:val="00A04488"/>
    <w:rsid w:val="00A05CE6"/>
    <w:rsid w:val="00A07BCC"/>
    <w:rsid w:val="00A10D4B"/>
    <w:rsid w:val="00A1280C"/>
    <w:rsid w:val="00A13B43"/>
    <w:rsid w:val="00A13D9A"/>
    <w:rsid w:val="00A14B74"/>
    <w:rsid w:val="00A16136"/>
    <w:rsid w:val="00A17BFF"/>
    <w:rsid w:val="00A20176"/>
    <w:rsid w:val="00A20FA7"/>
    <w:rsid w:val="00A220EE"/>
    <w:rsid w:val="00A243DE"/>
    <w:rsid w:val="00A24478"/>
    <w:rsid w:val="00A253FF"/>
    <w:rsid w:val="00A255A2"/>
    <w:rsid w:val="00A2703C"/>
    <w:rsid w:val="00A27727"/>
    <w:rsid w:val="00A30D69"/>
    <w:rsid w:val="00A31945"/>
    <w:rsid w:val="00A33343"/>
    <w:rsid w:val="00A339B0"/>
    <w:rsid w:val="00A3405E"/>
    <w:rsid w:val="00A348B1"/>
    <w:rsid w:val="00A35911"/>
    <w:rsid w:val="00A3638D"/>
    <w:rsid w:val="00A36DB8"/>
    <w:rsid w:val="00A37672"/>
    <w:rsid w:val="00A37E05"/>
    <w:rsid w:val="00A43096"/>
    <w:rsid w:val="00A460C2"/>
    <w:rsid w:val="00A46C4F"/>
    <w:rsid w:val="00A4735C"/>
    <w:rsid w:val="00A502C4"/>
    <w:rsid w:val="00A52128"/>
    <w:rsid w:val="00A5233B"/>
    <w:rsid w:val="00A52C92"/>
    <w:rsid w:val="00A52F3B"/>
    <w:rsid w:val="00A5360C"/>
    <w:rsid w:val="00A54035"/>
    <w:rsid w:val="00A56971"/>
    <w:rsid w:val="00A56FB4"/>
    <w:rsid w:val="00A5731E"/>
    <w:rsid w:val="00A60E5E"/>
    <w:rsid w:val="00A61E5B"/>
    <w:rsid w:val="00A62BC5"/>
    <w:rsid w:val="00A64642"/>
    <w:rsid w:val="00A678A2"/>
    <w:rsid w:val="00A70B14"/>
    <w:rsid w:val="00A70F64"/>
    <w:rsid w:val="00A7580A"/>
    <w:rsid w:val="00A809A9"/>
    <w:rsid w:val="00A8415D"/>
    <w:rsid w:val="00A85C94"/>
    <w:rsid w:val="00A860D1"/>
    <w:rsid w:val="00A865FD"/>
    <w:rsid w:val="00A87B71"/>
    <w:rsid w:val="00A87BB0"/>
    <w:rsid w:val="00A87F3D"/>
    <w:rsid w:val="00A93F03"/>
    <w:rsid w:val="00A9414A"/>
    <w:rsid w:val="00A9430F"/>
    <w:rsid w:val="00A94969"/>
    <w:rsid w:val="00A9564D"/>
    <w:rsid w:val="00A964C8"/>
    <w:rsid w:val="00AA302D"/>
    <w:rsid w:val="00AA413E"/>
    <w:rsid w:val="00AA4C96"/>
    <w:rsid w:val="00AA52A0"/>
    <w:rsid w:val="00AA5E82"/>
    <w:rsid w:val="00AA6369"/>
    <w:rsid w:val="00AA6E84"/>
    <w:rsid w:val="00AB0566"/>
    <w:rsid w:val="00AB1132"/>
    <w:rsid w:val="00AB141E"/>
    <w:rsid w:val="00AB1EAE"/>
    <w:rsid w:val="00AB2192"/>
    <w:rsid w:val="00AB3EEE"/>
    <w:rsid w:val="00AB41D6"/>
    <w:rsid w:val="00AB4EC3"/>
    <w:rsid w:val="00AB54A7"/>
    <w:rsid w:val="00AC08C5"/>
    <w:rsid w:val="00AC41E9"/>
    <w:rsid w:val="00AC5C89"/>
    <w:rsid w:val="00AC678E"/>
    <w:rsid w:val="00AC71A8"/>
    <w:rsid w:val="00AC7ED4"/>
    <w:rsid w:val="00AD00F2"/>
    <w:rsid w:val="00AD05BC"/>
    <w:rsid w:val="00AD21EC"/>
    <w:rsid w:val="00AD28CA"/>
    <w:rsid w:val="00AD5495"/>
    <w:rsid w:val="00AD7708"/>
    <w:rsid w:val="00AE0E5B"/>
    <w:rsid w:val="00AE11C4"/>
    <w:rsid w:val="00AE231C"/>
    <w:rsid w:val="00AE23C5"/>
    <w:rsid w:val="00AE3F37"/>
    <w:rsid w:val="00AE760D"/>
    <w:rsid w:val="00AF00F5"/>
    <w:rsid w:val="00AF24FF"/>
    <w:rsid w:val="00AF271C"/>
    <w:rsid w:val="00AF2B07"/>
    <w:rsid w:val="00AF2C92"/>
    <w:rsid w:val="00AF6C96"/>
    <w:rsid w:val="00AF6EE5"/>
    <w:rsid w:val="00AF70B1"/>
    <w:rsid w:val="00B00EF0"/>
    <w:rsid w:val="00B014B0"/>
    <w:rsid w:val="00B0264D"/>
    <w:rsid w:val="00B02B63"/>
    <w:rsid w:val="00B03D4B"/>
    <w:rsid w:val="00B04290"/>
    <w:rsid w:val="00B05700"/>
    <w:rsid w:val="00B05DB6"/>
    <w:rsid w:val="00B06162"/>
    <w:rsid w:val="00B06F72"/>
    <w:rsid w:val="00B126EA"/>
    <w:rsid w:val="00B131DF"/>
    <w:rsid w:val="00B144B5"/>
    <w:rsid w:val="00B14D04"/>
    <w:rsid w:val="00B163FE"/>
    <w:rsid w:val="00B176CB"/>
    <w:rsid w:val="00B213A2"/>
    <w:rsid w:val="00B222A4"/>
    <w:rsid w:val="00B2381E"/>
    <w:rsid w:val="00B23A39"/>
    <w:rsid w:val="00B244EF"/>
    <w:rsid w:val="00B24DCF"/>
    <w:rsid w:val="00B25EA8"/>
    <w:rsid w:val="00B26C99"/>
    <w:rsid w:val="00B26F2C"/>
    <w:rsid w:val="00B27338"/>
    <w:rsid w:val="00B275D8"/>
    <w:rsid w:val="00B333D9"/>
    <w:rsid w:val="00B3563F"/>
    <w:rsid w:val="00B358E5"/>
    <w:rsid w:val="00B36080"/>
    <w:rsid w:val="00B402C7"/>
    <w:rsid w:val="00B40742"/>
    <w:rsid w:val="00B40AD6"/>
    <w:rsid w:val="00B424C4"/>
    <w:rsid w:val="00B42F62"/>
    <w:rsid w:val="00B432F2"/>
    <w:rsid w:val="00B45530"/>
    <w:rsid w:val="00B45E91"/>
    <w:rsid w:val="00B47E31"/>
    <w:rsid w:val="00B503CE"/>
    <w:rsid w:val="00B53292"/>
    <w:rsid w:val="00B55AE4"/>
    <w:rsid w:val="00B55FED"/>
    <w:rsid w:val="00B5613B"/>
    <w:rsid w:val="00B561CD"/>
    <w:rsid w:val="00B5793A"/>
    <w:rsid w:val="00B61A71"/>
    <w:rsid w:val="00B61C82"/>
    <w:rsid w:val="00B63678"/>
    <w:rsid w:val="00B63E5A"/>
    <w:rsid w:val="00B65B8E"/>
    <w:rsid w:val="00B668B7"/>
    <w:rsid w:val="00B67258"/>
    <w:rsid w:val="00B678F2"/>
    <w:rsid w:val="00B71AE3"/>
    <w:rsid w:val="00B7217A"/>
    <w:rsid w:val="00B725E8"/>
    <w:rsid w:val="00B737B4"/>
    <w:rsid w:val="00B74E4B"/>
    <w:rsid w:val="00B75106"/>
    <w:rsid w:val="00B758F3"/>
    <w:rsid w:val="00B75908"/>
    <w:rsid w:val="00B771CA"/>
    <w:rsid w:val="00B77FF8"/>
    <w:rsid w:val="00B80383"/>
    <w:rsid w:val="00B84B87"/>
    <w:rsid w:val="00B84D03"/>
    <w:rsid w:val="00B8598E"/>
    <w:rsid w:val="00B900E1"/>
    <w:rsid w:val="00B908AF"/>
    <w:rsid w:val="00B90E68"/>
    <w:rsid w:val="00B92651"/>
    <w:rsid w:val="00B9275D"/>
    <w:rsid w:val="00B92E41"/>
    <w:rsid w:val="00B931FD"/>
    <w:rsid w:val="00B94E2F"/>
    <w:rsid w:val="00B95ACA"/>
    <w:rsid w:val="00B95FBD"/>
    <w:rsid w:val="00BA093B"/>
    <w:rsid w:val="00BA41B7"/>
    <w:rsid w:val="00BA5EF5"/>
    <w:rsid w:val="00BA5F3D"/>
    <w:rsid w:val="00BB05EA"/>
    <w:rsid w:val="00BB2739"/>
    <w:rsid w:val="00BB302D"/>
    <w:rsid w:val="00BB34E2"/>
    <w:rsid w:val="00BB3BE8"/>
    <w:rsid w:val="00BB4ACC"/>
    <w:rsid w:val="00BB7A66"/>
    <w:rsid w:val="00BC08F8"/>
    <w:rsid w:val="00BC0937"/>
    <w:rsid w:val="00BC0C67"/>
    <w:rsid w:val="00BC0E46"/>
    <w:rsid w:val="00BC2082"/>
    <w:rsid w:val="00BC4E31"/>
    <w:rsid w:val="00BC51D1"/>
    <w:rsid w:val="00BC5FE3"/>
    <w:rsid w:val="00BC78E4"/>
    <w:rsid w:val="00BD10D0"/>
    <w:rsid w:val="00BD352B"/>
    <w:rsid w:val="00BD379B"/>
    <w:rsid w:val="00BD42B3"/>
    <w:rsid w:val="00BD5BE0"/>
    <w:rsid w:val="00BD68F3"/>
    <w:rsid w:val="00BD7E35"/>
    <w:rsid w:val="00BE14D4"/>
    <w:rsid w:val="00BE1F40"/>
    <w:rsid w:val="00BE2365"/>
    <w:rsid w:val="00BE2945"/>
    <w:rsid w:val="00BE2AB5"/>
    <w:rsid w:val="00BE4A24"/>
    <w:rsid w:val="00BE50FD"/>
    <w:rsid w:val="00BF1C2E"/>
    <w:rsid w:val="00BF2DE7"/>
    <w:rsid w:val="00BF7229"/>
    <w:rsid w:val="00BF77B7"/>
    <w:rsid w:val="00BF781F"/>
    <w:rsid w:val="00BF7DD3"/>
    <w:rsid w:val="00C0050E"/>
    <w:rsid w:val="00C05051"/>
    <w:rsid w:val="00C0553D"/>
    <w:rsid w:val="00C067F8"/>
    <w:rsid w:val="00C068D1"/>
    <w:rsid w:val="00C06EA1"/>
    <w:rsid w:val="00C07069"/>
    <w:rsid w:val="00C07E55"/>
    <w:rsid w:val="00C1045A"/>
    <w:rsid w:val="00C107D3"/>
    <w:rsid w:val="00C10F1D"/>
    <w:rsid w:val="00C12F3C"/>
    <w:rsid w:val="00C15773"/>
    <w:rsid w:val="00C16174"/>
    <w:rsid w:val="00C164E0"/>
    <w:rsid w:val="00C16D8F"/>
    <w:rsid w:val="00C17395"/>
    <w:rsid w:val="00C17E1A"/>
    <w:rsid w:val="00C2014B"/>
    <w:rsid w:val="00C22B19"/>
    <w:rsid w:val="00C24658"/>
    <w:rsid w:val="00C25A67"/>
    <w:rsid w:val="00C2611E"/>
    <w:rsid w:val="00C27F8B"/>
    <w:rsid w:val="00C30113"/>
    <w:rsid w:val="00C33493"/>
    <w:rsid w:val="00C33646"/>
    <w:rsid w:val="00C35736"/>
    <w:rsid w:val="00C360C5"/>
    <w:rsid w:val="00C41C36"/>
    <w:rsid w:val="00C41E07"/>
    <w:rsid w:val="00C41FFB"/>
    <w:rsid w:val="00C42854"/>
    <w:rsid w:val="00C42CFC"/>
    <w:rsid w:val="00C42EAE"/>
    <w:rsid w:val="00C43034"/>
    <w:rsid w:val="00C4686B"/>
    <w:rsid w:val="00C46C38"/>
    <w:rsid w:val="00C46DF6"/>
    <w:rsid w:val="00C46E72"/>
    <w:rsid w:val="00C46F15"/>
    <w:rsid w:val="00C47CE3"/>
    <w:rsid w:val="00C47D01"/>
    <w:rsid w:val="00C47D38"/>
    <w:rsid w:val="00C47FEC"/>
    <w:rsid w:val="00C50430"/>
    <w:rsid w:val="00C50FB4"/>
    <w:rsid w:val="00C51586"/>
    <w:rsid w:val="00C521A2"/>
    <w:rsid w:val="00C521E5"/>
    <w:rsid w:val="00C5304A"/>
    <w:rsid w:val="00C5375F"/>
    <w:rsid w:val="00C547AE"/>
    <w:rsid w:val="00C54AC2"/>
    <w:rsid w:val="00C57199"/>
    <w:rsid w:val="00C57528"/>
    <w:rsid w:val="00C57720"/>
    <w:rsid w:val="00C57A33"/>
    <w:rsid w:val="00C60A0F"/>
    <w:rsid w:val="00C60B29"/>
    <w:rsid w:val="00C61DE1"/>
    <w:rsid w:val="00C62279"/>
    <w:rsid w:val="00C622DB"/>
    <w:rsid w:val="00C63E7B"/>
    <w:rsid w:val="00C656D7"/>
    <w:rsid w:val="00C6593E"/>
    <w:rsid w:val="00C67509"/>
    <w:rsid w:val="00C67B38"/>
    <w:rsid w:val="00C67C4B"/>
    <w:rsid w:val="00C70111"/>
    <w:rsid w:val="00C70D0B"/>
    <w:rsid w:val="00C71D92"/>
    <w:rsid w:val="00C759DB"/>
    <w:rsid w:val="00C75FA3"/>
    <w:rsid w:val="00C75FB3"/>
    <w:rsid w:val="00C80370"/>
    <w:rsid w:val="00C8125A"/>
    <w:rsid w:val="00C8295C"/>
    <w:rsid w:val="00C82FEC"/>
    <w:rsid w:val="00C84972"/>
    <w:rsid w:val="00C84D70"/>
    <w:rsid w:val="00C84ED6"/>
    <w:rsid w:val="00C85BDE"/>
    <w:rsid w:val="00C91E88"/>
    <w:rsid w:val="00C92520"/>
    <w:rsid w:val="00C92E30"/>
    <w:rsid w:val="00C946B9"/>
    <w:rsid w:val="00C97961"/>
    <w:rsid w:val="00CA252D"/>
    <w:rsid w:val="00CA2954"/>
    <w:rsid w:val="00CA2BFB"/>
    <w:rsid w:val="00CA2EE9"/>
    <w:rsid w:val="00CA3BA6"/>
    <w:rsid w:val="00CA6D31"/>
    <w:rsid w:val="00CA7089"/>
    <w:rsid w:val="00CB007F"/>
    <w:rsid w:val="00CB0B33"/>
    <w:rsid w:val="00CB2719"/>
    <w:rsid w:val="00CB4A44"/>
    <w:rsid w:val="00CB7074"/>
    <w:rsid w:val="00CC17A2"/>
    <w:rsid w:val="00CC2490"/>
    <w:rsid w:val="00CC50E8"/>
    <w:rsid w:val="00CC55CB"/>
    <w:rsid w:val="00CC5892"/>
    <w:rsid w:val="00CC6AB0"/>
    <w:rsid w:val="00CC6C88"/>
    <w:rsid w:val="00CD21FA"/>
    <w:rsid w:val="00CD542E"/>
    <w:rsid w:val="00CD6CC1"/>
    <w:rsid w:val="00CE04E7"/>
    <w:rsid w:val="00CE0D83"/>
    <w:rsid w:val="00CE0E06"/>
    <w:rsid w:val="00CE31C6"/>
    <w:rsid w:val="00CE3F34"/>
    <w:rsid w:val="00CE5403"/>
    <w:rsid w:val="00CE598A"/>
    <w:rsid w:val="00CF0E6A"/>
    <w:rsid w:val="00CF48D7"/>
    <w:rsid w:val="00CF6184"/>
    <w:rsid w:val="00CF6F51"/>
    <w:rsid w:val="00CF727A"/>
    <w:rsid w:val="00CF78BD"/>
    <w:rsid w:val="00D00248"/>
    <w:rsid w:val="00D007AC"/>
    <w:rsid w:val="00D03C35"/>
    <w:rsid w:val="00D04B2A"/>
    <w:rsid w:val="00D04EA7"/>
    <w:rsid w:val="00D05171"/>
    <w:rsid w:val="00D05D90"/>
    <w:rsid w:val="00D0767D"/>
    <w:rsid w:val="00D07B1A"/>
    <w:rsid w:val="00D10727"/>
    <w:rsid w:val="00D12C01"/>
    <w:rsid w:val="00D12E31"/>
    <w:rsid w:val="00D12E83"/>
    <w:rsid w:val="00D1427A"/>
    <w:rsid w:val="00D16365"/>
    <w:rsid w:val="00D20A0C"/>
    <w:rsid w:val="00D2400A"/>
    <w:rsid w:val="00D24D33"/>
    <w:rsid w:val="00D30AA1"/>
    <w:rsid w:val="00D31037"/>
    <w:rsid w:val="00D3123D"/>
    <w:rsid w:val="00D3169E"/>
    <w:rsid w:val="00D319DF"/>
    <w:rsid w:val="00D31CC6"/>
    <w:rsid w:val="00D32B52"/>
    <w:rsid w:val="00D331DD"/>
    <w:rsid w:val="00D33AC7"/>
    <w:rsid w:val="00D33C3B"/>
    <w:rsid w:val="00D342CE"/>
    <w:rsid w:val="00D362B2"/>
    <w:rsid w:val="00D36A3F"/>
    <w:rsid w:val="00D36D3C"/>
    <w:rsid w:val="00D411B3"/>
    <w:rsid w:val="00D45C0E"/>
    <w:rsid w:val="00D50DED"/>
    <w:rsid w:val="00D5221A"/>
    <w:rsid w:val="00D52241"/>
    <w:rsid w:val="00D53AD0"/>
    <w:rsid w:val="00D53BE1"/>
    <w:rsid w:val="00D5563B"/>
    <w:rsid w:val="00D56BF6"/>
    <w:rsid w:val="00D571D9"/>
    <w:rsid w:val="00D57A7E"/>
    <w:rsid w:val="00D609D6"/>
    <w:rsid w:val="00D61709"/>
    <w:rsid w:val="00D61A58"/>
    <w:rsid w:val="00D6270C"/>
    <w:rsid w:val="00D62C4B"/>
    <w:rsid w:val="00D655ED"/>
    <w:rsid w:val="00D66479"/>
    <w:rsid w:val="00D6659D"/>
    <w:rsid w:val="00D669B4"/>
    <w:rsid w:val="00D671FF"/>
    <w:rsid w:val="00D67661"/>
    <w:rsid w:val="00D71598"/>
    <w:rsid w:val="00D7180E"/>
    <w:rsid w:val="00D72F0E"/>
    <w:rsid w:val="00D73AC5"/>
    <w:rsid w:val="00D74CB0"/>
    <w:rsid w:val="00D75780"/>
    <w:rsid w:val="00D75F0F"/>
    <w:rsid w:val="00D769A9"/>
    <w:rsid w:val="00D806AB"/>
    <w:rsid w:val="00D8150A"/>
    <w:rsid w:val="00D82F36"/>
    <w:rsid w:val="00D832C9"/>
    <w:rsid w:val="00D83307"/>
    <w:rsid w:val="00D83B95"/>
    <w:rsid w:val="00D851BF"/>
    <w:rsid w:val="00D87158"/>
    <w:rsid w:val="00D914DF"/>
    <w:rsid w:val="00D9347C"/>
    <w:rsid w:val="00D94B8A"/>
    <w:rsid w:val="00D95220"/>
    <w:rsid w:val="00D9573B"/>
    <w:rsid w:val="00D95EAC"/>
    <w:rsid w:val="00D96E13"/>
    <w:rsid w:val="00D976D9"/>
    <w:rsid w:val="00D97AF8"/>
    <w:rsid w:val="00DA0617"/>
    <w:rsid w:val="00DA0895"/>
    <w:rsid w:val="00DA0A90"/>
    <w:rsid w:val="00DA29A2"/>
    <w:rsid w:val="00DA2A6E"/>
    <w:rsid w:val="00DA2A82"/>
    <w:rsid w:val="00DA4831"/>
    <w:rsid w:val="00DA5959"/>
    <w:rsid w:val="00DA7726"/>
    <w:rsid w:val="00DA7FD8"/>
    <w:rsid w:val="00DB0088"/>
    <w:rsid w:val="00DB268D"/>
    <w:rsid w:val="00DB3583"/>
    <w:rsid w:val="00DB4CEB"/>
    <w:rsid w:val="00DB7B2D"/>
    <w:rsid w:val="00DC0A1B"/>
    <w:rsid w:val="00DC1130"/>
    <w:rsid w:val="00DC120B"/>
    <w:rsid w:val="00DC1B64"/>
    <w:rsid w:val="00DC2CAF"/>
    <w:rsid w:val="00DC4105"/>
    <w:rsid w:val="00DC4A60"/>
    <w:rsid w:val="00DC5DB1"/>
    <w:rsid w:val="00DC68A5"/>
    <w:rsid w:val="00DD1478"/>
    <w:rsid w:val="00DD4D9A"/>
    <w:rsid w:val="00DD6644"/>
    <w:rsid w:val="00DD7189"/>
    <w:rsid w:val="00DD7265"/>
    <w:rsid w:val="00DE05F5"/>
    <w:rsid w:val="00DE0644"/>
    <w:rsid w:val="00DE4129"/>
    <w:rsid w:val="00DE5754"/>
    <w:rsid w:val="00DE5B22"/>
    <w:rsid w:val="00DF1B15"/>
    <w:rsid w:val="00DF1F22"/>
    <w:rsid w:val="00DF36E7"/>
    <w:rsid w:val="00DF6811"/>
    <w:rsid w:val="00DF7902"/>
    <w:rsid w:val="00E0013B"/>
    <w:rsid w:val="00E002B7"/>
    <w:rsid w:val="00E01250"/>
    <w:rsid w:val="00E02458"/>
    <w:rsid w:val="00E03719"/>
    <w:rsid w:val="00E05FB6"/>
    <w:rsid w:val="00E0718D"/>
    <w:rsid w:val="00E104DE"/>
    <w:rsid w:val="00E11302"/>
    <w:rsid w:val="00E1201E"/>
    <w:rsid w:val="00E139AE"/>
    <w:rsid w:val="00E13FB9"/>
    <w:rsid w:val="00E17C16"/>
    <w:rsid w:val="00E21BDD"/>
    <w:rsid w:val="00E22A59"/>
    <w:rsid w:val="00E22D70"/>
    <w:rsid w:val="00E269ED"/>
    <w:rsid w:val="00E27564"/>
    <w:rsid w:val="00E27DCC"/>
    <w:rsid w:val="00E3022E"/>
    <w:rsid w:val="00E3091A"/>
    <w:rsid w:val="00E32DCB"/>
    <w:rsid w:val="00E330D3"/>
    <w:rsid w:val="00E347F0"/>
    <w:rsid w:val="00E40BDE"/>
    <w:rsid w:val="00E444AA"/>
    <w:rsid w:val="00E44863"/>
    <w:rsid w:val="00E4494B"/>
    <w:rsid w:val="00E4660F"/>
    <w:rsid w:val="00E47B23"/>
    <w:rsid w:val="00E47B58"/>
    <w:rsid w:val="00E50C63"/>
    <w:rsid w:val="00E558C2"/>
    <w:rsid w:val="00E57218"/>
    <w:rsid w:val="00E60E77"/>
    <w:rsid w:val="00E61462"/>
    <w:rsid w:val="00E6374D"/>
    <w:rsid w:val="00E642ED"/>
    <w:rsid w:val="00E64A84"/>
    <w:rsid w:val="00E65993"/>
    <w:rsid w:val="00E65BF3"/>
    <w:rsid w:val="00E66621"/>
    <w:rsid w:val="00E66D6D"/>
    <w:rsid w:val="00E67019"/>
    <w:rsid w:val="00E70151"/>
    <w:rsid w:val="00E70706"/>
    <w:rsid w:val="00E745B1"/>
    <w:rsid w:val="00E7669C"/>
    <w:rsid w:val="00E77A9C"/>
    <w:rsid w:val="00E80DB0"/>
    <w:rsid w:val="00E81792"/>
    <w:rsid w:val="00E822B7"/>
    <w:rsid w:val="00E8314D"/>
    <w:rsid w:val="00E83B7C"/>
    <w:rsid w:val="00E85B3E"/>
    <w:rsid w:val="00E91DB8"/>
    <w:rsid w:val="00E921D8"/>
    <w:rsid w:val="00E96BA0"/>
    <w:rsid w:val="00E96F01"/>
    <w:rsid w:val="00E9741A"/>
    <w:rsid w:val="00E9741C"/>
    <w:rsid w:val="00E97E71"/>
    <w:rsid w:val="00EA106D"/>
    <w:rsid w:val="00EA3076"/>
    <w:rsid w:val="00EA5DAF"/>
    <w:rsid w:val="00EB0A52"/>
    <w:rsid w:val="00EB143B"/>
    <w:rsid w:val="00EB79E7"/>
    <w:rsid w:val="00EC086E"/>
    <w:rsid w:val="00EC09AF"/>
    <w:rsid w:val="00EC2375"/>
    <w:rsid w:val="00EC2847"/>
    <w:rsid w:val="00EC3BC9"/>
    <w:rsid w:val="00EC3E96"/>
    <w:rsid w:val="00EC4CF3"/>
    <w:rsid w:val="00ED2B97"/>
    <w:rsid w:val="00ED341C"/>
    <w:rsid w:val="00ED35B9"/>
    <w:rsid w:val="00ED5B3C"/>
    <w:rsid w:val="00ED69F5"/>
    <w:rsid w:val="00EE0968"/>
    <w:rsid w:val="00EE0A93"/>
    <w:rsid w:val="00EE0D55"/>
    <w:rsid w:val="00EE0F26"/>
    <w:rsid w:val="00EE344F"/>
    <w:rsid w:val="00EE549A"/>
    <w:rsid w:val="00EE57A9"/>
    <w:rsid w:val="00EE5E4D"/>
    <w:rsid w:val="00EE75E7"/>
    <w:rsid w:val="00EE7FBB"/>
    <w:rsid w:val="00EF3962"/>
    <w:rsid w:val="00EF4460"/>
    <w:rsid w:val="00EF5128"/>
    <w:rsid w:val="00EF5422"/>
    <w:rsid w:val="00EF6158"/>
    <w:rsid w:val="00EF6A93"/>
    <w:rsid w:val="00F01050"/>
    <w:rsid w:val="00F016B0"/>
    <w:rsid w:val="00F02215"/>
    <w:rsid w:val="00F02EBD"/>
    <w:rsid w:val="00F03124"/>
    <w:rsid w:val="00F03996"/>
    <w:rsid w:val="00F04BE2"/>
    <w:rsid w:val="00F04F07"/>
    <w:rsid w:val="00F0548E"/>
    <w:rsid w:val="00F14CCD"/>
    <w:rsid w:val="00F160F9"/>
    <w:rsid w:val="00F162BB"/>
    <w:rsid w:val="00F16C70"/>
    <w:rsid w:val="00F17432"/>
    <w:rsid w:val="00F217A2"/>
    <w:rsid w:val="00F217C9"/>
    <w:rsid w:val="00F2353D"/>
    <w:rsid w:val="00F23728"/>
    <w:rsid w:val="00F246AE"/>
    <w:rsid w:val="00F2674A"/>
    <w:rsid w:val="00F27659"/>
    <w:rsid w:val="00F2771D"/>
    <w:rsid w:val="00F32381"/>
    <w:rsid w:val="00F3315D"/>
    <w:rsid w:val="00F35735"/>
    <w:rsid w:val="00F3796A"/>
    <w:rsid w:val="00F37E7F"/>
    <w:rsid w:val="00F40574"/>
    <w:rsid w:val="00F4063B"/>
    <w:rsid w:val="00F4164E"/>
    <w:rsid w:val="00F4196A"/>
    <w:rsid w:val="00F421CC"/>
    <w:rsid w:val="00F42662"/>
    <w:rsid w:val="00F4610F"/>
    <w:rsid w:val="00F46FE4"/>
    <w:rsid w:val="00F47DE8"/>
    <w:rsid w:val="00F5131C"/>
    <w:rsid w:val="00F5193E"/>
    <w:rsid w:val="00F5267C"/>
    <w:rsid w:val="00F529A5"/>
    <w:rsid w:val="00F5500D"/>
    <w:rsid w:val="00F5761B"/>
    <w:rsid w:val="00F61AB4"/>
    <w:rsid w:val="00F62550"/>
    <w:rsid w:val="00F62B5D"/>
    <w:rsid w:val="00F638C4"/>
    <w:rsid w:val="00F644F3"/>
    <w:rsid w:val="00F64661"/>
    <w:rsid w:val="00F64CA5"/>
    <w:rsid w:val="00F65602"/>
    <w:rsid w:val="00F65AA9"/>
    <w:rsid w:val="00F67425"/>
    <w:rsid w:val="00F67F38"/>
    <w:rsid w:val="00F7095F"/>
    <w:rsid w:val="00F76090"/>
    <w:rsid w:val="00F772C8"/>
    <w:rsid w:val="00F773F9"/>
    <w:rsid w:val="00F80B46"/>
    <w:rsid w:val="00F81110"/>
    <w:rsid w:val="00F81B72"/>
    <w:rsid w:val="00F8266E"/>
    <w:rsid w:val="00F83CD5"/>
    <w:rsid w:val="00F85D03"/>
    <w:rsid w:val="00F86DAC"/>
    <w:rsid w:val="00F903AA"/>
    <w:rsid w:val="00F90675"/>
    <w:rsid w:val="00F90756"/>
    <w:rsid w:val="00F912BC"/>
    <w:rsid w:val="00F92A90"/>
    <w:rsid w:val="00F93779"/>
    <w:rsid w:val="00F94B61"/>
    <w:rsid w:val="00F956A9"/>
    <w:rsid w:val="00FA1C6B"/>
    <w:rsid w:val="00FA2409"/>
    <w:rsid w:val="00FA37AD"/>
    <w:rsid w:val="00FA3E6A"/>
    <w:rsid w:val="00FA4D89"/>
    <w:rsid w:val="00FA60BB"/>
    <w:rsid w:val="00FB096E"/>
    <w:rsid w:val="00FB2353"/>
    <w:rsid w:val="00FB241F"/>
    <w:rsid w:val="00FB30D2"/>
    <w:rsid w:val="00FB3411"/>
    <w:rsid w:val="00FB3581"/>
    <w:rsid w:val="00FB3B5F"/>
    <w:rsid w:val="00FB3BC0"/>
    <w:rsid w:val="00FB75F9"/>
    <w:rsid w:val="00FB7661"/>
    <w:rsid w:val="00FC0124"/>
    <w:rsid w:val="00FC19BF"/>
    <w:rsid w:val="00FC36A8"/>
    <w:rsid w:val="00FC648E"/>
    <w:rsid w:val="00FC6D3A"/>
    <w:rsid w:val="00FC7D57"/>
    <w:rsid w:val="00FD64F6"/>
    <w:rsid w:val="00FD714C"/>
    <w:rsid w:val="00FD7D1E"/>
    <w:rsid w:val="00FE1A8B"/>
    <w:rsid w:val="00FE3EE7"/>
    <w:rsid w:val="00FE481B"/>
    <w:rsid w:val="00FE5764"/>
    <w:rsid w:val="00FE6F45"/>
    <w:rsid w:val="00FE7998"/>
    <w:rsid w:val="00FE7F6D"/>
    <w:rsid w:val="00FE7FAE"/>
    <w:rsid w:val="00FF0BE7"/>
    <w:rsid w:val="00FF39A8"/>
    <w:rsid w:val="00FF4241"/>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922D"/>
  <w15:chartTrackingRefBased/>
  <w15:docId w15:val="{1B33FBDC-0A87-4465-9BAC-C96AE6B8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B0"/>
    <w:rPr>
      <w:rFonts w:eastAsia="SimSun"/>
      <w:lang w:val="ro-MD"/>
    </w:rPr>
  </w:style>
  <w:style w:type="paragraph" w:styleId="Heading1">
    <w:name w:val="heading 1"/>
    <w:basedOn w:val="Normal"/>
    <w:next w:val="Normal"/>
    <w:link w:val="Heading1Char"/>
    <w:uiPriority w:val="9"/>
    <w:qFormat/>
    <w:rsid w:val="007507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F016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6B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6B0"/>
    <w:rPr>
      <w:color w:val="0563C1" w:themeColor="hyperlink"/>
      <w:u w:val="single"/>
    </w:rPr>
  </w:style>
  <w:style w:type="paragraph" w:styleId="Header">
    <w:name w:val="header"/>
    <w:basedOn w:val="Normal"/>
    <w:link w:val="HeaderChar"/>
    <w:uiPriority w:val="99"/>
    <w:unhideWhenUsed/>
    <w:rsid w:val="00F01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6B0"/>
    <w:rPr>
      <w:rFonts w:eastAsia="SimSun"/>
      <w:lang w:val="ro-MD"/>
    </w:rPr>
  </w:style>
  <w:style w:type="paragraph" w:styleId="Footer">
    <w:name w:val="footer"/>
    <w:basedOn w:val="Normal"/>
    <w:link w:val="FooterChar"/>
    <w:uiPriority w:val="99"/>
    <w:unhideWhenUsed/>
    <w:rsid w:val="00F0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6B0"/>
    <w:rPr>
      <w:rFonts w:eastAsia="SimSun"/>
      <w:lang w:val="ro-MD"/>
    </w:rPr>
  </w:style>
  <w:style w:type="character" w:customStyle="1" w:styleId="Heading4Char">
    <w:name w:val="Heading 4 Char"/>
    <w:basedOn w:val="DefaultParagraphFont"/>
    <w:link w:val="Heading4"/>
    <w:uiPriority w:val="9"/>
    <w:rsid w:val="00F016B0"/>
    <w:rPr>
      <w:rFonts w:asciiTheme="majorHAnsi" w:eastAsiaTheme="majorEastAsia" w:hAnsiTheme="majorHAnsi" w:cstheme="majorBidi"/>
      <w:i/>
      <w:iCs/>
      <w:color w:val="2E74B5" w:themeColor="accent1" w:themeShade="BF"/>
      <w:lang w:val="ro-MD"/>
    </w:rPr>
  </w:style>
  <w:style w:type="paragraph" w:styleId="FootnoteText">
    <w:name w:val="footnote text"/>
    <w:aliases w:val="single space,fn,FOOTNOTES,ft,ALTS FOOTNOTE,Fußnotentext Char,Footnote Text Char1,Footnote Text Char2 Char,Footnote Text Char1 Char Char,Footnote Text Char2 Char Char Char,Fußnote,Footnote Text Char1 Char Char Char Char,footnote text, Char"/>
    <w:basedOn w:val="Normal"/>
    <w:link w:val="FootnoteTextChar"/>
    <w:uiPriority w:val="99"/>
    <w:unhideWhenUsed/>
    <w:qFormat/>
    <w:rsid w:val="0075078A"/>
    <w:pPr>
      <w:spacing w:after="0" w:line="240" w:lineRule="auto"/>
    </w:pPr>
    <w:rPr>
      <w:rFonts w:eastAsiaTheme="minorHAnsi"/>
      <w:sz w:val="20"/>
      <w:szCs w:val="20"/>
      <w:lang w:val="en-US"/>
    </w:rPr>
  </w:style>
  <w:style w:type="character" w:customStyle="1" w:styleId="FootnoteTextChar">
    <w:name w:val="Footnote Text Char"/>
    <w:aliases w:val="single space Char,fn Char,FOOTNOTES Char,ft Char,ALTS FOOTNOTE Char,Fußnotentext Char Char,Footnote Text Char1 Char,Footnote Text Char2 Char Char,Footnote Text Char1 Char Char Char,Footnote Text Char2 Char Char Char Char,Fußnote Char"/>
    <w:basedOn w:val="DefaultParagraphFont"/>
    <w:link w:val="FootnoteText"/>
    <w:uiPriority w:val="99"/>
    <w:rsid w:val="0075078A"/>
    <w:rPr>
      <w:sz w:val="20"/>
      <w:szCs w:val="20"/>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75078A"/>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75078A"/>
    <w:pPr>
      <w:spacing w:line="240" w:lineRule="exact"/>
    </w:pPr>
    <w:rPr>
      <w:rFonts w:eastAsiaTheme="minorHAnsi"/>
      <w:vertAlign w:val="superscript"/>
      <w:lang w:val="en-US"/>
    </w:rPr>
  </w:style>
  <w:style w:type="character" w:customStyle="1" w:styleId="Heading1Char">
    <w:name w:val="Heading 1 Char"/>
    <w:basedOn w:val="DefaultParagraphFont"/>
    <w:link w:val="Heading1"/>
    <w:uiPriority w:val="9"/>
    <w:rsid w:val="0075078A"/>
    <w:rPr>
      <w:rFonts w:asciiTheme="majorHAnsi" w:eastAsiaTheme="majorEastAsia" w:hAnsiTheme="majorHAnsi" w:cstheme="majorBidi"/>
      <w:color w:val="2E74B5" w:themeColor="accent1" w:themeShade="BF"/>
      <w:sz w:val="32"/>
      <w:szCs w:val="32"/>
      <w:lang w:val="ro-MD"/>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Normal"/>
    <w:link w:val="NormalWebChar"/>
    <w:uiPriority w:val="99"/>
    <w:unhideWhenUsed/>
    <w:qFormat/>
    <w:rsid w:val="00575DAC"/>
    <w:pPr>
      <w:spacing w:after="0" w:line="240" w:lineRule="auto"/>
      <w:ind w:firstLine="567"/>
      <w:jc w:val="both"/>
    </w:pPr>
    <w:rPr>
      <w:rFonts w:ascii="Times New Roman" w:eastAsia="Times New Roman" w:hAnsi="Times New Roman" w:cs="Times New Roman"/>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575DAC"/>
    <w:rPr>
      <w:rFonts w:ascii="Times New Roman" w:eastAsia="Times New Roman" w:hAnsi="Times New Roman" w:cs="Times New Roman"/>
      <w:sz w:val="24"/>
      <w:szCs w:val="24"/>
    </w:rPr>
  </w:style>
  <w:style w:type="paragraph" w:customStyle="1" w:styleId="Default">
    <w:name w:val="Default"/>
    <w:rsid w:val="00575D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Normal"/>
    <w:uiPriority w:val="99"/>
    <w:rsid w:val="00BC08F8"/>
    <w:pPr>
      <w:widowControl w:val="0"/>
      <w:autoSpaceDE w:val="0"/>
      <w:autoSpaceDN w:val="0"/>
      <w:adjustRightInd w:val="0"/>
      <w:spacing w:after="0" w:line="288" w:lineRule="exact"/>
      <w:jc w:val="center"/>
    </w:pPr>
    <w:rPr>
      <w:rFonts w:ascii="Segoe UI" w:eastAsia="Times New Roman" w:hAnsi="Segoe UI" w:cs="Segoe UI"/>
      <w:sz w:val="24"/>
      <w:szCs w:val="24"/>
      <w:lang w:val="ro-RO" w:eastAsia="ru-RU"/>
    </w:rPr>
  </w:style>
  <w:style w:type="table" w:styleId="GridTable1Light">
    <w:name w:val="Grid Table 1 Light"/>
    <w:basedOn w:val="TableNormal"/>
    <w:uiPriority w:val="46"/>
    <w:rsid w:val="00090F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List Paragraph 1,Scriptoria bullet points,strikethrough,Абзац списка1,Абзац списка,standaard met opsomming,HotarirePunct1,Bullets,References,Liste 1,List Paragraph nowy,Numbered List Paragraph,List Paragraph (numbered (a)),Dot pt"/>
    <w:basedOn w:val="Normal"/>
    <w:link w:val="ListParagraphChar"/>
    <w:uiPriority w:val="34"/>
    <w:qFormat/>
    <w:rsid w:val="00E0013B"/>
    <w:pPr>
      <w:ind w:left="720"/>
      <w:contextualSpacing/>
    </w:pPr>
    <w:rPr>
      <w:rFonts w:eastAsiaTheme="minorHAnsi"/>
      <w:lang w:val="en-US"/>
    </w:rPr>
  </w:style>
  <w:style w:type="character" w:customStyle="1" w:styleId="ListParagraphChar">
    <w:name w:val="List Paragraph Char"/>
    <w:aliases w:val="List Paragraph 1 Char,Scriptoria bullet points Char,strikethrough Char,Абзац списка1 Char,Абзац списка Char,standaard met opsomming Char,HotarirePunct1 Char,Bullets Char,References Char,Liste 1 Char,List Paragraph nowy Char"/>
    <w:link w:val="ListParagraph"/>
    <w:uiPriority w:val="34"/>
    <w:locked/>
    <w:rsid w:val="00F81110"/>
  </w:style>
  <w:style w:type="character" w:customStyle="1" w:styleId="2">
    <w:name w:val="Основной текст (2)_"/>
    <w:basedOn w:val="DefaultParagraphFont"/>
    <w:link w:val="20"/>
    <w:locked/>
    <w:rsid w:val="00096B55"/>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096B55"/>
    <w:pPr>
      <w:widowControl w:val="0"/>
      <w:shd w:val="clear" w:color="auto" w:fill="FFFFFF"/>
      <w:spacing w:before="720" w:after="260" w:line="245" w:lineRule="exact"/>
    </w:pPr>
    <w:rPr>
      <w:rFonts w:ascii="Book Antiqua" w:eastAsia="Book Antiqua" w:hAnsi="Book Antiqua" w:cs="Book Antiqua"/>
      <w:sz w:val="18"/>
      <w:szCs w:val="18"/>
      <w:lang w:val="en-US"/>
    </w:rPr>
  </w:style>
  <w:style w:type="character" w:styleId="Emphasis">
    <w:name w:val="Emphasis"/>
    <w:basedOn w:val="DefaultParagraphFont"/>
    <w:uiPriority w:val="20"/>
    <w:qFormat/>
    <w:rsid w:val="00210825"/>
    <w:rPr>
      <w:i/>
      <w:iCs/>
    </w:rPr>
  </w:style>
  <w:style w:type="table" w:styleId="GridTable4-Accent1">
    <w:name w:val="Grid Table 4 Accent 1"/>
    <w:basedOn w:val="TableNormal"/>
    <w:uiPriority w:val="49"/>
    <w:rsid w:val="005C1B9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5C1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93"/>
    <w:rPr>
      <w:rFonts w:ascii="Segoe UI" w:eastAsia="SimSun" w:hAnsi="Segoe UI" w:cs="Segoe UI"/>
      <w:sz w:val="18"/>
      <w:szCs w:val="18"/>
      <w:lang w:val="ro-MD"/>
    </w:rPr>
  </w:style>
  <w:style w:type="paragraph" w:styleId="BodyTextIndent">
    <w:name w:val="Body Text Indent"/>
    <w:basedOn w:val="Normal"/>
    <w:link w:val="BodyTextIndentChar"/>
    <w:uiPriority w:val="99"/>
    <w:rsid w:val="00BB302D"/>
    <w:pPr>
      <w:spacing w:after="0" w:line="240" w:lineRule="auto"/>
      <w:ind w:firstLine="540"/>
      <w:jc w:val="both"/>
    </w:pPr>
    <w:rPr>
      <w:rFonts w:ascii="Times New Roman" w:eastAsia="Calibri" w:hAnsi="Times New Roman" w:cs="Times New Roman"/>
      <w:bCs/>
      <w:sz w:val="24"/>
      <w:szCs w:val="24"/>
      <w:lang w:val="en-US" w:eastAsia="ru-RU"/>
    </w:rPr>
  </w:style>
  <w:style w:type="character" w:customStyle="1" w:styleId="BodyTextIndentChar">
    <w:name w:val="Body Text Indent Char"/>
    <w:basedOn w:val="DefaultParagraphFont"/>
    <w:link w:val="BodyTextIndent"/>
    <w:uiPriority w:val="99"/>
    <w:rsid w:val="00BB302D"/>
    <w:rPr>
      <w:rFonts w:ascii="Times New Roman" w:eastAsia="Calibri" w:hAnsi="Times New Roman" w:cs="Times New Roman"/>
      <w:bCs/>
      <w:sz w:val="24"/>
      <w:szCs w:val="24"/>
      <w:lang w:eastAsia="ru-RU"/>
    </w:rPr>
  </w:style>
  <w:style w:type="table" w:styleId="PlainTable1">
    <w:name w:val="Plain Table 1"/>
    <w:basedOn w:val="TableNormal"/>
    <w:uiPriority w:val="41"/>
    <w:rsid w:val="00EF51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5975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59752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0900"/>
    <w:rPr>
      <w:sz w:val="16"/>
      <w:szCs w:val="16"/>
    </w:rPr>
  </w:style>
  <w:style w:type="paragraph" w:styleId="CommentSubject">
    <w:name w:val="annotation subject"/>
    <w:basedOn w:val="CommentText"/>
    <w:next w:val="CommentText"/>
    <w:link w:val="CommentSubjectChar"/>
    <w:uiPriority w:val="99"/>
    <w:semiHidden/>
    <w:unhideWhenUsed/>
    <w:rsid w:val="002B0900"/>
    <w:pPr>
      <w:spacing w:before="0" w:beforeAutospacing="0" w:after="160" w:afterAutospacing="0"/>
    </w:pPr>
    <w:rPr>
      <w:rFonts w:asciiTheme="minorHAnsi" w:eastAsia="SimSun" w:hAnsiTheme="minorHAnsi" w:cstheme="minorBidi"/>
      <w:b/>
      <w:bCs/>
      <w:sz w:val="20"/>
      <w:szCs w:val="20"/>
      <w:lang w:val="ro-MD"/>
    </w:rPr>
  </w:style>
  <w:style w:type="character" w:customStyle="1" w:styleId="CommentSubjectChar">
    <w:name w:val="Comment Subject Char"/>
    <w:basedOn w:val="CommentTextChar"/>
    <w:link w:val="CommentSubject"/>
    <w:uiPriority w:val="99"/>
    <w:semiHidden/>
    <w:rsid w:val="002B0900"/>
    <w:rPr>
      <w:rFonts w:ascii="Times New Roman" w:eastAsia="SimSun" w:hAnsi="Times New Roman" w:cs="Times New Roman"/>
      <w:b/>
      <w:bCs/>
      <w:sz w:val="20"/>
      <w:szCs w:val="20"/>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3358">
      <w:bodyDiv w:val="1"/>
      <w:marLeft w:val="0"/>
      <w:marRight w:val="0"/>
      <w:marTop w:val="0"/>
      <w:marBottom w:val="0"/>
      <w:divBdr>
        <w:top w:val="none" w:sz="0" w:space="0" w:color="auto"/>
        <w:left w:val="none" w:sz="0" w:space="0" w:color="auto"/>
        <w:bottom w:val="none" w:sz="0" w:space="0" w:color="auto"/>
        <w:right w:val="none" w:sz="0" w:space="0" w:color="auto"/>
      </w:divBdr>
    </w:div>
    <w:div w:id="143202795">
      <w:bodyDiv w:val="1"/>
      <w:marLeft w:val="0"/>
      <w:marRight w:val="0"/>
      <w:marTop w:val="0"/>
      <w:marBottom w:val="0"/>
      <w:divBdr>
        <w:top w:val="none" w:sz="0" w:space="0" w:color="auto"/>
        <w:left w:val="none" w:sz="0" w:space="0" w:color="auto"/>
        <w:bottom w:val="none" w:sz="0" w:space="0" w:color="auto"/>
        <w:right w:val="none" w:sz="0" w:space="0" w:color="auto"/>
      </w:divBdr>
    </w:div>
    <w:div w:id="415055028">
      <w:bodyDiv w:val="1"/>
      <w:marLeft w:val="0"/>
      <w:marRight w:val="0"/>
      <w:marTop w:val="0"/>
      <w:marBottom w:val="0"/>
      <w:divBdr>
        <w:top w:val="none" w:sz="0" w:space="0" w:color="auto"/>
        <w:left w:val="none" w:sz="0" w:space="0" w:color="auto"/>
        <w:bottom w:val="none" w:sz="0" w:space="0" w:color="auto"/>
        <w:right w:val="none" w:sz="0" w:space="0" w:color="auto"/>
      </w:divBdr>
    </w:div>
    <w:div w:id="435291888">
      <w:bodyDiv w:val="1"/>
      <w:marLeft w:val="0"/>
      <w:marRight w:val="0"/>
      <w:marTop w:val="0"/>
      <w:marBottom w:val="0"/>
      <w:divBdr>
        <w:top w:val="none" w:sz="0" w:space="0" w:color="auto"/>
        <w:left w:val="none" w:sz="0" w:space="0" w:color="auto"/>
        <w:bottom w:val="none" w:sz="0" w:space="0" w:color="auto"/>
        <w:right w:val="none" w:sz="0" w:space="0" w:color="auto"/>
      </w:divBdr>
    </w:div>
    <w:div w:id="438139706">
      <w:bodyDiv w:val="1"/>
      <w:marLeft w:val="0"/>
      <w:marRight w:val="0"/>
      <w:marTop w:val="0"/>
      <w:marBottom w:val="0"/>
      <w:divBdr>
        <w:top w:val="none" w:sz="0" w:space="0" w:color="auto"/>
        <w:left w:val="none" w:sz="0" w:space="0" w:color="auto"/>
        <w:bottom w:val="none" w:sz="0" w:space="0" w:color="auto"/>
        <w:right w:val="none" w:sz="0" w:space="0" w:color="auto"/>
      </w:divBdr>
    </w:div>
    <w:div w:id="937179710">
      <w:bodyDiv w:val="1"/>
      <w:marLeft w:val="0"/>
      <w:marRight w:val="0"/>
      <w:marTop w:val="0"/>
      <w:marBottom w:val="0"/>
      <w:divBdr>
        <w:top w:val="none" w:sz="0" w:space="0" w:color="auto"/>
        <w:left w:val="none" w:sz="0" w:space="0" w:color="auto"/>
        <w:bottom w:val="none" w:sz="0" w:space="0" w:color="auto"/>
        <w:right w:val="none" w:sz="0" w:space="0" w:color="auto"/>
      </w:divBdr>
    </w:div>
    <w:div w:id="1159233450">
      <w:bodyDiv w:val="1"/>
      <w:marLeft w:val="0"/>
      <w:marRight w:val="0"/>
      <w:marTop w:val="0"/>
      <w:marBottom w:val="0"/>
      <w:divBdr>
        <w:top w:val="none" w:sz="0" w:space="0" w:color="auto"/>
        <w:left w:val="none" w:sz="0" w:space="0" w:color="auto"/>
        <w:bottom w:val="none" w:sz="0" w:space="0" w:color="auto"/>
        <w:right w:val="none" w:sz="0" w:space="0" w:color="auto"/>
      </w:divBdr>
    </w:div>
    <w:div w:id="1196230448">
      <w:bodyDiv w:val="1"/>
      <w:marLeft w:val="0"/>
      <w:marRight w:val="0"/>
      <w:marTop w:val="0"/>
      <w:marBottom w:val="0"/>
      <w:divBdr>
        <w:top w:val="none" w:sz="0" w:space="0" w:color="auto"/>
        <w:left w:val="none" w:sz="0" w:space="0" w:color="auto"/>
        <w:bottom w:val="none" w:sz="0" w:space="0" w:color="auto"/>
        <w:right w:val="none" w:sz="0" w:space="0" w:color="auto"/>
      </w:divBdr>
    </w:div>
    <w:div w:id="1311329553">
      <w:bodyDiv w:val="1"/>
      <w:marLeft w:val="0"/>
      <w:marRight w:val="0"/>
      <w:marTop w:val="0"/>
      <w:marBottom w:val="0"/>
      <w:divBdr>
        <w:top w:val="none" w:sz="0" w:space="0" w:color="auto"/>
        <w:left w:val="none" w:sz="0" w:space="0" w:color="auto"/>
        <w:bottom w:val="none" w:sz="0" w:space="0" w:color="auto"/>
        <w:right w:val="none" w:sz="0" w:space="0" w:color="auto"/>
      </w:divBdr>
    </w:div>
    <w:div w:id="1334381930">
      <w:bodyDiv w:val="1"/>
      <w:marLeft w:val="0"/>
      <w:marRight w:val="0"/>
      <w:marTop w:val="0"/>
      <w:marBottom w:val="0"/>
      <w:divBdr>
        <w:top w:val="none" w:sz="0" w:space="0" w:color="auto"/>
        <w:left w:val="none" w:sz="0" w:space="0" w:color="auto"/>
        <w:bottom w:val="none" w:sz="0" w:space="0" w:color="auto"/>
        <w:right w:val="none" w:sz="0" w:space="0" w:color="auto"/>
      </w:divBdr>
    </w:div>
    <w:div w:id="1422874517">
      <w:bodyDiv w:val="1"/>
      <w:marLeft w:val="0"/>
      <w:marRight w:val="0"/>
      <w:marTop w:val="0"/>
      <w:marBottom w:val="0"/>
      <w:divBdr>
        <w:top w:val="none" w:sz="0" w:space="0" w:color="auto"/>
        <w:left w:val="none" w:sz="0" w:space="0" w:color="auto"/>
        <w:bottom w:val="none" w:sz="0" w:space="0" w:color="auto"/>
        <w:right w:val="none" w:sz="0" w:space="0" w:color="auto"/>
      </w:divBdr>
    </w:div>
    <w:div w:id="1610426015">
      <w:bodyDiv w:val="1"/>
      <w:marLeft w:val="0"/>
      <w:marRight w:val="0"/>
      <w:marTop w:val="0"/>
      <w:marBottom w:val="0"/>
      <w:divBdr>
        <w:top w:val="none" w:sz="0" w:space="0" w:color="auto"/>
        <w:left w:val="none" w:sz="0" w:space="0" w:color="auto"/>
        <w:bottom w:val="none" w:sz="0" w:space="0" w:color="auto"/>
        <w:right w:val="none" w:sz="0" w:space="0" w:color="auto"/>
      </w:divBdr>
    </w:div>
    <w:div w:id="1885409374">
      <w:bodyDiv w:val="1"/>
      <w:marLeft w:val="0"/>
      <w:marRight w:val="0"/>
      <w:marTop w:val="0"/>
      <w:marBottom w:val="0"/>
      <w:divBdr>
        <w:top w:val="none" w:sz="0" w:space="0" w:color="auto"/>
        <w:left w:val="none" w:sz="0" w:space="0" w:color="auto"/>
        <w:bottom w:val="none" w:sz="0" w:space="0" w:color="auto"/>
        <w:right w:val="none" w:sz="0" w:space="0" w:color="auto"/>
      </w:divBdr>
    </w:div>
    <w:div w:id="20254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crm.md/activitatea-curtii-de-conturi-1-25"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lex:CTCT20190524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4.xml"/><Relationship Id="rId10" Type="http://schemas.openxmlformats.org/officeDocument/2006/relationships/hyperlink" Target="mailto:ccrm@ccrm.md" TargetMode="External"/><Relationship Id="rId19" Type="http://schemas.openxmlformats.org/officeDocument/2006/relationships/hyperlink" Target="lex:LPLP20100923229"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hyperlink" Target="http://www.statistica.gov.md"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lex:LPLP20140725181" TargetMode="External"/><Relationship Id="rId13" Type="http://schemas.openxmlformats.org/officeDocument/2006/relationships/hyperlink" Target="lex:HGHG20020211156" TargetMode="External"/><Relationship Id="rId3" Type="http://schemas.openxmlformats.org/officeDocument/2006/relationships/hyperlink" Target="lex:LPLP20070427113" TargetMode="External"/><Relationship Id="rId7" Type="http://schemas.openxmlformats.org/officeDocument/2006/relationships/hyperlink" Target="lex:LPLP20140725181" TargetMode="External"/><Relationship Id="rId12" Type="http://schemas.openxmlformats.org/officeDocument/2006/relationships/hyperlink" Target="lex:MF052018010502" TargetMode="External"/><Relationship Id="rId2" Type="http://schemas.openxmlformats.org/officeDocument/2006/relationships/hyperlink" Target="lex:MF052018010502" TargetMode="External"/><Relationship Id="rId1" Type="http://schemas.openxmlformats.org/officeDocument/2006/relationships/hyperlink" Target="lex:MF0520130806118" TargetMode="External"/><Relationship Id="rId6" Type="http://schemas.openxmlformats.org/officeDocument/2006/relationships/hyperlink" Target="lex:LPLP20100923229" TargetMode="External"/><Relationship Id="rId11" Type="http://schemas.openxmlformats.org/officeDocument/2006/relationships/hyperlink" Target="lex:MF0520130806118" TargetMode="External"/><Relationship Id="rId5" Type="http://schemas.openxmlformats.org/officeDocument/2006/relationships/hyperlink" Target="lex:LPLP20140725181" TargetMode="External"/><Relationship Id="rId10" Type="http://schemas.openxmlformats.org/officeDocument/2006/relationships/hyperlink" Target="lex:LPLP20070427113" TargetMode="External"/><Relationship Id="rId4" Type="http://schemas.openxmlformats.org/officeDocument/2006/relationships/hyperlink" Target="lex:DE4020160721596" TargetMode="External"/><Relationship Id="rId9" Type="http://schemas.openxmlformats.org/officeDocument/2006/relationships/hyperlink" Target="lex:LPLP2007042711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udit%20CNAM%2001.01_12.31%202020\Executare\Conformitate%20vizite\Vizite%20AM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udit%20CNAM%2001.01_12.31%202020\Executare\AMP\Bonifica&#539;i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_grosu\Downloads\SIP_tipuri%20de%20servici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'Generală AMP+AMSA Aigurate'!$B$22</c:f>
              <c:strCache>
                <c:ptCount val="1"/>
                <c:pt idx="0">
                  <c:v>Asistența medicală primară</c:v>
                </c:pt>
              </c:strCache>
            </c:strRef>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strRef>
              <c:f>'Generală AMP+AMSA Aigurate'!$C$21:$F$21</c:f>
              <c:strCache>
                <c:ptCount val="4"/>
                <c:pt idx="0">
                  <c:v>Trimestrul I</c:v>
                </c:pt>
                <c:pt idx="1">
                  <c:v>Trimestrul II</c:v>
                </c:pt>
                <c:pt idx="2">
                  <c:v>Trimestrul III</c:v>
                </c:pt>
                <c:pt idx="3">
                  <c:v>Trimestrul IV</c:v>
                </c:pt>
              </c:strCache>
            </c:strRef>
          </c:xVal>
          <c:yVal>
            <c:numRef>
              <c:f>'Generală AMP+AMSA Aigurate'!$C$22:$F$22</c:f>
              <c:numCache>
                <c:formatCode>General</c:formatCode>
                <c:ptCount val="4"/>
                <c:pt idx="0">
                  <c:v>1749128</c:v>
                </c:pt>
                <c:pt idx="1">
                  <c:v>1202577</c:v>
                </c:pt>
                <c:pt idx="2">
                  <c:v>1726716</c:v>
                </c:pt>
                <c:pt idx="3">
                  <c:v>1941745</c:v>
                </c:pt>
              </c:numCache>
            </c:numRef>
          </c:yVal>
          <c:smooth val="1"/>
          <c:extLst>
            <c:ext xmlns:c16="http://schemas.microsoft.com/office/drawing/2014/chart" uri="{C3380CC4-5D6E-409C-BE32-E72D297353CC}">
              <c16:uniqueId val="{00000000-0FE7-4B8E-8C84-F042ABAEB4C6}"/>
            </c:ext>
          </c:extLst>
        </c:ser>
        <c:ser>
          <c:idx val="1"/>
          <c:order val="1"/>
          <c:tx>
            <c:strRef>
              <c:f>'Generală AMP+AMSA Aigurate'!$B$23</c:f>
              <c:strCache>
                <c:ptCount val="1"/>
                <c:pt idx="0">
                  <c:v>Asistența medicală specializată de ambulator</c:v>
                </c:pt>
              </c:strCache>
            </c:strRef>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xVal>
            <c:strRef>
              <c:f>'Generală AMP+AMSA Aigurate'!$C$21:$F$21</c:f>
              <c:strCache>
                <c:ptCount val="4"/>
                <c:pt idx="0">
                  <c:v>Trimestrul I</c:v>
                </c:pt>
                <c:pt idx="1">
                  <c:v>Trimestrul II</c:v>
                </c:pt>
                <c:pt idx="2">
                  <c:v>Trimestrul III</c:v>
                </c:pt>
                <c:pt idx="3">
                  <c:v>Trimestrul IV</c:v>
                </c:pt>
              </c:strCache>
            </c:strRef>
          </c:xVal>
          <c:yVal>
            <c:numRef>
              <c:f>'Generală AMP+AMSA Aigurate'!$C$23:$F$23</c:f>
              <c:numCache>
                <c:formatCode>General</c:formatCode>
                <c:ptCount val="4"/>
                <c:pt idx="0">
                  <c:v>713574</c:v>
                </c:pt>
                <c:pt idx="1">
                  <c:v>327261</c:v>
                </c:pt>
                <c:pt idx="2">
                  <c:v>556847</c:v>
                </c:pt>
                <c:pt idx="3">
                  <c:v>589021</c:v>
                </c:pt>
              </c:numCache>
            </c:numRef>
          </c:yVal>
          <c:smooth val="1"/>
          <c:extLst>
            <c:ext xmlns:c16="http://schemas.microsoft.com/office/drawing/2014/chart" uri="{C3380CC4-5D6E-409C-BE32-E72D297353CC}">
              <c16:uniqueId val="{00000001-0FE7-4B8E-8C84-F042ABAEB4C6}"/>
            </c:ext>
          </c:extLst>
        </c:ser>
        <c:dLbls>
          <c:dLblPos val="t"/>
          <c:showLegendKey val="0"/>
          <c:showVal val="1"/>
          <c:showCatName val="0"/>
          <c:showSerName val="0"/>
          <c:showPercent val="0"/>
          <c:showBubbleSize val="0"/>
        </c:dLbls>
        <c:axId val="896354351"/>
        <c:axId val="896358095"/>
      </c:scatterChart>
      <c:valAx>
        <c:axId val="896354351"/>
        <c:scaling>
          <c:orientation val="minMax"/>
        </c:scaling>
        <c:delete val="0"/>
        <c:axPos val="b"/>
        <c:majorGridlines>
          <c:spPr>
            <a:ln w="9525" cap="flat" cmpd="sng" algn="ctr">
              <a:solidFill>
                <a:schemeClr val="tx2">
                  <a:lumMod val="15000"/>
                  <a:lumOff val="85000"/>
                </a:schemeClr>
              </a:solidFill>
              <a:round/>
            </a:ln>
            <a:effectLst/>
          </c:spPr>
        </c:majorGridlines>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96358095"/>
        <c:crosses val="autoZero"/>
        <c:crossBetween val="midCat"/>
      </c:valAx>
      <c:valAx>
        <c:axId val="896358095"/>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9635435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5825-4736-BB58-F06893B495E3}"/>
              </c:ext>
            </c:extLst>
          </c:dPt>
          <c:dPt>
            <c:idx val="1"/>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5825-4736-BB58-F06893B495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Bonificația!$L$298:$M$298</c:f>
              <c:strCache>
                <c:ptCount val="2"/>
                <c:pt idx="0">
                  <c:v>Suma nerealizată pentru indicatori de bonificație în anul 2020 - 133,6 mil. lei</c:v>
                </c:pt>
                <c:pt idx="1">
                  <c:v>Executat pentru indicatori de bonificație în anul 2020 - 25,7 mil. lei</c:v>
                </c:pt>
              </c:strCache>
            </c:strRef>
          </c:cat>
          <c:val>
            <c:numRef>
              <c:f>Bonificația!$L$299:$M$299</c:f>
              <c:numCache>
                <c:formatCode>_(* #,##0.00_);_(* \(#,##0.00\);_(* "-"??_);_(@_)</c:formatCode>
                <c:ptCount val="2"/>
                <c:pt idx="0">
                  <c:v>133619887.15000001</c:v>
                </c:pt>
                <c:pt idx="1">
                  <c:v>25704390.849999983</c:v>
                </c:pt>
              </c:numCache>
            </c:numRef>
          </c:val>
          <c:extLst>
            <c:ext xmlns:c16="http://schemas.microsoft.com/office/drawing/2014/chart" uri="{C3380CC4-5D6E-409C-BE32-E72D297353CC}">
              <c16:uniqueId val="{00000004-5825-4736-BB58-F06893B495E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388808444646269"/>
          <c:y val="4.7516198704103674E-2"/>
          <c:w val="0.70611191555353736"/>
          <c:h val="0.47798574854169146"/>
        </c:manualLayout>
      </c:layout>
      <c:bar3DChart>
        <c:barDir val="col"/>
        <c:grouping val="clustered"/>
        <c:varyColors val="0"/>
        <c:ser>
          <c:idx val="0"/>
          <c:order val="0"/>
          <c:tx>
            <c:strRef>
              <c:f>'[SIP_tipuri de servicii.xlsx]Sheet1'!$B$1</c:f>
              <c:strCache>
                <c:ptCount val="1"/>
                <c:pt idx="0">
                  <c:v>Tipuri de servicii de înaltă performanță prestate</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a:outerShdw blurRad="40000" dist="20000" dir="5400000" rotWithShape="0">
                <a:srgbClr val="000000">
                  <a:alpha val="38000"/>
                </a:srgbClr>
              </a:outerShdw>
            </a:effectLst>
            <a:sp3d contourW="9525">
              <a:contourClr>
                <a:schemeClr val="accent6">
                  <a:shade val="95000"/>
                </a:schemeClr>
              </a:contourClr>
            </a:sp3d>
          </c:spPr>
          <c:invertIfNegative val="0"/>
          <c:dLbls>
            <c:dLbl>
              <c:idx val="0"/>
              <c:layout>
                <c:manualLayout>
                  <c:x val="-7.446434422237526E-17"/>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5C-47E3-8D2F-D1A752DD3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'[SIP_tipuri de servicii.xlsx]Sheet1'!$A$2</c:f>
              <c:strCache>
                <c:ptCount val="1"/>
                <c:pt idx="0">
                  <c:v>Numărul serviciilor de înaltă performanță incluse în Programul unic</c:v>
                </c:pt>
              </c:strCache>
            </c:strRef>
          </c:cat>
          <c:val>
            <c:numRef>
              <c:f>'[SIP_tipuri de servicii.xlsx]Sheet1'!$B$2</c:f>
              <c:numCache>
                <c:formatCode>General</c:formatCode>
                <c:ptCount val="1"/>
                <c:pt idx="0">
                  <c:v>392</c:v>
                </c:pt>
              </c:numCache>
            </c:numRef>
          </c:val>
          <c:extLst>
            <c:ext xmlns:c16="http://schemas.microsoft.com/office/drawing/2014/chart" uri="{C3380CC4-5D6E-409C-BE32-E72D297353CC}">
              <c16:uniqueId val="{00000000-8781-44B6-877A-828DE331F29C}"/>
            </c:ext>
          </c:extLst>
        </c:ser>
        <c:ser>
          <c:idx val="1"/>
          <c:order val="1"/>
          <c:tx>
            <c:strRef>
              <c:f>'[SIP_tipuri de servicii.xlsx]Sheet1'!$C$1</c:f>
              <c:strCache>
                <c:ptCount val="1"/>
                <c:pt idx="0">
                  <c:v>Tipuri de servicii de înaltă performanță contractate dar nerealizate de IMS</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dLbls>
            <c:dLbl>
              <c:idx val="0"/>
              <c:layout>
                <c:manualLayout>
                  <c:x val="1.2185215272136399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5C-47E3-8D2F-D1A752DD3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'[SIP_tipuri de servicii.xlsx]Sheet1'!$A$2</c:f>
              <c:strCache>
                <c:ptCount val="1"/>
                <c:pt idx="0">
                  <c:v>Numărul serviciilor de înaltă performanță incluse în Programul unic</c:v>
                </c:pt>
              </c:strCache>
            </c:strRef>
          </c:cat>
          <c:val>
            <c:numRef>
              <c:f>'[SIP_tipuri de servicii.xlsx]Sheet1'!$C$2</c:f>
              <c:numCache>
                <c:formatCode>General</c:formatCode>
                <c:ptCount val="1"/>
                <c:pt idx="0">
                  <c:v>114</c:v>
                </c:pt>
              </c:numCache>
            </c:numRef>
          </c:val>
          <c:extLst>
            <c:ext xmlns:c16="http://schemas.microsoft.com/office/drawing/2014/chart" uri="{C3380CC4-5D6E-409C-BE32-E72D297353CC}">
              <c16:uniqueId val="{00000001-8781-44B6-877A-828DE331F29C}"/>
            </c:ext>
          </c:extLst>
        </c:ser>
        <c:ser>
          <c:idx val="2"/>
          <c:order val="2"/>
          <c:tx>
            <c:strRef>
              <c:f>'[SIP_tipuri de servicii.xlsx]Sheet1'!$D$1</c:f>
              <c:strCache>
                <c:ptCount val="1"/>
                <c:pt idx="0">
                  <c:v>Tipuri de servicii de înaltă performanță necontractate</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1.0154346060113579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5C-47E3-8D2F-D1A752DD3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'[SIP_tipuri de servicii.xlsx]Sheet1'!$A$2</c:f>
              <c:strCache>
                <c:ptCount val="1"/>
                <c:pt idx="0">
                  <c:v>Numărul serviciilor de înaltă performanță incluse în Programul unic</c:v>
                </c:pt>
              </c:strCache>
            </c:strRef>
          </c:cat>
          <c:val>
            <c:numRef>
              <c:f>'[SIP_tipuri de servicii.xlsx]Sheet1'!$D$2</c:f>
              <c:numCache>
                <c:formatCode>General</c:formatCode>
                <c:ptCount val="1"/>
                <c:pt idx="0">
                  <c:v>13</c:v>
                </c:pt>
              </c:numCache>
            </c:numRef>
          </c:val>
          <c:extLst>
            <c:ext xmlns:c16="http://schemas.microsoft.com/office/drawing/2014/chart" uri="{C3380CC4-5D6E-409C-BE32-E72D297353CC}">
              <c16:uniqueId val="{00000002-8781-44B6-877A-828DE331F29C}"/>
            </c:ext>
          </c:extLst>
        </c:ser>
        <c:dLbls>
          <c:showLegendKey val="0"/>
          <c:showVal val="1"/>
          <c:showCatName val="0"/>
          <c:showSerName val="0"/>
          <c:showPercent val="0"/>
          <c:showBubbleSize val="0"/>
        </c:dLbls>
        <c:gapWidth val="150"/>
        <c:shape val="box"/>
        <c:axId val="1470240111"/>
        <c:axId val="1470223887"/>
        <c:axId val="0"/>
      </c:bar3DChart>
      <c:catAx>
        <c:axId val="1470240111"/>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70223887"/>
        <c:crosses val="autoZero"/>
        <c:auto val="1"/>
        <c:lblAlgn val="ctr"/>
        <c:lblOffset val="100"/>
        <c:noMultiLvlLbl val="0"/>
      </c:catAx>
      <c:valAx>
        <c:axId val="14702238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470240111"/>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50000"/>
                    <a:lumOff val="50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631706943759459E-2"/>
          <c:y val="7.1428571428571425E-2"/>
          <c:w val="0.9188877740174487"/>
          <c:h val="0.21597487814023247"/>
        </c:manualLayout>
      </c:layout>
      <c:barChart>
        <c:barDir val="bar"/>
        <c:grouping val="percentStacked"/>
        <c:varyColors val="0"/>
        <c:ser>
          <c:idx val="0"/>
          <c:order val="0"/>
          <c:tx>
            <c:strRef>
              <c:f>Sheet1!$B$1</c:f>
              <c:strCache>
                <c:ptCount val="1"/>
                <c:pt idx="0">
                  <c:v>Subprogramul “Administrare a fondurilor asigurării obligatorii de asistenţă medicală” - 80,2 mil. lei</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0.0</c:formatCode>
                <c:ptCount val="1"/>
                <c:pt idx="0">
                  <c:v>80.2</c:v>
                </c:pt>
              </c:numCache>
            </c:numRef>
          </c:val>
          <c:extLst>
            <c:ext xmlns:c16="http://schemas.microsoft.com/office/drawing/2014/chart" uri="{C3380CC4-5D6E-409C-BE32-E72D297353CC}">
              <c16:uniqueId val="{00000000-5109-41A2-B2B1-997A7315FB57}"/>
            </c:ext>
          </c:extLst>
        </c:ser>
        <c:ser>
          <c:idx val="1"/>
          <c:order val="1"/>
          <c:tx>
            <c:strRef>
              <c:f>Sheet1!$C$1</c:f>
              <c:strCache>
                <c:ptCount val="1"/>
                <c:pt idx="0">
                  <c:v>Subprogramul “Asistenţa medicală primară” -2243,1 mil. lei</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0.0</c:formatCode>
                <c:ptCount val="1"/>
                <c:pt idx="0">
                  <c:v>2243.1</c:v>
                </c:pt>
              </c:numCache>
            </c:numRef>
          </c:val>
          <c:extLst>
            <c:ext xmlns:c16="http://schemas.microsoft.com/office/drawing/2014/chart" uri="{C3380CC4-5D6E-409C-BE32-E72D297353CC}">
              <c16:uniqueId val="{00000001-5109-41A2-B2B1-997A7315FB57}"/>
            </c:ext>
          </c:extLst>
        </c:ser>
        <c:ser>
          <c:idx val="2"/>
          <c:order val="2"/>
          <c:tx>
            <c:strRef>
              <c:f>Sheet1!$D$1</c:f>
              <c:strCache>
                <c:ptCount val="1"/>
                <c:pt idx="0">
                  <c:v>Subprogramul “Asistenţa medicală specializată de ambulator” - 748,2 mil. lei</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0.0</c:formatCode>
                <c:ptCount val="1"/>
                <c:pt idx="0">
                  <c:v>748.2</c:v>
                </c:pt>
              </c:numCache>
            </c:numRef>
          </c:val>
          <c:extLst>
            <c:ext xmlns:c16="http://schemas.microsoft.com/office/drawing/2014/chart" uri="{C3380CC4-5D6E-409C-BE32-E72D297353CC}">
              <c16:uniqueId val="{00000002-5109-41A2-B2B1-997A7315FB57}"/>
            </c:ext>
          </c:extLst>
        </c:ser>
        <c:ser>
          <c:idx val="3"/>
          <c:order val="3"/>
          <c:tx>
            <c:strRef>
              <c:f>Sheet1!$E$1</c:f>
              <c:strCache>
                <c:ptCount val="1"/>
                <c:pt idx="0">
                  <c:v>Subprogramul “Îngrijiri medicale comunitare şi la domiciliu” - 64,1 mil. lei</c:v>
                </c:pt>
              </c:strCache>
            </c:strRef>
          </c:tx>
          <c:spPr>
            <a:solidFill>
              <a:schemeClr val="accent4"/>
            </a:solidFill>
            <a:ln>
              <a:noFill/>
            </a:ln>
            <a:effectLst/>
          </c:spPr>
          <c:invertIfNegative val="0"/>
          <c:cat>
            <c:strRef>
              <c:f>Sheet1!$A$2</c:f>
              <c:strCache>
                <c:ptCount val="1"/>
                <c:pt idx="0">
                  <c:v>Category 1</c:v>
                </c:pt>
              </c:strCache>
            </c:strRef>
          </c:cat>
          <c:val>
            <c:numRef>
              <c:f>Sheet1!$E$2</c:f>
              <c:numCache>
                <c:formatCode>0.0</c:formatCode>
                <c:ptCount val="1"/>
                <c:pt idx="0">
                  <c:v>64.099999999999994</c:v>
                </c:pt>
              </c:numCache>
            </c:numRef>
          </c:val>
          <c:extLst>
            <c:ext xmlns:c16="http://schemas.microsoft.com/office/drawing/2014/chart" uri="{C3380CC4-5D6E-409C-BE32-E72D297353CC}">
              <c16:uniqueId val="{00000003-5109-41A2-B2B1-997A7315FB57}"/>
            </c:ext>
          </c:extLst>
        </c:ser>
        <c:ser>
          <c:idx val="4"/>
          <c:order val="4"/>
          <c:tx>
            <c:strRef>
              <c:f>Sheet1!$F$1</c:f>
              <c:strCache>
                <c:ptCount val="1"/>
                <c:pt idx="0">
                  <c:v>Subprogramul “Asistenţa medicală urgentă prespitalicească” - 790,7 mil .lei</c:v>
                </c:pt>
              </c:strCache>
            </c:strRef>
          </c:tx>
          <c:spPr>
            <a:solidFill>
              <a:schemeClr val="accent5"/>
            </a:solidFill>
            <a:ln>
              <a:noFill/>
            </a:ln>
            <a:effectLst/>
          </c:spPr>
          <c:invertIfNegative val="0"/>
          <c:cat>
            <c:strRef>
              <c:f>Sheet1!$A$2</c:f>
              <c:strCache>
                <c:ptCount val="1"/>
                <c:pt idx="0">
                  <c:v>Category 1</c:v>
                </c:pt>
              </c:strCache>
            </c:strRef>
          </c:cat>
          <c:val>
            <c:numRef>
              <c:f>Sheet1!$F$2</c:f>
              <c:numCache>
                <c:formatCode>0.0</c:formatCode>
                <c:ptCount val="1"/>
                <c:pt idx="0">
                  <c:v>790.7</c:v>
                </c:pt>
              </c:numCache>
            </c:numRef>
          </c:val>
          <c:extLst>
            <c:ext xmlns:c16="http://schemas.microsoft.com/office/drawing/2014/chart" uri="{C3380CC4-5D6E-409C-BE32-E72D297353CC}">
              <c16:uniqueId val="{00000004-5109-41A2-B2B1-997A7315FB57}"/>
            </c:ext>
          </c:extLst>
        </c:ser>
        <c:ser>
          <c:idx val="5"/>
          <c:order val="5"/>
          <c:tx>
            <c:strRef>
              <c:f>Sheet1!$G$1</c:f>
              <c:strCache>
                <c:ptCount val="1"/>
                <c:pt idx="0">
                  <c:v>Subprogramul “Asistenţa medicală spitalicească” - 4242,0 mil. lei</c:v>
                </c:pt>
              </c:strCache>
            </c:strRef>
          </c:tx>
          <c:spPr>
            <a:solidFill>
              <a:schemeClr val="accent6"/>
            </a:solidFill>
            <a:ln>
              <a:noFill/>
            </a:ln>
            <a:effectLst/>
          </c:spPr>
          <c:invertIfNegative val="0"/>
          <c:cat>
            <c:strRef>
              <c:f>Sheet1!$A$2</c:f>
              <c:strCache>
                <c:ptCount val="1"/>
                <c:pt idx="0">
                  <c:v>Category 1</c:v>
                </c:pt>
              </c:strCache>
            </c:strRef>
          </c:cat>
          <c:val>
            <c:numRef>
              <c:f>Sheet1!$G$2</c:f>
              <c:numCache>
                <c:formatCode>0.0</c:formatCode>
                <c:ptCount val="1"/>
                <c:pt idx="0">
                  <c:v>4242</c:v>
                </c:pt>
              </c:numCache>
            </c:numRef>
          </c:val>
          <c:extLst>
            <c:ext xmlns:c16="http://schemas.microsoft.com/office/drawing/2014/chart" uri="{C3380CC4-5D6E-409C-BE32-E72D297353CC}">
              <c16:uniqueId val="{00000005-5109-41A2-B2B1-997A7315FB57}"/>
            </c:ext>
          </c:extLst>
        </c:ser>
        <c:ser>
          <c:idx val="6"/>
          <c:order val="6"/>
          <c:tx>
            <c:strRef>
              <c:f>Sheet1!$H$1</c:f>
              <c:strCache>
                <c:ptCount val="1"/>
                <c:pt idx="0">
                  <c:v>Subprogramul “Servicii medicale de înaltă performanţă” - 181,8mil. lei</c:v>
                </c:pt>
              </c:strCache>
            </c:strRef>
          </c:tx>
          <c:spPr>
            <a:solidFill>
              <a:schemeClr val="accent1">
                <a:lumMod val="60000"/>
              </a:schemeClr>
            </a:solidFill>
            <a:ln>
              <a:noFill/>
            </a:ln>
            <a:effectLst/>
          </c:spPr>
          <c:invertIfNegative val="0"/>
          <c:cat>
            <c:strRef>
              <c:f>Sheet1!$A$2</c:f>
              <c:strCache>
                <c:ptCount val="1"/>
                <c:pt idx="0">
                  <c:v>Category 1</c:v>
                </c:pt>
              </c:strCache>
            </c:strRef>
          </c:cat>
          <c:val>
            <c:numRef>
              <c:f>Sheet1!$H$2</c:f>
              <c:numCache>
                <c:formatCode>0.0</c:formatCode>
                <c:ptCount val="1"/>
                <c:pt idx="0">
                  <c:v>181.8</c:v>
                </c:pt>
              </c:numCache>
            </c:numRef>
          </c:val>
          <c:extLst>
            <c:ext xmlns:c16="http://schemas.microsoft.com/office/drawing/2014/chart" uri="{C3380CC4-5D6E-409C-BE32-E72D297353CC}">
              <c16:uniqueId val="{00000006-5109-41A2-B2B1-997A7315FB57}"/>
            </c:ext>
          </c:extLst>
        </c:ser>
        <c:ser>
          <c:idx val="7"/>
          <c:order val="7"/>
          <c:tx>
            <c:strRef>
              <c:f>Sheet1!$I$1</c:f>
              <c:strCache>
                <c:ptCount val="1"/>
                <c:pt idx="0">
                  <c:v>Subprogramul “Management al fondului de rezervă al asigurării obligatorii de asistenţă medicală” - 10,0mil.lei </c:v>
                </c:pt>
              </c:strCache>
            </c:strRef>
          </c:tx>
          <c:spPr>
            <a:solidFill>
              <a:schemeClr val="accent2">
                <a:lumMod val="60000"/>
              </a:schemeClr>
            </a:solidFill>
            <a:ln>
              <a:noFill/>
            </a:ln>
            <a:effectLst/>
          </c:spPr>
          <c:invertIfNegative val="0"/>
          <c:cat>
            <c:strRef>
              <c:f>Sheet1!$A$2</c:f>
              <c:strCache>
                <c:ptCount val="1"/>
                <c:pt idx="0">
                  <c:v>Category 1</c:v>
                </c:pt>
              </c:strCache>
            </c:strRef>
          </c:cat>
          <c:val>
            <c:numRef>
              <c:f>Sheet1!$I$2</c:f>
              <c:numCache>
                <c:formatCode>0.0</c:formatCode>
                <c:ptCount val="1"/>
                <c:pt idx="0">
                  <c:v>10</c:v>
                </c:pt>
              </c:numCache>
            </c:numRef>
          </c:val>
          <c:extLst>
            <c:ext xmlns:c16="http://schemas.microsoft.com/office/drawing/2014/chart" uri="{C3380CC4-5D6E-409C-BE32-E72D297353CC}">
              <c16:uniqueId val="{00000007-5109-41A2-B2B1-997A7315FB57}"/>
            </c:ext>
          </c:extLst>
        </c:ser>
        <c:ser>
          <c:idx val="8"/>
          <c:order val="8"/>
          <c:tx>
            <c:strRef>
              <c:f>Sheet1!$J$1</c:f>
              <c:strCache>
                <c:ptCount val="1"/>
                <c:pt idx="0">
                  <c:v>Subprogramul “Programe naţionale şi speciale în domeniul ocrotirii sănătăţii” - 25,3 mil. lei</c:v>
                </c:pt>
              </c:strCache>
            </c:strRef>
          </c:tx>
          <c:spPr>
            <a:solidFill>
              <a:schemeClr val="accent3">
                <a:lumMod val="60000"/>
              </a:schemeClr>
            </a:solidFill>
            <a:ln>
              <a:noFill/>
            </a:ln>
            <a:effectLst/>
          </c:spPr>
          <c:invertIfNegative val="0"/>
          <c:cat>
            <c:strRef>
              <c:f>Sheet1!$A$2</c:f>
              <c:strCache>
                <c:ptCount val="1"/>
                <c:pt idx="0">
                  <c:v>Category 1</c:v>
                </c:pt>
              </c:strCache>
            </c:strRef>
          </c:cat>
          <c:val>
            <c:numRef>
              <c:f>Sheet1!$J$2</c:f>
              <c:numCache>
                <c:formatCode>0.0</c:formatCode>
                <c:ptCount val="1"/>
                <c:pt idx="0">
                  <c:v>25.3</c:v>
                </c:pt>
              </c:numCache>
            </c:numRef>
          </c:val>
          <c:extLst>
            <c:ext xmlns:c16="http://schemas.microsoft.com/office/drawing/2014/chart" uri="{C3380CC4-5D6E-409C-BE32-E72D297353CC}">
              <c16:uniqueId val="{00000008-5109-41A2-B2B1-997A7315FB57}"/>
            </c:ext>
          </c:extLst>
        </c:ser>
        <c:ser>
          <c:idx val="9"/>
          <c:order val="9"/>
          <c:tx>
            <c:strRef>
              <c:f>Sheet1!$K$1</c:f>
              <c:strCache>
                <c:ptCount val="1"/>
                <c:pt idx="0">
                  <c:v>Subprogramul “Dezvoltarea şi modernizarea instituţiilor din domeniul ocrotirii sănătăţii” 19,8 mil. lei</c:v>
                </c:pt>
              </c:strCache>
            </c:strRef>
          </c:tx>
          <c:spPr>
            <a:solidFill>
              <a:schemeClr val="accent4">
                <a:lumMod val="60000"/>
              </a:schemeClr>
            </a:solidFill>
            <a:ln>
              <a:noFill/>
            </a:ln>
            <a:effectLst/>
          </c:spPr>
          <c:invertIfNegative val="0"/>
          <c:cat>
            <c:strRef>
              <c:f>Sheet1!$A$2</c:f>
              <c:strCache>
                <c:ptCount val="1"/>
                <c:pt idx="0">
                  <c:v>Category 1</c:v>
                </c:pt>
              </c:strCache>
            </c:strRef>
          </c:cat>
          <c:val>
            <c:numRef>
              <c:f>Sheet1!$K$2</c:f>
              <c:numCache>
                <c:formatCode>0.0</c:formatCode>
                <c:ptCount val="1"/>
                <c:pt idx="0">
                  <c:v>19.8</c:v>
                </c:pt>
              </c:numCache>
            </c:numRef>
          </c:val>
          <c:extLst>
            <c:ext xmlns:c16="http://schemas.microsoft.com/office/drawing/2014/chart" uri="{C3380CC4-5D6E-409C-BE32-E72D297353CC}">
              <c16:uniqueId val="{00000009-5109-41A2-B2B1-997A7315FB57}"/>
            </c:ext>
          </c:extLst>
        </c:ser>
        <c:dLbls>
          <c:showLegendKey val="0"/>
          <c:showVal val="0"/>
          <c:showCatName val="0"/>
          <c:showSerName val="0"/>
          <c:showPercent val="0"/>
          <c:showBubbleSize val="0"/>
        </c:dLbls>
        <c:gapWidth val="150"/>
        <c:overlap val="100"/>
        <c:axId val="1507802368"/>
        <c:axId val="1507802784"/>
      </c:barChart>
      <c:catAx>
        <c:axId val="1507802368"/>
        <c:scaling>
          <c:orientation val="minMax"/>
        </c:scaling>
        <c:delete val="1"/>
        <c:axPos val="l"/>
        <c:numFmt formatCode="General" sourceLinked="1"/>
        <c:majorTickMark val="none"/>
        <c:minorTickMark val="none"/>
        <c:tickLblPos val="nextTo"/>
        <c:crossAx val="1507802784"/>
        <c:crosses val="autoZero"/>
        <c:auto val="1"/>
        <c:lblAlgn val="ctr"/>
        <c:lblOffset val="100"/>
        <c:noMultiLvlLbl val="0"/>
      </c:catAx>
      <c:valAx>
        <c:axId val="1507802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7802368"/>
        <c:crosses val="autoZero"/>
        <c:crossBetween val="between"/>
      </c:valAx>
      <c:spPr>
        <a:noFill/>
        <a:ln>
          <a:noFill/>
        </a:ln>
        <a:effectLst/>
      </c:spPr>
    </c:plotArea>
    <c:legend>
      <c:legendPos val="b"/>
      <c:layout>
        <c:manualLayout>
          <c:xMode val="edge"/>
          <c:yMode val="edge"/>
          <c:x val="1.3810855293919611E-2"/>
          <c:y val="0.4075454915147621"/>
          <c:w val="0.93107994313210851"/>
          <c:h val="0.386839373273067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7F9B7-8169-4ACE-999B-16B9673BB43B}" type="doc">
      <dgm:prSet loTypeId="urn:microsoft.com/office/officeart/2005/8/layout/hierarchy4" loCatId="list" qsTypeId="urn:microsoft.com/office/officeart/2005/8/quickstyle/simple5" qsCatId="simple" csTypeId="urn:microsoft.com/office/officeart/2005/8/colors/accent0_1" csCatId="mainScheme" phldr="1"/>
      <dgm:spPr/>
      <dgm:t>
        <a:bodyPr/>
        <a:lstStyle/>
        <a:p>
          <a:endParaRPr lang="en-US"/>
        </a:p>
      </dgm:t>
    </dgm:pt>
    <dgm:pt modelId="{65954658-A816-48E8-8562-4BDBFD853C48}">
      <dgm:prSet phldrT="[Text]" custT="1"/>
      <dgm:spPr>
        <a:xfrm>
          <a:off x="0" y="0"/>
          <a:ext cx="5551789" cy="28717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a:t>
          </a:r>
          <a:r>
            <a:rPr lang="ro-RO"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ondurile asigurării obligatorii de asistență medicală</a:t>
          </a:r>
          <a:endPar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gm:t>
    </dgm:pt>
    <dgm:pt modelId="{DE7E5051-804C-49E3-A6D6-3F856272C7B4}" type="parTrans" cxnId="{32157399-4672-41A6-98E5-27B427FE451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32EF82F1-0CF2-481C-B892-F807CAD91C08}" type="sibTrans" cxnId="{32157399-4672-41A6-98E5-27B427FE451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B608C23A-A6FC-4B03-B945-0A7DF6758738}">
      <dgm:prSet phldrT="[Text]" custT="1"/>
      <dgm:spPr>
        <a:xfrm>
          <a:off x="2230"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Fondul pentru achitarea serviciilor m</a:t>
          </a:r>
          <a:r>
            <a:rPr lang="x-none"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e</a:t>
          </a:r>
          <a:r>
            <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dicale </a:t>
          </a:r>
          <a:endParaRPr lang="en-US" sz="1000">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gm:t>
    </dgm:pt>
    <dgm:pt modelId="{671D1569-FE02-4E85-8F64-EE6732E3AC08}" type="parTrans" cxnId="{BA9BF5E0-D75A-4455-B13B-8B778A8D3180}">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3D79107-D6A4-486D-ACFF-6C2A92BF0692}" type="sibTrans" cxnId="{BA9BF5E0-D75A-4455-B13B-8B778A8D3180}">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ABA4FAA0-92D3-4EA5-ABD8-F619C4749517}">
      <dgm:prSet phldrT="[Text]" custT="1"/>
      <dgm:spPr>
        <a:xfrm>
          <a:off x="1130067"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o-RO"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a:t>
          </a:r>
          <a:r>
            <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ondul de </a:t>
          </a:r>
          <a:r>
            <a:rPr lang="x-none"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dezvoltare și modernizare</a:t>
          </a:r>
          <a:endParaRPr lang="ro-RO"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gm:t>
    </dgm:pt>
    <dgm:pt modelId="{27856BED-3B40-4848-B772-4D5ECCBDB4CE}" type="parTrans" cxnId="{FD3B9405-B873-4099-800B-A00E75F2BDD7}">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515E8E4C-DCEE-4420-8D1F-3E2AAA822EBF}" type="sibTrans" cxnId="{FD3B9405-B873-4099-800B-A00E75F2BDD7}">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0B8E9C7A-A524-473B-98DB-3AA734C4DA44}">
      <dgm:prSet phldrT="[Text]" custT="1"/>
      <dgm:spPr>
        <a:xfrm>
          <a:off x="2257904"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o-RO"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a:t>
          </a:r>
          <a:r>
            <a:rPr lang="en-US"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ondul de administrare a </a:t>
          </a:r>
          <a:r>
            <a:rPr lang="x-none" sz="1000" b="1">
              <a:solidFill>
                <a:sysClr val="windowText" lastClr="000000"/>
              </a:solidFill>
              <a:latin typeface="Calibri Light" panose="020F0302020204030204"/>
              <a:ea typeface="+mn-ea"/>
              <a:cs typeface="Times New Roman" panose="02020603050405020304" pitchFamily="18" charset="0"/>
            </a:rPr>
            <a:t>SAOAM</a:t>
          </a:r>
          <a:endParaRPr lang="ro-RO" sz="1000" b="1">
            <a:solidFill>
              <a:sysClr val="windowText" lastClr="000000"/>
            </a:solidFill>
            <a:latin typeface="Calibri Light" panose="020F0302020204030204"/>
            <a:ea typeface="+mn-ea"/>
            <a:cs typeface="Times New Roman" panose="02020603050405020304" pitchFamily="18" charset="0"/>
          </a:endParaRPr>
        </a:p>
      </dgm:t>
    </dgm:pt>
    <dgm:pt modelId="{78A931E8-EE12-4DEE-8DD9-8ED4324E8072}" type="parTrans" cxnId="{3A934D7F-F88D-4F4A-BD4D-A398AC3DFB2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4BF360D4-A032-4662-A4D9-48FB078D059A}" type="sibTrans" cxnId="{3A934D7F-F88D-4F4A-BD4D-A398AC3DFB2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C029292-F799-4173-BF17-C3542EF568C9}">
      <dgm:prSet phldrT="[Text]" custT="1"/>
      <dgm:spPr>
        <a:xfrm>
          <a:off x="4513579"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x-none" sz="1000" b="1">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Fondul măsurilor de profilaxie </a:t>
          </a:r>
        </a:p>
      </dgm:t>
    </dgm:pt>
    <dgm:pt modelId="{1CBB1873-0100-41E3-A9F0-18AEE56A1528}" type="parTrans" cxnId="{97AFBD60-8DB1-4F94-AD62-3B83946B2CF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519D6A5-6F12-4A78-AB87-1A65BC7F1261}" type="sibTrans" cxnId="{97AFBD60-8DB1-4F94-AD62-3B83946B2CFD}">
      <dgm:prSet/>
      <dgm:spPr/>
      <dgm:t>
        <a:bodyPr/>
        <a:lstStyle/>
        <a:p>
          <a:pPr algn="just"/>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2BDFFB4E-CC6D-46FD-B0BC-887C44910775}">
      <dgm:prSet phldrT="[Text]" custT="1"/>
      <dgm:spPr>
        <a:xfrm>
          <a:off x="3385742"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gm:spPr>
      <dgm:t>
        <a:bodyPr/>
        <a:lstStyle/>
        <a:p>
          <a:pPr algn="ctr"/>
          <a:r>
            <a:rPr lang="ro-RO" sz="1000" b="1"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rPr>
            <a:t>F</a:t>
          </a:r>
          <a:r>
            <a:rPr lang="en-US" sz="1000" b="1"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rPr>
            <a:t>ondul de</a:t>
          </a:r>
          <a:r>
            <a:rPr lang="x-none" sz="1000" b="1"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rPr>
            <a:t> rezervă</a:t>
          </a:r>
          <a:endParaRPr lang="ro-RO" sz="1000" b="1"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endParaRPr>
        </a:p>
      </dgm:t>
    </dgm:pt>
    <dgm:pt modelId="{739C6B6F-BFFB-4D78-9351-E9D04AB1AB6B}" type="parTrans" cxnId="{D793F0BC-DA19-4BB1-B479-00C98CA83E55}">
      <dgm:prSet/>
      <dgm:spPr/>
      <dgm:t>
        <a:bodyPr/>
        <a:lstStyle/>
        <a:p>
          <a:endParaRPr lang="en-US"/>
        </a:p>
      </dgm:t>
    </dgm:pt>
    <dgm:pt modelId="{B49663CB-BF67-4110-97D8-1564C7932397}" type="sibTrans" cxnId="{D793F0BC-DA19-4BB1-B479-00C98CA83E55}">
      <dgm:prSet/>
      <dgm:spPr/>
      <dgm:t>
        <a:bodyPr/>
        <a:lstStyle/>
        <a:p>
          <a:endParaRPr lang="en-US"/>
        </a:p>
      </dgm:t>
    </dgm:pt>
    <dgm:pt modelId="{D2CE5E67-CB28-4C13-A591-6A3B6067FA5E}" type="pres">
      <dgm:prSet presAssocID="{C6D7F9B7-8169-4ACE-999B-16B9673BB43B}" presName="Name0" presStyleCnt="0">
        <dgm:presLayoutVars>
          <dgm:chPref val="1"/>
          <dgm:dir/>
          <dgm:animOne val="branch"/>
          <dgm:animLvl val="lvl"/>
          <dgm:resizeHandles/>
        </dgm:presLayoutVars>
      </dgm:prSet>
      <dgm:spPr/>
      <dgm:t>
        <a:bodyPr/>
        <a:lstStyle/>
        <a:p>
          <a:endParaRPr lang="en-US"/>
        </a:p>
      </dgm:t>
    </dgm:pt>
    <dgm:pt modelId="{38B6B5EA-9066-416C-8AA8-7BA92ED32BF1}" type="pres">
      <dgm:prSet presAssocID="{65954658-A816-48E8-8562-4BDBFD853C48}" presName="vertOne" presStyleCnt="0"/>
      <dgm:spPr/>
      <dgm:t>
        <a:bodyPr/>
        <a:lstStyle/>
        <a:p>
          <a:endParaRPr lang="en-US"/>
        </a:p>
      </dgm:t>
    </dgm:pt>
    <dgm:pt modelId="{3D165F12-8DF2-48D4-AB55-A0FBB58B77D7}" type="pres">
      <dgm:prSet presAssocID="{65954658-A816-48E8-8562-4BDBFD853C48}" presName="txOne" presStyleLbl="node0" presStyleIdx="0" presStyleCnt="1" custScaleY="45119" custLinFactNeighborX="-458" custLinFactNeighborY="-933">
        <dgm:presLayoutVars>
          <dgm:chPref val="3"/>
        </dgm:presLayoutVars>
      </dgm:prSet>
      <dgm:spPr/>
      <dgm:t>
        <a:bodyPr/>
        <a:lstStyle/>
        <a:p>
          <a:endParaRPr lang="en-US"/>
        </a:p>
      </dgm:t>
    </dgm:pt>
    <dgm:pt modelId="{D99D7642-0DE1-4019-B1D4-CC7186937C01}" type="pres">
      <dgm:prSet presAssocID="{65954658-A816-48E8-8562-4BDBFD853C48}" presName="parTransOne" presStyleCnt="0"/>
      <dgm:spPr/>
      <dgm:t>
        <a:bodyPr/>
        <a:lstStyle/>
        <a:p>
          <a:endParaRPr lang="en-US"/>
        </a:p>
      </dgm:t>
    </dgm:pt>
    <dgm:pt modelId="{D5E8D6A2-6AE6-4A15-92DE-D22A7945D29E}" type="pres">
      <dgm:prSet presAssocID="{65954658-A816-48E8-8562-4BDBFD853C48}" presName="horzOne" presStyleCnt="0"/>
      <dgm:spPr/>
      <dgm:t>
        <a:bodyPr/>
        <a:lstStyle/>
        <a:p>
          <a:endParaRPr lang="en-US"/>
        </a:p>
      </dgm:t>
    </dgm:pt>
    <dgm:pt modelId="{7A0589EB-E805-40B4-A0AE-44C50C43C825}" type="pres">
      <dgm:prSet presAssocID="{B608C23A-A6FC-4B03-B945-0A7DF6758738}" presName="vertTwo" presStyleCnt="0"/>
      <dgm:spPr/>
      <dgm:t>
        <a:bodyPr/>
        <a:lstStyle/>
        <a:p>
          <a:endParaRPr lang="en-US"/>
        </a:p>
      </dgm:t>
    </dgm:pt>
    <dgm:pt modelId="{FFE0FD36-8C1A-4FAD-88E5-6BDBDEBC78EE}" type="pres">
      <dgm:prSet presAssocID="{B608C23A-A6FC-4B03-B945-0A7DF6758738}" presName="txTwo" presStyleLbl="node2" presStyleIdx="0" presStyleCnt="5">
        <dgm:presLayoutVars>
          <dgm:chPref val="3"/>
        </dgm:presLayoutVars>
      </dgm:prSet>
      <dgm:spPr/>
      <dgm:t>
        <a:bodyPr/>
        <a:lstStyle/>
        <a:p>
          <a:endParaRPr lang="en-US"/>
        </a:p>
      </dgm:t>
    </dgm:pt>
    <dgm:pt modelId="{4A03D2C0-735E-4781-872C-5F7134641B52}" type="pres">
      <dgm:prSet presAssocID="{B608C23A-A6FC-4B03-B945-0A7DF6758738}" presName="horzTwo" presStyleCnt="0"/>
      <dgm:spPr/>
      <dgm:t>
        <a:bodyPr/>
        <a:lstStyle/>
        <a:p>
          <a:endParaRPr lang="en-US"/>
        </a:p>
      </dgm:t>
    </dgm:pt>
    <dgm:pt modelId="{439947F3-0DB0-4C57-8F6C-34A4476FE342}" type="pres">
      <dgm:prSet presAssocID="{93D79107-D6A4-486D-ACFF-6C2A92BF0692}" presName="sibSpaceTwo" presStyleCnt="0"/>
      <dgm:spPr/>
      <dgm:t>
        <a:bodyPr/>
        <a:lstStyle/>
        <a:p>
          <a:endParaRPr lang="en-US"/>
        </a:p>
      </dgm:t>
    </dgm:pt>
    <dgm:pt modelId="{7559C577-45D6-473C-AE68-D0FCC0245C42}" type="pres">
      <dgm:prSet presAssocID="{ABA4FAA0-92D3-4EA5-ABD8-F619C4749517}" presName="vertTwo" presStyleCnt="0"/>
      <dgm:spPr/>
      <dgm:t>
        <a:bodyPr/>
        <a:lstStyle/>
        <a:p>
          <a:endParaRPr lang="en-US"/>
        </a:p>
      </dgm:t>
    </dgm:pt>
    <dgm:pt modelId="{F8E13A93-A351-42C7-9F91-B0EA030FF1D0}" type="pres">
      <dgm:prSet presAssocID="{ABA4FAA0-92D3-4EA5-ABD8-F619C4749517}" presName="txTwo" presStyleLbl="node2" presStyleIdx="1" presStyleCnt="5">
        <dgm:presLayoutVars>
          <dgm:chPref val="3"/>
        </dgm:presLayoutVars>
      </dgm:prSet>
      <dgm:spPr/>
      <dgm:t>
        <a:bodyPr/>
        <a:lstStyle/>
        <a:p>
          <a:endParaRPr lang="en-US"/>
        </a:p>
      </dgm:t>
    </dgm:pt>
    <dgm:pt modelId="{718CA1C5-9BB9-4CA6-827B-08BE2FBC989A}" type="pres">
      <dgm:prSet presAssocID="{ABA4FAA0-92D3-4EA5-ABD8-F619C4749517}" presName="horzTwo" presStyleCnt="0"/>
      <dgm:spPr/>
      <dgm:t>
        <a:bodyPr/>
        <a:lstStyle/>
        <a:p>
          <a:endParaRPr lang="en-US"/>
        </a:p>
      </dgm:t>
    </dgm:pt>
    <dgm:pt modelId="{4C178DA3-C575-490C-8AF7-AA42EE8965B6}" type="pres">
      <dgm:prSet presAssocID="{515E8E4C-DCEE-4420-8D1F-3E2AAA822EBF}" presName="sibSpaceTwo" presStyleCnt="0"/>
      <dgm:spPr/>
      <dgm:t>
        <a:bodyPr/>
        <a:lstStyle/>
        <a:p>
          <a:endParaRPr lang="en-US"/>
        </a:p>
      </dgm:t>
    </dgm:pt>
    <dgm:pt modelId="{44E37445-23D2-4527-ADD6-DFDC34680FD5}" type="pres">
      <dgm:prSet presAssocID="{0B8E9C7A-A524-473B-98DB-3AA734C4DA44}" presName="vertTwo" presStyleCnt="0"/>
      <dgm:spPr/>
      <dgm:t>
        <a:bodyPr/>
        <a:lstStyle/>
        <a:p>
          <a:endParaRPr lang="en-US"/>
        </a:p>
      </dgm:t>
    </dgm:pt>
    <dgm:pt modelId="{554E405B-A467-40F8-9A17-7A1A4C34C170}" type="pres">
      <dgm:prSet presAssocID="{0B8E9C7A-A524-473B-98DB-3AA734C4DA44}" presName="txTwo" presStyleLbl="node2" presStyleIdx="2" presStyleCnt="5">
        <dgm:presLayoutVars>
          <dgm:chPref val="3"/>
        </dgm:presLayoutVars>
      </dgm:prSet>
      <dgm:spPr/>
      <dgm:t>
        <a:bodyPr/>
        <a:lstStyle/>
        <a:p>
          <a:endParaRPr lang="en-US"/>
        </a:p>
      </dgm:t>
    </dgm:pt>
    <dgm:pt modelId="{BD9BFC06-D03D-48C4-9476-06E9BEAA16F6}" type="pres">
      <dgm:prSet presAssocID="{0B8E9C7A-A524-473B-98DB-3AA734C4DA44}" presName="horzTwo" presStyleCnt="0"/>
      <dgm:spPr/>
      <dgm:t>
        <a:bodyPr/>
        <a:lstStyle/>
        <a:p>
          <a:endParaRPr lang="en-US"/>
        </a:p>
      </dgm:t>
    </dgm:pt>
    <dgm:pt modelId="{4873570E-EF36-4B84-B2D2-FB1339619D2A}" type="pres">
      <dgm:prSet presAssocID="{4BF360D4-A032-4662-A4D9-48FB078D059A}" presName="sibSpaceTwo" presStyleCnt="0"/>
      <dgm:spPr/>
      <dgm:t>
        <a:bodyPr/>
        <a:lstStyle/>
        <a:p>
          <a:endParaRPr lang="en-US"/>
        </a:p>
      </dgm:t>
    </dgm:pt>
    <dgm:pt modelId="{EC08DEE7-3FCE-4B6F-B89E-317E7B28136B}" type="pres">
      <dgm:prSet presAssocID="{2BDFFB4E-CC6D-46FD-B0BC-887C44910775}" presName="vertTwo" presStyleCnt="0"/>
      <dgm:spPr/>
      <dgm:t>
        <a:bodyPr/>
        <a:lstStyle/>
        <a:p>
          <a:endParaRPr lang="en-US"/>
        </a:p>
      </dgm:t>
    </dgm:pt>
    <dgm:pt modelId="{E0ED6E08-C55C-4622-9080-0FE29291A0DB}" type="pres">
      <dgm:prSet presAssocID="{2BDFFB4E-CC6D-46FD-B0BC-887C44910775}" presName="txTwo" presStyleLbl="node2" presStyleIdx="3" presStyleCnt="5">
        <dgm:presLayoutVars>
          <dgm:chPref val="3"/>
        </dgm:presLayoutVars>
      </dgm:prSet>
      <dgm:spPr/>
      <dgm:t>
        <a:bodyPr/>
        <a:lstStyle/>
        <a:p>
          <a:endParaRPr lang="en-US"/>
        </a:p>
      </dgm:t>
    </dgm:pt>
    <dgm:pt modelId="{DAA6CC37-F1D6-48B4-BAFC-58AFE85DCA38}" type="pres">
      <dgm:prSet presAssocID="{2BDFFB4E-CC6D-46FD-B0BC-887C44910775}" presName="horzTwo" presStyleCnt="0"/>
      <dgm:spPr/>
      <dgm:t>
        <a:bodyPr/>
        <a:lstStyle/>
        <a:p>
          <a:endParaRPr lang="en-US"/>
        </a:p>
      </dgm:t>
    </dgm:pt>
    <dgm:pt modelId="{0311E1B4-88D6-4376-8F03-3D23E0F0C91D}" type="pres">
      <dgm:prSet presAssocID="{B49663CB-BF67-4110-97D8-1564C7932397}" presName="sibSpaceTwo" presStyleCnt="0"/>
      <dgm:spPr/>
      <dgm:t>
        <a:bodyPr/>
        <a:lstStyle/>
        <a:p>
          <a:endParaRPr lang="en-US"/>
        </a:p>
      </dgm:t>
    </dgm:pt>
    <dgm:pt modelId="{11577232-22E6-4F21-B8BA-7645C60D748E}" type="pres">
      <dgm:prSet presAssocID="{6C029292-F799-4173-BF17-C3542EF568C9}" presName="vertTwo" presStyleCnt="0"/>
      <dgm:spPr/>
      <dgm:t>
        <a:bodyPr/>
        <a:lstStyle/>
        <a:p>
          <a:endParaRPr lang="en-US"/>
        </a:p>
      </dgm:t>
    </dgm:pt>
    <dgm:pt modelId="{3199E129-5594-4968-BE02-2A18757A2BD3}" type="pres">
      <dgm:prSet presAssocID="{6C029292-F799-4173-BF17-C3542EF568C9}" presName="txTwo" presStyleLbl="node2" presStyleIdx="4" presStyleCnt="5">
        <dgm:presLayoutVars>
          <dgm:chPref val="3"/>
        </dgm:presLayoutVars>
      </dgm:prSet>
      <dgm:spPr/>
      <dgm:t>
        <a:bodyPr/>
        <a:lstStyle/>
        <a:p>
          <a:endParaRPr lang="en-US"/>
        </a:p>
      </dgm:t>
    </dgm:pt>
    <dgm:pt modelId="{2EF807ED-7770-436C-B23F-F1CCC9D39D89}" type="pres">
      <dgm:prSet presAssocID="{6C029292-F799-4173-BF17-C3542EF568C9}" presName="horzTwo" presStyleCnt="0"/>
      <dgm:spPr/>
      <dgm:t>
        <a:bodyPr/>
        <a:lstStyle/>
        <a:p>
          <a:endParaRPr lang="en-US"/>
        </a:p>
      </dgm:t>
    </dgm:pt>
  </dgm:ptLst>
  <dgm:cxnLst>
    <dgm:cxn modelId="{FCAC8687-C098-457C-B10A-4CF6FEFD7471}" type="presOf" srcId="{ABA4FAA0-92D3-4EA5-ABD8-F619C4749517}" destId="{F8E13A93-A351-42C7-9F91-B0EA030FF1D0}" srcOrd="0" destOrd="0" presId="urn:microsoft.com/office/officeart/2005/8/layout/hierarchy4"/>
    <dgm:cxn modelId="{1E396F15-FB05-42DA-A50A-52A088DAF236}" type="presOf" srcId="{2BDFFB4E-CC6D-46FD-B0BC-887C44910775}" destId="{E0ED6E08-C55C-4622-9080-0FE29291A0DB}" srcOrd="0" destOrd="0" presId="urn:microsoft.com/office/officeart/2005/8/layout/hierarchy4"/>
    <dgm:cxn modelId="{1403C4CA-C7A8-4EE5-B8E8-CBE23791C463}" type="presOf" srcId="{B608C23A-A6FC-4B03-B945-0A7DF6758738}" destId="{FFE0FD36-8C1A-4FAD-88E5-6BDBDEBC78EE}" srcOrd="0" destOrd="0" presId="urn:microsoft.com/office/officeart/2005/8/layout/hierarchy4"/>
    <dgm:cxn modelId="{65953E03-50DC-4C9D-A05C-91DAA02AC16F}" type="presOf" srcId="{6C029292-F799-4173-BF17-C3542EF568C9}" destId="{3199E129-5594-4968-BE02-2A18757A2BD3}" srcOrd="0" destOrd="0" presId="urn:microsoft.com/office/officeart/2005/8/layout/hierarchy4"/>
    <dgm:cxn modelId="{3A934D7F-F88D-4F4A-BD4D-A398AC3DFB2D}" srcId="{65954658-A816-48E8-8562-4BDBFD853C48}" destId="{0B8E9C7A-A524-473B-98DB-3AA734C4DA44}" srcOrd="2" destOrd="0" parTransId="{78A931E8-EE12-4DEE-8DD9-8ED4324E8072}" sibTransId="{4BF360D4-A032-4662-A4D9-48FB078D059A}"/>
    <dgm:cxn modelId="{7C192EDF-6FDE-4D63-B323-091F94F37C3D}" type="presOf" srcId="{C6D7F9B7-8169-4ACE-999B-16B9673BB43B}" destId="{D2CE5E67-CB28-4C13-A591-6A3B6067FA5E}" srcOrd="0" destOrd="0" presId="urn:microsoft.com/office/officeart/2005/8/layout/hierarchy4"/>
    <dgm:cxn modelId="{4C6194C2-6FE0-4894-A11B-056A5EC971F6}" type="presOf" srcId="{65954658-A816-48E8-8562-4BDBFD853C48}" destId="{3D165F12-8DF2-48D4-AB55-A0FBB58B77D7}" srcOrd="0" destOrd="0" presId="urn:microsoft.com/office/officeart/2005/8/layout/hierarchy4"/>
    <dgm:cxn modelId="{936E32D7-242C-4B09-BCC2-68184D38CD70}" type="presOf" srcId="{0B8E9C7A-A524-473B-98DB-3AA734C4DA44}" destId="{554E405B-A467-40F8-9A17-7A1A4C34C170}" srcOrd="0" destOrd="0" presId="urn:microsoft.com/office/officeart/2005/8/layout/hierarchy4"/>
    <dgm:cxn modelId="{BA9BF5E0-D75A-4455-B13B-8B778A8D3180}" srcId="{65954658-A816-48E8-8562-4BDBFD853C48}" destId="{B608C23A-A6FC-4B03-B945-0A7DF6758738}" srcOrd="0" destOrd="0" parTransId="{671D1569-FE02-4E85-8F64-EE6732E3AC08}" sibTransId="{93D79107-D6A4-486D-ACFF-6C2A92BF0692}"/>
    <dgm:cxn modelId="{97AFBD60-8DB1-4F94-AD62-3B83946B2CFD}" srcId="{65954658-A816-48E8-8562-4BDBFD853C48}" destId="{6C029292-F799-4173-BF17-C3542EF568C9}" srcOrd="4" destOrd="0" parTransId="{1CBB1873-0100-41E3-A9F0-18AEE56A1528}" sibTransId="{8519D6A5-6F12-4A78-AB87-1A65BC7F1261}"/>
    <dgm:cxn modelId="{FD3B9405-B873-4099-800B-A00E75F2BDD7}" srcId="{65954658-A816-48E8-8562-4BDBFD853C48}" destId="{ABA4FAA0-92D3-4EA5-ABD8-F619C4749517}" srcOrd="1" destOrd="0" parTransId="{27856BED-3B40-4848-B772-4D5ECCBDB4CE}" sibTransId="{515E8E4C-DCEE-4420-8D1F-3E2AAA822EBF}"/>
    <dgm:cxn modelId="{32157399-4672-41A6-98E5-27B427FE451D}" srcId="{C6D7F9B7-8169-4ACE-999B-16B9673BB43B}" destId="{65954658-A816-48E8-8562-4BDBFD853C48}" srcOrd="0" destOrd="0" parTransId="{DE7E5051-804C-49E3-A6D6-3F856272C7B4}" sibTransId="{32EF82F1-0CF2-481C-B892-F807CAD91C08}"/>
    <dgm:cxn modelId="{D793F0BC-DA19-4BB1-B479-00C98CA83E55}" srcId="{65954658-A816-48E8-8562-4BDBFD853C48}" destId="{2BDFFB4E-CC6D-46FD-B0BC-887C44910775}" srcOrd="3" destOrd="0" parTransId="{739C6B6F-BFFB-4D78-9351-E9D04AB1AB6B}" sibTransId="{B49663CB-BF67-4110-97D8-1564C7932397}"/>
    <dgm:cxn modelId="{C95E29D4-7892-423E-BF89-E053D8D22862}" type="presParOf" srcId="{D2CE5E67-CB28-4C13-A591-6A3B6067FA5E}" destId="{38B6B5EA-9066-416C-8AA8-7BA92ED32BF1}" srcOrd="0" destOrd="0" presId="urn:microsoft.com/office/officeart/2005/8/layout/hierarchy4"/>
    <dgm:cxn modelId="{B4DA634B-EAA2-42DF-AA6A-02F83FB04055}" type="presParOf" srcId="{38B6B5EA-9066-416C-8AA8-7BA92ED32BF1}" destId="{3D165F12-8DF2-48D4-AB55-A0FBB58B77D7}" srcOrd="0" destOrd="0" presId="urn:microsoft.com/office/officeart/2005/8/layout/hierarchy4"/>
    <dgm:cxn modelId="{4E1AD621-CCCB-42BE-BCBA-0BC693FC8362}" type="presParOf" srcId="{38B6B5EA-9066-416C-8AA8-7BA92ED32BF1}" destId="{D99D7642-0DE1-4019-B1D4-CC7186937C01}" srcOrd="1" destOrd="0" presId="urn:microsoft.com/office/officeart/2005/8/layout/hierarchy4"/>
    <dgm:cxn modelId="{261917F0-30F4-4836-9EA4-96CDE83CF648}" type="presParOf" srcId="{38B6B5EA-9066-416C-8AA8-7BA92ED32BF1}" destId="{D5E8D6A2-6AE6-4A15-92DE-D22A7945D29E}" srcOrd="2" destOrd="0" presId="urn:microsoft.com/office/officeart/2005/8/layout/hierarchy4"/>
    <dgm:cxn modelId="{0344923A-4952-4C39-A430-A4A1B2094B83}" type="presParOf" srcId="{D5E8D6A2-6AE6-4A15-92DE-D22A7945D29E}" destId="{7A0589EB-E805-40B4-A0AE-44C50C43C825}" srcOrd="0" destOrd="0" presId="urn:microsoft.com/office/officeart/2005/8/layout/hierarchy4"/>
    <dgm:cxn modelId="{2E54B9E0-D781-4190-A6FC-B16308C6662A}" type="presParOf" srcId="{7A0589EB-E805-40B4-A0AE-44C50C43C825}" destId="{FFE0FD36-8C1A-4FAD-88E5-6BDBDEBC78EE}" srcOrd="0" destOrd="0" presId="urn:microsoft.com/office/officeart/2005/8/layout/hierarchy4"/>
    <dgm:cxn modelId="{385BA546-E355-4CBB-9725-C1B36BB35964}" type="presParOf" srcId="{7A0589EB-E805-40B4-A0AE-44C50C43C825}" destId="{4A03D2C0-735E-4781-872C-5F7134641B52}" srcOrd="1" destOrd="0" presId="urn:microsoft.com/office/officeart/2005/8/layout/hierarchy4"/>
    <dgm:cxn modelId="{BA6646BF-3052-4A57-A83E-39B0466D260E}" type="presParOf" srcId="{D5E8D6A2-6AE6-4A15-92DE-D22A7945D29E}" destId="{439947F3-0DB0-4C57-8F6C-34A4476FE342}" srcOrd="1" destOrd="0" presId="urn:microsoft.com/office/officeart/2005/8/layout/hierarchy4"/>
    <dgm:cxn modelId="{AA1AA59D-B55C-467F-BA0E-8918603E5E22}" type="presParOf" srcId="{D5E8D6A2-6AE6-4A15-92DE-D22A7945D29E}" destId="{7559C577-45D6-473C-AE68-D0FCC0245C42}" srcOrd="2" destOrd="0" presId="urn:microsoft.com/office/officeart/2005/8/layout/hierarchy4"/>
    <dgm:cxn modelId="{9406BEC2-A06D-48D9-B505-AB5026AC9012}" type="presParOf" srcId="{7559C577-45D6-473C-AE68-D0FCC0245C42}" destId="{F8E13A93-A351-42C7-9F91-B0EA030FF1D0}" srcOrd="0" destOrd="0" presId="urn:microsoft.com/office/officeart/2005/8/layout/hierarchy4"/>
    <dgm:cxn modelId="{228667BF-34B0-439F-B581-FECC7C7D842D}" type="presParOf" srcId="{7559C577-45D6-473C-AE68-D0FCC0245C42}" destId="{718CA1C5-9BB9-4CA6-827B-08BE2FBC989A}" srcOrd="1" destOrd="0" presId="urn:microsoft.com/office/officeart/2005/8/layout/hierarchy4"/>
    <dgm:cxn modelId="{134D6CFF-D579-4AB2-A890-7B007886EBE6}" type="presParOf" srcId="{D5E8D6A2-6AE6-4A15-92DE-D22A7945D29E}" destId="{4C178DA3-C575-490C-8AF7-AA42EE8965B6}" srcOrd="3" destOrd="0" presId="urn:microsoft.com/office/officeart/2005/8/layout/hierarchy4"/>
    <dgm:cxn modelId="{79B1F83A-6BC2-4486-828A-75EEEB64531B}" type="presParOf" srcId="{D5E8D6A2-6AE6-4A15-92DE-D22A7945D29E}" destId="{44E37445-23D2-4527-ADD6-DFDC34680FD5}" srcOrd="4" destOrd="0" presId="urn:microsoft.com/office/officeart/2005/8/layout/hierarchy4"/>
    <dgm:cxn modelId="{95862245-BEBA-4010-A76E-E5CE9005BD21}" type="presParOf" srcId="{44E37445-23D2-4527-ADD6-DFDC34680FD5}" destId="{554E405B-A467-40F8-9A17-7A1A4C34C170}" srcOrd="0" destOrd="0" presId="urn:microsoft.com/office/officeart/2005/8/layout/hierarchy4"/>
    <dgm:cxn modelId="{2036F935-DE59-4A41-8F08-C7D75EDC32D2}" type="presParOf" srcId="{44E37445-23D2-4527-ADD6-DFDC34680FD5}" destId="{BD9BFC06-D03D-48C4-9476-06E9BEAA16F6}" srcOrd="1" destOrd="0" presId="urn:microsoft.com/office/officeart/2005/8/layout/hierarchy4"/>
    <dgm:cxn modelId="{0FBE08DE-C799-4640-B3DA-E00317E8FE04}" type="presParOf" srcId="{D5E8D6A2-6AE6-4A15-92DE-D22A7945D29E}" destId="{4873570E-EF36-4B84-B2D2-FB1339619D2A}" srcOrd="5" destOrd="0" presId="urn:microsoft.com/office/officeart/2005/8/layout/hierarchy4"/>
    <dgm:cxn modelId="{C2C82B29-1050-4157-8067-002A91AEA829}" type="presParOf" srcId="{D5E8D6A2-6AE6-4A15-92DE-D22A7945D29E}" destId="{EC08DEE7-3FCE-4B6F-B89E-317E7B28136B}" srcOrd="6" destOrd="0" presId="urn:microsoft.com/office/officeart/2005/8/layout/hierarchy4"/>
    <dgm:cxn modelId="{03C53C6E-6E0B-422B-BB20-838FD3DB76FD}" type="presParOf" srcId="{EC08DEE7-3FCE-4B6F-B89E-317E7B28136B}" destId="{E0ED6E08-C55C-4622-9080-0FE29291A0DB}" srcOrd="0" destOrd="0" presId="urn:microsoft.com/office/officeart/2005/8/layout/hierarchy4"/>
    <dgm:cxn modelId="{EA5A3263-05D7-48BF-B896-F9AA9C8423A5}" type="presParOf" srcId="{EC08DEE7-3FCE-4B6F-B89E-317E7B28136B}" destId="{DAA6CC37-F1D6-48B4-BAFC-58AFE85DCA38}" srcOrd="1" destOrd="0" presId="urn:microsoft.com/office/officeart/2005/8/layout/hierarchy4"/>
    <dgm:cxn modelId="{300FD405-AB3E-4668-B642-70190EDDA3CA}" type="presParOf" srcId="{D5E8D6A2-6AE6-4A15-92DE-D22A7945D29E}" destId="{0311E1B4-88D6-4376-8F03-3D23E0F0C91D}" srcOrd="7" destOrd="0" presId="urn:microsoft.com/office/officeart/2005/8/layout/hierarchy4"/>
    <dgm:cxn modelId="{29CD6B5D-58E6-4ACA-81B6-C9F2B8A084CD}" type="presParOf" srcId="{D5E8D6A2-6AE6-4A15-92DE-D22A7945D29E}" destId="{11577232-22E6-4F21-B8BA-7645C60D748E}" srcOrd="8" destOrd="0" presId="urn:microsoft.com/office/officeart/2005/8/layout/hierarchy4"/>
    <dgm:cxn modelId="{7AAE4F4C-8E91-40DC-8205-D9B803898177}" type="presParOf" srcId="{11577232-22E6-4F21-B8BA-7645C60D748E}" destId="{3199E129-5594-4968-BE02-2A18757A2BD3}" srcOrd="0" destOrd="0" presId="urn:microsoft.com/office/officeart/2005/8/layout/hierarchy4"/>
    <dgm:cxn modelId="{C214DA60-C153-46BC-A4EA-669C231EF4E5}" type="presParOf" srcId="{11577232-22E6-4F21-B8BA-7645C60D748E}" destId="{2EF807ED-7770-436C-B23F-F1CCC9D39D89}"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165F12-8DF2-48D4-AB55-A0FBB58B77D7}">
      <dsp:nvSpPr>
        <dsp:cNvPr id="0" name=""/>
        <dsp:cNvSpPr/>
      </dsp:nvSpPr>
      <dsp:spPr>
        <a:xfrm>
          <a:off x="0" y="0"/>
          <a:ext cx="5551789" cy="28717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a:t>
          </a:r>
          <a:r>
            <a:rPr lang="ro-RO"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ondurile asigurării obligatorii de asistență medicală</a:t>
          </a:r>
          <a:endPar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sp:txBody>
      <dsp:txXfrm>
        <a:off x="8411" y="8411"/>
        <a:ext cx="5534967" cy="270353"/>
      </dsp:txXfrm>
    </dsp:sp>
    <dsp:sp modelId="{FFE0FD36-8C1A-4FAD-88E5-6BDBDEBC78EE}">
      <dsp:nvSpPr>
        <dsp:cNvPr id="0" name=""/>
        <dsp:cNvSpPr/>
      </dsp:nvSpPr>
      <dsp:spPr>
        <a:xfrm>
          <a:off x="2230"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Fondul pentru achitarea serviciilor m</a:t>
          </a:r>
          <a:r>
            <a:rPr lang="x-none"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e</a:t>
          </a:r>
          <a:r>
            <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dicale </a:t>
          </a:r>
          <a:endParaRPr lang="en-US" sz="1000"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sp:txBody>
      <dsp:txXfrm>
        <a:off x="20872" y="485965"/>
        <a:ext cx="1003156" cy="599201"/>
      </dsp:txXfrm>
    </dsp:sp>
    <dsp:sp modelId="{F8E13A93-A351-42C7-9F91-B0EA030FF1D0}">
      <dsp:nvSpPr>
        <dsp:cNvPr id="0" name=""/>
        <dsp:cNvSpPr/>
      </dsp:nvSpPr>
      <dsp:spPr>
        <a:xfrm>
          <a:off x="1130067"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a:t>
          </a:r>
          <a:r>
            <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ondul de </a:t>
          </a:r>
          <a:r>
            <a:rPr lang="x-none"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dezvoltare și modernizare</a:t>
          </a:r>
          <a:endParaRPr lang="ro-RO"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endParaRPr>
        </a:p>
      </dsp:txBody>
      <dsp:txXfrm>
        <a:off x="1148709" y="485965"/>
        <a:ext cx="1003156" cy="599201"/>
      </dsp:txXfrm>
    </dsp:sp>
    <dsp:sp modelId="{554E405B-A467-40F8-9A17-7A1A4C34C170}">
      <dsp:nvSpPr>
        <dsp:cNvPr id="0" name=""/>
        <dsp:cNvSpPr/>
      </dsp:nvSpPr>
      <dsp:spPr>
        <a:xfrm>
          <a:off x="2257904"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a:t>
          </a:r>
          <a:r>
            <a:rPr lang="en-US"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ondul de administrare a </a:t>
          </a:r>
          <a:r>
            <a:rPr lang="x-none" sz="1000" b="1" kern="1200">
              <a:solidFill>
                <a:sysClr val="windowText" lastClr="000000"/>
              </a:solidFill>
              <a:latin typeface="Calibri Light" panose="020F0302020204030204"/>
              <a:ea typeface="+mn-ea"/>
              <a:cs typeface="Times New Roman" panose="02020603050405020304" pitchFamily="18" charset="0"/>
            </a:rPr>
            <a:t>SAOAM</a:t>
          </a:r>
          <a:endParaRPr lang="ro-RO" sz="1000" b="1" kern="1200">
            <a:solidFill>
              <a:sysClr val="windowText" lastClr="000000"/>
            </a:solidFill>
            <a:latin typeface="Calibri Light" panose="020F0302020204030204"/>
            <a:ea typeface="+mn-ea"/>
            <a:cs typeface="Times New Roman" panose="02020603050405020304" pitchFamily="18" charset="0"/>
          </a:endParaRPr>
        </a:p>
      </dsp:txBody>
      <dsp:txXfrm>
        <a:off x="2276546" y="485965"/>
        <a:ext cx="1003156" cy="599201"/>
      </dsp:txXfrm>
    </dsp:sp>
    <dsp:sp modelId="{E0ED6E08-C55C-4622-9080-0FE29291A0DB}">
      <dsp:nvSpPr>
        <dsp:cNvPr id="0" name=""/>
        <dsp:cNvSpPr/>
      </dsp:nvSpPr>
      <dsp:spPr>
        <a:xfrm>
          <a:off x="3385742"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rPr>
            <a:t>F</a:t>
          </a:r>
          <a:r>
            <a:rPr lang="en-US" sz="1000" b="1" kern="120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rPr>
            <a:t>ondul de</a:t>
          </a:r>
          <a:r>
            <a:rPr lang="x-none" sz="1000" b="1" kern="120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rPr>
            <a:t> rezervă</a:t>
          </a:r>
          <a:endParaRPr lang="ro-RO" sz="1000" b="1" kern="1200" cap="none" spc="0">
            <a:ln w="0"/>
            <a:solidFill>
              <a:sysClr val="windowText" lastClr="000000"/>
            </a:solidFill>
            <a:effectLst>
              <a:outerShdw blurRad="38100" dist="19050" dir="2700000" algn="tl" rotWithShape="0">
                <a:sysClr val="windowText" lastClr="000000">
                  <a:alpha val="40000"/>
                </a:sysClr>
              </a:outerShdw>
            </a:effectLst>
            <a:latin typeface="Calibri Light" panose="020F0302020204030204"/>
            <a:ea typeface="+mn-ea"/>
            <a:cs typeface="Times New Roman" panose="02020603050405020304" pitchFamily="18" charset="0"/>
          </a:endParaRPr>
        </a:p>
      </dsp:txBody>
      <dsp:txXfrm>
        <a:off x="3404384" y="485965"/>
        <a:ext cx="1003156" cy="599201"/>
      </dsp:txXfrm>
    </dsp:sp>
    <dsp:sp modelId="{3199E129-5594-4968-BE02-2A18757A2BD3}">
      <dsp:nvSpPr>
        <dsp:cNvPr id="0" name=""/>
        <dsp:cNvSpPr/>
      </dsp:nvSpPr>
      <dsp:spPr>
        <a:xfrm>
          <a:off x="4513579" y="467323"/>
          <a:ext cx="1040440" cy="636485"/>
        </a:xfrm>
        <a:prstGeom prst="roundRect">
          <a:avLst>
            <a:gd name="adj" fmla="val 10000"/>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x-none" sz="1000" b="1" kern="1200">
              <a:solidFill>
                <a:sysClr val="windowText" lastClr="000000">
                  <a:hueOff val="0"/>
                  <a:satOff val="0"/>
                  <a:lumOff val="0"/>
                  <a:alphaOff val="0"/>
                </a:sysClr>
              </a:solidFill>
              <a:latin typeface="Calibri Light" panose="020F0302020204030204"/>
              <a:ea typeface="+mn-ea"/>
              <a:cs typeface="Times New Roman" panose="02020603050405020304" pitchFamily="18" charset="0"/>
            </a:rPr>
            <a:t>Fondul măsurilor de profilaxie </a:t>
          </a:r>
        </a:p>
      </dsp:txBody>
      <dsp:txXfrm>
        <a:off x="4532221" y="485965"/>
        <a:ext cx="1003156" cy="5992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2375-193A-419E-8453-4BB14ED0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16152</Words>
  <Characters>92067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Pintea Irina</dc:creator>
  <cp:keywords/>
  <dc:description/>
  <cp:lastModifiedBy>Paiu Eugenia</cp:lastModifiedBy>
  <cp:revision>2</cp:revision>
  <cp:lastPrinted>2021-05-24T12:54:00Z</cp:lastPrinted>
  <dcterms:created xsi:type="dcterms:W3CDTF">2021-06-10T11:48:00Z</dcterms:created>
  <dcterms:modified xsi:type="dcterms:W3CDTF">2021-06-10T11:48:00Z</dcterms:modified>
</cp:coreProperties>
</file>