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CE61" w14:textId="77777777" w:rsidR="008A006A" w:rsidRPr="00EF6010" w:rsidRDefault="008A006A" w:rsidP="008A006A">
      <w:pPr>
        <w:pStyle w:val="cn"/>
        <w:spacing w:line="276" w:lineRule="auto"/>
        <w:rPr>
          <w:lang w:val="ro-RO"/>
        </w:rPr>
      </w:pPr>
      <w:r w:rsidRPr="00EF6010">
        <w:rPr>
          <w:noProof/>
          <w:sz w:val="26"/>
          <w:szCs w:val="26"/>
        </w:rPr>
        <w:drawing>
          <wp:inline distT="0" distB="0" distL="0" distR="0" wp14:anchorId="52DDD5E4" wp14:editId="2363703C">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353F2034" w14:textId="77777777" w:rsidR="008A006A" w:rsidRPr="00EF6010" w:rsidRDefault="008A006A" w:rsidP="008A006A">
      <w:pPr>
        <w:spacing w:after="0" w:line="276" w:lineRule="auto"/>
        <w:jc w:val="center"/>
        <w:rPr>
          <w:rFonts w:ascii="Times New Roman" w:eastAsia="Times New Roman" w:hAnsi="Times New Roman" w:cs="Times New Roman"/>
          <w:b/>
          <w:bCs/>
          <w:sz w:val="16"/>
          <w:szCs w:val="16"/>
          <w:lang w:val="ro-RO"/>
        </w:rPr>
      </w:pPr>
    </w:p>
    <w:p w14:paraId="51C330DF" w14:textId="77777777" w:rsidR="008A006A" w:rsidRPr="00EF6010" w:rsidRDefault="008A006A" w:rsidP="008A006A">
      <w:pPr>
        <w:spacing w:after="0" w:line="276" w:lineRule="auto"/>
        <w:jc w:val="center"/>
        <w:rPr>
          <w:rFonts w:ascii="Calibri Light" w:eastAsia="Times New Roman" w:hAnsi="Calibri Light" w:cs="Calibri Light"/>
          <w:bCs/>
          <w:sz w:val="28"/>
          <w:szCs w:val="28"/>
          <w:lang w:val="ro-RO"/>
        </w:rPr>
      </w:pPr>
      <w:r w:rsidRPr="00EF6010">
        <w:rPr>
          <w:rFonts w:ascii="Calibri Light" w:eastAsia="Times New Roman" w:hAnsi="Calibri Light" w:cs="Calibri Light"/>
          <w:bCs/>
          <w:sz w:val="28"/>
          <w:szCs w:val="28"/>
          <w:lang w:val="ro-RO"/>
        </w:rPr>
        <w:t>CURTEA DE CONTURI A REPUBLICII MOLDOVA</w:t>
      </w:r>
    </w:p>
    <w:p w14:paraId="4836CDE0" w14:textId="77777777" w:rsidR="008A006A" w:rsidRPr="00EF6010" w:rsidRDefault="008A006A" w:rsidP="008A006A">
      <w:pPr>
        <w:spacing w:after="0" w:line="276" w:lineRule="auto"/>
        <w:jc w:val="center"/>
        <w:rPr>
          <w:rFonts w:ascii="Calibri Light" w:eastAsia="Times New Roman" w:hAnsi="Calibri Light" w:cs="Calibri Light"/>
          <w:bCs/>
          <w:sz w:val="28"/>
          <w:szCs w:val="28"/>
          <w:lang w:val="ro-RO"/>
        </w:rPr>
      </w:pPr>
    </w:p>
    <w:p w14:paraId="7984F5AB" w14:textId="77777777" w:rsidR="008A006A" w:rsidRPr="00EF6010" w:rsidRDefault="008A006A" w:rsidP="008A006A">
      <w:pPr>
        <w:spacing w:after="0" w:line="276" w:lineRule="auto"/>
        <w:jc w:val="center"/>
        <w:rPr>
          <w:rFonts w:ascii="Calibri Light" w:eastAsia="Times New Roman" w:hAnsi="Calibri Light" w:cs="Calibri Light"/>
          <w:b/>
          <w:bCs/>
          <w:sz w:val="28"/>
          <w:szCs w:val="28"/>
          <w:lang w:val="ro-RO"/>
        </w:rPr>
      </w:pPr>
      <w:bookmarkStart w:id="0" w:name="_Toc450123757"/>
      <w:r w:rsidRPr="00EF6010">
        <w:rPr>
          <w:rFonts w:ascii="Calibri Light" w:eastAsia="Times New Roman" w:hAnsi="Calibri Light" w:cs="Calibri Light"/>
          <w:b/>
          <w:bCs/>
          <w:sz w:val="28"/>
          <w:szCs w:val="28"/>
          <w:lang w:val="ro-RO"/>
        </w:rPr>
        <w:t>H O T Ă R Â R E A nr.</w:t>
      </w:r>
      <w:bookmarkEnd w:id="0"/>
      <w:r w:rsidR="00372F5B" w:rsidRPr="00EF6010">
        <w:rPr>
          <w:rFonts w:ascii="Calibri Light" w:eastAsia="Times New Roman" w:hAnsi="Calibri Light" w:cs="Calibri Light"/>
          <w:b/>
          <w:bCs/>
          <w:sz w:val="28"/>
          <w:szCs w:val="28"/>
          <w:lang w:val="ro-RO"/>
        </w:rPr>
        <w:t xml:space="preserve"> 34</w:t>
      </w:r>
    </w:p>
    <w:p w14:paraId="7CD1A584" w14:textId="690A1133" w:rsidR="008A006A" w:rsidRPr="00EF6010" w:rsidRDefault="008A006A" w:rsidP="008A006A">
      <w:pPr>
        <w:spacing w:after="0" w:line="276" w:lineRule="auto"/>
        <w:jc w:val="center"/>
        <w:rPr>
          <w:rFonts w:ascii="Calibri Light" w:eastAsia="Times New Roman" w:hAnsi="Calibri Light" w:cs="Calibri Light"/>
          <w:bCs/>
          <w:sz w:val="28"/>
          <w:szCs w:val="28"/>
          <w:lang w:val="ro-RO"/>
        </w:rPr>
      </w:pPr>
      <w:r w:rsidRPr="00EF6010">
        <w:rPr>
          <w:rFonts w:ascii="Calibri Light" w:eastAsia="Times New Roman" w:hAnsi="Calibri Light" w:cs="Calibri Light"/>
          <w:bCs/>
          <w:sz w:val="28"/>
          <w:szCs w:val="28"/>
          <w:lang w:val="ro-RO"/>
        </w:rPr>
        <w:t xml:space="preserve">din </w:t>
      </w:r>
      <w:r w:rsidR="00372F5B" w:rsidRPr="00EF6010">
        <w:rPr>
          <w:rFonts w:ascii="Calibri Light" w:eastAsia="Times New Roman" w:hAnsi="Calibri Light" w:cs="Calibri Light"/>
          <w:bCs/>
          <w:sz w:val="28"/>
          <w:szCs w:val="28"/>
          <w:lang w:val="ro-RO"/>
        </w:rPr>
        <w:t>0</w:t>
      </w:r>
      <w:r w:rsidR="000159E3">
        <w:rPr>
          <w:rFonts w:ascii="Calibri Light" w:eastAsia="Times New Roman" w:hAnsi="Calibri Light" w:cs="Calibri Light"/>
          <w:bCs/>
          <w:sz w:val="28"/>
          <w:szCs w:val="28"/>
          <w:lang w:val="ro-RO"/>
        </w:rPr>
        <w:t>5</w:t>
      </w:r>
      <w:r w:rsidRPr="00EF6010">
        <w:rPr>
          <w:rFonts w:ascii="Calibri Light" w:eastAsia="Times New Roman" w:hAnsi="Calibri Light" w:cs="Calibri Light"/>
          <w:bCs/>
          <w:sz w:val="28"/>
          <w:szCs w:val="28"/>
          <w:lang w:val="ro-RO"/>
        </w:rPr>
        <w:t xml:space="preserve"> </w:t>
      </w:r>
      <w:r w:rsidR="00D734A9" w:rsidRPr="00EF6010">
        <w:rPr>
          <w:rFonts w:ascii="Calibri Light" w:eastAsia="Times New Roman" w:hAnsi="Calibri Light" w:cs="Calibri Light"/>
          <w:bCs/>
          <w:sz w:val="28"/>
          <w:szCs w:val="28"/>
          <w:lang w:val="ro-RO"/>
        </w:rPr>
        <w:t>iulie</w:t>
      </w:r>
      <w:r w:rsidRPr="00EF6010">
        <w:rPr>
          <w:rFonts w:ascii="Calibri Light" w:eastAsia="Times New Roman" w:hAnsi="Calibri Light" w:cs="Calibri Light"/>
          <w:bCs/>
          <w:sz w:val="28"/>
          <w:szCs w:val="28"/>
          <w:lang w:val="ro-RO"/>
        </w:rPr>
        <w:t xml:space="preserve"> 2021</w:t>
      </w:r>
    </w:p>
    <w:p w14:paraId="11C7B7A9" w14:textId="77777777" w:rsidR="008A006A" w:rsidRPr="00EF6010" w:rsidRDefault="008A006A" w:rsidP="008A006A">
      <w:pPr>
        <w:spacing w:after="0" w:line="276" w:lineRule="auto"/>
        <w:jc w:val="center"/>
        <w:rPr>
          <w:rFonts w:ascii="Times New Roman" w:eastAsia="Times New Roman" w:hAnsi="Times New Roman" w:cs="Times New Roman"/>
          <w:bCs/>
          <w:sz w:val="28"/>
          <w:szCs w:val="28"/>
          <w:lang w:val="ro-RO"/>
        </w:rPr>
      </w:pPr>
    </w:p>
    <w:p w14:paraId="35DD87DE" w14:textId="77777777" w:rsidR="00BA0E1E" w:rsidRPr="00EF6010" w:rsidRDefault="008A006A" w:rsidP="00BA0E1E">
      <w:pPr>
        <w:spacing w:after="0" w:line="276" w:lineRule="auto"/>
        <w:jc w:val="center"/>
        <w:rPr>
          <w:rFonts w:asciiTheme="majorHAnsi" w:eastAsia="Times New Roman" w:hAnsiTheme="majorHAnsi" w:cs="Times New Roman"/>
          <w:b/>
          <w:bCs/>
          <w:sz w:val="24"/>
          <w:szCs w:val="24"/>
          <w:lang w:val="ro-RO" w:eastAsia="ru-RU"/>
        </w:rPr>
      </w:pPr>
      <w:r w:rsidRPr="00EF6010">
        <w:rPr>
          <w:rFonts w:asciiTheme="majorHAnsi" w:eastAsia="Times New Roman" w:hAnsiTheme="majorHAnsi" w:cs="Times New Roman"/>
          <w:b/>
          <w:bCs/>
          <w:sz w:val="24"/>
          <w:szCs w:val="24"/>
          <w:lang w:val="ro-RO" w:eastAsia="ru-RU"/>
        </w:rPr>
        <w:t xml:space="preserve">cu privire la </w:t>
      </w:r>
      <w:r w:rsidR="00BA0E1E" w:rsidRPr="00EF6010">
        <w:rPr>
          <w:rFonts w:asciiTheme="majorHAnsi" w:eastAsia="Times New Roman" w:hAnsiTheme="majorHAnsi" w:cs="Times New Roman"/>
          <w:b/>
          <w:bCs/>
          <w:sz w:val="24"/>
          <w:szCs w:val="24"/>
          <w:lang w:val="ro-RO" w:eastAsia="ru-RU"/>
        </w:rPr>
        <w:t xml:space="preserve">Raportul auditului conformității achizițiilor publice </w:t>
      </w:r>
    </w:p>
    <w:p w14:paraId="0EB20F57" w14:textId="77777777" w:rsidR="008A006A" w:rsidRPr="00EF6010" w:rsidRDefault="00BA0E1E" w:rsidP="00BA0E1E">
      <w:pPr>
        <w:spacing w:after="0" w:line="276" w:lineRule="auto"/>
        <w:jc w:val="center"/>
        <w:rPr>
          <w:rFonts w:asciiTheme="majorHAnsi" w:eastAsia="Times New Roman" w:hAnsiTheme="majorHAnsi" w:cs="Times New Roman"/>
          <w:b/>
          <w:bCs/>
          <w:sz w:val="24"/>
          <w:szCs w:val="24"/>
          <w:lang w:val="ro-RO" w:eastAsia="ru-RU"/>
        </w:rPr>
      </w:pPr>
      <w:r w:rsidRPr="00EF6010">
        <w:rPr>
          <w:rFonts w:asciiTheme="majorHAnsi" w:eastAsia="Times New Roman" w:hAnsiTheme="majorHAnsi" w:cs="Times New Roman"/>
          <w:b/>
          <w:bCs/>
          <w:sz w:val="24"/>
          <w:szCs w:val="24"/>
          <w:lang w:val="ro-RO" w:eastAsia="ru-RU"/>
        </w:rPr>
        <w:t>în cadrul sistemului Ministerului Apărării în anii 2019-2020</w:t>
      </w:r>
    </w:p>
    <w:p w14:paraId="60033F37" w14:textId="77777777" w:rsidR="00BA0E1E" w:rsidRPr="00EF6010" w:rsidRDefault="00BA0E1E" w:rsidP="00BA0E1E">
      <w:pPr>
        <w:spacing w:after="0" w:line="276" w:lineRule="auto"/>
        <w:jc w:val="center"/>
        <w:rPr>
          <w:rFonts w:asciiTheme="majorHAnsi" w:eastAsia="Times New Roman" w:hAnsiTheme="majorHAnsi" w:cs="Times New Roman"/>
          <w:sz w:val="24"/>
          <w:szCs w:val="24"/>
          <w:lang w:val="ro-RO"/>
        </w:rPr>
      </w:pPr>
    </w:p>
    <w:p w14:paraId="779D0D2D" w14:textId="740322C0" w:rsidR="00965210" w:rsidRPr="00EF6010" w:rsidRDefault="007B6060" w:rsidP="008A006A">
      <w:pPr>
        <w:spacing w:after="0" w:line="276" w:lineRule="auto"/>
        <w:ind w:firstLine="567"/>
        <w:jc w:val="both"/>
        <w:rPr>
          <w:rFonts w:asciiTheme="majorHAnsi" w:hAnsiTheme="majorHAnsi"/>
          <w:sz w:val="24"/>
          <w:szCs w:val="24"/>
          <w:lang w:val="ro-RO"/>
        </w:rPr>
      </w:pPr>
      <w:r w:rsidRPr="00EF6010">
        <w:rPr>
          <w:rFonts w:asciiTheme="majorHAnsi" w:hAnsiTheme="majorHAnsi"/>
          <w:sz w:val="24"/>
          <w:szCs w:val="24"/>
          <w:lang w:val="ro-RO"/>
        </w:rPr>
        <w:t xml:space="preserve">Curtea de Conturi, în prezența dlui Vladimir </w:t>
      </w:r>
      <w:proofErr w:type="spellStart"/>
      <w:r w:rsidRPr="00EF6010">
        <w:rPr>
          <w:rFonts w:asciiTheme="majorHAnsi" w:hAnsiTheme="majorHAnsi"/>
          <w:sz w:val="24"/>
          <w:szCs w:val="24"/>
          <w:lang w:val="ro-RO"/>
        </w:rPr>
        <w:t>Iliev</w:t>
      </w:r>
      <w:proofErr w:type="spellEnd"/>
      <w:r w:rsidRPr="00EF6010">
        <w:rPr>
          <w:rFonts w:asciiTheme="majorHAnsi" w:hAnsiTheme="majorHAnsi"/>
          <w:sz w:val="24"/>
          <w:szCs w:val="24"/>
          <w:lang w:val="ro-RO"/>
        </w:rPr>
        <w:t xml:space="preserve">, Secretar de Stat al Ministerului Apărării; </w:t>
      </w:r>
      <w:r w:rsidR="0040502F" w:rsidRPr="00EF6010">
        <w:rPr>
          <w:rFonts w:asciiTheme="majorHAnsi" w:hAnsiTheme="majorHAnsi"/>
          <w:sz w:val="24"/>
          <w:szCs w:val="24"/>
          <w:lang w:val="ro-RO"/>
        </w:rPr>
        <w:t xml:space="preserve">dlui </w:t>
      </w:r>
      <w:proofErr w:type="spellStart"/>
      <w:r w:rsidR="0040502F" w:rsidRPr="00EF6010">
        <w:rPr>
          <w:rFonts w:asciiTheme="majorHAnsi" w:hAnsiTheme="majorHAnsi"/>
          <w:sz w:val="24"/>
          <w:szCs w:val="24"/>
          <w:lang w:val="ro-RO"/>
        </w:rPr>
        <w:t>Gleb</w:t>
      </w:r>
      <w:proofErr w:type="spellEnd"/>
      <w:r w:rsidR="0040502F" w:rsidRPr="00EF6010">
        <w:rPr>
          <w:rFonts w:asciiTheme="majorHAnsi" w:hAnsiTheme="majorHAnsi"/>
          <w:sz w:val="24"/>
          <w:szCs w:val="24"/>
          <w:lang w:val="ro-RO"/>
        </w:rPr>
        <w:t xml:space="preserve"> Coca, șef al Direcției planificare resurse financiare și </w:t>
      </w:r>
      <w:proofErr w:type="spellStart"/>
      <w:r w:rsidR="0040502F" w:rsidRPr="00EF6010">
        <w:rPr>
          <w:rFonts w:asciiTheme="majorHAnsi" w:hAnsiTheme="majorHAnsi"/>
          <w:sz w:val="24"/>
          <w:szCs w:val="24"/>
          <w:lang w:val="ro-RO"/>
        </w:rPr>
        <w:t>tehnico</w:t>
      </w:r>
      <w:proofErr w:type="spellEnd"/>
      <w:r w:rsidR="0040502F" w:rsidRPr="00EF6010">
        <w:rPr>
          <w:rFonts w:asciiTheme="majorHAnsi" w:hAnsiTheme="majorHAnsi"/>
          <w:sz w:val="24"/>
          <w:szCs w:val="24"/>
          <w:lang w:val="ro-RO"/>
        </w:rPr>
        <w:t xml:space="preserve">-materiale, buget și finanțe a Ministerului Apărării; </w:t>
      </w:r>
      <w:r w:rsidRPr="00EF6010">
        <w:rPr>
          <w:rFonts w:asciiTheme="majorHAnsi" w:hAnsiTheme="majorHAnsi"/>
          <w:sz w:val="24"/>
          <w:szCs w:val="24"/>
          <w:lang w:val="ro-RO"/>
        </w:rPr>
        <w:t xml:space="preserve">dlui Sergiu </w:t>
      </w:r>
      <w:proofErr w:type="spellStart"/>
      <w:r w:rsidRPr="00EF6010">
        <w:rPr>
          <w:rFonts w:asciiTheme="majorHAnsi" w:hAnsiTheme="majorHAnsi"/>
          <w:sz w:val="24"/>
          <w:szCs w:val="24"/>
          <w:lang w:val="ro-RO"/>
        </w:rPr>
        <w:t>Voinu</w:t>
      </w:r>
      <w:proofErr w:type="spellEnd"/>
      <w:r w:rsidRPr="00EF6010">
        <w:rPr>
          <w:rFonts w:asciiTheme="majorHAnsi" w:hAnsiTheme="majorHAnsi"/>
          <w:sz w:val="24"/>
          <w:szCs w:val="24"/>
          <w:lang w:val="ro-RO"/>
        </w:rPr>
        <w:t xml:space="preserve">, director al Agenției de asigurare resurse și administrare patrimoniu a Ministerului Apărării; </w:t>
      </w:r>
      <w:r w:rsidR="0040502F" w:rsidRPr="00EF6010">
        <w:rPr>
          <w:rFonts w:asciiTheme="majorHAnsi" w:hAnsiTheme="majorHAnsi"/>
          <w:sz w:val="24"/>
          <w:szCs w:val="24"/>
          <w:lang w:val="ro-RO"/>
        </w:rPr>
        <w:t xml:space="preserve">dlui Stanislav Pojar, șef al Direcției achiziții publice a Agenției de asigurare resurse și administrare patrimoniu a Ministerului Apărării; dlui Tudor </w:t>
      </w:r>
      <w:proofErr w:type="spellStart"/>
      <w:r w:rsidR="0040502F" w:rsidRPr="00EF6010">
        <w:rPr>
          <w:rFonts w:asciiTheme="majorHAnsi" w:hAnsiTheme="majorHAnsi"/>
          <w:sz w:val="24"/>
          <w:szCs w:val="24"/>
          <w:lang w:val="ro-RO"/>
        </w:rPr>
        <w:t>Lașcu</w:t>
      </w:r>
      <w:proofErr w:type="spellEnd"/>
      <w:r w:rsidR="0040502F" w:rsidRPr="00EF6010">
        <w:rPr>
          <w:rFonts w:asciiTheme="majorHAnsi" w:hAnsiTheme="majorHAnsi"/>
          <w:sz w:val="24"/>
          <w:szCs w:val="24"/>
          <w:lang w:val="ro-RO"/>
        </w:rPr>
        <w:t>, șef al Direcției administrare bunuri imobile a Agenției de asigurare resurse și administrare patrimoniu a Ministerului Apărării;</w:t>
      </w:r>
      <w:r w:rsidR="00525AE7" w:rsidRPr="00EF6010">
        <w:rPr>
          <w:rFonts w:asciiTheme="majorHAnsi" w:hAnsiTheme="majorHAnsi"/>
          <w:sz w:val="24"/>
          <w:szCs w:val="24"/>
          <w:lang w:val="ro-RO"/>
        </w:rPr>
        <w:t xml:space="preserve"> </w:t>
      </w:r>
      <w:r w:rsidRPr="00EF6010">
        <w:rPr>
          <w:rFonts w:asciiTheme="majorHAnsi" w:hAnsiTheme="majorHAnsi"/>
          <w:sz w:val="24"/>
          <w:szCs w:val="24"/>
          <w:lang w:val="ro-RO"/>
        </w:rPr>
        <w:t>dlui Alexei Munteanu, șef al Direcției managementul financiar al Marelui Stat Major; dlui Iurie Bruma</w:t>
      </w:r>
      <w:r w:rsidR="00965210" w:rsidRPr="00EF6010">
        <w:rPr>
          <w:rFonts w:asciiTheme="majorHAnsi" w:hAnsiTheme="majorHAnsi"/>
          <w:sz w:val="24"/>
          <w:szCs w:val="24"/>
          <w:lang w:val="ro-RO"/>
        </w:rPr>
        <w:t>,</w:t>
      </w:r>
      <w:r w:rsidRPr="00EF6010">
        <w:rPr>
          <w:rFonts w:asciiTheme="majorHAnsi" w:hAnsiTheme="majorHAnsi"/>
          <w:sz w:val="24"/>
          <w:szCs w:val="24"/>
          <w:lang w:val="ro-RO"/>
        </w:rPr>
        <w:t xml:space="preserve"> șef al J4 Direcți</w:t>
      </w:r>
      <w:r w:rsidR="00C944C5" w:rsidRPr="00EF6010">
        <w:rPr>
          <w:rFonts w:asciiTheme="majorHAnsi" w:hAnsiTheme="majorHAnsi"/>
          <w:sz w:val="24"/>
          <w:szCs w:val="24"/>
          <w:lang w:val="ro-RO"/>
        </w:rPr>
        <w:t>a</w:t>
      </w:r>
      <w:r w:rsidRPr="00EF6010">
        <w:rPr>
          <w:rFonts w:asciiTheme="majorHAnsi" w:hAnsiTheme="majorHAnsi"/>
          <w:sz w:val="24"/>
          <w:szCs w:val="24"/>
          <w:lang w:val="ro-RO"/>
        </w:rPr>
        <w:t xml:space="preserve"> logistică a Marelui Stat Major; </w:t>
      </w:r>
      <w:r w:rsidR="00525AE7" w:rsidRPr="00EF6010">
        <w:rPr>
          <w:rFonts w:asciiTheme="majorHAnsi" w:hAnsiTheme="majorHAnsi"/>
          <w:sz w:val="24"/>
          <w:szCs w:val="24"/>
          <w:lang w:val="ro-RO"/>
        </w:rPr>
        <w:t xml:space="preserve">dlui Sergiu </w:t>
      </w:r>
      <w:proofErr w:type="spellStart"/>
      <w:r w:rsidR="00C30D62" w:rsidRPr="00EF6010">
        <w:rPr>
          <w:rFonts w:asciiTheme="majorHAnsi" w:hAnsiTheme="majorHAnsi"/>
          <w:sz w:val="24"/>
          <w:szCs w:val="24"/>
          <w:lang w:val="ro-RO"/>
        </w:rPr>
        <w:t>Căinăreanu</w:t>
      </w:r>
      <w:proofErr w:type="spellEnd"/>
      <w:r w:rsidR="00C30D62" w:rsidRPr="00EF6010">
        <w:rPr>
          <w:rFonts w:asciiTheme="majorHAnsi" w:hAnsiTheme="majorHAnsi"/>
          <w:sz w:val="24"/>
          <w:szCs w:val="24"/>
          <w:lang w:val="ro-RO"/>
        </w:rPr>
        <w:t>, șef al Direcției achiziții publice</w:t>
      </w:r>
      <w:r w:rsidR="00ED1FD7" w:rsidRPr="00EF6010">
        <w:rPr>
          <w:rFonts w:asciiTheme="majorHAnsi" w:hAnsiTheme="majorHAnsi"/>
          <w:sz w:val="24"/>
          <w:szCs w:val="24"/>
          <w:lang w:val="ro-RO"/>
        </w:rPr>
        <w:t xml:space="preserve"> a</w:t>
      </w:r>
      <w:r w:rsidR="00C30D62" w:rsidRPr="00EF6010">
        <w:rPr>
          <w:rFonts w:asciiTheme="majorHAnsi" w:hAnsiTheme="majorHAnsi"/>
          <w:sz w:val="24"/>
          <w:szCs w:val="24"/>
          <w:lang w:val="ro-RO"/>
        </w:rPr>
        <w:t xml:space="preserve"> Ministerul</w:t>
      </w:r>
      <w:r w:rsidR="00C944C5" w:rsidRPr="00EF6010">
        <w:rPr>
          <w:rFonts w:asciiTheme="majorHAnsi" w:hAnsiTheme="majorHAnsi"/>
          <w:sz w:val="24"/>
          <w:szCs w:val="24"/>
          <w:lang w:val="ro-RO"/>
        </w:rPr>
        <w:t>ui</w:t>
      </w:r>
      <w:r w:rsidR="00C30D62" w:rsidRPr="00EF6010">
        <w:rPr>
          <w:rFonts w:asciiTheme="majorHAnsi" w:hAnsiTheme="majorHAnsi"/>
          <w:sz w:val="24"/>
          <w:szCs w:val="24"/>
          <w:lang w:val="ro-RO"/>
        </w:rPr>
        <w:t xml:space="preserve"> Finanțelor; </w:t>
      </w:r>
      <w:r w:rsidR="00ED1FD7" w:rsidRPr="00EF6010">
        <w:rPr>
          <w:rFonts w:asciiTheme="majorHAnsi" w:hAnsiTheme="majorHAnsi"/>
          <w:sz w:val="24"/>
          <w:szCs w:val="24"/>
          <w:lang w:val="ro-RO"/>
        </w:rPr>
        <w:t xml:space="preserve">dlui Ghenadie </w:t>
      </w:r>
      <w:proofErr w:type="spellStart"/>
      <w:r w:rsidR="00ED1FD7" w:rsidRPr="00EF6010">
        <w:rPr>
          <w:rFonts w:asciiTheme="majorHAnsi" w:hAnsiTheme="majorHAnsi"/>
          <w:sz w:val="24"/>
          <w:szCs w:val="24"/>
          <w:lang w:val="ro-RO"/>
        </w:rPr>
        <w:t>V</w:t>
      </w:r>
      <w:r w:rsidR="004F06AA" w:rsidRPr="00EF6010">
        <w:rPr>
          <w:rFonts w:asciiTheme="majorHAnsi" w:hAnsiTheme="majorHAnsi"/>
          <w:sz w:val="24"/>
          <w:szCs w:val="24"/>
          <w:lang w:val="ro-RO"/>
        </w:rPr>
        <w:t>erlan</w:t>
      </w:r>
      <w:proofErr w:type="spellEnd"/>
      <w:r w:rsidR="00ED1FD7" w:rsidRPr="00EF6010">
        <w:rPr>
          <w:rFonts w:asciiTheme="majorHAnsi" w:hAnsiTheme="majorHAnsi"/>
          <w:sz w:val="24"/>
          <w:szCs w:val="24"/>
          <w:lang w:val="ro-RO"/>
        </w:rPr>
        <w:t>, consultant principal al Secției metodologie din cadrul Direcției Trezoreria de Stat a Ministerul</w:t>
      </w:r>
      <w:r w:rsidR="00C944C5" w:rsidRPr="00EF6010">
        <w:rPr>
          <w:rFonts w:asciiTheme="majorHAnsi" w:hAnsiTheme="majorHAnsi"/>
          <w:sz w:val="24"/>
          <w:szCs w:val="24"/>
          <w:lang w:val="ro-RO"/>
        </w:rPr>
        <w:t>ui</w:t>
      </w:r>
      <w:r w:rsidR="00ED1FD7" w:rsidRPr="00EF6010">
        <w:rPr>
          <w:rFonts w:asciiTheme="majorHAnsi" w:hAnsiTheme="majorHAnsi"/>
          <w:sz w:val="24"/>
          <w:szCs w:val="24"/>
          <w:lang w:val="ro-RO"/>
        </w:rPr>
        <w:t xml:space="preserve"> Finanțelor; </w:t>
      </w:r>
      <w:r w:rsidRPr="00EF6010">
        <w:rPr>
          <w:rFonts w:asciiTheme="majorHAnsi" w:hAnsiTheme="majorHAnsi"/>
          <w:sz w:val="24"/>
          <w:szCs w:val="24"/>
          <w:lang w:val="ro-RO"/>
        </w:rPr>
        <w:t xml:space="preserve">dnei Nadejda </w:t>
      </w:r>
      <w:proofErr w:type="spellStart"/>
      <w:r w:rsidRPr="00EF6010">
        <w:rPr>
          <w:rFonts w:asciiTheme="majorHAnsi" w:hAnsiTheme="majorHAnsi"/>
          <w:sz w:val="24"/>
          <w:szCs w:val="24"/>
          <w:lang w:val="ro-RO"/>
        </w:rPr>
        <w:t>Tanasov</w:t>
      </w:r>
      <w:proofErr w:type="spellEnd"/>
      <w:r w:rsidRPr="00EF6010">
        <w:rPr>
          <w:rFonts w:asciiTheme="majorHAnsi" w:hAnsiTheme="majorHAnsi"/>
          <w:sz w:val="24"/>
          <w:szCs w:val="24"/>
          <w:lang w:val="ro-RO"/>
        </w:rPr>
        <w:t xml:space="preserve">, șef al Direcției monitorizare din cadrul Agenției Achiziții Publice; </w:t>
      </w:r>
      <w:r w:rsidR="005F4411" w:rsidRPr="00EF6010">
        <w:rPr>
          <w:rFonts w:asciiTheme="majorHAnsi" w:hAnsiTheme="majorHAnsi"/>
          <w:sz w:val="24"/>
          <w:szCs w:val="24"/>
          <w:lang w:val="ro-RO"/>
        </w:rPr>
        <w:t xml:space="preserve">dlui Vladimir </w:t>
      </w:r>
      <w:proofErr w:type="spellStart"/>
      <w:r w:rsidR="005F4411" w:rsidRPr="00EF6010">
        <w:rPr>
          <w:rFonts w:asciiTheme="majorHAnsi" w:hAnsiTheme="majorHAnsi"/>
          <w:sz w:val="24"/>
          <w:szCs w:val="24"/>
          <w:lang w:val="ro-RO"/>
        </w:rPr>
        <w:t>Radionov</w:t>
      </w:r>
      <w:proofErr w:type="spellEnd"/>
      <w:r w:rsidR="005F4411" w:rsidRPr="00EF6010">
        <w:rPr>
          <w:rFonts w:asciiTheme="majorHAnsi" w:hAnsiTheme="majorHAnsi"/>
          <w:sz w:val="24"/>
          <w:szCs w:val="24"/>
          <w:lang w:val="ro-RO"/>
        </w:rPr>
        <w:t xml:space="preserve">, manager de proiect </w:t>
      </w:r>
      <w:r w:rsidR="00C944C5" w:rsidRPr="00EF6010">
        <w:rPr>
          <w:rFonts w:asciiTheme="majorHAnsi" w:hAnsiTheme="majorHAnsi"/>
          <w:sz w:val="24"/>
          <w:szCs w:val="24"/>
          <w:lang w:val="ro-RO"/>
        </w:rPr>
        <w:t>î</w:t>
      </w:r>
      <w:r w:rsidR="005F4411" w:rsidRPr="00EF6010">
        <w:rPr>
          <w:rFonts w:asciiTheme="majorHAnsi" w:hAnsiTheme="majorHAnsi"/>
          <w:sz w:val="24"/>
          <w:szCs w:val="24"/>
          <w:lang w:val="ro-RO"/>
        </w:rPr>
        <w:t xml:space="preserve">n cadrul Direcției dezvoltare de proiecte a I.P. „Centrul de Tehnologii Informaționale în Finanțe”; </w:t>
      </w:r>
      <w:r w:rsidR="004B504E" w:rsidRPr="00EF6010">
        <w:rPr>
          <w:rFonts w:asciiTheme="majorHAnsi" w:hAnsiTheme="majorHAnsi"/>
          <w:sz w:val="24"/>
          <w:szCs w:val="24"/>
          <w:lang w:val="ro-RO"/>
        </w:rPr>
        <w:t>d</w:t>
      </w:r>
      <w:r w:rsidR="00C944C5" w:rsidRPr="00EF6010">
        <w:rPr>
          <w:rFonts w:asciiTheme="majorHAnsi" w:hAnsiTheme="majorHAnsi"/>
          <w:sz w:val="24"/>
          <w:szCs w:val="24"/>
          <w:lang w:val="ro-RO"/>
        </w:rPr>
        <w:t>nei</w:t>
      </w:r>
      <w:r w:rsidR="004B504E" w:rsidRPr="00EF6010">
        <w:rPr>
          <w:rFonts w:asciiTheme="majorHAnsi" w:hAnsiTheme="majorHAnsi"/>
          <w:sz w:val="24"/>
          <w:szCs w:val="24"/>
          <w:lang w:val="ro-RO"/>
        </w:rPr>
        <w:t xml:space="preserve"> Ina Caba-Bradu, specialist achiziții publice din cadrul Serviciului achiziții publice al I.P. „Centrul de Tehnologii Informaționale în Finanțe”</w:t>
      </w:r>
      <w:r w:rsidR="009E1C98" w:rsidRPr="00EF6010">
        <w:rPr>
          <w:rFonts w:asciiTheme="majorHAnsi" w:hAnsiTheme="majorHAnsi"/>
          <w:sz w:val="24"/>
          <w:szCs w:val="24"/>
          <w:lang w:val="ro-RO"/>
        </w:rPr>
        <w:t xml:space="preserve">; </w:t>
      </w:r>
      <w:r w:rsidRPr="00EF6010">
        <w:rPr>
          <w:rFonts w:asciiTheme="majorHAnsi" w:hAnsiTheme="majorHAnsi"/>
          <w:sz w:val="24"/>
          <w:szCs w:val="24"/>
          <w:lang w:val="ro-RO"/>
        </w:rPr>
        <w:t xml:space="preserve">dlui Ion </w:t>
      </w:r>
      <w:proofErr w:type="spellStart"/>
      <w:r w:rsidRPr="00EF6010">
        <w:rPr>
          <w:rFonts w:asciiTheme="majorHAnsi" w:hAnsiTheme="majorHAnsi"/>
          <w:sz w:val="24"/>
          <w:szCs w:val="24"/>
          <w:lang w:val="ro-RO"/>
        </w:rPr>
        <w:t>Coropceanu</w:t>
      </w:r>
      <w:proofErr w:type="spellEnd"/>
      <w:r w:rsidRPr="00EF6010">
        <w:rPr>
          <w:rFonts w:asciiTheme="majorHAnsi" w:hAnsiTheme="majorHAnsi"/>
          <w:sz w:val="24"/>
          <w:szCs w:val="24"/>
          <w:lang w:val="ro-RO"/>
        </w:rPr>
        <w:t xml:space="preserve">, </w:t>
      </w:r>
      <w:r w:rsidR="009E1C98" w:rsidRPr="00EF6010">
        <w:rPr>
          <w:rFonts w:asciiTheme="majorHAnsi" w:hAnsiTheme="majorHAnsi"/>
          <w:sz w:val="24"/>
          <w:szCs w:val="24"/>
          <w:lang w:val="ro-RO"/>
        </w:rPr>
        <w:t>șef interimar al Direcției urbanism, construcții și locuințe</w:t>
      </w:r>
      <w:r w:rsidR="00C944C5" w:rsidRPr="00EF6010">
        <w:rPr>
          <w:rFonts w:asciiTheme="majorHAnsi" w:hAnsiTheme="majorHAnsi"/>
          <w:sz w:val="24"/>
          <w:szCs w:val="24"/>
          <w:lang w:val="ro-RO"/>
        </w:rPr>
        <w:t xml:space="preserve"> din cadrul</w:t>
      </w:r>
      <w:r w:rsidR="009E1C98" w:rsidRPr="00EF6010">
        <w:rPr>
          <w:rFonts w:asciiTheme="majorHAnsi" w:hAnsiTheme="majorHAnsi"/>
          <w:sz w:val="24"/>
          <w:szCs w:val="24"/>
          <w:lang w:val="ro-RO"/>
        </w:rPr>
        <w:t xml:space="preserve"> Ministerul</w:t>
      </w:r>
      <w:r w:rsidR="00C944C5" w:rsidRPr="00EF6010">
        <w:rPr>
          <w:rFonts w:asciiTheme="majorHAnsi" w:hAnsiTheme="majorHAnsi"/>
          <w:sz w:val="24"/>
          <w:szCs w:val="24"/>
          <w:lang w:val="ro-RO"/>
        </w:rPr>
        <w:t>ui</w:t>
      </w:r>
      <w:r w:rsidR="009E1C98" w:rsidRPr="00EF6010">
        <w:rPr>
          <w:rFonts w:asciiTheme="majorHAnsi" w:hAnsiTheme="majorHAnsi"/>
          <w:sz w:val="24"/>
          <w:szCs w:val="24"/>
          <w:lang w:val="ro-RO"/>
        </w:rPr>
        <w:t xml:space="preserve"> Economiei și Infrastructurii</w:t>
      </w:r>
      <w:r w:rsidRPr="00EF6010">
        <w:rPr>
          <w:rFonts w:asciiTheme="majorHAnsi" w:hAnsiTheme="majorHAnsi"/>
          <w:sz w:val="24"/>
          <w:szCs w:val="24"/>
          <w:lang w:val="ro-RO"/>
        </w:rPr>
        <w:t xml:space="preserve">, în cadrul ședinței video, în legătură cu instituirea stării de urgență în sănătate publică pe întreg teritoriul Republicii Moldova, călăuzindu-se de art.3 alin.(1) și art.5 alin.(1) </w:t>
      </w:r>
      <w:proofErr w:type="spellStart"/>
      <w:r w:rsidRPr="00EF6010">
        <w:rPr>
          <w:rFonts w:asciiTheme="majorHAnsi" w:hAnsiTheme="majorHAnsi"/>
          <w:sz w:val="24"/>
          <w:szCs w:val="24"/>
          <w:lang w:val="ro-RO"/>
        </w:rPr>
        <w:t>lit.a</w:t>
      </w:r>
      <w:proofErr w:type="spellEnd"/>
      <w:r w:rsidRPr="00EF6010">
        <w:rPr>
          <w:rFonts w:asciiTheme="majorHAnsi" w:hAnsiTheme="majorHAnsi"/>
          <w:sz w:val="24"/>
          <w:szCs w:val="24"/>
          <w:lang w:val="ro-RO"/>
        </w:rPr>
        <w:t>) din Legea privind organizarea și funcționarea Curții de Conturi a Republicii Moldova</w:t>
      </w:r>
      <w:r w:rsidR="00077E80" w:rsidRPr="00EF6010">
        <w:rPr>
          <w:rStyle w:val="FootnoteReference"/>
          <w:rFonts w:asciiTheme="majorHAnsi" w:hAnsiTheme="majorHAnsi"/>
          <w:sz w:val="24"/>
          <w:szCs w:val="24"/>
          <w:lang w:val="ro-RO"/>
        </w:rPr>
        <w:footnoteReference w:id="1"/>
      </w:r>
      <w:r w:rsidRPr="00EF6010">
        <w:rPr>
          <w:rFonts w:asciiTheme="majorHAnsi" w:hAnsiTheme="majorHAnsi"/>
          <w:sz w:val="24"/>
          <w:szCs w:val="24"/>
          <w:lang w:val="ro-RO"/>
        </w:rPr>
        <w:t>, a examinat Raportul auditului conformității achizițiilor publice în cadrul sistemului Ministerului Apărării în anii 2019-2020.</w:t>
      </w:r>
      <w:r w:rsidR="00965210" w:rsidRPr="00EF6010">
        <w:rPr>
          <w:rFonts w:asciiTheme="majorHAnsi" w:hAnsiTheme="majorHAnsi"/>
          <w:sz w:val="24"/>
          <w:szCs w:val="24"/>
          <w:lang w:val="ro-RO"/>
        </w:rPr>
        <w:t xml:space="preserve"> </w:t>
      </w:r>
    </w:p>
    <w:p w14:paraId="5F0F5C46" w14:textId="7CB01DE4" w:rsidR="008A006A" w:rsidRPr="00EF6010" w:rsidRDefault="008A006A" w:rsidP="008A006A">
      <w:pPr>
        <w:spacing w:after="0" w:line="276" w:lineRule="auto"/>
        <w:ind w:firstLine="567"/>
        <w:jc w:val="both"/>
        <w:rPr>
          <w:rFonts w:asciiTheme="majorHAnsi" w:eastAsia="Times New Roman" w:hAnsiTheme="majorHAnsi" w:cs="Times New Roman"/>
          <w:sz w:val="24"/>
          <w:szCs w:val="24"/>
          <w:lang w:val="ro-RO"/>
        </w:rPr>
      </w:pPr>
      <w:r w:rsidRPr="00EF6010">
        <w:rPr>
          <w:rFonts w:asciiTheme="majorHAnsi" w:eastAsia="Times New Roman" w:hAnsiTheme="majorHAnsi" w:cs="Times New Roman"/>
          <w:sz w:val="24"/>
          <w:szCs w:val="24"/>
          <w:lang w:val="ro-RO" w:eastAsia="ro-MD"/>
        </w:rPr>
        <w:t xml:space="preserve">Misiunea de audit public extern a </w:t>
      </w:r>
      <w:r w:rsidR="00965210" w:rsidRPr="00EF6010">
        <w:rPr>
          <w:rFonts w:asciiTheme="majorHAnsi" w:eastAsia="Times New Roman" w:hAnsiTheme="majorHAnsi" w:cs="Times New Roman"/>
          <w:sz w:val="24"/>
          <w:szCs w:val="24"/>
          <w:lang w:val="ro-RO" w:eastAsia="ro-MD"/>
        </w:rPr>
        <w:t xml:space="preserve">fost </w:t>
      </w:r>
      <w:r w:rsidRPr="00EF6010">
        <w:rPr>
          <w:rFonts w:asciiTheme="majorHAnsi" w:eastAsia="Times New Roman" w:hAnsiTheme="majorHAnsi" w:cs="Times New Roman"/>
          <w:sz w:val="24"/>
          <w:szCs w:val="24"/>
          <w:lang w:val="ro-RO" w:eastAsia="ro-MD"/>
        </w:rPr>
        <w:t>realizat</w:t>
      </w:r>
      <w:r w:rsidR="00965210" w:rsidRPr="00EF6010">
        <w:rPr>
          <w:rFonts w:asciiTheme="majorHAnsi" w:eastAsia="Times New Roman" w:hAnsiTheme="majorHAnsi" w:cs="Times New Roman"/>
          <w:sz w:val="24"/>
          <w:szCs w:val="24"/>
          <w:lang w:val="ro-RO" w:eastAsia="ro-MD"/>
        </w:rPr>
        <w:t>ă</w:t>
      </w:r>
      <w:r w:rsidRPr="00EF6010">
        <w:rPr>
          <w:rFonts w:asciiTheme="majorHAnsi" w:eastAsia="Times New Roman" w:hAnsiTheme="majorHAnsi" w:cs="Times New Roman"/>
          <w:sz w:val="24"/>
          <w:szCs w:val="24"/>
          <w:lang w:val="ro-RO" w:eastAsia="ro-MD"/>
        </w:rPr>
        <w:t xml:space="preserve"> conform </w:t>
      </w:r>
      <w:r w:rsidRPr="00EF6010">
        <w:rPr>
          <w:rFonts w:asciiTheme="majorHAnsi" w:hAnsiTheme="majorHAnsi" w:cs="Times New Roman"/>
          <w:sz w:val="24"/>
          <w:szCs w:val="24"/>
          <w:lang w:val="ro-RO"/>
        </w:rPr>
        <w:t>Programelor activității de audit a</w:t>
      </w:r>
      <w:r w:rsidR="00965210" w:rsidRPr="00EF6010">
        <w:rPr>
          <w:rFonts w:asciiTheme="majorHAnsi" w:hAnsiTheme="majorHAnsi" w:cs="Times New Roman"/>
          <w:sz w:val="24"/>
          <w:szCs w:val="24"/>
          <w:lang w:val="ro-RO"/>
        </w:rPr>
        <w:t>le</w:t>
      </w:r>
      <w:r w:rsidRPr="00EF6010">
        <w:rPr>
          <w:rFonts w:asciiTheme="majorHAnsi" w:hAnsiTheme="majorHAnsi" w:cs="Times New Roman"/>
          <w:sz w:val="24"/>
          <w:szCs w:val="24"/>
          <w:lang w:val="ro-RO"/>
        </w:rPr>
        <w:t xml:space="preserve"> Curții de Conturi pe anii 2020 și</w:t>
      </w:r>
      <w:r w:rsidR="00965210" w:rsidRPr="00EF6010">
        <w:rPr>
          <w:rFonts w:asciiTheme="majorHAnsi" w:hAnsiTheme="majorHAnsi" w:cs="Times New Roman"/>
          <w:sz w:val="24"/>
          <w:szCs w:val="24"/>
          <w:lang w:val="ro-RO"/>
        </w:rPr>
        <w:t>, respectiv,</w:t>
      </w:r>
      <w:r w:rsidRPr="00EF6010">
        <w:rPr>
          <w:rFonts w:asciiTheme="majorHAnsi" w:hAnsiTheme="majorHAnsi" w:cs="Times New Roman"/>
          <w:sz w:val="24"/>
          <w:szCs w:val="24"/>
          <w:lang w:val="ro-RO"/>
        </w:rPr>
        <w:t xml:space="preserve"> 2021</w:t>
      </w:r>
      <w:r w:rsidRPr="00EF6010">
        <w:rPr>
          <w:rStyle w:val="FootnoteReference"/>
          <w:rFonts w:asciiTheme="majorHAnsi" w:hAnsiTheme="majorHAnsi"/>
          <w:color w:val="000000"/>
          <w:lang w:val="ro-RO"/>
        </w:rPr>
        <w:footnoteReference w:id="2"/>
      </w:r>
      <w:r w:rsidRPr="00EF6010">
        <w:rPr>
          <w:rFonts w:asciiTheme="majorHAnsi" w:hAnsiTheme="majorHAnsi" w:cs="Times New Roman"/>
          <w:sz w:val="24"/>
          <w:szCs w:val="24"/>
          <w:lang w:val="ro-RO"/>
        </w:rPr>
        <w:t xml:space="preserve">, </w:t>
      </w:r>
      <w:r w:rsidRPr="00EF6010">
        <w:rPr>
          <w:rFonts w:asciiTheme="majorHAnsi" w:eastAsia="Times New Roman" w:hAnsiTheme="majorHAnsi" w:cs="Times New Roman"/>
          <w:sz w:val="24"/>
          <w:szCs w:val="24"/>
          <w:lang w:val="ro-RO"/>
        </w:rPr>
        <w:t xml:space="preserve">având drept </w:t>
      </w:r>
      <w:r w:rsidRPr="00EF6010">
        <w:rPr>
          <w:rFonts w:asciiTheme="majorHAnsi" w:hAnsiTheme="majorHAnsi"/>
          <w:color w:val="000000"/>
          <w:sz w:val="24"/>
          <w:szCs w:val="24"/>
          <w:lang w:val="ro-RO"/>
        </w:rPr>
        <w:t>scop</w:t>
      </w:r>
      <w:r w:rsidR="00AC34BC" w:rsidRPr="00EF6010">
        <w:rPr>
          <w:rFonts w:asciiTheme="majorHAnsi" w:hAnsiTheme="majorHAnsi"/>
          <w:color w:val="000000"/>
          <w:sz w:val="24"/>
          <w:szCs w:val="24"/>
          <w:lang w:val="ro-RO"/>
        </w:rPr>
        <w:t xml:space="preserve"> evaluare</w:t>
      </w:r>
      <w:r w:rsidR="00965210" w:rsidRPr="00EF6010">
        <w:rPr>
          <w:rFonts w:asciiTheme="majorHAnsi" w:hAnsiTheme="majorHAnsi"/>
          <w:color w:val="000000"/>
          <w:sz w:val="24"/>
          <w:szCs w:val="24"/>
          <w:lang w:val="ro-RO"/>
        </w:rPr>
        <w:t>a</w:t>
      </w:r>
      <w:r w:rsidRPr="00EF6010">
        <w:rPr>
          <w:rFonts w:asciiTheme="majorHAnsi" w:hAnsiTheme="majorHAnsi"/>
          <w:color w:val="000000"/>
          <w:sz w:val="24"/>
          <w:szCs w:val="24"/>
          <w:lang w:val="ro-RO"/>
        </w:rPr>
        <w:t xml:space="preserve"> </w:t>
      </w:r>
      <w:r w:rsidR="00AC34BC" w:rsidRPr="00EF6010">
        <w:rPr>
          <w:rFonts w:asciiTheme="majorHAnsi" w:eastAsia="Times New Roman" w:hAnsiTheme="majorHAnsi" w:cs="Times New Roman"/>
          <w:sz w:val="24"/>
          <w:szCs w:val="24"/>
          <w:lang w:val="ro-RO"/>
        </w:rPr>
        <w:t>conformității desfășurării achizițiilor publice în cadrul sistemului M</w:t>
      </w:r>
      <w:r w:rsidR="00BA7E54" w:rsidRPr="00EF6010">
        <w:rPr>
          <w:rFonts w:asciiTheme="majorHAnsi" w:eastAsia="Times New Roman" w:hAnsiTheme="majorHAnsi" w:cs="Times New Roman"/>
          <w:sz w:val="24"/>
          <w:szCs w:val="24"/>
          <w:lang w:val="ro-RO"/>
        </w:rPr>
        <w:t xml:space="preserve">inisterului </w:t>
      </w:r>
      <w:r w:rsidR="00AC34BC" w:rsidRPr="00EF6010">
        <w:rPr>
          <w:rFonts w:asciiTheme="majorHAnsi" w:eastAsia="Times New Roman" w:hAnsiTheme="majorHAnsi" w:cs="Times New Roman"/>
          <w:sz w:val="24"/>
          <w:szCs w:val="24"/>
          <w:lang w:val="ro-RO"/>
        </w:rPr>
        <w:t>A</w:t>
      </w:r>
      <w:r w:rsidR="00BA7E54" w:rsidRPr="00EF6010">
        <w:rPr>
          <w:rFonts w:asciiTheme="majorHAnsi" w:eastAsia="Times New Roman" w:hAnsiTheme="majorHAnsi" w:cs="Times New Roman"/>
          <w:sz w:val="24"/>
          <w:szCs w:val="24"/>
          <w:lang w:val="ro-RO"/>
        </w:rPr>
        <w:t>părării</w:t>
      </w:r>
      <w:r w:rsidR="00AC34BC" w:rsidRPr="00EF6010">
        <w:rPr>
          <w:rFonts w:asciiTheme="majorHAnsi" w:eastAsia="Times New Roman" w:hAnsiTheme="majorHAnsi" w:cs="Times New Roman"/>
          <w:sz w:val="24"/>
          <w:szCs w:val="24"/>
          <w:lang w:val="ro-RO"/>
        </w:rPr>
        <w:t xml:space="preserve"> în anii 2019-2020</w:t>
      </w:r>
      <w:r w:rsidR="00C006C0" w:rsidRPr="00EF6010">
        <w:rPr>
          <w:rFonts w:asciiTheme="majorHAnsi" w:eastAsia="Times New Roman" w:hAnsiTheme="majorHAnsi" w:cs="Times New Roman"/>
          <w:sz w:val="24"/>
          <w:szCs w:val="24"/>
          <w:lang w:val="ro-RO"/>
        </w:rPr>
        <w:t>.</w:t>
      </w:r>
    </w:p>
    <w:p w14:paraId="6B53DD0B" w14:textId="77777777" w:rsidR="008A006A" w:rsidRPr="00EF6010" w:rsidRDefault="008A006A" w:rsidP="008A006A">
      <w:pPr>
        <w:spacing w:after="0" w:line="276" w:lineRule="auto"/>
        <w:ind w:firstLine="567"/>
        <w:jc w:val="both"/>
        <w:rPr>
          <w:rFonts w:asciiTheme="majorHAnsi" w:eastAsia="Times New Roman" w:hAnsiTheme="majorHAnsi" w:cs="Times New Roman"/>
          <w:sz w:val="24"/>
          <w:szCs w:val="24"/>
          <w:lang w:val="ro-RO"/>
        </w:rPr>
      </w:pPr>
      <w:r w:rsidRPr="00EF6010">
        <w:rPr>
          <w:rFonts w:asciiTheme="majorHAnsi" w:eastAsia="Times New Roman" w:hAnsiTheme="majorHAnsi" w:cs="Times New Roman"/>
          <w:sz w:val="24"/>
          <w:szCs w:val="24"/>
          <w:lang w:val="ro-RO"/>
        </w:rPr>
        <w:lastRenderedPageBreak/>
        <w:t>Auditul a fost planificat și s-a desfășurat în conformitate cu Standardele Internaționale ale Instituțiilor Supreme de Audit aplicate de Curtea de Conturi (ISSAI 100, ISSAI 400 și ISSAI 4000)</w:t>
      </w:r>
      <w:r w:rsidRPr="00EF6010">
        <w:rPr>
          <w:rStyle w:val="FootnoteReference"/>
          <w:rFonts w:asciiTheme="majorHAnsi" w:eastAsia="Times New Roman" w:hAnsiTheme="majorHAnsi" w:cs="Times New Roman"/>
          <w:sz w:val="24"/>
          <w:szCs w:val="24"/>
          <w:lang w:val="ro-RO"/>
        </w:rPr>
        <w:footnoteReference w:id="3"/>
      </w:r>
      <w:r w:rsidRPr="00EF6010">
        <w:rPr>
          <w:rFonts w:asciiTheme="majorHAnsi" w:eastAsia="Times New Roman" w:hAnsiTheme="majorHAnsi" w:cs="Times New Roman"/>
          <w:sz w:val="24"/>
          <w:szCs w:val="24"/>
          <w:lang w:val="ro-RO"/>
        </w:rPr>
        <w:t xml:space="preserve">. </w:t>
      </w:r>
    </w:p>
    <w:p w14:paraId="0B53D341" w14:textId="77777777" w:rsidR="006624F8" w:rsidRPr="00EF6010" w:rsidRDefault="008A006A" w:rsidP="008A006A">
      <w:pPr>
        <w:spacing w:line="276" w:lineRule="auto"/>
        <w:ind w:firstLine="567"/>
        <w:jc w:val="both"/>
        <w:rPr>
          <w:rFonts w:asciiTheme="majorHAnsi" w:eastAsia="Times New Roman" w:hAnsiTheme="majorHAnsi" w:cs="Times New Roman"/>
          <w:sz w:val="24"/>
          <w:szCs w:val="24"/>
          <w:lang w:val="ro-RO"/>
        </w:rPr>
      </w:pPr>
      <w:r w:rsidRPr="00EF6010">
        <w:rPr>
          <w:rFonts w:asciiTheme="majorHAnsi" w:eastAsia="Times New Roman" w:hAnsiTheme="majorHAnsi" w:cs="Times New Roman"/>
          <w:sz w:val="24"/>
          <w:szCs w:val="24"/>
          <w:lang w:val="ro-RO"/>
        </w:rPr>
        <w:t>Examinând Raportul de audit, precum și explicațiile persoanelor cu funcții de răspundere prezente la ședința video, Curtea de Conturi</w:t>
      </w:r>
    </w:p>
    <w:p w14:paraId="29DC1997" w14:textId="77777777" w:rsidR="008A006A" w:rsidRPr="00EF6010" w:rsidRDefault="008A006A" w:rsidP="008A006A">
      <w:pPr>
        <w:spacing w:after="0" w:line="276" w:lineRule="auto"/>
        <w:jc w:val="center"/>
        <w:rPr>
          <w:rFonts w:asciiTheme="majorHAnsi" w:eastAsia="Times New Roman" w:hAnsiTheme="majorHAnsi" w:cs="Times New Roman"/>
          <w:b/>
          <w:bCs/>
          <w:sz w:val="24"/>
          <w:szCs w:val="24"/>
          <w:lang w:val="ro-RO"/>
        </w:rPr>
      </w:pPr>
      <w:r w:rsidRPr="00EF6010">
        <w:rPr>
          <w:rFonts w:asciiTheme="majorHAnsi" w:eastAsia="Times New Roman" w:hAnsiTheme="majorHAnsi" w:cs="Times New Roman"/>
          <w:b/>
          <w:bCs/>
          <w:sz w:val="24"/>
          <w:szCs w:val="24"/>
          <w:lang w:val="ro-RO"/>
        </w:rPr>
        <w:t>A CONSTATAT:</w:t>
      </w:r>
    </w:p>
    <w:p w14:paraId="7BCE7970" w14:textId="49161443" w:rsidR="0094294D" w:rsidRPr="00EF6010" w:rsidRDefault="006A2055" w:rsidP="0094294D">
      <w:pPr>
        <w:tabs>
          <w:tab w:val="left" w:pos="720"/>
        </w:tabs>
        <w:spacing w:after="0" w:line="276" w:lineRule="auto"/>
        <w:ind w:firstLine="540"/>
        <w:jc w:val="both"/>
        <w:rPr>
          <w:rFonts w:asciiTheme="majorHAnsi" w:hAnsiTheme="majorHAnsi" w:cstheme="minorHAnsi"/>
          <w:sz w:val="24"/>
          <w:szCs w:val="24"/>
          <w:lang w:val="ro-RO"/>
        </w:rPr>
      </w:pPr>
      <w:r w:rsidRPr="00EF6010">
        <w:rPr>
          <w:rFonts w:asciiTheme="majorHAnsi" w:hAnsiTheme="majorHAnsi" w:cstheme="minorHAnsi"/>
          <w:sz w:val="24"/>
          <w:szCs w:val="24"/>
          <w:lang w:val="ro-RO"/>
        </w:rPr>
        <w:t>a</w:t>
      </w:r>
      <w:r w:rsidR="0094294D" w:rsidRPr="00EF6010">
        <w:rPr>
          <w:rFonts w:asciiTheme="majorHAnsi" w:hAnsiTheme="majorHAnsi" w:cstheme="minorHAnsi"/>
          <w:sz w:val="24"/>
          <w:szCs w:val="24"/>
          <w:lang w:val="ro-RO"/>
        </w:rPr>
        <w:t xml:space="preserve">chizițiile publice desfășurate în cadrul sistemului Ministerului Apărării în anii 2019-2020 nu au întrunit în totalitate principiile fundamentale </w:t>
      </w:r>
      <w:r w:rsidR="0094294D" w:rsidRPr="00EF6010">
        <w:rPr>
          <w:rFonts w:ascii="Calibri Light" w:hAnsi="Calibri Light" w:cs="Calibri Light"/>
          <w:bCs/>
          <w:sz w:val="24"/>
          <w:szCs w:val="24"/>
          <w:lang w:val="ro-RO"/>
        </w:rPr>
        <w:t xml:space="preserve">care guvernează acest domeniu. </w:t>
      </w:r>
      <w:r w:rsidR="0094294D" w:rsidRPr="00EF6010">
        <w:rPr>
          <w:rFonts w:asciiTheme="majorHAnsi" w:hAnsiTheme="majorHAnsi" w:cstheme="minorHAnsi"/>
          <w:sz w:val="24"/>
          <w:szCs w:val="24"/>
          <w:lang w:val="ro-RO"/>
        </w:rPr>
        <w:t>Inexistența unui cadru regulator intern unificat care ar reglementa modul de organizare și desfășurare a achizițiilor publice în cadrul sistemului Ministerului Apărării, reglementarea necorespunzătoare a activității unor grupuri de lucru pentru achiziții în cadrul autorităților contractante, calitatea redusă a planificării achizițiilor publice,</w:t>
      </w:r>
      <w:r w:rsidR="00DE2428" w:rsidRPr="00EF6010">
        <w:rPr>
          <w:rFonts w:asciiTheme="majorHAnsi" w:hAnsiTheme="majorHAnsi" w:cstheme="minorHAnsi"/>
          <w:sz w:val="24"/>
          <w:szCs w:val="24"/>
          <w:lang w:val="ro-RO"/>
        </w:rPr>
        <w:t xml:space="preserve"> </w:t>
      </w:r>
      <w:r w:rsidR="0094294D" w:rsidRPr="00EF6010">
        <w:rPr>
          <w:rFonts w:asciiTheme="majorHAnsi" w:hAnsiTheme="majorHAnsi" w:cstheme="minorHAnsi"/>
          <w:sz w:val="24"/>
          <w:szCs w:val="24"/>
          <w:lang w:val="ro-RO"/>
        </w:rPr>
        <w:t>justificarea insuficientă a ofertelor anormal de scăzute ș.a.</w:t>
      </w:r>
      <w:r w:rsidR="00DE2428" w:rsidRPr="00EF6010">
        <w:rPr>
          <w:rFonts w:asciiTheme="majorHAnsi" w:hAnsiTheme="majorHAnsi" w:cstheme="minorHAnsi"/>
          <w:sz w:val="24"/>
          <w:szCs w:val="24"/>
          <w:lang w:val="ro-RO"/>
        </w:rPr>
        <w:t xml:space="preserve"> </w:t>
      </w:r>
      <w:r w:rsidR="0094294D" w:rsidRPr="00EF6010">
        <w:rPr>
          <w:rFonts w:asciiTheme="majorHAnsi" w:hAnsiTheme="majorHAnsi" w:cstheme="minorHAnsi"/>
          <w:sz w:val="24"/>
          <w:szCs w:val="24"/>
          <w:lang w:val="ro-RO"/>
        </w:rPr>
        <w:t xml:space="preserve">constituie principalele aspecte problematice identificate de audit. </w:t>
      </w:r>
    </w:p>
    <w:p w14:paraId="3B15B7BF" w14:textId="6F143C08" w:rsidR="0094294D" w:rsidRPr="00EF6010" w:rsidRDefault="0094294D" w:rsidP="0094294D">
      <w:pPr>
        <w:tabs>
          <w:tab w:val="left" w:pos="720"/>
        </w:tabs>
        <w:spacing w:after="0" w:line="276" w:lineRule="auto"/>
        <w:ind w:firstLine="540"/>
        <w:jc w:val="both"/>
        <w:rPr>
          <w:rFonts w:asciiTheme="majorHAnsi" w:hAnsiTheme="majorHAnsi" w:cstheme="minorHAnsi"/>
          <w:sz w:val="24"/>
          <w:szCs w:val="24"/>
          <w:lang w:val="ro-RO"/>
        </w:rPr>
      </w:pPr>
      <w:r w:rsidRPr="00EF6010">
        <w:rPr>
          <w:rFonts w:asciiTheme="majorHAnsi" w:hAnsiTheme="majorHAnsi" w:cstheme="minorHAnsi"/>
          <w:sz w:val="24"/>
          <w:szCs w:val="24"/>
          <w:lang w:val="ro-RO"/>
        </w:rPr>
        <w:t>Totodată, auditul a relevat unele lacune și necorelări ale cadrului normativ aferent domeniului achizițiilor publice, precum: unele prevederi legale nu sunt armonizate cu cadrul subiacent;</w:t>
      </w:r>
      <w:r w:rsidR="00DE2428" w:rsidRPr="00EF6010">
        <w:rPr>
          <w:rFonts w:asciiTheme="majorHAnsi" w:hAnsiTheme="majorHAnsi" w:cstheme="minorHAnsi"/>
          <w:sz w:val="24"/>
          <w:szCs w:val="24"/>
          <w:lang w:val="ro-RO"/>
        </w:rPr>
        <w:t xml:space="preserve">  </w:t>
      </w:r>
      <w:r w:rsidRPr="00EF6010">
        <w:rPr>
          <w:rFonts w:asciiTheme="majorHAnsi" w:hAnsiTheme="majorHAnsi" w:cstheme="minorHAnsi"/>
          <w:sz w:val="24"/>
          <w:szCs w:val="24"/>
          <w:lang w:val="ro-RO"/>
        </w:rPr>
        <w:t>reglementările aplicabile achizițiilor de valoare mică sunt ambigue și incomplete;</w:t>
      </w:r>
      <w:r w:rsidR="00DE2428" w:rsidRPr="00EF6010">
        <w:rPr>
          <w:rFonts w:asciiTheme="majorHAnsi" w:hAnsiTheme="majorHAnsi" w:cstheme="minorHAnsi"/>
          <w:sz w:val="24"/>
          <w:szCs w:val="24"/>
          <w:lang w:val="ro-RO"/>
        </w:rPr>
        <w:t xml:space="preserve"> </w:t>
      </w:r>
      <w:r w:rsidRPr="00EF6010">
        <w:rPr>
          <w:rFonts w:asciiTheme="majorHAnsi" w:hAnsiTheme="majorHAnsi" w:cstheme="minorHAnsi"/>
          <w:sz w:val="24"/>
          <w:szCs w:val="24"/>
          <w:lang w:val="ro-RO"/>
        </w:rPr>
        <w:t xml:space="preserve">ordinele Ministerului Finanțelor nu sunt corelate cu hotărârile de Guvern </w:t>
      </w:r>
      <w:r w:rsidR="00DE2428" w:rsidRPr="00EF6010">
        <w:rPr>
          <w:rFonts w:asciiTheme="majorHAnsi" w:hAnsiTheme="majorHAnsi" w:cstheme="minorHAnsi"/>
          <w:sz w:val="24"/>
          <w:szCs w:val="24"/>
          <w:lang w:val="ro-RO"/>
        </w:rPr>
        <w:t>în</w:t>
      </w:r>
      <w:r w:rsidRPr="00EF6010">
        <w:rPr>
          <w:rFonts w:asciiTheme="majorHAnsi" w:hAnsiTheme="majorHAnsi" w:cstheme="minorHAnsi"/>
          <w:sz w:val="24"/>
          <w:szCs w:val="24"/>
          <w:lang w:val="ro-RO"/>
        </w:rPr>
        <w:t xml:space="preserve"> aspectul definirii investițiilor capitale publice și reparațiilor capitale; cotele utilizate la elaborarea devizului de cheltuieli pentru achizițiile de lucrări</w:t>
      </w:r>
      <w:r w:rsidR="00DE2428" w:rsidRPr="00EF6010">
        <w:rPr>
          <w:rFonts w:asciiTheme="majorHAnsi" w:hAnsiTheme="majorHAnsi" w:cstheme="minorHAnsi"/>
          <w:sz w:val="24"/>
          <w:szCs w:val="24"/>
          <w:lang w:val="ro-RO"/>
        </w:rPr>
        <w:t>,</w:t>
      </w:r>
      <w:r w:rsidRPr="00EF6010">
        <w:rPr>
          <w:rFonts w:asciiTheme="majorHAnsi" w:hAnsiTheme="majorHAnsi" w:cstheme="minorHAnsi"/>
          <w:sz w:val="24"/>
          <w:szCs w:val="24"/>
          <w:lang w:val="ro-RO"/>
        </w:rPr>
        <w:t xml:space="preserve"> stabilite de Ministerul Economiei și Infrastructuri, permit planificarea exagerată a resurselor bugetare necesare;</w:t>
      </w:r>
      <w:r w:rsidRPr="00EF6010">
        <w:rPr>
          <w:rFonts w:asciiTheme="majorHAnsi" w:eastAsiaTheme="minorEastAsia" w:hAnsiTheme="majorHAnsi" w:cstheme="majorHAnsi"/>
          <w:sz w:val="24"/>
          <w:szCs w:val="24"/>
          <w:lang w:val="ro-RO" w:eastAsia="ro-RO"/>
        </w:rPr>
        <w:t xml:space="preserve"> </w:t>
      </w:r>
      <w:r w:rsidRPr="00EF6010">
        <w:rPr>
          <w:rFonts w:asciiTheme="majorHAnsi" w:hAnsiTheme="majorHAnsi" w:cstheme="minorHAnsi"/>
          <w:sz w:val="24"/>
          <w:szCs w:val="24"/>
          <w:lang w:val="ro-RO"/>
        </w:rPr>
        <w:t>modelul contractului-cadru pentru</w:t>
      </w:r>
      <w:r w:rsidR="00DE2428" w:rsidRPr="00EF6010">
        <w:rPr>
          <w:rFonts w:asciiTheme="majorHAnsi" w:hAnsiTheme="majorHAnsi" w:cstheme="minorHAnsi"/>
          <w:sz w:val="24"/>
          <w:szCs w:val="24"/>
          <w:lang w:val="ro-RO"/>
        </w:rPr>
        <w:t xml:space="preserve"> </w:t>
      </w:r>
      <w:r w:rsidRPr="00EF6010">
        <w:rPr>
          <w:rFonts w:asciiTheme="majorHAnsi" w:hAnsiTheme="majorHAnsi" w:cstheme="minorHAnsi"/>
          <w:sz w:val="24"/>
          <w:szCs w:val="24"/>
          <w:lang w:val="ro-RO"/>
        </w:rPr>
        <w:t xml:space="preserve">achizițiile publice de lucrări, aprobat de Ministerul Finanțelor, nu asigură legătura dintre procedura de desemnare a câștigătorului și contractul încheiat. </w:t>
      </w:r>
    </w:p>
    <w:p w14:paraId="4B36F02E" w14:textId="77777777" w:rsidR="0094294D" w:rsidRPr="00EF6010" w:rsidRDefault="0094294D" w:rsidP="0094294D">
      <w:pPr>
        <w:tabs>
          <w:tab w:val="left" w:pos="720"/>
        </w:tabs>
        <w:spacing w:after="0" w:line="276" w:lineRule="auto"/>
        <w:ind w:firstLine="540"/>
        <w:jc w:val="both"/>
        <w:rPr>
          <w:rFonts w:asciiTheme="majorHAnsi" w:hAnsiTheme="majorHAnsi" w:cstheme="minorHAnsi"/>
          <w:sz w:val="24"/>
          <w:szCs w:val="24"/>
          <w:lang w:val="ro-RO"/>
        </w:rPr>
      </w:pPr>
      <w:r w:rsidRPr="00EF6010">
        <w:rPr>
          <w:rFonts w:asciiTheme="majorHAnsi" w:hAnsiTheme="majorHAnsi" w:cstheme="minorHAnsi"/>
          <w:sz w:val="24"/>
          <w:szCs w:val="24"/>
          <w:lang w:val="ro-RO"/>
        </w:rPr>
        <w:t>De asemenea</w:t>
      </w:r>
      <w:r w:rsidR="00DE2428" w:rsidRPr="00EF6010">
        <w:rPr>
          <w:rFonts w:asciiTheme="majorHAnsi" w:hAnsiTheme="majorHAnsi" w:cstheme="minorHAnsi"/>
          <w:sz w:val="24"/>
          <w:szCs w:val="24"/>
          <w:lang w:val="ro-RO"/>
        </w:rPr>
        <w:t>,</w:t>
      </w:r>
      <w:r w:rsidRPr="00EF6010">
        <w:rPr>
          <w:rFonts w:asciiTheme="majorHAnsi" w:hAnsiTheme="majorHAnsi" w:cstheme="minorHAnsi"/>
          <w:sz w:val="24"/>
          <w:szCs w:val="24"/>
          <w:lang w:val="ro-RO"/>
        </w:rPr>
        <w:t xml:space="preserve"> auditul a atestat unele imperfecțiuni ale sistemului informațional (SIA „RSAP”/</w:t>
      </w:r>
      <w:proofErr w:type="spellStart"/>
      <w:r w:rsidRPr="00EF6010">
        <w:rPr>
          <w:rFonts w:asciiTheme="majorHAnsi" w:hAnsiTheme="majorHAnsi" w:cstheme="minorHAnsi"/>
          <w:sz w:val="24"/>
          <w:szCs w:val="24"/>
          <w:lang w:val="ro-RO"/>
        </w:rPr>
        <w:t>MTender</w:t>
      </w:r>
      <w:proofErr w:type="spellEnd"/>
      <w:r w:rsidRPr="00EF6010">
        <w:rPr>
          <w:rFonts w:asciiTheme="majorHAnsi" w:hAnsiTheme="majorHAnsi" w:cstheme="minorHAnsi"/>
          <w:sz w:val="24"/>
          <w:szCs w:val="24"/>
          <w:lang w:val="ro-RO"/>
        </w:rPr>
        <w:t xml:space="preserve">) care au impact asupra sistemului național de achiziții publice, printre care: controalele slabe ale </w:t>
      </w:r>
      <w:proofErr w:type="spellStart"/>
      <w:r w:rsidRPr="00EF6010">
        <w:rPr>
          <w:rFonts w:asciiTheme="majorHAnsi" w:hAnsiTheme="majorHAnsi" w:cstheme="minorHAnsi"/>
          <w:sz w:val="24"/>
          <w:szCs w:val="24"/>
          <w:lang w:val="ro-RO"/>
        </w:rPr>
        <w:t>MTender</w:t>
      </w:r>
      <w:proofErr w:type="spellEnd"/>
      <w:r w:rsidRPr="00EF6010">
        <w:rPr>
          <w:rFonts w:asciiTheme="majorHAnsi" w:hAnsiTheme="majorHAnsi" w:cstheme="minorHAnsi"/>
          <w:sz w:val="24"/>
          <w:szCs w:val="24"/>
          <w:lang w:val="ro-RO"/>
        </w:rPr>
        <w:t xml:space="preserve"> permit operatorilor economici care nu au depus toate documentele aferente ofertei să fie înregistrați în calitate de ofertanți; sistemul informațional este incomplet</w:t>
      </w:r>
      <w:r w:rsidR="00A937C6" w:rsidRPr="00EF6010">
        <w:rPr>
          <w:rFonts w:asciiTheme="majorHAnsi" w:hAnsiTheme="majorHAnsi" w:cstheme="minorHAnsi"/>
          <w:sz w:val="24"/>
          <w:szCs w:val="24"/>
          <w:lang w:val="ro-RO"/>
        </w:rPr>
        <w:t>,</w:t>
      </w:r>
      <w:r w:rsidRPr="00EF6010">
        <w:rPr>
          <w:rFonts w:asciiTheme="majorHAnsi" w:hAnsiTheme="majorHAnsi" w:cstheme="minorHAnsi"/>
          <w:sz w:val="24"/>
          <w:szCs w:val="24"/>
          <w:lang w:val="ro-RO"/>
        </w:rPr>
        <w:t xml:space="preserve"> nu asigură monitorizarea datelor întregului ciclu de desfășurare a achizițiilor publice și înregistrarea tuturor operațiunilor și tranzacțiilor, lipsind documentele de evaluare a ofertelor, dările de seamă, contractele de achiziții publice încheiate etc.; sistemul informațional nu este racordat cu alte platforme aferente domeniului achizițiilor publice etc. </w:t>
      </w:r>
    </w:p>
    <w:p w14:paraId="15A8EDBB"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lang w:val="ro-RO"/>
        </w:rPr>
        <w:t xml:space="preserve">Reieșind din cele expuse, în temeiul art.14 alin.(2), art.15 </w:t>
      </w:r>
      <w:proofErr w:type="spellStart"/>
      <w:r w:rsidRPr="00EF6010">
        <w:rPr>
          <w:rFonts w:asciiTheme="majorHAnsi" w:hAnsiTheme="majorHAnsi"/>
          <w:lang w:val="ro-RO"/>
        </w:rPr>
        <w:t>lit.d</w:t>
      </w:r>
      <w:proofErr w:type="spellEnd"/>
      <w:r w:rsidRPr="00EF6010">
        <w:rPr>
          <w:rFonts w:asciiTheme="majorHAnsi" w:hAnsiTheme="majorHAnsi"/>
          <w:lang w:val="ro-RO"/>
        </w:rPr>
        <w:t>) și art.37 alin.(2) din Legea nr.260 din 07.12.2017, Curtea de Conturi</w:t>
      </w:r>
    </w:p>
    <w:p w14:paraId="0CB4CA52" w14:textId="77777777" w:rsidR="0094294D" w:rsidRPr="00EF6010" w:rsidRDefault="0094294D" w:rsidP="0094294D">
      <w:pPr>
        <w:pStyle w:val="cp"/>
        <w:spacing w:line="276" w:lineRule="auto"/>
        <w:rPr>
          <w:rFonts w:asciiTheme="majorHAnsi" w:hAnsiTheme="majorHAnsi"/>
          <w:lang w:val="ro-RO"/>
        </w:rPr>
      </w:pPr>
      <w:r w:rsidRPr="00EF6010">
        <w:rPr>
          <w:rFonts w:asciiTheme="majorHAnsi" w:hAnsiTheme="majorHAnsi"/>
          <w:lang w:val="ro-RO"/>
        </w:rPr>
        <w:t>HOTĂRĂŞTE:</w:t>
      </w:r>
    </w:p>
    <w:p w14:paraId="0EC265C9"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b/>
          <w:bCs/>
          <w:lang w:val="ro-RO"/>
        </w:rPr>
        <w:t>1.</w:t>
      </w:r>
      <w:r w:rsidRPr="00EF6010">
        <w:rPr>
          <w:rFonts w:asciiTheme="majorHAnsi" w:hAnsiTheme="majorHAnsi"/>
          <w:lang w:val="ro-RO"/>
        </w:rPr>
        <w:t xml:space="preserve"> Se aprobă </w:t>
      </w:r>
      <w:r w:rsidRPr="00EF6010">
        <w:rPr>
          <w:rFonts w:asciiTheme="majorHAnsi" w:hAnsiTheme="majorHAnsi"/>
          <w:bCs/>
          <w:lang w:val="ro-RO" w:eastAsia="ru-RU"/>
        </w:rPr>
        <w:t xml:space="preserve">Raportul auditului </w:t>
      </w:r>
      <w:r w:rsidRPr="00EF6010">
        <w:rPr>
          <w:rFonts w:asciiTheme="majorHAnsi" w:hAnsiTheme="majorHAnsi"/>
          <w:lang w:val="ro-RO"/>
        </w:rPr>
        <w:t>conformității</w:t>
      </w:r>
      <w:r w:rsidR="00DE2428" w:rsidRPr="00EF6010">
        <w:rPr>
          <w:rFonts w:asciiTheme="majorHAnsi" w:hAnsiTheme="majorHAnsi"/>
          <w:lang w:val="ro-RO"/>
        </w:rPr>
        <w:t xml:space="preserve"> </w:t>
      </w:r>
      <w:r w:rsidRPr="00EF6010">
        <w:rPr>
          <w:rFonts w:asciiTheme="majorHAnsi" w:hAnsiTheme="majorHAnsi"/>
          <w:lang w:val="ro-RO"/>
        </w:rPr>
        <w:t>achizițiilor publice în cadrul sistemului Ministerului Apărării în anii 2019-2020.</w:t>
      </w:r>
    </w:p>
    <w:p w14:paraId="52C79A1F"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b/>
          <w:bCs/>
          <w:lang w:val="ro-RO"/>
        </w:rPr>
        <w:t>2.</w:t>
      </w:r>
      <w:r w:rsidRPr="00EF6010">
        <w:rPr>
          <w:rFonts w:asciiTheme="majorHAnsi" w:hAnsiTheme="majorHAnsi"/>
          <w:lang w:val="ro-RO"/>
        </w:rPr>
        <w:t xml:space="preserve"> Prezenta Hotărâre și Raportul de audit se remit:</w:t>
      </w:r>
    </w:p>
    <w:p w14:paraId="4E7089C0" w14:textId="77777777" w:rsidR="0094294D" w:rsidRPr="00EF6010" w:rsidRDefault="0094294D" w:rsidP="0094294D">
      <w:pPr>
        <w:pStyle w:val="NormalWeb"/>
        <w:spacing w:line="276" w:lineRule="auto"/>
        <w:rPr>
          <w:rFonts w:asciiTheme="majorHAnsi" w:hAnsiTheme="majorHAnsi" w:cstheme="majorHAnsi"/>
          <w:bCs/>
          <w:lang w:val="ro-RO"/>
        </w:rPr>
      </w:pPr>
      <w:r w:rsidRPr="00EF6010">
        <w:rPr>
          <w:rFonts w:asciiTheme="majorHAnsi" w:hAnsiTheme="majorHAnsi" w:cstheme="majorHAnsi"/>
          <w:b/>
          <w:lang w:val="ro-RO"/>
        </w:rPr>
        <w:t>2.1.</w:t>
      </w:r>
      <w:r w:rsidRPr="00EF6010">
        <w:rPr>
          <w:rFonts w:asciiTheme="majorHAnsi" w:hAnsiTheme="majorHAnsi" w:cstheme="majorHAnsi"/>
          <w:lang w:val="ro-RO"/>
        </w:rPr>
        <w:t xml:space="preserve"> </w:t>
      </w:r>
      <w:r w:rsidRPr="00EF6010">
        <w:rPr>
          <w:rFonts w:asciiTheme="majorHAnsi" w:hAnsiTheme="majorHAnsi" w:cstheme="majorHAnsi"/>
          <w:b/>
          <w:lang w:val="ro-RO"/>
        </w:rPr>
        <w:t>Guvernului Republicii Moldova,</w:t>
      </w:r>
      <w:r w:rsidRPr="00EF6010">
        <w:rPr>
          <w:rFonts w:asciiTheme="majorHAnsi" w:hAnsiTheme="majorHAnsi" w:cstheme="majorHAnsi"/>
          <w:lang w:val="ro-RO"/>
        </w:rPr>
        <w:t xml:space="preserve"> pentru</w:t>
      </w:r>
      <w:r w:rsidRPr="00EF6010">
        <w:rPr>
          <w:rFonts w:asciiTheme="majorHAnsi" w:hAnsiTheme="majorHAnsi" w:cstheme="majorHAnsi"/>
          <w:bCs/>
          <w:lang w:val="ro-RO"/>
        </w:rPr>
        <w:t xml:space="preserve"> informare și luare de atitudine în vederea monitorizării asigurării implementării recomandărilor de audit;</w:t>
      </w:r>
    </w:p>
    <w:p w14:paraId="4E617992" w14:textId="77777777" w:rsidR="0094294D" w:rsidRPr="00EF6010" w:rsidRDefault="0094294D" w:rsidP="0094294D">
      <w:pPr>
        <w:pStyle w:val="NormalWeb"/>
        <w:spacing w:line="276" w:lineRule="auto"/>
        <w:rPr>
          <w:rFonts w:asciiTheme="majorHAnsi" w:hAnsiTheme="majorHAnsi" w:cstheme="majorHAnsi"/>
          <w:bCs/>
          <w:lang w:val="ro-RO"/>
        </w:rPr>
      </w:pPr>
      <w:r w:rsidRPr="00EF6010">
        <w:rPr>
          <w:rFonts w:asciiTheme="majorHAnsi" w:hAnsiTheme="majorHAnsi" w:cstheme="majorHAnsi"/>
          <w:b/>
          <w:lang w:val="ro-RO"/>
        </w:rPr>
        <w:t xml:space="preserve">2.2. </w:t>
      </w:r>
      <w:r w:rsidRPr="00EF6010">
        <w:rPr>
          <w:rFonts w:asciiTheme="majorHAnsi" w:hAnsiTheme="majorHAnsi" w:cstheme="majorHAnsi"/>
          <w:b/>
          <w:bCs/>
          <w:lang w:val="ro-RO"/>
        </w:rPr>
        <w:t>Președintelui Republicii Moldova</w:t>
      </w:r>
      <w:r w:rsidRPr="00EF6010">
        <w:rPr>
          <w:rFonts w:asciiTheme="majorHAnsi" w:hAnsiTheme="majorHAnsi" w:cstheme="majorHAnsi"/>
          <w:bCs/>
          <w:lang w:val="ro-RO"/>
        </w:rPr>
        <w:t>, pentru informare;</w:t>
      </w:r>
    </w:p>
    <w:p w14:paraId="0C81A252" w14:textId="77777777" w:rsidR="0094294D" w:rsidRPr="00EF6010" w:rsidRDefault="0094294D" w:rsidP="0094294D">
      <w:pPr>
        <w:pStyle w:val="NormalWeb"/>
        <w:spacing w:line="276" w:lineRule="auto"/>
        <w:rPr>
          <w:rFonts w:asciiTheme="majorHAnsi" w:hAnsiTheme="majorHAnsi" w:cstheme="majorHAnsi"/>
          <w:b/>
          <w:bCs/>
          <w:lang w:val="ro-RO"/>
        </w:rPr>
      </w:pPr>
      <w:r w:rsidRPr="00EF6010">
        <w:rPr>
          <w:rFonts w:asciiTheme="majorHAnsi" w:hAnsiTheme="majorHAnsi" w:cstheme="majorHAnsi"/>
          <w:b/>
          <w:bCs/>
          <w:lang w:val="ro-RO"/>
        </w:rPr>
        <w:lastRenderedPageBreak/>
        <w:t>2.3.</w:t>
      </w:r>
      <w:r w:rsidRPr="00EF6010">
        <w:rPr>
          <w:rFonts w:asciiTheme="majorHAnsi" w:hAnsiTheme="majorHAnsi" w:cstheme="majorHAnsi"/>
          <w:bCs/>
          <w:lang w:val="ro-RO"/>
        </w:rPr>
        <w:t xml:space="preserve"> </w:t>
      </w:r>
      <w:r w:rsidRPr="00EF6010">
        <w:rPr>
          <w:rFonts w:asciiTheme="majorHAnsi" w:hAnsiTheme="majorHAnsi" w:cstheme="majorHAnsi"/>
          <w:b/>
          <w:bCs/>
          <w:lang w:val="ro-RO"/>
        </w:rPr>
        <w:t>Parlamentului Republicii Moldova,</w:t>
      </w:r>
      <w:r w:rsidRPr="00EF6010">
        <w:rPr>
          <w:rFonts w:asciiTheme="majorHAnsi" w:hAnsiTheme="majorHAnsi" w:cstheme="majorHAnsi"/>
          <w:bCs/>
          <w:lang w:val="ro-RO"/>
        </w:rPr>
        <w:t xml:space="preserve"> pentru informare și examinare, după caz, în cadrul Comisiei parlamentare de control al finanțelor publice;</w:t>
      </w:r>
    </w:p>
    <w:p w14:paraId="643CD3D1"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b/>
          <w:lang w:val="ro-RO"/>
        </w:rPr>
        <w:t>2.4.</w:t>
      </w:r>
      <w:r w:rsidRPr="00EF6010">
        <w:rPr>
          <w:rFonts w:asciiTheme="majorHAnsi" w:hAnsiTheme="majorHAnsi"/>
          <w:lang w:val="ro-RO"/>
        </w:rPr>
        <w:t xml:space="preserve"> </w:t>
      </w:r>
      <w:r w:rsidRPr="00EF6010">
        <w:rPr>
          <w:rFonts w:asciiTheme="majorHAnsi" w:hAnsiTheme="majorHAnsi"/>
          <w:b/>
          <w:lang w:val="ro-RO"/>
        </w:rPr>
        <w:t>Ministerului Finanțelor</w:t>
      </w:r>
      <w:r w:rsidR="00DE2428" w:rsidRPr="00EF6010">
        <w:rPr>
          <w:rFonts w:asciiTheme="majorHAnsi" w:hAnsiTheme="majorHAnsi"/>
          <w:b/>
          <w:lang w:val="ro-RO"/>
        </w:rPr>
        <w:t>,</w:t>
      </w:r>
      <w:r w:rsidRPr="00EF6010">
        <w:rPr>
          <w:rFonts w:asciiTheme="majorHAnsi" w:hAnsiTheme="majorHAnsi"/>
          <w:b/>
          <w:lang w:val="ro-RO"/>
        </w:rPr>
        <w:t xml:space="preserve"> de comun cu Agenția Achiziții Publice,</w:t>
      </w:r>
      <w:r w:rsidRPr="00EF6010">
        <w:rPr>
          <w:rFonts w:asciiTheme="majorHAnsi" w:hAnsiTheme="majorHAnsi"/>
          <w:lang w:val="ro-RO"/>
        </w:rPr>
        <w:t xml:space="preserve"> pentru:</w:t>
      </w:r>
    </w:p>
    <w:p w14:paraId="0C96E354" w14:textId="77777777" w:rsidR="0094294D" w:rsidRPr="00EF6010" w:rsidRDefault="0094294D" w:rsidP="0094294D">
      <w:pPr>
        <w:shd w:val="clear" w:color="auto" w:fill="FFFFFF"/>
        <w:spacing w:after="0" w:line="276" w:lineRule="auto"/>
        <w:ind w:left="567"/>
        <w:jc w:val="both"/>
        <w:rPr>
          <w:rFonts w:asciiTheme="majorHAnsi" w:eastAsia="Times New Roman" w:hAnsiTheme="majorHAnsi" w:cstheme="majorHAnsi"/>
          <w:color w:val="212121"/>
          <w:sz w:val="24"/>
          <w:szCs w:val="23"/>
          <w:lang w:val="ro-RO"/>
        </w:rPr>
      </w:pPr>
      <w:r w:rsidRPr="00EF6010">
        <w:rPr>
          <w:rFonts w:asciiTheme="majorHAnsi" w:eastAsia="Times New Roman" w:hAnsiTheme="majorHAnsi" w:cstheme="majorHAnsi"/>
          <w:b/>
          <w:color w:val="212121"/>
          <w:sz w:val="24"/>
          <w:szCs w:val="23"/>
          <w:lang w:val="ro-RO"/>
        </w:rPr>
        <w:t>2.4.1.</w:t>
      </w:r>
      <w:r w:rsidRPr="00EF6010">
        <w:rPr>
          <w:rFonts w:asciiTheme="majorHAnsi" w:eastAsia="Times New Roman" w:hAnsiTheme="majorHAnsi" w:cstheme="majorHAnsi"/>
          <w:color w:val="212121"/>
          <w:sz w:val="24"/>
          <w:szCs w:val="23"/>
          <w:lang w:val="ro-RO"/>
        </w:rPr>
        <w:t xml:space="preserve"> dezvoltarea cadrului normativ aferent achizițiilor de valoare mică; </w:t>
      </w:r>
    </w:p>
    <w:p w14:paraId="139BBE4C" w14:textId="77777777" w:rsidR="0094294D" w:rsidRPr="00EF6010" w:rsidRDefault="0094294D" w:rsidP="0094294D">
      <w:pPr>
        <w:pStyle w:val="ListParagraph"/>
        <w:spacing w:after="0"/>
        <w:ind w:left="567"/>
        <w:contextualSpacing w:val="0"/>
        <w:jc w:val="both"/>
        <w:rPr>
          <w:rFonts w:asciiTheme="majorHAnsi" w:eastAsia="Times New Roman" w:hAnsiTheme="majorHAnsi" w:cstheme="majorHAnsi"/>
          <w:color w:val="212121"/>
          <w:sz w:val="24"/>
          <w:szCs w:val="23"/>
          <w:lang w:val="ro-RO"/>
        </w:rPr>
      </w:pPr>
      <w:r w:rsidRPr="00EF6010">
        <w:rPr>
          <w:rFonts w:asciiTheme="majorHAnsi" w:eastAsia="Times New Roman" w:hAnsiTheme="majorHAnsi" w:cstheme="majorHAnsi"/>
          <w:b/>
          <w:color w:val="212121"/>
          <w:sz w:val="24"/>
          <w:szCs w:val="23"/>
          <w:lang w:val="ro-RO"/>
        </w:rPr>
        <w:t>2.4.2.</w:t>
      </w:r>
      <w:r w:rsidRPr="00EF6010">
        <w:rPr>
          <w:rFonts w:asciiTheme="majorHAnsi" w:eastAsia="Times New Roman" w:hAnsiTheme="majorHAnsi" w:cstheme="majorHAnsi"/>
          <w:color w:val="212121"/>
          <w:sz w:val="24"/>
          <w:szCs w:val="23"/>
          <w:lang w:val="ro-RO"/>
        </w:rPr>
        <w:t xml:space="preserve"> ajustarea reglementărilor aferente modelului contractului-cadru;</w:t>
      </w:r>
    </w:p>
    <w:p w14:paraId="58E0269A" w14:textId="77777777" w:rsidR="0094294D" w:rsidRPr="00EF6010" w:rsidRDefault="0094294D" w:rsidP="0094294D">
      <w:pPr>
        <w:pStyle w:val="ListParagraph"/>
        <w:spacing w:after="0"/>
        <w:ind w:left="567"/>
        <w:contextualSpacing w:val="0"/>
        <w:jc w:val="both"/>
        <w:rPr>
          <w:rFonts w:asciiTheme="majorHAnsi" w:hAnsiTheme="majorHAnsi" w:cstheme="majorHAnsi"/>
          <w:sz w:val="24"/>
          <w:szCs w:val="24"/>
          <w:lang w:val="ro-RO"/>
        </w:rPr>
      </w:pPr>
      <w:r w:rsidRPr="00EF6010">
        <w:rPr>
          <w:rFonts w:ascii="Calibri Light" w:hAnsi="Calibri Light" w:cs="Calibri Light"/>
          <w:b/>
          <w:sz w:val="24"/>
          <w:szCs w:val="24"/>
          <w:lang w:val="ro-RO"/>
        </w:rPr>
        <w:t>2.4.3.</w:t>
      </w:r>
      <w:r w:rsidRPr="00EF6010">
        <w:rPr>
          <w:rFonts w:ascii="Calibri Light" w:hAnsi="Calibri Light" w:cs="Calibri Light"/>
          <w:sz w:val="24"/>
          <w:szCs w:val="24"/>
          <w:lang w:val="ro-RO"/>
        </w:rPr>
        <w:t xml:space="preserve"> dezvoltarea </w:t>
      </w:r>
      <w:r w:rsidRPr="00EF6010">
        <w:rPr>
          <w:rFonts w:asciiTheme="majorHAnsi" w:hAnsiTheme="majorHAnsi" w:cstheme="majorHAnsi"/>
          <w:sz w:val="24"/>
          <w:szCs w:val="24"/>
          <w:lang w:val="ro-RO"/>
        </w:rPr>
        <w:t>posibilităților funcționale ale SIA RSAP/</w:t>
      </w:r>
      <w:proofErr w:type="spellStart"/>
      <w:r w:rsidRPr="00EF6010">
        <w:rPr>
          <w:rFonts w:asciiTheme="majorHAnsi" w:hAnsiTheme="majorHAnsi" w:cstheme="majorHAnsi"/>
          <w:sz w:val="24"/>
          <w:szCs w:val="24"/>
          <w:lang w:val="ro-RO"/>
        </w:rPr>
        <w:t>MTender</w:t>
      </w:r>
      <w:proofErr w:type="spellEnd"/>
      <w:r w:rsidRPr="00EF6010">
        <w:rPr>
          <w:rFonts w:asciiTheme="majorHAnsi" w:hAnsiTheme="majorHAnsi" w:cstheme="majorHAnsi"/>
          <w:sz w:val="24"/>
          <w:szCs w:val="24"/>
          <w:lang w:val="ro-RO"/>
        </w:rPr>
        <w:t>, cu includerea elementelor documentației obligatorii la fiecare etapă din proces;</w:t>
      </w:r>
    </w:p>
    <w:p w14:paraId="2A35B63E" w14:textId="77777777" w:rsidR="0094294D" w:rsidRPr="00EF6010" w:rsidRDefault="0094294D" w:rsidP="0094294D">
      <w:pPr>
        <w:pStyle w:val="ListParagraph"/>
        <w:spacing w:after="0"/>
        <w:ind w:left="567"/>
        <w:contextualSpacing w:val="0"/>
        <w:jc w:val="both"/>
        <w:rPr>
          <w:rFonts w:asciiTheme="majorHAnsi" w:hAnsiTheme="majorHAnsi" w:cstheme="majorHAnsi"/>
          <w:sz w:val="24"/>
          <w:szCs w:val="24"/>
          <w:lang w:val="ro-RO"/>
        </w:rPr>
      </w:pPr>
      <w:r w:rsidRPr="00EF6010">
        <w:rPr>
          <w:rFonts w:asciiTheme="majorHAnsi" w:hAnsiTheme="majorHAnsi" w:cstheme="majorHAnsi"/>
          <w:b/>
          <w:sz w:val="24"/>
          <w:szCs w:val="24"/>
          <w:lang w:val="ro-RO"/>
        </w:rPr>
        <w:t xml:space="preserve">2.4.4. </w:t>
      </w:r>
      <w:r w:rsidRPr="00EF6010">
        <w:rPr>
          <w:rFonts w:asciiTheme="majorHAnsi" w:hAnsiTheme="majorHAnsi" w:cstheme="majorHAnsi"/>
          <w:sz w:val="24"/>
          <w:szCs w:val="24"/>
          <w:lang w:val="ro-RO"/>
        </w:rPr>
        <w:t>asigurarea corelării SIA RSAP/</w:t>
      </w:r>
      <w:proofErr w:type="spellStart"/>
      <w:r w:rsidRPr="00EF6010">
        <w:rPr>
          <w:rFonts w:asciiTheme="majorHAnsi" w:hAnsiTheme="majorHAnsi" w:cstheme="majorHAnsi"/>
          <w:sz w:val="24"/>
          <w:szCs w:val="24"/>
          <w:lang w:val="ro-RO"/>
        </w:rPr>
        <w:t>MTender</w:t>
      </w:r>
      <w:proofErr w:type="spellEnd"/>
      <w:r w:rsidRPr="00EF6010">
        <w:rPr>
          <w:rFonts w:asciiTheme="majorHAnsi" w:hAnsiTheme="majorHAnsi" w:cstheme="majorHAnsi"/>
          <w:sz w:val="24"/>
          <w:szCs w:val="24"/>
          <w:lang w:val="ro-RO"/>
        </w:rPr>
        <w:t xml:space="preserve"> cu platforma </w:t>
      </w:r>
      <w:hyperlink r:id="rId8" w:history="1">
        <w:r w:rsidRPr="00EF6010">
          <w:rPr>
            <w:rStyle w:val="Hyperlink"/>
            <w:rFonts w:asciiTheme="majorHAnsi" w:hAnsiTheme="majorHAnsi" w:cstheme="majorHAnsi"/>
            <w:sz w:val="24"/>
            <w:szCs w:val="24"/>
            <w:lang w:val="ro-RO"/>
          </w:rPr>
          <w:t>www.tender.md</w:t>
        </w:r>
      </w:hyperlink>
      <w:r w:rsidRPr="00EF6010">
        <w:rPr>
          <w:rFonts w:asciiTheme="majorHAnsi" w:hAnsiTheme="majorHAnsi" w:cstheme="majorHAnsi"/>
          <w:sz w:val="24"/>
          <w:szCs w:val="24"/>
          <w:lang w:val="ro-RO"/>
        </w:rPr>
        <w:t xml:space="preserve"> (BAP) și cu alte platforme relevante;</w:t>
      </w:r>
    </w:p>
    <w:p w14:paraId="699D2942" w14:textId="77777777" w:rsidR="0094294D" w:rsidRPr="00EF6010" w:rsidRDefault="0094294D" w:rsidP="0094294D">
      <w:pPr>
        <w:pStyle w:val="ListParagraph"/>
        <w:spacing w:after="0"/>
        <w:ind w:left="567"/>
        <w:contextualSpacing w:val="0"/>
        <w:jc w:val="both"/>
        <w:rPr>
          <w:rFonts w:asciiTheme="majorHAnsi" w:hAnsiTheme="majorHAnsi" w:cstheme="majorHAnsi"/>
          <w:sz w:val="24"/>
          <w:szCs w:val="24"/>
          <w:lang w:val="ro-RO"/>
        </w:rPr>
      </w:pPr>
      <w:r w:rsidRPr="00EF6010">
        <w:rPr>
          <w:rFonts w:asciiTheme="majorHAnsi" w:hAnsiTheme="majorHAnsi" w:cstheme="majorHAnsi"/>
          <w:b/>
          <w:sz w:val="24"/>
          <w:szCs w:val="24"/>
          <w:lang w:val="ro-RO"/>
        </w:rPr>
        <w:t>2.4.5.</w:t>
      </w:r>
      <w:r w:rsidRPr="00EF6010">
        <w:rPr>
          <w:rFonts w:asciiTheme="majorHAnsi" w:hAnsiTheme="majorHAnsi" w:cstheme="majorHAnsi"/>
          <w:sz w:val="24"/>
          <w:szCs w:val="24"/>
          <w:lang w:val="ro-RO"/>
        </w:rPr>
        <w:t xml:space="preserve"> elaborarea ghidului utilizatorului SIA RSAP/</w:t>
      </w:r>
      <w:proofErr w:type="spellStart"/>
      <w:r w:rsidRPr="00EF6010">
        <w:rPr>
          <w:rFonts w:asciiTheme="majorHAnsi" w:hAnsiTheme="majorHAnsi" w:cstheme="majorHAnsi"/>
          <w:sz w:val="24"/>
          <w:szCs w:val="24"/>
          <w:lang w:val="ro-RO"/>
        </w:rPr>
        <w:t>MTender</w:t>
      </w:r>
      <w:proofErr w:type="spellEnd"/>
      <w:r w:rsidRPr="00EF6010">
        <w:rPr>
          <w:rFonts w:asciiTheme="majorHAnsi" w:hAnsiTheme="majorHAnsi" w:cstheme="majorHAnsi"/>
          <w:sz w:val="24"/>
          <w:szCs w:val="24"/>
          <w:lang w:val="ro-RO"/>
        </w:rPr>
        <w:t>;</w:t>
      </w:r>
    </w:p>
    <w:p w14:paraId="4D44C6C8" w14:textId="77777777" w:rsidR="0094294D" w:rsidRPr="00EF6010" w:rsidRDefault="0094294D" w:rsidP="0094294D">
      <w:pPr>
        <w:pStyle w:val="ListParagraph"/>
        <w:spacing w:after="0"/>
        <w:ind w:left="567"/>
        <w:contextualSpacing w:val="0"/>
        <w:jc w:val="both"/>
        <w:rPr>
          <w:rFonts w:asciiTheme="majorHAnsi" w:hAnsiTheme="majorHAnsi" w:cstheme="majorHAnsi"/>
          <w:sz w:val="24"/>
          <w:szCs w:val="24"/>
          <w:lang w:val="ro-RO"/>
        </w:rPr>
      </w:pPr>
      <w:r w:rsidRPr="00EF6010">
        <w:rPr>
          <w:rFonts w:asciiTheme="majorHAnsi" w:hAnsiTheme="majorHAnsi" w:cstheme="majorHAnsi"/>
          <w:b/>
          <w:sz w:val="24"/>
          <w:szCs w:val="24"/>
          <w:lang w:val="ro-RO"/>
        </w:rPr>
        <w:t>2.4.6.</w:t>
      </w:r>
      <w:r w:rsidRPr="00EF6010">
        <w:rPr>
          <w:rFonts w:asciiTheme="majorHAnsi" w:hAnsiTheme="majorHAnsi" w:cstheme="majorHAnsi"/>
          <w:sz w:val="24"/>
          <w:szCs w:val="24"/>
          <w:lang w:val="ro-RO"/>
        </w:rPr>
        <w:t xml:space="preserve"> asigurarea corelării noțiunilor </w:t>
      </w:r>
      <w:r w:rsidR="00DE2428" w:rsidRPr="00EF6010">
        <w:rPr>
          <w:rFonts w:asciiTheme="majorHAnsi" w:hAnsiTheme="majorHAnsi" w:cstheme="majorHAnsi"/>
          <w:sz w:val="24"/>
          <w:szCs w:val="24"/>
          <w:lang w:val="ro-RO"/>
        </w:rPr>
        <w:t>din</w:t>
      </w:r>
      <w:r w:rsidRPr="00EF6010">
        <w:rPr>
          <w:rFonts w:asciiTheme="majorHAnsi" w:hAnsiTheme="majorHAnsi" w:cstheme="majorHAnsi"/>
          <w:sz w:val="24"/>
          <w:szCs w:val="24"/>
          <w:lang w:val="ro-RO"/>
        </w:rPr>
        <w:t xml:space="preserve"> Ordinul </w:t>
      </w:r>
      <w:r w:rsidR="00DE2428" w:rsidRPr="00EF6010">
        <w:rPr>
          <w:rFonts w:asciiTheme="majorHAnsi" w:hAnsiTheme="majorHAnsi" w:cstheme="majorHAnsi"/>
          <w:sz w:val="24"/>
          <w:szCs w:val="24"/>
          <w:lang w:val="ro-RO"/>
        </w:rPr>
        <w:t xml:space="preserve">ministrului Finanțelor </w:t>
      </w:r>
      <w:r w:rsidRPr="00EF6010">
        <w:rPr>
          <w:rFonts w:asciiTheme="majorHAnsi" w:hAnsiTheme="majorHAnsi" w:cstheme="majorHAnsi"/>
          <w:sz w:val="24"/>
          <w:szCs w:val="24"/>
          <w:lang w:val="ro-RO"/>
        </w:rPr>
        <w:t>nr.216 din 28.12.2015, la aspectul investiții/reparații capitale</w:t>
      </w:r>
      <w:r w:rsidR="00DE2428" w:rsidRPr="00EF6010">
        <w:rPr>
          <w:rFonts w:asciiTheme="majorHAnsi" w:hAnsiTheme="majorHAnsi" w:cstheme="majorHAnsi"/>
          <w:sz w:val="24"/>
          <w:szCs w:val="24"/>
          <w:lang w:val="ro-RO"/>
        </w:rPr>
        <w:t>,</w:t>
      </w:r>
      <w:r w:rsidRPr="00EF6010">
        <w:rPr>
          <w:rFonts w:asciiTheme="majorHAnsi" w:hAnsiTheme="majorHAnsi" w:cstheme="majorHAnsi"/>
          <w:sz w:val="24"/>
          <w:szCs w:val="24"/>
          <w:lang w:val="ro-RO"/>
        </w:rPr>
        <w:t xml:space="preserve"> cu prevederile actelor normative în domeniul construcțiilor</w:t>
      </w:r>
      <w:r w:rsidR="00DE2428" w:rsidRPr="00EF6010">
        <w:rPr>
          <w:rFonts w:asciiTheme="majorHAnsi" w:hAnsiTheme="majorHAnsi" w:cstheme="majorHAnsi"/>
          <w:sz w:val="24"/>
          <w:szCs w:val="24"/>
          <w:lang w:val="ro-RO"/>
        </w:rPr>
        <w:t>;</w:t>
      </w:r>
    </w:p>
    <w:p w14:paraId="628ABF85" w14:textId="77777777" w:rsidR="0094294D" w:rsidRPr="00EF6010" w:rsidRDefault="0094294D" w:rsidP="0094294D">
      <w:pPr>
        <w:pStyle w:val="ListParagraph"/>
        <w:spacing w:after="0"/>
        <w:ind w:left="0" w:firstLine="567"/>
        <w:contextualSpacing w:val="0"/>
        <w:jc w:val="both"/>
        <w:rPr>
          <w:rFonts w:asciiTheme="majorHAnsi" w:hAnsiTheme="majorHAnsi" w:cstheme="majorHAnsi"/>
          <w:sz w:val="24"/>
          <w:szCs w:val="24"/>
          <w:lang w:val="ro-RO"/>
        </w:rPr>
      </w:pPr>
      <w:r w:rsidRPr="00EF6010">
        <w:rPr>
          <w:rFonts w:asciiTheme="majorHAnsi" w:hAnsiTheme="majorHAnsi" w:cstheme="majorHAnsi"/>
          <w:b/>
          <w:sz w:val="24"/>
          <w:szCs w:val="24"/>
          <w:lang w:val="ro-RO"/>
        </w:rPr>
        <w:t>2.5. Ministerului Economiei și Infrastructurii</w:t>
      </w:r>
      <w:r w:rsidRPr="00EF6010">
        <w:rPr>
          <w:rFonts w:asciiTheme="majorHAnsi" w:hAnsiTheme="majorHAnsi" w:cstheme="majorHAnsi"/>
          <w:sz w:val="24"/>
          <w:szCs w:val="24"/>
          <w:lang w:val="ro-RO"/>
        </w:rPr>
        <w:t>, pentru actualizarea cotelor utilizate la determinarea valorii obiectivelor de construcții</w:t>
      </w:r>
      <w:r w:rsidR="00843FE4" w:rsidRPr="00EF6010">
        <w:rPr>
          <w:rFonts w:asciiTheme="majorHAnsi" w:hAnsiTheme="majorHAnsi" w:cstheme="majorHAnsi"/>
          <w:sz w:val="24"/>
          <w:szCs w:val="24"/>
          <w:lang w:val="ro-RO"/>
        </w:rPr>
        <w:t>;</w:t>
      </w:r>
      <w:r w:rsidR="00DE2428" w:rsidRPr="00EF6010">
        <w:rPr>
          <w:rFonts w:asciiTheme="majorHAnsi" w:hAnsiTheme="majorHAnsi" w:cstheme="majorHAnsi"/>
          <w:sz w:val="24"/>
          <w:szCs w:val="24"/>
          <w:lang w:val="ro-RO"/>
        </w:rPr>
        <w:t xml:space="preserve"> </w:t>
      </w:r>
    </w:p>
    <w:p w14:paraId="7FE23B7C" w14:textId="77777777" w:rsidR="0094294D" w:rsidRPr="00EF6010" w:rsidRDefault="0094294D" w:rsidP="0094294D">
      <w:pPr>
        <w:spacing w:after="0" w:line="276" w:lineRule="auto"/>
        <w:ind w:firstLine="567"/>
        <w:jc w:val="both"/>
        <w:rPr>
          <w:rFonts w:asciiTheme="majorHAnsi" w:hAnsiTheme="majorHAnsi"/>
          <w:b/>
          <w:sz w:val="24"/>
          <w:szCs w:val="24"/>
          <w:lang w:val="ro-RO" w:eastAsia="ro-MD"/>
        </w:rPr>
      </w:pPr>
      <w:r w:rsidRPr="00EF6010">
        <w:rPr>
          <w:rFonts w:asciiTheme="majorHAnsi" w:hAnsiTheme="majorHAnsi"/>
          <w:b/>
          <w:sz w:val="24"/>
          <w:szCs w:val="24"/>
          <w:lang w:val="ro-RO" w:eastAsia="ro-MD"/>
        </w:rPr>
        <w:t xml:space="preserve">2.6. </w:t>
      </w:r>
      <w:r w:rsidRPr="00EF6010">
        <w:rPr>
          <w:rFonts w:ascii="Calibri Light" w:hAnsi="Calibri Light" w:cs="Calibri Light"/>
          <w:b/>
          <w:sz w:val="24"/>
          <w:szCs w:val="24"/>
          <w:lang w:val="ro-RO"/>
        </w:rPr>
        <w:t xml:space="preserve">Ministerului Apărării și instituțiilor din subordine supuse auditului, </w:t>
      </w:r>
      <w:r w:rsidRPr="00EF6010">
        <w:rPr>
          <w:rFonts w:ascii="Calibri Light" w:hAnsi="Calibri Light" w:cs="Calibri Light"/>
          <w:sz w:val="24"/>
          <w:szCs w:val="24"/>
          <w:lang w:val="ro-RO"/>
        </w:rPr>
        <w:t>pentru</w:t>
      </w:r>
      <w:r w:rsidRPr="00EF6010">
        <w:rPr>
          <w:rFonts w:asciiTheme="majorHAnsi" w:hAnsiTheme="majorHAnsi"/>
          <w:sz w:val="24"/>
          <w:szCs w:val="24"/>
          <w:lang w:val="ro-RO"/>
        </w:rPr>
        <w:t xml:space="preserve"> luare de atitudine și asigurarea implementării recomandărilor expuse în Raportul de audit.</w:t>
      </w:r>
    </w:p>
    <w:p w14:paraId="25111303" w14:textId="77777777" w:rsidR="0094294D" w:rsidRPr="00EF6010" w:rsidRDefault="0094294D" w:rsidP="0094294D">
      <w:pPr>
        <w:spacing w:after="0" w:line="276" w:lineRule="auto"/>
        <w:ind w:firstLine="567"/>
        <w:jc w:val="both"/>
        <w:rPr>
          <w:rFonts w:asciiTheme="majorHAnsi" w:hAnsiTheme="majorHAnsi"/>
          <w:bCs/>
          <w:sz w:val="24"/>
          <w:szCs w:val="24"/>
          <w:lang w:val="ro-RO"/>
        </w:rPr>
      </w:pPr>
      <w:r w:rsidRPr="00EF6010">
        <w:rPr>
          <w:rFonts w:asciiTheme="majorHAnsi" w:hAnsiTheme="majorHAnsi"/>
          <w:b/>
          <w:sz w:val="24"/>
          <w:szCs w:val="24"/>
          <w:lang w:val="ro-RO" w:eastAsia="ro-MD"/>
        </w:rPr>
        <w:t>3.</w:t>
      </w:r>
      <w:r w:rsidRPr="00EF6010">
        <w:rPr>
          <w:rFonts w:asciiTheme="majorHAnsi" w:hAnsiTheme="majorHAnsi"/>
          <w:sz w:val="24"/>
          <w:szCs w:val="24"/>
          <w:lang w:val="ro-RO" w:eastAsia="ro-MD"/>
        </w:rPr>
        <w:t xml:space="preserve"> </w:t>
      </w:r>
      <w:r w:rsidRPr="00EF6010">
        <w:rPr>
          <w:rFonts w:asciiTheme="majorHAnsi" w:hAnsiTheme="majorHAnsi"/>
          <w:bCs/>
          <w:sz w:val="24"/>
          <w:szCs w:val="24"/>
          <w:lang w:val="ro-RO"/>
        </w:rPr>
        <w:t xml:space="preserve">Prezenta Hotărâre intră în vigoare din data publicării </w:t>
      </w:r>
      <w:r w:rsidRPr="00EF6010">
        <w:rPr>
          <w:rFonts w:asciiTheme="majorHAnsi" w:hAnsiTheme="majorHAnsi"/>
          <w:sz w:val="24"/>
          <w:szCs w:val="24"/>
          <w:lang w:val="ro-RO"/>
        </w:rPr>
        <w:t xml:space="preserve">în Monitorul Oficial al Republicii Moldova </w:t>
      </w:r>
      <w:r w:rsidRPr="00EF6010">
        <w:rPr>
          <w:rFonts w:asciiTheme="majorHAnsi" w:hAnsiTheme="majorHAnsi" w:cstheme="majorHAnsi"/>
          <w:sz w:val="24"/>
          <w:szCs w:val="24"/>
          <w:lang w:val="ro-RO"/>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1B132372"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b/>
          <w:bCs/>
          <w:lang w:val="ro-RO"/>
        </w:rPr>
        <w:t xml:space="preserve">4. </w:t>
      </w:r>
      <w:r w:rsidRPr="00EF6010">
        <w:rPr>
          <w:rFonts w:asciiTheme="majorHAnsi" w:hAnsiTheme="majorHAnsi" w:cstheme="majorHAnsi"/>
          <w:bCs/>
          <w:lang w:val="ro-RO"/>
        </w:rPr>
        <w:t xml:space="preserve">Curtea de Conturi va fi informată, în termen de 12 luni din data publicării Hotărârii în Monitorul Oficial al Republicii Moldova, despre acțiunile întreprinse pentru executarea subpunctelor </w:t>
      </w:r>
      <w:r w:rsidRPr="00EF6010">
        <w:rPr>
          <w:rFonts w:asciiTheme="majorHAnsi" w:hAnsiTheme="majorHAnsi" w:cstheme="majorHAnsi"/>
          <w:b/>
          <w:bCs/>
          <w:lang w:val="ro-RO"/>
        </w:rPr>
        <w:t>2.4.</w:t>
      </w:r>
      <w:r w:rsidRPr="00EF6010">
        <w:rPr>
          <w:rFonts w:asciiTheme="majorHAnsi" w:hAnsiTheme="majorHAnsi" w:cstheme="majorHAnsi"/>
          <w:bCs/>
          <w:lang w:val="ro-RO"/>
        </w:rPr>
        <w:t xml:space="preserve"> - </w:t>
      </w:r>
      <w:r w:rsidRPr="00EF6010">
        <w:rPr>
          <w:rFonts w:asciiTheme="majorHAnsi" w:hAnsiTheme="majorHAnsi" w:cstheme="majorHAnsi"/>
          <w:b/>
          <w:bCs/>
          <w:lang w:val="ro-RO"/>
        </w:rPr>
        <w:t>2.6.</w:t>
      </w:r>
      <w:r w:rsidRPr="00EF6010">
        <w:rPr>
          <w:rFonts w:asciiTheme="majorHAnsi" w:hAnsiTheme="majorHAnsi" w:cstheme="majorHAnsi"/>
          <w:bCs/>
          <w:lang w:val="ro-RO"/>
        </w:rPr>
        <w:t xml:space="preserve"> din prezenta Hotărâre.</w:t>
      </w:r>
    </w:p>
    <w:p w14:paraId="48439F96" w14:textId="77777777" w:rsidR="0094294D" w:rsidRPr="00EF6010" w:rsidRDefault="0094294D" w:rsidP="0094294D">
      <w:pPr>
        <w:pStyle w:val="NormalWeb"/>
        <w:spacing w:line="276" w:lineRule="auto"/>
        <w:rPr>
          <w:rFonts w:asciiTheme="majorHAnsi" w:hAnsiTheme="majorHAnsi"/>
          <w:lang w:val="ro-RO"/>
        </w:rPr>
      </w:pPr>
      <w:r w:rsidRPr="00EF6010">
        <w:rPr>
          <w:rFonts w:asciiTheme="majorHAnsi" w:hAnsiTheme="majorHAnsi"/>
          <w:b/>
          <w:lang w:val="ro-RO"/>
        </w:rPr>
        <w:t>5.</w:t>
      </w:r>
      <w:r w:rsidRPr="00EF6010">
        <w:rPr>
          <w:rFonts w:asciiTheme="majorHAnsi" w:hAnsiTheme="majorHAnsi"/>
          <w:lang w:val="ro-RO"/>
        </w:rPr>
        <w:t xml:space="preserve"> Hotărârea și </w:t>
      </w:r>
      <w:r w:rsidRPr="00EF6010">
        <w:rPr>
          <w:rFonts w:asciiTheme="majorHAnsi" w:hAnsiTheme="majorHAnsi"/>
          <w:bCs/>
          <w:lang w:val="ro-RO" w:eastAsia="ru-RU"/>
        </w:rPr>
        <w:t xml:space="preserve">Raportul auditului conformității achizițiilor publice în cadrul sistemului Ministerului Apărării în anii 2019-2020 </w:t>
      </w:r>
      <w:r w:rsidRPr="00EF6010">
        <w:rPr>
          <w:rFonts w:asciiTheme="majorHAnsi" w:hAnsiTheme="majorHAnsi"/>
          <w:lang w:val="ro-RO"/>
        </w:rPr>
        <w:t xml:space="preserve">se plasează pe site-ul oficial al Curții de Conturi </w:t>
      </w:r>
      <w:r w:rsidRPr="00EF6010">
        <w:rPr>
          <w:rFonts w:ascii="Calibri Light" w:hAnsi="Calibri Light" w:cs="Calibri Light"/>
          <w:lang w:val="ro-RO"/>
        </w:rPr>
        <w:t>(</w:t>
      </w:r>
      <w:hyperlink r:id="rId9" w:history="1">
        <w:r w:rsidRPr="00EF6010">
          <w:rPr>
            <w:rStyle w:val="Hyperlink"/>
            <w:rFonts w:ascii="Calibri Light" w:eastAsiaTheme="majorEastAsia" w:hAnsi="Calibri Light" w:cs="Calibri Light"/>
            <w:lang w:val="ro-RO"/>
          </w:rPr>
          <w:t>http://www.ccrm.md/hotariri-si-rapoarte-1-95</w:t>
        </w:r>
      </w:hyperlink>
      <w:r w:rsidRPr="00EF6010">
        <w:rPr>
          <w:rFonts w:ascii="Calibri Light" w:hAnsi="Calibri Light" w:cs="Calibri Light"/>
          <w:lang w:val="ro-RO"/>
        </w:rPr>
        <w:t>).</w:t>
      </w:r>
    </w:p>
    <w:p w14:paraId="654E08CB" w14:textId="77777777" w:rsidR="00613B66" w:rsidRPr="00EF6010" w:rsidRDefault="00613B66" w:rsidP="008A006A">
      <w:pPr>
        <w:spacing w:after="0" w:line="276" w:lineRule="auto"/>
        <w:jc w:val="right"/>
        <w:rPr>
          <w:rFonts w:asciiTheme="majorHAnsi" w:eastAsia="Times New Roman" w:hAnsiTheme="majorHAnsi" w:cs="Times New Roman"/>
          <w:b/>
          <w:sz w:val="24"/>
          <w:szCs w:val="24"/>
          <w:lang w:val="ro-RO"/>
        </w:rPr>
      </w:pPr>
    </w:p>
    <w:p w14:paraId="7DB442A3" w14:textId="77777777" w:rsidR="00613B66" w:rsidRPr="00EF6010" w:rsidRDefault="00613B66" w:rsidP="008A006A">
      <w:pPr>
        <w:spacing w:after="0" w:line="276" w:lineRule="auto"/>
        <w:jc w:val="right"/>
        <w:rPr>
          <w:rFonts w:asciiTheme="majorHAnsi" w:eastAsia="Times New Roman" w:hAnsiTheme="majorHAnsi" w:cs="Times New Roman"/>
          <w:b/>
          <w:sz w:val="24"/>
          <w:szCs w:val="24"/>
          <w:lang w:val="ro-RO"/>
        </w:rPr>
      </w:pPr>
    </w:p>
    <w:p w14:paraId="076D60D4" w14:textId="77777777" w:rsidR="00613B66" w:rsidRPr="00EF6010" w:rsidRDefault="00613B66" w:rsidP="008A006A">
      <w:pPr>
        <w:spacing w:after="0" w:line="276" w:lineRule="auto"/>
        <w:jc w:val="right"/>
        <w:rPr>
          <w:rFonts w:asciiTheme="majorHAnsi" w:eastAsia="Times New Roman" w:hAnsiTheme="majorHAnsi" w:cs="Times New Roman"/>
          <w:b/>
          <w:sz w:val="24"/>
          <w:szCs w:val="24"/>
          <w:lang w:val="ro-RO"/>
        </w:rPr>
      </w:pPr>
    </w:p>
    <w:p w14:paraId="0A285101" w14:textId="77777777" w:rsidR="00613B66" w:rsidRPr="00EF6010" w:rsidRDefault="00613B66" w:rsidP="008A006A">
      <w:pPr>
        <w:spacing w:after="0" w:line="276" w:lineRule="auto"/>
        <w:jc w:val="right"/>
        <w:rPr>
          <w:rFonts w:asciiTheme="majorHAnsi" w:eastAsia="Times New Roman" w:hAnsiTheme="majorHAnsi" w:cs="Times New Roman"/>
          <w:b/>
          <w:sz w:val="24"/>
          <w:szCs w:val="24"/>
          <w:lang w:val="ro-RO"/>
        </w:rPr>
      </w:pPr>
    </w:p>
    <w:p w14:paraId="47B83861" w14:textId="77777777" w:rsidR="008A006A" w:rsidRPr="00EF6010" w:rsidRDefault="008A006A" w:rsidP="008A006A">
      <w:pPr>
        <w:spacing w:after="0" w:line="276" w:lineRule="auto"/>
        <w:jc w:val="right"/>
        <w:rPr>
          <w:rFonts w:asciiTheme="majorHAnsi" w:eastAsia="Times New Roman" w:hAnsiTheme="majorHAnsi" w:cs="Times New Roman"/>
          <w:b/>
          <w:sz w:val="24"/>
          <w:szCs w:val="24"/>
          <w:lang w:val="ro-RO"/>
        </w:rPr>
      </w:pPr>
      <w:r w:rsidRPr="00EF6010">
        <w:rPr>
          <w:rFonts w:asciiTheme="majorHAnsi" w:eastAsia="Times New Roman" w:hAnsiTheme="majorHAnsi" w:cs="Times New Roman"/>
          <w:b/>
          <w:sz w:val="24"/>
          <w:szCs w:val="24"/>
          <w:lang w:val="ro-RO"/>
        </w:rPr>
        <w:t>Marian LUPU,</w:t>
      </w:r>
    </w:p>
    <w:p w14:paraId="0157B0BE" w14:textId="29513EA0" w:rsidR="008A006A" w:rsidRPr="00EF6010" w:rsidRDefault="008A006A" w:rsidP="00393BCD">
      <w:pPr>
        <w:spacing w:after="0" w:line="276" w:lineRule="auto"/>
        <w:jc w:val="right"/>
        <w:rPr>
          <w:rFonts w:asciiTheme="majorHAnsi" w:hAnsiTheme="majorHAnsi" w:cstheme="majorHAnsi"/>
          <w:sz w:val="24"/>
          <w:szCs w:val="24"/>
          <w:lang w:val="ro-RO"/>
        </w:rPr>
      </w:pPr>
      <w:r w:rsidRPr="00EF6010">
        <w:rPr>
          <w:rFonts w:asciiTheme="majorHAnsi" w:eastAsia="Times New Roman" w:hAnsiTheme="majorHAnsi" w:cs="Times New Roman"/>
          <w:b/>
          <w:sz w:val="24"/>
          <w:szCs w:val="24"/>
          <w:lang w:val="ro-RO"/>
        </w:rPr>
        <w:t>Președinte</w:t>
      </w:r>
      <w:bookmarkStart w:id="1" w:name="_GoBack"/>
      <w:bookmarkEnd w:id="1"/>
    </w:p>
    <w:sectPr w:rsidR="008A006A" w:rsidRPr="00EF6010" w:rsidSect="00044F16">
      <w:headerReference w:type="default" r:id="rId10"/>
      <w:footerReference w:type="default" r:id="rId11"/>
      <w:headerReference w:type="first" r:id="rId12"/>
      <w:footerReference w:type="firs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8C4F" w14:textId="77777777" w:rsidR="0026272C" w:rsidRDefault="0026272C" w:rsidP="008A006A">
      <w:pPr>
        <w:spacing w:after="0" w:line="240" w:lineRule="auto"/>
      </w:pPr>
      <w:r>
        <w:separator/>
      </w:r>
    </w:p>
  </w:endnote>
  <w:endnote w:type="continuationSeparator" w:id="0">
    <w:p w14:paraId="504E8D69" w14:textId="77777777" w:rsidR="0026272C" w:rsidRDefault="0026272C" w:rsidP="008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14:paraId="14B2CFFB" w14:textId="5A3A913E" w:rsidR="00044F16" w:rsidRDefault="00A84BAD">
        <w:pPr>
          <w:pStyle w:val="Footer"/>
          <w:jc w:val="right"/>
        </w:pPr>
        <w:r>
          <w:fldChar w:fldCharType="begin"/>
        </w:r>
        <w:r>
          <w:instrText xml:space="preserve"> PAGE   \* MERGEFORMAT </w:instrText>
        </w:r>
        <w:r>
          <w:fldChar w:fldCharType="separate"/>
        </w:r>
        <w:r w:rsidR="00EC3354">
          <w:rPr>
            <w:noProof/>
          </w:rPr>
          <w:t>3</w:t>
        </w:r>
        <w:r>
          <w:rPr>
            <w:noProof/>
          </w:rPr>
          <w:fldChar w:fldCharType="end"/>
        </w:r>
      </w:p>
    </w:sdtContent>
  </w:sdt>
  <w:p w14:paraId="2AE1823D" w14:textId="77777777" w:rsidR="00044F16" w:rsidRDefault="0026272C"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14:paraId="0219CEAA" w14:textId="77777777" w:rsidR="00044F16" w:rsidRDefault="00A84B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19FD3E" w14:textId="77777777" w:rsidR="00044F16" w:rsidRDefault="0026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6143" w14:textId="77777777" w:rsidR="0026272C" w:rsidRDefault="0026272C" w:rsidP="008A006A">
      <w:pPr>
        <w:spacing w:after="0" w:line="240" w:lineRule="auto"/>
      </w:pPr>
      <w:r>
        <w:separator/>
      </w:r>
    </w:p>
  </w:footnote>
  <w:footnote w:type="continuationSeparator" w:id="0">
    <w:p w14:paraId="2102079F" w14:textId="77777777" w:rsidR="0026272C" w:rsidRDefault="0026272C" w:rsidP="008A006A">
      <w:pPr>
        <w:spacing w:after="0" w:line="240" w:lineRule="auto"/>
      </w:pPr>
      <w:r>
        <w:continuationSeparator/>
      </w:r>
    </w:p>
  </w:footnote>
  <w:footnote w:id="1">
    <w:p w14:paraId="37591E9B" w14:textId="287B3644" w:rsidR="00077E80" w:rsidRPr="00533E82" w:rsidRDefault="00077E80">
      <w:pPr>
        <w:pStyle w:val="FootnoteText"/>
        <w:rPr>
          <w:rFonts w:asciiTheme="majorHAnsi" w:hAnsiTheme="majorHAnsi" w:cs="Times New Roman"/>
          <w:color w:val="000000"/>
          <w:sz w:val="18"/>
          <w:szCs w:val="18"/>
          <w:lang w:val="ro-MD"/>
        </w:rPr>
      </w:pPr>
      <w:r>
        <w:rPr>
          <w:rStyle w:val="FootnoteReference"/>
        </w:rPr>
        <w:footnoteRef/>
      </w:r>
      <w:r>
        <w:t xml:space="preserve"> </w:t>
      </w:r>
      <w:r w:rsidR="002A413D" w:rsidRPr="00CB7F3C">
        <w:rPr>
          <w:rFonts w:asciiTheme="majorHAnsi" w:eastAsia="Times New Roman" w:hAnsiTheme="majorHAnsi" w:cs="Times New Roman"/>
          <w:sz w:val="18"/>
          <w:szCs w:val="18"/>
          <w:lang w:val="ro-RO"/>
        </w:rPr>
        <w:t>Legea privind organizarea și funcționarea Curții de Conturi a Republicii Moldova nr.260 din 07.12.2017 (în continuare – Legea nr.260 din 07.12.2017).</w:t>
      </w:r>
    </w:p>
  </w:footnote>
  <w:footnote w:id="2">
    <w:p w14:paraId="1E4393DA" w14:textId="77777777" w:rsidR="008A006A" w:rsidRPr="0052764D" w:rsidRDefault="008A006A" w:rsidP="008A006A">
      <w:pPr>
        <w:spacing w:after="0"/>
        <w:jc w:val="both"/>
        <w:rPr>
          <w:rFonts w:asciiTheme="majorHAnsi" w:hAnsiTheme="majorHAnsi" w:cs="Times New Roman"/>
          <w:sz w:val="18"/>
          <w:szCs w:val="18"/>
        </w:rPr>
      </w:pPr>
      <w:r w:rsidRPr="0052764D">
        <w:rPr>
          <w:rStyle w:val="FootnoteReference"/>
          <w:rFonts w:asciiTheme="majorHAnsi" w:hAnsiTheme="majorHAnsi" w:cs="Times New Roman"/>
          <w:sz w:val="18"/>
          <w:szCs w:val="18"/>
        </w:rPr>
        <w:footnoteRef/>
      </w:r>
      <w:r w:rsidRPr="0052764D">
        <w:rPr>
          <w:rFonts w:asciiTheme="majorHAnsi" w:hAnsiTheme="majorHAnsi" w:cs="Times New Roman"/>
          <w:sz w:val="18"/>
          <w:szCs w:val="18"/>
        </w:rPr>
        <w:t xml:space="preserve"> </w:t>
      </w:r>
      <w:r w:rsidRPr="00CD0033">
        <w:rPr>
          <w:rFonts w:asciiTheme="majorHAnsi" w:hAnsiTheme="majorHAnsi" w:cs="Times New Roman"/>
          <w:color w:val="000000"/>
          <w:sz w:val="18"/>
          <w:szCs w:val="18"/>
          <w:lang w:val="ro-MD"/>
        </w:rPr>
        <w:t>Hotărârea Curții de Conturi nr.</w:t>
      </w:r>
      <w:r w:rsidRPr="00CD0033">
        <w:rPr>
          <w:rFonts w:asciiTheme="majorHAnsi" w:hAnsiTheme="majorHAnsi" w:cs="Times New Roman"/>
          <w:color w:val="000000"/>
          <w:spacing w:val="-1"/>
          <w:sz w:val="18"/>
          <w:szCs w:val="18"/>
          <w:lang w:val="ro-MD"/>
        </w:rPr>
        <w:t>77</w:t>
      </w:r>
      <w:r w:rsidRPr="00CD0033">
        <w:rPr>
          <w:rFonts w:asciiTheme="majorHAnsi" w:hAnsiTheme="majorHAnsi" w:cs="Times New Roman"/>
          <w:color w:val="000000"/>
          <w:sz w:val="18"/>
          <w:szCs w:val="18"/>
          <w:lang w:val="ro-MD"/>
        </w:rPr>
        <w:t xml:space="preserve"> din 27.12.2019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2020”</w:t>
      </w:r>
      <w:r w:rsidRPr="00CD0033">
        <w:rPr>
          <w:rFonts w:asciiTheme="majorHAnsi" w:hAnsiTheme="majorHAnsi" w:cs="Times New Roman"/>
          <w:color w:val="000000"/>
          <w:sz w:val="18"/>
          <w:szCs w:val="18"/>
          <w:lang w:val="ro-MD"/>
        </w:rPr>
        <w:t xml:space="preserve"> (cu modificările și completările ulterioare); Hotărârea Curții de Conturi nr</w:t>
      </w:r>
      <w:r w:rsidRPr="0083114D">
        <w:rPr>
          <w:rFonts w:asciiTheme="majorHAnsi" w:hAnsiTheme="majorHAnsi" w:cs="Times New Roman"/>
          <w:color w:val="000000"/>
          <w:sz w:val="18"/>
          <w:szCs w:val="18"/>
          <w:lang w:val="ro-MD"/>
        </w:rPr>
        <w:t>.</w:t>
      </w:r>
      <w:r>
        <w:rPr>
          <w:rFonts w:asciiTheme="majorHAnsi" w:hAnsiTheme="majorHAnsi" w:cs="Times New Roman"/>
          <w:color w:val="000000"/>
          <w:sz w:val="18"/>
          <w:szCs w:val="18"/>
          <w:lang w:val="ro-MD"/>
        </w:rPr>
        <w:t>6</w:t>
      </w:r>
      <w:r w:rsidRPr="0083114D">
        <w:rPr>
          <w:rFonts w:asciiTheme="majorHAnsi" w:hAnsiTheme="majorHAnsi" w:cs="Times New Roman"/>
          <w:color w:val="000000"/>
          <w:spacing w:val="-1"/>
          <w:sz w:val="18"/>
          <w:szCs w:val="18"/>
          <w:lang w:val="ro-MD"/>
        </w:rPr>
        <w:t>2</w:t>
      </w:r>
      <w:r w:rsidRPr="0083114D">
        <w:rPr>
          <w:rFonts w:asciiTheme="majorHAnsi" w:hAnsiTheme="majorHAnsi" w:cs="Times New Roman"/>
          <w:color w:val="000000"/>
          <w:sz w:val="18"/>
          <w:szCs w:val="18"/>
          <w:lang w:val="ro-MD"/>
        </w:rPr>
        <w:t xml:space="preserve"> din </w:t>
      </w:r>
      <w:r>
        <w:rPr>
          <w:rFonts w:asciiTheme="majorHAnsi" w:hAnsiTheme="majorHAnsi" w:cs="Times New Roman"/>
          <w:color w:val="000000"/>
          <w:sz w:val="18"/>
          <w:szCs w:val="18"/>
          <w:lang w:val="ro-MD"/>
        </w:rPr>
        <w:t>10</w:t>
      </w:r>
      <w:r w:rsidRPr="0083114D">
        <w:rPr>
          <w:rFonts w:asciiTheme="majorHAnsi" w:hAnsiTheme="majorHAnsi" w:cs="Times New Roman"/>
          <w:color w:val="000000"/>
          <w:sz w:val="18"/>
          <w:szCs w:val="18"/>
          <w:lang w:val="ro-MD"/>
        </w:rPr>
        <w:t>.1</w:t>
      </w:r>
      <w:r>
        <w:rPr>
          <w:rFonts w:asciiTheme="majorHAnsi" w:hAnsiTheme="majorHAnsi" w:cs="Times New Roman"/>
          <w:color w:val="000000"/>
          <w:sz w:val="18"/>
          <w:szCs w:val="18"/>
          <w:lang w:val="ro-MD"/>
        </w:rPr>
        <w:t>2</w:t>
      </w:r>
      <w:r w:rsidRPr="0083114D">
        <w:rPr>
          <w:rFonts w:asciiTheme="majorHAnsi" w:hAnsiTheme="majorHAnsi" w:cs="Times New Roman"/>
          <w:color w:val="000000"/>
          <w:sz w:val="18"/>
          <w:szCs w:val="18"/>
          <w:lang w:val="ro-MD"/>
        </w:rPr>
        <w:t>.202</w:t>
      </w:r>
      <w:r>
        <w:rPr>
          <w:rFonts w:asciiTheme="majorHAnsi" w:hAnsiTheme="majorHAnsi" w:cs="Times New Roman"/>
          <w:color w:val="000000"/>
          <w:sz w:val="18"/>
          <w:szCs w:val="18"/>
          <w:lang w:val="ro-MD"/>
        </w:rPr>
        <w:t>0</w:t>
      </w:r>
      <w:r w:rsidRPr="00CD0033">
        <w:rPr>
          <w:rFonts w:asciiTheme="majorHAnsi" w:hAnsiTheme="majorHAnsi" w:cs="Times New Roman"/>
          <w:color w:val="000000"/>
          <w:sz w:val="18"/>
          <w:szCs w:val="18"/>
          <w:lang w:val="ro-MD"/>
        </w:rPr>
        <w:t xml:space="preserve"> </w:t>
      </w:r>
      <w:r w:rsidRPr="00CD0033">
        <w:rPr>
          <w:rFonts w:asciiTheme="majorHAnsi" w:hAnsiTheme="majorHAnsi"/>
          <w:bCs/>
          <w:sz w:val="18"/>
          <w:szCs w:val="18"/>
          <w:lang w:val="ro-RO"/>
        </w:rPr>
        <w:t xml:space="preserve">„Privind aprobarea </w:t>
      </w:r>
      <w:r w:rsidRPr="00CD0033">
        <w:rPr>
          <w:rFonts w:asciiTheme="majorHAnsi" w:hAnsiTheme="majorHAnsi"/>
          <w:sz w:val="18"/>
          <w:szCs w:val="18"/>
          <w:lang w:val="ro-RO"/>
        </w:rPr>
        <w:t>Programului activității de audit a Curții de Conturi pe anul 202</w:t>
      </w:r>
      <w:r>
        <w:rPr>
          <w:rFonts w:asciiTheme="majorHAnsi" w:hAnsiTheme="majorHAnsi"/>
          <w:sz w:val="18"/>
          <w:szCs w:val="18"/>
          <w:lang w:val="ro-RO"/>
        </w:rPr>
        <w:t>1</w:t>
      </w:r>
      <w:r w:rsidRPr="00CD0033">
        <w:rPr>
          <w:rFonts w:asciiTheme="majorHAnsi" w:hAnsiTheme="majorHAnsi"/>
          <w:sz w:val="18"/>
          <w:szCs w:val="18"/>
          <w:lang w:val="ro-RO"/>
        </w:rPr>
        <w:t>”</w:t>
      </w:r>
      <w:r w:rsidRPr="0083114D">
        <w:rPr>
          <w:rFonts w:asciiTheme="majorHAnsi" w:hAnsiTheme="majorHAnsi" w:cs="Times New Roman"/>
          <w:color w:val="000000"/>
          <w:sz w:val="18"/>
          <w:szCs w:val="18"/>
          <w:lang w:val="ro-MD"/>
        </w:rPr>
        <w:t xml:space="preserve"> </w:t>
      </w:r>
      <w:r w:rsidRPr="00CD0033">
        <w:rPr>
          <w:rFonts w:asciiTheme="majorHAnsi" w:hAnsiTheme="majorHAnsi" w:cs="Times New Roman"/>
          <w:color w:val="000000"/>
          <w:sz w:val="18"/>
          <w:szCs w:val="18"/>
          <w:lang w:val="ro-MD"/>
        </w:rPr>
        <w:t>(cu modificările și completările ulterioare)</w:t>
      </w:r>
      <w:r>
        <w:rPr>
          <w:rFonts w:asciiTheme="majorHAnsi" w:hAnsiTheme="majorHAnsi" w:cs="Times New Roman"/>
          <w:color w:val="000000"/>
          <w:sz w:val="18"/>
          <w:szCs w:val="18"/>
          <w:lang w:val="ro-MD"/>
        </w:rPr>
        <w:t>.</w:t>
      </w:r>
    </w:p>
  </w:footnote>
  <w:footnote w:id="3">
    <w:p w14:paraId="218BC599" w14:textId="77777777" w:rsidR="008A006A" w:rsidRPr="00CB7F3C" w:rsidRDefault="008A006A" w:rsidP="008A006A">
      <w:pPr>
        <w:spacing w:after="0" w:line="240" w:lineRule="auto"/>
        <w:jc w:val="both"/>
        <w:rPr>
          <w:rFonts w:ascii="Times New Roman" w:eastAsia="Times New Roman" w:hAnsi="Times New Roman" w:cs="Times New Roman"/>
          <w:sz w:val="18"/>
          <w:szCs w:val="18"/>
          <w:lang w:val="ro-RO"/>
        </w:rPr>
      </w:pPr>
      <w:r w:rsidRPr="00CB7F3C">
        <w:rPr>
          <w:rStyle w:val="FootnoteReference"/>
          <w:rFonts w:asciiTheme="majorHAnsi" w:hAnsiTheme="majorHAnsi" w:cs="Times New Roman"/>
          <w:sz w:val="18"/>
          <w:szCs w:val="18"/>
          <w:lang w:val="ro-RO"/>
        </w:rPr>
        <w:footnoteRef/>
      </w:r>
      <w:r w:rsidRPr="00CB7F3C">
        <w:rPr>
          <w:rFonts w:asciiTheme="majorHAnsi" w:hAnsiTheme="majorHAnsi" w:cs="Times New Roman"/>
          <w:sz w:val="18"/>
          <w:szCs w:val="18"/>
          <w:lang w:val="ro-RO"/>
        </w:rPr>
        <w:t xml:space="preserve"> </w:t>
      </w:r>
      <w:r w:rsidRPr="00CB7F3C">
        <w:rPr>
          <w:rFonts w:asciiTheme="majorHAnsi" w:eastAsia="Times New Roman" w:hAnsiTheme="majorHAnsi" w:cstheme="majorHAnsi"/>
          <w:sz w:val="18"/>
          <w:szCs w:val="18"/>
          <w:lang w:val="ro-RO"/>
        </w:rPr>
        <w:t>Hotărârea Curții de Conturi nr.2 din 24.01.2020 „Cu privire la Cadrul Declarațiilor Profesionale ale INTOSAI”</w:t>
      </w:r>
      <w:r w:rsidRPr="00CB7F3C">
        <w:rPr>
          <w:rFonts w:asciiTheme="majorHAnsi" w:eastAsia="Times New Roman" w:hAnsiTheme="majorHAnsi" w:cs="Times New Roman"/>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E52A" w14:textId="77777777" w:rsidR="00044F16" w:rsidRPr="00DD3321" w:rsidRDefault="0026272C" w:rsidP="00044F16">
    <w:pPr>
      <w:pStyle w:val="Header"/>
      <w:jc w:val="right"/>
      <w:rPr>
        <w:rFonts w:asciiTheme="majorHAnsi" w:hAnsiTheme="majorHAnsi"/>
        <w:i/>
        <w:lang w:val="ro-M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D5A4" w14:textId="77777777" w:rsidR="00044F16" w:rsidRPr="0091121A" w:rsidRDefault="0026272C" w:rsidP="00044F16">
    <w:pPr>
      <w:pStyle w:val="Header"/>
      <w:jc w:val="right"/>
      <w:rPr>
        <w:rFonts w:asciiTheme="majorHAnsi" w:hAnsiTheme="majorHAnsi"/>
        <w:i/>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A"/>
    <w:rsid w:val="000018F6"/>
    <w:rsid w:val="00006E5A"/>
    <w:rsid w:val="000159E3"/>
    <w:rsid w:val="00051774"/>
    <w:rsid w:val="00071DA3"/>
    <w:rsid w:val="00077862"/>
    <w:rsid w:val="00077E80"/>
    <w:rsid w:val="00083226"/>
    <w:rsid w:val="000B0BBA"/>
    <w:rsid w:val="000B6C4D"/>
    <w:rsid w:val="000E7445"/>
    <w:rsid w:val="000F5D07"/>
    <w:rsid w:val="00107C7F"/>
    <w:rsid w:val="00110E17"/>
    <w:rsid w:val="00123F37"/>
    <w:rsid w:val="001337D5"/>
    <w:rsid w:val="00170325"/>
    <w:rsid w:val="001817E9"/>
    <w:rsid w:val="001A343D"/>
    <w:rsid w:val="001F49B6"/>
    <w:rsid w:val="0022577F"/>
    <w:rsid w:val="00230A0E"/>
    <w:rsid w:val="00245DA2"/>
    <w:rsid w:val="002517D2"/>
    <w:rsid w:val="00253471"/>
    <w:rsid w:val="00256BE0"/>
    <w:rsid w:val="0026272C"/>
    <w:rsid w:val="002745F8"/>
    <w:rsid w:val="00277603"/>
    <w:rsid w:val="00297443"/>
    <w:rsid w:val="002A413D"/>
    <w:rsid w:val="002A5245"/>
    <w:rsid w:val="002B00A7"/>
    <w:rsid w:val="002C388D"/>
    <w:rsid w:val="002C46C6"/>
    <w:rsid w:val="002E4C91"/>
    <w:rsid w:val="00321979"/>
    <w:rsid w:val="00341461"/>
    <w:rsid w:val="00345130"/>
    <w:rsid w:val="00362CF1"/>
    <w:rsid w:val="00372F5B"/>
    <w:rsid w:val="00374909"/>
    <w:rsid w:val="0037637F"/>
    <w:rsid w:val="00393BCD"/>
    <w:rsid w:val="00396C3E"/>
    <w:rsid w:val="003C0120"/>
    <w:rsid w:val="0040502F"/>
    <w:rsid w:val="00413F93"/>
    <w:rsid w:val="004148DA"/>
    <w:rsid w:val="00420F56"/>
    <w:rsid w:val="004275DC"/>
    <w:rsid w:val="0044455D"/>
    <w:rsid w:val="00445709"/>
    <w:rsid w:val="004A0DD0"/>
    <w:rsid w:val="004A1412"/>
    <w:rsid w:val="004B393D"/>
    <w:rsid w:val="004B504E"/>
    <w:rsid w:val="004D3310"/>
    <w:rsid w:val="004F06AA"/>
    <w:rsid w:val="004F75D9"/>
    <w:rsid w:val="00506D62"/>
    <w:rsid w:val="0051483D"/>
    <w:rsid w:val="00525AE7"/>
    <w:rsid w:val="00527708"/>
    <w:rsid w:val="005337B3"/>
    <w:rsid w:val="00533E82"/>
    <w:rsid w:val="00536BE1"/>
    <w:rsid w:val="00546947"/>
    <w:rsid w:val="0058443D"/>
    <w:rsid w:val="005A727A"/>
    <w:rsid w:val="005D74C0"/>
    <w:rsid w:val="005E33E0"/>
    <w:rsid w:val="005F4411"/>
    <w:rsid w:val="00601BDC"/>
    <w:rsid w:val="00613B66"/>
    <w:rsid w:val="00630006"/>
    <w:rsid w:val="006408B2"/>
    <w:rsid w:val="006624F8"/>
    <w:rsid w:val="00672908"/>
    <w:rsid w:val="0068413D"/>
    <w:rsid w:val="00690B2D"/>
    <w:rsid w:val="006970F7"/>
    <w:rsid w:val="006A2055"/>
    <w:rsid w:val="006C1523"/>
    <w:rsid w:val="006C6174"/>
    <w:rsid w:val="006C7423"/>
    <w:rsid w:val="006E06D1"/>
    <w:rsid w:val="007024E2"/>
    <w:rsid w:val="00703901"/>
    <w:rsid w:val="00707DC7"/>
    <w:rsid w:val="00713A36"/>
    <w:rsid w:val="00715D99"/>
    <w:rsid w:val="0072085C"/>
    <w:rsid w:val="00721298"/>
    <w:rsid w:val="00730820"/>
    <w:rsid w:val="007467DB"/>
    <w:rsid w:val="007678AD"/>
    <w:rsid w:val="007A1BE2"/>
    <w:rsid w:val="007B6060"/>
    <w:rsid w:val="007E1B5B"/>
    <w:rsid w:val="007E5FB8"/>
    <w:rsid w:val="007F09FB"/>
    <w:rsid w:val="007F6879"/>
    <w:rsid w:val="00806117"/>
    <w:rsid w:val="00824D33"/>
    <w:rsid w:val="008379A2"/>
    <w:rsid w:val="00843FE4"/>
    <w:rsid w:val="008857E3"/>
    <w:rsid w:val="008A006A"/>
    <w:rsid w:val="008D4051"/>
    <w:rsid w:val="008E4462"/>
    <w:rsid w:val="008F4C1E"/>
    <w:rsid w:val="0090259E"/>
    <w:rsid w:val="0094294D"/>
    <w:rsid w:val="00965210"/>
    <w:rsid w:val="00970D97"/>
    <w:rsid w:val="00976B78"/>
    <w:rsid w:val="00985108"/>
    <w:rsid w:val="009A3CD0"/>
    <w:rsid w:val="009B16BB"/>
    <w:rsid w:val="009D2F7F"/>
    <w:rsid w:val="009D36D6"/>
    <w:rsid w:val="009D5BA0"/>
    <w:rsid w:val="009E1C98"/>
    <w:rsid w:val="009E2DF9"/>
    <w:rsid w:val="009E6068"/>
    <w:rsid w:val="009E7250"/>
    <w:rsid w:val="00A00415"/>
    <w:rsid w:val="00A076AB"/>
    <w:rsid w:val="00A37870"/>
    <w:rsid w:val="00A43A8E"/>
    <w:rsid w:val="00A50C22"/>
    <w:rsid w:val="00A5675F"/>
    <w:rsid w:val="00A71FE5"/>
    <w:rsid w:val="00A7225B"/>
    <w:rsid w:val="00A84BAD"/>
    <w:rsid w:val="00A8577F"/>
    <w:rsid w:val="00A937C6"/>
    <w:rsid w:val="00A94384"/>
    <w:rsid w:val="00A9757D"/>
    <w:rsid w:val="00AA35DE"/>
    <w:rsid w:val="00AB1873"/>
    <w:rsid w:val="00AC34BC"/>
    <w:rsid w:val="00AD021A"/>
    <w:rsid w:val="00AE6F62"/>
    <w:rsid w:val="00B002E9"/>
    <w:rsid w:val="00B01543"/>
    <w:rsid w:val="00B01DC8"/>
    <w:rsid w:val="00B040E8"/>
    <w:rsid w:val="00B1486C"/>
    <w:rsid w:val="00B20D1F"/>
    <w:rsid w:val="00B32C99"/>
    <w:rsid w:val="00B6031E"/>
    <w:rsid w:val="00B60ED7"/>
    <w:rsid w:val="00B620F4"/>
    <w:rsid w:val="00B96562"/>
    <w:rsid w:val="00BA04E0"/>
    <w:rsid w:val="00BA0E1E"/>
    <w:rsid w:val="00BA7E54"/>
    <w:rsid w:val="00BB5F1B"/>
    <w:rsid w:val="00BC1E74"/>
    <w:rsid w:val="00BC397A"/>
    <w:rsid w:val="00BD11D0"/>
    <w:rsid w:val="00BD7986"/>
    <w:rsid w:val="00BE5B7C"/>
    <w:rsid w:val="00C006C0"/>
    <w:rsid w:val="00C30D62"/>
    <w:rsid w:val="00C335EE"/>
    <w:rsid w:val="00C34ABC"/>
    <w:rsid w:val="00C468FB"/>
    <w:rsid w:val="00C5396D"/>
    <w:rsid w:val="00C9338A"/>
    <w:rsid w:val="00C944C5"/>
    <w:rsid w:val="00CC2406"/>
    <w:rsid w:val="00CC5DE1"/>
    <w:rsid w:val="00CC7B20"/>
    <w:rsid w:val="00CD6E1B"/>
    <w:rsid w:val="00CF0B52"/>
    <w:rsid w:val="00CF1100"/>
    <w:rsid w:val="00D27C1D"/>
    <w:rsid w:val="00D376F0"/>
    <w:rsid w:val="00D40360"/>
    <w:rsid w:val="00D52248"/>
    <w:rsid w:val="00D653FC"/>
    <w:rsid w:val="00D71622"/>
    <w:rsid w:val="00D734A9"/>
    <w:rsid w:val="00D825FA"/>
    <w:rsid w:val="00D84045"/>
    <w:rsid w:val="00D8733F"/>
    <w:rsid w:val="00D91538"/>
    <w:rsid w:val="00D96DDE"/>
    <w:rsid w:val="00D97BF8"/>
    <w:rsid w:val="00DA1771"/>
    <w:rsid w:val="00DA40CA"/>
    <w:rsid w:val="00DA58FE"/>
    <w:rsid w:val="00DE2428"/>
    <w:rsid w:val="00E20FC4"/>
    <w:rsid w:val="00E2478E"/>
    <w:rsid w:val="00E33006"/>
    <w:rsid w:val="00E429DE"/>
    <w:rsid w:val="00E63021"/>
    <w:rsid w:val="00E76BBE"/>
    <w:rsid w:val="00E77CC8"/>
    <w:rsid w:val="00E8609F"/>
    <w:rsid w:val="00EA38D2"/>
    <w:rsid w:val="00EA4204"/>
    <w:rsid w:val="00EB3E71"/>
    <w:rsid w:val="00EC3354"/>
    <w:rsid w:val="00ED016F"/>
    <w:rsid w:val="00ED1FD7"/>
    <w:rsid w:val="00EF6010"/>
    <w:rsid w:val="00EF7D47"/>
    <w:rsid w:val="00F16076"/>
    <w:rsid w:val="00F277A5"/>
    <w:rsid w:val="00F27800"/>
    <w:rsid w:val="00F3327B"/>
    <w:rsid w:val="00F36AE7"/>
    <w:rsid w:val="00F4371B"/>
    <w:rsid w:val="00F52456"/>
    <w:rsid w:val="00F546CB"/>
    <w:rsid w:val="00F56990"/>
    <w:rsid w:val="00F60A4E"/>
    <w:rsid w:val="00F83222"/>
    <w:rsid w:val="00FA23EF"/>
    <w:rsid w:val="00FB2DB0"/>
    <w:rsid w:val="00FC6361"/>
    <w:rsid w:val="00FD3860"/>
    <w:rsid w:val="00FE0220"/>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27C2"/>
  <w15:chartTrackingRefBased/>
  <w15:docId w15:val="{E870DE40-2D54-4AB3-849C-4E92BCF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8A006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8A006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A006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8A006A"/>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8A006A"/>
    <w:rPr>
      <w:vertAlign w:val="superscript"/>
    </w:rPr>
  </w:style>
  <w:style w:type="paragraph" w:styleId="Footer">
    <w:name w:val="footer"/>
    <w:basedOn w:val="Normal"/>
    <w:link w:val="FooterChar"/>
    <w:uiPriority w:val="99"/>
    <w:unhideWhenUsed/>
    <w:rsid w:val="008A00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A006A"/>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A006A"/>
    <w:pPr>
      <w:spacing w:line="240" w:lineRule="exact"/>
    </w:pPr>
    <w:rPr>
      <w:vertAlign w:val="superscript"/>
    </w:rPr>
  </w:style>
  <w:style w:type="paragraph" w:customStyle="1" w:styleId="cp">
    <w:name w:val="cp"/>
    <w:basedOn w:val="Normal"/>
    <w:rsid w:val="008A006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006A"/>
    <w:rPr>
      <w:color w:val="0563C1" w:themeColor="hyperlink"/>
      <w:u w:val="single"/>
    </w:rPr>
  </w:style>
  <w:style w:type="paragraph" w:styleId="Header">
    <w:name w:val="header"/>
    <w:basedOn w:val="Normal"/>
    <w:link w:val="HeaderChar"/>
    <w:uiPriority w:val="99"/>
    <w:unhideWhenUsed/>
    <w:rsid w:val="008A00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006A"/>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721298"/>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721298"/>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CF0B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62"/>
    <w:rPr>
      <w:rFonts w:ascii="Segoe UI" w:hAnsi="Segoe UI" w:cs="Segoe UI"/>
      <w:sz w:val="18"/>
      <w:szCs w:val="18"/>
    </w:rPr>
  </w:style>
  <w:style w:type="character" w:styleId="CommentReference">
    <w:name w:val="annotation reference"/>
    <w:basedOn w:val="DefaultParagraphFont"/>
    <w:uiPriority w:val="99"/>
    <w:semiHidden/>
    <w:unhideWhenUsed/>
    <w:rsid w:val="00C944C5"/>
    <w:rPr>
      <w:sz w:val="16"/>
      <w:szCs w:val="16"/>
    </w:rPr>
  </w:style>
  <w:style w:type="paragraph" w:styleId="CommentText">
    <w:name w:val="annotation text"/>
    <w:basedOn w:val="Normal"/>
    <w:link w:val="CommentTextChar"/>
    <w:uiPriority w:val="99"/>
    <w:semiHidden/>
    <w:unhideWhenUsed/>
    <w:rsid w:val="00C944C5"/>
    <w:pPr>
      <w:spacing w:line="240" w:lineRule="auto"/>
    </w:pPr>
    <w:rPr>
      <w:sz w:val="20"/>
      <w:szCs w:val="20"/>
    </w:rPr>
  </w:style>
  <w:style w:type="character" w:customStyle="1" w:styleId="CommentTextChar">
    <w:name w:val="Comment Text Char"/>
    <w:basedOn w:val="DefaultParagraphFont"/>
    <w:link w:val="CommentText"/>
    <w:uiPriority w:val="99"/>
    <w:semiHidden/>
    <w:rsid w:val="00C944C5"/>
    <w:rPr>
      <w:sz w:val="20"/>
      <w:szCs w:val="20"/>
    </w:rPr>
  </w:style>
  <w:style w:type="paragraph" w:styleId="CommentSubject">
    <w:name w:val="annotation subject"/>
    <w:basedOn w:val="CommentText"/>
    <w:next w:val="CommentText"/>
    <w:link w:val="CommentSubjectChar"/>
    <w:uiPriority w:val="99"/>
    <w:semiHidden/>
    <w:unhideWhenUsed/>
    <w:rsid w:val="00C944C5"/>
    <w:rPr>
      <w:b/>
      <w:bCs/>
    </w:rPr>
  </w:style>
  <w:style w:type="character" w:customStyle="1" w:styleId="CommentSubjectChar">
    <w:name w:val="Comment Subject Char"/>
    <w:basedOn w:val="CommentTextChar"/>
    <w:link w:val="CommentSubject"/>
    <w:uiPriority w:val="99"/>
    <w:semiHidden/>
    <w:rsid w:val="00C944C5"/>
    <w:rPr>
      <w:b/>
      <w:bCs/>
      <w:sz w:val="20"/>
      <w:szCs w:val="20"/>
    </w:rPr>
  </w:style>
  <w:style w:type="character" w:customStyle="1" w:styleId="3">
    <w:name w:val="Основной текст (3)_"/>
    <w:basedOn w:val="DefaultParagraphFont"/>
    <w:link w:val="30"/>
    <w:rsid w:val="00E77CC8"/>
    <w:rPr>
      <w:rFonts w:ascii="Calibri" w:eastAsia="Calibri" w:hAnsi="Calibri" w:cs="Calibri"/>
      <w:sz w:val="26"/>
      <w:szCs w:val="26"/>
      <w:shd w:val="clear" w:color="auto" w:fill="FFFFFF"/>
    </w:rPr>
  </w:style>
  <w:style w:type="paragraph" w:customStyle="1" w:styleId="30">
    <w:name w:val="Основной текст (3)"/>
    <w:basedOn w:val="Normal"/>
    <w:link w:val="3"/>
    <w:rsid w:val="00E77CC8"/>
    <w:pPr>
      <w:widowControl w:val="0"/>
      <w:shd w:val="clear" w:color="auto" w:fill="FFFFFF"/>
      <w:spacing w:after="360" w:line="318" w:lineRule="exact"/>
    </w:pPr>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4755">
      <w:bodyDiv w:val="1"/>
      <w:marLeft w:val="0"/>
      <w:marRight w:val="0"/>
      <w:marTop w:val="0"/>
      <w:marBottom w:val="0"/>
      <w:divBdr>
        <w:top w:val="none" w:sz="0" w:space="0" w:color="auto"/>
        <w:left w:val="none" w:sz="0" w:space="0" w:color="auto"/>
        <w:bottom w:val="none" w:sz="0" w:space="0" w:color="auto"/>
        <w:right w:val="none" w:sz="0" w:space="0" w:color="auto"/>
      </w:divBdr>
      <w:divsChild>
        <w:div w:id="156082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rm.md/hotariri-si-rapoarte-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0FFB-8C07-41E4-98B7-040E2868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Caraman Tatiana</dc:creator>
  <cp:keywords/>
  <dc:description/>
  <cp:lastModifiedBy>Paiu Eugenia</cp:lastModifiedBy>
  <cp:revision>3</cp:revision>
  <dcterms:created xsi:type="dcterms:W3CDTF">2021-07-12T09:34:00Z</dcterms:created>
  <dcterms:modified xsi:type="dcterms:W3CDTF">2021-07-12T10:26:00Z</dcterms:modified>
</cp:coreProperties>
</file>