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E89" w:rsidRPr="00401691" w:rsidRDefault="00032E89" w:rsidP="00BA7250">
      <w:pPr>
        <w:tabs>
          <w:tab w:val="left" w:pos="450"/>
          <w:tab w:val="left" w:pos="720"/>
        </w:tabs>
        <w:spacing w:after="0" w:line="276" w:lineRule="auto"/>
        <w:ind w:right="9"/>
        <w:jc w:val="right"/>
        <w:rPr>
          <w:rFonts w:asciiTheme="majorHAnsi" w:eastAsia="Times New Roman" w:hAnsiTheme="majorHAnsi" w:cstheme="majorHAnsi"/>
          <w:bCs/>
          <w:sz w:val="24"/>
          <w:szCs w:val="24"/>
          <w:lang w:val="ro-MD"/>
        </w:rPr>
      </w:pPr>
      <w:r w:rsidRPr="00401691">
        <w:rPr>
          <w:rFonts w:asciiTheme="majorHAnsi" w:eastAsia="Times New Roman" w:hAnsiTheme="majorHAnsi" w:cstheme="majorHAnsi"/>
          <w:bCs/>
          <w:sz w:val="24"/>
          <w:szCs w:val="24"/>
          <w:lang w:val="ro-MD"/>
        </w:rPr>
        <w:t>Anexă</w:t>
      </w:r>
    </w:p>
    <w:p w:rsidR="00032E89" w:rsidRPr="00401691" w:rsidRDefault="00032E89" w:rsidP="00BA7250">
      <w:pPr>
        <w:tabs>
          <w:tab w:val="left" w:pos="450"/>
          <w:tab w:val="left" w:pos="720"/>
        </w:tabs>
        <w:spacing w:after="0" w:line="276" w:lineRule="auto"/>
        <w:ind w:right="9"/>
        <w:jc w:val="right"/>
        <w:rPr>
          <w:rFonts w:asciiTheme="majorHAnsi" w:eastAsia="Times New Roman" w:hAnsiTheme="majorHAnsi" w:cstheme="majorHAnsi"/>
          <w:bCs/>
          <w:sz w:val="24"/>
          <w:szCs w:val="24"/>
          <w:lang w:val="ro-MD"/>
        </w:rPr>
      </w:pPr>
      <w:r w:rsidRPr="00401691">
        <w:rPr>
          <w:rFonts w:asciiTheme="majorHAnsi" w:eastAsia="Times New Roman" w:hAnsiTheme="majorHAnsi" w:cstheme="majorHAnsi"/>
          <w:bCs/>
          <w:sz w:val="24"/>
          <w:szCs w:val="24"/>
          <w:lang w:val="ro-MD"/>
        </w:rPr>
        <w:t xml:space="preserve">la Hotărârea Curții de Conturi </w:t>
      </w:r>
    </w:p>
    <w:p w:rsidR="00032E89" w:rsidRPr="00401691" w:rsidRDefault="00126D54" w:rsidP="00BA7250">
      <w:pPr>
        <w:tabs>
          <w:tab w:val="left" w:pos="450"/>
          <w:tab w:val="left" w:pos="720"/>
          <w:tab w:val="left" w:pos="7342"/>
          <w:tab w:val="left" w:pos="8222"/>
          <w:tab w:val="right" w:pos="10157"/>
        </w:tabs>
        <w:spacing w:after="0" w:line="276" w:lineRule="auto"/>
        <w:ind w:right="9"/>
        <w:jc w:val="right"/>
        <w:rPr>
          <w:rFonts w:asciiTheme="majorHAnsi" w:eastAsia="Times New Roman" w:hAnsiTheme="majorHAnsi" w:cstheme="majorHAnsi"/>
          <w:bCs/>
          <w:color w:val="1F4E79" w:themeColor="accent1" w:themeShade="80"/>
          <w:sz w:val="24"/>
          <w:szCs w:val="24"/>
          <w:lang w:val="ro-MD"/>
        </w:rPr>
      </w:pPr>
      <w:r>
        <w:rPr>
          <w:rFonts w:asciiTheme="majorHAnsi" w:eastAsia="Times New Roman" w:hAnsiTheme="majorHAnsi" w:cstheme="majorHAnsi"/>
          <w:bCs/>
          <w:sz w:val="24"/>
          <w:szCs w:val="24"/>
          <w:lang w:val="ro-MD"/>
        </w:rPr>
        <w:tab/>
      </w:r>
      <w:r>
        <w:rPr>
          <w:rFonts w:asciiTheme="majorHAnsi" w:eastAsia="Times New Roman" w:hAnsiTheme="majorHAnsi" w:cstheme="majorHAnsi"/>
          <w:bCs/>
          <w:sz w:val="24"/>
          <w:szCs w:val="24"/>
          <w:lang w:val="ro-MD"/>
        </w:rPr>
        <w:tab/>
      </w:r>
      <w:r>
        <w:rPr>
          <w:rFonts w:asciiTheme="majorHAnsi" w:eastAsia="Times New Roman" w:hAnsiTheme="majorHAnsi" w:cstheme="majorHAnsi"/>
          <w:bCs/>
          <w:sz w:val="24"/>
          <w:szCs w:val="24"/>
          <w:lang w:val="ro-MD"/>
        </w:rPr>
        <w:tab/>
      </w:r>
      <w:r w:rsidR="00032E89" w:rsidRPr="00B32302">
        <w:rPr>
          <w:rFonts w:asciiTheme="majorHAnsi" w:eastAsia="Times New Roman" w:hAnsiTheme="majorHAnsi" w:cstheme="majorHAnsi"/>
          <w:bCs/>
          <w:sz w:val="24"/>
          <w:szCs w:val="24"/>
          <w:lang w:val="ro-MD"/>
        </w:rPr>
        <w:t>nr</w:t>
      </w:r>
      <w:r w:rsidR="00A269F4" w:rsidRPr="00B32302">
        <w:rPr>
          <w:rFonts w:asciiTheme="majorHAnsi" w:eastAsia="Times New Roman" w:hAnsiTheme="majorHAnsi" w:cstheme="majorHAnsi"/>
          <w:bCs/>
          <w:sz w:val="24"/>
          <w:szCs w:val="24"/>
          <w:lang w:val="ro-MD"/>
        </w:rPr>
        <w:t>.</w:t>
      </w:r>
      <w:r w:rsidR="00037389">
        <w:rPr>
          <w:rFonts w:asciiTheme="majorHAnsi" w:eastAsia="Times New Roman" w:hAnsiTheme="majorHAnsi" w:cstheme="majorHAnsi"/>
          <w:bCs/>
          <w:sz w:val="24"/>
          <w:szCs w:val="24"/>
          <w:lang w:val="ro-MD"/>
        </w:rPr>
        <w:t>43</w:t>
      </w:r>
      <w:r w:rsidRPr="00B32302">
        <w:rPr>
          <w:rFonts w:asciiTheme="majorHAnsi" w:eastAsia="Times New Roman" w:hAnsiTheme="majorHAnsi" w:cstheme="majorHAnsi"/>
          <w:bCs/>
          <w:sz w:val="24"/>
          <w:szCs w:val="24"/>
          <w:lang w:val="ro-MD"/>
        </w:rPr>
        <w:t xml:space="preserve"> </w:t>
      </w:r>
      <w:r w:rsidR="00032E89" w:rsidRPr="00B32302">
        <w:rPr>
          <w:rFonts w:asciiTheme="majorHAnsi" w:eastAsia="Times New Roman" w:hAnsiTheme="majorHAnsi" w:cstheme="majorHAnsi"/>
          <w:bCs/>
          <w:sz w:val="24"/>
          <w:szCs w:val="24"/>
          <w:lang w:val="ro-MD"/>
        </w:rPr>
        <w:t>din</w:t>
      </w:r>
      <w:r w:rsidR="00BA7250">
        <w:rPr>
          <w:rFonts w:asciiTheme="majorHAnsi" w:eastAsia="Times New Roman" w:hAnsiTheme="majorHAnsi" w:cstheme="majorHAnsi"/>
          <w:bCs/>
          <w:sz w:val="24"/>
          <w:szCs w:val="24"/>
          <w:lang w:val="ro-MD"/>
        </w:rPr>
        <w:t xml:space="preserve"> </w:t>
      </w:r>
      <w:r w:rsidRPr="00B32302">
        <w:rPr>
          <w:rFonts w:asciiTheme="majorHAnsi" w:eastAsia="Times New Roman" w:hAnsiTheme="majorHAnsi" w:cstheme="majorHAnsi"/>
          <w:bCs/>
          <w:sz w:val="24"/>
          <w:szCs w:val="24"/>
          <w:lang w:val="ro-MD"/>
        </w:rPr>
        <w:t>26 august 2020</w:t>
      </w:r>
      <w:r>
        <w:rPr>
          <w:rFonts w:asciiTheme="majorHAnsi" w:eastAsia="Times New Roman" w:hAnsiTheme="majorHAnsi" w:cstheme="majorHAnsi"/>
          <w:bCs/>
          <w:sz w:val="24"/>
          <w:szCs w:val="24"/>
          <w:lang w:val="ro-MD"/>
        </w:rPr>
        <w:t xml:space="preserve">          </w:t>
      </w:r>
    </w:p>
    <w:p w:rsidR="00943830" w:rsidRPr="00401691" w:rsidRDefault="00445F65" w:rsidP="00844145">
      <w:pPr>
        <w:spacing w:after="0" w:line="276" w:lineRule="auto"/>
        <w:rPr>
          <w:rFonts w:asciiTheme="majorHAnsi" w:hAnsiTheme="majorHAnsi" w:cstheme="majorHAnsi"/>
          <w:i/>
          <w:sz w:val="24"/>
          <w:szCs w:val="24"/>
          <w:lang w:val="ro-MD"/>
        </w:rPr>
      </w:pPr>
      <w:r w:rsidRPr="00401691">
        <w:rPr>
          <w:rFonts w:asciiTheme="majorHAnsi" w:hAnsiTheme="majorHAnsi" w:cstheme="majorHAnsi"/>
          <w:noProof/>
        </w:rPr>
        <w:drawing>
          <wp:anchor distT="0" distB="3810" distL="114300" distR="118110" simplePos="0" relativeHeight="251659264" behindDoc="0" locked="0" layoutInCell="1" allowOverlap="1" wp14:anchorId="3479DBC7" wp14:editId="41F13463">
            <wp:simplePos x="0" y="0"/>
            <wp:positionH relativeFrom="column">
              <wp:posOffset>2497666</wp:posOffset>
            </wp:positionH>
            <wp:positionV relativeFrom="paragraph">
              <wp:posOffset>70908</wp:posOffset>
            </wp:positionV>
            <wp:extent cx="967740" cy="967740"/>
            <wp:effectExtent l="0" t="0" r="3810" b="3810"/>
            <wp:wrapSquare wrapText="bothSides"/>
            <wp:docPr id="3" name="Рисунок 1" descr="Intranet Curtea de Cont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Intranet Curtea de Conturi"/>
                    <pic:cNvPicPr>
                      <a:picLocks noChangeAspect="1" noChangeArrowheads="1"/>
                    </pic:cNvPicPr>
                  </pic:nvPicPr>
                  <pic:blipFill>
                    <a:blip r:embed="rId8"/>
                    <a:stretch>
                      <a:fillRect/>
                    </a:stretch>
                  </pic:blipFill>
                  <pic:spPr bwMode="auto">
                    <a:xfrm>
                      <a:off x="0" y="0"/>
                      <a:ext cx="967740" cy="967740"/>
                    </a:xfrm>
                    <a:prstGeom prst="rect">
                      <a:avLst/>
                    </a:prstGeom>
                  </pic:spPr>
                </pic:pic>
              </a:graphicData>
            </a:graphic>
          </wp:anchor>
        </w:drawing>
      </w:r>
    </w:p>
    <w:p w:rsidR="00943830" w:rsidRPr="00401691" w:rsidRDefault="00943830" w:rsidP="00844145">
      <w:pPr>
        <w:spacing w:after="0" w:line="276" w:lineRule="auto"/>
        <w:rPr>
          <w:rFonts w:asciiTheme="majorHAnsi" w:hAnsiTheme="majorHAnsi" w:cstheme="majorHAnsi"/>
          <w:i/>
          <w:sz w:val="24"/>
          <w:szCs w:val="24"/>
          <w:lang w:val="ro-MD"/>
        </w:rPr>
      </w:pPr>
    </w:p>
    <w:p w:rsidR="00943830" w:rsidRPr="00401691" w:rsidRDefault="00943830" w:rsidP="00844145">
      <w:pPr>
        <w:spacing w:after="0" w:line="276" w:lineRule="auto"/>
        <w:rPr>
          <w:rFonts w:asciiTheme="majorHAnsi" w:hAnsiTheme="majorHAnsi" w:cstheme="majorHAnsi"/>
          <w:i/>
          <w:sz w:val="24"/>
          <w:szCs w:val="24"/>
          <w:lang w:val="ro-MD"/>
        </w:rPr>
      </w:pPr>
    </w:p>
    <w:p w:rsidR="00943830" w:rsidRPr="00401691" w:rsidRDefault="00943830" w:rsidP="00844145">
      <w:pPr>
        <w:spacing w:after="0" w:line="276" w:lineRule="auto"/>
        <w:rPr>
          <w:rFonts w:asciiTheme="majorHAnsi" w:hAnsiTheme="majorHAnsi" w:cstheme="majorHAnsi"/>
          <w:i/>
          <w:sz w:val="24"/>
          <w:szCs w:val="24"/>
          <w:lang w:val="ro-MD"/>
        </w:rPr>
      </w:pPr>
    </w:p>
    <w:p w:rsidR="00943830" w:rsidRPr="00401691" w:rsidRDefault="00943830" w:rsidP="00844145">
      <w:pPr>
        <w:spacing w:after="0" w:line="276" w:lineRule="auto"/>
        <w:rPr>
          <w:rFonts w:asciiTheme="majorHAnsi" w:hAnsiTheme="majorHAnsi" w:cstheme="majorHAnsi"/>
          <w:i/>
          <w:sz w:val="24"/>
          <w:szCs w:val="24"/>
          <w:lang w:val="ro-MD"/>
        </w:rPr>
      </w:pPr>
    </w:p>
    <w:p w:rsidR="00943830" w:rsidRPr="00401691" w:rsidRDefault="00943830" w:rsidP="00844145">
      <w:pPr>
        <w:spacing w:after="0" w:line="276" w:lineRule="auto"/>
        <w:rPr>
          <w:rFonts w:asciiTheme="majorHAnsi" w:hAnsiTheme="majorHAnsi" w:cstheme="majorHAnsi"/>
          <w:i/>
          <w:sz w:val="24"/>
          <w:szCs w:val="24"/>
          <w:lang w:val="ro-MD"/>
        </w:rPr>
      </w:pPr>
    </w:p>
    <w:p w:rsidR="00943830" w:rsidRPr="00401691" w:rsidRDefault="00943830" w:rsidP="00844145">
      <w:pPr>
        <w:spacing w:after="0" w:line="276" w:lineRule="auto"/>
        <w:rPr>
          <w:rFonts w:asciiTheme="majorHAnsi" w:hAnsiTheme="majorHAnsi" w:cstheme="majorHAnsi"/>
          <w:b/>
          <w:sz w:val="24"/>
          <w:szCs w:val="24"/>
          <w:lang w:val="ro-MD"/>
        </w:rPr>
      </w:pPr>
    </w:p>
    <w:p w:rsidR="00943830" w:rsidRPr="00401691" w:rsidRDefault="00943830" w:rsidP="00844145">
      <w:pPr>
        <w:spacing w:after="0" w:line="276" w:lineRule="auto"/>
        <w:jc w:val="center"/>
        <w:rPr>
          <w:rFonts w:asciiTheme="majorHAnsi" w:hAnsiTheme="majorHAnsi" w:cstheme="majorHAnsi"/>
          <w:b/>
          <w:sz w:val="40"/>
          <w:szCs w:val="40"/>
          <w:lang w:val="ro-MD"/>
        </w:rPr>
      </w:pPr>
      <w:r w:rsidRPr="00401691">
        <w:rPr>
          <w:rFonts w:asciiTheme="majorHAnsi" w:hAnsiTheme="majorHAnsi" w:cstheme="majorHAnsi"/>
          <w:b/>
          <w:sz w:val="40"/>
          <w:szCs w:val="40"/>
          <w:lang w:val="ro-MD"/>
        </w:rPr>
        <w:t>CURTEA DE CONTURI A REPUBLICII MOLDOVA</w:t>
      </w:r>
    </w:p>
    <w:p w:rsidR="00943830" w:rsidRPr="00401691" w:rsidRDefault="00943830" w:rsidP="00844145">
      <w:pPr>
        <w:spacing w:after="0" w:line="276" w:lineRule="auto"/>
        <w:rPr>
          <w:rFonts w:asciiTheme="majorHAnsi" w:hAnsiTheme="majorHAnsi" w:cstheme="majorHAnsi"/>
          <w:sz w:val="24"/>
          <w:szCs w:val="24"/>
          <w:lang w:val="ro-MD"/>
        </w:rPr>
      </w:pPr>
    </w:p>
    <w:tbl>
      <w:tblPr>
        <w:tblW w:w="9350" w:type="dxa"/>
        <w:jc w:val="center"/>
        <w:tblBorders>
          <w:top w:val="thinThickSmallGap" w:sz="12" w:space="0" w:color="00000A"/>
          <w:bottom w:val="thickThinSmallGap" w:sz="12" w:space="0" w:color="00000A"/>
          <w:insideH w:val="thickThinSmallGap" w:sz="12" w:space="0" w:color="00000A"/>
        </w:tblBorders>
        <w:tblLook w:val="04A0" w:firstRow="1" w:lastRow="0" w:firstColumn="1" w:lastColumn="0" w:noHBand="0" w:noVBand="1"/>
      </w:tblPr>
      <w:tblGrid>
        <w:gridCol w:w="9350"/>
      </w:tblGrid>
      <w:tr w:rsidR="00943830" w:rsidRPr="00401691" w:rsidTr="00B900C4">
        <w:trPr>
          <w:trHeight w:val="396"/>
          <w:jc w:val="center"/>
        </w:trPr>
        <w:tc>
          <w:tcPr>
            <w:tcW w:w="9350" w:type="dxa"/>
            <w:tcBorders>
              <w:top w:val="thinThickSmallGap" w:sz="12" w:space="0" w:color="00000A"/>
              <w:bottom w:val="thickThinSmallGap" w:sz="12" w:space="0" w:color="00000A"/>
            </w:tcBorders>
            <w:shd w:val="clear" w:color="auto" w:fill="auto"/>
          </w:tcPr>
          <w:p w:rsidR="00FD42DB" w:rsidRDefault="00943830" w:rsidP="00844145">
            <w:pPr>
              <w:spacing w:after="0" w:line="276" w:lineRule="auto"/>
              <w:ind w:left="-108" w:right="-120"/>
              <w:jc w:val="center"/>
              <w:rPr>
                <w:rFonts w:asciiTheme="majorHAnsi" w:hAnsiTheme="majorHAnsi" w:cstheme="majorHAnsi"/>
                <w:sz w:val="20"/>
                <w:szCs w:val="20"/>
                <w:lang w:val="ro-MD"/>
              </w:rPr>
            </w:pPr>
            <w:r w:rsidRPr="00FD42DB">
              <w:rPr>
                <w:rFonts w:asciiTheme="majorHAnsi" w:hAnsiTheme="majorHAnsi" w:cstheme="majorHAnsi"/>
                <w:sz w:val="20"/>
                <w:szCs w:val="20"/>
                <w:lang w:val="ro-MD"/>
              </w:rPr>
              <w:t>MD-2001, mun. Chișinău, bd. Ștefan cel Mare și Sfânt,69, tel.: (+373) 22 23 25 79,</w:t>
            </w:r>
            <w:r w:rsidR="00FD42DB">
              <w:rPr>
                <w:rFonts w:asciiTheme="majorHAnsi" w:hAnsiTheme="majorHAnsi" w:cstheme="majorHAnsi"/>
                <w:sz w:val="20"/>
                <w:szCs w:val="20"/>
                <w:lang w:val="ro-MD"/>
              </w:rPr>
              <w:t xml:space="preserve"> </w:t>
            </w:r>
            <w:r w:rsidRPr="00FD42DB">
              <w:rPr>
                <w:rFonts w:asciiTheme="majorHAnsi" w:hAnsiTheme="majorHAnsi" w:cstheme="majorHAnsi"/>
                <w:sz w:val="20"/>
                <w:szCs w:val="20"/>
                <w:lang w:val="ro-MD"/>
              </w:rPr>
              <w:t>fax: (+373) 22 23 30 20,</w:t>
            </w:r>
            <w:r w:rsidR="00FD42DB" w:rsidRPr="00FD42DB">
              <w:rPr>
                <w:rFonts w:asciiTheme="majorHAnsi" w:hAnsiTheme="majorHAnsi" w:cstheme="majorHAnsi"/>
                <w:sz w:val="20"/>
                <w:szCs w:val="20"/>
                <w:lang w:val="ro-MD"/>
              </w:rPr>
              <w:t xml:space="preserve"> </w:t>
            </w:r>
            <w:r w:rsidR="00FD42DB">
              <w:rPr>
                <w:rFonts w:asciiTheme="majorHAnsi" w:hAnsiTheme="majorHAnsi" w:cstheme="majorHAnsi"/>
                <w:sz w:val="20"/>
                <w:szCs w:val="20"/>
                <w:lang w:val="ro-MD"/>
              </w:rPr>
              <w:t xml:space="preserve"> </w:t>
            </w:r>
          </w:p>
          <w:p w:rsidR="00943830" w:rsidRPr="00401691" w:rsidRDefault="00646A55" w:rsidP="00844145">
            <w:pPr>
              <w:spacing w:after="0" w:line="276" w:lineRule="auto"/>
              <w:ind w:left="-108" w:right="-120"/>
              <w:jc w:val="center"/>
              <w:rPr>
                <w:rFonts w:asciiTheme="majorHAnsi" w:hAnsiTheme="majorHAnsi" w:cstheme="majorHAnsi"/>
                <w:lang w:val="ro-MD"/>
              </w:rPr>
            </w:pPr>
            <w:hyperlink r:id="rId9">
              <w:r w:rsidR="00943830" w:rsidRPr="00FD42DB">
                <w:rPr>
                  <w:rStyle w:val="LegturInternet"/>
                  <w:rFonts w:asciiTheme="majorHAnsi" w:hAnsiTheme="majorHAnsi" w:cstheme="majorHAnsi"/>
                  <w:sz w:val="20"/>
                  <w:szCs w:val="20"/>
                  <w:lang w:val="ro-MD"/>
                </w:rPr>
                <w:t>www.ccrm.md</w:t>
              </w:r>
            </w:hyperlink>
            <w:r w:rsidR="00943830" w:rsidRPr="00FD42DB">
              <w:rPr>
                <w:rFonts w:asciiTheme="majorHAnsi" w:hAnsiTheme="majorHAnsi" w:cstheme="majorHAnsi"/>
                <w:sz w:val="20"/>
                <w:szCs w:val="20"/>
                <w:u w:val="single"/>
                <w:lang w:val="ro-MD"/>
              </w:rPr>
              <w:t>;</w:t>
            </w:r>
            <w:r w:rsidR="00943830" w:rsidRPr="00FD42DB">
              <w:rPr>
                <w:rFonts w:asciiTheme="majorHAnsi" w:hAnsiTheme="majorHAnsi" w:cstheme="majorHAnsi"/>
                <w:sz w:val="20"/>
                <w:szCs w:val="20"/>
                <w:lang w:val="ro-MD"/>
              </w:rPr>
              <w:t xml:space="preserve"> e-mail: </w:t>
            </w:r>
            <w:hyperlink r:id="rId10">
              <w:r w:rsidR="00943830" w:rsidRPr="00FD42DB">
                <w:rPr>
                  <w:rStyle w:val="LegturInternet"/>
                  <w:rFonts w:asciiTheme="majorHAnsi" w:hAnsiTheme="majorHAnsi" w:cstheme="majorHAnsi"/>
                  <w:sz w:val="20"/>
                  <w:szCs w:val="20"/>
                  <w:lang w:val="ro-MD"/>
                </w:rPr>
                <w:t>ccrm@ccrm.md</w:t>
              </w:r>
            </w:hyperlink>
          </w:p>
        </w:tc>
      </w:tr>
    </w:tbl>
    <w:p w:rsidR="00097F5A" w:rsidRDefault="00943830" w:rsidP="00844145">
      <w:pPr>
        <w:spacing w:after="0" w:line="276" w:lineRule="auto"/>
        <w:rPr>
          <w:rFonts w:asciiTheme="majorHAnsi" w:eastAsia="Times New Roman" w:hAnsiTheme="majorHAnsi" w:cstheme="majorHAnsi"/>
          <w:b/>
          <w:bCs/>
          <w:color w:val="1F4E79" w:themeColor="accent1" w:themeShade="80"/>
          <w:sz w:val="24"/>
          <w:szCs w:val="24"/>
          <w:lang w:val="ro-MD"/>
        </w:rPr>
      </w:pPr>
      <w:r w:rsidRPr="00401691">
        <w:rPr>
          <w:rFonts w:asciiTheme="majorHAnsi" w:eastAsia="Times New Roman" w:hAnsiTheme="majorHAnsi" w:cstheme="majorHAnsi"/>
          <w:sz w:val="24"/>
          <w:szCs w:val="24"/>
          <w:lang w:val="ro-MD"/>
        </w:rPr>
        <w:br/>
      </w:r>
    </w:p>
    <w:p w:rsidR="0055342F" w:rsidRPr="00401691" w:rsidRDefault="0055342F" w:rsidP="00844145">
      <w:pPr>
        <w:spacing w:after="0" w:line="276" w:lineRule="auto"/>
        <w:rPr>
          <w:rFonts w:asciiTheme="majorHAnsi" w:eastAsia="Times New Roman" w:hAnsiTheme="majorHAnsi" w:cstheme="majorHAnsi"/>
          <w:b/>
          <w:bCs/>
          <w:color w:val="1F4E79" w:themeColor="accent1" w:themeShade="80"/>
          <w:sz w:val="24"/>
          <w:szCs w:val="24"/>
          <w:lang w:val="ro-MD"/>
        </w:rPr>
      </w:pPr>
    </w:p>
    <w:p w:rsidR="00032E89" w:rsidRPr="00401691" w:rsidRDefault="00032E89" w:rsidP="00844145">
      <w:pPr>
        <w:tabs>
          <w:tab w:val="left" w:pos="450"/>
          <w:tab w:val="left" w:pos="720"/>
        </w:tabs>
        <w:spacing w:after="0" w:line="276" w:lineRule="auto"/>
        <w:ind w:right="9"/>
        <w:jc w:val="center"/>
        <w:rPr>
          <w:rFonts w:asciiTheme="majorHAnsi" w:eastAsia="Times New Roman" w:hAnsiTheme="majorHAnsi" w:cstheme="majorHAnsi"/>
          <w:b/>
          <w:bCs/>
          <w:color w:val="002060"/>
          <w:sz w:val="32"/>
          <w:szCs w:val="32"/>
          <w:lang w:val="ro-MD"/>
        </w:rPr>
      </w:pPr>
      <w:r w:rsidRPr="00401691">
        <w:rPr>
          <w:rFonts w:asciiTheme="majorHAnsi" w:eastAsia="Times New Roman" w:hAnsiTheme="majorHAnsi" w:cstheme="majorHAnsi"/>
          <w:b/>
          <w:bCs/>
          <w:color w:val="002060"/>
          <w:sz w:val="32"/>
          <w:szCs w:val="32"/>
          <w:lang w:val="ro-MD"/>
        </w:rPr>
        <w:t>RAPORTUL</w:t>
      </w:r>
    </w:p>
    <w:p w:rsidR="00032E89" w:rsidRPr="00401691" w:rsidRDefault="00032E89" w:rsidP="00844145">
      <w:pPr>
        <w:tabs>
          <w:tab w:val="left" w:pos="450"/>
          <w:tab w:val="left" w:pos="720"/>
        </w:tabs>
        <w:spacing w:after="0" w:line="276" w:lineRule="auto"/>
        <w:ind w:right="9"/>
        <w:jc w:val="center"/>
        <w:rPr>
          <w:rFonts w:asciiTheme="majorHAnsi" w:eastAsia="Times New Roman" w:hAnsiTheme="majorHAnsi" w:cstheme="majorHAnsi"/>
          <w:b/>
          <w:bCs/>
          <w:color w:val="002060"/>
          <w:sz w:val="28"/>
          <w:szCs w:val="28"/>
          <w:lang w:val="ro-MD"/>
        </w:rPr>
      </w:pPr>
      <w:r w:rsidRPr="00401691">
        <w:rPr>
          <w:rFonts w:asciiTheme="majorHAnsi" w:eastAsia="Times New Roman" w:hAnsiTheme="majorHAnsi" w:cstheme="majorHAnsi"/>
          <w:b/>
          <w:bCs/>
          <w:color w:val="002060"/>
          <w:sz w:val="28"/>
          <w:szCs w:val="28"/>
          <w:lang w:val="ro-MD"/>
        </w:rPr>
        <w:t xml:space="preserve">AUDITULUI CONFORMITĂȚII ADMINISTRĂRII VENITURILOR BUGETULUI DE STAT </w:t>
      </w:r>
      <w:r w:rsidR="00A269F4" w:rsidRPr="00401691">
        <w:rPr>
          <w:rFonts w:asciiTheme="majorHAnsi" w:eastAsia="Times New Roman" w:hAnsiTheme="majorHAnsi" w:cstheme="majorHAnsi"/>
          <w:b/>
          <w:bCs/>
          <w:color w:val="002060"/>
          <w:sz w:val="28"/>
          <w:szCs w:val="28"/>
          <w:lang w:val="ro-MD"/>
        </w:rPr>
        <w:t xml:space="preserve">DE CĂTRE </w:t>
      </w:r>
      <w:r w:rsidRPr="00401691">
        <w:rPr>
          <w:rFonts w:asciiTheme="majorHAnsi" w:eastAsia="Times New Roman" w:hAnsiTheme="majorHAnsi" w:cstheme="majorHAnsi"/>
          <w:b/>
          <w:bCs/>
          <w:color w:val="002060"/>
          <w:sz w:val="28"/>
          <w:szCs w:val="28"/>
          <w:lang w:val="ro-MD"/>
        </w:rPr>
        <w:t xml:space="preserve">SERVICIUL FISCAL DE </w:t>
      </w:r>
      <w:r w:rsidR="00A269F4" w:rsidRPr="00401691">
        <w:rPr>
          <w:rFonts w:asciiTheme="majorHAnsi" w:eastAsia="Times New Roman" w:hAnsiTheme="majorHAnsi" w:cstheme="majorHAnsi"/>
          <w:b/>
          <w:bCs/>
          <w:color w:val="002060"/>
          <w:sz w:val="28"/>
          <w:szCs w:val="28"/>
          <w:lang w:val="ro-MD"/>
        </w:rPr>
        <w:t>STAT</w:t>
      </w:r>
      <w:r w:rsidRPr="00401691">
        <w:rPr>
          <w:rFonts w:asciiTheme="majorHAnsi" w:eastAsia="Times New Roman" w:hAnsiTheme="majorHAnsi" w:cstheme="majorHAnsi"/>
          <w:b/>
          <w:bCs/>
          <w:color w:val="002060"/>
          <w:sz w:val="28"/>
          <w:szCs w:val="28"/>
          <w:lang w:val="ro-MD"/>
        </w:rPr>
        <w:t xml:space="preserve"> </w:t>
      </w:r>
      <w:r w:rsidR="00A269F4" w:rsidRPr="00401691">
        <w:rPr>
          <w:rFonts w:asciiTheme="majorHAnsi" w:eastAsia="Times New Roman" w:hAnsiTheme="majorHAnsi" w:cstheme="majorHAnsi"/>
          <w:b/>
          <w:bCs/>
          <w:color w:val="002060"/>
          <w:sz w:val="28"/>
          <w:szCs w:val="28"/>
          <w:lang w:val="ro-MD"/>
        </w:rPr>
        <w:t>ÎN ANUL 2019</w:t>
      </w:r>
    </w:p>
    <w:p w:rsidR="00CC4B97" w:rsidRPr="00401691" w:rsidRDefault="00CC4B97" w:rsidP="00844145">
      <w:pPr>
        <w:tabs>
          <w:tab w:val="left" w:pos="450"/>
          <w:tab w:val="left" w:pos="720"/>
        </w:tabs>
        <w:spacing w:after="0" w:line="276" w:lineRule="auto"/>
        <w:ind w:right="9"/>
        <w:jc w:val="center"/>
        <w:rPr>
          <w:rFonts w:asciiTheme="majorHAnsi" w:eastAsia="Times New Roman" w:hAnsiTheme="majorHAnsi" w:cstheme="majorHAnsi"/>
          <w:b/>
          <w:bCs/>
          <w:sz w:val="32"/>
          <w:szCs w:val="32"/>
          <w:lang w:val="ro-MD"/>
        </w:rPr>
      </w:pPr>
    </w:p>
    <w:p w:rsidR="0055342F" w:rsidRDefault="0055342F" w:rsidP="00844145">
      <w:pPr>
        <w:tabs>
          <w:tab w:val="left" w:pos="450"/>
          <w:tab w:val="left" w:pos="720"/>
        </w:tabs>
        <w:spacing w:after="0" w:line="276" w:lineRule="auto"/>
        <w:ind w:right="9"/>
        <w:jc w:val="center"/>
        <w:rPr>
          <w:rFonts w:asciiTheme="majorHAnsi" w:eastAsia="Times New Roman" w:hAnsiTheme="majorHAnsi" w:cstheme="majorHAnsi"/>
          <w:b/>
          <w:bCs/>
          <w:sz w:val="32"/>
          <w:szCs w:val="32"/>
          <w:lang w:val="ro-MD"/>
        </w:rPr>
      </w:pPr>
    </w:p>
    <w:p w:rsidR="0055342F" w:rsidRPr="00401691" w:rsidRDefault="0055342F" w:rsidP="00844145">
      <w:pPr>
        <w:tabs>
          <w:tab w:val="left" w:pos="450"/>
          <w:tab w:val="left" w:pos="720"/>
        </w:tabs>
        <w:spacing w:after="0" w:line="276" w:lineRule="auto"/>
        <w:ind w:right="9"/>
        <w:jc w:val="center"/>
        <w:rPr>
          <w:rFonts w:asciiTheme="majorHAnsi" w:eastAsia="Times New Roman" w:hAnsiTheme="majorHAnsi" w:cstheme="majorHAnsi"/>
          <w:b/>
          <w:bCs/>
          <w:sz w:val="32"/>
          <w:szCs w:val="32"/>
          <w:lang w:val="ro-MD"/>
        </w:rPr>
      </w:pPr>
    </w:p>
    <w:p w:rsidR="00CA3BED" w:rsidRDefault="00CC4B97" w:rsidP="00844145">
      <w:pPr>
        <w:tabs>
          <w:tab w:val="left" w:pos="450"/>
          <w:tab w:val="left" w:pos="720"/>
        </w:tabs>
        <w:spacing w:after="0" w:line="276" w:lineRule="auto"/>
        <w:ind w:right="9"/>
        <w:jc w:val="center"/>
        <w:rPr>
          <w:b/>
          <w:i/>
          <w:color w:val="002060"/>
          <w:sz w:val="24"/>
          <w:szCs w:val="24"/>
          <w:shd w:val="clear" w:color="auto" w:fill="FFFFFF"/>
          <w:lang w:val="ro-MD"/>
        </w:rPr>
      </w:pPr>
      <w:r w:rsidRPr="00126D54">
        <w:rPr>
          <w:rFonts w:asciiTheme="majorHAnsi" w:hAnsiTheme="majorHAnsi" w:cstheme="majorHAnsi"/>
          <w:noProof/>
          <w:highlight w:val="yellow"/>
        </w:rPr>
        <w:lastRenderedPageBreak/>
        <w:drawing>
          <wp:inline distT="0" distB="0" distL="0" distR="0" wp14:anchorId="64C58C0E" wp14:editId="099AED80">
            <wp:extent cx="6233160" cy="2819400"/>
            <wp:effectExtent l="0" t="0" r="0" b="0"/>
            <wp:docPr id="1" name="Picture 1" descr="d:\a_certan\Desktop\Raport SFS\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_certan\Desktop\Raport SFS\2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5427" cy="2820425"/>
                    </a:xfrm>
                    <a:prstGeom prst="rect">
                      <a:avLst/>
                    </a:prstGeom>
                    <a:noFill/>
                    <a:ln>
                      <a:noFill/>
                    </a:ln>
                  </pic:spPr>
                </pic:pic>
              </a:graphicData>
            </a:graphic>
          </wp:inline>
        </w:drawing>
      </w:r>
    </w:p>
    <w:p w:rsidR="00CA3BED" w:rsidRPr="003B10E0" w:rsidRDefault="00CA3BED" w:rsidP="00844145">
      <w:pPr>
        <w:tabs>
          <w:tab w:val="left" w:pos="450"/>
          <w:tab w:val="left" w:pos="720"/>
        </w:tabs>
        <w:spacing w:after="0" w:line="276" w:lineRule="auto"/>
        <w:ind w:right="9"/>
        <w:jc w:val="center"/>
        <w:rPr>
          <w:b/>
          <w:i/>
          <w:color w:val="1F4E79" w:themeColor="accent1" w:themeShade="80"/>
          <w:sz w:val="24"/>
          <w:szCs w:val="24"/>
          <w:shd w:val="clear" w:color="auto" w:fill="FFFFFF"/>
          <w:lang w:val="ro-MD"/>
        </w:rPr>
      </w:pPr>
    </w:p>
    <w:p w:rsidR="005E0F2C" w:rsidRDefault="005E0F2C" w:rsidP="00BA35B2">
      <w:pPr>
        <w:spacing w:line="240" w:lineRule="auto"/>
        <w:jc w:val="right"/>
        <w:rPr>
          <w:b/>
          <w:color w:val="1F4E79" w:themeColor="accent1" w:themeShade="80"/>
          <w:sz w:val="24"/>
          <w:szCs w:val="24"/>
          <w:shd w:val="clear" w:color="auto" w:fill="FFFFFF"/>
          <w:lang w:val="ro-MD"/>
        </w:rPr>
      </w:pPr>
    </w:p>
    <w:p w:rsidR="00844145" w:rsidRDefault="00EA7226" w:rsidP="000B1E24">
      <w:pPr>
        <w:spacing w:line="240" w:lineRule="auto"/>
        <w:jc w:val="center"/>
        <w:rPr>
          <w:b/>
          <w:color w:val="1F4E79" w:themeColor="accent1" w:themeShade="80"/>
          <w:sz w:val="24"/>
          <w:szCs w:val="24"/>
          <w:shd w:val="clear" w:color="auto" w:fill="FFFFFF"/>
          <w:lang w:val="ro-MD"/>
        </w:rPr>
      </w:pPr>
      <w:r w:rsidRPr="00E50EA0">
        <w:rPr>
          <w:b/>
          <w:color w:val="1F4E79" w:themeColor="accent1" w:themeShade="80"/>
          <w:sz w:val="24"/>
          <w:szCs w:val="24"/>
          <w:shd w:val="clear" w:color="auto" w:fill="FFFFFF"/>
          <w:lang w:val="ro-MD"/>
        </w:rPr>
        <w:t>CUPRINS</w:t>
      </w:r>
    </w:p>
    <w:sdt>
      <w:sdtPr>
        <w:rPr>
          <w:rFonts w:asciiTheme="minorHAnsi" w:eastAsiaTheme="minorHAnsi" w:hAnsiTheme="minorHAnsi" w:cstheme="minorBidi"/>
          <w:color w:val="1F4E79" w:themeColor="accent1" w:themeShade="80"/>
          <w:sz w:val="22"/>
          <w:szCs w:val="22"/>
        </w:rPr>
        <w:id w:val="-1322805327"/>
        <w:docPartObj>
          <w:docPartGallery w:val="Table of Contents"/>
          <w:docPartUnique/>
        </w:docPartObj>
      </w:sdtPr>
      <w:sdtEndPr>
        <w:rPr>
          <w:bCs/>
          <w:noProof/>
        </w:rPr>
      </w:sdtEndPr>
      <w:sdtContent>
        <w:p w:rsidR="00CA3BED" w:rsidRPr="00E50EA0" w:rsidRDefault="00CA3BED" w:rsidP="00D74D2D">
          <w:pPr>
            <w:pStyle w:val="TOCHeading"/>
            <w:tabs>
              <w:tab w:val="left" w:pos="0"/>
              <w:tab w:val="left" w:pos="180"/>
              <w:tab w:val="left" w:pos="360"/>
              <w:tab w:val="left" w:pos="810"/>
            </w:tabs>
            <w:spacing w:line="240" w:lineRule="auto"/>
            <w:jc w:val="both"/>
            <w:rPr>
              <w:color w:val="1F4E79" w:themeColor="accent1" w:themeShade="80"/>
            </w:rPr>
          </w:pPr>
        </w:p>
        <w:p w:rsidR="003B10E0" w:rsidRPr="00636940" w:rsidRDefault="00CA3BED" w:rsidP="00636940">
          <w:pPr>
            <w:pStyle w:val="TOC1"/>
            <w:rPr>
              <w:rFonts w:eastAsiaTheme="minorEastAsia"/>
              <w:noProof/>
              <w:color w:val="1F4E79" w:themeColor="accent1" w:themeShade="80"/>
            </w:rPr>
          </w:pPr>
          <w:r w:rsidRPr="007D44BE">
            <w:fldChar w:fldCharType="begin"/>
          </w:r>
          <w:r w:rsidRPr="007D44BE">
            <w:instrText xml:space="preserve"> TOC \o "1-3" \h \z \u </w:instrText>
          </w:r>
          <w:r w:rsidRPr="007D44BE">
            <w:fldChar w:fldCharType="separate"/>
          </w:r>
          <w:hyperlink w:anchor="_Toc48732713" w:history="1">
            <w:r w:rsidR="003B10E0" w:rsidRPr="00636940">
              <w:rPr>
                <w:rStyle w:val="Hyperlink"/>
                <w:rFonts w:cstheme="minorHAnsi"/>
                <w:noProof/>
                <w:color w:val="1F4E79" w:themeColor="accent1" w:themeShade="80"/>
                <w:lang w:val="ro-MD"/>
              </w:rPr>
              <w:t>LISTA ACRONIMELOR</w:t>
            </w:r>
            <w:r w:rsidR="003B10E0" w:rsidRPr="00636940">
              <w:rPr>
                <w:noProof/>
                <w:webHidden/>
                <w:color w:val="1F4E79" w:themeColor="accent1" w:themeShade="80"/>
              </w:rPr>
              <w:tab/>
            </w:r>
            <w:r w:rsidR="003B10E0" w:rsidRPr="00636940">
              <w:rPr>
                <w:noProof/>
                <w:webHidden/>
                <w:color w:val="1F4E79" w:themeColor="accent1" w:themeShade="80"/>
              </w:rPr>
              <w:fldChar w:fldCharType="begin"/>
            </w:r>
            <w:r w:rsidR="003B10E0" w:rsidRPr="00636940">
              <w:rPr>
                <w:noProof/>
                <w:webHidden/>
                <w:color w:val="1F4E79" w:themeColor="accent1" w:themeShade="80"/>
              </w:rPr>
              <w:instrText xml:space="preserve"> PAGEREF _Toc48732713 \h </w:instrText>
            </w:r>
            <w:r w:rsidR="003B10E0" w:rsidRPr="00636940">
              <w:rPr>
                <w:noProof/>
                <w:webHidden/>
                <w:color w:val="1F4E79" w:themeColor="accent1" w:themeShade="80"/>
              </w:rPr>
            </w:r>
            <w:r w:rsidR="003B10E0" w:rsidRPr="00636940">
              <w:rPr>
                <w:noProof/>
                <w:webHidden/>
                <w:color w:val="1F4E79" w:themeColor="accent1" w:themeShade="80"/>
              </w:rPr>
              <w:fldChar w:fldCharType="separate"/>
            </w:r>
            <w:r w:rsidR="00D9664B">
              <w:rPr>
                <w:noProof/>
                <w:webHidden/>
                <w:color w:val="1F4E79" w:themeColor="accent1" w:themeShade="80"/>
              </w:rPr>
              <w:t>3</w:t>
            </w:r>
            <w:r w:rsidR="003B10E0" w:rsidRPr="00636940">
              <w:rPr>
                <w:noProof/>
                <w:webHidden/>
                <w:color w:val="1F4E79" w:themeColor="accent1" w:themeShade="80"/>
              </w:rPr>
              <w:fldChar w:fldCharType="end"/>
            </w:r>
          </w:hyperlink>
        </w:p>
        <w:p w:rsidR="003B10E0" w:rsidRPr="00636940" w:rsidRDefault="00646A55" w:rsidP="00636940">
          <w:pPr>
            <w:pStyle w:val="TOC1"/>
            <w:rPr>
              <w:rFonts w:eastAsiaTheme="minorEastAsia"/>
              <w:noProof/>
              <w:color w:val="1F4E79" w:themeColor="accent1" w:themeShade="80"/>
            </w:rPr>
          </w:pPr>
          <w:hyperlink w:anchor="_Toc48732714" w:history="1">
            <w:r w:rsidR="003B10E0" w:rsidRPr="00636940">
              <w:rPr>
                <w:rStyle w:val="Hyperlink"/>
                <w:rFonts w:cstheme="minorHAnsi"/>
                <w:noProof/>
                <w:color w:val="1F4E79" w:themeColor="accent1" w:themeShade="80"/>
                <w:lang w:val="ro-MD"/>
              </w:rPr>
              <w:t>GLOSAR .</w:t>
            </w:r>
            <w:r w:rsidR="003B10E0" w:rsidRPr="00636940">
              <w:rPr>
                <w:noProof/>
                <w:webHidden/>
                <w:color w:val="1F4E79" w:themeColor="accent1" w:themeShade="80"/>
              </w:rPr>
              <w:tab/>
            </w:r>
            <w:r w:rsidR="003B10E0" w:rsidRPr="00636940">
              <w:rPr>
                <w:noProof/>
                <w:webHidden/>
                <w:color w:val="1F4E79" w:themeColor="accent1" w:themeShade="80"/>
              </w:rPr>
              <w:fldChar w:fldCharType="begin"/>
            </w:r>
            <w:r w:rsidR="003B10E0" w:rsidRPr="00636940">
              <w:rPr>
                <w:noProof/>
                <w:webHidden/>
                <w:color w:val="1F4E79" w:themeColor="accent1" w:themeShade="80"/>
              </w:rPr>
              <w:instrText xml:space="preserve"> PAGEREF _Toc48732714 \h </w:instrText>
            </w:r>
            <w:r w:rsidR="003B10E0" w:rsidRPr="00636940">
              <w:rPr>
                <w:noProof/>
                <w:webHidden/>
                <w:color w:val="1F4E79" w:themeColor="accent1" w:themeShade="80"/>
              </w:rPr>
            </w:r>
            <w:r w:rsidR="003B10E0" w:rsidRPr="00636940">
              <w:rPr>
                <w:noProof/>
                <w:webHidden/>
                <w:color w:val="1F4E79" w:themeColor="accent1" w:themeShade="80"/>
              </w:rPr>
              <w:fldChar w:fldCharType="separate"/>
            </w:r>
            <w:r w:rsidR="00D9664B">
              <w:rPr>
                <w:noProof/>
                <w:webHidden/>
                <w:color w:val="1F4E79" w:themeColor="accent1" w:themeShade="80"/>
              </w:rPr>
              <w:t>4</w:t>
            </w:r>
            <w:r w:rsidR="003B10E0" w:rsidRPr="00636940">
              <w:rPr>
                <w:noProof/>
                <w:webHidden/>
                <w:color w:val="1F4E79" w:themeColor="accent1" w:themeShade="80"/>
              </w:rPr>
              <w:fldChar w:fldCharType="end"/>
            </w:r>
          </w:hyperlink>
        </w:p>
        <w:p w:rsidR="003B10E0" w:rsidRPr="00636940" w:rsidRDefault="00646A55" w:rsidP="00636940">
          <w:pPr>
            <w:pStyle w:val="TOC1"/>
            <w:rPr>
              <w:rFonts w:eastAsiaTheme="minorEastAsia"/>
              <w:noProof/>
              <w:color w:val="1F4E79" w:themeColor="accent1" w:themeShade="80"/>
            </w:rPr>
          </w:pPr>
          <w:hyperlink w:anchor="_Toc48732715" w:history="1">
            <w:r w:rsidR="003B10E0" w:rsidRPr="00636940">
              <w:rPr>
                <w:rStyle w:val="Hyperlink"/>
                <w:rFonts w:cstheme="minorHAnsi"/>
                <w:noProof/>
                <w:color w:val="1F4E79" w:themeColor="accent1" w:themeShade="80"/>
                <w:lang w:val="ro-MD"/>
              </w:rPr>
              <w:t>I.</w:t>
            </w:r>
            <w:r w:rsidR="003B10E0" w:rsidRPr="00636940">
              <w:rPr>
                <w:rFonts w:eastAsiaTheme="minorEastAsia"/>
                <w:noProof/>
                <w:color w:val="1F4E79" w:themeColor="accent1" w:themeShade="80"/>
              </w:rPr>
              <w:tab/>
            </w:r>
            <w:r w:rsidR="003B10E0" w:rsidRPr="00636940">
              <w:rPr>
                <w:rStyle w:val="Hyperlink"/>
                <w:rFonts w:cstheme="minorHAnsi"/>
                <w:noProof/>
                <w:color w:val="1F4E79" w:themeColor="accent1" w:themeShade="80"/>
                <w:lang w:val="ro-MD"/>
              </w:rPr>
              <w:t>SINTEZA CONSTATĂRILOR DE AUDIT</w:t>
            </w:r>
            <w:r w:rsidR="003B10E0" w:rsidRPr="00636940">
              <w:rPr>
                <w:noProof/>
                <w:webHidden/>
                <w:color w:val="1F4E79" w:themeColor="accent1" w:themeShade="80"/>
              </w:rPr>
              <w:tab/>
            </w:r>
            <w:r w:rsidR="003B10E0" w:rsidRPr="00636940">
              <w:rPr>
                <w:noProof/>
                <w:webHidden/>
                <w:color w:val="1F4E79" w:themeColor="accent1" w:themeShade="80"/>
              </w:rPr>
              <w:fldChar w:fldCharType="begin"/>
            </w:r>
            <w:r w:rsidR="003B10E0" w:rsidRPr="00636940">
              <w:rPr>
                <w:noProof/>
                <w:webHidden/>
                <w:color w:val="1F4E79" w:themeColor="accent1" w:themeShade="80"/>
              </w:rPr>
              <w:instrText xml:space="preserve"> PAGEREF _Toc48732715 \h </w:instrText>
            </w:r>
            <w:r w:rsidR="003B10E0" w:rsidRPr="00636940">
              <w:rPr>
                <w:noProof/>
                <w:webHidden/>
                <w:color w:val="1F4E79" w:themeColor="accent1" w:themeShade="80"/>
              </w:rPr>
            </w:r>
            <w:r w:rsidR="003B10E0" w:rsidRPr="00636940">
              <w:rPr>
                <w:noProof/>
                <w:webHidden/>
                <w:color w:val="1F4E79" w:themeColor="accent1" w:themeShade="80"/>
              </w:rPr>
              <w:fldChar w:fldCharType="separate"/>
            </w:r>
            <w:r w:rsidR="00D9664B">
              <w:rPr>
                <w:noProof/>
                <w:webHidden/>
                <w:color w:val="1F4E79" w:themeColor="accent1" w:themeShade="80"/>
              </w:rPr>
              <w:t>5</w:t>
            </w:r>
            <w:r w:rsidR="003B10E0" w:rsidRPr="00636940">
              <w:rPr>
                <w:noProof/>
                <w:webHidden/>
                <w:color w:val="1F4E79" w:themeColor="accent1" w:themeShade="80"/>
              </w:rPr>
              <w:fldChar w:fldCharType="end"/>
            </w:r>
          </w:hyperlink>
        </w:p>
        <w:p w:rsidR="003B10E0" w:rsidRPr="00636940" w:rsidRDefault="00646A55" w:rsidP="00636940">
          <w:pPr>
            <w:pStyle w:val="TOC1"/>
            <w:rPr>
              <w:rFonts w:eastAsiaTheme="minorEastAsia"/>
              <w:noProof/>
              <w:color w:val="1F4E79" w:themeColor="accent1" w:themeShade="80"/>
            </w:rPr>
          </w:pPr>
          <w:hyperlink w:anchor="_Toc48732716" w:history="1">
            <w:r w:rsidR="003B10E0" w:rsidRPr="00636940">
              <w:rPr>
                <w:rStyle w:val="Hyperlink"/>
                <w:rFonts w:cstheme="minorHAnsi"/>
                <w:noProof/>
                <w:color w:val="1F4E79" w:themeColor="accent1" w:themeShade="80"/>
                <w:lang w:val="ro-MD"/>
              </w:rPr>
              <w:t>II.</w:t>
            </w:r>
            <w:r w:rsidR="003B10E0" w:rsidRPr="00636940">
              <w:rPr>
                <w:rFonts w:eastAsiaTheme="minorEastAsia"/>
                <w:noProof/>
                <w:color w:val="1F4E79" w:themeColor="accent1" w:themeShade="80"/>
              </w:rPr>
              <w:tab/>
            </w:r>
            <w:r w:rsidR="003B10E0" w:rsidRPr="00636940">
              <w:rPr>
                <w:rStyle w:val="Hyperlink"/>
                <w:rFonts w:cstheme="minorHAnsi"/>
                <w:noProof/>
                <w:color w:val="1F4E79" w:themeColor="accent1" w:themeShade="80"/>
                <w:lang w:val="ro-MD"/>
              </w:rPr>
              <w:t>PREZENTARE GENERALĂ A ENTITĂȚII AUDITATE</w:t>
            </w:r>
            <w:r w:rsidR="003B10E0" w:rsidRPr="00636940">
              <w:rPr>
                <w:noProof/>
                <w:webHidden/>
                <w:color w:val="1F4E79" w:themeColor="accent1" w:themeShade="80"/>
              </w:rPr>
              <w:tab/>
            </w:r>
            <w:r w:rsidR="003B10E0" w:rsidRPr="00636940">
              <w:rPr>
                <w:noProof/>
                <w:webHidden/>
                <w:color w:val="1F4E79" w:themeColor="accent1" w:themeShade="80"/>
              </w:rPr>
              <w:fldChar w:fldCharType="begin"/>
            </w:r>
            <w:r w:rsidR="003B10E0" w:rsidRPr="00636940">
              <w:rPr>
                <w:noProof/>
                <w:webHidden/>
                <w:color w:val="1F4E79" w:themeColor="accent1" w:themeShade="80"/>
              </w:rPr>
              <w:instrText xml:space="preserve"> PAGEREF _Toc48732716 \h </w:instrText>
            </w:r>
            <w:r w:rsidR="003B10E0" w:rsidRPr="00636940">
              <w:rPr>
                <w:noProof/>
                <w:webHidden/>
                <w:color w:val="1F4E79" w:themeColor="accent1" w:themeShade="80"/>
              </w:rPr>
            </w:r>
            <w:r w:rsidR="003B10E0" w:rsidRPr="00636940">
              <w:rPr>
                <w:noProof/>
                <w:webHidden/>
                <w:color w:val="1F4E79" w:themeColor="accent1" w:themeShade="80"/>
              </w:rPr>
              <w:fldChar w:fldCharType="separate"/>
            </w:r>
            <w:r w:rsidR="00D9664B">
              <w:rPr>
                <w:noProof/>
                <w:webHidden/>
                <w:color w:val="1F4E79" w:themeColor="accent1" w:themeShade="80"/>
              </w:rPr>
              <w:t>9</w:t>
            </w:r>
            <w:r w:rsidR="003B10E0" w:rsidRPr="00636940">
              <w:rPr>
                <w:noProof/>
                <w:webHidden/>
                <w:color w:val="1F4E79" w:themeColor="accent1" w:themeShade="80"/>
              </w:rPr>
              <w:fldChar w:fldCharType="end"/>
            </w:r>
          </w:hyperlink>
        </w:p>
        <w:p w:rsidR="003B10E0" w:rsidRPr="00636940" w:rsidRDefault="00646A55" w:rsidP="00636940">
          <w:pPr>
            <w:pStyle w:val="TOC1"/>
            <w:rPr>
              <w:rFonts w:eastAsiaTheme="minorEastAsia"/>
              <w:noProof/>
              <w:color w:val="1F4E79" w:themeColor="accent1" w:themeShade="80"/>
            </w:rPr>
          </w:pPr>
          <w:hyperlink w:anchor="_Toc48732717" w:history="1">
            <w:r w:rsidR="003B10E0" w:rsidRPr="00636940">
              <w:rPr>
                <w:rStyle w:val="Hyperlink"/>
                <w:rFonts w:cstheme="minorHAnsi"/>
                <w:noProof/>
                <w:color w:val="1F4E79" w:themeColor="accent1" w:themeShade="80"/>
                <w:lang w:val="ro-MD"/>
              </w:rPr>
              <w:t>III.</w:t>
            </w:r>
            <w:r w:rsidR="003B10E0" w:rsidRPr="00636940">
              <w:rPr>
                <w:rFonts w:eastAsiaTheme="minorEastAsia"/>
                <w:noProof/>
                <w:color w:val="1F4E79" w:themeColor="accent1" w:themeShade="80"/>
              </w:rPr>
              <w:tab/>
            </w:r>
            <w:r w:rsidR="003B10E0" w:rsidRPr="00636940">
              <w:rPr>
                <w:rStyle w:val="Hyperlink"/>
                <w:rFonts w:cstheme="minorHAnsi"/>
                <w:noProof/>
                <w:color w:val="1F4E79" w:themeColor="accent1" w:themeShade="80"/>
                <w:lang w:val="ro-MD"/>
              </w:rPr>
              <w:t>SFERA</w:t>
            </w:r>
            <w:r w:rsidR="003B10E0" w:rsidRPr="00636940">
              <w:rPr>
                <w:rStyle w:val="Hyperlink"/>
                <w:rFonts w:cstheme="minorHAnsi"/>
                <w:noProof/>
                <w:color w:val="1F4E79" w:themeColor="accent1" w:themeShade="80"/>
                <w:shd w:val="clear" w:color="auto" w:fill="FFFFFF"/>
                <w:lang w:val="ro-MD"/>
              </w:rPr>
              <w:t xml:space="preserve"> ȘI ABORDAREA AUDITULUI</w:t>
            </w:r>
            <w:r w:rsidR="003B10E0" w:rsidRPr="00636940">
              <w:rPr>
                <w:noProof/>
                <w:webHidden/>
                <w:color w:val="1F4E79" w:themeColor="accent1" w:themeShade="80"/>
              </w:rPr>
              <w:tab/>
            </w:r>
            <w:r w:rsidR="003B10E0" w:rsidRPr="00636940">
              <w:rPr>
                <w:noProof/>
                <w:webHidden/>
                <w:color w:val="1F4E79" w:themeColor="accent1" w:themeShade="80"/>
              </w:rPr>
              <w:fldChar w:fldCharType="begin"/>
            </w:r>
            <w:r w:rsidR="003B10E0" w:rsidRPr="00636940">
              <w:rPr>
                <w:noProof/>
                <w:webHidden/>
                <w:color w:val="1F4E79" w:themeColor="accent1" w:themeShade="80"/>
              </w:rPr>
              <w:instrText xml:space="preserve"> PAGEREF _Toc48732717 \h </w:instrText>
            </w:r>
            <w:r w:rsidR="003B10E0" w:rsidRPr="00636940">
              <w:rPr>
                <w:noProof/>
                <w:webHidden/>
                <w:color w:val="1F4E79" w:themeColor="accent1" w:themeShade="80"/>
              </w:rPr>
            </w:r>
            <w:r w:rsidR="003B10E0" w:rsidRPr="00636940">
              <w:rPr>
                <w:noProof/>
                <w:webHidden/>
                <w:color w:val="1F4E79" w:themeColor="accent1" w:themeShade="80"/>
              </w:rPr>
              <w:fldChar w:fldCharType="separate"/>
            </w:r>
            <w:r w:rsidR="00D9664B">
              <w:rPr>
                <w:noProof/>
                <w:webHidden/>
                <w:color w:val="1F4E79" w:themeColor="accent1" w:themeShade="80"/>
              </w:rPr>
              <w:t>10</w:t>
            </w:r>
            <w:r w:rsidR="003B10E0" w:rsidRPr="00636940">
              <w:rPr>
                <w:noProof/>
                <w:webHidden/>
                <w:color w:val="1F4E79" w:themeColor="accent1" w:themeShade="80"/>
              </w:rPr>
              <w:fldChar w:fldCharType="end"/>
            </w:r>
          </w:hyperlink>
        </w:p>
        <w:p w:rsidR="003B10E0" w:rsidRPr="00636940" w:rsidRDefault="00646A55" w:rsidP="00636940">
          <w:pPr>
            <w:pStyle w:val="TOC1"/>
            <w:rPr>
              <w:rFonts w:eastAsiaTheme="minorEastAsia"/>
              <w:noProof/>
              <w:color w:val="1F4E79" w:themeColor="accent1" w:themeShade="80"/>
            </w:rPr>
          </w:pPr>
          <w:hyperlink w:anchor="_Toc48732718" w:history="1">
            <w:r w:rsidR="003B10E0" w:rsidRPr="00636940">
              <w:rPr>
                <w:rStyle w:val="Hyperlink"/>
                <w:rFonts w:cstheme="minorHAnsi"/>
                <w:noProof/>
                <w:color w:val="1F4E79" w:themeColor="accent1" w:themeShade="80"/>
                <w:lang w:val="ro-MD"/>
              </w:rPr>
              <w:t>IV.</w:t>
            </w:r>
            <w:r w:rsidR="003B10E0" w:rsidRPr="00636940">
              <w:rPr>
                <w:rFonts w:eastAsiaTheme="minorEastAsia"/>
                <w:noProof/>
                <w:color w:val="1F4E79" w:themeColor="accent1" w:themeShade="80"/>
              </w:rPr>
              <w:tab/>
            </w:r>
            <w:r w:rsidR="003B10E0" w:rsidRPr="00636940">
              <w:rPr>
                <w:rStyle w:val="Hyperlink"/>
                <w:rFonts w:cstheme="minorHAnsi"/>
                <w:noProof/>
                <w:color w:val="1F4E79" w:themeColor="accent1" w:themeShade="80"/>
                <w:shd w:val="clear" w:color="auto" w:fill="FFFFFF"/>
                <w:lang w:val="ro-MD"/>
              </w:rPr>
              <w:t>CONSTATĂRI</w:t>
            </w:r>
            <w:r w:rsidR="003B10E0" w:rsidRPr="00636940">
              <w:rPr>
                <w:noProof/>
                <w:webHidden/>
                <w:color w:val="1F4E79" w:themeColor="accent1" w:themeShade="80"/>
              </w:rPr>
              <w:tab/>
            </w:r>
            <w:r w:rsidR="003B10E0" w:rsidRPr="00636940">
              <w:rPr>
                <w:noProof/>
                <w:webHidden/>
                <w:color w:val="1F4E79" w:themeColor="accent1" w:themeShade="80"/>
              </w:rPr>
              <w:fldChar w:fldCharType="begin"/>
            </w:r>
            <w:r w:rsidR="003B10E0" w:rsidRPr="00636940">
              <w:rPr>
                <w:noProof/>
                <w:webHidden/>
                <w:color w:val="1F4E79" w:themeColor="accent1" w:themeShade="80"/>
              </w:rPr>
              <w:instrText xml:space="preserve"> PAGEREF _Toc48732718 \h </w:instrText>
            </w:r>
            <w:r w:rsidR="003B10E0" w:rsidRPr="00636940">
              <w:rPr>
                <w:noProof/>
                <w:webHidden/>
                <w:color w:val="1F4E79" w:themeColor="accent1" w:themeShade="80"/>
              </w:rPr>
            </w:r>
            <w:r w:rsidR="003B10E0" w:rsidRPr="00636940">
              <w:rPr>
                <w:noProof/>
                <w:webHidden/>
                <w:color w:val="1F4E79" w:themeColor="accent1" w:themeShade="80"/>
              </w:rPr>
              <w:fldChar w:fldCharType="separate"/>
            </w:r>
            <w:r w:rsidR="00D9664B">
              <w:rPr>
                <w:noProof/>
                <w:webHidden/>
                <w:color w:val="1F4E79" w:themeColor="accent1" w:themeShade="80"/>
              </w:rPr>
              <w:t>12</w:t>
            </w:r>
            <w:r w:rsidR="003B10E0" w:rsidRPr="00636940">
              <w:rPr>
                <w:noProof/>
                <w:webHidden/>
                <w:color w:val="1F4E79" w:themeColor="accent1" w:themeShade="80"/>
              </w:rPr>
              <w:fldChar w:fldCharType="end"/>
            </w:r>
          </w:hyperlink>
        </w:p>
        <w:p w:rsidR="003B10E0" w:rsidRPr="00636940" w:rsidRDefault="00646A55" w:rsidP="00636940">
          <w:pPr>
            <w:pStyle w:val="TOC2"/>
            <w:rPr>
              <w:shd w:val="clear" w:color="auto" w:fill="auto"/>
              <w:lang w:val="en-US"/>
            </w:rPr>
          </w:pPr>
          <w:hyperlink w:anchor="_Toc48732719" w:history="1">
            <w:r w:rsidR="003B10E0" w:rsidRPr="00636940">
              <w:rPr>
                <w:rStyle w:val="Hyperlink"/>
                <w:rFonts w:cstheme="minorHAnsi"/>
                <w:color w:val="1F4E79" w:themeColor="accent1" w:themeShade="80"/>
              </w:rPr>
              <w:t>Obiectivul specific nr.1: Estimarea sarcinii de colectare și raportare a veniturilor încasate la bugetul de stat s-a realizat potrivit normelor procedurale/metodologice aplicabile?</w:t>
            </w:r>
            <w:r w:rsidR="003B10E0" w:rsidRPr="00636940">
              <w:rPr>
                <w:webHidden/>
              </w:rPr>
              <w:tab/>
            </w:r>
            <w:r w:rsidR="003B10E0" w:rsidRPr="00636940">
              <w:rPr>
                <w:webHidden/>
              </w:rPr>
              <w:fldChar w:fldCharType="begin"/>
            </w:r>
            <w:r w:rsidR="003B10E0" w:rsidRPr="00636940">
              <w:rPr>
                <w:webHidden/>
              </w:rPr>
              <w:instrText xml:space="preserve"> PAGEREF _Toc48732719 \h </w:instrText>
            </w:r>
            <w:r w:rsidR="003B10E0" w:rsidRPr="00636940">
              <w:rPr>
                <w:webHidden/>
              </w:rPr>
            </w:r>
            <w:r w:rsidR="003B10E0" w:rsidRPr="00636940">
              <w:rPr>
                <w:webHidden/>
              </w:rPr>
              <w:fldChar w:fldCharType="separate"/>
            </w:r>
            <w:r w:rsidR="00D9664B">
              <w:rPr>
                <w:webHidden/>
              </w:rPr>
              <w:t>12</w:t>
            </w:r>
            <w:r w:rsidR="003B10E0" w:rsidRPr="00636940">
              <w:rPr>
                <w:webHidden/>
              </w:rPr>
              <w:fldChar w:fldCharType="end"/>
            </w:r>
          </w:hyperlink>
        </w:p>
        <w:p w:rsidR="003B10E0" w:rsidRPr="00636940" w:rsidRDefault="00646A55" w:rsidP="00636940">
          <w:pPr>
            <w:pStyle w:val="TOC3"/>
            <w:rPr>
              <w:rFonts w:eastAsiaTheme="minorEastAsia"/>
              <w:noProof/>
              <w:color w:val="1F4E79" w:themeColor="accent1" w:themeShade="80"/>
            </w:rPr>
          </w:pPr>
          <w:hyperlink w:anchor="_Toc48732720" w:history="1">
            <w:r w:rsidR="003B10E0" w:rsidRPr="00636940">
              <w:rPr>
                <w:rStyle w:val="Hyperlink"/>
                <w:rFonts w:cstheme="minorHAnsi"/>
                <w:noProof/>
                <w:color w:val="1F4E79" w:themeColor="accent1" w:themeShade="80"/>
              </w:rPr>
              <w:t>1.1</w:t>
            </w:r>
            <w:r w:rsidR="003B10E0" w:rsidRPr="00636940">
              <w:rPr>
                <w:rFonts w:eastAsiaTheme="minorEastAsia"/>
                <w:noProof/>
                <w:color w:val="1F4E79" w:themeColor="accent1" w:themeShade="80"/>
              </w:rPr>
              <w:tab/>
            </w:r>
            <w:r w:rsidR="003B10E0" w:rsidRPr="00636940">
              <w:rPr>
                <w:rStyle w:val="Hyperlink"/>
                <w:rFonts w:cstheme="minorHAnsi"/>
                <w:noProof/>
                <w:color w:val="1F4E79" w:themeColor="accent1" w:themeShade="80"/>
              </w:rPr>
              <w:t>Sarcina de colectare a veniturilor la bugetul de stat a fost executată parțial comparativ cu indicatorii prognozați</w:t>
            </w:r>
            <w:r w:rsidR="003B10E0" w:rsidRPr="00636940">
              <w:rPr>
                <w:noProof/>
                <w:webHidden/>
                <w:color w:val="1F4E79" w:themeColor="accent1" w:themeShade="80"/>
              </w:rPr>
              <w:tab/>
            </w:r>
            <w:r w:rsidR="003B10E0" w:rsidRPr="00636940">
              <w:rPr>
                <w:noProof/>
                <w:webHidden/>
                <w:color w:val="1F4E79" w:themeColor="accent1" w:themeShade="80"/>
              </w:rPr>
              <w:fldChar w:fldCharType="begin"/>
            </w:r>
            <w:r w:rsidR="003B10E0" w:rsidRPr="00636940">
              <w:rPr>
                <w:noProof/>
                <w:webHidden/>
                <w:color w:val="1F4E79" w:themeColor="accent1" w:themeShade="80"/>
              </w:rPr>
              <w:instrText xml:space="preserve"> PAGEREF _Toc48732720 \h </w:instrText>
            </w:r>
            <w:r w:rsidR="003B10E0" w:rsidRPr="00636940">
              <w:rPr>
                <w:noProof/>
                <w:webHidden/>
                <w:color w:val="1F4E79" w:themeColor="accent1" w:themeShade="80"/>
              </w:rPr>
            </w:r>
            <w:r w:rsidR="003B10E0" w:rsidRPr="00636940">
              <w:rPr>
                <w:noProof/>
                <w:webHidden/>
                <w:color w:val="1F4E79" w:themeColor="accent1" w:themeShade="80"/>
              </w:rPr>
              <w:fldChar w:fldCharType="separate"/>
            </w:r>
            <w:r w:rsidR="00D9664B">
              <w:rPr>
                <w:noProof/>
                <w:webHidden/>
                <w:color w:val="1F4E79" w:themeColor="accent1" w:themeShade="80"/>
              </w:rPr>
              <w:t>12</w:t>
            </w:r>
            <w:r w:rsidR="003B10E0" w:rsidRPr="00636940">
              <w:rPr>
                <w:noProof/>
                <w:webHidden/>
                <w:color w:val="1F4E79" w:themeColor="accent1" w:themeShade="80"/>
              </w:rPr>
              <w:fldChar w:fldCharType="end"/>
            </w:r>
          </w:hyperlink>
        </w:p>
        <w:p w:rsidR="003B10E0" w:rsidRPr="00636940" w:rsidRDefault="00646A55" w:rsidP="00636940">
          <w:pPr>
            <w:pStyle w:val="TOC3"/>
            <w:rPr>
              <w:rFonts w:eastAsiaTheme="minorEastAsia"/>
              <w:noProof/>
              <w:color w:val="1F4E79" w:themeColor="accent1" w:themeShade="80"/>
            </w:rPr>
          </w:pPr>
          <w:hyperlink w:anchor="_Toc48732721" w:history="1">
            <w:r w:rsidR="003B10E0" w:rsidRPr="00636940">
              <w:rPr>
                <w:rStyle w:val="Hyperlink"/>
                <w:rFonts w:cstheme="minorHAnsi"/>
                <w:noProof/>
                <w:color w:val="1F4E79" w:themeColor="accent1" w:themeShade="80"/>
              </w:rPr>
              <w:t>1.2</w:t>
            </w:r>
            <w:r w:rsidR="003B10E0" w:rsidRPr="00636940">
              <w:rPr>
                <w:rFonts w:eastAsiaTheme="minorEastAsia"/>
                <w:noProof/>
                <w:color w:val="1F4E79" w:themeColor="accent1" w:themeShade="80"/>
              </w:rPr>
              <w:tab/>
            </w:r>
            <w:r w:rsidR="003B10E0" w:rsidRPr="00636940">
              <w:rPr>
                <w:rStyle w:val="Hyperlink"/>
                <w:rFonts w:cstheme="minorHAnsi"/>
                <w:noProof/>
                <w:color w:val="1F4E79" w:themeColor="accent1" w:themeShade="80"/>
              </w:rPr>
              <w:t>SFS nu utilizează metodele de prognozare bugetară prestabilite</w:t>
            </w:r>
            <w:r w:rsidR="003B10E0" w:rsidRPr="00636940">
              <w:rPr>
                <w:noProof/>
                <w:webHidden/>
                <w:color w:val="1F4E79" w:themeColor="accent1" w:themeShade="80"/>
              </w:rPr>
              <w:tab/>
            </w:r>
            <w:r w:rsidR="003B10E0" w:rsidRPr="00636940">
              <w:rPr>
                <w:noProof/>
                <w:webHidden/>
                <w:color w:val="1F4E79" w:themeColor="accent1" w:themeShade="80"/>
              </w:rPr>
              <w:fldChar w:fldCharType="begin"/>
            </w:r>
            <w:r w:rsidR="003B10E0" w:rsidRPr="00636940">
              <w:rPr>
                <w:noProof/>
                <w:webHidden/>
                <w:color w:val="1F4E79" w:themeColor="accent1" w:themeShade="80"/>
              </w:rPr>
              <w:instrText xml:space="preserve"> PAGEREF _Toc48732721 \h </w:instrText>
            </w:r>
            <w:r w:rsidR="003B10E0" w:rsidRPr="00636940">
              <w:rPr>
                <w:noProof/>
                <w:webHidden/>
                <w:color w:val="1F4E79" w:themeColor="accent1" w:themeShade="80"/>
              </w:rPr>
            </w:r>
            <w:r w:rsidR="003B10E0" w:rsidRPr="00636940">
              <w:rPr>
                <w:noProof/>
                <w:webHidden/>
                <w:color w:val="1F4E79" w:themeColor="accent1" w:themeShade="80"/>
              </w:rPr>
              <w:fldChar w:fldCharType="separate"/>
            </w:r>
            <w:r w:rsidR="00D9664B">
              <w:rPr>
                <w:noProof/>
                <w:webHidden/>
                <w:color w:val="1F4E79" w:themeColor="accent1" w:themeShade="80"/>
              </w:rPr>
              <w:t>16</w:t>
            </w:r>
            <w:r w:rsidR="003B10E0" w:rsidRPr="00636940">
              <w:rPr>
                <w:noProof/>
                <w:webHidden/>
                <w:color w:val="1F4E79" w:themeColor="accent1" w:themeShade="80"/>
              </w:rPr>
              <w:fldChar w:fldCharType="end"/>
            </w:r>
          </w:hyperlink>
        </w:p>
        <w:p w:rsidR="003B10E0" w:rsidRPr="00636940" w:rsidRDefault="00646A55" w:rsidP="00636940">
          <w:pPr>
            <w:pStyle w:val="TOC3"/>
            <w:rPr>
              <w:rFonts w:eastAsiaTheme="minorEastAsia"/>
              <w:noProof/>
              <w:color w:val="1F4E79" w:themeColor="accent1" w:themeShade="80"/>
            </w:rPr>
          </w:pPr>
          <w:hyperlink w:anchor="_Toc48732722" w:history="1">
            <w:r w:rsidR="003B10E0" w:rsidRPr="00636940">
              <w:rPr>
                <w:rStyle w:val="Hyperlink"/>
                <w:rFonts w:cstheme="minorHAnsi"/>
                <w:noProof/>
                <w:color w:val="1F4E79" w:themeColor="accent1" w:themeShade="80"/>
              </w:rPr>
              <w:t>1.3</w:t>
            </w:r>
            <w:r w:rsidR="003B10E0" w:rsidRPr="00636940">
              <w:rPr>
                <w:rFonts w:eastAsiaTheme="minorEastAsia"/>
                <w:noProof/>
                <w:color w:val="1F4E79" w:themeColor="accent1" w:themeShade="80"/>
              </w:rPr>
              <w:tab/>
            </w:r>
            <w:r w:rsidR="003B10E0" w:rsidRPr="00636940">
              <w:rPr>
                <w:rStyle w:val="Hyperlink"/>
                <w:rFonts w:cstheme="minorHAnsi"/>
                <w:noProof/>
                <w:color w:val="1F4E79" w:themeColor="accent1" w:themeShade="80"/>
              </w:rPr>
              <w:t>Organul fiscal nu și-a exercitat pe deplin rolul de administrator a unor venituri gestionate de autorități ale statului</w:t>
            </w:r>
            <w:r w:rsidR="003B10E0" w:rsidRPr="00636940">
              <w:rPr>
                <w:noProof/>
                <w:webHidden/>
                <w:color w:val="1F4E79" w:themeColor="accent1" w:themeShade="80"/>
              </w:rPr>
              <w:tab/>
            </w:r>
            <w:r w:rsidR="003B10E0" w:rsidRPr="00636940">
              <w:rPr>
                <w:noProof/>
                <w:webHidden/>
                <w:color w:val="1F4E79" w:themeColor="accent1" w:themeShade="80"/>
              </w:rPr>
              <w:fldChar w:fldCharType="begin"/>
            </w:r>
            <w:r w:rsidR="003B10E0" w:rsidRPr="00636940">
              <w:rPr>
                <w:noProof/>
                <w:webHidden/>
                <w:color w:val="1F4E79" w:themeColor="accent1" w:themeShade="80"/>
              </w:rPr>
              <w:instrText xml:space="preserve"> PAGEREF _Toc48732722 \h </w:instrText>
            </w:r>
            <w:r w:rsidR="003B10E0" w:rsidRPr="00636940">
              <w:rPr>
                <w:noProof/>
                <w:webHidden/>
                <w:color w:val="1F4E79" w:themeColor="accent1" w:themeShade="80"/>
              </w:rPr>
            </w:r>
            <w:r w:rsidR="003B10E0" w:rsidRPr="00636940">
              <w:rPr>
                <w:noProof/>
                <w:webHidden/>
                <w:color w:val="1F4E79" w:themeColor="accent1" w:themeShade="80"/>
              </w:rPr>
              <w:fldChar w:fldCharType="separate"/>
            </w:r>
            <w:r w:rsidR="00D9664B">
              <w:rPr>
                <w:noProof/>
                <w:webHidden/>
                <w:color w:val="1F4E79" w:themeColor="accent1" w:themeShade="80"/>
              </w:rPr>
              <w:t>16</w:t>
            </w:r>
            <w:r w:rsidR="003B10E0" w:rsidRPr="00636940">
              <w:rPr>
                <w:noProof/>
                <w:webHidden/>
                <w:color w:val="1F4E79" w:themeColor="accent1" w:themeShade="80"/>
              </w:rPr>
              <w:fldChar w:fldCharType="end"/>
            </w:r>
          </w:hyperlink>
        </w:p>
        <w:p w:rsidR="003B10E0" w:rsidRPr="00636940" w:rsidRDefault="00646A55" w:rsidP="00636940">
          <w:pPr>
            <w:pStyle w:val="TOC3"/>
            <w:rPr>
              <w:rFonts w:eastAsiaTheme="minorEastAsia"/>
              <w:noProof/>
              <w:color w:val="1F4E79" w:themeColor="accent1" w:themeShade="80"/>
            </w:rPr>
          </w:pPr>
          <w:hyperlink w:anchor="_Toc48732723" w:history="1">
            <w:r w:rsidR="003B10E0" w:rsidRPr="00636940">
              <w:rPr>
                <w:rStyle w:val="Hyperlink"/>
                <w:rFonts w:cstheme="minorHAnsi"/>
                <w:noProof/>
                <w:color w:val="1F4E79" w:themeColor="accent1" w:themeShade="80"/>
              </w:rPr>
              <w:t>1.4</w:t>
            </w:r>
            <w:r w:rsidR="003B10E0" w:rsidRPr="00636940">
              <w:rPr>
                <w:rFonts w:eastAsiaTheme="minorEastAsia"/>
                <w:noProof/>
                <w:color w:val="1F4E79" w:themeColor="accent1" w:themeShade="80"/>
              </w:rPr>
              <w:tab/>
            </w:r>
            <w:r w:rsidR="003B10E0" w:rsidRPr="00636940">
              <w:rPr>
                <w:rStyle w:val="Hyperlink"/>
                <w:rFonts w:cstheme="minorHAnsi"/>
                <w:noProof/>
                <w:color w:val="1F4E79" w:themeColor="accent1" w:themeShade="80"/>
              </w:rPr>
              <w:t>Există goluri de reglementare în raportarea veniturilor fiscale</w:t>
            </w:r>
            <w:r w:rsidR="003B10E0" w:rsidRPr="00636940">
              <w:rPr>
                <w:noProof/>
                <w:webHidden/>
                <w:color w:val="1F4E79" w:themeColor="accent1" w:themeShade="80"/>
              </w:rPr>
              <w:tab/>
            </w:r>
            <w:r w:rsidR="003B10E0" w:rsidRPr="00636940">
              <w:rPr>
                <w:noProof/>
                <w:webHidden/>
                <w:color w:val="1F4E79" w:themeColor="accent1" w:themeShade="80"/>
              </w:rPr>
              <w:fldChar w:fldCharType="begin"/>
            </w:r>
            <w:r w:rsidR="003B10E0" w:rsidRPr="00636940">
              <w:rPr>
                <w:noProof/>
                <w:webHidden/>
                <w:color w:val="1F4E79" w:themeColor="accent1" w:themeShade="80"/>
              </w:rPr>
              <w:instrText xml:space="preserve"> PAGEREF _Toc48732723 \h </w:instrText>
            </w:r>
            <w:r w:rsidR="003B10E0" w:rsidRPr="00636940">
              <w:rPr>
                <w:noProof/>
                <w:webHidden/>
                <w:color w:val="1F4E79" w:themeColor="accent1" w:themeShade="80"/>
              </w:rPr>
            </w:r>
            <w:r w:rsidR="003B10E0" w:rsidRPr="00636940">
              <w:rPr>
                <w:noProof/>
                <w:webHidden/>
                <w:color w:val="1F4E79" w:themeColor="accent1" w:themeShade="80"/>
              </w:rPr>
              <w:fldChar w:fldCharType="separate"/>
            </w:r>
            <w:r w:rsidR="00D9664B">
              <w:rPr>
                <w:noProof/>
                <w:webHidden/>
                <w:color w:val="1F4E79" w:themeColor="accent1" w:themeShade="80"/>
              </w:rPr>
              <w:t>19</w:t>
            </w:r>
            <w:r w:rsidR="003B10E0" w:rsidRPr="00636940">
              <w:rPr>
                <w:noProof/>
                <w:webHidden/>
                <w:color w:val="1F4E79" w:themeColor="accent1" w:themeShade="80"/>
              </w:rPr>
              <w:fldChar w:fldCharType="end"/>
            </w:r>
          </w:hyperlink>
        </w:p>
        <w:p w:rsidR="003B10E0" w:rsidRPr="00636940" w:rsidRDefault="00646A55" w:rsidP="00636940">
          <w:pPr>
            <w:pStyle w:val="TOC2"/>
            <w:rPr>
              <w:shd w:val="clear" w:color="auto" w:fill="auto"/>
              <w:lang w:val="en-US"/>
            </w:rPr>
          </w:pPr>
          <w:hyperlink w:anchor="_Toc48732724" w:history="1">
            <w:r w:rsidR="003B10E0" w:rsidRPr="00636940">
              <w:rPr>
                <w:rStyle w:val="Hyperlink"/>
                <w:rFonts w:cstheme="minorHAnsi"/>
                <w:color w:val="1F4E79" w:themeColor="accent1" w:themeShade="80"/>
              </w:rPr>
              <w:t>Obiectivul specific nr.2: Organul fiscal a asigurat conformitatea procesului de evidență și raportare a restanțelor?</w:t>
            </w:r>
            <w:r w:rsidR="007D44BE" w:rsidRPr="00636940">
              <w:rPr>
                <w:rStyle w:val="Hyperlink"/>
                <w:rFonts w:cstheme="minorHAnsi"/>
                <w:color w:val="1F4E79" w:themeColor="accent1" w:themeShade="80"/>
              </w:rPr>
              <w:t>..................................................................................................................................................</w:t>
            </w:r>
            <w:r w:rsidR="002C78A1">
              <w:rPr>
                <w:rStyle w:val="Hyperlink"/>
                <w:rFonts w:cstheme="minorHAnsi"/>
                <w:color w:val="1F4E79" w:themeColor="accent1" w:themeShade="80"/>
              </w:rPr>
              <w:t>......</w:t>
            </w:r>
            <w:r w:rsidR="007D44BE" w:rsidRPr="00636940">
              <w:rPr>
                <w:rStyle w:val="Hyperlink"/>
                <w:rFonts w:cstheme="minorHAnsi"/>
                <w:color w:val="1F4E79" w:themeColor="accent1" w:themeShade="80"/>
              </w:rPr>
              <w:t>...</w:t>
            </w:r>
            <w:r w:rsidR="003B10E0" w:rsidRPr="00636940">
              <w:rPr>
                <w:webHidden/>
              </w:rPr>
              <w:t xml:space="preserve"> </w:t>
            </w:r>
            <w:r w:rsidR="003B10E0" w:rsidRPr="00636940">
              <w:rPr>
                <w:webHidden/>
              </w:rPr>
              <w:fldChar w:fldCharType="begin"/>
            </w:r>
            <w:r w:rsidR="003B10E0" w:rsidRPr="00636940">
              <w:rPr>
                <w:webHidden/>
              </w:rPr>
              <w:instrText xml:space="preserve"> PAGEREF _Toc48732724 \h </w:instrText>
            </w:r>
            <w:r w:rsidR="003B10E0" w:rsidRPr="00636940">
              <w:rPr>
                <w:webHidden/>
              </w:rPr>
            </w:r>
            <w:r w:rsidR="003B10E0" w:rsidRPr="00636940">
              <w:rPr>
                <w:webHidden/>
              </w:rPr>
              <w:fldChar w:fldCharType="separate"/>
            </w:r>
            <w:r w:rsidR="00D9664B">
              <w:rPr>
                <w:webHidden/>
              </w:rPr>
              <w:t>20</w:t>
            </w:r>
            <w:r w:rsidR="003B10E0" w:rsidRPr="00636940">
              <w:rPr>
                <w:webHidden/>
              </w:rPr>
              <w:fldChar w:fldCharType="end"/>
            </w:r>
          </w:hyperlink>
        </w:p>
        <w:p w:rsidR="003B10E0" w:rsidRPr="00636940" w:rsidRDefault="00646A55" w:rsidP="00636940">
          <w:pPr>
            <w:pStyle w:val="TOC3"/>
            <w:rPr>
              <w:rFonts w:eastAsiaTheme="minorEastAsia"/>
              <w:noProof/>
              <w:color w:val="1F4E79" w:themeColor="accent1" w:themeShade="80"/>
            </w:rPr>
          </w:pPr>
          <w:hyperlink w:anchor="_Toc48732725" w:history="1">
            <w:r w:rsidR="003B10E0" w:rsidRPr="00636940">
              <w:rPr>
                <w:rStyle w:val="Hyperlink"/>
                <w:rFonts w:cstheme="minorHAnsi"/>
                <w:noProof/>
                <w:color w:val="1F4E79" w:themeColor="accent1" w:themeShade="80"/>
              </w:rPr>
              <w:t>2.1</w:t>
            </w:r>
            <w:r w:rsidR="003B10E0" w:rsidRPr="00636940">
              <w:rPr>
                <w:rFonts w:eastAsiaTheme="minorEastAsia"/>
                <w:noProof/>
                <w:color w:val="1F4E79" w:themeColor="accent1" w:themeShade="80"/>
              </w:rPr>
              <w:tab/>
            </w:r>
            <w:r w:rsidR="003B10E0" w:rsidRPr="00636940">
              <w:rPr>
                <w:rStyle w:val="Hyperlink"/>
                <w:rFonts w:cstheme="minorHAnsi"/>
                <w:noProof/>
                <w:color w:val="1F4E79" w:themeColor="accent1" w:themeShade="80"/>
                <w:lang w:val="ro-MD"/>
              </w:rPr>
              <w:t>Auditul atestă unele deficiențe</w:t>
            </w:r>
            <w:r w:rsidR="003B10E0" w:rsidRPr="00636940">
              <w:rPr>
                <w:rStyle w:val="Hyperlink"/>
                <w:rFonts w:cstheme="minorHAnsi"/>
                <w:noProof/>
                <w:color w:val="1F4E79" w:themeColor="accent1" w:themeShade="80"/>
              </w:rPr>
              <w:t xml:space="preserve"> în raportarea restanțelor din evidența de bază</w:t>
            </w:r>
            <w:r w:rsidR="003B10E0" w:rsidRPr="00636940">
              <w:rPr>
                <w:noProof/>
                <w:webHidden/>
                <w:color w:val="1F4E79" w:themeColor="accent1" w:themeShade="80"/>
              </w:rPr>
              <w:tab/>
            </w:r>
            <w:r w:rsidR="003B10E0" w:rsidRPr="00636940">
              <w:rPr>
                <w:noProof/>
                <w:webHidden/>
                <w:color w:val="1F4E79" w:themeColor="accent1" w:themeShade="80"/>
              </w:rPr>
              <w:fldChar w:fldCharType="begin"/>
            </w:r>
            <w:r w:rsidR="003B10E0" w:rsidRPr="00636940">
              <w:rPr>
                <w:noProof/>
                <w:webHidden/>
                <w:color w:val="1F4E79" w:themeColor="accent1" w:themeShade="80"/>
              </w:rPr>
              <w:instrText xml:space="preserve"> PAGEREF _Toc48732725 \h </w:instrText>
            </w:r>
            <w:r w:rsidR="003B10E0" w:rsidRPr="00636940">
              <w:rPr>
                <w:noProof/>
                <w:webHidden/>
                <w:color w:val="1F4E79" w:themeColor="accent1" w:themeShade="80"/>
              </w:rPr>
            </w:r>
            <w:r w:rsidR="003B10E0" w:rsidRPr="00636940">
              <w:rPr>
                <w:noProof/>
                <w:webHidden/>
                <w:color w:val="1F4E79" w:themeColor="accent1" w:themeShade="80"/>
              </w:rPr>
              <w:fldChar w:fldCharType="separate"/>
            </w:r>
            <w:r w:rsidR="00D9664B">
              <w:rPr>
                <w:noProof/>
                <w:webHidden/>
                <w:color w:val="1F4E79" w:themeColor="accent1" w:themeShade="80"/>
              </w:rPr>
              <w:t>20</w:t>
            </w:r>
            <w:r w:rsidR="003B10E0" w:rsidRPr="00636940">
              <w:rPr>
                <w:noProof/>
                <w:webHidden/>
                <w:color w:val="1F4E79" w:themeColor="accent1" w:themeShade="80"/>
              </w:rPr>
              <w:fldChar w:fldCharType="end"/>
            </w:r>
          </w:hyperlink>
        </w:p>
        <w:p w:rsidR="003B10E0" w:rsidRPr="00636940" w:rsidRDefault="00646A55" w:rsidP="00636940">
          <w:pPr>
            <w:pStyle w:val="TOC3"/>
            <w:rPr>
              <w:rFonts w:eastAsiaTheme="minorEastAsia"/>
              <w:noProof/>
              <w:color w:val="1F4E79" w:themeColor="accent1" w:themeShade="80"/>
            </w:rPr>
          </w:pPr>
          <w:hyperlink w:anchor="_Toc48732726" w:history="1">
            <w:r w:rsidR="003B10E0" w:rsidRPr="00636940">
              <w:rPr>
                <w:rStyle w:val="Hyperlink"/>
                <w:rFonts w:cstheme="minorHAnsi"/>
                <w:noProof/>
                <w:color w:val="1F4E79" w:themeColor="accent1" w:themeShade="80"/>
              </w:rPr>
              <w:t>2.2</w:t>
            </w:r>
            <w:r w:rsidR="003B10E0" w:rsidRPr="00636940">
              <w:rPr>
                <w:rFonts w:eastAsiaTheme="minorEastAsia"/>
                <w:noProof/>
                <w:color w:val="1F4E79" w:themeColor="accent1" w:themeShade="80"/>
              </w:rPr>
              <w:tab/>
            </w:r>
            <w:r w:rsidR="003B10E0" w:rsidRPr="00636940">
              <w:rPr>
                <w:rStyle w:val="Hyperlink"/>
                <w:rFonts w:cstheme="minorHAnsi"/>
                <w:noProof/>
                <w:color w:val="1F4E79" w:themeColor="accent1" w:themeShade="80"/>
                <w:lang w:val="ro-MD"/>
              </w:rPr>
              <w:t xml:space="preserve">Normele interne nu au prevăzut </w:t>
            </w:r>
            <w:r w:rsidR="003B10E0" w:rsidRPr="00636940">
              <w:rPr>
                <w:rStyle w:val="Hyperlink"/>
                <w:rFonts w:cstheme="minorHAnsi"/>
                <w:noProof/>
                <w:color w:val="1F4E79" w:themeColor="accent1" w:themeShade="80"/>
              </w:rPr>
              <w:t>raportarea restanțelor contribuabililor insolvabili</w:t>
            </w:r>
            <w:r w:rsidR="003B10E0" w:rsidRPr="00636940">
              <w:rPr>
                <w:noProof/>
                <w:webHidden/>
                <w:color w:val="1F4E79" w:themeColor="accent1" w:themeShade="80"/>
              </w:rPr>
              <w:tab/>
            </w:r>
            <w:r w:rsidR="003B10E0" w:rsidRPr="00636940">
              <w:rPr>
                <w:noProof/>
                <w:webHidden/>
                <w:color w:val="1F4E79" w:themeColor="accent1" w:themeShade="80"/>
              </w:rPr>
              <w:fldChar w:fldCharType="begin"/>
            </w:r>
            <w:r w:rsidR="003B10E0" w:rsidRPr="00636940">
              <w:rPr>
                <w:noProof/>
                <w:webHidden/>
                <w:color w:val="1F4E79" w:themeColor="accent1" w:themeShade="80"/>
              </w:rPr>
              <w:instrText xml:space="preserve"> PAGEREF _Toc48732726 \h </w:instrText>
            </w:r>
            <w:r w:rsidR="003B10E0" w:rsidRPr="00636940">
              <w:rPr>
                <w:noProof/>
                <w:webHidden/>
                <w:color w:val="1F4E79" w:themeColor="accent1" w:themeShade="80"/>
              </w:rPr>
            </w:r>
            <w:r w:rsidR="003B10E0" w:rsidRPr="00636940">
              <w:rPr>
                <w:noProof/>
                <w:webHidden/>
                <w:color w:val="1F4E79" w:themeColor="accent1" w:themeShade="80"/>
              </w:rPr>
              <w:fldChar w:fldCharType="separate"/>
            </w:r>
            <w:r w:rsidR="00D9664B">
              <w:rPr>
                <w:noProof/>
                <w:webHidden/>
                <w:color w:val="1F4E79" w:themeColor="accent1" w:themeShade="80"/>
              </w:rPr>
              <w:t>23</w:t>
            </w:r>
            <w:r w:rsidR="003B10E0" w:rsidRPr="00636940">
              <w:rPr>
                <w:noProof/>
                <w:webHidden/>
                <w:color w:val="1F4E79" w:themeColor="accent1" w:themeShade="80"/>
              </w:rPr>
              <w:fldChar w:fldCharType="end"/>
            </w:r>
          </w:hyperlink>
        </w:p>
        <w:p w:rsidR="003B10E0" w:rsidRPr="00636940" w:rsidRDefault="00646A55" w:rsidP="00636940">
          <w:pPr>
            <w:pStyle w:val="TOC3"/>
            <w:rPr>
              <w:rFonts w:eastAsiaTheme="minorEastAsia"/>
              <w:noProof/>
              <w:color w:val="1F4E79" w:themeColor="accent1" w:themeShade="80"/>
            </w:rPr>
          </w:pPr>
          <w:hyperlink w:anchor="_Toc48732727" w:history="1">
            <w:r w:rsidR="003B10E0" w:rsidRPr="00636940">
              <w:rPr>
                <w:rStyle w:val="Hyperlink"/>
                <w:rFonts w:cstheme="minorHAnsi"/>
                <w:noProof/>
                <w:color w:val="1F4E79" w:themeColor="accent1" w:themeShade="80"/>
              </w:rPr>
              <w:t>2.3</w:t>
            </w:r>
            <w:r w:rsidR="003B10E0" w:rsidRPr="00636940">
              <w:rPr>
                <w:rFonts w:eastAsiaTheme="minorEastAsia"/>
                <w:noProof/>
                <w:color w:val="1F4E79" w:themeColor="accent1" w:themeShade="80"/>
              </w:rPr>
              <w:tab/>
            </w:r>
            <w:r w:rsidR="003B10E0" w:rsidRPr="00636940">
              <w:rPr>
                <w:rStyle w:val="Hyperlink"/>
                <w:rFonts w:cstheme="minorHAnsi"/>
                <w:noProof/>
                <w:color w:val="1F4E79" w:themeColor="accent1" w:themeShade="80"/>
              </w:rPr>
              <w:t>Aplicarea ulterior termenului limită a stimulării fiscale a contribuabililor</w:t>
            </w:r>
            <w:r w:rsidR="003B10E0" w:rsidRPr="00636940">
              <w:rPr>
                <w:noProof/>
                <w:webHidden/>
                <w:color w:val="1F4E79" w:themeColor="accent1" w:themeShade="80"/>
              </w:rPr>
              <w:tab/>
            </w:r>
            <w:r w:rsidR="003B10E0" w:rsidRPr="00636940">
              <w:rPr>
                <w:noProof/>
                <w:webHidden/>
                <w:color w:val="1F4E79" w:themeColor="accent1" w:themeShade="80"/>
              </w:rPr>
              <w:fldChar w:fldCharType="begin"/>
            </w:r>
            <w:r w:rsidR="003B10E0" w:rsidRPr="00636940">
              <w:rPr>
                <w:noProof/>
                <w:webHidden/>
                <w:color w:val="1F4E79" w:themeColor="accent1" w:themeShade="80"/>
              </w:rPr>
              <w:instrText xml:space="preserve"> PAGEREF _Toc48732727 \h </w:instrText>
            </w:r>
            <w:r w:rsidR="003B10E0" w:rsidRPr="00636940">
              <w:rPr>
                <w:noProof/>
                <w:webHidden/>
                <w:color w:val="1F4E79" w:themeColor="accent1" w:themeShade="80"/>
              </w:rPr>
            </w:r>
            <w:r w:rsidR="003B10E0" w:rsidRPr="00636940">
              <w:rPr>
                <w:noProof/>
                <w:webHidden/>
                <w:color w:val="1F4E79" w:themeColor="accent1" w:themeShade="80"/>
              </w:rPr>
              <w:fldChar w:fldCharType="separate"/>
            </w:r>
            <w:r w:rsidR="00D9664B">
              <w:rPr>
                <w:noProof/>
                <w:webHidden/>
                <w:color w:val="1F4E79" w:themeColor="accent1" w:themeShade="80"/>
              </w:rPr>
              <w:t>23</w:t>
            </w:r>
            <w:r w:rsidR="003B10E0" w:rsidRPr="00636940">
              <w:rPr>
                <w:noProof/>
                <w:webHidden/>
                <w:color w:val="1F4E79" w:themeColor="accent1" w:themeShade="80"/>
              </w:rPr>
              <w:fldChar w:fldCharType="end"/>
            </w:r>
          </w:hyperlink>
        </w:p>
        <w:p w:rsidR="003B10E0" w:rsidRPr="00636940" w:rsidRDefault="00646A55" w:rsidP="00636940">
          <w:pPr>
            <w:pStyle w:val="TOC3"/>
            <w:rPr>
              <w:rFonts w:eastAsiaTheme="minorEastAsia"/>
              <w:noProof/>
              <w:color w:val="1F4E79" w:themeColor="accent1" w:themeShade="80"/>
            </w:rPr>
          </w:pPr>
          <w:hyperlink w:anchor="_Toc48732728" w:history="1">
            <w:r w:rsidR="003B10E0" w:rsidRPr="00636940">
              <w:rPr>
                <w:rStyle w:val="Hyperlink"/>
                <w:rFonts w:cstheme="minorHAnsi"/>
                <w:noProof/>
                <w:color w:val="1F4E79" w:themeColor="accent1" w:themeShade="80"/>
              </w:rPr>
              <w:t>2.4</w:t>
            </w:r>
            <w:r w:rsidR="003B10E0" w:rsidRPr="00636940">
              <w:rPr>
                <w:rFonts w:eastAsiaTheme="minorEastAsia"/>
                <w:noProof/>
                <w:color w:val="1F4E79" w:themeColor="accent1" w:themeShade="80"/>
              </w:rPr>
              <w:tab/>
            </w:r>
            <w:r w:rsidR="003B10E0" w:rsidRPr="00636940">
              <w:rPr>
                <w:rStyle w:val="Hyperlink"/>
                <w:rFonts w:cstheme="minorHAnsi"/>
                <w:noProof/>
                <w:color w:val="1F4E79" w:themeColor="accent1" w:themeShade="80"/>
                <w:lang w:val="ro-MD"/>
              </w:rPr>
              <w:t>P</w:t>
            </w:r>
            <w:r w:rsidR="003B10E0" w:rsidRPr="00636940">
              <w:rPr>
                <w:rStyle w:val="Hyperlink"/>
                <w:rFonts w:cstheme="minorHAnsi"/>
                <w:noProof/>
                <w:color w:val="1F4E79" w:themeColor="accent1" w:themeShade="80"/>
              </w:rPr>
              <w:t>rocedura de elaborare a listei contribuabililor restanțieri</w:t>
            </w:r>
            <w:r w:rsidR="00366AE8">
              <w:rPr>
                <w:rStyle w:val="Hyperlink"/>
                <w:rFonts w:cstheme="minorHAnsi"/>
                <w:noProof/>
                <w:color w:val="1F4E79" w:themeColor="accent1" w:themeShade="80"/>
              </w:rPr>
              <w:t xml:space="preserve"> s-a îmbunătățit în</w:t>
            </w:r>
            <w:r w:rsidR="003B10E0" w:rsidRPr="00636940">
              <w:rPr>
                <w:rStyle w:val="Hyperlink"/>
                <w:rFonts w:cstheme="minorHAnsi"/>
                <w:noProof/>
                <w:color w:val="1F4E79" w:themeColor="accent1" w:themeShade="80"/>
              </w:rPr>
              <w:t xml:space="preserve"> rezultatul activităților de audit intern</w:t>
            </w:r>
            <w:r w:rsidR="003B10E0" w:rsidRPr="00636940">
              <w:rPr>
                <w:noProof/>
                <w:webHidden/>
                <w:color w:val="1F4E79" w:themeColor="accent1" w:themeShade="80"/>
              </w:rPr>
              <w:tab/>
            </w:r>
            <w:r w:rsidR="003B10E0" w:rsidRPr="00636940">
              <w:rPr>
                <w:noProof/>
                <w:webHidden/>
                <w:color w:val="1F4E79" w:themeColor="accent1" w:themeShade="80"/>
              </w:rPr>
              <w:fldChar w:fldCharType="begin"/>
            </w:r>
            <w:r w:rsidR="003B10E0" w:rsidRPr="00636940">
              <w:rPr>
                <w:noProof/>
                <w:webHidden/>
                <w:color w:val="1F4E79" w:themeColor="accent1" w:themeShade="80"/>
              </w:rPr>
              <w:instrText xml:space="preserve"> PAGEREF _Toc48732728 \h </w:instrText>
            </w:r>
            <w:r w:rsidR="003B10E0" w:rsidRPr="00636940">
              <w:rPr>
                <w:noProof/>
                <w:webHidden/>
                <w:color w:val="1F4E79" w:themeColor="accent1" w:themeShade="80"/>
              </w:rPr>
            </w:r>
            <w:r w:rsidR="003B10E0" w:rsidRPr="00636940">
              <w:rPr>
                <w:noProof/>
                <w:webHidden/>
                <w:color w:val="1F4E79" w:themeColor="accent1" w:themeShade="80"/>
              </w:rPr>
              <w:fldChar w:fldCharType="separate"/>
            </w:r>
            <w:r w:rsidR="00D9664B">
              <w:rPr>
                <w:noProof/>
                <w:webHidden/>
                <w:color w:val="1F4E79" w:themeColor="accent1" w:themeShade="80"/>
              </w:rPr>
              <w:t>25</w:t>
            </w:r>
            <w:r w:rsidR="003B10E0" w:rsidRPr="00636940">
              <w:rPr>
                <w:noProof/>
                <w:webHidden/>
                <w:color w:val="1F4E79" w:themeColor="accent1" w:themeShade="80"/>
              </w:rPr>
              <w:fldChar w:fldCharType="end"/>
            </w:r>
          </w:hyperlink>
        </w:p>
        <w:p w:rsidR="003B10E0" w:rsidRPr="00636940" w:rsidRDefault="00646A55" w:rsidP="00636940">
          <w:pPr>
            <w:pStyle w:val="TOC2"/>
            <w:rPr>
              <w:shd w:val="clear" w:color="auto" w:fill="auto"/>
              <w:lang w:val="en-US"/>
            </w:rPr>
          </w:pPr>
          <w:hyperlink w:anchor="_Toc48732729" w:history="1">
            <w:r w:rsidR="003B10E0" w:rsidRPr="00636940">
              <w:rPr>
                <w:rStyle w:val="Hyperlink"/>
                <w:rFonts w:cstheme="minorHAnsi"/>
                <w:color w:val="1F4E79" w:themeColor="accent1" w:themeShade="80"/>
              </w:rPr>
              <w:t xml:space="preserve">Obiectivul specific nr.3: SFS </w:t>
            </w:r>
            <w:r w:rsidR="00366AE8">
              <w:rPr>
                <w:rStyle w:val="Hyperlink"/>
                <w:rFonts w:cstheme="minorHAnsi"/>
                <w:color w:val="1F4E79" w:themeColor="accent1" w:themeShade="80"/>
              </w:rPr>
              <w:t>a aplicat toate măsurile legale</w:t>
            </w:r>
            <w:r w:rsidR="003B10E0" w:rsidRPr="00636940">
              <w:rPr>
                <w:rStyle w:val="Hyperlink"/>
                <w:rFonts w:cstheme="minorHAnsi"/>
                <w:color w:val="1F4E79" w:themeColor="accent1" w:themeShade="80"/>
              </w:rPr>
              <w:t xml:space="preserve"> de executare silită în vederea recuperării arieratelor?</w:t>
            </w:r>
            <w:r w:rsidR="003B10E0" w:rsidRPr="00636940">
              <w:rPr>
                <w:webHidden/>
              </w:rPr>
              <w:tab/>
            </w:r>
            <w:r w:rsidR="003C4497">
              <w:rPr>
                <w:webHidden/>
              </w:rPr>
              <w:t>............................................................................................................................................................................</w:t>
            </w:r>
            <w:r w:rsidR="003B10E0" w:rsidRPr="00636940">
              <w:rPr>
                <w:webHidden/>
              </w:rPr>
              <w:fldChar w:fldCharType="begin"/>
            </w:r>
            <w:r w:rsidR="003B10E0" w:rsidRPr="00636940">
              <w:rPr>
                <w:webHidden/>
              </w:rPr>
              <w:instrText xml:space="preserve"> PAGEREF _Toc48732729 \h </w:instrText>
            </w:r>
            <w:r w:rsidR="003B10E0" w:rsidRPr="00636940">
              <w:rPr>
                <w:webHidden/>
              </w:rPr>
            </w:r>
            <w:r w:rsidR="003B10E0" w:rsidRPr="00636940">
              <w:rPr>
                <w:webHidden/>
              </w:rPr>
              <w:fldChar w:fldCharType="separate"/>
            </w:r>
            <w:r w:rsidR="00D9664B">
              <w:rPr>
                <w:webHidden/>
              </w:rPr>
              <w:t>25</w:t>
            </w:r>
            <w:r w:rsidR="003B10E0" w:rsidRPr="00636940">
              <w:rPr>
                <w:webHidden/>
              </w:rPr>
              <w:fldChar w:fldCharType="end"/>
            </w:r>
          </w:hyperlink>
        </w:p>
        <w:p w:rsidR="003B10E0" w:rsidRPr="00636940" w:rsidRDefault="00646A55" w:rsidP="00636940">
          <w:pPr>
            <w:pStyle w:val="TOC3"/>
            <w:rPr>
              <w:rFonts w:eastAsiaTheme="minorEastAsia"/>
              <w:noProof/>
              <w:color w:val="1F4E79" w:themeColor="accent1" w:themeShade="80"/>
            </w:rPr>
          </w:pPr>
          <w:hyperlink w:anchor="_Toc48732730" w:history="1">
            <w:r w:rsidR="003B10E0" w:rsidRPr="00636940">
              <w:rPr>
                <w:rStyle w:val="Hyperlink"/>
                <w:rFonts w:cstheme="minorHAnsi"/>
                <w:noProof/>
                <w:color w:val="1F4E79" w:themeColor="accent1" w:themeShade="80"/>
              </w:rPr>
              <w:t>3.1</w:t>
            </w:r>
            <w:r w:rsidR="003B10E0" w:rsidRPr="00636940">
              <w:rPr>
                <w:rFonts w:eastAsiaTheme="minorEastAsia"/>
                <w:noProof/>
                <w:color w:val="1F4E79" w:themeColor="accent1" w:themeShade="80"/>
              </w:rPr>
              <w:tab/>
            </w:r>
            <w:r w:rsidR="003B10E0" w:rsidRPr="00636940">
              <w:rPr>
                <w:rStyle w:val="Hyperlink"/>
                <w:rFonts w:cstheme="minorHAnsi"/>
                <w:noProof/>
                <w:color w:val="1F4E79" w:themeColor="accent1" w:themeShade="80"/>
              </w:rPr>
              <w:t>Procesul de executare silită a arieratelor este vulnerabil și necesită a fi consolidat</w:t>
            </w:r>
            <w:r w:rsidR="003B10E0" w:rsidRPr="00636940">
              <w:rPr>
                <w:noProof/>
                <w:webHidden/>
                <w:color w:val="1F4E79" w:themeColor="accent1" w:themeShade="80"/>
              </w:rPr>
              <w:tab/>
            </w:r>
            <w:r w:rsidR="003B10E0" w:rsidRPr="00636940">
              <w:rPr>
                <w:noProof/>
                <w:webHidden/>
                <w:color w:val="1F4E79" w:themeColor="accent1" w:themeShade="80"/>
              </w:rPr>
              <w:fldChar w:fldCharType="begin"/>
            </w:r>
            <w:r w:rsidR="003B10E0" w:rsidRPr="00636940">
              <w:rPr>
                <w:noProof/>
                <w:webHidden/>
                <w:color w:val="1F4E79" w:themeColor="accent1" w:themeShade="80"/>
              </w:rPr>
              <w:instrText xml:space="preserve"> PAGEREF _Toc48732730 \h </w:instrText>
            </w:r>
            <w:r w:rsidR="003B10E0" w:rsidRPr="00636940">
              <w:rPr>
                <w:noProof/>
                <w:webHidden/>
                <w:color w:val="1F4E79" w:themeColor="accent1" w:themeShade="80"/>
              </w:rPr>
            </w:r>
            <w:r w:rsidR="003B10E0" w:rsidRPr="00636940">
              <w:rPr>
                <w:noProof/>
                <w:webHidden/>
                <w:color w:val="1F4E79" w:themeColor="accent1" w:themeShade="80"/>
              </w:rPr>
              <w:fldChar w:fldCharType="separate"/>
            </w:r>
            <w:r w:rsidR="00D9664B">
              <w:rPr>
                <w:noProof/>
                <w:webHidden/>
                <w:color w:val="1F4E79" w:themeColor="accent1" w:themeShade="80"/>
              </w:rPr>
              <w:t>26</w:t>
            </w:r>
            <w:r w:rsidR="003B10E0" w:rsidRPr="00636940">
              <w:rPr>
                <w:noProof/>
                <w:webHidden/>
                <w:color w:val="1F4E79" w:themeColor="accent1" w:themeShade="80"/>
              </w:rPr>
              <w:fldChar w:fldCharType="end"/>
            </w:r>
          </w:hyperlink>
        </w:p>
        <w:p w:rsidR="003B10E0" w:rsidRPr="00636940" w:rsidRDefault="00646A55" w:rsidP="00636940">
          <w:pPr>
            <w:pStyle w:val="TOC3"/>
            <w:rPr>
              <w:rFonts w:eastAsiaTheme="minorEastAsia"/>
              <w:noProof/>
              <w:color w:val="1F4E79" w:themeColor="accent1" w:themeShade="80"/>
            </w:rPr>
          </w:pPr>
          <w:hyperlink w:anchor="_Toc48732731" w:history="1">
            <w:r w:rsidR="003B10E0" w:rsidRPr="00636940">
              <w:rPr>
                <w:rStyle w:val="Hyperlink"/>
                <w:rFonts w:cstheme="minorHAnsi"/>
                <w:noProof/>
                <w:color w:val="1F4E79" w:themeColor="accent1" w:themeShade="80"/>
              </w:rPr>
              <w:t>3.2</w:t>
            </w:r>
            <w:r w:rsidR="003B10E0" w:rsidRPr="00636940">
              <w:rPr>
                <w:rFonts w:eastAsiaTheme="minorEastAsia"/>
                <w:noProof/>
                <w:color w:val="1F4E79" w:themeColor="accent1" w:themeShade="80"/>
              </w:rPr>
              <w:tab/>
            </w:r>
            <w:r w:rsidR="003B10E0" w:rsidRPr="00636940">
              <w:rPr>
                <w:rStyle w:val="Hyperlink"/>
                <w:rFonts w:cstheme="minorHAnsi"/>
                <w:noProof/>
                <w:color w:val="1F4E79" w:themeColor="accent1" w:themeShade="80"/>
              </w:rPr>
              <w:t>Neconcordanța cadrului legal afectează procesul de executare silită a obligației fiscale</w:t>
            </w:r>
            <w:r w:rsidR="003B10E0" w:rsidRPr="00636940">
              <w:rPr>
                <w:noProof/>
                <w:webHidden/>
                <w:color w:val="1F4E79" w:themeColor="accent1" w:themeShade="80"/>
              </w:rPr>
              <w:tab/>
            </w:r>
            <w:r w:rsidR="003B10E0" w:rsidRPr="00636940">
              <w:rPr>
                <w:noProof/>
                <w:webHidden/>
                <w:color w:val="1F4E79" w:themeColor="accent1" w:themeShade="80"/>
              </w:rPr>
              <w:fldChar w:fldCharType="begin"/>
            </w:r>
            <w:r w:rsidR="003B10E0" w:rsidRPr="00636940">
              <w:rPr>
                <w:noProof/>
                <w:webHidden/>
                <w:color w:val="1F4E79" w:themeColor="accent1" w:themeShade="80"/>
              </w:rPr>
              <w:instrText xml:space="preserve"> PAGEREF _Toc48732731 \h </w:instrText>
            </w:r>
            <w:r w:rsidR="003B10E0" w:rsidRPr="00636940">
              <w:rPr>
                <w:noProof/>
                <w:webHidden/>
                <w:color w:val="1F4E79" w:themeColor="accent1" w:themeShade="80"/>
              </w:rPr>
            </w:r>
            <w:r w:rsidR="003B10E0" w:rsidRPr="00636940">
              <w:rPr>
                <w:noProof/>
                <w:webHidden/>
                <w:color w:val="1F4E79" w:themeColor="accent1" w:themeShade="80"/>
              </w:rPr>
              <w:fldChar w:fldCharType="separate"/>
            </w:r>
            <w:r w:rsidR="00D9664B">
              <w:rPr>
                <w:noProof/>
                <w:webHidden/>
                <w:color w:val="1F4E79" w:themeColor="accent1" w:themeShade="80"/>
              </w:rPr>
              <w:t>29</w:t>
            </w:r>
            <w:r w:rsidR="003B10E0" w:rsidRPr="00636940">
              <w:rPr>
                <w:noProof/>
                <w:webHidden/>
                <w:color w:val="1F4E79" w:themeColor="accent1" w:themeShade="80"/>
              </w:rPr>
              <w:fldChar w:fldCharType="end"/>
            </w:r>
          </w:hyperlink>
        </w:p>
        <w:p w:rsidR="003B10E0" w:rsidRPr="00636940" w:rsidRDefault="00646A55" w:rsidP="00636940">
          <w:pPr>
            <w:pStyle w:val="TOC3"/>
            <w:rPr>
              <w:rFonts w:eastAsiaTheme="minorEastAsia"/>
              <w:noProof/>
              <w:color w:val="1F4E79" w:themeColor="accent1" w:themeShade="80"/>
            </w:rPr>
          </w:pPr>
          <w:hyperlink w:anchor="_Toc48732732" w:history="1">
            <w:r w:rsidR="003B10E0" w:rsidRPr="00636940">
              <w:rPr>
                <w:rStyle w:val="Hyperlink"/>
                <w:rFonts w:cstheme="minorHAnsi"/>
                <w:noProof/>
                <w:color w:val="1F4E79" w:themeColor="accent1" w:themeShade="80"/>
              </w:rPr>
              <w:t>3.3</w:t>
            </w:r>
            <w:r w:rsidR="003B10E0" w:rsidRPr="00636940">
              <w:rPr>
                <w:rFonts w:eastAsiaTheme="minorEastAsia"/>
                <w:noProof/>
                <w:color w:val="1F4E79" w:themeColor="accent1" w:themeShade="80"/>
              </w:rPr>
              <w:tab/>
            </w:r>
            <w:r w:rsidR="00366AE8">
              <w:rPr>
                <w:rStyle w:val="Hyperlink"/>
                <w:rFonts w:cstheme="minorHAnsi"/>
                <w:noProof/>
                <w:color w:val="1F4E79" w:themeColor="accent1" w:themeShade="80"/>
                <w:lang w:val="ro-MD"/>
              </w:rPr>
              <w:t>Riscuri de fraudă</w:t>
            </w:r>
            <w:r w:rsidR="003B10E0" w:rsidRPr="00636940">
              <w:rPr>
                <w:rStyle w:val="Hyperlink"/>
                <w:rFonts w:cstheme="minorHAnsi"/>
                <w:noProof/>
                <w:color w:val="1F4E79" w:themeColor="accent1" w:themeShade="80"/>
                <w:lang w:val="ro-MD"/>
              </w:rPr>
              <w:t xml:space="preserve"> în acțiunile executorilor judecătorești</w:t>
            </w:r>
            <w:r w:rsidR="003B10E0" w:rsidRPr="00636940">
              <w:rPr>
                <w:noProof/>
                <w:webHidden/>
                <w:color w:val="1F4E79" w:themeColor="accent1" w:themeShade="80"/>
              </w:rPr>
              <w:tab/>
            </w:r>
            <w:r w:rsidR="003B10E0" w:rsidRPr="00636940">
              <w:rPr>
                <w:noProof/>
                <w:webHidden/>
                <w:color w:val="1F4E79" w:themeColor="accent1" w:themeShade="80"/>
              </w:rPr>
              <w:fldChar w:fldCharType="begin"/>
            </w:r>
            <w:r w:rsidR="003B10E0" w:rsidRPr="00636940">
              <w:rPr>
                <w:noProof/>
                <w:webHidden/>
                <w:color w:val="1F4E79" w:themeColor="accent1" w:themeShade="80"/>
              </w:rPr>
              <w:instrText xml:space="preserve"> PAGEREF _Toc48732732 \h </w:instrText>
            </w:r>
            <w:r w:rsidR="003B10E0" w:rsidRPr="00636940">
              <w:rPr>
                <w:noProof/>
                <w:webHidden/>
                <w:color w:val="1F4E79" w:themeColor="accent1" w:themeShade="80"/>
              </w:rPr>
            </w:r>
            <w:r w:rsidR="003B10E0" w:rsidRPr="00636940">
              <w:rPr>
                <w:noProof/>
                <w:webHidden/>
                <w:color w:val="1F4E79" w:themeColor="accent1" w:themeShade="80"/>
              </w:rPr>
              <w:fldChar w:fldCharType="separate"/>
            </w:r>
            <w:r w:rsidR="00D9664B">
              <w:rPr>
                <w:noProof/>
                <w:webHidden/>
                <w:color w:val="1F4E79" w:themeColor="accent1" w:themeShade="80"/>
              </w:rPr>
              <w:t>31</w:t>
            </w:r>
            <w:r w:rsidR="003B10E0" w:rsidRPr="00636940">
              <w:rPr>
                <w:noProof/>
                <w:webHidden/>
                <w:color w:val="1F4E79" w:themeColor="accent1" w:themeShade="80"/>
              </w:rPr>
              <w:fldChar w:fldCharType="end"/>
            </w:r>
          </w:hyperlink>
        </w:p>
        <w:p w:rsidR="003B10E0" w:rsidRPr="00636940" w:rsidRDefault="00646A55" w:rsidP="00636940">
          <w:pPr>
            <w:pStyle w:val="TOC2"/>
            <w:rPr>
              <w:shd w:val="clear" w:color="auto" w:fill="auto"/>
              <w:lang w:val="en-US"/>
            </w:rPr>
          </w:pPr>
          <w:hyperlink w:anchor="_Toc48732733" w:history="1">
            <w:r w:rsidR="003B10E0" w:rsidRPr="00636940">
              <w:rPr>
                <w:rStyle w:val="Hyperlink"/>
                <w:rFonts w:cstheme="minorHAnsi"/>
                <w:color w:val="1F4E79" w:themeColor="accent1" w:themeShade="80"/>
              </w:rPr>
              <w:t>Obiectivul specific nr.4: Procesul de planificare a cont</w:t>
            </w:r>
            <w:r w:rsidR="00366AE8">
              <w:rPr>
                <w:rStyle w:val="Hyperlink"/>
                <w:rFonts w:cstheme="minorHAnsi"/>
                <w:color w:val="1F4E79" w:themeColor="accent1" w:themeShade="80"/>
              </w:rPr>
              <w:t>roalelor fiscale se efectuează</w:t>
            </w:r>
            <w:r w:rsidR="003B10E0" w:rsidRPr="00636940">
              <w:rPr>
                <w:rStyle w:val="Hyperlink"/>
                <w:rFonts w:cstheme="minorHAnsi"/>
                <w:color w:val="1F4E79" w:themeColor="accent1" w:themeShade="80"/>
              </w:rPr>
              <w:t xml:space="preserve"> în baza managementul riscurilor de conformare fiscală? Organul fiscal conlucrează cu organele de drept ale statului în vederea deținerii datelor referitor la materialele controalelor remise acestora?</w:t>
            </w:r>
            <w:r w:rsidR="003B10E0" w:rsidRPr="00636940">
              <w:rPr>
                <w:webHidden/>
              </w:rPr>
              <w:tab/>
            </w:r>
            <w:r w:rsidR="003B10E0" w:rsidRPr="00636940">
              <w:rPr>
                <w:webHidden/>
              </w:rPr>
              <w:fldChar w:fldCharType="begin"/>
            </w:r>
            <w:r w:rsidR="003B10E0" w:rsidRPr="00636940">
              <w:rPr>
                <w:webHidden/>
              </w:rPr>
              <w:instrText xml:space="preserve"> PAGEREF _Toc48732733 \h </w:instrText>
            </w:r>
            <w:r w:rsidR="003B10E0" w:rsidRPr="00636940">
              <w:rPr>
                <w:webHidden/>
              </w:rPr>
            </w:r>
            <w:r w:rsidR="003B10E0" w:rsidRPr="00636940">
              <w:rPr>
                <w:webHidden/>
              </w:rPr>
              <w:fldChar w:fldCharType="separate"/>
            </w:r>
            <w:r w:rsidR="00D9664B">
              <w:rPr>
                <w:webHidden/>
              </w:rPr>
              <w:t>34</w:t>
            </w:r>
            <w:r w:rsidR="003B10E0" w:rsidRPr="00636940">
              <w:rPr>
                <w:webHidden/>
              </w:rPr>
              <w:fldChar w:fldCharType="end"/>
            </w:r>
          </w:hyperlink>
        </w:p>
        <w:p w:rsidR="003B10E0" w:rsidRPr="00636940" w:rsidRDefault="00646A55" w:rsidP="00636940">
          <w:pPr>
            <w:pStyle w:val="TOC3"/>
            <w:rPr>
              <w:rFonts w:eastAsiaTheme="minorEastAsia"/>
              <w:noProof/>
              <w:color w:val="1F4E79" w:themeColor="accent1" w:themeShade="80"/>
            </w:rPr>
          </w:pPr>
          <w:hyperlink w:anchor="_Toc48732734" w:history="1">
            <w:r w:rsidR="003B10E0" w:rsidRPr="00636940">
              <w:rPr>
                <w:rStyle w:val="Hyperlink"/>
                <w:rFonts w:cstheme="minorHAnsi"/>
                <w:noProof/>
                <w:color w:val="1F4E79" w:themeColor="accent1" w:themeShade="80"/>
              </w:rPr>
              <w:t>4.1</w:t>
            </w:r>
            <w:r w:rsidR="003B10E0" w:rsidRPr="00636940">
              <w:rPr>
                <w:rFonts w:eastAsiaTheme="minorEastAsia"/>
                <w:noProof/>
                <w:color w:val="1F4E79" w:themeColor="accent1" w:themeShade="80"/>
              </w:rPr>
              <w:tab/>
            </w:r>
            <w:r w:rsidR="003B10E0" w:rsidRPr="00636940">
              <w:rPr>
                <w:rStyle w:val="Hyperlink"/>
                <w:rFonts w:cstheme="minorHAnsi"/>
                <w:noProof/>
                <w:color w:val="1F4E79" w:themeColor="accent1" w:themeShade="80"/>
              </w:rPr>
              <w:t>Procesul de selecție a agenților economici incluși în planul de control necesită a fi îmbunătățit</w:t>
            </w:r>
            <w:r w:rsidR="003B10E0" w:rsidRPr="00636940">
              <w:rPr>
                <w:noProof/>
                <w:webHidden/>
                <w:color w:val="1F4E79" w:themeColor="accent1" w:themeShade="80"/>
              </w:rPr>
              <w:tab/>
            </w:r>
            <w:r w:rsidR="003B10E0" w:rsidRPr="00636940">
              <w:rPr>
                <w:noProof/>
                <w:webHidden/>
                <w:color w:val="1F4E79" w:themeColor="accent1" w:themeShade="80"/>
              </w:rPr>
              <w:fldChar w:fldCharType="begin"/>
            </w:r>
            <w:r w:rsidR="003B10E0" w:rsidRPr="00636940">
              <w:rPr>
                <w:noProof/>
                <w:webHidden/>
                <w:color w:val="1F4E79" w:themeColor="accent1" w:themeShade="80"/>
              </w:rPr>
              <w:instrText xml:space="preserve"> PAGEREF _Toc48732734 \h </w:instrText>
            </w:r>
            <w:r w:rsidR="003B10E0" w:rsidRPr="00636940">
              <w:rPr>
                <w:noProof/>
                <w:webHidden/>
                <w:color w:val="1F4E79" w:themeColor="accent1" w:themeShade="80"/>
              </w:rPr>
            </w:r>
            <w:r w:rsidR="003B10E0" w:rsidRPr="00636940">
              <w:rPr>
                <w:noProof/>
                <w:webHidden/>
                <w:color w:val="1F4E79" w:themeColor="accent1" w:themeShade="80"/>
              </w:rPr>
              <w:fldChar w:fldCharType="separate"/>
            </w:r>
            <w:r w:rsidR="00D9664B">
              <w:rPr>
                <w:noProof/>
                <w:webHidden/>
                <w:color w:val="1F4E79" w:themeColor="accent1" w:themeShade="80"/>
              </w:rPr>
              <w:t>34</w:t>
            </w:r>
            <w:r w:rsidR="003B10E0" w:rsidRPr="00636940">
              <w:rPr>
                <w:noProof/>
                <w:webHidden/>
                <w:color w:val="1F4E79" w:themeColor="accent1" w:themeShade="80"/>
              </w:rPr>
              <w:fldChar w:fldCharType="end"/>
            </w:r>
          </w:hyperlink>
        </w:p>
        <w:p w:rsidR="003B10E0" w:rsidRPr="00636940" w:rsidRDefault="00646A55" w:rsidP="00636940">
          <w:pPr>
            <w:pStyle w:val="TOC3"/>
            <w:rPr>
              <w:rFonts w:eastAsiaTheme="minorEastAsia"/>
              <w:noProof/>
              <w:color w:val="1F4E79" w:themeColor="accent1" w:themeShade="80"/>
            </w:rPr>
          </w:pPr>
          <w:hyperlink w:anchor="_Toc48732735" w:history="1">
            <w:r w:rsidR="003B10E0" w:rsidRPr="00636940">
              <w:rPr>
                <w:rStyle w:val="Hyperlink"/>
                <w:rFonts w:cstheme="minorHAnsi"/>
                <w:noProof/>
                <w:color w:val="1F4E79" w:themeColor="accent1" w:themeShade="80"/>
              </w:rPr>
              <w:t>4.2</w:t>
            </w:r>
            <w:r w:rsidR="003B10E0" w:rsidRPr="00636940">
              <w:rPr>
                <w:rFonts w:eastAsiaTheme="minorEastAsia"/>
                <w:noProof/>
                <w:color w:val="1F4E79" w:themeColor="accent1" w:themeShade="80"/>
              </w:rPr>
              <w:tab/>
            </w:r>
            <w:r w:rsidR="003B10E0" w:rsidRPr="00636940">
              <w:rPr>
                <w:rStyle w:val="Hyperlink"/>
                <w:rFonts w:cstheme="minorHAnsi"/>
                <w:noProof/>
                <w:color w:val="1F4E79" w:themeColor="accent1" w:themeShade="80"/>
              </w:rPr>
              <w:t>SFS nu deține date privind rezultatele investigării și urmăririi penale a fraudei fiscale de către organele competente</w:t>
            </w:r>
            <w:r w:rsidR="003B10E0" w:rsidRPr="00636940">
              <w:rPr>
                <w:noProof/>
                <w:webHidden/>
                <w:color w:val="1F4E79" w:themeColor="accent1" w:themeShade="80"/>
              </w:rPr>
              <w:tab/>
            </w:r>
            <w:r w:rsidR="003B10E0" w:rsidRPr="00636940">
              <w:rPr>
                <w:noProof/>
                <w:webHidden/>
                <w:color w:val="1F4E79" w:themeColor="accent1" w:themeShade="80"/>
              </w:rPr>
              <w:fldChar w:fldCharType="begin"/>
            </w:r>
            <w:r w:rsidR="003B10E0" w:rsidRPr="00636940">
              <w:rPr>
                <w:noProof/>
                <w:webHidden/>
                <w:color w:val="1F4E79" w:themeColor="accent1" w:themeShade="80"/>
              </w:rPr>
              <w:instrText xml:space="preserve"> PAGEREF _Toc48732735 \h </w:instrText>
            </w:r>
            <w:r w:rsidR="003B10E0" w:rsidRPr="00636940">
              <w:rPr>
                <w:noProof/>
                <w:webHidden/>
                <w:color w:val="1F4E79" w:themeColor="accent1" w:themeShade="80"/>
              </w:rPr>
            </w:r>
            <w:r w:rsidR="003B10E0" w:rsidRPr="00636940">
              <w:rPr>
                <w:noProof/>
                <w:webHidden/>
                <w:color w:val="1F4E79" w:themeColor="accent1" w:themeShade="80"/>
              </w:rPr>
              <w:fldChar w:fldCharType="separate"/>
            </w:r>
            <w:r w:rsidR="00D9664B">
              <w:rPr>
                <w:noProof/>
                <w:webHidden/>
                <w:color w:val="1F4E79" w:themeColor="accent1" w:themeShade="80"/>
              </w:rPr>
              <w:t>36</w:t>
            </w:r>
            <w:r w:rsidR="003B10E0" w:rsidRPr="00636940">
              <w:rPr>
                <w:noProof/>
                <w:webHidden/>
                <w:color w:val="1F4E79" w:themeColor="accent1" w:themeShade="80"/>
              </w:rPr>
              <w:fldChar w:fldCharType="end"/>
            </w:r>
          </w:hyperlink>
        </w:p>
        <w:p w:rsidR="003B10E0" w:rsidRPr="00636940" w:rsidRDefault="00646A55" w:rsidP="002C78A1">
          <w:pPr>
            <w:pStyle w:val="TOC1"/>
            <w:rPr>
              <w:rFonts w:eastAsiaTheme="minorEastAsia"/>
              <w:noProof/>
              <w:color w:val="1F4E79" w:themeColor="accent1" w:themeShade="80"/>
            </w:rPr>
          </w:pPr>
          <w:hyperlink w:anchor="_Toc48732736" w:history="1">
            <w:r w:rsidR="003B10E0" w:rsidRPr="00636940">
              <w:rPr>
                <w:rStyle w:val="Hyperlink"/>
                <w:rFonts w:cstheme="minorHAnsi"/>
                <w:noProof/>
                <w:color w:val="1F4E79" w:themeColor="accent1" w:themeShade="80"/>
                <w:lang w:val="ro-MD"/>
              </w:rPr>
              <w:t>V.</w:t>
            </w:r>
            <w:r w:rsidR="003B10E0" w:rsidRPr="00636940">
              <w:rPr>
                <w:rFonts w:eastAsiaTheme="minorEastAsia"/>
                <w:noProof/>
                <w:color w:val="1F4E79" w:themeColor="accent1" w:themeShade="80"/>
              </w:rPr>
              <w:tab/>
            </w:r>
            <w:r w:rsidR="003B10E0" w:rsidRPr="00636940">
              <w:rPr>
                <w:rStyle w:val="Hyperlink"/>
                <w:rFonts w:cstheme="minorHAnsi"/>
                <w:noProof/>
                <w:color w:val="1F4E79" w:themeColor="accent1" w:themeShade="80"/>
                <w:lang w:val="ro-MD"/>
              </w:rPr>
              <w:t>CONCLUZIE GENERALĂ DE AUDIT</w:t>
            </w:r>
            <w:r w:rsidR="003B10E0" w:rsidRPr="00636940">
              <w:rPr>
                <w:noProof/>
                <w:webHidden/>
                <w:color w:val="1F4E79" w:themeColor="accent1" w:themeShade="80"/>
              </w:rPr>
              <w:tab/>
            </w:r>
            <w:r w:rsidR="003B10E0" w:rsidRPr="00636940">
              <w:rPr>
                <w:noProof/>
                <w:webHidden/>
                <w:color w:val="1F4E79" w:themeColor="accent1" w:themeShade="80"/>
              </w:rPr>
              <w:fldChar w:fldCharType="begin"/>
            </w:r>
            <w:r w:rsidR="003B10E0" w:rsidRPr="00636940">
              <w:rPr>
                <w:noProof/>
                <w:webHidden/>
                <w:color w:val="1F4E79" w:themeColor="accent1" w:themeShade="80"/>
              </w:rPr>
              <w:instrText xml:space="preserve"> PAGEREF _Toc48732736 \h </w:instrText>
            </w:r>
            <w:r w:rsidR="003B10E0" w:rsidRPr="00636940">
              <w:rPr>
                <w:noProof/>
                <w:webHidden/>
                <w:color w:val="1F4E79" w:themeColor="accent1" w:themeShade="80"/>
              </w:rPr>
            </w:r>
            <w:r w:rsidR="003B10E0" w:rsidRPr="00636940">
              <w:rPr>
                <w:noProof/>
                <w:webHidden/>
                <w:color w:val="1F4E79" w:themeColor="accent1" w:themeShade="80"/>
              </w:rPr>
              <w:fldChar w:fldCharType="separate"/>
            </w:r>
            <w:r w:rsidR="00D9664B">
              <w:rPr>
                <w:noProof/>
                <w:webHidden/>
                <w:color w:val="1F4E79" w:themeColor="accent1" w:themeShade="80"/>
              </w:rPr>
              <w:t>37</w:t>
            </w:r>
            <w:r w:rsidR="003B10E0" w:rsidRPr="00636940">
              <w:rPr>
                <w:noProof/>
                <w:webHidden/>
                <w:color w:val="1F4E79" w:themeColor="accent1" w:themeShade="80"/>
              </w:rPr>
              <w:fldChar w:fldCharType="end"/>
            </w:r>
          </w:hyperlink>
        </w:p>
        <w:p w:rsidR="003B10E0" w:rsidRPr="00636940" w:rsidRDefault="00646A55" w:rsidP="00636940">
          <w:pPr>
            <w:pStyle w:val="TOC1"/>
            <w:rPr>
              <w:rFonts w:eastAsiaTheme="minorEastAsia"/>
              <w:noProof/>
              <w:color w:val="1F4E79" w:themeColor="accent1" w:themeShade="80"/>
            </w:rPr>
          </w:pPr>
          <w:hyperlink w:anchor="_Toc48732737" w:history="1">
            <w:r w:rsidR="003B10E0" w:rsidRPr="00636940">
              <w:rPr>
                <w:rStyle w:val="Hyperlink"/>
                <w:rFonts w:cstheme="minorHAnsi"/>
                <w:noProof/>
                <w:color w:val="1F4E79" w:themeColor="accent1" w:themeShade="80"/>
                <w:lang w:val="ro-MD"/>
              </w:rPr>
              <w:t>VI.</w:t>
            </w:r>
            <w:r w:rsidR="003B10E0" w:rsidRPr="00636940">
              <w:rPr>
                <w:rFonts w:eastAsiaTheme="minorEastAsia"/>
                <w:noProof/>
                <w:color w:val="1F4E79" w:themeColor="accent1" w:themeShade="80"/>
              </w:rPr>
              <w:tab/>
            </w:r>
            <w:r w:rsidR="003B10E0" w:rsidRPr="00636940">
              <w:rPr>
                <w:rStyle w:val="Hyperlink"/>
                <w:rFonts w:cstheme="minorHAnsi"/>
                <w:noProof/>
                <w:color w:val="1F4E79" w:themeColor="accent1" w:themeShade="80"/>
                <w:lang w:val="ro-MD"/>
              </w:rPr>
              <w:t>RECOMANDĂRILE DE AUDIT</w:t>
            </w:r>
            <w:r w:rsidR="003B10E0" w:rsidRPr="00636940">
              <w:rPr>
                <w:noProof/>
                <w:webHidden/>
                <w:color w:val="1F4E79" w:themeColor="accent1" w:themeShade="80"/>
              </w:rPr>
              <w:tab/>
            </w:r>
            <w:r w:rsidR="003B10E0" w:rsidRPr="00636940">
              <w:rPr>
                <w:noProof/>
                <w:webHidden/>
                <w:color w:val="1F4E79" w:themeColor="accent1" w:themeShade="80"/>
              </w:rPr>
              <w:fldChar w:fldCharType="begin"/>
            </w:r>
            <w:r w:rsidR="003B10E0" w:rsidRPr="00636940">
              <w:rPr>
                <w:noProof/>
                <w:webHidden/>
                <w:color w:val="1F4E79" w:themeColor="accent1" w:themeShade="80"/>
              </w:rPr>
              <w:instrText xml:space="preserve"> PAGEREF _Toc48732737 \h </w:instrText>
            </w:r>
            <w:r w:rsidR="003B10E0" w:rsidRPr="00636940">
              <w:rPr>
                <w:noProof/>
                <w:webHidden/>
                <w:color w:val="1F4E79" w:themeColor="accent1" w:themeShade="80"/>
              </w:rPr>
            </w:r>
            <w:r w:rsidR="003B10E0" w:rsidRPr="00636940">
              <w:rPr>
                <w:noProof/>
                <w:webHidden/>
                <w:color w:val="1F4E79" w:themeColor="accent1" w:themeShade="80"/>
              </w:rPr>
              <w:fldChar w:fldCharType="separate"/>
            </w:r>
            <w:r w:rsidR="00D9664B">
              <w:rPr>
                <w:noProof/>
                <w:webHidden/>
                <w:color w:val="1F4E79" w:themeColor="accent1" w:themeShade="80"/>
              </w:rPr>
              <w:t>38</w:t>
            </w:r>
            <w:r w:rsidR="003B10E0" w:rsidRPr="00636940">
              <w:rPr>
                <w:noProof/>
                <w:webHidden/>
                <w:color w:val="1F4E79" w:themeColor="accent1" w:themeShade="80"/>
              </w:rPr>
              <w:fldChar w:fldCharType="end"/>
            </w:r>
          </w:hyperlink>
        </w:p>
        <w:p w:rsidR="003B10E0" w:rsidRPr="007D44BE" w:rsidRDefault="00646A55" w:rsidP="00636940">
          <w:pPr>
            <w:pStyle w:val="TOC1"/>
            <w:rPr>
              <w:rFonts w:eastAsiaTheme="minorEastAsia"/>
              <w:noProof/>
            </w:rPr>
          </w:pPr>
          <w:hyperlink w:anchor="_Toc48732738" w:history="1">
            <w:r w:rsidR="003B10E0" w:rsidRPr="00636940">
              <w:rPr>
                <w:rStyle w:val="Hyperlink"/>
                <w:rFonts w:cstheme="minorHAnsi"/>
                <w:noProof/>
                <w:color w:val="1F4E79" w:themeColor="accent1" w:themeShade="80"/>
                <w:lang w:val="ro-MD"/>
              </w:rPr>
              <w:t>Anexe</w:t>
            </w:r>
            <w:r w:rsidR="007D44BE" w:rsidRPr="00636940">
              <w:rPr>
                <w:rStyle w:val="Hyperlink"/>
                <w:rFonts w:cstheme="minorHAnsi"/>
                <w:noProof/>
                <w:color w:val="1F4E79" w:themeColor="accent1" w:themeShade="80"/>
                <w:lang w:val="ro-MD"/>
              </w:rPr>
              <w:t>..</w:t>
            </w:r>
            <w:r w:rsidR="003B10E0" w:rsidRPr="00636940">
              <w:rPr>
                <w:noProof/>
                <w:webHidden/>
                <w:color w:val="1F4E79" w:themeColor="accent1" w:themeShade="80"/>
              </w:rPr>
              <w:t>………………………………………………………………………………………………………………………………………………</w:t>
            </w:r>
            <w:r w:rsidR="00636940">
              <w:rPr>
                <w:noProof/>
                <w:webHidden/>
                <w:color w:val="1F4E79" w:themeColor="accent1" w:themeShade="80"/>
              </w:rPr>
              <w:t>…….</w:t>
            </w:r>
            <w:r w:rsidR="003B10E0" w:rsidRPr="00636940">
              <w:rPr>
                <w:noProof/>
                <w:webHidden/>
                <w:color w:val="1F4E79" w:themeColor="accent1" w:themeShade="80"/>
              </w:rPr>
              <w:t>…………</w:t>
            </w:r>
            <w:r w:rsidR="003B10E0" w:rsidRPr="00636940">
              <w:rPr>
                <w:noProof/>
                <w:webHidden/>
                <w:color w:val="1F4E79" w:themeColor="accent1" w:themeShade="80"/>
              </w:rPr>
              <w:fldChar w:fldCharType="begin"/>
            </w:r>
            <w:r w:rsidR="003B10E0" w:rsidRPr="00636940">
              <w:rPr>
                <w:noProof/>
                <w:webHidden/>
                <w:color w:val="1F4E79" w:themeColor="accent1" w:themeShade="80"/>
              </w:rPr>
              <w:instrText xml:space="preserve"> PAGEREF _Toc48732738 \h </w:instrText>
            </w:r>
            <w:r w:rsidR="003B10E0" w:rsidRPr="00636940">
              <w:rPr>
                <w:noProof/>
                <w:webHidden/>
                <w:color w:val="1F4E79" w:themeColor="accent1" w:themeShade="80"/>
              </w:rPr>
            </w:r>
            <w:r w:rsidR="003B10E0" w:rsidRPr="00636940">
              <w:rPr>
                <w:noProof/>
                <w:webHidden/>
                <w:color w:val="1F4E79" w:themeColor="accent1" w:themeShade="80"/>
              </w:rPr>
              <w:fldChar w:fldCharType="separate"/>
            </w:r>
            <w:r w:rsidR="00D9664B">
              <w:rPr>
                <w:noProof/>
                <w:webHidden/>
                <w:color w:val="1F4E79" w:themeColor="accent1" w:themeShade="80"/>
              </w:rPr>
              <w:t>40</w:t>
            </w:r>
            <w:r w:rsidR="003B10E0" w:rsidRPr="00636940">
              <w:rPr>
                <w:noProof/>
                <w:webHidden/>
                <w:color w:val="1F4E79" w:themeColor="accent1" w:themeShade="80"/>
              </w:rPr>
              <w:fldChar w:fldCharType="end"/>
            </w:r>
          </w:hyperlink>
        </w:p>
        <w:p w:rsidR="00CA3BED" w:rsidRPr="00E50EA0" w:rsidRDefault="00CA3BED" w:rsidP="007D44BE">
          <w:pPr>
            <w:tabs>
              <w:tab w:val="left" w:pos="0"/>
              <w:tab w:val="left" w:pos="180"/>
              <w:tab w:val="left" w:pos="360"/>
              <w:tab w:val="left" w:pos="810"/>
            </w:tabs>
            <w:spacing w:line="240" w:lineRule="auto"/>
            <w:ind w:left="450"/>
            <w:jc w:val="both"/>
            <w:rPr>
              <w:color w:val="1F4E79" w:themeColor="accent1" w:themeShade="80"/>
            </w:rPr>
          </w:pPr>
          <w:r w:rsidRPr="007D44BE">
            <w:rPr>
              <w:bCs/>
              <w:noProof/>
              <w:color w:val="1F4E79" w:themeColor="accent1" w:themeShade="80"/>
            </w:rPr>
            <w:fldChar w:fldCharType="end"/>
          </w:r>
        </w:p>
      </w:sdtContent>
    </w:sdt>
    <w:p w:rsidR="00EA7226" w:rsidRPr="00CA3BED" w:rsidRDefault="00EA7226" w:rsidP="00844145">
      <w:pPr>
        <w:pStyle w:val="Heading1"/>
        <w:spacing w:line="276" w:lineRule="auto"/>
        <w:jc w:val="center"/>
        <w:rPr>
          <w:b w:val="0"/>
          <w:i w:val="0"/>
          <w:color w:val="002060"/>
          <w:sz w:val="24"/>
          <w:szCs w:val="24"/>
          <w:lang w:val="ro-MD"/>
        </w:rPr>
      </w:pPr>
      <w:bookmarkStart w:id="0" w:name="_Toc48732713"/>
      <w:r w:rsidRPr="00CA3BED">
        <w:rPr>
          <w:b w:val="0"/>
          <w:i w:val="0"/>
          <w:color w:val="002060"/>
          <w:sz w:val="24"/>
          <w:szCs w:val="24"/>
          <w:lang w:val="ro-MD"/>
        </w:rPr>
        <w:t>LISTA ACRONIMELOR</w:t>
      </w:r>
      <w:bookmarkEnd w:id="0"/>
    </w:p>
    <w:tbl>
      <w:tblPr>
        <w:tblStyle w:val="TableGrid"/>
        <w:tblW w:w="9360" w:type="dxa"/>
        <w:tblInd w:w="-5" w:type="dxa"/>
        <w:tblLook w:val="04A0" w:firstRow="1" w:lastRow="0" w:firstColumn="1" w:lastColumn="0" w:noHBand="0" w:noVBand="1"/>
      </w:tblPr>
      <w:tblGrid>
        <w:gridCol w:w="1980"/>
        <w:gridCol w:w="7380"/>
      </w:tblGrid>
      <w:tr w:rsidR="00EA7226" w:rsidRPr="00401691" w:rsidTr="001C3EB7">
        <w:tc>
          <w:tcPr>
            <w:tcW w:w="1980" w:type="dxa"/>
          </w:tcPr>
          <w:p w:rsidR="00EA7226" w:rsidRPr="00401691" w:rsidRDefault="00EA7226" w:rsidP="00844145">
            <w:pPr>
              <w:tabs>
                <w:tab w:val="left" w:pos="450"/>
                <w:tab w:val="left" w:pos="3600"/>
              </w:tabs>
              <w:spacing w:line="276" w:lineRule="auto"/>
              <w:ind w:right="9"/>
              <w:rPr>
                <w:rFonts w:asciiTheme="majorHAnsi" w:eastAsia="Times New Roman" w:hAnsiTheme="majorHAnsi" w:cstheme="majorHAnsi"/>
                <w:b/>
                <w:sz w:val="24"/>
                <w:szCs w:val="24"/>
                <w:lang w:val="ro-MD"/>
              </w:rPr>
            </w:pPr>
            <w:r w:rsidRPr="00401691">
              <w:rPr>
                <w:rFonts w:asciiTheme="majorHAnsi" w:eastAsia="Times New Roman" w:hAnsiTheme="majorHAnsi" w:cstheme="majorHAnsi"/>
                <w:b/>
                <w:sz w:val="24"/>
                <w:szCs w:val="24"/>
                <w:lang w:val="ro-MD"/>
              </w:rPr>
              <w:t>BPN</w:t>
            </w:r>
          </w:p>
        </w:tc>
        <w:tc>
          <w:tcPr>
            <w:tcW w:w="7380" w:type="dxa"/>
          </w:tcPr>
          <w:p w:rsidR="00EA7226" w:rsidRPr="00401691" w:rsidRDefault="00EA7226" w:rsidP="00844145">
            <w:pPr>
              <w:spacing w:line="276" w:lineRule="auto"/>
              <w:rPr>
                <w:rFonts w:asciiTheme="majorHAnsi" w:hAnsiTheme="majorHAnsi" w:cstheme="majorHAnsi"/>
                <w:sz w:val="24"/>
                <w:szCs w:val="24"/>
                <w:lang w:val="ro-MD"/>
              </w:rPr>
            </w:pPr>
            <w:r w:rsidRPr="00401691">
              <w:rPr>
                <w:rFonts w:asciiTheme="majorHAnsi" w:hAnsiTheme="majorHAnsi" w:cstheme="majorHAnsi"/>
                <w:sz w:val="24"/>
                <w:szCs w:val="24"/>
                <w:lang w:val="ro-MD"/>
              </w:rPr>
              <w:t>Bugetul public național</w:t>
            </w:r>
          </w:p>
        </w:tc>
      </w:tr>
      <w:tr w:rsidR="00EA7226" w:rsidRPr="00401691" w:rsidTr="001C3EB7">
        <w:tc>
          <w:tcPr>
            <w:tcW w:w="1980" w:type="dxa"/>
          </w:tcPr>
          <w:p w:rsidR="00EA7226" w:rsidRPr="00401691" w:rsidRDefault="00EA7226" w:rsidP="00844145">
            <w:pPr>
              <w:tabs>
                <w:tab w:val="left" w:pos="450"/>
                <w:tab w:val="left" w:pos="3600"/>
              </w:tabs>
              <w:spacing w:line="276" w:lineRule="auto"/>
              <w:ind w:right="9"/>
              <w:rPr>
                <w:rFonts w:asciiTheme="majorHAnsi" w:eastAsia="Times New Roman" w:hAnsiTheme="majorHAnsi" w:cstheme="majorHAnsi"/>
                <w:b/>
                <w:sz w:val="24"/>
                <w:szCs w:val="24"/>
                <w:lang w:val="ro-MD"/>
              </w:rPr>
            </w:pPr>
            <w:r w:rsidRPr="00401691">
              <w:rPr>
                <w:rFonts w:asciiTheme="majorHAnsi" w:eastAsia="Times New Roman" w:hAnsiTheme="majorHAnsi" w:cstheme="majorHAnsi"/>
                <w:b/>
                <w:sz w:val="24"/>
                <w:szCs w:val="24"/>
                <w:lang w:val="ro-MD"/>
              </w:rPr>
              <w:t>BS</w:t>
            </w:r>
          </w:p>
        </w:tc>
        <w:tc>
          <w:tcPr>
            <w:tcW w:w="7380" w:type="dxa"/>
          </w:tcPr>
          <w:p w:rsidR="00EA7226" w:rsidRPr="00401691" w:rsidRDefault="00EA7226" w:rsidP="00844145">
            <w:pPr>
              <w:spacing w:line="276" w:lineRule="auto"/>
              <w:rPr>
                <w:rFonts w:asciiTheme="majorHAnsi" w:hAnsiTheme="majorHAnsi" w:cstheme="majorHAnsi"/>
                <w:sz w:val="24"/>
                <w:szCs w:val="24"/>
                <w:lang w:val="ro-MD"/>
              </w:rPr>
            </w:pPr>
            <w:r w:rsidRPr="00401691">
              <w:rPr>
                <w:rFonts w:asciiTheme="majorHAnsi" w:hAnsiTheme="majorHAnsi" w:cstheme="majorHAnsi"/>
                <w:sz w:val="24"/>
                <w:szCs w:val="24"/>
                <w:lang w:val="ro-MD"/>
              </w:rPr>
              <w:t>Bugetul de stat</w:t>
            </w:r>
          </w:p>
        </w:tc>
      </w:tr>
      <w:tr w:rsidR="005C7166" w:rsidRPr="00401691" w:rsidTr="001C3EB7">
        <w:tc>
          <w:tcPr>
            <w:tcW w:w="1980" w:type="dxa"/>
          </w:tcPr>
          <w:p w:rsidR="005C7166" w:rsidRPr="00401691" w:rsidRDefault="005C7166" w:rsidP="00844145">
            <w:pPr>
              <w:tabs>
                <w:tab w:val="left" w:pos="450"/>
                <w:tab w:val="left" w:pos="3600"/>
              </w:tabs>
              <w:spacing w:line="276" w:lineRule="auto"/>
              <w:ind w:right="9"/>
              <w:rPr>
                <w:rFonts w:asciiTheme="majorHAnsi" w:eastAsia="Times New Roman" w:hAnsiTheme="majorHAnsi" w:cstheme="majorHAnsi"/>
                <w:b/>
                <w:sz w:val="24"/>
                <w:szCs w:val="24"/>
                <w:lang w:val="ro-MD"/>
              </w:rPr>
            </w:pPr>
            <w:r>
              <w:rPr>
                <w:rFonts w:asciiTheme="majorHAnsi" w:eastAsia="Times New Roman" w:hAnsiTheme="majorHAnsi" w:cstheme="majorHAnsi"/>
                <w:b/>
                <w:sz w:val="24"/>
                <w:szCs w:val="24"/>
                <w:lang w:val="ro-MD"/>
              </w:rPr>
              <w:t>BASS</w:t>
            </w:r>
          </w:p>
        </w:tc>
        <w:tc>
          <w:tcPr>
            <w:tcW w:w="7380" w:type="dxa"/>
          </w:tcPr>
          <w:p w:rsidR="005C7166" w:rsidRPr="005C7166" w:rsidRDefault="005C7166" w:rsidP="00844145">
            <w:pPr>
              <w:spacing w:line="276" w:lineRule="auto"/>
              <w:rPr>
                <w:rFonts w:asciiTheme="majorHAnsi" w:hAnsiTheme="majorHAnsi" w:cstheme="majorHAnsi"/>
                <w:sz w:val="24"/>
                <w:szCs w:val="24"/>
                <w:lang w:val="ro-MD"/>
              </w:rPr>
            </w:pPr>
            <w:r>
              <w:rPr>
                <w:rFonts w:asciiTheme="majorHAnsi" w:hAnsiTheme="majorHAnsi" w:cstheme="majorHAnsi"/>
                <w:sz w:val="24"/>
                <w:szCs w:val="24"/>
                <w:lang w:val="ro-MD"/>
              </w:rPr>
              <w:t xml:space="preserve">Bugetul asigurărilor sociale de stat </w:t>
            </w:r>
          </w:p>
        </w:tc>
      </w:tr>
      <w:tr w:rsidR="00097F5A" w:rsidRPr="00401691" w:rsidTr="001C3EB7">
        <w:tc>
          <w:tcPr>
            <w:tcW w:w="1980" w:type="dxa"/>
          </w:tcPr>
          <w:p w:rsidR="00097F5A" w:rsidRPr="00401691" w:rsidRDefault="00097F5A" w:rsidP="00844145">
            <w:pPr>
              <w:tabs>
                <w:tab w:val="left" w:pos="450"/>
                <w:tab w:val="left" w:pos="3600"/>
              </w:tabs>
              <w:spacing w:line="276" w:lineRule="auto"/>
              <w:ind w:right="9"/>
              <w:rPr>
                <w:rFonts w:asciiTheme="majorHAnsi" w:eastAsia="Times New Roman" w:hAnsiTheme="majorHAnsi" w:cstheme="majorHAnsi"/>
                <w:b/>
                <w:sz w:val="24"/>
                <w:szCs w:val="24"/>
                <w:lang w:val="ro-MD"/>
              </w:rPr>
            </w:pPr>
            <w:r w:rsidRPr="00401691">
              <w:rPr>
                <w:rFonts w:asciiTheme="majorHAnsi" w:eastAsia="Times New Roman" w:hAnsiTheme="majorHAnsi" w:cstheme="majorHAnsi"/>
                <w:b/>
                <w:sz w:val="24"/>
                <w:szCs w:val="24"/>
                <w:lang w:val="ro-MD"/>
              </w:rPr>
              <w:t>CCRM</w:t>
            </w:r>
          </w:p>
        </w:tc>
        <w:tc>
          <w:tcPr>
            <w:tcW w:w="7380" w:type="dxa"/>
          </w:tcPr>
          <w:p w:rsidR="00097F5A" w:rsidRPr="00401691" w:rsidRDefault="00097F5A" w:rsidP="00844145">
            <w:pPr>
              <w:spacing w:line="276" w:lineRule="auto"/>
              <w:rPr>
                <w:rFonts w:asciiTheme="majorHAnsi" w:hAnsiTheme="majorHAnsi" w:cstheme="majorHAnsi"/>
                <w:sz w:val="24"/>
                <w:szCs w:val="24"/>
                <w:lang w:val="ro-MD"/>
              </w:rPr>
            </w:pPr>
            <w:r w:rsidRPr="00401691">
              <w:rPr>
                <w:rFonts w:asciiTheme="majorHAnsi" w:hAnsiTheme="majorHAnsi" w:cstheme="majorHAnsi"/>
                <w:sz w:val="24"/>
                <w:szCs w:val="24"/>
                <w:lang w:val="ro-MD"/>
              </w:rPr>
              <w:t>Curtea de Conturi a Republicii Moldova</w:t>
            </w:r>
          </w:p>
        </w:tc>
      </w:tr>
      <w:tr w:rsidR="00097F5A" w:rsidRPr="00401691" w:rsidTr="001C3EB7">
        <w:tc>
          <w:tcPr>
            <w:tcW w:w="1980" w:type="dxa"/>
          </w:tcPr>
          <w:p w:rsidR="00097F5A" w:rsidRPr="00401691" w:rsidRDefault="00097F5A" w:rsidP="00844145">
            <w:pPr>
              <w:tabs>
                <w:tab w:val="left" w:pos="450"/>
                <w:tab w:val="left" w:pos="3600"/>
              </w:tabs>
              <w:spacing w:line="276" w:lineRule="auto"/>
              <w:ind w:right="9"/>
              <w:rPr>
                <w:rFonts w:asciiTheme="majorHAnsi" w:eastAsia="Times New Roman" w:hAnsiTheme="majorHAnsi" w:cstheme="majorHAnsi"/>
                <w:b/>
                <w:sz w:val="24"/>
                <w:szCs w:val="24"/>
                <w:lang w:val="ro-MD"/>
              </w:rPr>
            </w:pPr>
            <w:r w:rsidRPr="00401691">
              <w:rPr>
                <w:rFonts w:asciiTheme="majorHAnsi" w:eastAsia="Times New Roman" w:hAnsiTheme="majorHAnsi" w:cstheme="majorHAnsi"/>
                <w:b/>
                <w:sz w:val="24"/>
                <w:szCs w:val="24"/>
                <w:lang w:val="ro-MD"/>
              </w:rPr>
              <w:t>MF</w:t>
            </w:r>
          </w:p>
        </w:tc>
        <w:tc>
          <w:tcPr>
            <w:tcW w:w="7380" w:type="dxa"/>
          </w:tcPr>
          <w:p w:rsidR="00097F5A" w:rsidRPr="00401691" w:rsidRDefault="00097F5A" w:rsidP="00844145">
            <w:pPr>
              <w:spacing w:line="276" w:lineRule="auto"/>
              <w:rPr>
                <w:rFonts w:asciiTheme="majorHAnsi" w:hAnsiTheme="majorHAnsi" w:cstheme="majorHAnsi"/>
                <w:sz w:val="24"/>
                <w:szCs w:val="24"/>
                <w:lang w:val="ro-MD"/>
              </w:rPr>
            </w:pPr>
            <w:r w:rsidRPr="00401691">
              <w:rPr>
                <w:rFonts w:asciiTheme="majorHAnsi" w:hAnsiTheme="majorHAnsi" w:cstheme="majorHAnsi"/>
                <w:sz w:val="24"/>
                <w:szCs w:val="24"/>
                <w:lang w:val="ro-MD"/>
              </w:rPr>
              <w:t>Ministerul Finanțelor</w:t>
            </w:r>
          </w:p>
        </w:tc>
      </w:tr>
      <w:tr w:rsidR="00097F5A" w:rsidRPr="00401691" w:rsidTr="001C3EB7">
        <w:tc>
          <w:tcPr>
            <w:tcW w:w="1980" w:type="dxa"/>
          </w:tcPr>
          <w:p w:rsidR="00097F5A" w:rsidRPr="00401691" w:rsidRDefault="00097F5A" w:rsidP="00844145">
            <w:pPr>
              <w:tabs>
                <w:tab w:val="left" w:pos="450"/>
                <w:tab w:val="left" w:pos="3600"/>
              </w:tabs>
              <w:spacing w:line="276" w:lineRule="auto"/>
              <w:ind w:right="9"/>
              <w:rPr>
                <w:rFonts w:asciiTheme="majorHAnsi" w:eastAsia="Times New Roman" w:hAnsiTheme="majorHAnsi" w:cstheme="majorHAnsi"/>
                <w:b/>
                <w:sz w:val="24"/>
                <w:szCs w:val="24"/>
                <w:lang w:val="ro-MD"/>
              </w:rPr>
            </w:pPr>
            <w:r w:rsidRPr="00401691">
              <w:rPr>
                <w:rFonts w:asciiTheme="majorHAnsi" w:eastAsia="Times New Roman" w:hAnsiTheme="majorHAnsi" w:cstheme="majorHAnsi"/>
                <w:b/>
                <w:sz w:val="24"/>
                <w:szCs w:val="24"/>
                <w:lang w:val="ro-MD"/>
              </w:rPr>
              <w:t>SFS</w:t>
            </w:r>
          </w:p>
        </w:tc>
        <w:tc>
          <w:tcPr>
            <w:tcW w:w="7380" w:type="dxa"/>
          </w:tcPr>
          <w:p w:rsidR="00097F5A" w:rsidRPr="00401691" w:rsidRDefault="00097F5A" w:rsidP="00844145">
            <w:pPr>
              <w:spacing w:line="276" w:lineRule="auto"/>
              <w:rPr>
                <w:rFonts w:asciiTheme="majorHAnsi" w:hAnsiTheme="majorHAnsi" w:cstheme="majorHAnsi"/>
                <w:sz w:val="24"/>
                <w:szCs w:val="24"/>
                <w:lang w:val="ro-MD"/>
              </w:rPr>
            </w:pPr>
            <w:r w:rsidRPr="00401691">
              <w:rPr>
                <w:rFonts w:asciiTheme="majorHAnsi" w:hAnsiTheme="majorHAnsi" w:cstheme="majorHAnsi"/>
                <w:sz w:val="24"/>
                <w:szCs w:val="24"/>
                <w:lang w:val="ro-MD"/>
              </w:rPr>
              <w:t>Serviciul Fiscal de Stat</w:t>
            </w:r>
          </w:p>
        </w:tc>
      </w:tr>
      <w:tr w:rsidR="00097F5A" w:rsidRPr="00401691" w:rsidTr="001C3EB7">
        <w:tc>
          <w:tcPr>
            <w:tcW w:w="1980" w:type="dxa"/>
          </w:tcPr>
          <w:p w:rsidR="00097F5A" w:rsidRPr="00401691" w:rsidRDefault="00097F5A" w:rsidP="00844145">
            <w:pPr>
              <w:tabs>
                <w:tab w:val="left" w:pos="450"/>
                <w:tab w:val="left" w:pos="3600"/>
              </w:tabs>
              <w:spacing w:line="276" w:lineRule="auto"/>
              <w:ind w:right="9"/>
              <w:rPr>
                <w:rFonts w:asciiTheme="majorHAnsi" w:eastAsia="Times New Roman" w:hAnsiTheme="majorHAnsi" w:cstheme="majorHAnsi"/>
                <w:b/>
                <w:sz w:val="24"/>
                <w:szCs w:val="24"/>
                <w:lang w:val="ro-MD"/>
              </w:rPr>
            </w:pPr>
            <w:r w:rsidRPr="00401691">
              <w:rPr>
                <w:rFonts w:asciiTheme="majorHAnsi" w:eastAsia="Times New Roman" w:hAnsiTheme="majorHAnsi" w:cstheme="majorHAnsi"/>
                <w:b/>
                <w:sz w:val="24"/>
                <w:szCs w:val="24"/>
                <w:lang w:val="ro-MD"/>
              </w:rPr>
              <w:t>BNS</w:t>
            </w:r>
          </w:p>
        </w:tc>
        <w:tc>
          <w:tcPr>
            <w:tcW w:w="7380" w:type="dxa"/>
          </w:tcPr>
          <w:p w:rsidR="00097F5A" w:rsidRPr="00401691" w:rsidRDefault="00097F5A" w:rsidP="00844145">
            <w:pPr>
              <w:spacing w:line="276" w:lineRule="auto"/>
              <w:rPr>
                <w:rFonts w:asciiTheme="majorHAnsi" w:hAnsiTheme="majorHAnsi" w:cstheme="majorHAnsi"/>
                <w:sz w:val="24"/>
                <w:szCs w:val="24"/>
                <w:lang w:val="ro-MD"/>
              </w:rPr>
            </w:pPr>
            <w:r w:rsidRPr="00401691">
              <w:rPr>
                <w:rFonts w:asciiTheme="majorHAnsi" w:hAnsiTheme="majorHAnsi" w:cstheme="majorHAnsi"/>
                <w:sz w:val="24"/>
                <w:szCs w:val="24"/>
                <w:lang w:val="ro-MD"/>
              </w:rPr>
              <w:t>Biroul Național de Statistică</w:t>
            </w:r>
          </w:p>
        </w:tc>
      </w:tr>
      <w:tr w:rsidR="00097F5A" w:rsidRPr="00401691" w:rsidTr="001C3EB7">
        <w:tc>
          <w:tcPr>
            <w:tcW w:w="1980" w:type="dxa"/>
          </w:tcPr>
          <w:p w:rsidR="00097F5A" w:rsidRPr="00401691" w:rsidRDefault="00097F5A" w:rsidP="00844145">
            <w:pPr>
              <w:tabs>
                <w:tab w:val="left" w:pos="450"/>
                <w:tab w:val="left" w:pos="3600"/>
              </w:tabs>
              <w:spacing w:line="276" w:lineRule="auto"/>
              <w:ind w:right="9"/>
              <w:rPr>
                <w:rFonts w:asciiTheme="majorHAnsi" w:eastAsia="Times New Roman" w:hAnsiTheme="majorHAnsi" w:cstheme="majorHAnsi"/>
                <w:b/>
                <w:sz w:val="24"/>
                <w:szCs w:val="24"/>
                <w:lang w:val="ro-MD"/>
              </w:rPr>
            </w:pPr>
            <w:r w:rsidRPr="00401691">
              <w:rPr>
                <w:rFonts w:asciiTheme="majorHAnsi" w:eastAsia="Times New Roman" w:hAnsiTheme="majorHAnsi" w:cstheme="majorHAnsi"/>
                <w:b/>
                <w:sz w:val="24"/>
                <w:szCs w:val="24"/>
                <w:lang w:val="ro-MD"/>
              </w:rPr>
              <w:t>CF</w:t>
            </w:r>
          </w:p>
        </w:tc>
        <w:tc>
          <w:tcPr>
            <w:tcW w:w="7380" w:type="dxa"/>
          </w:tcPr>
          <w:p w:rsidR="00097F5A" w:rsidRPr="00401691" w:rsidRDefault="00097F5A" w:rsidP="00844145">
            <w:pPr>
              <w:spacing w:line="276" w:lineRule="auto"/>
              <w:rPr>
                <w:rFonts w:asciiTheme="majorHAnsi" w:hAnsiTheme="majorHAnsi" w:cstheme="majorHAnsi"/>
                <w:sz w:val="24"/>
                <w:szCs w:val="24"/>
                <w:lang w:val="ro-MD"/>
              </w:rPr>
            </w:pPr>
            <w:r w:rsidRPr="00401691">
              <w:rPr>
                <w:rFonts w:asciiTheme="majorHAnsi" w:hAnsiTheme="majorHAnsi" w:cstheme="majorHAnsi"/>
                <w:sz w:val="24"/>
                <w:szCs w:val="24"/>
                <w:lang w:val="ro-MD"/>
              </w:rPr>
              <w:t>Codul fiscal</w:t>
            </w:r>
          </w:p>
        </w:tc>
      </w:tr>
      <w:tr w:rsidR="0033561D" w:rsidRPr="00401691" w:rsidTr="001C3EB7">
        <w:tc>
          <w:tcPr>
            <w:tcW w:w="1980" w:type="dxa"/>
          </w:tcPr>
          <w:p w:rsidR="0033561D" w:rsidRPr="00401691" w:rsidRDefault="0033561D" w:rsidP="00844145">
            <w:pPr>
              <w:tabs>
                <w:tab w:val="left" w:pos="450"/>
                <w:tab w:val="left" w:pos="3600"/>
              </w:tabs>
              <w:spacing w:line="276" w:lineRule="auto"/>
              <w:ind w:right="9"/>
              <w:rPr>
                <w:rFonts w:asciiTheme="majorHAnsi" w:eastAsia="Times New Roman" w:hAnsiTheme="majorHAnsi" w:cstheme="majorHAnsi"/>
                <w:b/>
                <w:sz w:val="24"/>
                <w:szCs w:val="24"/>
                <w:lang w:val="ro-MD"/>
              </w:rPr>
            </w:pPr>
            <w:r w:rsidRPr="00401691">
              <w:rPr>
                <w:rFonts w:asciiTheme="majorHAnsi" w:eastAsia="Times New Roman" w:hAnsiTheme="majorHAnsi" w:cstheme="majorHAnsi"/>
                <w:b/>
                <w:sz w:val="24"/>
                <w:szCs w:val="24"/>
                <w:lang w:val="ro-MD"/>
              </w:rPr>
              <w:t>DAI</w:t>
            </w:r>
          </w:p>
        </w:tc>
        <w:tc>
          <w:tcPr>
            <w:tcW w:w="7380" w:type="dxa"/>
          </w:tcPr>
          <w:p w:rsidR="0033561D" w:rsidRPr="00401691" w:rsidRDefault="0033561D" w:rsidP="00844145">
            <w:pPr>
              <w:spacing w:line="276" w:lineRule="auto"/>
              <w:rPr>
                <w:rFonts w:asciiTheme="majorHAnsi" w:hAnsiTheme="majorHAnsi" w:cstheme="majorHAnsi"/>
                <w:sz w:val="24"/>
                <w:szCs w:val="24"/>
                <w:lang w:val="ro-MD"/>
              </w:rPr>
            </w:pPr>
            <w:r w:rsidRPr="00401691">
              <w:rPr>
                <w:rFonts w:asciiTheme="majorHAnsi" w:hAnsiTheme="majorHAnsi" w:cstheme="majorHAnsi"/>
                <w:sz w:val="24"/>
                <w:szCs w:val="24"/>
                <w:lang w:val="ro-MD"/>
              </w:rPr>
              <w:t xml:space="preserve">Direcția </w:t>
            </w:r>
            <w:r w:rsidR="004A5107">
              <w:rPr>
                <w:rFonts w:asciiTheme="majorHAnsi" w:hAnsiTheme="majorHAnsi" w:cstheme="majorHAnsi"/>
                <w:sz w:val="24"/>
                <w:szCs w:val="24"/>
                <w:lang w:val="ro-MD"/>
              </w:rPr>
              <w:t>a</w:t>
            </w:r>
            <w:r w:rsidRPr="00401691">
              <w:rPr>
                <w:rFonts w:asciiTheme="majorHAnsi" w:hAnsiTheme="majorHAnsi" w:cstheme="majorHAnsi"/>
                <w:sz w:val="24"/>
                <w:szCs w:val="24"/>
                <w:lang w:val="ro-MD"/>
              </w:rPr>
              <w:t xml:space="preserve">udit </w:t>
            </w:r>
            <w:r w:rsidR="004A5107">
              <w:rPr>
                <w:rFonts w:asciiTheme="majorHAnsi" w:hAnsiTheme="majorHAnsi" w:cstheme="majorHAnsi"/>
                <w:sz w:val="24"/>
                <w:szCs w:val="24"/>
                <w:lang w:val="ro-MD"/>
              </w:rPr>
              <w:t>i</w:t>
            </w:r>
            <w:r w:rsidRPr="00401691">
              <w:rPr>
                <w:rFonts w:asciiTheme="majorHAnsi" w:hAnsiTheme="majorHAnsi" w:cstheme="majorHAnsi"/>
                <w:sz w:val="24"/>
                <w:szCs w:val="24"/>
                <w:lang w:val="ro-MD"/>
              </w:rPr>
              <w:t>ntern</w:t>
            </w:r>
          </w:p>
        </w:tc>
      </w:tr>
      <w:tr w:rsidR="00545438" w:rsidRPr="00401691" w:rsidTr="001C3EB7">
        <w:tc>
          <w:tcPr>
            <w:tcW w:w="1980" w:type="dxa"/>
          </w:tcPr>
          <w:p w:rsidR="00545438" w:rsidRPr="00401691" w:rsidRDefault="00545438" w:rsidP="00844145">
            <w:pPr>
              <w:tabs>
                <w:tab w:val="left" w:pos="450"/>
                <w:tab w:val="left" w:pos="3600"/>
              </w:tabs>
              <w:spacing w:line="276" w:lineRule="auto"/>
              <w:ind w:right="9"/>
              <w:rPr>
                <w:rFonts w:asciiTheme="majorHAnsi" w:eastAsia="Times New Roman" w:hAnsiTheme="majorHAnsi" w:cstheme="majorHAnsi"/>
                <w:b/>
                <w:sz w:val="24"/>
                <w:szCs w:val="24"/>
                <w:lang w:val="ro-MD"/>
              </w:rPr>
            </w:pPr>
            <w:r w:rsidRPr="00401691">
              <w:rPr>
                <w:rFonts w:asciiTheme="majorHAnsi" w:eastAsia="Times New Roman" w:hAnsiTheme="majorHAnsi" w:cstheme="majorHAnsi"/>
                <w:b/>
                <w:sz w:val="24"/>
                <w:szCs w:val="24"/>
                <w:lang w:val="ro-MD"/>
              </w:rPr>
              <w:t>DEIF</w:t>
            </w:r>
          </w:p>
        </w:tc>
        <w:tc>
          <w:tcPr>
            <w:tcW w:w="7380" w:type="dxa"/>
          </w:tcPr>
          <w:p w:rsidR="00545438" w:rsidRPr="00401691" w:rsidRDefault="00A850D5" w:rsidP="00844145">
            <w:pPr>
              <w:spacing w:line="276" w:lineRule="auto"/>
              <w:rPr>
                <w:rFonts w:asciiTheme="majorHAnsi" w:hAnsiTheme="majorHAnsi" w:cstheme="majorHAnsi"/>
                <w:sz w:val="24"/>
                <w:szCs w:val="24"/>
                <w:lang w:val="ro-MD"/>
              </w:rPr>
            </w:pPr>
            <w:r w:rsidRPr="00401691">
              <w:rPr>
                <w:rFonts w:asciiTheme="majorHAnsi" w:hAnsiTheme="majorHAnsi" w:cstheme="majorHAnsi"/>
                <w:sz w:val="24"/>
                <w:szCs w:val="24"/>
                <w:lang w:val="ro-MD"/>
              </w:rPr>
              <w:t>Direcția evidență și informații fiscale</w:t>
            </w:r>
          </w:p>
        </w:tc>
      </w:tr>
      <w:tr w:rsidR="00097F5A" w:rsidRPr="00401691" w:rsidTr="001C3EB7">
        <w:tc>
          <w:tcPr>
            <w:tcW w:w="1980" w:type="dxa"/>
          </w:tcPr>
          <w:p w:rsidR="00097F5A" w:rsidRPr="00401691" w:rsidRDefault="00097F5A" w:rsidP="00844145">
            <w:pPr>
              <w:tabs>
                <w:tab w:val="left" w:pos="450"/>
                <w:tab w:val="left" w:pos="3600"/>
              </w:tabs>
              <w:spacing w:line="276" w:lineRule="auto"/>
              <w:ind w:right="9"/>
              <w:rPr>
                <w:rFonts w:asciiTheme="majorHAnsi" w:eastAsia="Times New Roman" w:hAnsiTheme="majorHAnsi" w:cstheme="majorHAnsi"/>
                <w:b/>
                <w:sz w:val="24"/>
                <w:szCs w:val="24"/>
                <w:lang w:val="ro-MD"/>
              </w:rPr>
            </w:pPr>
            <w:r w:rsidRPr="00401691">
              <w:rPr>
                <w:rFonts w:asciiTheme="majorHAnsi" w:eastAsia="Times New Roman" w:hAnsiTheme="majorHAnsi" w:cstheme="majorHAnsi"/>
                <w:b/>
                <w:sz w:val="24"/>
                <w:szCs w:val="24"/>
                <w:lang w:val="ro-MD"/>
              </w:rPr>
              <w:t>DGACM</w:t>
            </w:r>
          </w:p>
        </w:tc>
        <w:tc>
          <w:tcPr>
            <w:tcW w:w="7380" w:type="dxa"/>
          </w:tcPr>
          <w:p w:rsidR="00097F5A" w:rsidRPr="00401691" w:rsidRDefault="00097F5A" w:rsidP="00844145">
            <w:pPr>
              <w:spacing w:line="276" w:lineRule="auto"/>
              <w:rPr>
                <w:rFonts w:asciiTheme="majorHAnsi" w:hAnsiTheme="majorHAnsi" w:cstheme="majorHAnsi"/>
                <w:sz w:val="24"/>
                <w:szCs w:val="24"/>
                <w:lang w:val="ro-MD"/>
              </w:rPr>
            </w:pPr>
            <w:r w:rsidRPr="00401691">
              <w:rPr>
                <w:rFonts w:asciiTheme="majorHAnsi" w:hAnsiTheme="majorHAnsi" w:cstheme="majorHAnsi"/>
                <w:sz w:val="24"/>
                <w:szCs w:val="24"/>
                <w:lang w:val="ro-MD"/>
              </w:rPr>
              <w:t>Direcția generală administrare contribuabili mari</w:t>
            </w:r>
          </w:p>
        </w:tc>
      </w:tr>
      <w:tr w:rsidR="00097F5A" w:rsidRPr="00401691" w:rsidTr="001C3EB7">
        <w:tc>
          <w:tcPr>
            <w:tcW w:w="1980" w:type="dxa"/>
          </w:tcPr>
          <w:p w:rsidR="00097F5A" w:rsidRPr="00401691" w:rsidRDefault="00097F5A" w:rsidP="00844145">
            <w:pPr>
              <w:tabs>
                <w:tab w:val="left" w:pos="450"/>
                <w:tab w:val="left" w:pos="3600"/>
              </w:tabs>
              <w:spacing w:line="276" w:lineRule="auto"/>
              <w:ind w:right="9"/>
              <w:rPr>
                <w:rFonts w:asciiTheme="majorHAnsi" w:eastAsia="Times New Roman" w:hAnsiTheme="majorHAnsi" w:cstheme="majorHAnsi"/>
                <w:b/>
                <w:sz w:val="24"/>
                <w:szCs w:val="24"/>
                <w:lang w:val="ro-MD"/>
              </w:rPr>
            </w:pPr>
            <w:r w:rsidRPr="00401691">
              <w:rPr>
                <w:rFonts w:asciiTheme="majorHAnsi" w:eastAsia="Times New Roman" w:hAnsiTheme="majorHAnsi" w:cstheme="majorHAnsi"/>
                <w:b/>
                <w:sz w:val="24"/>
                <w:szCs w:val="24"/>
                <w:lang w:val="ro-MD"/>
              </w:rPr>
              <w:t>DGAF</w:t>
            </w:r>
          </w:p>
        </w:tc>
        <w:tc>
          <w:tcPr>
            <w:tcW w:w="7380" w:type="dxa"/>
          </w:tcPr>
          <w:p w:rsidR="00097F5A" w:rsidRPr="00401691" w:rsidRDefault="00097F5A" w:rsidP="00844145">
            <w:pPr>
              <w:spacing w:line="276" w:lineRule="auto"/>
              <w:rPr>
                <w:rFonts w:asciiTheme="majorHAnsi" w:hAnsiTheme="majorHAnsi" w:cstheme="majorHAnsi"/>
                <w:sz w:val="24"/>
                <w:szCs w:val="24"/>
                <w:lang w:val="ro-MD"/>
              </w:rPr>
            </w:pPr>
            <w:r w:rsidRPr="00401691">
              <w:rPr>
                <w:rFonts w:asciiTheme="majorHAnsi" w:hAnsiTheme="majorHAnsi" w:cstheme="majorHAnsi"/>
                <w:sz w:val="24"/>
                <w:szCs w:val="24"/>
                <w:lang w:val="ro-MD"/>
              </w:rPr>
              <w:t>Direcția generală administrare fiscală</w:t>
            </w:r>
          </w:p>
        </w:tc>
      </w:tr>
      <w:tr w:rsidR="00097F5A" w:rsidRPr="00401691" w:rsidTr="001C3EB7">
        <w:tc>
          <w:tcPr>
            <w:tcW w:w="1980" w:type="dxa"/>
          </w:tcPr>
          <w:p w:rsidR="00097F5A" w:rsidRPr="00401691" w:rsidRDefault="00097F5A" w:rsidP="00844145">
            <w:pPr>
              <w:tabs>
                <w:tab w:val="left" w:pos="450"/>
                <w:tab w:val="left" w:pos="3600"/>
              </w:tabs>
              <w:spacing w:line="276" w:lineRule="auto"/>
              <w:ind w:right="9"/>
              <w:rPr>
                <w:rFonts w:asciiTheme="majorHAnsi" w:eastAsia="Times New Roman" w:hAnsiTheme="majorHAnsi" w:cstheme="majorHAnsi"/>
                <w:b/>
                <w:sz w:val="24"/>
                <w:szCs w:val="24"/>
                <w:lang w:val="ro-MD"/>
              </w:rPr>
            </w:pPr>
            <w:r w:rsidRPr="00401691">
              <w:rPr>
                <w:rFonts w:asciiTheme="majorHAnsi" w:hAnsiTheme="majorHAnsi" w:cstheme="majorHAnsi"/>
                <w:b/>
                <w:sz w:val="24"/>
                <w:szCs w:val="24"/>
                <w:lang w:val="ro-MD"/>
              </w:rPr>
              <w:t xml:space="preserve">DDF </w:t>
            </w:r>
          </w:p>
        </w:tc>
        <w:tc>
          <w:tcPr>
            <w:tcW w:w="7380" w:type="dxa"/>
          </w:tcPr>
          <w:p w:rsidR="00097F5A" w:rsidRPr="00401691" w:rsidRDefault="00097F5A" w:rsidP="00844145">
            <w:pPr>
              <w:spacing w:line="276" w:lineRule="auto"/>
              <w:rPr>
                <w:rFonts w:asciiTheme="majorHAnsi" w:hAnsiTheme="majorHAnsi" w:cstheme="majorHAnsi"/>
                <w:sz w:val="24"/>
                <w:szCs w:val="24"/>
                <w:lang w:val="ro-MD"/>
              </w:rPr>
            </w:pPr>
            <w:r w:rsidRPr="00401691">
              <w:rPr>
                <w:rFonts w:asciiTheme="majorHAnsi" w:hAnsiTheme="majorHAnsi" w:cstheme="majorHAnsi"/>
                <w:sz w:val="24"/>
                <w:szCs w:val="24"/>
                <w:lang w:val="ro-MD"/>
              </w:rPr>
              <w:t>Direcția deservire fiscală</w:t>
            </w:r>
          </w:p>
        </w:tc>
      </w:tr>
      <w:tr w:rsidR="00097F5A" w:rsidRPr="00401691" w:rsidTr="001C3EB7">
        <w:tc>
          <w:tcPr>
            <w:tcW w:w="1980" w:type="dxa"/>
          </w:tcPr>
          <w:p w:rsidR="00097F5A" w:rsidRPr="00401691" w:rsidRDefault="00097F5A" w:rsidP="00844145">
            <w:pPr>
              <w:tabs>
                <w:tab w:val="left" w:pos="450"/>
                <w:tab w:val="left" w:pos="3600"/>
              </w:tabs>
              <w:spacing w:line="276" w:lineRule="auto"/>
              <w:ind w:right="9"/>
              <w:rPr>
                <w:rFonts w:asciiTheme="majorHAnsi" w:hAnsiTheme="majorHAnsi" w:cstheme="majorHAnsi"/>
                <w:b/>
                <w:sz w:val="24"/>
                <w:szCs w:val="24"/>
                <w:lang w:val="ro-MD"/>
              </w:rPr>
            </w:pPr>
            <w:r w:rsidRPr="00401691">
              <w:rPr>
                <w:rFonts w:asciiTheme="majorHAnsi" w:hAnsiTheme="majorHAnsi" w:cstheme="majorHAnsi"/>
                <w:b/>
                <w:sz w:val="24"/>
                <w:szCs w:val="24"/>
                <w:lang w:val="ro-MD"/>
              </w:rPr>
              <w:t xml:space="preserve">DGA </w:t>
            </w:r>
          </w:p>
        </w:tc>
        <w:tc>
          <w:tcPr>
            <w:tcW w:w="7380" w:type="dxa"/>
          </w:tcPr>
          <w:p w:rsidR="00097F5A" w:rsidRPr="00401691" w:rsidRDefault="00097F5A" w:rsidP="00366AE8">
            <w:pPr>
              <w:spacing w:line="276" w:lineRule="auto"/>
              <w:rPr>
                <w:rFonts w:asciiTheme="majorHAnsi" w:hAnsiTheme="majorHAnsi" w:cstheme="majorHAnsi"/>
                <w:sz w:val="24"/>
                <w:szCs w:val="24"/>
                <w:lang w:val="ro-MD"/>
              </w:rPr>
            </w:pPr>
            <w:r w:rsidRPr="00401691">
              <w:rPr>
                <w:rFonts w:asciiTheme="majorHAnsi" w:hAnsiTheme="majorHAnsi" w:cstheme="majorHAnsi"/>
                <w:sz w:val="24"/>
                <w:szCs w:val="24"/>
                <w:lang w:val="ro-MD"/>
              </w:rPr>
              <w:t xml:space="preserve">Direcția </w:t>
            </w:r>
            <w:r w:rsidR="005F14D1" w:rsidRPr="00401691">
              <w:rPr>
                <w:rFonts w:asciiTheme="majorHAnsi" w:hAnsiTheme="majorHAnsi" w:cstheme="majorHAnsi"/>
                <w:sz w:val="24"/>
                <w:szCs w:val="24"/>
                <w:lang w:val="ro-MD"/>
              </w:rPr>
              <w:t>g</w:t>
            </w:r>
            <w:r w:rsidRPr="00401691">
              <w:rPr>
                <w:rFonts w:asciiTheme="majorHAnsi" w:hAnsiTheme="majorHAnsi" w:cstheme="majorHAnsi"/>
                <w:sz w:val="24"/>
                <w:szCs w:val="24"/>
                <w:lang w:val="ro-MD"/>
              </w:rPr>
              <w:t xml:space="preserve">enerală </w:t>
            </w:r>
            <w:r w:rsidR="005F14D1" w:rsidRPr="00401691">
              <w:rPr>
                <w:rFonts w:asciiTheme="majorHAnsi" w:hAnsiTheme="majorHAnsi" w:cstheme="majorHAnsi"/>
                <w:sz w:val="24"/>
                <w:szCs w:val="24"/>
                <w:lang w:val="ro-MD"/>
              </w:rPr>
              <w:t>a</w:t>
            </w:r>
            <w:r w:rsidRPr="00401691">
              <w:rPr>
                <w:rFonts w:asciiTheme="majorHAnsi" w:hAnsiTheme="majorHAnsi" w:cstheme="majorHAnsi"/>
                <w:sz w:val="24"/>
                <w:szCs w:val="24"/>
                <w:lang w:val="ro-MD"/>
              </w:rPr>
              <w:t>rierate</w:t>
            </w:r>
          </w:p>
        </w:tc>
      </w:tr>
      <w:tr w:rsidR="00097F5A" w:rsidRPr="00401691" w:rsidTr="001C3EB7">
        <w:tc>
          <w:tcPr>
            <w:tcW w:w="1980" w:type="dxa"/>
          </w:tcPr>
          <w:p w:rsidR="00097F5A" w:rsidRPr="00401691" w:rsidRDefault="00097F5A" w:rsidP="00844145">
            <w:pPr>
              <w:tabs>
                <w:tab w:val="left" w:pos="450"/>
                <w:tab w:val="left" w:pos="3600"/>
              </w:tabs>
              <w:spacing w:line="276" w:lineRule="auto"/>
              <w:ind w:right="9"/>
              <w:rPr>
                <w:rFonts w:asciiTheme="majorHAnsi" w:hAnsiTheme="majorHAnsi" w:cstheme="majorHAnsi"/>
                <w:b/>
                <w:sz w:val="24"/>
                <w:szCs w:val="24"/>
                <w:lang w:val="ro-MD"/>
              </w:rPr>
            </w:pPr>
            <w:r w:rsidRPr="00401691">
              <w:rPr>
                <w:rFonts w:asciiTheme="majorHAnsi" w:hAnsiTheme="majorHAnsi" w:cstheme="majorHAnsi"/>
                <w:b/>
                <w:sz w:val="24"/>
                <w:szCs w:val="24"/>
                <w:lang w:val="ro-MD"/>
              </w:rPr>
              <w:t>DGODGA</w:t>
            </w:r>
          </w:p>
        </w:tc>
        <w:tc>
          <w:tcPr>
            <w:tcW w:w="7380" w:type="dxa"/>
          </w:tcPr>
          <w:p w:rsidR="00097F5A" w:rsidRPr="00401691" w:rsidRDefault="00097F5A" w:rsidP="00844145">
            <w:pPr>
              <w:spacing w:line="276" w:lineRule="auto"/>
              <w:rPr>
                <w:rFonts w:asciiTheme="majorHAnsi" w:hAnsiTheme="majorHAnsi" w:cstheme="majorHAnsi"/>
                <w:sz w:val="24"/>
                <w:szCs w:val="24"/>
                <w:lang w:val="ro-MD"/>
              </w:rPr>
            </w:pPr>
            <w:r w:rsidRPr="00401691">
              <w:rPr>
                <w:rFonts w:asciiTheme="majorHAnsi" w:hAnsiTheme="majorHAnsi" w:cstheme="majorHAnsi"/>
                <w:sz w:val="24"/>
                <w:szCs w:val="24"/>
                <w:lang w:val="ro-MD"/>
              </w:rPr>
              <w:t>Direcția generală organizare, deservire și gestionare arierate</w:t>
            </w:r>
          </w:p>
        </w:tc>
      </w:tr>
      <w:tr w:rsidR="006E6DDB" w:rsidRPr="00401691" w:rsidTr="001C3EB7">
        <w:tc>
          <w:tcPr>
            <w:tcW w:w="1980" w:type="dxa"/>
          </w:tcPr>
          <w:p w:rsidR="006E6DDB" w:rsidRPr="00401691" w:rsidRDefault="006E6DDB" w:rsidP="00844145">
            <w:pPr>
              <w:tabs>
                <w:tab w:val="left" w:pos="450"/>
                <w:tab w:val="left" w:pos="3600"/>
              </w:tabs>
              <w:spacing w:line="276" w:lineRule="auto"/>
              <w:ind w:right="9"/>
              <w:rPr>
                <w:rFonts w:asciiTheme="majorHAnsi" w:hAnsiTheme="majorHAnsi" w:cstheme="majorHAnsi"/>
                <w:b/>
                <w:sz w:val="24"/>
                <w:szCs w:val="24"/>
                <w:lang w:val="ro-MD"/>
              </w:rPr>
            </w:pPr>
            <w:r w:rsidRPr="00401691">
              <w:rPr>
                <w:rFonts w:asciiTheme="majorHAnsi" w:hAnsiTheme="majorHAnsi" w:cstheme="majorHAnsi"/>
                <w:b/>
                <w:sz w:val="24"/>
                <w:szCs w:val="24"/>
                <w:lang w:val="ro-MD"/>
              </w:rPr>
              <w:t>DGC</w:t>
            </w:r>
          </w:p>
        </w:tc>
        <w:tc>
          <w:tcPr>
            <w:tcW w:w="7380" w:type="dxa"/>
          </w:tcPr>
          <w:p w:rsidR="006E6DDB" w:rsidRPr="00401691" w:rsidRDefault="006E6DDB" w:rsidP="00844145">
            <w:pPr>
              <w:spacing w:line="276" w:lineRule="auto"/>
              <w:rPr>
                <w:rFonts w:asciiTheme="majorHAnsi" w:hAnsiTheme="majorHAnsi" w:cstheme="majorHAnsi"/>
                <w:sz w:val="24"/>
                <w:szCs w:val="24"/>
                <w:lang w:val="ro-MD"/>
              </w:rPr>
            </w:pPr>
            <w:r w:rsidRPr="00401691">
              <w:rPr>
                <w:rFonts w:asciiTheme="majorHAnsi" w:hAnsiTheme="majorHAnsi" w:cstheme="majorHAnsi"/>
                <w:sz w:val="24"/>
                <w:szCs w:val="24"/>
                <w:lang w:val="ro-MD"/>
              </w:rPr>
              <w:t>Direcția generală conformare</w:t>
            </w:r>
          </w:p>
        </w:tc>
      </w:tr>
      <w:tr w:rsidR="00097F5A" w:rsidRPr="00401691" w:rsidTr="001C3EB7">
        <w:tc>
          <w:tcPr>
            <w:tcW w:w="1980" w:type="dxa"/>
          </w:tcPr>
          <w:p w:rsidR="00097F5A" w:rsidRPr="00401691" w:rsidRDefault="006E6DDB" w:rsidP="00844145">
            <w:pPr>
              <w:tabs>
                <w:tab w:val="left" w:pos="450"/>
                <w:tab w:val="left" w:pos="3600"/>
              </w:tabs>
              <w:spacing w:line="276" w:lineRule="auto"/>
              <w:ind w:right="9"/>
              <w:rPr>
                <w:rFonts w:asciiTheme="majorHAnsi" w:hAnsiTheme="majorHAnsi" w:cstheme="majorHAnsi"/>
                <w:b/>
                <w:sz w:val="24"/>
                <w:szCs w:val="24"/>
                <w:lang w:val="ro-MD"/>
              </w:rPr>
            </w:pPr>
            <w:r w:rsidRPr="00401691">
              <w:rPr>
                <w:rFonts w:asciiTheme="majorHAnsi" w:hAnsiTheme="majorHAnsi" w:cstheme="majorHAnsi"/>
                <w:b/>
                <w:sz w:val="24"/>
                <w:szCs w:val="24"/>
                <w:lang w:val="ro-MD"/>
              </w:rPr>
              <w:t>CTIF</w:t>
            </w:r>
          </w:p>
        </w:tc>
        <w:tc>
          <w:tcPr>
            <w:tcW w:w="7380" w:type="dxa"/>
          </w:tcPr>
          <w:p w:rsidR="00097F5A" w:rsidRPr="00401691" w:rsidRDefault="006E6DDB" w:rsidP="00844145">
            <w:pPr>
              <w:spacing w:line="276" w:lineRule="auto"/>
              <w:rPr>
                <w:rFonts w:asciiTheme="majorHAnsi" w:hAnsiTheme="majorHAnsi" w:cstheme="majorHAnsi"/>
                <w:sz w:val="24"/>
                <w:szCs w:val="24"/>
                <w:lang w:val="ro-MD"/>
              </w:rPr>
            </w:pPr>
            <w:r w:rsidRPr="00401691">
              <w:rPr>
                <w:rFonts w:asciiTheme="majorHAnsi" w:hAnsiTheme="majorHAnsi" w:cstheme="majorHAnsi"/>
                <w:sz w:val="24"/>
                <w:szCs w:val="24"/>
                <w:lang w:val="ro-MD"/>
              </w:rPr>
              <w:t xml:space="preserve">Centrul de Tehnologii Informaționale </w:t>
            </w:r>
            <w:r w:rsidR="004A5107">
              <w:rPr>
                <w:rFonts w:asciiTheme="majorHAnsi" w:hAnsiTheme="majorHAnsi" w:cstheme="majorHAnsi"/>
                <w:sz w:val="24"/>
                <w:szCs w:val="24"/>
                <w:lang w:val="ro-MD"/>
              </w:rPr>
              <w:t>î</w:t>
            </w:r>
            <w:r w:rsidRPr="00401691">
              <w:rPr>
                <w:rFonts w:asciiTheme="majorHAnsi" w:hAnsiTheme="majorHAnsi" w:cstheme="majorHAnsi"/>
                <w:sz w:val="24"/>
                <w:szCs w:val="24"/>
                <w:lang w:val="ro-MD"/>
              </w:rPr>
              <w:t>n Finanțe</w:t>
            </w:r>
          </w:p>
        </w:tc>
      </w:tr>
      <w:tr w:rsidR="00097F5A" w:rsidRPr="00401691" w:rsidTr="001C3EB7">
        <w:tc>
          <w:tcPr>
            <w:tcW w:w="1980" w:type="dxa"/>
          </w:tcPr>
          <w:p w:rsidR="00097F5A" w:rsidRPr="00401691" w:rsidRDefault="00097F5A" w:rsidP="00844145">
            <w:pPr>
              <w:tabs>
                <w:tab w:val="left" w:pos="450"/>
                <w:tab w:val="left" w:pos="3600"/>
              </w:tabs>
              <w:spacing w:line="276" w:lineRule="auto"/>
              <w:ind w:right="9"/>
              <w:rPr>
                <w:rFonts w:asciiTheme="majorHAnsi" w:eastAsia="Times New Roman" w:hAnsiTheme="majorHAnsi" w:cstheme="majorHAnsi"/>
                <w:b/>
                <w:sz w:val="24"/>
                <w:szCs w:val="24"/>
                <w:lang w:val="ro-MD"/>
              </w:rPr>
            </w:pPr>
            <w:r w:rsidRPr="00401691">
              <w:rPr>
                <w:rFonts w:asciiTheme="majorHAnsi" w:eastAsia="Times New Roman" w:hAnsiTheme="majorHAnsi" w:cstheme="majorHAnsi"/>
                <w:b/>
                <w:sz w:val="24"/>
                <w:szCs w:val="24"/>
                <w:lang w:val="ro-MD"/>
              </w:rPr>
              <w:t>ANTA</w:t>
            </w:r>
          </w:p>
        </w:tc>
        <w:tc>
          <w:tcPr>
            <w:tcW w:w="7380" w:type="dxa"/>
          </w:tcPr>
          <w:p w:rsidR="00097F5A" w:rsidRPr="00401691" w:rsidRDefault="005F14D1" w:rsidP="00844145">
            <w:pPr>
              <w:spacing w:line="276" w:lineRule="auto"/>
              <w:rPr>
                <w:rFonts w:asciiTheme="majorHAnsi" w:hAnsiTheme="majorHAnsi" w:cstheme="majorHAnsi"/>
                <w:sz w:val="24"/>
                <w:szCs w:val="24"/>
                <w:lang w:val="ro-MD"/>
              </w:rPr>
            </w:pPr>
            <w:r w:rsidRPr="00401691">
              <w:rPr>
                <w:rFonts w:asciiTheme="majorHAnsi" w:hAnsiTheme="majorHAnsi" w:cstheme="majorHAnsi"/>
                <w:sz w:val="24"/>
                <w:szCs w:val="24"/>
                <w:lang w:val="ro-MD"/>
              </w:rPr>
              <w:t>Agenția Națională Transport Auto</w:t>
            </w:r>
          </w:p>
        </w:tc>
      </w:tr>
      <w:tr w:rsidR="00097F5A" w:rsidRPr="00401691" w:rsidTr="001C3EB7">
        <w:tc>
          <w:tcPr>
            <w:tcW w:w="1980" w:type="dxa"/>
          </w:tcPr>
          <w:p w:rsidR="00097F5A" w:rsidRPr="00401691" w:rsidRDefault="005F14D1" w:rsidP="00844145">
            <w:pPr>
              <w:tabs>
                <w:tab w:val="left" w:pos="450"/>
                <w:tab w:val="left" w:pos="3600"/>
              </w:tabs>
              <w:spacing w:line="276" w:lineRule="auto"/>
              <w:ind w:right="9"/>
              <w:rPr>
                <w:rFonts w:asciiTheme="majorHAnsi" w:eastAsia="Times New Roman" w:hAnsiTheme="majorHAnsi" w:cstheme="majorHAnsi"/>
                <w:b/>
                <w:sz w:val="24"/>
                <w:szCs w:val="24"/>
                <w:lang w:val="ro-MD"/>
              </w:rPr>
            </w:pPr>
            <w:r w:rsidRPr="00401691">
              <w:rPr>
                <w:rFonts w:asciiTheme="majorHAnsi" w:eastAsia="Times New Roman" w:hAnsiTheme="majorHAnsi" w:cstheme="majorHAnsi"/>
                <w:b/>
                <w:sz w:val="24"/>
                <w:szCs w:val="24"/>
                <w:lang w:val="ro-MD"/>
              </w:rPr>
              <w:t>IF</w:t>
            </w:r>
          </w:p>
        </w:tc>
        <w:tc>
          <w:tcPr>
            <w:tcW w:w="7380" w:type="dxa"/>
          </w:tcPr>
          <w:p w:rsidR="00097F5A" w:rsidRPr="00401691" w:rsidRDefault="005F14D1" w:rsidP="00844145">
            <w:pPr>
              <w:spacing w:line="276" w:lineRule="auto"/>
              <w:rPr>
                <w:rFonts w:asciiTheme="majorHAnsi" w:hAnsiTheme="majorHAnsi" w:cstheme="majorHAnsi"/>
                <w:sz w:val="24"/>
                <w:szCs w:val="24"/>
                <w:lang w:val="ro-MD"/>
              </w:rPr>
            </w:pPr>
            <w:r w:rsidRPr="00401691">
              <w:rPr>
                <w:rFonts w:asciiTheme="majorHAnsi" w:hAnsiTheme="majorHAnsi" w:cstheme="majorHAnsi"/>
                <w:sz w:val="24"/>
                <w:szCs w:val="24"/>
                <w:lang w:val="ro-MD"/>
              </w:rPr>
              <w:t>Inspecția Financiară</w:t>
            </w:r>
          </w:p>
        </w:tc>
      </w:tr>
      <w:tr w:rsidR="00E54867" w:rsidRPr="00401691" w:rsidTr="001C3EB7">
        <w:tc>
          <w:tcPr>
            <w:tcW w:w="1980" w:type="dxa"/>
          </w:tcPr>
          <w:p w:rsidR="00E54867" w:rsidRPr="00401691" w:rsidRDefault="00E54867" w:rsidP="00844145">
            <w:pPr>
              <w:tabs>
                <w:tab w:val="left" w:pos="450"/>
                <w:tab w:val="left" w:pos="3600"/>
              </w:tabs>
              <w:spacing w:line="276" w:lineRule="auto"/>
              <w:ind w:right="9"/>
              <w:rPr>
                <w:rFonts w:asciiTheme="majorHAnsi" w:eastAsia="Times New Roman" w:hAnsiTheme="majorHAnsi" w:cstheme="majorHAnsi"/>
                <w:b/>
                <w:sz w:val="24"/>
                <w:szCs w:val="24"/>
                <w:lang w:val="ro-MD"/>
              </w:rPr>
            </w:pPr>
            <w:r w:rsidRPr="00401691">
              <w:rPr>
                <w:rFonts w:asciiTheme="majorHAnsi" w:eastAsia="Times New Roman" w:hAnsiTheme="majorHAnsi" w:cstheme="majorHAnsi"/>
                <w:b/>
                <w:sz w:val="24"/>
                <w:szCs w:val="24"/>
                <w:lang w:val="ro-MD"/>
              </w:rPr>
              <w:t>IP CSSM</w:t>
            </w:r>
          </w:p>
        </w:tc>
        <w:tc>
          <w:tcPr>
            <w:tcW w:w="7380" w:type="dxa"/>
          </w:tcPr>
          <w:p w:rsidR="00E54867" w:rsidRPr="00401691" w:rsidRDefault="00E54867" w:rsidP="00844145">
            <w:pPr>
              <w:spacing w:line="276" w:lineRule="auto"/>
              <w:rPr>
                <w:rFonts w:asciiTheme="majorHAnsi" w:hAnsiTheme="majorHAnsi" w:cstheme="majorHAnsi"/>
                <w:sz w:val="24"/>
                <w:szCs w:val="24"/>
                <w:lang w:val="ro-MD"/>
              </w:rPr>
            </w:pPr>
            <w:r w:rsidRPr="00401691">
              <w:rPr>
                <w:rFonts w:asciiTheme="majorHAnsi" w:hAnsiTheme="majorHAnsi" w:cstheme="majorHAnsi"/>
                <w:sz w:val="24"/>
                <w:szCs w:val="24"/>
                <w:lang w:val="ro-MD"/>
              </w:rPr>
              <w:t xml:space="preserve">Instituția Publică </w:t>
            </w:r>
            <w:r w:rsidR="004A5107">
              <w:rPr>
                <w:rFonts w:asciiTheme="majorHAnsi" w:hAnsiTheme="majorHAnsi" w:cstheme="majorHAnsi"/>
                <w:sz w:val="24"/>
                <w:szCs w:val="24"/>
                <w:lang w:val="ro-MD"/>
              </w:rPr>
              <w:t xml:space="preserve"> </w:t>
            </w:r>
            <w:r w:rsidRPr="00401691">
              <w:rPr>
                <w:rFonts w:asciiTheme="majorHAnsi" w:hAnsiTheme="majorHAnsi" w:cstheme="majorHAnsi"/>
                <w:sz w:val="24"/>
                <w:szCs w:val="24"/>
                <w:lang w:val="ro-MD"/>
              </w:rPr>
              <w:t>Camera de Stat pentru Supravegherea Marcării</w:t>
            </w:r>
          </w:p>
        </w:tc>
      </w:tr>
      <w:tr w:rsidR="006942F8" w:rsidRPr="00401691" w:rsidTr="001C3EB7">
        <w:tc>
          <w:tcPr>
            <w:tcW w:w="1980" w:type="dxa"/>
          </w:tcPr>
          <w:p w:rsidR="006942F8" w:rsidRPr="00401691" w:rsidRDefault="006942F8" w:rsidP="00844145">
            <w:pPr>
              <w:tabs>
                <w:tab w:val="left" w:pos="450"/>
                <w:tab w:val="left" w:pos="3600"/>
              </w:tabs>
              <w:spacing w:line="276" w:lineRule="auto"/>
              <w:ind w:right="9"/>
              <w:rPr>
                <w:rFonts w:asciiTheme="majorHAnsi" w:eastAsia="Times New Roman" w:hAnsiTheme="majorHAnsi" w:cstheme="majorHAnsi"/>
                <w:b/>
                <w:sz w:val="24"/>
                <w:szCs w:val="24"/>
                <w:lang w:val="ro-MD"/>
              </w:rPr>
            </w:pPr>
            <w:r w:rsidRPr="00401691">
              <w:rPr>
                <w:rFonts w:asciiTheme="majorHAnsi" w:eastAsia="Times New Roman" w:hAnsiTheme="majorHAnsi" w:cstheme="majorHAnsi"/>
                <w:b/>
                <w:sz w:val="24"/>
                <w:szCs w:val="24"/>
                <w:lang w:val="ro-MD"/>
              </w:rPr>
              <w:t>IPM</w:t>
            </w:r>
          </w:p>
        </w:tc>
        <w:tc>
          <w:tcPr>
            <w:tcW w:w="7380" w:type="dxa"/>
          </w:tcPr>
          <w:p w:rsidR="006942F8" w:rsidRPr="00401691" w:rsidRDefault="006942F8" w:rsidP="00844145">
            <w:pPr>
              <w:spacing w:line="276" w:lineRule="auto"/>
              <w:rPr>
                <w:rFonts w:asciiTheme="majorHAnsi" w:hAnsiTheme="majorHAnsi" w:cstheme="majorHAnsi"/>
                <w:sz w:val="24"/>
                <w:szCs w:val="24"/>
                <w:lang w:val="ro-MD"/>
              </w:rPr>
            </w:pPr>
            <w:r w:rsidRPr="00401691">
              <w:rPr>
                <w:rFonts w:asciiTheme="majorHAnsi" w:hAnsiTheme="majorHAnsi" w:cstheme="majorHAnsi"/>
                <w:sz w:val="24"/>
                <w:szCs w:val="24"/>
                <w:lang w:val="ro-MD"/>
              </w:rPr>
              <w:t>Inspectoratul pentru Protecția Mediului</w:t>
            </w:r>
          </w:p>
        </w:tc>
      </w:tr>
      <w:tr w:rsidR="00097F5A" w:rsidRPr="00401691" w:rsidTr="001C3EB7">
        <w:tc>
          <w:tcPr>
            <w:tcW w:w="1980" w:type="dxa"/>
          </w:tcPr>
          <w:p w:rsidR="00097F5A" w:rsidRPr="00401691" w:rsidRDefault="005F14D1" w:rsidP="00844145">
            <w:pPr>
              <w:tabs>
                <w:tab w:val="left" w:pos="450"/>
                <w:tab w:val="left" w:pos="3600"/>
              </w:tabs>
              <w:spacing w:line="276" w:lineRule="auto"/>
              <w:ind w:right="9"/>
              <w:rPr>
                <w:rFonts w:asciiTheme="majorHAnsi" w:eastAsia="Times New Roman" w:hAnsiTheme="majorHAnsi" w:cstheme="majorHAnsi"/>
                <w:b/>
                <w:sz w:val="24"/>
                <w:szCs w:val="24"/>
                <w:lang w:val="ro-MD"/>
              </w:rPr>
            </w:pPr>
            <w:r w:rsidRPr="00401691">
              <w:rPr>
                <w:rFonts w:asciiTheme="majorHAnsi" w:hAnsiTheme="majorHAnsi" w:cstheme="majorHAnsi"/>
                <w:b/>
                <w:sz w:val="24"/>
                <w:szCs w:val="24"/>
                <w:lang w:val="ro-MD"/>
              </w:rPr>
              <w:t>HESOF</w:t>
            </w:r>
          </w:p>
        </w:tc>
        <w:tc>
          <w:tcPr>
            <w:tcW w:w="7380" w:type="dxa"/>
          </w:tcPr>
          <w:p w:rsidR="00097F5A" w:rsidRPr="00401691" w:rsidRDefault="005F14D1" w:rsidP="00844145">
            <w:pPr>
              <w:spacing w:line="276" w:lineRule="auto"/>
              <w:rPr>
                <w:rFonts w:asciiTheme="majorHAnsi" w:hAnsiTheme="majorHAnsi" w:cstheme="majorHAnsi"/>
                <w:sz w:val="24"/>
                <w:szCs w:val="24"/>
                <w:lang w:val="ro-MD"/>
              </w:rPr>
            </w:pPr>
            <w:r w:rsidRPr="00401691">
              <w:rPr>
                <w:rFonts w:asciiTheme="majorHAnsi" w:hAnsiTheme="majorHAnsi" w:cstheme="majorHAnsi"/>
                <w:sz w:val="24"/>
                <w:szCs w:val="24"/>
                <w:lang w:val="ro-MD"/>
              </w:rPr>
              <w:t>Hotărârea cu privire la executarea silită a obligației fiscale a contribuabilului</w:t>
            </w:r>
          </w:p>
        </w:tc>
      </w:tr>
      <w:tr w:rsidR="00097F5A" w:rsidRPr="00401691" w:rsidTr="001C3EB7">
        <w:tc>
          <w:tcPr>
            <w:tcW w:w="1980" w:type="dxa"/>
          </w:tcPr>
          <w:p w:rsidR="00097F5A" w:rsidRPr="00401691" w:rsidRDefault="00097F5A" w:rsidP="00844145">
            <w:pPr>
              <w:tabs>
                <w:tab w:val="left" w:pos="450"/>
                <w:tab w:val="left" w:pos="3600"/>
              </w:tabs>
              <w:spacing w:line="276" w:lineRule="auto"/>
              <w:ind w:right="9"/>
              <w:rPr>
                <w:rFonts w:asciiTheme="majorHAnsi" w:eastAsia="Times New Roman" w:hAnsiTheme="majorHAnsi" w:cstheme="majorHAnsi"/>
                <w:b/>
                <w:sz w:val="24"/>
                <w:szCs w:val="24"/>
                <w:lang w:val="ro-MD"/>
              </w:rPr>
            </w:pPr>
            <w:r w:rsidRPr="00401691">
              <w:rPr>
                <w:rFonts w:asciiTheme="majorHAnsi" w:eastAsia="Times New Roman" w:hAnsiTheme="majorHAnsi" w:cstheme="majorHAnsi"/>
                <w:b/>
                <w:sz w:val="24"/>
                <w:szCs w:val="24"/>
                <w:lang w:val="ro-MD"/>
              </w:rPr>
              <w:t>PIB</w:t>
            </w:r>
          </w:p>
        </w:tc>
        <w:tc>
          <w:tcPr>
            <w:tcW w:w="7380" w:type="dxa"/>
          </w:tcPr>
          <w:p w:rsidR="00097F5A" w:rsidRPr="00401691" w:rsidRDefault="00097F5A" w:rsidP="00844145">
            <w:pPr>
              <w:spacing w:line="276" w:lineRule="auto"/>
              <w:rPr>
                <w:rFonts w:asciiTheme="majorHAnsi" w:hAnsiTheme="majorHAnsi" w:cstheme="majorHAnsi"/>
                <w:sz w:val="24"/>
                <w:szCs w:val="24"/>
                <w:lang w:val="ro-MD"/>
              </w:rPr>
            </w:pPr>
            <w:r w:rsidRPr="00401691">
              <w:rPr>
                <w:rFonts w:asciiTheme="majorHAnsi" w:hAnsiTheme="majorHAnsi" w:cstheme="majorHAnsi"/>
                <w:sz w:val="24"/>
                <w:szCs w:val="24"/>
                <w:lang w:val="ro-MD"/>
              </w:rPr>
              <w:t>Produsul Intern Brut</w:t>
            </w:r>
          </w:p>
        </w:tc>
      </w:tr>
      <w:tr w:rsidR="00097F5A" w:rsidRPr="00401691" w:rsidTr="001C3EB7">
        <w:tc>
          <w:tcPr>
            <w:tcW w:w="1980" w:type="dxa"/>
          </w:tcPr>
          <w:p w:rsidR="00097F5A" w:rsidRPr="00401691" w:rsidRDefault="00097F5A" w:rsidP="00844145">
            <w:pPr>
              <w:tabs>
                <w:tab w:val="left" w:pos="450"/>
                <w:tab w:val="left" w:pos="3600"/>
              </w:tabs>
              <w:spacing w:line="276" w:lineRule="auto"/>
              <w:ind w:right="9"/>
              <w:rPr>
                <w:rFonts w:asciiTheme="majorHAnsi" w:eastAsia="Times New Roman" w:hAnsiTheme="majorHAnsi" w:cstheme="majorHAnsi"/>
                <w:b/>
                <w:sz w:val="24"/>
                <w:szCs w:val="24"/>
                <w:lang w:val="ro-MD"/>
              </w:rPr>
            </w:pPr>
            <w:r w:rsidRPr="00401691">
              <w:rPr>
                <w:rFonts w:asciiTheme="majorHAnsi" w:eastAsia="Times New Roman" w:hAnsiTheme="majorHAnsi" w:cstheme="majorHAnsi"/>
                <w:b/>
                <w:sz w:val="24"/>
                <w:szCs w:val="24"/>
                <w:lang w:val="ro-MD"/>
              </w:rPr>
              <w:t>SIA</w:t>
            </w:r>
          </w:p>
        </w:tc>
        <w:tc>
          <w:tcPr>
            <w:tcW w:w="7380" w:type="dxa"/>
          </w:tcPr>
          <w:p w:rsidR="00097F5A" w:rsidRPr="00401691" w:rsidRDefault="00097F5A" w:rsidP="00844145">
            <w:pPr>
              <w:spacing w:line="276" w:lineRule="auto"/>
              <w:rPr>
                <w:rFonts w:asciiTheme="majorHAnsi" w:hAnsiTheme="majorHAnsi" w:cstheme="majorHAnsi"/>
                <w:sz w:val="24"/>
                <w:szCs w:val="24"/>
                <w:lang w:val="ro-MD"/>
              </w:rPr>
            </w:pPr>
            <w:r w:rsidRPr="00401691">
              <w:rPr>
                <w:rFonts w:asciiTheme="majorHAnsi" w:hAnsiTheme="majorHAnsi" w:cstheme="majorHAnsi"/>
                <w:sz w:val="24"/>
                <w:szCs w:val="24"/>
                <w:lang w:val="ro-MD"/>
              </w:rPr>
              <w:t>Sistemul informațional automatizat</w:t>
            </w:r>
          </w:p>
        </w:tc>
      </w:tr>
      <w:tr w:rsidR="00430CF4" w:rsidRPr="00401691" w:rsidTr="001C3EB7">
        <w:tc>
          <w:tcPr>
            <w:tcW w:w="1980" w:type="dxa"/>
          </w:tcPr>
          <w:p w:rsidR="00430CF4" w:rsidRPr="00401691" w:rsidRDefault="00430CF4" w:rsidP="00844145">
            <w:pPr>
              <w:tabs>
                <w:tab w:val="left" w:pos="450"/>
                <w:tab w:val="left" w:pos="3600"/>
              </w:tabs>
              <w:spacing w:line="276" w:lineRule="auto"/>
              <w:ind w:right="9"/>
              <w:rPr>
                <w:rFonts w:asciiTheme="majorHAnsi" w:eastAsia="Times New Roman" w:hAnsiTheme="majorHAnsi" w:cstheme="majorHAnsi"/>
                <w:b/>
                <w:sz w:val="24"/>
                <w:szCs w:val="24"/>
                <w:lang w:val="ro-MD"/>
              </w:rPr>
            </w:pPr>
            <w:r w:rsidRPr="00401691">
              <w:rPr>
                <w:rFonts w:asciiTheme="majorHAnsi" w:eastAsia="Times New Roman" w:hAnsiTheme="majorHAnsi" w:cstheme="majorHAnsi"/>
                <w:b/>
                <w:sz w:val="24"/>
                <w:szCs w:val="24"/>
                <w:lang w:val="ro-MD"/>
              </w:rPr>
              <w:t>SIA CCC</w:t>
            </w:r>
          </w:p>
        </w:tc>
        <w:tc>
          <w:tcPr>
            <w:tcW w:w="7380" w:type="dxa"/>
          </w:tcPr>
          <w:p w:rsidR="00430CF4" w:rsidRPr="00401691" w:rsidRDefault="00430CF4" w:rsidP="00844145">
            <w:pPr>
              <w:spacing w:line="276" w:lineRule="auto"/>
              <w:rPr>
                <w:rFonts w:asciiTheme="majorHAnsi" w:hAnsiTheme="majorHAnsi" w:cstheme="majorHAnsi"/>
                <w:sz w:val="24"/>
                <w:szCs w:val="24"/>
                <w:lang w:val="ro-MD"/>
              </w:rPr>
            </w:pPr>
            <w:r w:rsidRPr="00401691">
              <w:rPr>
                <w:rFonts w:asciiTheme="majorHAnsi" w:hAnsiTheme="majorHAnsi" w:cstheme="majorHAnsi"/>
                <w:sz w:val="24"/>
                <w:szCs w:val="24"/>
                <w:lang w:val="ro-MD"/>
              </w:rPr>
              <w:t xml:space="preserve">Sistemul informațional automatizat </w:t>
            </w:r>
            <w:r w:rsidR="004836DA">
              <w:rPr>
                <w:rFonts w:asciiTheme="majorHAnsi" w:hAnsiTheme="majorHAnsi" w:cstheme="majorHAnsi"/>
                <w:sz w:val="24"/>
                <w:szCs w:val="24"/>
                <w:lang w:val="ro-MD"/>
              </w:rPr>
              <w:t>„</w:t>
            </w:r>
            <w:r w:rsidRPr="004836DA">
              <w:rPr>
                <w:rFonts w:asciiTheme="majorHAnsi" w:hAnsiTheme="majorHAnsi" w:cstheme="majorHAnsi"/>
                <w:sz w:val="24"/>
                <w:szCs w:val="24"/>
                <w:lang w:val="ro-MD"/>
              </w:rPr>
              <w:t>Cont Curent</w:t>
            </w:r>
            <w:r w:rsidRPr="00401691">
              <w:rPr>
                <w:rFonts w:asciiTheme="majorHAnsi" w:hAnsiTheme="majorHAnsi" w:cstheme="majorHAnsi"/>
                <w:sz w:val="24"/>
                <w:szCs w:val="24"/>
                <w:lang w:val="ro-MD"/>
              </w:rPr>
              <w:t xml:space="preserve"> al Contribuabilului</w:t>
            </w:r>
            <w:r w:rsidR="004836DA">
              <w:rPr>
                <w:rFonts w:asciiTheme="majorHAnsi" w:hAnsiTheme="majorHAnsi" w:cstheme="majorHAnsi"/>
                <w:sz w:val="24"/>
                <w:szCs w:val="24"/>
                <w:lang w:val="ro-MD"/>
              </w:rPr>
              <w:t>”</w:t>
            </w:r>
          </w:p>
        </w:tc>
      </w:tr>
      <w:tr w:rsidR="005F14D1" w:rsidRPr="00401691" w:rsidTr="001C3EB7">
        <w:tc>
          <w:tcPr>
            <w:tcW w:w="1980" w:type="dxa"/>
          </w:tcPr>
          <w:p w:rsidR="005F14D1" w:rsidRPr="00401691" w:rsidRDefault="005F14D1" w:rsidP="00844145">
            <w:pPr>
              <w:tabs>
                <w:tab w:val="left" w:pos="450"/>
                <w:tab w:val="left" w:pos="3600"/>
              </w:tabs>
              <w:spacing w:line="276" w:lineRule="auto"/>
              <w:ind w:right="9"/>
              <w:rPr>
                <w:rFonts w:asciiTheme="majorHAnsi" w:eastAsia="Times New Roman" w:hAnsiTheme="majorHAnsi" w:cstheme="majorHAnsi"/>
                <w:b/>
                <w:sz w:val="24"/>
                <w:szCs w:val="24"/>
                <w:lang w:val="ro-MD"/>
              </w:rPr>
            </w:pPr>
            <w:r w:rsidRPr="00401691">
              <w:rPr>
                <w:rFonts w:asciiTheme="majorHAnsi" w:hAnsiTheme="majorHAnsi" w:cstheme="majorHAnsi"/>
                <w:b/>
                <w:sz w:val="24"/>
                <w:szCs w:val="24"/>
                <w:lang w:val="ro-MD"/>
              </w:rPr>
              <w:t>SIA REPORTS,</w:t>
            </w:r>
            <w:r w:rsidRPr="00401691">
              <w:rPr>
                <w:rFonts w:asciiTheme="majorHAnsi" w:hAnsiTheme="majorHAnsi" w:cstheme="majorHAnsi"/>
                <w:sz w:val="24"/>
                <w:szCs w:val="24"/>
                <w:lang w:val="ro-MD"/>
              </w:rPr>
              <w:t xml:space="preserve"> </w:t>
            </w:r>
            <w:r w:rsidRPr="00401691">
              <w:rPr>
                <w:rFonts w:asciiTheme="majorHAnsi" w:hAnsiTheme="majorHAnsi" w:cstheme="majorHAnsi"/>
                <w:b/>
                <w:sz w:val="24"/>
                <w:szCs w:val="24"/>
                <w:lang w:val="ro-MD"/>
              </w:rPr>
              <w:t xml:space="preserve">SI </w:t>
            </w:r>
            <w:proofErr w:type="spellStart"/>
            <w:r w:rsidRPr="00401691">
              <w:rPr>
                <w:rFonts w:asciiTheme="majorHAnsi" w:hAnsiTheme="majorHAnsi" w:cstheme="majorHAnsi"/>
                <w:b/>
                <w:sz w:val="24"/>
                <w:szCs w:val="24"/>
                <w:lang w:val="ro-MD"/>
              </w:rPr>
              <w:t>Trezor</w:t>
            </w:r>
            <w:proofErr w:type="spellEnd"/>
            <w:r w:rsidRPr="00401691">
              <w:rPr>
                <w:rFonts w:asciiTheme="majorHAnsi" w:hAnsiTheme="majorHAnsi" w:cstheme="majorHAnsi"/>
                <w:b/>
                <w:sz w:val="24"/>
                <w:szCs w:val="24"/>
                <w:lang w:val="ro-MD"/>
              </w:rPr>
              <w:t xml:space="preserve">, SI </w:t>
            </w:r>
            <w:proofErr w:type="spellStart"/>
            <w:r w:rsidRPr="00401691">
              <w:rPr>
                <w:rFonts w:asciiTheme="majorHAnsi" w:hAnsiTheme="majorHAnsi" w:cstheme="majorHAnsi"/>
                <w:b/>
                <w:sz w:val="24"/>
                <w:szCs w:val="24"/>
                <w:lang w:val="ro-MD"/>
              </w:rPr>
              <w:t>Foxpro</w:t>
            </w:r>
            <w:proofErr w:type="spellEnd"/>
          </w:p>
        </w:tc>
        <w:tc>
          <w:tcPr>
            <w:tcW w:w="7380" w:type="dxa"/>
          </w:tcPr>
          <w:p w:rsidR="005F14D1" w:rsidRPr="00401691" w:rsidRDefault="005F14D1" w:rsidP="00844145">
            <w:pPr>
              <w:spacing w:line="276" w:lineRule="auto"/>
              <w:rPr>
                <w:rFonts w:asciiTheme="majorHAnsi" w:hAnsiTheme="majorHAnsi" w:cstheme="majorHAnsi"/>
                <w:sz w:val="24"/>
                <w:szCs w:val="24"/>
                <w:lang w:val="ro-MD"/>
              </w:rPr>
            </w:pPr>
            <w:r w:rsidRPr="00401691">
              <w:rPr>
                <w:rFonts w:asciiTheme="majorHAnsi" w:hAnsiTheme="majorHAnsi" w:cstheme="majorHAnsi"/>
                <w:sz w:val="24"/>
                <w:szCs w:val="24"/>
                <w:lang w:val="ro-MD"/>
              </w:rPr>
              <w:t xml:space="preserve">Sisteme informaționale gestionate de SFS </w:t>
            </w:r>
          </w:p>
        </w:tc>
      </w:tr>
      <w:tr w:rsidR="00097F5A" w:rsidRPr="00401691" w:rsidTr="001C3EB7">
        <w:tc>
          <w:tcPr>
            <w:tcW w:w="1980" w:type="dxa"/>
          </w:tcPr>
          <w:p w:rsidR="00097F5A" w:rsidRPr="00401691" w:rsidRDefault="00097F5A" w:rsidP="00844145">
            <w:pPr>
              <w:tabs>
                <w:tab w:val="left" w:pos="450"/>
                <w:tab w:val="left" w:pos="3600"/>
              </w:tabs>
              <w:spacing w:line="276" w:lineRule="auto"/>
              <w:ind w:right="9"/>
              <w:rPr>
                <w:rFonts w:asciiTheme="majorHAnsi" w:eastAsia="Times New Roman" w:hAnsiTheme="majorHAnsi" w:cstheme="majorHAnsi"/>
                <w:b/>
                <w:sz w:val="24"/>
                <w:szCs w:val="24"/>
                <w:lang w:val="ro-MD"/>
              </w:rPr>
            </w:pPr>
            <w:r w:rsidRPr="00401691">
              <w:rPr>
                <w:rFonts w:asciiTheme="majorHAnsi" w:eastAsia="Times New Roman" w:hAnsiTheme="majorHAnsi" w:cstheme="majorHAnsi"/>
                <w:b/>
                <w:sz w:val="24"/>
                <w:szCs w:val="24"/>
                <w:lang w:val="ro-MD"/>
              </w:rPr>
              <w:t>TVA</w:t>
            </w:r>
          </w:p>
        </w:tc>
        <w:tc>
          <w:tcPr>
            <w:tcW w:w="7380" w:type="dxa"/>
          </w:tcPr>
          <w:p w:rsidR="00097F5A" w:rsidRPr="00401691" w:rsidRDefault="00097F5A" w:rsidP="00844145">
            <w:pPr>
              <w:spacing w:line="276" w:lineRule="auto"/>
              <w:rPr>
                <w:rFonts w:asciiTheme="majorHAnsi" w:hAnsiTheme="majorHAnsi" w:cstheme="majorHAnsi"/>
                <w:sz w:val="24"/>
                <w:szCs w:val="24"/>
                <w:lang w:val="ro-MD"/>
              </w:rPr>
            </w:pPr>
            <w:r w:rsidRPr="00401691">
              <w:rPr>
                <w:rFonts w:asciiTheme="majorHAnsi" w:hAnsiTheme="majorHAnsi" w:cstheme="majorHAnsi"/>
                <w:sz w:val="24"/>
                <w:szCs w:val="24"/>
                <w:lang w:val="ro-MD"/>
              </w:rPr>
              <w:t>Taxa pe valoarea adăugată</w:t>
            </w:r>
          </w:p>
        </w:tc>
      </w:tr>
      <w:tr w:rsidR="00481C66" w:rsidRPr="00401691" w:rsidTr="001C3EB7">
        <w:tc>
          <w:tcPr>
            <w:tcW w:w="1980" w:type="dxa"/>
          </w:tcPr>
          <w:p w:rsidR="00481C66" w:rsidRPr="00401691" w:rsidRDefault="00481C66" w:rsidP="00481C66">
            <w:pPr>
              <w:tabs>
                <w:tab w:val="left" w:pos="450"/>
                <w:tab w:val="left" w:pos="3600"/>
              </w:tabs>
              <w:spacing w:line="276" w:lineRule="auto"/>
              <w:ind w:right="9"/>
              <w:rPr>
                <w:rFonts w:asciiTheme="majorHAnsi" w:eastAsia="Times New Roman" w:hAnsiTheme="majorHAnsi" w:cstheme="majorHAnsi"/>
                <w:b/>
                <w:sz w:val="24"/>
                <w:szCs w:val="24"/>
                <w:lang w:val="ro-MD"/>
              </w:rPr>
            </w:pPr>
            <w:r>
              <w:rPr>
                <w:rFonts w:asciiTheme="majorHAnsi" w:eastAsia="Times New Roman" w:hAnsiTheme="majorHAnsi" w:cstheme="majorHAnsi"/>
                <w:b/>
                <w:sz w:val="24"/>
                <w:szCs w:val="24"/>
                <w:lang w:val="ro-MD"/>
              </w:rPr>
              <w:t>PCCOC</w:t>
            </w:r>
            <w:r w:rsidRPr="00481C66">
              <w:rPr>
                <w:rFonts w:asciiTheme="majorHAnsi" w:eastAsia="Times New Roman" w:hAnsiTheme="majorHAnsi" w:cstheme="majorHAnsi"/>
                <w:b/>
                <w:sz w:val="24"/>
                <w:szCs w:val="24"/>
                <w:lang w:val="ro-MD"/>
              </w:rPr>
              <w:t>S</w:t>
            </w:r>
          </w:p>
        </w:tc>
        <w:tc>
          <w:tcPr>
            <w:tcW w:w="7380" w:type="dxa"/>
          </w:tcPr>
          <w:p w:rsidR="00481C66" w:rsidRPr="00401691" w:rsidRDefault="00481C66" w:rsidP="00844145">
            <w:pPr>
              <w:spacing w:line="276" w:lineRule="auto"/>
              <w:rPr>
                <w:rFonts w:asciiTheme="majorHAnsi" w:hAnsiTheme="majorHAnsi" w:cstheme="majorHAnsi"/>
                <w:sz w:val="24"/>
                <w:szCs w:val="24"/>
                <w:lang w:val="ro-MD"/>
              </w:rPr>
            </w:pPr>
            <w:r w:rsidRPr="00481C66">
              <w:rPr>
                <w:rFonts w:asciiTheme="majorHAnsi" w:hAnsiTheme="majorHAnsi" w:cstheme="majorHAnsi"/>
                <w:sz w:val="24"/>
                <w:szCs w:val="24"/>
                <w:lang w:val="ro-MD"/>
              </w:rPr>
              <w:t>Procuraturii pentru Combaterea Criminalității Organizate și Cauze Speciale</w:t>
            </w:r>
          </w:p>
        </w:tc>
      </w:tr>
      <w:tr w:rsidR="00481C66" w:rsidRPr="00401691" w:rsidTr="001C3EB7">
        <w:tc>
          <w:tcPr>
            <w:tcW w:w="1980" w:type="dxa"/>
          </w:tcPr>
          <w:p w:rsidR="00481C66" w:rsidRPr="00401691" w:rsidRDefault="00481C66" w:rsidP="00844145">
            <w:pPr>
              <w:tabs>
                <w:tab w:val="left" w:pos="450"/>
                <w:tab w:val="left" w:pos="3600"/>
              </w:tabs>
              <w:spacing w:line="276" w:lineRule="auto"/>
              <w:ind w:right="9"/>
              <w:rPr>
                <w:rFonts w:asciiTheme="majorHAnsi" w:eastAsia="Times New Roman" w:hAnsiTheme="majorHAnsi" w:cstheme="majorHAnsi"/>
                <w:b/>
                <w:sz w:val="24"/>
                <w:szCs w:val="24"/>
                <w:lang w:val="ro-MD"/>
              </w:rPr>
            </w:pPr>
            <w:r>
              <w:rPr>
                <w:rFonts w:asciiTheme="majorHAnsi" w:eastAsia="Times New Roman" w:hAnsiTheme="majorHAnsi" w:cstheme="majorHAnsi"/>
                <w:b/>
                <w:sz w:val="24"/>
                <w:szCs w:val="24"/>
                <w:lang w:val="ro-MD"/>
              </w:rPr>
              <w:t>CNA</w:t>
            </w:r>
          </w:p>
        </w:tc>
        <w:tc>
          <w:tcPr>
            <w:tcW w:w="7380" w:type="dxa"/>
          </w:tcPr>
          <w:p w:rsidR="00481C66" w:rsidRPr="00401691" w:rsidRDefault="00481C66" w:rsidP="00844145">
            <w:pPr>
              <w:spacing w:line="276" w:lineRule="auto"/>
              <w:rPr>
                <w:rFonts w:asciiTheme="majorHAnsi" w:hAnsiTheme="majorHAnsi" w:cstheme="majorHAnsi"/>
                <w:sz w:val="24"/>
                <w:szCs w:val="24"/>
                <w:lang w:val="ro-MD"/>
              </w:rPr>
            </w:pPr>
            <w:r>
              <w:rPr>
                <w:rFonts w:asciiTheme="majorHAnsi" w:hAnsiTheme="majorHAnsi" w:cstheme="majorHAnsi"/>
                <w:sz w:val="24"/>
                <w:szCs w:val="24"/>
                <w:lang w:val="ro-MD"/>
              </w:rPr>
              <w:t>Centrul Național Anticorupție</w:t>
            </w:r>
          </w:p>
        </w:tc>
      </w:tr>
    </w:tbl>
    <w:p w:rsidR="00EA7226" w:rsidRDefault="00EA7226" w:rsidP="00844145">
      <w:pPr>
        <w:tabs>
          <w:tab w:val="left" w:pos="360"/>
        </w:tabs>
        <w:spacing w:after="0" w:line="276" w:lineRule="auto"/>
        <w:jc w:val="both"/>
        <w:rPr>
          <w:rFonts w:asciiTheme="majorHAnsi" w:hAnsiTheme="majorHAnsi" w:cstheme="majorHAnsi"/>
          <w:sz w:val="24"/>
          <w:szCs w:val="24"/>
          <w:lang w:val="ro-MD"/>
        </w:rPr>
      </w:pPr>
    </w:p>
    <w:p w:rsidR="000B1E24" w:rsidRDefault="000B1E24" w:rsidP="00844145">
      <w:pPr>
        <w:tabs>
          <w:tab w:val="left" w:pos="360"/>
        </w:tabs>
        <w:spacing w:after="0" w:line="276" w:lineRule="auto"/>
        <w:jc w:val="both"/>
        <w:rPr>
          <w:rFonts w:asciiTheme="majorHAnsi" w:hAnsiTheme="majorHAnsi" w:cstheme="majorHAnsi"/>
          <w:sz w:val="24"/>
          <w:szCs w:val="24"/>
          <w:lang w:val="ro-MD"/>
        </w:rPr>
      </w:pPr>
    </w:p>
    <w:p w:rsidR="000B1E24" w:rsidRPr="00401691" w:rsidRDefault="000B1E24" w:rsidP="00844145">
      <w:pPr>
        <w:tabs>
          <w:tab w:val="left" w:pos="360"/>
        </w:tabs>
        <w:spacing w:after="0" w:line="276" w:lineRule="auto"/>
        <w:jc w:val="both"/>
        <w:rPr>
          <w:rFonts w:asciiTheme="majorHAnsi" w:hAnsiTheme="majorHAnsi" w:cstheme="majorHAnsi"/>
          <w:sz w:val="24"/>
          <w:szCs w:val="24"/>
          <w:lang w:val="ro-MD"/>
        </w:rPr>
      </w:pPr>
    </w:p>
    <w:p w:rsidR="00EA7226" w:rsidRPr="00401691" w:rsidRDefault="00EA7226" w:rsidP="00844145">
      <w:pPr>
        <w:spacing w:after="0" w:line="276" w:lineRule="auto"/>
        <w:jc w:val="center"/>
        <w:rPr>
          <w:rFonts w:asciiTheme="majorHAnsi" w:hAnsiTheme="majorHAnsi" w:cstheme="majorHAnsi"/>
          <w:b/>
          <w:sz w:val="28"/>
          <w:szCs w:val="28"/>
          <w:highlight w:val="yellow"/>
          <w:lang w:val="ro-MD"/>
        </w:rPr>
      </w:pPr>
    </w:p>
    <w:p w:rsidR="00EA7226" w:rsidRPr="000D34A8" w:rsidRDefault="00EA7226" w:rsidP="00BB591F">
      <w:pPr>
        <w:pStyle w:val="Heading1"/>
        <w:spacing w:after="0" w:line="276" w:lineRule="auto"/>
        <w:jc w:val="center"/>
        <w:rPr>
          <w:i w:val="0"/>
          <w:color w:val="002060"/>
          <w:sz w:val="24"/>
          <w:szCs w:val="24"/>
          <w:lang w:val="ro-MD"/>
        </w:rPr>
      </w:pPr>
      <w:bookmarkStart w:id="1" w:name="_Toc48732714"/>
      <w:r w:rsidRPr="000D34A8">
        <w:rPr>
          <w:i w:val="0"/>
          <w:color w:val="002060"/>
          <w:sz w:val="24"/>
          <w:szCs w:val="24"/>
          <w:lang w:val="ro-MD"/>
        </w:rPr>
        <w:lastRenderedPageBreak/>
        <w:t>GLOSAR</w:t>
      </w:r>
      <w:bookmarkEnd w:id="1"/>
    </w:p>
    <w:p w:rsidR="00EA7226" w:rsidRPr="00401691" w:rsidRDefault="00EA7226" w:rsidP="00BB591F">
      <w:pPr>
        <w:spacing w:after="120" w:line="240" w:lineRule="auto"/>
        <w:jc w:val="both"/>
        <w:rPr>
          <w:rFonts w:asciiTheme="majorHAnsi" w:eastAsia="Times New Roman" w:hAnsiTheme="majorHAnsi" w:cstheme="majorHAnsi"/>
          <w:b/>
          <w:iCs/>
          <w:sz w:val="24"/>
          <w:szCs w:val="24"/>
          <w:lang w:val="ro-MD" w:eastAsia="ru-RU"/>
        </w:rPr>
      </w:pPr>
      <w:r w:rsidRPr="00401691">
        <w:rPr>
          <w:rFonts w:asciiTheme="majorHAnsi" w:eastAsia="Times New Roman" w:hAnsiTheme="majorHAnsi" w:cstheme="majorHAnsi"/>
          <w:b/>
          <w:iCs/>
          <w:sz w:val="24"/>
          <w:szCs w:val="24"/>
          <w:lang w:val="ro-MD" w:eastAsia="ru-RU"/>
        </w:rPr>
        <w:t>Contribuabil</w:t>
      </w:r>
      <w:r w:rsidRPr="00401691">
        <w:rPr>
          <w:rFonts w:asciiTheme="majorHAnsi" w:eastAsia="Times New Roman" w:hAnsiTheme="majorHAnsi" w:cstheme="majorHAnsi"/>
          <w:i/>
          <w:iCs/>
          <w:sz w:val="24"/>
          <w:szCs w:val="24"/>
          <w:lang w:val="ro-MD" w:eastAsia="ru-RU"/>
        </w:rPr>
        <w:t xml:space="preserve"> </w:t>
      </w:r>
      <w:r w:rsidRPr="00401691">
        <w:rPr>
          <w:rFonts w:asciiTheme="majorHAnsi" w:eastAsia="Times New Roman" w:hAnsiTheme="majorHAnsi" w:cstheme="majorHAnsi"/>
          <w:sz w:val="24"/>
          <w:szCs w:val="24"/>
          <w:lang w:val="ro-MD" w:eastAsia="ru-RU"/>
        </w:rPr>
        <w:t xml:space="preserve">– persoană care, conform legislației fiscale, este obligată să calculeze și/sau să achite la buget orice impozite și taxe, penalitățile și amenzile respective; persoană care, conform legislației fiscale, este obligată să rețină sau să perceapă de la altă persoană și să achite la buget plățile indicate. </w:t>
      </w:r>
    </w:p>
    <w:p w:rsidR="00EA7226" w:rsidRPr="00401691" w:rsidRDefault="00EA7226" w:rsidP="00BB591F">
      <w:pPr>
        <w:spacing w:after="0" w:line="240" w:lineRule="auto"/>
        <w:jc w:val="both"/>
        <w:rPr>
          <w:rFonts w:asciiTheme="majorHAnsi" w:eastAsia="Times New Roman" w:hAnsiTheme="majorHAnsi" w:cstheme="majorHAnsi"/>
          <w:sz w:val="24"/>
          <w:szCs w:val="24"/>
          <w:lang w:val="ro-MD" w:eastAsia="ru-RU"/>
        </w:rPr>
      </w:pPr>
      <w:r w:rsidRPr="00401691">
        <w:rPr>
          <w:rFonts w:asciiTheme="majorHAnsi" w:eastAsia="Times New Roman" w:hAnsiTheme="majorHAnsi" w:cstheme="majorHAnsi"/>
          <w:b/>
          <w:iCs/>
          <w:sz w:val="24"/>
          <w:szCs w:val="24"/>
          <w:lang w:val="ro-MD" w:eastAsia="ru-RU"/>
        </w:rPr>
        <w:t>Mare contribuabil</w:t>
      </w:r>
      <w:r w:rsidRPr="00401691">
        <w:rPr>
          <w:rFonts w:asciiTheme="majorHAnsi" w:eastAsia="Times New Roman" w:hAnsiTheme="majorHAnsi" w:cstheme="majorHAnsi"/>
          <w:sz w:val="24"/>
          <w:szCs w:val="24"/>
          <w:lang w:val="ro-MD" w:eastAsia="ru-RU"/>
        </w:rPr>
        <w:t xml:space="preserve"> – contribuabilul identificat conform criteriilor de selectare a marilor contribuabili, elaborate de către SFS</w:t>
      </w:r>
      <w:r w:rsidR="00911241">
        <w:rPr>
          <w:rFonts w:asciiTheme="majorHAnsi" w:eastAsia="Times New Roman" w:hAnsiTheme="majorHAnsi" w:cstheme="majorHAnsi"/>
          <w:sz w:val="24"/>
          <w:szCs w:val="24"/>
          <w:lang w:val="ro-MD" w:eastAsia="ru-RU"/>
        </w:rPr>
        <w:t>,</w:t>
      </w:r>
      <w:r w:rsidRPr="00401691">
        <w:rPr>
          <w:rFonts w:asciiTheme="majorHAnsi" w:eastAsia="Times New Roman" w:hAnsiTheme="majorHAnsi" w:cstheme="majorHAnsi"/>
          <w:sz w:val="24"/>
          <w:szCs w:val="24"/>
          <w:lang w:val="ro-MD" w:eastAsia="ru-RU"/>
        </w:rPr>
        <w:t xml:space="preserve"> </w:t>
      </w:r>
      <w:r w:rsidR="00C33B7F" w:rsidRPr="00401691">
        <w:rPr>
          <w:rFonts w:asciiTheme="majorHAnsi" w:eastAsia="Times New Roman" w:hAnsiTheme="majorHAnsi" w:cstheme="majorHAnsi"/>
          <w:sz w:val="24"/>
          <w:szCs w:val="24"/>
          <w:lang w:val="ro-MD" w:eastAsia="ru-RU"/>
        </w:rPr>
        <w:t>și</w:t>
      </w:r>
      <w:r w:rsidRPr="00401691">
        <w:rPr>
          <w:rFonts w:asciiTheme="majorHAnsi" w:eastAsia="Times New Roman" w:hAnsiTheme="majorHAnsi" w:cstheme="majorHAnsi"/>
          <w:sz w:val="24"/>
          <w:szCs w:val="24"/>
          <w:lang w:val="ro-MD" w:eastAsia="ru-RU"/>
        </w:rPr>
        <w:t xml:space="preserve"> inclus în Lista agenților economici – mari contribuabili. </w:t>
      </w:r>
    </w:p>
    <w:p w:rsidR="00EA7226" w:rsidRPr="00401691" w:rsidRDefault="00EA7226" w:rsidP="00BB591F">
      <w:pPr>
        <w:shd w:val="clear" w:color="auto" w:fill="FFFFFF"/>
        <w:spacing w:after="120" w:line="240" w:lineRule="auto"/>
        <w:jc w:val="both"/>
        <w:textAlignment w:val="baseline"/>
        <w:rPr>
          <w:rFonts w:asciiTheme="majorHAnsi" w:eastAsia="Times New Roman" w:hAnsiTheme="majorHAnsi" w:cstheme="majorHAnsi"/>
          <w:sz w:val="24"/>
          <w:szCs w:val="24"/>
          <w:lang w:val="ro-MD"/>
        </w:rPr>
      </w:pPr>
      <w:r w:rsidRPr="00401691">
        <w:rPr>
          <w:rFonts w:asciiTheme="majorHAnsi" w:eastAsia="Times New Roman" w:hAnsiTheme="majorHAnsi" w:cstheme="majorHAnsi"/>
          <w:b/>
          <w:bCs/>
          <w:iCs/>
          <w:sz w:val="24"/>
          <w:szCs w:val="24"/>
          <w:bdr w:val="none" w:sz="0" w:space="0" w:color="auto" w:frame="1"/>
          <w:lang w:val="ro-MD"/>
        </w:rPr>
        <w:t xml:space="preserve">Baza impozabilă </w:t>
      </w:r>
      <w:r w:rsidRPr="00401691">
        <w:rPr>
          <w:rFonts w:asciiTheme="majorHAnsi" w:eastAsia="Times New Roman" w:hAnsiTheme="majorHAnsi" w:cstheme="majorHAnsi"/>
          <w:sz w:val="24"/>
          <w:szCs w:val="24"/>
          <w:lang w:val="ro-MD" w:eastAsia="x-none"/>
        </w:rPr>
        <w:t>–</w:t>
      </w:r>
      <w:r w:rsidRPr="00401691">
        <w:rPr>
          <w:rFonts w:asciiTheme="majorHAnsi" w:eastAsia="Times New Roman" w:hAnsiTheme="majorHAnsi" w:cstheme="majorHAnsi"/>
          <w:sz w:val="24"/>
          <w:szCs w:val="24"/>
          <w:lang w:val="ro-MD"/>
        </w:rPr>
        <w:t xml:space="preserve"> totalul veniturilor, </w:t>
      </w:r>
      <w:r w:rsidRPr="00401691">
        <w:rPr>
          <w:rFonts w:asciiTheme="majorHAnsi" w:hAnsiTheme="majorHAnsi" w:cstheme="majorHAnsi"/>
          <w:sz w:val="24"/>
          <w:szCs w:val="24"/>
          <w:shd w:val="clear" w:color="auto" w:fill="FFFFFF"/>
          <w:lang w:val="ro-MD"/>
        </w:rPr>
        <w:t>bunurilor, sau alte valori</w:t>
      </w:r>
      <w:r w:rsidRPr="00401691">
        <w:rPr>
          <w:rFonts w:asciiTheme="majorHAnsi" w:eastAsia="Times New Roman" w:hAnsiTheme="majorHAnsi" w:cstheme="majorHAnsi"/>
          <w:sz w:val="24"/>
          <w:szCs w:val="24"/>
          <w:lang w:val="ro-MD"/>
        </w:rPr>
        <w:t xml:space="preserve"> asupra cărora se aplică cota de impozit.</w:t>
      </w:r>
    </w:p>
    <w:p w:rsidR="00EA7226" w:rsidRPr="00401691" w:rsidRDefault="00EA7226" w:rsidP="00BB591F">
      <w:pPr>
        <w:shd w:val="clear" w:color="auto" w:fill="FFFFFF"/>
        <w:spacing w:after="120" w:line="240" w:lineRule="auto"/>
        <w:jc w:val="both"/>
        <w:textAlignment w:val="baseline"/>
        <w:rPr>
          <w:rFonts w:asciiTheme="majorHAnsi" w:eastAsia="Times New Roman" w:hAnsiTheme="majorHAnsi" w:cstheme="majorHAnsi"/>
          <w:b/>
          <w:bCs/>
          <w:iCs/>
          <w:color w:val="424242"/>
          <w:sz w:val="24"/>
          <w:szCs w:val="24"/>
          <w:bdr w:val="none" w:sz="0" w:space="0" w:color="auto" w:frame="1"/>
          <w:lang w:val="ro-MD"/>
        </w:rPr>
      </w:pPr>
      <w:r w:rsidRPr="00401691">
        <w:rPr>
          <w:rFonts w:asciiTheme="majorHAnsi" w:hAnsiTheme="majorHAnsi" w:cstheme="majorHAnsi"/>
          <w:b/>
          <w:color w:val="000000"/>
          <w:sz w:val="24"/>
          <w:szCs w:val="24"/>
          <w:shd w:val="clear" w:color="auto" w:fill="FFFFFF"/>
          <w:lang w:val="ro-MD"/>
        </w:rPr>
        <w:t>Obiectul impunerii</w:t>
      </w:r>
      <w:r w:rsidRPr="00401691">
        <w:rPr>
          <w:rFonts w:asciiTheme="majorHAnsi" w:hAnsiTheme="majorHAnsi" w:cstheme="majorHAnsi"/>
          <w:color w:val="000000"/>
          <w:sz w:val="24"/>
          <w:szCs w:val="24"/>
          <w:shd w:val="clear" w:color="auto" w:fill="FFFFFF"/>
          <w:lang w:val="ro-MD"/>
        </w:rPr>
        <w:t xml:space="preserve"> </w:t>
      </w:r>
      <w:r w:rsidRPr="00401691">
        <w:rPr>
          <w:rFonts w:asciiTheme="majorHAnsi" w:eastAsia="Times New Roman" w:hAnsiTheme="majorHAnsi" w:cstheme="majorHAnsi"/>
          <w:sz w:val="24"/>
          <w:szCs w:val="24"/>
          <w:lang w:val="ro-MD" w:eastAsia="x-none"/>
        </w:rPr>
        <w:t>–</w:t>
      </w:r>
      <w:r w:rsidRPr="00401691">
        <w:rPr>
          <w:rFonts w:asciiTheme="majorHAnsi" w:hAnsiTheme="majorHAnsi" w:cstheme="majorHAnsi"/>
          <w:color w:val="000000"/>
          <w:sz w:val="24"/>
          <w:szCs w:val="24"/>
          <w:shd w:val="clear" w:color="auto" w:fill="FFFFFF"/>
          <w:lang w:val="ro-MD"/>
        </w:rPr>
        <w:t xml:space="preserve"> valoarea asupra căreia se calculează impozitul/taxa ori </w:t>
      </w:r>
      <w:r w:rsidR="00C33B7F" w:rsidRPr="00401691">
        <w:rPr>
          <w:rFonts w:asciiTheme="majorHAnsi" w:hAnsiTheme="majorHAnsi" w:cstheme="majorHAnsi"/>
          <w:color w:val="000000"/>
          <w:sz w:val="24"/>
          <w:szCs w:val="24"/>
          <w:shd w:val="clear" w:color="auto" w:fill="FFFFFF"/>
          <w:lang w:val="ro-MD"/>
        </w:rPr>
        <w:t>contribuția</w:t>
      </w:r>
      <w:r w:rsidRPr="00401691">
        <w:rPr>
          <w:rFonts w:asciiTheme="majorHAnsi" w:hAnsiTheme="majorHAnsi" w:cstheme="majorHAnsi"/>
          <w:color w:val="000000"/>
          <w:sz w:val="24"/>
          <w:szCs w:val="24"/>
          <w:shd w:val="clear" w:color="auto" w:fill="FFFFFF"/>
          <w:lang w:val="ro-MD"/>
        </w:rPr>
        <w:t>.</w:t>
      </w:r>
    </w:p>
    <w:p w:rsidR="00C33B7F" w:rsidRPr="00401691" w:rsidRDefault="00C33B7F" w:rsidP="00BB591F">
      <w:pPr>
        <w:spacing w:after="120" w:line="240" w:lineRule="auto"/>
        <w:jc w:val="both"/>
        <w:rPr>
          <w:rFonts w:asciiTheme="majorHAnsi" w:eastAsia="Times New Roman" w:hAnsiTheme="majorHAnsi" w:cstheme="majorHAnsi"/>
          <w:sz w:val="24"/>
          <w:szCs w:val="24"/>
          <w:lang w:val="ro-MD" w:eastAsia="x-none"/>
        </w:rPr>
      </w:pPr>
      <w:r w:rsidRPr="00401691">
        <w:rPr>
          <w:rFonts w:asciiTheme="majorHAnsi" w:eastAsia="Times New Roman" w:hAnsiTheme="majorHAnsi" w:cstheme="majorHAnsi"/>
          <w:b/>
          <w:iCs/>
          <w:sz w:val="24"/>
          <w:szCs w:val="24"/>
          <w:lang w:val="ro-MD" w:eastAsia="x-none"/>
        </w:rPr>
        <w:t>Obligație</w:t>
      </w:r>
      <w:r w:rsidR="00EA7226" w:rsidRPr="00401691">
        <w:rPr>
          <w:rFonts w:asciiTheme="majorHAnsi" w:eastAsia="Times New Roman" w:hAnsiTheme="majorHAnsi" w:cstheme="majorHAnsi"/>
          <w:b/>
          <w:iCs/>
          <w:sz w:val="24"/>
          <w:szCs w:val="24"/>
          <w:lang w:val="ro-MD" w:eastAsia="x-none"/>
        </w:rPr>
        <w:t xml:space="preserve"> fiscală</w:t>
      </w:r>
      <w:r w:rsidR="00EA7226" w:rsidRPr="00401691">
        <w:rPr>
          <w:rFonts w:asciiTheme="majorHAnsi" w:eastAsia="Times New Roman" w:hAnsiTheme="majorHAnsi" w:cstheme="majorHAnsi"/>
          <w:sz w:val="24"/>
          <w:szCs w:val="24"/>
          <w:lang w:val="ro-MD" w:eastAsia="x-none"/>
        </w:rPr>
        <w:t xml:space="preserve"> –</w:t>
      </w:r>
      <w:r w:rsidR="00D736F3">
        <w:rPr>
          <w:rFonts w:asciiTheme="majorHAnsi" w:eastAsia="Times New Roman" w:hAnsiTheme="majorHAnsi" w:cstheme="majorHAnsi"/>
          <w:sz w:val="24"/>
          <w:szCs w:val="24"/>
          <w:lang w:val="ro-MD" w:eastAsia="x-none"/>
        </w:rPr>
        <w:t xml:space="preserve"> </w:t>
      </w:r>
      <w:r w:rsidR="00BB591F" w:rsidRPr="00BB591F">
        <w:rPr>
          <w:rFonts w:asciiTheme="majorHAnsi" w:eastAsia="Times New Roman" w:hAnsiTheme="majorHAnsi" w:cstheme="majorHAnsi"/>
          <w:sz w:val="24"/>
          <w:szCs w:val="24"/>
          <w:lang w:val="ro-MD" w:eastAsia="x-none"/>
        </w:rPr>
        <w:t>obligație a contribuabilului de a plăti la buget o anumită sumă ca impozit, prime de asigurare obligatorie de asistență medicală și contribuții de asigurări sociale de stat obligatorii stabilite în cotă procentuală, majorare de întârziere (penalitate) și/sau amendă</w:t>
      </w:r>
      <w:r w:rsidR="00EA7226" w:rsidRPr="00401691">
        <w:rPr>
          <w:rFonts w:asciiTheme="majorHAnsi" w:eastAsia="Times New Roman" w:hAnsiTheme="majorHAnsi" w:cstheme="majorHAnsi"/>
          <w:sz w:val="24"/>
          <w:szCs w:val="24"/>
          <w:lang w:val="ro-MD" w:eastAsia="x-none"/>
        </w:rPr>
        <w:t>.</w:t>
      </w:r>
    </w:p>
    <w:p w:rsidR="00C33B7F" w:rsidRDefault="00C33B7F" w:rsidP="00BB591F">
      <w:pPr>
        <w:spacing w:after="120" w:line="240" w:lineRule="auto"/>
        <w:jc w:val="both"/>
        <w:rPr>
          <w:rFonts w:asciiTheme="majorHAnsi" w:eastAsia="Times New Roman" w:hAnsiTheme="majorHAnsi" w:cstheme="majorHAnsi"/>
          <w:sz w:val="24"/>
          <w:szCs w:val="24"/>
          <w:lang w:val="ro-MD" w:eastAsia="ru-RU"/>
        </w:rPr>
      </w:pPr>
      <w:r w:rsidRPr="00401691">
        <w:rPr>
          <w:rFonts w:asciiTheme="majorHAnsi" w:eastAsia="Times New Roman" w:hAnsiTheme="majorHAnsi" w:cstheme="majorHAnsi"/>
          <w:b/>
          <w:iCs/>
          <w:sz w:val="24"/>
          <w:szCs w:val="24"/>
          <w:lang w:val="ro-MD" w:eastAsia="ru-RU"/>
        </w:rPr>
        <w:t>Impozit/taxă</w:t>
      </w:r>
      <w:r w:rsidRPr="00401691">
        <w:rPr>
          <w:rFonts w:asciiTheme="majorHAnsi" w:eastAsia="Times New Roman" w:hAnsiTheme="majorHAnsi" w:cstheme="majorHAnsi"/>
          <w:sz w:val="24"/>
          <w:szCs w:val="24"/>
          <w:lang w:val="ro-MD" w:eastAsia="ru-RU"/>
        </w:rPr>
        <w:t xml:space="preserve"> </w:t>
      </w:r>
      <w:r w:rsidRPr="00401691">
        <w:rPr>
          <w:rFonts w:asciiTheme="majorHAnsi" w:eastAsia="Times New Roman" w:hAnsiTheme="majorHAnsi" w:cstheme="majorHAnsi"/>
          <w:sz w:val="24"/>
          <w:szCs w:val="24"/>
          <w:lang w:val="ro-MD" w:eastAsia="x-none"/>
        </w:rPr>
        <w:t>–</w:t>
      </w:r>
      <w:r w:rsidRPr="00401691">
        <w:rPr>
          <w:rFonts w:asciiTheme="majorHAnsi" w:eastAsia="Times New Roman" w:hAnsiTheme="majorHAnsi" w:cstheme="majorHAnsi"/>
          <w:sz w:val="24"/>
          <w:szCs w:val="24"/>
          <w:lang w:val="ro-MD" w:eastAsia="ru-RU"/>
        </w:rPr>
        <w:t xml:space="preserve"> plată obligatorie cu titlu gratuit, care nu ține de </w:t>
      </w:r>
      <w:r w:rsidR="00D736F3">
        <w:rPr>
          <w:rFonts w:asciiTheme="majorHAnsi" w:eastAsia="Times New Roman" w:hAnsiTheme="majorHAnsi" w:cstheme="majorHAnsi"/>
          <w:sz w:val="24"/>
          <w:szCs w:val="24"/>
          <w:lang w:val="ro-MD" w:eastAsia="ru-RU"/>
        </w:rPr>
        <w:t>întreprinderea</w:t>
      </w:r>
      <w:r w:rsidRPr="00401691">
        <w:rPr>
          <w:rFonts w:asciiTheme="majorHAnsi" w:eastAsia="Times New Roman" w:hAnsiTheme="majorHAnsi" w:cstheme="majorHAnsi"/>
          <w:sz w:val="24"/>
          <w:szCs w:val="24"/>
          <w:lang w:val="ro-MD" w:eastAsia="ru-RU"/>
        </w:rPr>
        <w:t xml:space="preserve"> unor acțiuni determinate și concrete de către organul împuternicit sau de către persoana cu funcții de răspundere a acestuia pentru sau în raport cu contribuabilul care a achitat această plată.</w:t>
      </w:r>
    </w:p>
    <w:p w:rsidR="005A6856" w:rsidRPr="00401691" w:rsidRDefault="005A6856" w:rsidP="00BB591F">
      <w:pPr>
        <w:spacing w:after="120" w:line="240" w:lineRule="auto"/>
        <w:jc w:val="both"/>
        <w:rPr>
          <w:rFonts w:asciiTheme="majorHAnsi" w:eastAsia="Times New Roman" w:hAnsiTheme="majorHAnsi" w:cstheme="majorHAnsi"/>
          <w:sz w:val="24"/>
          <w:szCs w:val="24"/>
          <w:lang w:val="ro-MD" w:eastAsia="ru-RU"/>
        </w:rPr>
      </w:pPr>
      <w:r w:rsidRPr="005A6856">
        <w:rPr>
          <w:rFonts w:asciiTheme="majorHAnsi" w:eastAsia="Times New Roman" w:hAnsiTheme="majorHAnsi" w:cstheme="majorHAnsi"/>
          <w:b/>
          <w:sz w:val="24"/>
          <w:szCs w:val="24"/>
          <w:lang w:val="ro-MD" w:eastAsia="ru-RU"/>
        </w:rPr>
        <w:t>Restanță</w:t>
      </w:r>
      <w:r>
        <w:rPr>
          <w:rFonts w:asciiTheme="majorHAnsi" w:eastAsia="Times New Roman" w:hAnsiTheme="majorHAnsi" w:cstheme="majorHAnsi"/>
          <w:b/>
          <w:sz w:val="24"/>
          <w:szCs w:val="24"/>
          <w:lang w:val="ro-MD" w:eastAsia="ru-RU"/>
        </w:rPr>
        <w:t>/arierate</w:t>
      </w:r>
      <w:r>
        <w:rPr>
          <w:rFonts w:asciiTheme="majorHAnsi" w:eastAsia="Times New Roman" w:hAnsiTheme="majorHAnsi" w:cstheme="majorHAnsi"/>
          <w:sz w:val="24"/>
          <w:szCs w:val="24"/>
          <w:lang w:val="ro-MD" w:eastAsia="ru-RU"/>
        </w:rPr>
        <w:t xml:space="preserve"> - </w:t>
      </w:r>
      <w:r w:rsidRPr="005A6856">
        <w:rPr>
          <w:rFonts w:asciiTheme="majorHAnsi" w:eastAsia="Times New Roman" w:hAnsiTheme="majorHAnsi" w:cstheme="majorHAnsi"/>
          <w:sz w:val="24"/>
          <w:szCs w:val="24"/>
          <w:lang w:val="ro-MD" w:eastAsia="ru-RU"/>
        </w:rPr>
        <w:t xml:space="preserve">sumă pe care contribuabilul era obligat să o plătească la buget ca impozit, taxă sau altă plată, dar pe care nu a plătit-o în termen, precum </w:t>
      </w:r>
      <w:proofErr w:type="spellStart"/>
      <w:r w:rsidRPr="005A6856">
        <w:rPr>
          <w:rFonts w:asciiTheme="majorHAnsi" w:eastAsia="Times New Roman" w:hAnsiTheme="majorHAnsi" w:cstheme="majorHAnsi"/>
          <w:sz w:val="24"/>
          <w:szCs w:val="24"/>
          <w:lang w:val="ro-MD" w:eastAsia="ru-RU"/>
        </w:rPr>
        <w:t>şi</w:t>
      </w:r>
      <w:proofErr w:type="spellEnd"/>
      <w:r w:rsidRPr="005A6856">
        <w:rPr>
          <w:rFonts w:asciiTheme="majorHAnsi" w:eastAsia="Times New Roman" w:hAnsiTheme="majorHAnsi" w:cstheme="majorHAnsi"/>
          <w:sz w:val="24"/>
          <w:szCs w:val="24"/>
          <w:lang w:val="ro-MD" w:eastAsia="ru-RU"/>
        </w:rPr>
        <w:t xml:space="preserve"> suma majorării de întârziere (penalității) și/sau amenzii.</w:t>
      </w:r>
    </w:p>
    <w:p w:rsidR="00EA7226" w:rsidRPr="00401691" w:rsidRDefault="00EA7226" w:rsidP="00BB591F">
      <w:pPr>
        <w:spacing w:after="120" w:line="240" w:lineRule="auto"/>
        <w:jc w:val="both"/>
        <w:rPr>
          <w:rFonts w:asciiTheme="majorHAnsi" w:eastAsia="Times New Roman" w:hAnsiTheme="majorHAnsi" w:cstheme="majorHAnsi"/>
          <w:sz w:val="24"/>
          <w:szCs w:val="24"/>
          <w:lang w:val="ro-MD" w:eastAsia="x-none"/>
        </w:rPr>
      </w:pPr>
      <w:r w:rsidRPr="00401691">
        <w:rPr>
          <w:rFonts w:asciiTheme="majorHAnsi" w:eastAsia="Times New Roman" w:hAnsiTheme="majorHAnsi" w:cstheme="majorHAnsi"/>
          <w:b/>
          <w:sz w:val="24"/>
          <w:szCs w:val="24"/>
          <w:lang w:val="ro-MD" w:eastAsia="x-none"/>
        </w:rPr>
        <w:lastRenderedPageBreak/>
        <w:t>Conformare fiscală voluntară</w:t>
      </w:r>
      <w:r w:rsidRPr="00401691">
        <w:rPr>
          <w:rFonts w:asciiTheme="majorHAnsi" w:eastAsia="Times New Roman" w:hAnsiTheme="majorHAnsi" w:cstheme="majorHAnsi"/>
          <w:sz w:val="24"/>
          <w:szCs w:val="24"/>
          <w:lang w:val="ro-MD" w:eastAsia="x-none"/>
        </w:rPr>
        <w:t xml:space="preserve"> – calculare corectă, raportare și achitare deplină și la timp la buget a obligației fiscale de către contribuabil în mod benevol.</w:t>
      </w:r>
    </w:p>
    <w:p w:rsidR="005A6856" w:rsidRPr="00401691" w:rsidRDefault="00EA7226" w:rsidP="00BB591F">
      <w:pPr>
        <w:spacing w:after="120" w:line="240" w:lineRule="auto"/>
        <w:jc w:val="both"/>
        <w:rPr>
          <w:rFonts w:asciiTheme="majorHAnsi" w:eastAsia="Times New Roman" w:hAnsiTheme="majorHAnsi" w:cstheme="majorHAnsi"/>
          <w:sz w:val="24"/>
          <w:szCs w:val="24"/>
          <w:lang w:val="ro-MD" w:eastAsia="x-none"/>
        </w:rPr>
      </w:pPr>
      <w:r w:rsidRPr="00401691">
        <w:rPr>
          <w:rFonts w:asciiTheme="majorHAnsi" w:eastAsia="Times New Roman" w:hAnsiTheme="majorHAnsi" w:cstheme="majorHAnsi"/>
          <w:b/>
          <w:iCs/>
          <w:sz w:val="24"/>
          <w:szCs w:val="24"/>
          <w:lang w:val="ro-MD" w:eastAsia="x-none"/>
        </w:rPr>
        <w:t>Control fiscal</w:t>
      </w:r>
      <w:r w:rsidRPr="00401691">
        <w:rPr>
          <w:rFonts w:asciiTheme="majorHAnsi" w:eastAsia="Times New Roman" w:hAnsiTheme="majorHAnsi" w:cstheme="majorHAnsi"/>
          <w:sz w:val="24"/>
          <w:szCs w:val="24"/>
          <w:lang w:val="ro-MD" w:eastAsia="x-none"/>
        </w:rPr>
        <w:t xml:space="preserve"> – verificarea corectitudinii </w:t>
      </w:r>
      <w:r w:rsidR="00D736F3">
        <w:rPr>
          <w:rFonts w:asciiTheme="majorHAnsi" w:eastAsia="Times New Roman" w:hAnsiTheme="majorHAnsi" w:cstheme="majorHAnsi"/>
          <w:sz w:val="24"/>
          <w:szCs w:val="24"/>
          <w:lang w:val="ro-MD" w:eastAsia="x-none"/>
        </w:rPr>
        <w:t>executării de către</w:t>
      </w:r>
      <w:r w:rsidRPr="00401691">
        <w:rPr>
          <w:rFonts w:asciiTheme="majorHAnsi" w:eastAsia="Times New Roman" w:hAnsiTheme="majorHAnsi" w:cstheme="majorHAnsi"/>
          <w:sz w:val="24"/>
          <w:szCs w:val="24"/>
          <w:lang w:val="ro-MD" w:eastAsia="x-none"/>
        </w:rPr>
        <w:t xml:space="preserve"> contribuabil</w:t>
      </w:r>
      <w:r w:rsidR="00D736F3">
        <w:rPr>
          <w:rFonts w:asciiTheme="majorHAnsi" w:eastAsia="Times New Roman" w:hAnsiTheme="majorHAnsi" w:cstheme="majorHAnsi"/>
          <w:sz w:val="24"/>
          <w:szCs w:val="24"/>
          <w:lang w:val="ro-MD" w:eastAsia="x-none"/>
        </w:rPr>
        <w:t xml:space="preserve"> a</w:t>
      </w:r>
      <w:r w:rsidRPr="00401691">
        <w:rPr>
          <w:rFonts w:asciiTheme="majorHAnsi" w:eastAsia="Times New Roman" w:hAnsiTheme="majorHAnsi" w:cstheme="majorHAnsi"/>
          <w:sz w:val="24"/>
          <w:szCs w:val="24"/>
          <w:lang w:val="ro-MD" w:eastAsia="x-none"/>
        </w:rPr>
        <w:t xml:space="preserve"> </w:t>
      </w:r>
      <w:r w:rsidR="00C33B7F" w:rsidRPr="00401691">
        <w:rPr>
          <w:rFonts w:asciiTheme="majorHAnsi" w:eastAsia="Times New Roman" w:hAnsiTheme="majorHAnsi" w:cstheme="majorHAnsi"/>
          <w:sz w:val="24"/>
          <w:szCs w:val="24"/>
          <w:lang w:val="ro-MD" w:eastAsia="x-none"/>
        </w:rPr>
        <w:t>obligați</w:t>
      </w:r>
      <w:r w:rsidR="00D736F3">
        <w:rPr>
          <w:rFonts w:asciiTheme="majorHAnsi" w:eastAsia="Times New Roman" w:hAnsiTheme="majorHAnsi" w:cstheme="majorHAnsi"/>
          <w:sz w:val="24"/>
          <w:szCs w:val="24"/>
          <w:lang w:val="ro-MD" w:eastAsia="x-none"/>
        </w:rPr>
        <w:t>ei</w:t>
      </w:r>
      <w:r w:rsidRPr="00401691">
        <w:rPr>
          <w:rFonts w:asciiTheme="majorHAnsi" w:eastAsia="Times New Roman" w:hAnsiTheme="majorHAnsi" w:cstheme="majorHAnsi"/>
          <w:sz w:val="24"/>
          <w:szCs w:val="24"/>
          <w:lang w:val="ro-MD" w:eastAsia="x-none"/>
        </w:rPr>
        <w:t xml:space="preserve"> fiscal</w:t>
      </w:r>
      <w:r w:rsidR="00D736F3">
        <w:rPr>
          <w:rFonts w:asciiTheme="majorHAnsi" w:eastAsia="Times New Roman" w:hAnsiTheme="majorHAnsi" w:cstheme="majorHAnsi"/>
          <w:sz w:val="24"/>
          <w:szCs w:val="24"/>
          <w:lang w:val="ro-MD" w:eastAsia="x-none"/>
        </w:rPr>
        <w:t>e</w:t>
      </w:r>
      <w:r w:rsidRPr="00401691">
        <w:rPr>
          <w:rFonts w:asciiTheme="majorHAnsi" w:eastAsia="Times New Roman" w:hAnsiTheme="majorHAnsi" w:cstheme="majorHAnsi"/>
          <w:sz w:val="24"/>
          <w:szCs w:val="24"/>
          <w:lang w:val="ro-MD" w:eastAsia="x-none"/>
        </w:rPr>
        <w:t xml:space="preserve"> </w:t>
      </w:r>
      <w:r w:rsidR="00C33B7F" w:rsidRPr="00401691">
        <w:rPr>
          <w:rFonts w:asciiTheme="majorHAnsi" w:eastAsia="Times New Roman" w:hAnsiTheme="majorHAnsi" w:cstheme="majorHAnsi"/>
          <w:sz w:val="24"/>
          <w:szCs w:val="24"/>
          <w:lang w:val="ro-MD" w:eastAsia="x-none"/>
        </w:rPr>
        <w:t>și</w:t>
      </w:r>
      <w:r w:rsidRPr="00401691">
        <w:rPr>
          <w:rFonts w:asciiTheme="majorHAnsi" w:eastAsia="Times New Roman" w:hAnsiTheme="majorHAnsi" w:cstheme="majorHAnsi"/>
          <w:sz w:val="24"/>
          <w:szCs w:val="24"/>
          <w:lang w:val="ro-MD" w:eastAsia="x-none"/>
        </w:rPr>
        <w:t xml:space="preserve"> alt</w:t>
      </w:r>
      <w:r w:rsidR="00D736F3">
        <w:rPr>
          <w:rFonts w:asciiTheme="majorHAnsi" w:eastAsia="Times New Roman" w:hAnsiTheme="majorHAnsi" w:cstheme="majorHAnsi"/>
          <w:sz w:val="24"/>
          <w:szCs w:val="24"/>
          <w:lang w:val="ro-MD" w:eastAsia="x-none"/>
        </w:rPr>
        <w:t>or</w:t>
      </w:r>
      <w:r w:rsidRPr="00401691">
        <w:rPr>
          <w:rFonts w:asciiTheme="majorHAnsi" w:eastAsia="Times New Roman" w:hAnsiTheme="majorHAnsi" w:cstheme="majorHAnsi"/>
          <w:sz w:val="24"/>
          <w:szCs w:val="24"/>
          <w:lang w:val="ro-MD" w:eastAsia="x-none"/>
        </w:rPr>
        <w:t xml:space="preserve"> </w:t>
      </w:r>
      <w:r w:rsidR="00C33B7F" w:rsidRPr="00401691">
        <w:rPr>
          <w:rFonts w:asciiTheme="majorHAnsi" w:eastAsia="Times New Roman" w:hAnsiTheme="majorHAnsi" w:cstheme="majorHAnsi"/>
          <w:sz w:val="24"/>
          <w:szCs w:val="24"/>
          <w:lang w:val="ro-MD" w:eastAsia="x-none"/>
        </w:rPr>
        <w:t>obligații</w:t>
      </w:r>
      <w:r w:rsidRPr="00401691">
        <w:rPr>
          <w:rFonts w:asciiTheme="majorHAnsi" w:eastAsia="Times New Roman" w:hAnsiTheme="majorHAnsi" w:cstheme="majorHAnsi"/>
          <w:sz w:val="24"/>
          <w:szCs w:val="24"/>
          <w:lang w:val="ro-MD" w:eastAsia="x-none"/>
        </w:rPr>
        <w:t xml:space="preserve"> prevăzute de </w:t>
      </w:r>
      <w:r w:rsidR="00C33B7F" w:rsidRPr="00401691">
        <w:rPr>
          <w:rFonts w:asciiTheme="majorHAnsi" w:eastAsia="Times New Roman" w:hAnsiTheme="majorHAnsi" w:cstheme="majorHAnsi"/>
          <w:sz w:val="24"/>
          <w:szCs w:val="24"/>
          <w:lang w:val="ro-MD" w:eastAsia="x-none"/>
        </w:rPr>
        <w:t>legislația</w:t>
      </w:r>
      <w:r w:rsidRPr="00401691">
        <w:rPr>
          <w:rFonts w:asciiTheme="majorHAnsi" w:eastAsia="Times New Roman" w:hAnsiTheme="majorHAnsi" w:cstheme="majorHAnsi"/>
          <w:sz w:val="24"/>
          <w:szCs w:val="24"/>
          <w:lang w:val="ro-MD" w:eastAsia="x-none"/>
        </w:rPr>
        <w:t xml:space="preserve"> fiscală, inclusiv verificarea altor persoane sub aspectul legăturii lor cu activitatea contribuabilului, prin metode, forme </w:t>
      </w:r>
      <w:r w:rsidR="00C33B7F" w:rsidRPr="00401691">
        <w:rPr>
          <w:rFonts w:asciiTheme="majorHAnsi" w:eastAsia="Times New Roman" w:hAnsiTheme="majorHAnsi" w:cstheme="majorHAnsi"/>
          <w:sz w:val="24"/>
          <w:szCs w:val="24"/>
          <w:lang w:val="ro-MD" w:eastAsia="x-none"/>
        </w:rPr>
        <w:t>și</w:t>
      </w:r>
      <w:r w:rsidRPr="00401691">
        <w:rPr>
          <w:rFonts w:asciiTheme="majorHAnsi" w:eastAsia="Times New Roman" w:hAnsiTheme="majorHAnsi" w:cstheme="majorHAnsi"/>
          <w:sz w:val="24"/>
          <w:szCs w:val="24"/>
          <w:lang w:val="ro-MD" w:eastAsia="x-none"/>
        </w:rPr>
        <w:t xml:space="preserve"> </w:t>
      </w:r>
      <w:r w:rsidR="00C33B7F" w:rsidRPr="00401691">
        <w:rPr>
          <w:rFonts w:asciiTheme="majorHAnsi" w:eastAsia="Times New Roman" w:hAnsiTheme="majorHAnsi" w:cstheme="majorHAnsi"/>
          <w:sz w:val="24"/>
          <w:szCs w:val="24"/>
          <w:lang w:val="ro-MD" w:eastAsia="x-none"/>
        </w:rPr>
        <w:t>operațiuni</w:t>
      </w:r>
      <w:r w:rsidRPr="00401691">
        <w:rPr>
          <w:rFonts w:asciiTheme="majorHAnsi" w:eastAsia="Times New Roman" w:hAnsiTheme="majorHAnsi" w:cstheme="majorHAnsi"/>
          <w:sz w:val="24"/>
          <w:szCs w:val="24"/>
          <w:lang w:val="ro-MD" w:eastAsia="x-none"/>
        </w:rPr>
        <w:t xml:space="preserve"> prevăzute de Codul fiscal.</w:t>
      </w:r>
    </w:p>
    <w:p w:rsidR="00EA7226" w:rsidRPr="00401691" w:rsidRDefault="006714F6" w:rsidP="00BB591F">
      <w:pPr>
        <w:spacing w:after="120" w:line="240" w:lineRule="auto"/>
        <w:jc w:val="both"/>
        <w:rPr>
          <w:rFonts w:asciiTheme="majorHAnsi" w:hAnsiTheme="majorHAnsi" w:cstheme="majorHAnsi"/>
          <w:color w:val="000000"/>
          <w:sz w:val="24"/>
          <w:szCs w:val="24"/>
          <w:lang w:val="ro-MD"/>
        </w:rPr>
      </w:pPr>
      <w:r w:rsidRPr="00401691">
        <w:rPr>
          <w:rFonts w:asciiTheme="majorHAnsi" w:hAnsiTheme="majorHAnsi" w:cstheme="majorHAnsi"/>
          <w:b/>
          <w:sz w:val="24"/>
          <w:szCs w:val="24"/>
          <w:lang w:val="ro-MD"/>
        </w:rPr>
        <w:t>R</w:t>
      </w:r>
      <w:r w:rsidR="00EA7226" w:rsidRPr="00401691">
        <w:rPr>
          <w:rFonts w:asciiTheme="majorHAnsi" w:hAnsiTheme="majorHAnsi" w:cstheme="majorHAnsi"/>
          <w:b/>
          <w:sz w:val="24"/>
          <w:szCs w:val="24"/>
          <w:lang w:val="ro-MD"/>
        </w:rPr>
        <w:t>iscuri</w:t>
      </w:r>
      <w:r w:rsidRPr="00401691">
        <w:rPr>
          <w:rFonts w:asciiTheme="majorHAnsi" w:hAnsiTheme="majorHAnsi" w:cstheme="majorHAnsi"/>
          <w:b/>
          <w:sz w:val="24"/>
          <w:szCs w:val="24"/>
          <w:lang w:val="ro-MD"/>
        </w:rPr>
        <w:t xml:space="preserve"> de neconformitate</w:t>
      </w:r>
      <w:r w:rsidR="00EA7226" w:rsidRPr="00401691">
        <w:rPr>
          <w:rFonts w:asciiTheme="majorHAnsi" w:hAnsiTheme="majorHAnsi" w:cstheme="majorHAnsi"/>
          <w:sz w:val="24"/>
          <w:szCs w:val="24"/>
          <w:lang w:val="ro-MD"/>
        </w:rPr>
        <w:t xml:space="preserve"> – utilizarea sistematică a informațiilor disponibile pentru determina</w:t>
      </w:r>
      <w:r w:rsidR="00D736F3">
        <w:rPr>
          <w:rFonts w:asciiTheme="majorHAnsi" w:hAnsiTheme="majorHAnsi" w:cstheme="majorHAnsi"/>
          <w:sz w:val="24"/>
          <w:szCs w:val="24"/>
          <w:lang w:val="ro-MD"/>
        </w:rPr>
        <w:t>rea</w:t>
      </w:r>
      <w:r w:rsidR="00EA7226" w:rsidRPr="00401691">
        <w:rPr>
          <w:rFonts w:asciiTheme="majorHAnsi" w:hAnsiTheme="majorHAnsi" w:cstheme="majorHAnsi"/>
          <w:sz w:val="24"/>
          <w:szCs w:val="24"/>
          <w:lang w:val="ro-MD"/>
        </w:rPr>
        <w:t xml:space="preserve"> cauzel</w:t>
      </w:r>
      <w:r w:rsidR="00D736F3">
        <w:rPr>
          <w:rFonts w:asciiTheme="majorHAnsi" w:hAnsiTheme="majorHAnsi" w:cstheme="majorHAnsi"/>
          <w:sz w:val="24"/>
          <w:szCs w:val="24"/>
          <w:lang w:val="ro-MD"/>
        </w:rPr>
        <w:t xml:space="preserve">or </w:t>
      </w:r>
      <w:r w:rsidR="00EA7226" w:rsidRPr="00401691">
        <w:rPr>
          <w:rFonts w:asciiTheme="majorHAnsi" w:hAnsiTheme="majorHAnsi" w:cstheme="majorHAnsi"/>
          <w:sz w:val="24"/>
          <w:szCs w:val="24"/>
          <w:lang w:val="ro-MD"/>
        </w:rPr>
        <w:t xml:space="preserve"> și condițiil</w:t>
      </w:r>
      <w:r w:rsidR="00D736F3">
        <w:rPr>
          <w:rFonts w:asciiTheme="majorHAnsi" w:hAnsiTheme="majorHAnsi" w:cstheme="majorHAnsi"/>
          <w:sz w:val="24"/>
          <w:szCs w:val="24"/>
          <w:lang w:val="ro-MD"/>
        </w:rPr>
        <w:t>or</w:t>
      </w:r>
      <w:r w:rsidR="00EA7226" w:rsidRPr="00401691">
        <w:rPr>
          <w:rFonts w:asciiTheme="majorHAnsi" w:hAnsiTheme="majorHAnsi" w:cstheme="majorHAnsi"/>
          <w:sz w:val="24"/>
          <w:szCs w:val="24"/>
          <w:lang w:val="ro-MD"/>
        </w:rPr>
        <w:t xml:space="preserve"> apariției riscurilor</w:t>
      </w:r>
      <w:r w:rsidRPr="00401691">
        <w:rPr>
          <w:rFonts w:asciiTheme="majorHAnsi" w:hAnsiTheme="majorHAnsi" w:cstheme="majorHAnsi"/>
          <w:sz w:val="24"/>
          <w:szCs w:val="24"/>
          <w:lang w:val="ro-MD"/>
        </w:rPr>
        <w:t xml:space="preserve"> </w:t>
      </w:r>
      <w:r w:rsidR="00EA7226" w:rsidRPr="00401691">
        <w:rPr>
          <w:rFonts w:asciiTheme="majorHAnsi" w:hAnsiTheme="majorHAnsi" w:cstheme="majorHAnsi"/>
          <w:color w:val="000000"/>
          <w:sz w:val="24"/>
          <w:szCs w:val="24"/>
          <w:lang w:val="ro-MD"/>
        </w:rPr>
        <w:t>, identificarea lor, evaluarea frecvenței și gravit</w:t>
      </w:r>
      <w:r w:rsidR="00D736F3">
        <w:rPr>
          <w:rFonts w:asciiTheme="majorHAnsi" w:hAnsiTheme="majorHAnsi" w:cstheme="majorHAnsi"/>
          <w:color w:val="000000"/>
          <w:sz w:val="24"/>
          <w:szCs w:val="24"/>
          <w:lang w:val="ro-MD"/>
        </w:rPr>
        <w:t>ății</w:t>
      </w:r>
      <w:r w:rsidR="00EA7226" w:rsidRPr="00401691">
        <w:rPr>
          <w:rFonts w:asciiTheme="majorHAnsi" w:hAnsiTheme="majorHAnsi" w:cstheme="majorHAnsi"/>
          <w:color w:val="000000"/>
          <w:sz w:val="24"/>
          <w:szCs w:val="24"/>
          <w:lang w:val="ro-MD"/>
        </w:rPr>
        <w:t xml:space="preserve"> impactului acestora.</w:t>
      </w:r>
    </w:p>
    <w:p w:rsidR="00EA7226" w:rsidRPr="00401691" w:rsidRDefault="00EA7226" w:rsidP="00BB591F">
      <w:pPr>
        <w:spacing w:after="120" w:line="240" w:lineRule="auto"/>
        <w:jc w:val="both"/>
        <w:rPr>
          <w:rFonts w:asciiTheme="majorHAnsi" w:hAnsiTheme="majorHAnsi" w:cstheme="majorHAnsi"/>
          <w:sz w:val="24"/>
          <w:szCs w:val="24"/>
          <w:lang w:val="ro-MD"/>
        </w:rPr>
      </w:pPr>
      <w:r w:rsidRPr="00401691">
        <w:rPr>
          <w:rFonts w:asciiTheme="majorHAnsi" w:hAnsiTheme="majorHAnsi" w:cstheme="majorHAnsi"/>
          <w:b/>
          <w:sz w:val="24"/>
          <w:szCs w:val="24"/>
          <w:lang w:val="ro-MD"/>
        </w:rPr>
        <w:t xml:space="preserve">Decalaj fiscal – </w:t>
      </w:r>
      <w:r w:rsidRPr="00401691">
        <w:rPr>
          <w:rFonts w:asciiTheme="majorHAnsi" w:hAnsiTheme="majorHAnsi" w:cstheme="majorHAnsi"/>
          <w:sz w:val="24"/>
          <w:szCs w:val="24"/>
          <w:lang w:val="ro-MD"/>
        </w:rPr>
        <w:t>diferența dintre suma impozitelor și/sau taxelor datorate teoretic și suma impozitelor și/sau taxelor efectiv colectate pentru o anumită perioadă.</w:t>
      </w:r>
    </w:p>
    <w:p w:rsidR="00EA7226" w:rsidRPr="00401691" w:rsidRDefault="00EA7226" w:rsidP="00BB591F">
      <w:pPr>
        <w:spacing w:after="120" w:line="240" w:lineRule="auto"/>
        <w:jc w:val="both"/>
        <w:rPr>
          <w:rFonts w:asciiTheme="majorHAnsi" w:hAnsiTheme="majorHAnsi" w:cstheme="majorHAnsi"/>
          <w:color w:val="000000"/>
          <w:sz w:val="24"/>
          <w:szCs w:val="24"/>
          <w:lang w:val="ro-MD"/>
        </w:rPr>
      </w:pPr>
      <w:r w:rsidRPr="00401691">
        <w:rPr>
          <w:rFonts w:asciiTheme="majorHAnsi" w:eastAsia="Times New Roman" w:hAnsiTheme="majorHAnsi" w:cstheme="majorHAnsi"/>
          <w:b/>
          <w:iCs/>
          <w:sz w:val="24"/>
          <w:szCs w:val="24"/>
          <w:lang w:val="ro-MD" w:eastAsia="x-none"/>
        </w:rPr>
        <w:t xml:space="preserve">Executare silită a </w:t>
      </w:r>
      <w:r w:rsidR="00C33B7F" w:rsidRPr="00401691">
        <w:rPr>
          <w:rFonts w:asciiTheme="majorHAnsi" w:eastAsia="Times New Roman" w:hAnsiTheme="majorHAnsi" w:cstheme="majorHAnsi"/>
          <w:b/>
          <w:iCs/>
          <w:sz w:val="24"/>
          <w:szCs w:val="24"/>
          <w:lang w:val="ro-MD" w:eastAsia="x-none"/>
        </w:rPr>
        <w:t>obligației</w:t>
      </w:r>
      <w:r w:rsidRPr="00401691">
        <w:rPr>
          <w:rFonts w:asciiTheme="majorHAnsi" w:eastAsia="Times New Roman" w:hAnsiTheme="majorHAnsi" w:cstheme="majorHAnsi"/>
          <w:b/>
          <w:iCs/>
          <w:sz w:val="24"/>
          <w:szCs w:val="24"/>
          <w:lang w:val="ro-MD" w:eastAsia="x-none"/>
        </w:rPr>
        <w:t xml:space="preserve"> fiscale</w:t>
      </w:r>
      <w:r w:rsidRPr="00401691">
        <w:rPr>
          <w:rFonts w:asciiTheme="majorHAnsi" w:eastAsia="Times New Roman" w:hAnsiTheme="majorHAnsi" w:cstheme="majorHAnsi"/>
          <w:sz w:val="24"/>
          <w:szCs w:val="24"/>
          <w:lang w:val="ro-MD" w:eastAsia="x-none"/>
        </w:rPr>
        <w:t xml:space="preserve">– </w:t>
      </w:r>
      <w:r w:rsidR="00C33B7F" w:rsidRPr="00401691">
        <w:rPr>
          <w:rFonts w:asciiTheme="majorHAnsi" w:eastAsia="Times New Roman" w:hAnsiTheme="majorHAnsi" w:cstheme="majorHAnsi"/>
          <w:sz w:val="24"/>
          <w:szCs w:val="24"/>
          <w:lang w:val="ro-MD" w:eastAsia="x-none"/>
        </w:rPr>
        <w:t>acțiuni</w:t>
      </w:r>
      <w:r w:rsidRPr="00401691">
        <w:rPr>
          <w:rFonts w:asciiTheme="majorHAnsi" w:eastAsia="Times New Roman" w:hAnsiTheme="majorHAnsi" w:cstheme="majorHAnsi"/>
          <w:sz w:val="24"/>
          <w:szCs w:val="24"/>
          <w:lang w:val="ro-MD" w:eastAsia="x-none"/>
        </w:rPr>
        <w:t xml:space="preserve"> întreprinse de SFS pentru perceperea </w:t>
      </w:r>
      <w:r w:rsidR="00C33B7F" w:rsidRPr="00401691">
        <w:rPr>
          <w:rFonts w:asciiTheme="majorHAnsi" w:eastAsia="Times New Roman" w:hAnsiTheme="majorHAnsi" w:cstheme="majorHAnsi"/>
          <w:sz w:val="24"/>
          <w:szCs w:val="24"/>
          <w:lang w:val="ro-MD" w:eastAsia="x-none"/>
        </w:rPr>
        <w:t>forțată</w:t>
      </w:r>
      <w:r w:rsidRPr="00401691">
        <w:rPr>
          <w:rFonts w:asciiTheme="majorHAnsi" w:eastAsia="Times New Roman" w:hAnsiTheme="majorHAnsi" w:cstheme="majorHAnsi"/>
          <w:sz w:val="24"/>
          <w:szCs w:val="24"/>
          <w:lang w:val="ro-MD" w:eastAsia="x-none"/>
        </w:rPr>
        <w:t xml:space="preserve"> a </w:t>
      </w:r>
      <w:r w:rsidR="00C33B7F" w:rsidRPr="00401691">
        <w:rPr>
          <w:rFonts w:asciiTheme="majorHAnsi" w:eastAsia="Times New Roman" w:hAnsiTheme="majorHAnsi" w:cstheme="majorHAnsi"/>
          <w:sz w:val="24"/>
          <w:szCs w:val="24"/>
          <w:lang w:val="ro-MD" w:eastAsia="x-none"/>
        </w:rPr>
        <w:t>restanței</w:t>
      </w:r>
      <w:r w:rsidR="00BB591F">
        <w:rPr>
          <w:rFonts w:asciiTheme="majorHAnsi" w:eastAsia="Times New Roman" w:hAnsiTheme="majorHAnsi" w:cstheme="majorHAnsi"/>
          <w:sz w:val="24"/>
          <w:szCs w:val="24"/>
          <w:lang w:val="ro-MD" w:eastAsia="x-none"/>
        </w:rPr>
        <w:t>.</w:t>
      </w:r>
    </w:p>
    <w:p w:rsidR="00EA7226" w:rsidRPr="00401691" w:rsidRDefault="00EA7226" w:rsidP="00BB591F">
      <w:pPr>
        <w:spacing w:line="240" w:lineRule="auto"/>
        <w:jc w:val="both"/>
        <w:rPr>
          <w:rFonts w:asciiTheme="majorHAnsi" w:hAnsiTheme="majorHAnsi" w:cstheme="majorHAnsi"/>
          <w:b/>
          <w:color w:val="000000"/>
          <w:sz w:val="24"/>
          <w:szCs w:val="24"/>
          <w:shd w:val="clear" w:color="auto" w:fill="FFFFFF"/>
          <w:lang w:val="ro-MD"/>
        </w:rPr>
      </w:pPr>
      <w:r w:rsidRPr="00401691">
        <w:rPr>
          <w:rFonts w:asciiTheme="majorHAnsi" w:hAnsiTheme="majorHAnsi" w:cstheme="majorHAnsi"/>
          <w:b/>
          <w:color w:val="000000"/>
          <w:sz w:val="24"/>
          <w:szCs w:val="24"/>
          <w:lang w:val="ro-MD"/>
        </w:rPr>
        <w:t>Evaziune fiscală</w:t>
      </w:r>
      <w:r w:rsidRPr="00401691">
        <w:rPr>
          <w:rFonts w:asciiTheme="majorHAnsi" w:hAnsiTheme="majorHAnsi" w:cstheme="majorHAnsi"/>
          <w:color w:val="000000"/>
          <w:sz w:val="24"/>
          <w:szCs w:val="24"/>
          <w:lang w:val="ro-MD"/>
        </w:rPr>
        <w:t xml:space="preserve"> </w:t>
      </w:r>
      <w:r w:rsidRPr="00401691">
        <w:rPr>
          <w:rFonts w:asciiTheme="majorHAnsi" w:eastAsia="Times New Roman" w:hAnsiTheme="majorHAnsi" w:cstheme="majorHAnsi"/>
          <w:sz w:val="24"/>
          <w:szCs w:val="24"/>
          <w:lang w:val="ro-MD" w:eastAsia="x-none"/>
        </w:rPr>
        <w:t xml:space="preserve">– eschivarea </w:t>
      </w:r>
      <w:r w:rsidRPr="00401691">
        <w:rPr>
          <w:rFonts w:asciiTheme="majorHAnsi" w:hAnsiTheme="majorHAnsi" w:cstheme="majorHAnsi"/>
          <w:sz w:val="24"/>
          <w:szCs w:val="24"/>
          <w:lang w:val="ro-MD"/>
        </w:rPr>
        <w:t>contribuabililor/plătitorilor vamali</w:t>
      </w:r>
      <w:r w:rsidRPr="00401691">
        <w:rPr>
          <w:rFonts w:asciiTheme="majorHAnsi" w:hAnsiTheme="majorHAnsi" w:cstheme="majorHAnsi"/>
          <w:color w:val="222222"/>
          <w:sz w:val="24"/>
          <w:szCs w:val="24"/>
          <w:shd w:val="clear" w:color="auto" w:fill="FFFFFF"/>
          <w:lang w:val="ro-MD"/>
        </w:rPr>
        <w:t xml:space="preserve"> de la plata impozitelor, taxelor, contribuțiilor și a altor sume datorate bugetului,</w:t>
      </w:r>
      <w:r w:rsidRPr="00401691">
        <w:rPr>
          <w:rFonts w:asciiTheme="majorHAnsi" w:hAnsiTheme="majorHAnsi" w:cstheme="majorHAnsi"/>
          <w:sz w:val="24"/>
          <w:szCs w:val="24"/>
          <w:lang w:val="ro-MD"/>
        </w:rPr>
        <w:t xml:space="preserve"> </w:t>
      </w:r>
      <w:r w:rsidRPr="00401691">
        <w:rPr>
          <w:rFonts w:asciiTheme="majorHAnsi" w:hAnsiTheme="majorHAnsi" w:cstheme="majorHAnsi"/>
          <w:color w:val="000000"/>
          <w:sz w:val="24"/>
          <w:szCs w:val="24"/>
          <w:lang w:val="ro-MD"/>
        </w:rPr>
        <w:t xml:space="preserve">prin includerea în documentele contabile, fiscale sau financiare a unor date denaturate privind veniturile sau cheltuielile, a unor cheltuieli care nu au la bază </w:t>
      </w:r>
      <w:r w:rsidR="00421225" w:rsidRPr="00401691">
        <w:rPr>
          <w:rFonts w:asciiTheme="majorHAnsi" w:hAnsiTheme="majorHAnsi" w:cstheme="majorHAnsi"/>
          <w:color w:val="000000"/>
          <w:sz w:val="24"/>
          <w:szCs w:val="24"/>
          <w:lang w:val="ro-MD"/>
        </w:rPr>
        <w:t>operațiuni</w:t>
      </w:r>
      <w:r w:rsidRPr="00401691">
        <w:rPr>
          <w:rFonts w:asciiTheme="majorHAnsi" w:hAnsiTheme="majorHAnsi" w:cstheme="majorHAnsi"/>
          <w:color w:val="000000"/>
          <w:sz w:val="24"/>
          <w:szCs w:val="24"/>
          <w:lang w:val="ro-MD"/>
        </w:rPr>
        <w:t xml:space="preserve"> reale ori care au la bază </w:t>
      </w:r>
      <w:r w:rsidR="00421225" w:rsidRPr="00401691">
        <w:rPr>
          <w:rFonts w:asciiTheme="majorHAnsi" w:hAnsiTheme="majorHAnsi" w:cstheme="majorHAnsi"/>
          <w:color w:val="000000"/>
          <w:sz w:val="24"/>
          <w:szCs w:val="24"/>
          <w:lang w:val="ro-MD"/>
        </w:rPr>
        <w:t>operațiuni</w:t>
      </w:r>
      <w:r w:rsidRPr="00401691">
        <w:rPr>
          <w:rFonts w:asciiTheme="majorHAnsi" w:hAnsiTheme="majorHAnsi" w:cstheme="majorHAnsi"/>
          <w:color w:val="000000"/>
          <w:sz w:val="24"/>
          <w:szCs w:val="24"/>
          <w:lang w:val="ro-MD"/>
        </w:rPr>
        <w:t xml:space="preserve"> c</w:t>
      </w:r>
      <w:r w:rsidR="00D736F3">
        <w:rPr>
          <w:rFonts w:asciiTheme="majorHAnsi" w:hAnsiTheme="majorHAnsi" w:cstheme="majorHAnsi"/>
          <w:color w:val="000000"/>
          <w:sz w:val="24"/>
          <w:szCs w:val="24"/>
          <w:lang w:val="ro-MD"/>
        </w:rPr>
        <w:t>ar</w:t>
      </w:r>
      <w:r w:rsidRPr="00401691">
        <w:rPr>
          <w:rFonts w:asciiTheme="majorHAnsi" w:hAnsiTheme="majorHAnsi" w:cstheme="majorHAnsi"/>
          <w:color w:val="000000"/>
          <w:sz w:val="24"/>
          <w:szCs w:val="24"/>
          <w:lang w:val="ro-MD"/>
        </w:rPr>
        <w:t xml:space="preserve">e nu au existat, </w:t>
      </w:r>
      <w:r w:rsidR="00A92929">
        <w:rPr>
          <w:rFonts w:asciiTheme="majorHAnsi" w:hAnsiTheme="majorHAnsi" w:cstheme="majorHAnsi"/>
          <w:color w:val="000000"/>
          <w:sz w:val="24"/>
          <w:szCs w:val="24"/>
          <w:lang w:val="ro-MD"/>
        </w:rPr>
        <w:t>sau</w:t>
      </w:r>
      <w:r w:rsidRPr="00401691">
        <w:rPr>
          <w:rFonts w:asciiTheme="majorHAnsi" w:hAnsiTheme="majorHAnsi" w:cstheme="majorHAnsi"/>
          <w:color w:val="000000"/>
          <w:sz w:val="24"/>
          <w:szCs w:val="24"/>
          <w:lang w:val="ro-MD"/>
        </w:rPr>
        <w:t xml:space="preserve"> prin tăinuirea</w:t>
      </w:r>
      <w:r w:rsidR="00A44F7B" w:rsidRPr="00401691">
        <w:rPr>
          <w:rFonts w:asciiTheme="majorHAnsi" w:hAnsiTheme="majorHAnsi" w:cstheme="majorHAnsi"/>
          <w:color w:val="000000"/>
          <w:sz w:val="24"/>
          <w:szCs w:val="24"/>
          <w:lang w:val="ro-MD"/>
        </w:rPr>
        <w:t xml:space="preserve"> unor obiecte impozabile.</w:t>
      </w:r>
    </w:p>
    <w:p w:rsidR="00BB591F" w:rsidRDefault="005A6856" w:rsidP="00BB591F">
      <w:pPr>
        <w:spacing w:line="240" w:lineRule="auto"/>
        <w:jc w:val="both"/>
        <w:rPr>
          <w:rFonts w:asciiTheme="majorHAnsi" w:hAnsiTheme="majorHAnsi" w:cstheme="majorHAnsi"/>
          <w:color w:val="000000"/>
          <w:sz w:val="24"/>
          <w:szCs w:val="24"/>
          <w:shd w:val="clear" w:color="auto" w:fill="FFFFFF"/>
          <w:lang w:val="ro-MD"/>
        </w:rPr>
      </w:pPr>
      <w:proofErr w:type="spellStart"/>
      <w:r>
        <w:rPr>
          <w:rFonts w:asciiTheme="majorHAnsi" w:hAnsiTheme="majorHAnsi" w:cstheme="majorHAnsi"/>
          <w:b/>
          <w:color w:val="000000"/>
          <w:sz w:val="24"/>
          <w:szCs w:val="24"/>
          <w:shd w:val="clear" w:color="auto" w:fill="FFFFFF"/>
          <w:lang w:val="ro-MD"/>
        </w:rPr>
        <w:t>Pseudoactivitate</w:t>
      </w:r>
      <w:proofErr w:type="spellEnd"/>
      <w:r>
        <w:rPr>
          <w:rFonts w:asciiTheme="majorHAnsi" w:hAnsiTheme="majorHAnsi" w:cstheme="majorHAnsi"/>
          <w:b/>
          <w:color w:val="000000"/>
          <w:sz w:val="24"/>
          <w:szCs w:val="24"/>
          <w:shd w:val="clear" w:color="auto" w:fill="FFFFFF"/>
          <w:lang w:val="ro-MD"/>
        </w:rPr>
        <w:t xml:space="preserve"> - </w:t>
      </w:r>
      <w:r w:rsidRPr="005A6856">
        <w:rPr>
          <w:rFonts w:asciiTheme="majorHAnsi" w:hAnsiTheme="majorHAnsi" w:cstheme="majorHAnsi"/>
          <w:color w:val="000000"/>
          <w:sz w:val="24"/>
          <w:szCs w:val="24"/>
          <w:shd w:val="clear" w:color="auto" w:fill="FFFFFF"/>
          <w:lang w:val="ro-MD"/>
        </w:rPr>
        <w:t>crearea de întreprinderi fără intenția de a desfășura activitate de întreprinzător sau bancară pentru acoperirea genurilor activității de întreprinzător ilicite, dacă aceasta a</w:t>
      </w:r>
      <w:r w:rsidR="00BB591F">
        <w:rPr>
          <w:rFonts w:asciiTheme="majorHAnsi" w:hAnsiTheme="majorHAnsi" w:cstheme="majorHAnsi"/>
          <w:color w:val="000000"/>
          <w:sz w:val="24"/>
          <w:szCs w:val="24"/>
          <w:shd w:val="clear" w:color="auto" w:fill="FFFFFF"/>
          <w:lang w:val="ro-MD"/>
        </w:rPr>
        <w:t xml:space="preserve"> cauzat daune în proporții mari.</w:t>
      </w:r>
    </w:p>
    <w:p w:rsidR="00BB591F" w:rsidRPr="005A6856" w:rsidRDefault="00BB591F" w:rsidP="00BB591F">
      <w:pPr>
        <w:spacing w:line="240" w:lineRule="auto"/>
        <w:jc w:val="both"/>
        <w:rPr>
          <w:rFonts w:asciiTheme="majorHAnsi" w:hAnsiTheme="majorHAnsi" w:cstheme="majorHAnsi"/>
          <w:color w:val="000000"/>
          <w:sz w:val="24"/>
          <w:szCs w:val="24"/>
          <w:shd w:val="clear" w:color="auto" w:fill="FFFFFF"/>
          <w:lang w:val="ro-MD"/>
        </w:rPr>
      </w:pPr>
      <w:r w:rsidRPr="00BB591F">
        <w:rPr>
          <w:rFonts w:asciiTheme="majorHAnsi" w:hAnsiTheme="majorHAnsi" w:cstheme="majorHAnsi"/>
          <w:b/>
          <w:color w:val="000000"/>
          <w:sz w:val="24"/>
          <w:szCs w:val="24"/>
          <w:shd w:val="clear" w:color="auto" w:fill="FFFFFF"/>
          <w:lang w:val="ro-MD"/>
        </w:rPr>
        <w:lastRenderedPageBreak/>
        <w:t>Administrator de venituri</w:t>
      </w:r>
      <w:r w:rsidRPr="00BB591F">
        <w:rPr>
          <w:rFonts w:asciiTheme="majorHAnsi" w:hAnsiTheme="majorHAnsi" w:cstheme="majorHAnsi"/>
          <w:color w:val="000000"/>
          <w:sz w:val="24"/>
          <w:szCs w:val="24"/>
          <w:shd w:val="clear" w:color="auto" w:fill="FFFFFF"/>
          <w:lang w:val="ro-MD"/>
        </w:rPr>
        <w:t xml:space="preserve"> – autoritate/instituție bugetară care este împuternicită cu dreptul de colectare/restituire, evidență și control al încasărilor la bugetele componente ale bugetului public național și care poartă responsabilitate pentru corectitudinea c</w:t>
      </w:r>
      <w:r>
        <w:rPr>
          <w:rFonts w:asciiTheme="majorHAnsi" w:hAnsiTheme="majorHAnsi" w:cstheme="majorHAnsi"/>
          <w:color w:val="000000"/>
          <w:sz w:val="24"/>
          <w:szCs w:val="24"/>
          <w:shd w:val="clear" w:color="auto" w:fill="FFFFFF"/>
          <w:lang w:val="ro-MD"/>
        </w:rPr>
        <w:t xml:space="preserve">alculării </w:t>
      </w:r>
      <w:r w:rsidR="00037389">
        <w:rPr>
          <w:rFonts w:asciiTheme="majorHAnsi" w:hAnsiTheme="majorHAnsi" w:cstheme="majorHAnsi"/>
          <w:color w:val="000000"/>
          <w:sz w:val="24"/>
          <w:szCs w:val="24"/>
          <w:shd w:val="clear" w:color="auto" w:fill="FFFFFF"/>
          <w:lang w:val="ro-MD"/>
        </w:rPr>
        <w:t>și</w:t>
      </w:r>
      <w:r>
        <w:rPr>
          <w:rFonts w:asciiTheme="majorHAnsi" w:hAnsiTheme="majorHAnsi" w:cstheme="majorHAnsi"/>
          <w:color w:val="000000"/>
          <w:sz w:val="24"/>
          <w:szCs w:val="24"/>
          <w:shd w:val="clear" w:color="auto" w:fill="FFFFFF"/>
          <w:lang w:val="ro-MD"/>
        </w:rPr>
        <w:t xml:space="preserve"> încasării acestora.</w:t>
      </w:r>
    </w:p>
    <w:p w:rsidR="006821B8" w:rsidRPr="00401691" w:rsidRDefault="006821B8" w:rsidP="00844145">
      <w:pPr>
        <w:spacing w:line="276" w:lineRule="auto"/>
        <w:jc w:val="both"/>
        <w:rPr>
          <w:rFonts w:asciiTheme="majorHAnsi" w:hAnsiTheme="majorHAnsi" w:cstheme="majorHAnsi"/>
          <w:b/>
          <w:color w:val="000000"/>
          <w:sz w:val="24"/>
          <w:szCs w:val="24"/>
          <w:shd w:val="clear" w:color="auto" w:fill="FFFFFF"/>
          <w:lang w:val="ro-MD"/>
        </w:rPr>
      </w:pPr>
    </w:p>
    <w:p w:rsidR="003976A3" w:rsidRPr="00CA3BED" w:rsidRDefault="00A44F7B" w:rsidP="00844145">
      <w:pPr>
        <w:pStyle w:val="Heading1"/>
        <w:numPr>
          <w:ilvl w:val="0"/>
          <w:numId w:val="32"/>
        </w:numPr>
        <w:tabs>
          <w:tab w:val="left" w:pos="3600"/>
          <w:tab w:val="left" w:pos="3780"/>
        </w:tabs>
        <w:spacing w:line="276" w:lineRule="auto"/>
        <w:ind w:left="540" w:hanging="180"/>
        <w:jc w:val="center"/>
        <w:rPr>
          <w:rFonts w:asciiTheme="minorHAnsi" w:hAnsiTheme="minorHAnsi" w:cstheme="minorHAnsi"/>
          <w:i w:val="0"/>
          <w:color w:val="002060"/>
          <w:sz w:val="24"/>
          <w:szCs w:val="24"/>
          <w:lang w:val="ro-MD"/>
        </w:rPr>
      </w:pPr>
      <w:bookmarkStart w:id="2" w:name="_Toc48732715"/>
      <w:bookmarkStart w:id="3" w:name="_Toc31272020"/>
      <w:r w:rsidRPr="00CA3BED">
        <w:rPr>
          <w:rFonts w:asciiTheme="minorHAnsi" w:hAnsiTheme="minorHAnsi" w:cstheme="minorHAnsi"/>
          <w:i w:val="0"/>
          <w:color w:val="002060"/>
          <w:sz w:val="24"/>
          <w:szCs w:val="24"/>
          <w:lang w:val="ro-MD"/>
        </w:rPr>
        <w:t>SINTEZA</w:t>
      </w:r>
      <w:r w:rsidR="00E53CDD" w:rsidRPr="00CA3BED">
        <w:rPr>
          <w:rFonts w:asciiTheme="minorHAnsi" w:hAnsiTheme="minorHAnsi" w:cstheme="minorHAnsi"/>
          <w:i w:val="0"/>
          <w:color w:val="002060"/>
          <w:sz w:val="24"/>
          <w:szCs w:val="24"/>
          <w:lang w:val="ro-MD"/>
        </w:rPr>
        <w:t xml:space="preserve"> CONSTATĂRILOR DE AUDIT</w:t>
      </w:r>
      <w:bookmarkEnd w:id="2"/>
    </w:p>
    <w:p w:rsidR="00D367D2" w:rsidRPr="00401691" w:rsidRDefault="00B508D8" w:rsidP="005D2F65">
      <w:pPr>
        <w:tabs>
          <w:tab w:val="left" w:pos="720"/>
        </w:tabs>
        <w:spacing w:after="0" w:line="276" w:lineRule="auto"/>
        <w:jc w:val="both"/>
        <w:rPr>
          <w:rFonts w:asciiTheme="majorHAnsi" w:hAnsiTheme="majorHAnsi" w:cstheme="majorHAnsi"/>
          <w:sz w:val="24"/>
          <w:szCs w:val="24"/>
          <w:lang w:val="ro-MD"/>
        </w:rPr>
      </w:pPr>
      <w:r w:rsidRPr="00401691">
        <w:rPr>
          <w:rFonts w:asciiTheme="majorHAnsi" w:hAnsiTheme="majorHAnsi" w:cstheme="majorHAnsi"/>
          <w:sz w:val="24"/>
          <w:szCs w:val="24"/>
          <w:lang w:val="ro-MD" w:bidi="en-US"/>
        </w:rPr>
        <w:t xml:space="preserve">Curtea de Conturi, în conformitate cu Programul </w:t>
      </w:r>
      <w:r w:rsidR="00AA484E" w:rsidRPr="00401691">
        <w:rPr>
          <w:rFonts w:asciiTheme="majorHAnsi" w:hAnsiTheme="majorHAnsi" w:cstheme="majorHAnsi"/>
          <w:sz w:val="24"/>
          <w:szCs w:val="24"/>
          <w:lang w:val="ro-MD" w:bidi="en-US"/>
        </w:rPr>
        <w:t>activități</w:t>
      </w:r>
      <w:r w:rsidR="00AA484E">
        <w:rPr>
          <w:rFonts w:asciiTheme="majorHAnsi" w:hAnsiTheme="majorHAnsi" w:cstheme="majorHAnsi"/>
          <w:sz w:val="24"/>
          <w:szCs w:val="24"/>
          <w:lang w:val="ro-MD" w:bidi="en-US"/>
        </w:rPr>
        <w:t>i</w:t>
      </w:r>
      <w:r w:rsidRPr="00401691">
        <w:rPr>
          <w:rFonts w:asciiTheme="majorHAnsi" w:hAnsiTheme="majorHAnsi" w:cstheme="majorHAnsi"/>
          <w:sz w:val="24"/>
          <w:szCs w:val="24"/>
          <w:lang w:val="ro-MD" w:bidi="en-US"/>
        </w:rPr>
        <w:t xml:space="preserve"> de audit pe anul 2020, a efectuat auditul conformității administrării veniturilor bugetului de stat de către Serviciu</w:t>
      </w:r>
      <w:r w:rsidR="00366AE8">
        <w:rPr>
          <w:rFonts w:asciiTheme="majorHAnsi" w:hAnsiTheme="majorHAnsi" w:cstheme="majorHAnsi"/>
          <w:sz w:val="24"/>
          <w:szCs w:val="24"/>
          <w:lang w:val="ro-MD" w:bidi="en-US"/>
        </w:rPr>
        <w:t xml:space="preserve">l Fiscal de Stat în anul 2019. </w:t>
      </w:r>
      <w:r w:rsidRPr="00401691">
        <w:rPr>
          <w:rFonts w:asciiTheme="majorHAnsi" w:hAnsiTheme="majorHAnsi" w:cstheme="majorHAnsi"/>
          <w:sz w:val="24"/>
          <w:szCs w:val="24"/>
          <w:lang w:val="ro-MD" w:bidi="en-US"/>
        </w:rPr>
        <w:t>Problemele și vulnerabilitățile identificate au fost formulate în baza constatărilor de audit</w:t>
      </w:r>
      <w:r w:rsidR="00A92929">
        <w:rPr>
          <w:rFonts w:asciiTheme="majorHAnsi" w:hAnsiTheme="majorHAnsi" w:cstheme="majorHAnsi"/>
          <w:sz w:val="24"/>
          <w:szCs w:val="24"/>
          <w:lang w:val="ro-MD" w:bidi="en-US"/>
        </w:rPr>
        <w:t>, care</w:t>
      </w:r>
      <w:r w:rsidRPr="00401691">
        <w:rPr>
          <w:rFonts w:asciiTheme="majorHAnsi" w:hAnsiTheme="majorHAnsi" w:cstheme="majorHAnsi"/>
          <w:sz w:val="24"/>
          <w:szCs w:val="24"/>
          <w:lang w:val="ro-MD" w:bidi="en-US"/>
        </w:rPr>
        <w:t xml:space="preserve"> relevă următoarele:</w:t>
      </w:r>
    </w:p>
    <w:p w:rsidR="00EA2001" w:rsidRPr="00401691" w:rsidRDefault="00EA2001" w:rsidP="00844145">
      <w:pPr>
        <w:spacing w:after="0" w:line="276" w:lineRule="auto"/>
        <w:jc w:val="both"/>
        <w:rPr>
          <w:rFonts w:asciiTheme="majorHAnsi" w:hAnsiTheme="majorHAnsi" w:cstheme="majorHAnsi"/>
          <w:sz w:val="24"/>
          <w:szCs w:val="24"/>
          <w:lang w:val="ro-MD"/>
        </w:rPr>
      </w:pPr>
    </w:p>
    <w:p w:rsidR="00781A77" w:rsidRPr="00401691" w:rsidRDefault="00A422E9" w:rsidP="00844145">
      <w:pPr>
        <w:spacing w:line="276" w:lineRule="auto"/>
        <w:jc w:val="both"/>
        <w:rPr>
          <w:rFonts w:asciiTheme="majorHAnsi" w:hAnsiTheme="majorHAnsi" w:cstheme="majorHAnsi"/>
          <w:i/>
          <w:sz w:val="24"/>
          <w:szCs w:val="24"/>
          <w:lang w:val="ro-MD"/>
        </w:rPr>
      </w:pPr>
      <w:r w:rsidRPr="00401691">
        <w:rPr>
          <w:rFonts w:asciiTheme="majorHAnsi" w:hAnsiTheme="majorHAnsi" w:cstheme="majorHAnsi"/>
          <w:i/>
          <w:color w:val="1F4E79" w:themeColor="accent1" w:themeShade="80"/>
          <w:sz w:val="24"/>
          <w:szCs w:val="24"/>
          <w:lang w:val="ro-MD"/>
        </w:rPr>
        <w:t>Cu privire la realizarea</w:t>
      </w:r>
      <w:r w:rsidR="008101C3" w:rsidRPr="00401691">
        <w:rPr>
          <w:rFonts w:asciiTheme="majorHAnsi" w:hAnsiTheme="majorHAnsi" w:cstheme="majorHAnsi"/>
          <w:i/>
          <w:color w:val="1F4E79" w:themeColor="accent1" w:themeShade="80"/>
          <w:sz w:val="24"/>
          <w:szCs w:val="24"/>
          <w:lang w:val="ro-MD"/>
        </w:rPr>
        <w:t xml:space="preserve"> sarcinii de colectare și raportare a veniturilor încasate la bugetul de stat </w:t>
      </w:r>
    </w:p>
    <w:p w:rsidR="00781A77" w:rsidRPr="00401691" w:rsidRDefault="00552A0F" w:rsidP="005D2F65">
      <w:pPr>
        <w:pStyle w:val="ListParagraph"/>
        <w:numPr>
          <w:ilvl w:val="0"/>
          <w:numId w:val="27"/>
        </w:numPr>
        <w:tabs>
          <w:tab w:val="left" w:pos="360"/>
        </w:tabs>
        <w:spacing w:after="120" w:line="276" w:lineRule="auto"/>
        <w:ind w:left="0" w:firstLine="0"/>
        <w:contextualSpacing w:val="0"/>
        <w:jc w:val="both"/>
        <w:rPr>
          <w:rFonts w:asciiTheme="majorHAnsi" w:hAnsiTheme="majorHAnsi" w:cstheme="majorHAnsi"/>
          <w:b/>
          <w:i/>
          <w:sz w:val="24"/>
          <w:szCs w:val="24"/>
          <w:lang w:val="ro-MD"/>
        </w:rPr>
      </w:pPr>
      <w:r w:rsidRPr="00401691">
        <w:rPr>
          <w:rFonts w:asciiTheme="majorHAnsi" w:hAnsiTheme="majorHAnsi" w:cstheme="majorHAnsi"/>
          <w:sz w:val="24"/>
          <w:szCs w:val="24"/>
          <w:lang w:val="ro-MD"/>
        </w:rPr>
        <w:t xml:space="preserve">Deși în anul 2018 SFS a colectat la BPN venituri bugetare în valoare </w:t>
      </w:r>
      <w:r w:rsidR="00A92929">
        <w:rPr>
          <w:rFonts w:asciiTheme="majorHAnsi" w:hAnsiTheme="majorHAnsi" w:cstheme="majorHAnsi"/>
          <w:sz w:val="24"/>
          <w:szCs w:val="24"/>
          <w:lang w:val="ro-MD"/>
        </w:rPr>
        <w:t xml:space="preserve">totală </w:t>
      </w:r>
      <w:r w:rsidRPr="00401691">
        <w:rPr>
          <w:rFonts w:asciiTheme="majorHAnsi" w:hAnsiTheme="majorHAnsi" w:cstheme="majorHAnsi"/>
          <w:sz w:val="24"/>
          <w:szCs w:val="24"/>
          <w:lang w:val="ro-MD"/>
        </w:rPr>
        <w:t xml:space="preserve">de 39135,1 mil. lei, </w:t>
      </w:r>
      <w:r w:rsidR="00A92929">
        <w:rPr>
          <w:rFonts w:asciiTheme="majorHAnsi" w:hAnsiTheme="majorHAnsi" w:cstheme="majorHAnsi"/>
          <w:sz w:val="24"/>
          <w:szCs w:val="24"/>
          <w:lang w:val="ro-MD"/>
        </w:rPr>
        <w:t xml:space="preserve">ce </w:t>
      </w:r>
      <w:r w:rsidRPr="00401691">
        <w:rPr>
          <w:rFonts w:asciiTheme="majorHAnsi" w:hAnsiTheme="majorHAnsi" w:cstheme="majorHAnsi"/>
          <w:sz w:val="24"/>
          <w:szCs w:val="24"/>
          <w:lang w:val="ro-MD"/>
        </w:rPr>
        <w:t xml:space="preserve"> depăș</w:t>
      </w:r>
      <w:r w:rsidR="00A92929">
        <w:rPr>
          <w:rFonts w:asciiTheme="majorHAnsi" w:hAnsiTheme="majorHAnsi" w:cstheme="majorHAnsi"/>
          <w:sz w:val="24"/>
          <w:szCs w:val="24"/>
          <w:lang w:val="ro-MD"/>
        </w:rPr>
        <w:t>ește</w:t>
      </w:r>
      <w:r w:rsidRPr="00401691">
        <w:rPr>
          <w:rFonts w:asciiTheme="majorHAnsi" w:hAnsiTheme="majorHAnsi" w:cstheme="majorHAnsi"/>
          <w:sz w:val="24"/>
          <w:szCs w:val="24"/>
          <w:lang w:val="ro-MD"/>
        </w:rPr>
        <w:t xml:space="preserve"> prognoza bugetară cu 78,8 mil. lei, venituril</w:t>
      </w:r>
      <w:r w:rsidR="00366AE8">
        <w:rPr>
          <w:rFonts w:asciiTheme="majorHAnsi" w:hAnsiTheme="majorHAnsi" w:cstheme="majorHAnsi"/>
          <w:sz w:val="24"/>
          <w:szCs w:val="24"/>
          <w:lang w:val="ro-MD"/>
        </w:rPr>
        <w:t xml:space="preserve">e colectate la bugetul de stat </w:t>
      </w:r>
      <w:r w:rsidRPr="00401691">
        <w:rPr>
          <w:rFonts w:asciiTheme="majorHAnsi" w:hAnsiTheme="majorHAnsi" w:cstheme="majorHAnsi"/>
          <w:sz w:val="24"/>
          <w:szCs w:val="24"/>
          <w:lang w:val="ro-MD"/>
        </w:rPr>
        <w:t xml:space="preserve">de </w:t>
      </w:r>
      <w:r w:rsidR="00A92929">
        <w:rPr>
          <w:rFonts w:asciiTheme="majorHAnsi" w:hAnsiTheme="majorHAnsi" w:cstheme="majorHAnsi"/>
          <w:sz w:val="24"/>
          <w:szCs w:val="24"/>
          <w:lang w:val="ro-MD"/>
        </w:rPr>
        <w:t xml:space="preserve">către </w:t>
      </w:r>
      <w:r w:rsidRPr="00401691">
        <w:rPr>
          <w:rFonts w:asciiTheme="majorHAnsi" w:hAnsiTheme="majorHAnsi" w:cstheme="majorHAnsi"/>
          <w:sz w:val="24"/>
          <w:szCs w:val="24"/>
          <w:lang w:val="ro-MD"/>
        </w:rPr>
        <w:t>organul fiscal nu au atins indicatorii prognozați, constituind suma de 17236,0 mil. lei, sau cu 45,1 mil. lei mai puțin decât s</w:t>
      </w:r>
      <w:r w:rsidR="00A92929">
        <w:rPr>
          <w:rFonts w:asciiTheme="majorHAnsi" w:hAnsiTheme="majorHAnsi" w:cstheme="majorHAnsi"/>
          <w:sz w:val="24"/>
          <w:szCs w:val="24"/>
          <w:lang w:val="ro-MD"/>
        </w:rPr>
        <w:t>-a</w:t>
      </w:r>
      <w:r w:rsidRPr="00401691">
        <w:rPr>
          <w:rFonts w:asciiTheme="majorHAnsi" w:hAnsiTheme="majorHAnsi" w:cstheme="majorHAnsi"/>
          <w:sz w:val="24"/>
          <w:szCs w:val="24"/>
          <w:lang w:val="ro-MD"/>
        </w:rPr>
        <w:t xml:space="preserve"> planificat</w:t>
      </w:r>
      <w:r w:rsidR="00D16A66">
        <w:rPr>
          <w:rFonts w:asciiTheme="majorHAnsi" w:hAnsiTheme="majorHAnsi" w:cstheme="majorHAnsi"/>
          <w:sz w:val="24"/>
          <w:szCs w:val="24"/>
          <w:lang w:val="ro-MD"/>
        </w:rPr>
        <w:t xml:space="preserve"> (pct. 1.1</w:t>
      </w:r>
      <w:r w:rsidR="0080289D">
        <w:rPr>
          <w:rFonts w:asciiTheme="majorHAnsi" w:hAnsiTheme="majorHAnsi" w:cstheme="majorHAnsi"/>
          <w:sz w:val="24"/>
          <w:szCs w:val="24"/>
          <w:lang w:val="ro-MD"/>
        </w:rPr>
        <w:t>.</w:t>
      </w:r>
      <w:r w:rsidR="00D16A66">
        <w:rPr>
          <w:rFonts w:asciiTheme="majorHAnsi" w:hAnsiTheme="majorHAnsi" w:cstheme="majorHAnsi"/>
          <w:sz w:val="24"/>
          <w:szCs w:val="24"/>
          <w:lang w:val="ro-MD"/>
        </w:rPr>
        <w:t>)</w:t>
      </w:r>
      <w:r w:rsidR="00C401D2" w:rsidRPr="00401691">
        <w:rPr>
          <w:rFonts w:asciiTheme="majorHAnsi" w:hAnsiTheme="majorHAnsi" w:cstheme="majorHAnsi"/>
          <w:sz w:val="24"/>
          <w:szCs w:val="24"/>
          <w:lang w:val="ro-MD"/>
        </w:rPr>
        <w:t>.</w:t>
      </w:r>
    </w:p>
    <w:p w:rsidR="00EA06FA" w:rsidRPr="00126D54" w:rsidRDefault="00552A0F" w:rsidP="00844145">
      <w:pPr>
        <w:pStyle w:val="ListParagraph"/>
        <w:numPr>
          <w:ilvl w:val="0"/>
          <w:numId w:val="27"/>
        </w:numPr>
        <w:tabs>
          <w:tab w:val="left" w:pos="360"/>
        </w:tabs>
        <w:spacing w:after="120" w:line="276" w:lineRule="auto"/>
        <w:ind w:left="0" w:firstLine="0"/>
        <w:contextualSpacing w:val="0"/>
        <w:jc w:val="both"/>
        <w:rPr>
          <w:rFonts w:asciiTheme="majorHAnsi" w:hAnsiTheme="majorHAnsi" w:cstheme="majorHAnsi"/>
          <w:b/>
          <w:i/>
          <w:sz w:val="24"/>
          <w:szCs w:val="24"/>
          <w:lang w:val="ro-MD"/>
        </w:rPr>
      </w:pPr>
      <w:r w:rsidRPr="00126D54">
        <w:rPr>
          <w:rFonts w:asciiTheme="majorHAnsi" w:hAnsiTheme="majorHAnsi" w:cstheme="majorHAnsi"/>
          <w:sz w:val="24"/>
          <w:szCs w:val="24"/>
          <w:lang w:val="ro-MD"/>
        </w:rPr>
        <w:t>Din analiza încasărilor la BPN și</w:t>
      </w:r>
      <w:r w:rsidR="00A92929">
        <w:rPr>
          <w:rFonts w:asciiTheme="majorHAnsi" w:hAnsiTheme="majorHAnsi" w:cstheme="majorHAnsi"/>
          <w:sz w:val="24"/>
          <w:szCs w:val="24"/>
          <w:lang w:val="ro-MD"/>
        </w:rPr>
        <w:t>,</w:t>
      </w:r>
      <w:r w:rsidRPr="00126D54">
        <w:rPr>
          <w:rFonts w:asciiTheme="majorHAnsi" w:hAnsiTheme="majorHAnsi" w:cstheme="majorHAnsi"/>
          <w:sz w:val="24"/>
          <w:szCs w:val="24"/>
          <w:lang w:val="ro-MD"/>
        </w:rPr>
        <w:t xml:space="preserve"> respectiv</w:t>
      </w:r>
      <w:r w:rsidR="00A92929">
        <w:rPr>
          <w:rFonts w:asciiTheme="majorHAnsi" w:hAnsiTheme="majorHAnsi" w:cstheme="majorHAnsi"/>
          <w:sz w:val="24"/>
          <w:szCs w:val="24"/>
          <w:lang w:val="ro-MD"/>
        </w:rPr>
        <w:t>,</w:t>
      </w:r>
      <w:r w:rsidRPr="00126D54">
        <w:rPr>
          <w:rFonts w:asciiTheme="majorHAnsi" w:hAnsiTheme="majorHAnsi" w:cstheme="majorHAnsi"/>
          <w:sz w:val="24"/>
          <w:szCs w:val="24"/>
          <w:lang w:val="ro-MD"/>
        </w:rPr>
        <w:t xml:space="preserve"> la BS în perioada anului 2019 </w:t>
      </w:r>
      <w:r w:rsidR="00A92929">
        <w:rPr>
          <w:rFonts w:asciiTheme="majorHAnsi" w:hAnsiTheme="majorHAnsi" w:cstheme="majorHAnsi"/>
          <w:sz w:val="24"/>
          <w:szCs w:val="24"/>
          <w:lang w:val="ro-MD"/>
        </w:rPr>
        <w:t>reiese</w:t>
      </w:r>
      <w:r w:rsidRPr="00126D54">
        <w:rPr>
          <w:rFonts w:asciiTheme="majorHAnsi" w:hAnsiTheme="majorHAnsi" w:cstheme="majorHAnsi"/>
          <w:sz w:val="24"/>
          <w:szCs w:val="24"/>
          <w:lang w:val="ro-MD"/>
        </w:rPr>
        <w:t xml:space="preserve"> că veniturile colectate de SFS au </w:t>
      </w:r>
      <w:r w:rsidR="00FE2C1E">
        <w:rPr>
          <w:rFonts w:asciiTheme="majorHAnsi" w:hAnsiTheme="majorHAnsi" w:cstheme="majorHAnsi"/>
          <w:sz w:val="24"/>
          <w:szCs w:val="24"/>
          <w:lang w:val="ro-MD"/>
        </w:rPr>
        <w:t>avut</w:t>
      </w:r>
      <w:r w:rsidRPr="00126D54">
        <w:rPr>
          <w:rFonts w:asciiTheme="majorHAnsi" w:hAnsiTheme="majorHAnsi" w:cstheme="majorHAnsi"/>
          <w:sz w:val="24"/>
          <w:szCs w:val="24"/>
          <w:lang w:val="ro-MD"/>
        </w:rPr>
        <w:t xml:space="preserve"> o evoluție ascendentă, comparativ cu anul 2018, concomitent, ponderea acestor</w:t>
      </w:r>
      <w:r w:rsidR="00FE2C1E">
        <w:rPr>
          <w:rFonts w:asciiTheme="majorHAnsi" w:hAnsiTheme="majorHAnsi" w:cstheme="majorHAnsi"/>
          <w:sz w:val="24"/>
          <w:szCs w:val="24"/>
          <w:lang w:val="ro-MD"/>
        </w:rPr>
        <w:t>a</w:t>
      </w:r>
      <w:r w:rsidRPr="00126D54">
        <w:rPr>
          <w:rFonts w:asciiTheme="majorHAnsi" w:hAnsiTheme="majorHAnsi" w:cstheme="majorHAnsi"/>
          <w:sz w:val="24"/>
          <w:szCs w:val="24"/>
          <w:lang w:val="ro-MD"/>
        </w:rPr>
        <w:t xml:space="preserve"> în PIB înregistr</w:t>
      </w:r>
      <w:r w:rsidR="00BB5869">
        <w:rPr>
          <w:rFonts w:asciiTheme="majorHAnsi" w:hAnsiTheme="majorHAnsi" w:cstheme="majorHAnsi"/>
          <w:sz w:val="24"/>
          <w:szCs w:val="24"/>
          <w:lang w:val="ro-MD"/>
        </w:rPr>
        <w:t>â</w:t>
      </w:r>
      <w:r w:rsidRPr="00126D54">
        <w:rPr>
          <w:rFonts w:asciiTheme="majorHAnsi" w:hAnsiTheme="majorHAnsi" w:cstheme="majorHAnsi"/>
          <w:sz w:val="24"/>
          <w:szCs w:val="24"/>
          <w:lang w:val="ro-MD"/>
        </w:rPr>
        <w:t>nd o diminuare. Astfel, în anul 2019</w:t>
      </w:r>
      <w:r w:rsidRPr="008A4309">
        <w:rPr>
          <w:rFonts w:asciiTheme="majorHAnsi" w:hAnsiTheme="majorHAnsi" w:cstheme="majorHAnsi"/>
          <w:sz w:val="24"/>
          <w:szCs w:val="24"/>
          <w:lang w:val="ro-MD"/>
        </w:rPr>
        <w:t>, veniturile administrate de SFS la BPN și la BS</w:t>
      </w:r>
      <w:r w:rsidR="00BB5869" w:rsidRPr="008A4309">
        <w:rPr>
          <w:rFonts w:asciiTheme="majorHAnsi" w:hAnsiTheme="majorHAnsi" w:cstheme="majorHAnsi"/>
          <w:sz w:val="24"/>
          <w:szCs w:val="24"/>
          <w:lang w:val="ro-MD"/>
        </w:rPr>
        <w:t>,</w:t>
      </w:r>
      <w:r w:rsidRPr="008A4309">
        <w:rPr>
          <w:rFonts w:asciiTheme="majorHAnsi" w:hAnsiTheme="majorHAnsi" w:cstheme="majorHAnsi"/>
          <w:sz w:val="24"/>
          <w:szCs w:val="24"/>
          <w:lang w:val="ro-MD"/>
        </w:rPr>
        <w:t xml:space="preserve"> raportate</w:t>
      </w:r>
      <w:r w:rsidRPr="00126D54">
        <w:rPr>
          <w:rFonts w:asciiTheme="majorHAnsi" w:hAnsiTheme="majorHAnsi" w:cstheme="majorHAnsi"/>
          <w:sz w:val="24"/>
          <w:szCs w:val="24"/>
          <w:lang w:val="ro-MD"/>
        </w:rPr>
        <w:t xml:space="preserve"> la PIB</w:t>
      </w:r>
      <w:r w:rsidR="00BB5869">
        <w:rPr>
          <w:rFonts w:asciiTheme="majorHAnsi" w:hAnsiTheme="majorHAnsi" w:cstheme="majorHAnsi"/>
          <w:sz w:val="24"/>
          <w:szCs w:val="24"/>
          <w:lang w:val="ro-MD"/>
        </w:rPr>
        <w:t>,</w:t>
      </w:r>
      <w:r w:rsidRPr="00126D54">
        <w:rPr>
          <w:rFonts w:asciiTheme="majorHAnsi" w:hAnsiTheme="majorHAnsi" w:cstheme="majorHAnsi"/>
          <w:sz w:val="24"/>
          <w:szCs w:val="24"/>
          <w:lang w:val="ro-MD"/>
        </w:rPr>
        <w:t xml:space="preserve"> au constituit</w:t>
      </w:r>
      <w:r w:rsidR="00BB5869">
        <w:rPr>
          <w:rFonts w:asciiTheme="majorHAnsi" w:hAnsiTheme="majorHAnsi" w:cstheme="majorHAnsi"/>
          <w:sz w:val="24"/>
          <w:szCs w:val="24"/>
          <w:lang w:val="ro-MD"/>
        </w:rPr>
        <w:t>,</w:t>
      </w:r>
      <w:r w:rsidRPr="00126D54">
        <w:rPr>
          <w:rFonts w:asciiTheme="majorHAnsi" w:hAnsiTheme="majorHAnsi" w:cstheme="majorHAnsi"/>
          <w:sz w:val="24"/>
          <w:szCs w:val="24"/>
          <w:lang w:val="ro-MD"/>
        </w:rPr>
        <w:t xml:space="preserve"> respectiv, 18,6 </w:t>
      </w:r>
      <w:r w:rsidRPr="00126D54">
        <w:rPr>
          <w:rFonts w:asciiTheme="majorHAnsi" w:hAnsiTheme="majorHAnsi" w:cstheme="majorHAnsi"/>
          <w:sz w:val="24"/>
          <w:szCs w:val="24"/>
          <w:lang w:val="ro-MD"/>
        </w:rPr>
        <w:lastRenderedPageBreak/>
        <w:t>% și 8,2 %, sau fiind sub nivelul atins în anul 2018</w:t>
      </w:r>
      <w:r w:rsidR="00FE2C1E">
        <w:rPr>
          <w:rFonts w:asciiTheme="majorHAnsi" w:hAnsiTheme="majorHAnsi" w:cstheme="majorHAnsi"/>
          <w:sz w:val="24"/>
          <w:szCs w:val="24"/>
          <w:lang w:val="ro-MD"/>
        </w:rPr>
        <w:t xml:space="preserve"> de</w:t>
      </w:r>
      <w:r w:rsidRPr="00126D54">
        <w:rPr>
          <w:rFonts w:asciiTheme="majorHAnsi" w:hAnsiTheme="majorHAnsi" w:cstheme="majorHAnsi"/>
          <w:sz w:val="24"/>
          <w:szCs w:val="24"/>
          <w:lang w:val="ro-MD"/>
        </w:rPr>
        <w:t>, respectiv</w:t>
      </w:r>
      <w:r w:rsidR="00BB5869">
        <w:rPr>
          <w:rFonts w:asciiTheme="majorHAnsi" w:hAnsiTheme="majorHAnsi" w:cstheme="majorHAnsi"/>
          <w:sz w:val="24"/>
          <w:szCs w:val="24"/>
          <w:lang w:val="ro-MD"/>
        </w:rPr>
        <w:t xml:space="preserve">, </w:t>
      </w:r>
      <w:r w:rsidRPr="00126D54">
        <w:rPr>
          <w:rFonts w:asciiTheme="majorHAnsi" w:hAnsiTheme="majorHAnsi" w:cstheme="majorHAnsi"/>
          <w:sz w:val="24"/>
          <w:szCs w:val="24"/>
          <w:lang w:val="ro-MD"/>
        </w:rPr>
        <w:t xml:space="preserve">19,2% și 8,6 %. La fel, auditul atestă că în anul 2019 s-a înregistrat cel </w:t>
      </w:r>
      <w:r w:rsidRPr="00456E95">
        <w:rPr>
          <w:rFonts w:asciiTheme="majorHAnsi" w:hAnsiTheme="majorHAnsi" w:cstheme="majorHAnsi"/>
          <w:sz w:val="24"/>
          <w:szCs w:val="24"/>
          <w:lang w:val="ro-MD"/>
        </w:rPr>
        <w:t xml:space="preserve">mai </w:t>
      </w:r>
      <w:r w:rsidR="00456E95" w:rsidRPr="00037389">
        <w:rPr>
          <w:rFonts w:asciiTheme="majorHAnsi" w:hAnsiTheme="majorHAnsi" w:cstheme="majorHAnsi"/>
          <w:sz w:val="24"/>
          <w:szCs w:val="24"/>
          <w:lang w:val="ro-MD"/>
        </w:rPr>
        <w:t>redus</w:t>
      </w:r>
      <w:r w:rsidRPr="00456E95">
        <w:rPr>
          <w:rFonts w:asciiTheme="majorHAnsi" w:hAnsiTheme="majorHAnsi" w:cstheme="majorHAnsi"/>
          <w:sz w:val="24"/>
          <w:szCs w:val="24"/>
          <w:lang w:val="ro-MD"/>
        </w:rPr>
        <w:t xml:space="preserve"> ritm de</w:t>
      </w:r>
      <w:r w:rsidRPr="00126D54">
        <w:rPr>
          <w:rFonts w:asciiTheme="majorHAnsi" w:hAnsiTheme="majorHAnsi" w:cstheme="majorHAnsi"/>
          <w:sz w:val="24"/>
          <w:szCs w:val="24"/>
          <w:lang w:val="ro-MD"/>
        </w:rPr>
        <w:t xml:space="preserve"> creștere a veniturilor at</w:t>
      </w:r>
      <w:r w:rsidR="009342B4">
        <w:rPr>
          <w:rFonts w:asciiTheme="majorHAnsi" w:hAnsiTheme="majorHAnsi" w:cstheme="majorHAnsi"/>
          <w:sz w:val="24"/>
          <w:szCs w:val="24"/>
          <w:lang w:val="ro-MD"/>
        </w:rPr>
        <w:t>â</w:t>
      </w:r>
      <w:r w:rsidRPr="00126D54">
        <w:rPr>
          <w:rFonts w:asciiTheme="majorHAnsi" w:hAnsiTheme="majorHAnsi" w:cstheme="majorHAnsi"/>
          <w:sz w:val="24"/>
          <w:szCs w:val="24"/>
          <w:lang w:val="ro-MD"/>
        </w:rPr>
        <w:t>t la BPN (6%)</w:t>
      </w:r>
      <w:r w:rsidR="009342B4">
        <w:rPr>
          <w:rFonts w:asciiTheme="majorHAnsi" w:hAnsiTheme="majorHAnsi" w:cstheme="majorHAnsi"/>
          <w:sz w:val="24"/>
          <w:szCs w:val="24"/>
          <w:lang w:val="ro-MD"/>
        </w:rPr>
        <w:t>,</w:t>
      </w:r>
      <w:r w:rsidRPr="00126D54">
        <w:rPr>
          <w:rFonts w:asciiTheme="majorHAnsi" w:hAnsiTheme="majorHAnsi" w:cstheme="majorHAnsi"/>
          <w:sz w:val="24"/>
          <w:szCs w:val="24"/>
          <w:lang w:val="ro-MD"/>
        </w:rPr>
        <w:t xml:space="preserve"> c</w:t>
      </w:r>
      <w:r w:rsidR="009342B4">
        <w:rPr>
          <w:rFonts w:asciiTheme="majorHAnsi" w:hAnsiTheme="majorHAnsi" w:cstheme="majorHAnsi"/>
          <w:sz w:val="24"/>
          <w:szCs w:val="24"/>
          <w:lang w:val="ro-MD"/>
        </w:rPr>
        <w:t>â</w:t>
      </w:r>
      <w:r w:rsidRPr="00126D54">
        <w:rPr>
          <w:rFonts w:asciiTheme="majorHAnsi" w:hAnsiTheme="majorHAnsi" w:cstheme="majorHAnsi"/>
          <w:sz w:val="24"/>
          <w:szCs w:val="24"/>
          <w:lang w:val="ro-MD"/>
        </w:rPr>
        <w:t>t și la BS (4,6 %)</w:t>
      </w:r>
      <w:r w:rsidR="009342B4">
        <w:rPr>
          <w:rFonts w:asciiTheme="majorHAnsi" w:hAnsiTheme="majorHAnsi" w:cstheme="majorHAnsi"/>
          <w:sz w:val="24"/>
          <w:szCs w:val="24"/>
          <w:lang w:val="ro-MD"/>
        </w:rPr>
        <w:t>,</w:t>
      </w:r>
      <w:r w:rsidRPr="00126D54">
        <w:rPr>
          <w:rFonts w:asciiTheme="majorHAnsi" w:hAnsiTheme="majorHAnsi" w:cstheme="majorHAnsi"/>
          <w:sz w:val="24"/>
          <w:szCs w:val="24"/>
          <w:lang w:val="ro-MD"/>
        </w:rPr>
        <w:t xml:space="preserve"> pe când rata inflației </w:t>
      </w:r>
      <w:r w:rsidR="00BB6001">
        <w:rPr>
          <w:rFonts w:asciiTheme="majorHAnsi" w:hAnsiTheme="majorHAnsi" w:cstheme="majorHAnsi"/>
          <w:sz w:val="24"/>
          <w:szCs w:val="24"/>
          <w:lang w:val="ro-MD"/>
        </w:rPr>
        <w:t xml:space="preserve">a atins </w:t>
      </w:r>
      <w:r w:rsidR="009342B4">
        <w:rPr>
          <w:rFonts w:asciiTheme="majorHAnsi" w:hAnsiTheme="majorHAnsi" w:cstheme="majorHAnsi"/>
          <w:sz w:val="24"/>
          <w:szCs w:val="24"/>
          <w:lang w:val="ro-MD"/>
        </w:rPr>
        <w:t xml:space="preserve">nivelul de </w:t>
      </w:r>
      <w:r w:rsidRPr="00126D54">
        <w:rPr>
          <w:rFonts w:asciiTheme="majorHAnsi" w:hAnsiTheme="majorHAnsi" w:cstheme="majorHAnsi"/>
          <w:sz w:val="24"/>
          <w:szCs w:val="24"/>
          <w:lang w:val="ro-MD"/>
        </w:rPr>
        <w:t>7</w:t>
      </w:r>
      <w:r w:rsidR="009342B4">
        <w:rPr>
          <w:rFonts w:asciiTheme="majorHAnsi" w:hAnsiTheme="majorHAnsi" w:cstheme="majorHAnsi"/>
          <w:sz w:val="24"/>
          <w:szCs w:val="24"/>
          <w:lang w:val="ro-MD"/>
        </w:rPr>
        <w:t>,</w:t>
      </w:r>
      <w:r w:rsidRPr="00126D54">
        <w:rPr>
          <w:rFonts w:asciiTheme="majorHAnsi" w:hAnsiTheme="majorHAnsi" w:cstheme="majorHAnsi"/>
          <w:sz w:val="24"/>
          <w:szCs w:val="24"/>
          <w:lang w:val="ro-MD"/>
        </w:rPr>
        <w:t>54%</w:t>
      </w:r>
      <w:r w:rsidR="00212729" w:rsidRPr="00126D54">
        <w:rPr>
          <w:rFonts w:asciiTheme="majorHAnsi" w:hAnsiTheme="majorHAnsi" w:cstheme="majorHAnsi"/>
          <w:sz w:val="24"/>
          <w:szCs w:val="24"/>
          <w:lang w:val="ro-MD"/>
        </w:rPr>
        <w:t>.</w:t>
      </w:r>
      <w:r w:rsidR="00126D54">
        <w:rPr>
          <w:rFonts w:asciiTheme="majorHAnsi" w:hAnsiTheme="majorHAnsi" w:cstheme="majorHAnsi"/>
          <w:sz w:val="24"/>
          <w:szCs w:val="24"/>
          <w:lang w:val="ro-MD"/>
        </w:rPr>
        <w:t xml:space="preserve"> </w:t>
      </w:r>
      <w:r w:rsidRPr="00AA76BD">
        <w:rPr>
          <w:rFonts w:asciiTheme="majorHAnsi" w:hAnsiTheme="majorHAnsi" w:cstheme="majorHAnsi"/>
          <w:sz w:val="24"/>
          <w:szCs w:val="24"/>
          <w:lang w:val="ro-MD"/>
        </w:rPr>
        <w:t>Cele menționate denotă necesitatea unei evaluări prudente a factorilor care determină diminuarea veniturilor administrate de SFS raportate la PIB, inclusiv cu implicarea autorităților de sp</w:t>
      </w:r>
      <w:r w:rsidRPr="00126D54">
        <w:rPr>
          <w:rFonts w:asciiTheme="majorHAnsi" w:hAnsiTheme="majorHAnsi" w:cstheme="majorHAnsi"/>
          <w:sz w:val="24"/>
          <w:szCs w:val="24"/>
          <w:lang w:val="ro-MD"/>
        </w:rPr>
        <w:t xml:space="preserve">ecialitate și a organului fiscal, altor instituții, prin evaluarea economiei tenebre și </w:t>
      </w:r>
      <w:r w:rsidR="0080289D">
        <w:rPr>
          <w:rFonts w:asciiTheme="majorHAnsi" w:hAnsiTheme="majorHAnsi" w:cstheme="majorHAnsi"/>
          <w:sz w:val="24"/>
          <w:szCs w:val="24"/>
          <w:lang w:val="ro-MD"/>
        </w:rPr>
        <w:t xml:space="preserve">a </w:t>
      </w:r>
      <w:r w:rsidRPr="00126D54">
        <w:rPr>
          <w:rFonts w:asciiTheme="majorHAnsi" w:hAnsiTheme="majorHAnsi" w:cstheme="majorHAnsi"/>
          <w:sz w:val="24"/>
          <w:szCs w:val="24"/>
          <w:lang w:val="ro-MD"/>
        </w:rPr>
        <w:t xml:space="preserve">decalajului fiscal, în scopul identificării riscurilor </w:t>
      </w:r>
      <w:r w:rsidRPr="004836DA">
        <w:rPr>
          <w:rFonts w:asciiTheme="majorHAnsi" w:hAnsiTheme="majorHAnsi" w:cstheme="majorHAnsi"/>
          <w:sz w:val="24"/>
          <w:szCs w:val="24"/>
          <w:lang w:val="ro-MD"/>
        </w:rPr>
        <w:t>emergente</w:t>
      </w:r>
      <w:r w:rsidR="0080289D" w:rsidRPr="004836DA">
        <w:rPr>
          <w:rFonts w:asciiTheme="majorHAnsi" w:hAnsiTheme="majorHAnsi" w:cstheme="majorHAnsi"/>
          <w:sz w:val="24"/>
          <w:szCs w:val="24"/>
          <w:lang w:val="ro-MD"/>
        </w:rPr>
        <w:t>,</w:t>
      </w:r>
      <w:r w:rsidRPr="00126D54">
        <w:rPr>
          <w:rFonts w:asciiTheme="majorHAnsi" w:hAnsiTheme="majorHAnsi" w:cstheme="majorHAnsi"/>
          <w:sz w:val="24"/>
          <w:szCs w:val="24"/>
          <w:lang w:val="ro-MD"/>
        </w:rPr>
        <w:t xml:space="preserve"> care afectează durabilitatea procesului de colectare a impozitelor și taxelor la buget</w:t>
      </w:r>
      <w:r w:rsidR="00D16A66">
        <w:rPr>
          <w:rFonts w:asciiTheme="majorHAnsi" w:hAnsiTheme="majorHAnsi" w:cstheme="majorHAnsi"/>
          <w:sz w:val="24"/>
          <w:szCs w:val="24"/>
          <w:lang w:val="ro-MD"/>
        </w:rPr>
        <w:t xml:space="preserve"> (pct.1.1</w:t>
      </w:r>
      <w:r w:rsidR="0080289D">
        <w:rPr>
          <w:rFonts w:asciiTheme="majorHAnsi" w:hAnsiTheme="majorHAnsi" w:cstheme="majorHAnsi"/>
          <w:sz w:val="24"/>
          <w:szCs w:val="24"/>
          <w:lang w:val="ro-MD"/>
        </w:rPr>
        <w:t>.</w:t>
      </w:r>
      <w:r w:rsidR="00D16A66">
        <w:rPr>
          <w:rFonts w:asciiTheme="majorHAnsi" w:hAnsiTheme="majorHAnsi" w:cstheme="majorHAnsi"/>
          <w:sz w:val="24"/>
          <w:szCs w:val="24"/>
          <w:lang w:val="ro-MD"/>
        </w:rPr>
        <w:t>)</w:t>
      </w:r>
      <w:r w:rsidR="00F430CF" w:rsidRPr="00126D54">
        <w:rPr>
          <w:rFonts w:asciiTheme="majorHAnsi" w:hAnsiTheme="majorHAnsi" w:cstheme="majorHAnsi"/>
          <w:sz w:val="24"/>
          <w:szCs w:val="24"/>
          <w:lang w:val="ro-MD"/>
        </w:rPr>
        <w:t>.</w:t>
      </w:r>
    </w:p>
    <w:p w:rsidR="006468BA" w:rsidRPr="00EA06FA" w:rsidRDefault="00552A0F" w:rsidP="002C424C">
      <w:pPr>
        <w:pStyle w:val="ListParagraph"/>
        <w:numPr>
          <w:ilvl w:val="0"/>
          <w:numId w:val="27"/>
        </w:numPr>
        <w:tabs>
          <w:tab w:val="left" w:pos="360"/>
        </w:tabs>
        <w:spacing w:after="120" w:line="276" w:lineRule="auto"/>
        <w:ind w:left="0" w:firstLine="0"/>
        <w:contextualSpacing w:val="0"/>
        <w:jc w:val="both"/>
        <w:rPr>
          <w:rFonts w:asciiTheme="majorHAnsi" w:hAnsiTheme="majorHAnsi" w:cstheme="majorHAnsi"/>
          <w:b/>
          <w:i/>
          <w:sz w:val="24"/>
          <w:szCs w:val="24"/>
          <w:lang w:val="ro-MD"/>
        </w:rPr>
      </w:pPr>
      <w:r w:rsidRPr="00EA06FA">
        <w:rPr>
          <w:rFonts w:asciiTheme="majorHAnsi" w:hAnsiTheme="majorHAnsi" w:cstheme="majorHAnsi"/>
          <w:sz w:val="24"/>
          <w:szCs w:val="24"/>
          <w:lang w:val="ro-MD"/>
        </w:rPr>
        <w:t>SFS</w:t>
      </w:r>
      <w:r w:rsidR="0080289D">
        <w:rPr>
          <w:rFonts w:asciiTheme="majorHAnsi" w:hAnsiTheme="majorHAnsi" w:cstheme="majorHAnsi"/>
          <w:sz w:val="24"/>
          <w:szCs w:val="24"/>
          <w:lang w:val="ro-MD"/>
        </w:rPr>
        <w:t>,</w:t>
      </w:r>
      <w:r w:rsidRPr="00EA06FA">
        <w:rPr>
          <w:rFonts w:asciiTheme="majorHAnsi" w:hAnsiTheme="majorHAnsi" w:cstheme="majorHAnsi"/>
          <w:sz w:val="24"/>
          <w:szCs w:val="24"/>
          <w:lang w:val="ro-MD"/>
        </w:rPr>
        <w:t xml:space="preserve"> fiind desemnat în calitate de administrator de venituri la unele plăți și taxe provenite din prestarea serviciilor publice și aplicarea sancțiunilor de către </w:t>
      </w:r>
      <w:r w:rsidRPr="008A4309">
        <w:rPr>
          <w:rFonts w:asciiTheme="majorHAnsi" w:hAnsiTheme="majorHAnsi" w:cstheme="majorHAnsi"/>
          <w:sz w:val="24"/>
          <w:szCs w:val="24"/>
          <w:lang w:val="ro-MD"/>
        </w:rPr>
        <w:t>autorități ale statului, nu</w:t>
      </w:r>
      <w:r w:rsidRPr="00EA06FA">
        <w:rPr>
          <w:rFonts w:asciiTheme="majorHAnsi" w:hAnsiTheme="majorHAnsi" w:cstheme="majorHAnsi"/>
          <w:sz w:val="24"/>
          <w:szCs w:val="24"/>
          <w:lang w:val="ro-MD"/>
        </w:rPr>
        <w:t xml:space="preserve"> a asigurat controlul asupra virării integrale și în timp a veniturilor respective, limitându-se doar la evidența plăților încasate, fără a dispune de sumele calculate la buget. Acest fapt a afectat acuratețea informației din SIA CCC și a condiționat unele erori în raportarea veniturilor. </w:t>
      </w:r>
      <w:r w:rsidR="006468BA" w:rsidRPr="00EA06FA">
        <w:rPr>
          <w:rFonts w:asciiTheme="majorHAnsi" w:hAnsiTheme="majorHAnsi" w:cstheme="majorHAnsi"/>
          <w:sz w:val="24"/>
          <w:szCs w:val="24"/>
          <w:lang w:val="ro-MD"/>
        </w:rPr>
        <w:t>Deși SFS a demarat acțiuni de conlucrare cu autoritățile vizate privind schimbul de date aferente calculării acestor venituri prin intermediul platformei de interoperabilitate, acestea nu au avut finalitate</w:t>
      </w:r>
      <w:r w:rsidR="00D16A66">
        <w:rPr>
          <w:rFonts w:asciiTheme="majorHAnsi" w:hAnsiTheme="majorHAnsi" w:cstheme="majorHAnsi"/>
          <w:sz w:val="24"/>
          <w:szCs w:val="24"/>
          <w:lang w:val="ro-MD"/>
        </w:rPr>
        <w:t xml:space="preserve"> (pct.1.3</w:t>
      </w:r>
      <w:r w:rsidR="0080289D">
        <w:rPr>
          <w:rFonts w:asciiTheme="majorHAnsi" w:hAnsiTheme="majorHAnsi" w:cstheme="majorHAnsi"/>
          <w:sz w:val="24"/>
          <w:szCs w:val="24"/>
          <w:lang w:val="ro-MD"/>
        </w:rPr>
        <w:t>.</w:t>
      </w:r>
      <w:r w:rsidR="00D16A66">
        <w:rPr>
          <w:rFonts w:asciiTheme="majorHAnsi" w:hAnsiTheme="majorHAnsi" w:cstheme="majorHAnsi"/>
          <w:sz w:val="24"/>
          <w:szCs w:val="24"/>
          <w:lang w:val="ro-MD"/>
        </w:rPr>
        <w:t>)</w:t>
      </w:r>
      <w:r w:rsidR="006468BA" w:rsidRPr="00EA06FA">
        <w:rPr>
          <w:rFonts w:asciiTheme="majorHAnsi" w:hAnsiTheme="majorHAnsi" w:cstheme="majorHAnsi"/>
          <w:sz w:val="24"/>
          <w:szCs w:val="24"/>
          <w:lang w:val="ro-MD"/>
        </w:rPr>
        <w:t xml:space="preserve">. </w:t>
      </w:r>
    </w:p>
    <w:p w:rsidR="00D93E19" w:rsidRPr="00401691" w:rsidRDefault="00D93E19" w:rsidP="00844145">
      <w:pPr>
        <w:pStyle w:val="ListParagraph"/>
        <w:tabs>
          <w:tab w:val="left" w:pos="360"/>
        </w:tabs>
        <w:spacing w:after="0" w:line="276" w:lineRule="auto"/>
        <w:ind w:left="0"/>
        <w:jc w:val="both"/>
        <w:rPr>
          <w:rFonts w:asciiTheme="majorHAnsi" w:hAnsiTheme="majorHAnsi" w:cstheme="majorHAnsi"/>
          <w:sz w:val="24"/>
          <w:szCs w:val="24"/>
          <w:lang w:val="ro-MD"/>
        </w:rPr>
      </w:pPr>
    </w:p>
    <w:p w:rsidR="003016E8" w:rsidRPr="00401691" w:rsidRDefault="009A37CE" w:rsidP="00844145">
      <w:pPr>
        <w:spacing w:line="276" w:lineRule="auto"/>
        <w:jc w:val="both"/>
        <w:rPr>
          <w:rFonts w:asciiTheme="majorHAnsi" w:hAnsiTheme="majorHAnsi" w:cstheme="majorHAnsi"/>
          <w:i/>
          <w:color w:val="1F4E79" w:themeColor="accent1" w:themeShade="80"/>
          <w:sz w:val="24"/>
          <w:szCs w:val="24"/>
          <w:lang w:val="ro-MD"/>
        </w:rPr>
      </w:pPr>
      <w:r w:rsidRPr="00401691">
        <w:rPr>
          <w:rFonts w:asciiTheme="majorHAnsi" w:hAnsiTheme="majorHAnsi" w:cstheme="majorHAnsi"/>
          <w:i/>
          <w:color w:val="1F4E79" w:themeColor="accent1" w:themeShade="80"/>
          <w:sz w:val="24"/>
          <w:szCs w:val="24"/>
          <w:lang w:val="ro-MD"/>
        </w:rPr>
        <w:t>Referitor la</w:t>
      </w:r>
      <w:r w:rsidR="00D10ED2" w:rsidRPr="00401691">
        <w:rPr>
          <w:rFonts w:asciiTheme="majorHAnsi" w:hAnsiTheme="majorHAnsi" w:cstheme="majorHAnsi"/>
          <w:i/>
          <w:color w:val="1F4E79" w:themeColor="accent1" w:themeShade="80"/>
          <w:sz w:val="24"/>
          <w:szCs w:val="24"/>
          <w:lang w:val="ro-MD"/>
        </w:rPr>
        <w:t xml:space="preserve"> conformitatea </w:t>
      </w:r>
      <w:r w:rsidR="003016E8" w:rsidRPr="00401691">
        <w:rPr>
          <w:rFonts w:asciiTheme="majorHAnsi" w:hAnsiTheme="majorHAnsi" w:cstheme="majorHAnsi"/>
          <w:i/>
          <w:color w:val="1F4E79" w:themeColor="accent1" w:themeShade="80"/>
          <w:sz w:val="24"/>
          <w:szCs w:val="24"/>
          <w:lang w:val="ro-MD"/>
        </w:rPr>
        <w:t>procesului de evidență și raportare a restanțelor</w:t>
      </w:r>
      <w:r w:rsidRPr="00401691">
        <w:rPr>
          <w:rFonts w:asciiTheme="majorHAnsi" w:hAnsiTheme="majorHAnsi" w:cstheme="majorHAnsi"/>
          <w:i/>
          <w:color w:val="1F4E79" w:themeColor="accent1" w:themeShade="80"/>
          <w:sz w:val="24"/>
          <w:szCs w:val="24"/>
          <w:lang w:val="ro-MD"/>
        </w:rPr>
        <w:t xml:space="preserve"> </w:t>
      </w:r>
    </w:p>
    <w:p w:rsidR="004C6281" w:rsidRPr="00401691" w:rsidRDefault="00ED6B81" w:rsidP="00844145">
      <w:pPr>
        <w:pStyle w:val="ListParagraph"/>
        <w:numPr>
          <w:ilvl w:val="0"/>
          <w:numId w:val="27"/>
        </w:numPr>
        <w:tabs>
          <w:tab w:val="left" w:pos="360"/>
        </w:tabs>
        <w:spacing w:after="120" w:line="276" w:lineRule="auto"/>
        <w:ind w:left="0" w:firstLine="0"/>
        <w:contextualSpacing w:val="0"/>
        <w:jc w:val="both"/>
        <w:rPr>
          <w:rFonts w:asciiTheme="majorHAnsi" w:eastAsia="Times New Roman" w:hAnsiTheme="majorHAnsi" w:cstheme="majorHAnsi"/>
          <w:b/>
          <w:i/>
          <w:sz w:val="24"/>
          <w:szCs w:val="24"/>
          <w:lang w:val="ro-MD"/>
        </w:rPr>
      </w:pPr>
      <w:r w:rsidRPr="00401691">
        <w:rPr>
          <w:rFonts w:asciiTheme="majorHAnsi" w:hAnsiTheme="majorHAnsi" w:cstheme="majorHAnsi"/>
          <w:sz w:val="24"/>
          <w:szCs w:val="24"/>
          <w:lang w:val="ro-MD"/>
        </w:rPr>
        <w:lastRenderedPageBreak/>
        <w:t>Potrivit datelor</w:t>
      </w:r>
      <w:r w:rsidR="009773DD" w:rsidRPr="00401691">
        <w:rPr>
          <w:rFonts w:asciiTheme="majorHAnsi" w:hAnsiTheme="majorHAnsi" w:cstheme="majorHAnsi"/>
          <w:sz w:val="24"/>
          <w:szCs w:val="24"/>
          <w:lang w:val="ro-MD"/>
        </w:rPr>
        <w:t xml:space="preserve"> rapoartelor întocmite de SFS și prezentate MF, </w:t>
      </w:r>
      <w:r w:rsidR="00B44EFF" w:rsidRPr="00401691">
        <w:rPr>
          <w:rFonts w:asciiTheme="majorHAnsi" w:hAnsiTheme="majorHAnsi" w:cstheme="majorHAnsi"/>
          <w:sz w:val="24"/>
          <w:szCs w:val="24"/>
          <w:lang w:val="ro-MD"/>
        </w:rPr>
        <w:t>la situația din 31.12.2019</w:t>
      </w:r>
      <w:r w:rsidR="0080289D">
        <w:rPr>
          <w:rFonts w:asciiTheme="majorHAnsi" w:hAnsiTheme="majorHAnsi" w:cstheme="majorHAnsi"/>
          <w:sz w:val="24"/>
          <w:szCs w:val="24"/>
          <w:lang w:val="ro-MD"/>
        </w:rPr>
        <w:t>,</w:t>
      </w:r>
      <w:r w:rsidR="001939EB" w:rsidRPr="00401691">
        <w:rPr>
          <w:rFonts w:asciiTheme="majorHAnsi" w:hAnsiTheme="majorHAnsi" w:cstheme="majorHAnsi"/>
          <w:sz w:val="24"/>
          <w:szCs w:val="24"/>
          <w:lang w:val="ro-MD"/>
        </w:rPr>
        <w:t xml:space="preserve"> soldul restanței </w:t>
      </w:r>
      <w:r w:rsidRPr="00401691">
        <w:rPr>
          <w:rFonts w:asciiTheme="majorHAnsi" w:hAnsiTheme="majorHAnsi" w:cstheme="majorHAnsi"/>
          <w:sz w:val="24"/>
          <w:szCs w:val="24"/>
          <w:lang w:val="ro-MD"/>
        </w:rPr>
        <w:t xml:space="preserve">contribuabililor la </w:t>
      </w:r>
      <w:r w:rsidR="009773DD" w:rsidRPr="00401691">
        <w:rPr>
          <w:rFonts w:asciiTheme="majorHAnsi" w:hAnsiTheme="majorHAnsi" w:cstheme="majorHAnsi"/>
          <w:sz w:val="24"/>
          <w:szCs w:val="24"/>
          <w:lang w:val="ro-MD"/>
        </w:rPr>
        <w:t xml:space="preserve">BPN </w:t>
      </w:r>
      <w:r w:rsidR="001939EB" w:rsidRPr="00401691">
        <w:rPr>
          <w:rFonts w:asciiTheme="majorHAnsi" w:hAnsiTheme="majorHAnsi" w:cstheme="majorHAnsi"/>
          <w:sz w:val="24"/>
          <w:szCs w:val="24"/>
          <w:lang w:val="ro-MD"/>
        </w:rPr>
        <w:t xml:space="preserve">a constituit 1399,7 mil. lei, </w:t>
      </w:r>
      <w:r w:rsidR="0080289D">
        <w:rPr>
          <w:rFonts w:asciiTheme="majorHAnsi" w:hAnsiTheme="majorHAnsi" w:cstheme="majorHAnsi"/>
          <w:sz w:val="24"/>
          <w:szCs w:val="24"/>
          <w:lang w:val="ro-MD"/>
        </w:rPr>
        <w:t>inclusiv</w:t>
      </w:r>
      <w:r w:rsidR="001939EB" w:rsidRPr="00401691">
        <w:rPr>
          <w:rFonts w:asciiTheme="majorHAnsi" w:hAnsiTheme="majorHAnsi" w:cstheme="majorHAnsi"/>
          <w:sz w:val="24"/>
          <w:szCs w:val="24"/>
          <w:lang w:val="ro-MD"/>
        </w:rPr>
        <w:t xml:space="preserve"> restanța la </w:t>
      </w:r>
      <w:r w:rsidR="00B44EFF" w:rsidRPr="00401691">
        <w:rPr>
          <w:rFonts w:asciiTheme="majorHAnsi" w:hAnsiTheme="majorHAnsi" w:cstheme="majorHAnsi"/>
          <w:sz w:val="24"/>
          <w:szCs w:val="24"/>
          <w:lang w:val="ro-MD"/>
        </w:rPr>
        <w:t>BS</w:t>
      </w:r>
      <w:r w:rsidR="001939EB" w:rsidRPr="00401691">
        <w:rPr>
          <w:rFonts w:asciiTheme="majorHAnsi" w:hAnsiTheme="majorHAnsi" w:cstheme="majorHAnsi"/>
          <w:sz w:val="24"/>
          <w:szCs w:val="24"/>
          <w:lang w:val="ro-MD"/>
        </w:rPr>
        <w:t xml:space="preserve"> - 802,2 mil. lei.</w:t>
      </w:r>
      <w:r w:rsidR="00B44EFF" w:rsidRPr="00401691">
        <w:rPr>
          <w:rFonts w:asciiTheme="majorHAnsi" w:hAnsiTheme="majorHAnsi" w:cstheme="majorHAnsi"/>
          <w:sz w:val="24"/>
          <w:szCs w:val="24"/>
          <w:lang w:val="ro-MD"/>
        </w:rPr>
        <w:t xml:space="preserve"> Auditul</w:t>
      </w:r>
      <w:r w:rsidR="00A63543" w:rsidRPr="00401691">
        <w:rPr>
          <w:rFonts w:asciiTheme="majorHAnsi" w:hAnsiTheme="majorHAnsi" w:cstheme="majorHAnsi"/>
          <w:sz w:val="24"/>
          <w:szCs w:val="24"/>
          <w:lang w:val="ro-MD"/>
        </w:rPr>
        <w:t xml:space="preserve"> atestă că </w:t>
      </w:r>
      <w:r w:rsidRPr="00401691">
        <w:rPr>
          <w:rFonts w:asciiTheme="majorHAnsi" w:hAnsiTheme="majorHAnsi" w:cstheme="majorHAnsi"/>
          <w:sz w:val="24"/>
          <w:szCs w:val="24"/>
          <w:lang w:val="ro-MD"/>
        </w:rPr>
        <w:t>suma restanței</w:t>
      </w:r>
      <w:r w:rsidR="00E32842" w:rsidRPr="00401691">
        <w:rPr>
          <w:rFonts w:asciiTheme="majorHAnsi" w:hAnsiTheme="majorHAnsi" w:cstheme="majorHAnsi"/>
          <w:sz w:val="24"/>
          <w:szCs w:val="24"/>
          <w:lang w:val="ro-MD"/>
        </w:rPr>
        <w:t xml:space="preserve"> la </w:t>
      </w:r>
      <w:r w:rsidR="00A63543" w:rsidRPr="00401691">
        <w:rPr>
          <w:rFonts w:asciiTheme="majorHAnsi" w:hAnsiTheme="majorHAnsi" w:cstheme="majorHAnsi"/>
          <w:sz w:val="24"/>
          <w:szCs w:val="24"/>
          <w:lang w:val="ro-MD"/>
        </w:rPr>
        <w:t>BS</w:t>
      </w:r>
      <w:r w:rsidR="00E32842" w:rsidRPr="00401691">
        <w:rPr>
          <w:rFonts w:asciiTheme="majorHAnsi" w:hAnsiTheme="majorHAnsi" w:cstheme="majorHAnsi"/>
          <w:sz w:val="24"/>
          <w:szCs w:val="24"/>
          <w:lang w:val="ro-MD"/>
        </w:rPr>
        <w:t xml:space="preserve"> </w:t>
      </w:r>
      <w:r w:rsidR="00A63543" w:rsidRPr="00401691">
        <w:rPr>
          <w:rFonts w:asciiTheme="majorHAnsi" w:hAnsiTheme="majorHAnsi" w:cstheme="majorHAnsi"/>
          <w:sz w:val="24"/>
          <w:szCs w:val="24"/>
          <w:lang w:val="ro-MD"/>
        </w:rPr>
        <w:t xml:space="preserve">și, respectiv, </w:t>
      </w:r>
      <w:r w:rsidR="00B44EFF" w:rsidRPr="00401691">
        <w:rPr>
          <w:rFonts w:asciiTheme="majorHAnsi" w:hAnsiTheme="majorHAnsi" w:cstheme="majorHAnsi"/>
          <w:sz w:val="24"/>
          <w:szCs w:val="24"/>
          <w:lang w:val="ro-MD"/>
        </w:rPr>
        <w:t>la BPN</w:t>
      </w:r>
      <w:r w:rsidR="00A819A6" w:rsidRPr="00401691">
        <w:rPr>
          <w:rFonts w:asciiTheme="majorHAnsi" w:hAnsiTheme="majorHAnsi" w:cstheme="majorHAnsi"/>
          <w:sz w:val="24"/>
          <w:szCs w:val="24"/>
          <w:lang w:val="ro-MD"/>
        </w:rPr>
        <w:t xml:space="preserve"> nu </w:t>
      </w:r>
      <w:r w:rsidR="001B174E">
        <w:rPr>
          <w:rFonts w:asciiTheme="majorHAnsi" w:hAnsiTheme="majorHAnsi" w:cstheme="majorHAnsi"/>
          <w:sz w:val="24"/>
          <w:szCs w:val="24"/>
          <w:lang w:val="ro-MD"/>
        </w:rPr>
        <w:t>este</w:t>
      </w:r>
      <w:r w:rsidR="00A819A6" w:rsidRPr="00401691">
        <w:rPr>
          <w:rFonts w:asciiTheme="majorHAnsi" w:hAnsiTheme="majorHAnsi" w:cstheme="majorHAnsi"/>
          <w:sz w:val="24"/>
          <w:szCs w:val="24"/>
          <w:lang w:val="ro-MD"/>
        </w:rPr>
        <w:t xml:space="preserve"> veridică, fiind diminuată </w:t>
      </w:r>
      <w:r w:rsidR="001B174E" w:rsidRPr="00401691">
        <w:rPr>
          <w:rFonts w:asciiTheme="majorHAnsi" w:hAnsiTheme="majorHAnsi" w:cstheme="majorHAnsi"/>
          <w:sz w:val="24"/>
          <w:szCs w:val="24"/>
          <w:lang w:val="ro-MD"/>
        </w:rPr>
        <w:t xml:space="preserve">eronat </w:t>
      </w:r>
      <w:r w:rsidR="00A819A6" w:rsidRPr="00401691">
        <w:rPr>
          <w:rFonts w:asciiTheme="majorHAnsi" w:hAnsiTheme="majorHAnsi" w:cstheme="majorHAnsi"/>
          <w:sz w:val="24"/>
          <w:szCs w:val="24"/>
          <w:lang w:val="ro-MD"/>
        </w:rPr>
        <w:t>cu 8</w:t>
      </w:r>
      <w:r w:rsidR="009773DD" w:rsidRPr="00401691">
        <w:rPr>
          <w:rFonts w:asciiTheme="majorHAnsi" w:hAnsiTheme="majorHAnsi" w:cstheme="majorHAnsi"/>
          <w:sz w:val="24"/>
          <w:szCs w:val="24"/>
          <w:lang w:val="ro-MD"/>
        </w:rPr>
        <w:t>,</w:t>
      </w:r>
      <w:r w:rsidR="00A819A6" w:rsidRPr="00401691">
        <w:rPr>
          <w:rFonts w:asciiTheme="majorHAnsi" w:hAnsiTheme="majorHAnsi" w:cstheme="majorHAnsi"/>
          <w:sz w:val="24"/>
          <w:szCs w:val="24"/>
          <w:lang w:val="ro-MD"/>
        </w:rPr>
        <w:t>4 mil.lei</w:t>
      </w:r>
      <w:r w:rsidR="001939EB" w:rsidRPr="00401691">
        <w:rPr>
          <w:rFonts w:asciiTheme="majorHAnsi" w:hAnsiTheme="majorHAnsi" w:cstheme="majorHAnsi"/>
          <w:sz w:val="24"/>
          <w:szCs w:val="24"/>
          <w:lang w:val="ro-MD"/>
        </w:rPr>
        <w:t>. Suma respectivă</w:t>
      </w:r>
      <w:r w:rsidR="001B174E">
        <w:rPr>
          <w:rFonts w:asciiTheme="majorHAnsi" w:hAnsiTheme="majorHAnsi" w:cstheme="majorHAnsi"/>
          <w:sz w:val="24"/>
          <w:szCs w:val="24"/>
          <w:lang w:val="ro-MD"/>
        </w:rPr>
        <w:t>, care</w:t>
      </w:r>
      <w:r w:rsidR="001939EB" w:rsidRPr="00401691">
        <w:rPr>
          <w:rFonts w:asciiTheme="majorHAnsi" w:hAnsiTheme="majorHAnsi" w:cstheme="majorHAnsi"/>
          <w:sz w:val="24"/>
          <w:szCs w:val="24"/>
          <w:lang w:val="ro-MD"/>
        </w:rPr>
        <w:t xml:space="preserve"> reprezintă restanțele contribuabililor </w:t>
      </w:r>
      <w:r w:rsidR="001B174E" w:rsidRPr="00401691">
        <w:rPr>
          <w:rFonts w:asciiTheme="majorHAnsi" w:hAnsiTheme="majorHAnsi" w:cstheme="majorHAnsi"/>
          <w:color w:val="000000" w:themeColor="text1"/>
          <w:sz w:val="24"/>
          <w:szCs w:val="24"/>
          <w:lang w:val="ro-MD"/>
        </w:rPr>
        <w:t>excluse</w:t>
      </w:r>
      <w:r w:rsidR="001B174E" w:rsidRPr="00401691">
        <w:rPr>
          <w:rFonts w:asciiTheme="majorHAnsi" w:hAnsiTheme="majorHAnsi" w:cstheme="majorHAnsi"/>
          <w:sz w:val="24"/>
          <w:szCs w:val="24"/>
          <w:lang w:val="ro-MD"/>
        </w:rPr>
        <w:t xml:space="preserve"> </w:t>
      </w:r>
      <w:r w:rsidR="00931AB9" w:rsidRPr="00401691">
        <w:rPr>
          <w:rFonts w:asciiTheme="majorHAnsi" w:hAnsiTheme="majorHAnsi" w:cstheme="majorHAnsi"/>
          <w:sz w:val="24"/>
          <w:szCs w:val="24"/>
          <w:lang w:val="ro-MD"/>
        </w:rPr>
        <w:t>neîntemeiat</w:t>
      </w:r>
      <w:r w:rsidR="00A63543" w:rsidRPr="00401691">
        <w:rPr>
          <w:rFonts w:asciiTheme="majorHAnsi" w:hAnsiTheme="majorHAnsi" w:cstheme="majorHAnsi"/>
          <w:sz w:val="24"/>
          <w:szCs w:val="24"/>
          <w:lang w:val="ro-MD"/>
        </w:rPr>
        <w:t xml:space="preserve"> </w:t>
      </w:r>
      <w:r w:rsidR="00A63543" w:rsidRPr="00401691">
        <w:rPr>
          <w:rFonts w:asciiTheme="majorHAnsi" w:hAnsiTheme="majorHAnsi" w:cstheme="majorHAnsi"/>
          <w:color w:val="000000" w:themeColor="text1"/>
          <w:sz w:val="24"/>
          <w:szCs w:val="24"/>
          <w:lang w:val="ro-MD"/>
        </w:rPr>
        <w:t xml:space="preserve">de </w:t>
      </w:r>
      <w:r w:rsidR="001B174E">
        <w:rPr>
          <w:rFonts w:asciiTheme="majorHAnsi" w:hAnsiTheme="majorHAnsi" w:cstheme="majorHAnsi"/>
          <w:color w:val="000000" w:themeColor="text1"/>
          <w:sz w:val="24"/>
          <w:szCs w:val="24"/>
          <w:lang w:val="ro-MD"/>
        </w:rPr>
        <w:t xml:space="preserve">către </w:t>
      </w:r>
      <w:r w:rsidR="00A63543" w:rsidRPr="00401691">
        <w:rPr>
          <w:rFonts w:asciiTheme="majorHAnsi" w:hAnsiTheme="majorHAnsi" w:cstheme="majorHAnsi"/>
          <w:color w:val="000000" w:themeColor="text1"/>
          <w:sz w:val="24"/>
          <w:szCs w:val="24"/>
          <w:lang w:val="ro-MD"/>
        </w:rPr>
        <w:t xml:space="preserve">SFS </w:t>
      </w:r>
      <w:r w:rsidR="001939EB" w:rsidRPr="00401691">
        <w:rPr>
          <w:rFonts w:asciiTheme="majorHAnsi" w:hAnsiTheme="majorHAnsi" w:cstheme="majorHAnsi"/>
          <w:color w:val="000000" w:themeColor="text1"/>
          <w:sz w:val="24"/>
          <w:szCs w:val="24"/>
          <w:lang w:val="ro-MD"/>
        </w:rPr>
        <w:t>din evidența fiscală de bază</w:t>
      </w:r>
      <w:r w:rsidR="001B174E">
        <w:rPr>
          <w:rFonts w:asciiTheme="majorHAnsi" w:hAnsiTheme="majorHAnsi" w:cstheme="majorHAnsi"/>
          <w:color w:val="000000" w:themeColor="text1"/>
          <w:sz w:val="24"/>
          <w:szCs w:val="24"/>
          <w:lang w:val="ro-MD"/>
        </w:rPr>
        <w:t>,</w:t>
      </w:r>
      <w:r w:rsidR="009A37CE" w:rsidRPr="00401691">
        <w:rPr>
          <w:rFonts w:asciiTheme="majorHAnsi" w:hAnsiTheme="majorHAnsi" w:cstheme="majorHAnsi"/>
          <w:color w:val="000000" w:themeColor="text1"/>
          <w:sz w:val="24"/>
          <w:szCs w:val="24"/>
          <w:lang w:val="ro-MD"/>
        </w:rPr>
        <w:t xml:space="preserve"> în rezultatul auditului</w:t>
      </w:r>
      <w:r w:rsidR="001B174E">
        <w:rPr>
          <w:rFonts w:asciiTheme="majorHAnsi" w:hAnsiTheme="majorHAnsi" w:cstheme="majorHAnsi"/>
          <w:color w:val="000000" w:themeColor="text1"/>
          <w:sz w:val="24"/>
          <w:szCs w:val="24"/>
          <w:lang w:val="ro-MD"/>
        </w:rPr>
        <w:t>,</w:t>
      </w:r>
      <w:r w:rsidR="009A37CE" w:rsidRPr="00401691">
        <w:rPr>
          <w:rFonts w:asciiTheme="majorHAnsi" w:hAnsiTheme="majorHAnsi" w:cstheme="majorHAnsi"/>
          <w:color w:val="000000" w:themeColor="text1"/>
          <w:sz w:val="24"/>
          <w:szCs w:val="24"/>
          <w:lang w:val="ro-MD"/>
        </w:rPr>
        <w:t xml:space="preserve"> a fost restabilit</w:t>
      </w:r>
      <w:r w:rsidR="00BB591F">
        <w:rPr>
          <w:rFonts w:asciiTheme="majorHAnsi" w:hAnsiTheme="majorHAnsi" w:cstheme="majorHAnsi"/>
          <w:color w:val="000000" w:themeColor="text1"/>
          <w:sz w:val="24"/>
          <w:szCs w:val="24"/>
          <w:lang w:val="ro-MD"/>
        </w:rPr>
        <w:t>ă</w:t>
      </w:r>
      <w:r w:rsidR="009A37CE" w:rsidRPr="00401691">
        <w:rPr>
          <w:rFonts w:asciiTheme="majorHAnsi" w:hAnsiTheme="majorHAnsi" w:cstheme="majorHAnsi"/>
          <w:color w:val="000000" w:themeColor="text1"/>
          <w:sz w:val="24"/>
          <w:szCs w:val="24"/>
          <w:lang w:val="ro-MD"/>
        </w:rPr>
        <w:t xml:space="preserve"> în anul 2020 la contul curent al contribuabililor</w:t>
      </w:r>
      <w:r w:rsidR="00B44EFF" w:rsidRPr="00401691">
        <w:rPr>
          <w:rFonts w:asciiTheme="majorHAnsi" w:hAnsiTheme="majorHAnsi" w:cstheme="majorHAnsi"/>
          <w:color w:val="000000" w:themeColor="text1"/>
          <w:sz w:val="24"/>
          <w:szCs w:val="24"/>
          <w:lang w:val="ro-MD"/>
        </w:rPr>
        <w:t>.</w:t>
      </w:r>
      <w:r w:rsidR="001538E6" w:rsidRPr="00401691">
        <w:rPr>
          <w:rFonts w:asciiTheme="majorHAnsi" w:hAnsiTheme="majorHAnsi" w:cstheme="majorHAnsi"/>
          <w:color w:val="000000" w:themeColor="text1"/>
          <w:sz w:val="24"/>
          <w:szCs w:val="24"/>
          <w:lang w:val="ro-MD"/>
        </w:rPr>
        <w:t xml:space="preserve"> Situația constatată denotă că controalele interne </w:t>
      </w:r>
      <w:r w:rsidR="00FC241B" w:rsidRPr="00401691">
        <w:rPr>
          <w:rFonts w:asciiTheme="majorHAnsi" w:hAnsiTheme="majorHAnsi" w:cstheme="majorHAnsi"/>
          <w:color w:val="000000" w:themeColor="text1"/>
          <w:sz w:val="24"/>
          <w:szCs w:val="24"/>
          <w:lang w:val="ro-MD"/>
        </w:rPr>
        <w:t xml:space="preserve">ale SFS </w:t>
      </w:r>
      <w:r w:rsidR="001538E6" w:rsidRPr="00401691">
        <w:rPr>
          <w:rFonts w:asciiTheme="majorHAnsi" w:hAnsiTheme="majorHAnsi" w:cstheme="majorHAnsi"/>
          <w:color w:val="000000" w:themeColor="text1"/>
          <w:sz w:val="24"/>
          <w:szCs w:val="24"/>
          <w:lang w:val="ro-MD"/>
        </w:rPr>
        <w:t>sunt vulnerabile</w:t>
      </w:r>
      <w:r w:rsidR="00931AB9" w:rsidRPr="00401691">
        <w:rPr>
          <w:rFonts w:asciiTheme="majorHAnsi" w:hAnsiTheme="majorHAnsi" w:cstheme="majorHAnsi"/>
          <w:color w:val="000000" w:themeColor="text1"/>
          <w:sz w:val="24"/>
          <w:szCs w:val="24"/>
          <w:lang w:val="ro-MD"/>
        </w:rPr>
        <w:t xml:space="preserve"> și nu oferă siguranța</w:t>
      </w:r>
      <w:r w:rsidR="00FC241B" w:rsidRPr="00401691">
        <w:rPr>
          <w:rFonts w:asciiTheme="majorHAnsi" w:hAnsiTheme="majorHAnsi" w:cstheme="majorHAnsi"/>
          <w:color w:val="000000" w:themeColor="text1"/>
          <w:sz w:val="24"/>
          <w:szCs w:val="24"/>
          <w:lang w:val="ro-MD"/>
        </w:rPr>
        <w:t xml:space="preserve"> în prevenirea riscului </w:t>
      </w:r>
      <w:r w:rsidR="00931AB9" w:rsidRPr="00401691">
        <w:rPr>
          <w:rFonts w:asciiTheme="majorHAnsi" w:hAnsiTheme="majorHAnsi" w:cstheme="majorHAnsi"/>
          <w:color w:val="000000" w:themeColor="text1"/>
          <w:sz w:val="24"/>
          <w:szCs w:val="24"/>
          <w:lang w:val="ro-MD"/>
        </w:rPr>
        <w:t>de eroare</w:t>
      </w:r>
      <w:r w:rsidR="00FC241B" w:rsidRPr="00401691">
        <w:rPr>
          <w:rFonts w:asciiTheme="majorHAnsi" w:hAnsiTheme="majorHAnsi" w:cstheme="majorHAnsi"/>
          <w:color w:val="000000" w:themeColor="text1"/>
          <w:sz w:val="24"/>
          <w:szCs w:val="24"/>
          <w:lang w:val="ro-MD"/>
        </w:rPr>
        <w:t xml:space="preserve"> în procesul de eviden</w:t>
      </w:r>
      <w:r w:rsidR="001B174E">
        <w:rPr>
          <w:rFonts w:asciiTheme="majorHAnsi" w:hAnsiTheme="majorHAnsi" w:cstheme="majorHAnsi"/>
          <w:color w:val="000000" w:themeColor="text1"/>
          <w:sz w:val="24"/>
          <w:szCs w:val="24"/>
          <w:lang w:val="ro-MD"/>
        </w:rPr>
        <w:t>ț</w:t>
      </w:r>
      <w:r w:rsidR="00FC241B" w:rsidRPr="00401691">
        <w:rPr>
          <w:rFonts w:asciiTheme="majorHAnsi" w:hAnsiTheme="majorHAnsi" w:cstheme="majorHAnsi"/>
          <w:color w:val="000000" w:themeColor="text1"/>
          <w:sz w:val="24"/>
          <w:szCs w:val="24"/>
          <w:lang w:val="ro-MD"/>
        </w:rPr>
        <w:t>ă a restanței contribuabililor</w:t>
      </w:r>
      <w:r w:rsidR="00912615">
        <w:rPr>
          <w:rFonts w:asciiTheme="majorHAnsi" w:hAnsiTheme="majorHAnsi" w:cstheme="majorHAnsi"/>
          <w:color w:val="000000" w:themeColor="text1"/>
          <w:sz w:val="24"/>
          <w:szCs w:val="24"/>
          <w:lang w:val="ro-MD"/>
        </w:rPr>
        <w:t xml:space="preserve"> (pct. 2.1</w:t>
      </w:r>
      <w:r w:rsidR="001B174E">
        <w:rPr>
          <w:rFonts w:asciiTheme="majorHAnsi" w:hAnsiTheme="majorHAnsi" w:cstheme="majorHAnsi"/>
          <w:color w:val="000000" w:themeColor="text1"/>
          <w:sz w:val="24"/>
          <w:szCs w:val="24"/>
          <w:lang w:val="ro-MD"/>
        </w:rPr>
        <w:t>.</w:t>
      </w:r>
      <w:r w:rsidR="00912615">
        <w:rPr>
          <w:rFonts w:asciiTheme="majorHAnsi" w:hAnsiTheme="majorHAnsi" w:cstheme="majorHAnsi"/>
          <w:color w:val="000000" w:themeColor="text1"/>
          <w:sz w:val="24"/>
          <w:szCs w:val="24"/>
          <w:lang w:val="ro-MD"/>
        </w:rPr>
        <w:t>)</w:t>
      </w:r>
      <w:r w:rsidR="00FC241B" w:rsidRPr="00401691">
        <w:rPr>
          <w:rFonts w:asciiTheme="majorHAnsi" w:hAnsiTheme="majorHAnsi" w:cstheme="majorHAnsi"/>
          <w:color w:val="000000" w:themeColor="text1"/>
          <w:sz w:val="24"/>
          <w:szCs w:val="24"/>
          <w:lang w:val="ro-MD"/>
        </w:rPr>
        <w:t>.</w:t>
      </w:r>
    </w:p>
    <w:p w:rsidR="004C6281" w:rsidRPr="00401691" w:rsidRDefault="009773DD" w:rsidP="00844145">
      <w:pPr>
        <w:pStyle w:val="ListParagraph"/>
        <w:numPr>
          <w:ilvl w:val="0"/>
          <w:numId w:val="27"/>
        </w:numPr>
        <w:tabs>
          <w:tab w:val="left" w:pos="360"/>
          <w:tab w:val="left" w:pos="540"/>
        </w:tabs>
        <w:spacing w:after="120" w:line="276" w:lineRule="auto"/>
        <w:ind w:left="0" w:firstLine="0"/>
        <w:contextualSpacing w:val="0"/>
        <w:jc w:val="both"/>
        <w:rPr>
          <w:rFonts w:asciiTheme="majorHAnsi" w:eastAsia="Times New Roman" w:hAnsiTheme="majorHAnsi" w:cstheme="majorHAnsi"/>
          <w:b/>
          <w:i/>
          <w:sz w:val="24"/>
          <w:szCs w:val="24"/>
          <w:lang w:val="ro-MD"/>
        </w:rPr>
      </w:pPr>
      <w:r w:rsidRPr="00401691">
        <w:rPr>
          <w:rFonts w:asciiTheme="majorHAnsi" w:hAnsiTheme="majorHAnsi" w:cstheme="majorHAnsi"/>
          <w:sz w:val="24"/>
          <w:szCs w:val="24"/>
          <w:lang w:val="ro-MD"/>
        </w:rPr>
        <w:t xml:space="preserve">Deși, </w:t>
      </w:r>
      <w:r w:rsidR="001538E6" w:rsidRPr="00401691">
        <w:rPr>
          <w:rFonts w:asciiTheme="majorHAnsi" w:hAnsiTheme="majorHAnsi" w:cstheme="majorHAnsi"/>
          <w:sz w:val="24"/>
          <w:szCs w:val="24"/>
          <w:lang w:val="ro-MD"/>
        </w:rPr>
        <w:t>potrivit datelor raportate de SFS</w:t>
      </w:r>
      <w:r w:rsidR="001B174E">
        <w:rPr>
          <w:rFonts w:asciiTheme="majorHAnsi" w:hAnsiTheme="majorHAnsi" w:cstheme="majorHAnsi"/>
          <w:sz w:val="24"/>
          <w:szCs w:val="24"/>
          <w:lang w:val="ro-MD"/>
        </w:rPr>
        <w:t>,</w:t>
      </w:r>
      <w:r w:rsidR="001538E6" w:rsidRPr="00401691">
        <w:rPr>
          <w:rFonts w:asciiTheme="majorHAnsi" w:hAnsiTheme="majorHAnsi" w:cstheme="majorHAnsi"/>
          <w:sz w:val="24"/>
          <w:szCs w:val="24"/>
          <w:lang w:val="ro-MD"/>
        </w:rPr>
        <w:t xml:space="preserve"> se înregistrează o </w:t>
      </w:r>
      <w:r w:rsidR="00FC241B" w:rsidRPr="00401691">
        <w:rPr>
          <w:rFonts w:asciiTheme="majorHAnsi" w:hAnsiTheme="majorHAnsi" w:cstheme="majorHAnsi"/>
          <w:sz w:val="24"/>
          <w:szCs w:val="24"/>
          <w:lang w:val="ro-MD"/>
        </w:rPr>
        <w:t xml:space="preserve">micșorare </w:t>
      </w:r>
      <w:r w:rsidR="001538E6" w:rsidRPr="00401691">
        <w:rPr>
          <w:rFonts w:asciiTheme="majorHAnsi" w:hAnsiTheme="majorHAnsi" w:cstheme="majorHAnsi"/>
          <w:sz w:val="24"/>
          <w:szCs w:val="24"/>
          <w:lang w:val="ro-MD"/>
        </w:rPr>
        <w:t>a</w:t>
      </w:r>
      <w:r w:rsidRPr="00401691">
        <w:rPr>
          <w:rFonts w:asciiTheme="majorHAnsi" w:hAnsiTheme="majorHAnsi" w:cstheme="majorHAnsi"/>
          <w:sz w:val="24"/>
          <w:szCs w:val="24"/>
          <w:lang w:val="ro-MD"/>
        </w:rPr>
        <w:t xml:space="preserve"> restanț</w:t>
      </w:r>
      <w:r w:rsidR="001939EB" w:rsidRPr="00401691">
        <w:rPr>
          <w:rFonts w:asciiTheme="majorHAnsi" w:hAnsiTheme="majorHAnsi" w:cstheme="majorHAnsi"/>
          <w:sz w:val="24"/>
          <w:szCs w:val="24"/>
          <w:lang w:val="ro-MD"/>
        </w:rPr>
        <w:t xml:space="preserve">ei contribuabililor la bugetul de </w:t>
      </w:r>
      <w:r w:rsidR="001939EB" w:rsidRPr="008A4309">
        <w:rPr>
          <w:rFonts w:asciiTheme="majorHAnsi" w:hAnsiTheme="majorHAnsi" w:cstheme="majorHAnsi"/>
          <w:sz w:val="24"/>
          <w:szCs w:val="24"/>
          <w:lang w:val="ro-MD"/>
        </w:rPr>
        <w:t>stat</w:t>
      </w:r>
      <w:r w:rsidR="00FC241B" w:rsidRPr="008A4309">
        <w:rPr>
          <w:rFonts w:asciiTheme="majorHAnsi" w:hAnsiTheme="majorHAnsi" w:cstheme="majorHAnsi"/>
          <w:sz w:val="24"/>
          <w:szCs w:val="24"/>
          <w:lang w:val="ro-MD"/>
        </w:rPr>
        <w:t xml:space="preserve"> </w:t>
      </w:r>
      <w:r w:rsidR="009D68DD" w:rsidRPr="00037389">
        <w:rPr>
          <w:rFonts w:asciiTheme="majorHAnsi" w:hAnsiTheme="majorHAnsi" w:cstheme="majorHAnsi"/>
          <w:sz w:val="24"/>
          <w:szCs w:val="24"/>
          <w:lang w:val="ro-MD"/>
        </w:rPr>
        <w:t>cu</w:t>
      </w:r>
      <w:r w:rsidR="008935CC" w:rsidRPr="008A4309">
        <w:rPr>
          <w:rFonts w:asciiTheme="majorHAnsi" w:hAnsiTheme="majorHAnsi" w:cstheme="majorHAnsi"/>
          <w:sz w:val="24"/>
          <w:szCs w:val="24"/>
          <w:lang w:val="ro-MD"/>
        </w:rPr>
        <w:t xml:space="preserve"> sum</w:t>
      </w:r>
      <w:r w:rsidR="009D68DD" w:rsidRPr="008A4309">
        <w:rPr>
          <w:rFonts w:asciiTheme="majorHAnsi" w:hAnsiTheme="majorHAnsi" w:cstheme="majorHAnsi"/>
          <w:sz w:val="24"/>
          <w:szCs w:val="24"/>
          <w:lang w:val="ro-MD"/>
        </w:rPr>
        <w:t>a</w:t>
      </w:r>
      <w:r w:rsidR="008935CC" w:rsidRPr="008A4309">
        <w:rPr>
          <w:rFonts w:asciiTheme="majorHAnsi" w:hAnsiTheme="majorHAnsi" w:cstheme="majorHAnsi"/>
          <w:sz w:val="24"/>
          <w:szCs w:val="24"/>
          <w:lang w:val="ro-MD"/>
        </w:rPr>
        <w:t xml:space="preserve"> </w:t>
      </w:r>
      <w:r w:rsidR="00FC241B" w:rsidRPr="008A4309">
        <w:rPr>
          <w:rFonts w:asciiTheme="majorHAnsi" w:hAnsiTheme="majorHAnsi" w:cstheme="majorHAnsi"/>
          <w:sz w:val="24"/>
          <w:szCs w:val="24"/>
          <w:lang w:val="ro-MD"/>
        </w:rPr>
        <w:t>de</w:t>
      </w:r>
      <w:r w:rsidR="00FC241B" w:rsidRPr="00401691">
        <w:rPr>
          <w:rFonts w:asciiTheme="majorHAnsi" w:hAnsiTheme="majorHAnsi" w:cstheme="majorHAnsi"/>
          <w:sz w:val="24"/>
          <w:szCs w:val="24"/>
          <w:lang w:val="ro-MD"/>
        </w:rPr>
        <w:t xml:space="preserve"> 341,1 mil</w:t>
      </w:r>
      <w:r w:rsidR="00B44EFF" w:rsidRPr="00401691">
        <w:rPr>
          <w:rFonts w:asciiTheme="majorHAnsi" w:hAnsiTheme="majorHAnsi" w:cstheme="majorHAnsi"/>
          <w:sz w:val="24"/>
          <w:szCs w:val="24"/>
          <w:lang w:val="ro-MD"/>
        </w:rPr>
        <w:t>.</w:t>
      </w:r>
      <w:r w:rsidR="00FC241B" w:rsidRPr="00401691">
        <w:rPr>
          <w:rFonts w:asciiTheme="majorHAnsi" w:hAnsiTheme="majorHAnsi" w:cstheme="majorHAnsi"/>
          <w:sz w:val="24"/>
          <w:szCs w:val="24"/>
          <w:lang w:val="ro-MD"/>
        </w:rPr>
        <w:t xml:space="preserve"> lei, faț</w:t>
      </w:r>
      <w:r w:rsidR="001538E6" w:rsidRPr="00401691">
        <w:rPr>
          <w:rFonts w:asciiTheme="majorHAnsi" w:hAnsiTheme="majorHAnsi" w:cstheme="majorHAnsi"/>
          <w:sz w:val="24"/>
          <w:szCs w:val="24"/>
          <w:lang w:val="ro-MD"/>
        </w:rPr>
        <w:t xml:space="preserve">ă de perioada similară a anului </w:t>
      </w:r>
      <w:r w:rsidR="00BB6001">
        <w:rPr>
          <w:rFonts w:asciiTheme="majorHAnsi" w:hAnsiTheme="majorHAnsi" w:cstheme="majorHAnsi"/>
          <w:sz w:val="24"/>
          <w:szCs w:val="24"/>
          <w:lang w:val="ro-MD"/>
        </w:rPr>
        <w:t>2018</w:t>
      </w:r>
      <w:r w:rsidR="00FC241B" w:rsidRPr="00401691">
        <w:rPr>
          <w:rFonts w:asciiTheme="majorHAnsi" w:hAnsiTheme="majorHAnsi" w:cstheme="majorHAnsi"/>
          <w:sz w:val="24"/>
          <w:szCs w:val="24"/>
          <w:lang w:val="ro-MD"/>
        </w:rPr>
        <w:t>, a</w:t>
      </w:r>
      <w:r w:rsidR="001538E6" w:rsidRPr="00401691">
        <w:rPr>
          <w:rFonts w:asciiTheme="majorHAnsi" w:hAnsiTheme="majorHAnsi" w:cstheme="majorHAnsi"/>
          <w:sz w:val="24"/>
          <w:szCs w:val="24"/>
          <w:lang w:val="ro-MD"/>
        </w:rPr>
        <w:t xml:space="preserve">uditul </w:t>
      </w:r>
      <w:r w:rsidR="00FC241B" w:rsidRPr="00401691">
        <w:rPr>
          <w:rFonts w:asciiTheme="majorHAnsi" w:hAnsiTheme="majorHAnsi" w:cstheme="majorHAnsi"/>
          <w:sz w:val="24"/>
          <w:szCs w:val="24"/>
          <w:lang w:val="ro-MD"/>
        </w:rPr>
        <w:t xml:space="preserve">denotă că </w:t>
      </w:r>
      <w:r w:rsidR="001939EB" w:rsidRPr="00401691">
        <w:rPr>
          <w:rFonts w:asciiTheme="majorHAnsi" w:hAnsiTheme="majorHAnsi" w:cstheme="majorHAnsi"/>
          <w:sz w:val="24"/>
          <w:szCs w:val="24"/>
          <w:lang w:val="ro-MD"/>
        </w:rPr>
        <w:t>a</w:t>
      </w:r>
      <w:r w:rsidR="0066359F" w:rsidRPr="00401691">
        <w:rPr>
          <w:rFonts w:asciiTheme="majorHAnsi" w:hAnsiTheme="majorHAnsi" w:cstheme="majorHAnsi"/>
          <w:sz w:val="24"/>
          <w:szCs w:val="24"/>
          <w:lang w:val="ro-MD"/>
        </w:rPr>
        <w:t>ceast</w:t>
      </w:r>
      <w:r w:rsidR="001C0945">
        <w:rPr>
          <w:rFonts w:asciiTheme="majorHAnsi" w:hAnsiTheme="majorHAnsi" w:cstheme="majorHAnsi"/>
          <w:sz w:val="24"/>
          <w:szCs w:val="24"/>
          <w:lang w:val="ro-MD"/>
        </w:rPr>
        <w:t xml:space="preserve">ă </w:t>
      </w:r>
      <w:r w:rsidR="0066359F" w:rsidRPr="00401691">
        <w:rPr>
          <w:rFonts w:asciiTheme="majorHAnsi" w:hAnsiTheme="majorHAnsi" w:cstheme="majorHAnsi"/>
          <w:sz w:val="24"/>
          <w:szCs w:val="24"/>
          <w:lang w:val="ro-MD"/>
        </w:rPr>
        <w:t xml:space="preserve"> </w:t>
      </w:r>
      <w:r w:rsidR="00FC241B" w:rsidRPr="00401691">
        <w:rPr>
          <w:rFonts w:asciiTheme="majorHAnsi" w:hAnsiTheme="majorHAnsi" w:cstheme="majorHAnsi"/>
          <w:sz w:val="24"/>
          <w:szCs w:val="24"/>
          <w:lang w:val="ro-MD"/>
        </w:rPr>
        <w:t xml:space="preserve">diminuare </w:t>
      </w:r>
      <w:r w:rsidR="0066359F" w:rsidRPr="00401691">
        <w:rPr>
          <w:rFonts w:asciiTheme="majorHAnsi" w:hAnsiTheme="majorHAnsi" w:cstheme="majorHAnsi"/>
          <w:sz w:val="24"/>
          <w:szCs w:val="24"/>
          <w:lang w:val="ro-MD"/>
        </w:rPr>
        <w:t>se datorează stingerii restanțelor din evidența de bază</w:t>
      </w:r>
      <w:r w:rsidR="001C0945">
        <w:rPr>
          <w:rFonts w:asciiTheme="majorHAnsi" w:hAnsiTheme="majorHAnsi" w:cstheme="majorHAnsi"/>
          <w:sz w:val="24"/>
          <w:szCs w:val="24"/>
          <w:lang w:val="ro-MD"/>
        </w:rPr>
        <w:t>,</w:t>
      </w:r>
      <w:r w:rsidR="0066359F" w:rsidRPr="00401691">
        <w:rPr>
          <w:rFonts w:asciiTheme="majorHAnsi" w:hAnsiTheme="majorHAnsi" w:cstheme="majorHAnsi"/>
          <w:sz w:val="24"/>
          <w:szCs w:val="24"/>
          <w:lang w:val="ro-MD"/>
        </w:rPr>
        <w:t xml:space="preserve"> </w:t>
      </w:r>
      <w:r w:rsidR="001939EB" w:rsidRPr="00401691">
        <w:rPr>
          <w:rFonts w:asciiTheme="majorHAnsi" w:hAnsiTheme="majorHAnsi" w:cstheme="majorHAnsi"/>
          <w:sz w:val="24"/>
          <w:szCs w:val="24"/>
          <w:lang w:val="ro-MD"/>
        </w:rPr>
        <w:t xml:space="preserve">în valoare </w:t>
      </w:r>
      <w:r w:rsidR="00FC241B" w:rsidRPr="00401691">
        <w:rPr>
          <w:rFonts w:asciiTheme="majorHAnsi" w:hAnsiTheme="majorHAnsi" w:cstheme="majorHAnsi"/>
          <w:sz w:val="24"/>
          <w:szCs w:val="24"/>
          <w:lang w:val="ro-MD"/>
        </w:rPr>
        <w:t xml:space="preserve">totală </w:t>
      </w:r>
      <w:r w:rsidR="001939EB" w:rsidRPr="00401691">
        <w:rPr>
          <w:rFonts w:asciiTheme="majorHAnsi" w:hAnsiTheme="majorHAnsi" w:cstheme="majorHAnsi"/>
          <w:sz w:val="24"/>
          <w:szCs w:val="24"/>
          <w:lang w:val="ro-MD"/>
        </w:rPr>
        <w:t>de 541, 0 mil</w:t>
      </w:r>
      <w:r w:rsidR="00C21FCE">
        <w:rPr>
          <w:rFonts w:asciiTheme="majorHAnsi" w:hAnsiTheme="majorHAnsi" w:cstheme="majorHAnsi"/>
          <w:sz w:val="24"/>
          <w:szCs w:val="24"/>
          <w:lang w:val="ro-MD"/>
        </w:rPr>
        <w:t>.</w:t>
      </w:r>
      <w:r w:rsidR="001939EB" w:rsidRPr="00401691">
        <w:rPr>
          <w:rFonts w:asciiTheme="majorHAnsi" w:hAnsiTheme="majorHAnsi" w:cstheme="majorHAnsi"/>
          <w:sz w:val="24"/>
          <w:szCs w:val="24"/>
          <w:lang w:val="ro-MD"/>
        </w:rPr>
        <w:t xml:space="preserve"> lei</w:t>
      </w:r>
      <w:r w:rsidR="001C0945">
        <w:rPr>
          <w:rFonts w:asciiTheme="majorHAnsi" w:hAnsiTheme="majorHAnsi" w:cstheme="majorHAnsi"/>
          <w:sz w:val="24"/>
          <w:szCs w:val="24"/>
          <w:lang w:val="ro-MD"/>
        </w:rPr>
        <w:t>,</w:t>
      </w:r>
      <w:r w:rsidR="001939EB" w:rsidRPr="00401691">
        <w:rPr>
          <w:rFonts w:asciiTheme="majorHAnsi" w:hAnsiTheme="majorHAnsi" w:cstheme="majorHAnsi"/>
          <w:sz w:val="24"/>
          <w:szCs w:val="24"/>
          <w:lang w:val="ro-MD"/>
        </w:rPr>
        <w:t xml:space="preserve"> </w:t>
      </w:r>
      <w:r w:rsidR="0066359F" w:rsidRPr="00401691">
        <w:rPr>
          <w:rFonts w:asciiTheme="majorHAnsi" w:hAnsiTheme="majorHAnsi" w:cstheme="majorHAnsi"/>
          <w:sz w:val="24"/>
          <w:szCs w:val="24"/>
          <w:lang w:val="ro-MD"/>
        </w:rPr>
        <w:t xml:space="preserve">și </w:t>
      </w:r>
      <w:r w:rsidR="004A79B0" w:rsidRPr="00401691">
        <w:rPr>
          <w:rFonts w:asciiTheme="majorHAnsi" w:hAnsiTheme="majorHAnsi" w:cstheme="majorHAnsi"/>
          <w:sz w:val="24"/>
          <w:szCs w:val="24"/>
          <w:lang w:val="ro-MD"/>
        </w:rPr>
        <w:t>înscrier</w:t>
      </w:r>
      <w:r w:rsidR="0066359F" w:rsidRPr="00401691">
        <w:rPr>
          <w:rFonts w:asciiTheme="majorHAnsi" w:hAnsiTheme="majorHAnsi" w:cstheme="majorHAnsi"/>
          <w:sz w:val="24"/>
          <w:szCs w:val="24"/>
          <w:lang w:val="ro-MD"/>
        </w:rPr>
        <w:t xml:space="preserve">ii </w:t>
      </w:r>
      <w:r w:rsidR="004A79B0" w:rsidRPr="00401691">
        <w:rPr>
          <w:rFonts w:asciiTheme="majorHAnsi" w:hAnsiTheme="majorHAnsi" w:cstheme="majorHAnsi"/>
          <w:sz w:val="24"/>
          <w:szCs w:val="24"/>
          <w:lang w:val="ro-MD"/>
        </w:rPr>
        <w:t>obligații</w:t>
      </w:r>
      <w:r w:rsidR="00044354" w:rsidRPr="00401691">
        <w:rPr>
          <w:rFonts w:asciiTheme="majorHAnsi" w:hAnsiTheme="majorHAnsi" w:cstheme="majorHAnsi"/>
          <w:sz w:val="24"/>
          <w:szCs w:val="24"/>
          <w:lang w:val="ro-MD"/>
        </w:rPr>
        <w:t>lor</w:t>
      </w:r>
      <w:r w:rsidR="004A79B0" w:rsidRPr="00401691">
        <w:rPr>
          <w:rFonts w:asciiTheme="majorHAnsi" w:hAnsiTheme="majorHAnsi" w:cstheme="majorHAnsi"/>
          <w:sz w:val="24"/>
          <w:szCs w:val="24"/>
          <w:lang w:val="ro-MD"/>
        </w:rPr>
        <w:t xml:space="preserve"> fiscale restante/datorate în </w:t>
      </w:r>
      <w:r w:rsidR="004A79B0" w:rsidRPr="00F10708">
        <w:rPr>
          <w:rFonts w:asciiTheme="majorHAnsi" w:hAnsiTheme="majorHAnsi" w:cstheme="majorHAnsi"/>
          <w:sz w:val="24"/>
          <w:szCs w:val="24"/>
          <w:lang w:val="ro-MD"/>
        </w:rPr>
        <w:t>evidenț</w:t>
      </w:r>
      <w:r w:rsidR="009D68DD" w:rsidRPr="00037389">
        <w:rPr>
          <w:rFonts w:asciiTheme="majorHAnsi" w:hAnsiTheme="majorHAnsi" w:cstheme="majorHAnsi"/>
          <w:sz w:val="24"/>
          <w:szCs w:val="24"/>
          <w:lang w:val="ro-MD"/>
        </w:rPr>
        <w:t>a</w:t>
      </w:r>
      <w:r w:rsidR="004A79B0" w:rsidRPr="00F10708">
        <w:rPr>
          <w:rFonts w:asciiTheme="majorHAnsi" w:hAnsiTheme="majorHAnsi" w:cstheme="majorHAnsi"/>
          <w:sz w:val="24"/>
          <w:szCs w:val="24"/>
          <w:lang w:val="ro-MD"/>
        </w:rPr>
        <w:t xml:space="preserve"> s</w:t>
      </w:r>
      <w:r w:rsidR="004A79B0" w:rsidRPr="00401691">
        <w:rPr>
          <w:rFonts w:asciiTheme="majorHAnsi" w:hAnsiTheme="majorHAnsi" w:cstheme="majorHAnsi"/>
          <w:sz w:val="24"/>
          <w:szCs w:val="24"/>
          <w:lang w:val="ro-MD"/>
        </w:rPr>
        <w:t>pecială</w:t>
      </w:r>
      <w:r w:rsidR="00C0281C" w:rsidRPr="00401691">
        <w:rPr>
          <w:rFonts w:asciiTheme="majorHAnsi" w:hAnsiTheme="majorHAnsi" w:cstheme="majorHAnsi"/>
          <w:sz w:val="24"/>
          <w:szCs w:val="24"/>
          <w:lang w:val="ro-MD"/>
        </w:rPr>
        <w:t>, care sunt nerecuperabile sau au un grad re</w:t>
      </w:r>
      <w:r w:rsidR="00B44EFF" w:rsidRPr="00401691">
        <w:rPr>
          <w:rFonts w:asciiTheme="majorHAnsi" w:hAnsiTheme="majorHAnsi" w:cstheme="majorHAnsi"/>
          <w:sz w:val="24"/>
          <w:szCs w:val="24"/>
          <w:lang w:val="ro-MD"/>
        </w:rPr>
        <w:t xml:space="preserve">dus de recuperare, constituind </w:t>
      </w:r>
      <w:r w:rsidR="00044354" w:rsidRPr="00401691">
        <w:rPr>
          <w:rFonts w:asciiTheme="majorHAnsi" w:hAnsiTheme="majorHAnsi" w:cstheme="majorHAnsi"/>
          <w:sz w:val="24"/>
          <w:szCs w:val="24"/>
          <w:lang w:val="ro-MD"/>
        </w:rPr>
        <w:t>pierderi ale bugetului de stat.</w:t>
      </w:r>
      <w:r w:rsidR="004A79B0" w:rsidRPr="00401691">
        <w:rPr>
          <w:rFonts w:asciiTheme="majorHAnsi" w:hAnsiTheme="majorHAnsi" w:cstheme="majorHAnsi"/>
          <w:sz w:val="24"/>
          <w:szCs w:val="24"/>
          <w:lang w:val="ro-MD"/>
        </w:rPr>
        <w:t xml:space="preserve"> </w:t>
      </w:r>
      <w:r w:rsidR="000B22C5" w:rsidRPr="00401691">
        <w:rPr>
          <w:rFonts w:asciiTheme="majorHAnsi" w:hAnsiTheme="majorHAnsi" w:cstheme="majorHAnsi"/>
          <w:sz w:val="24"/>
          <w:szCs w:val="24"/>
          <w:lang w:val="ro-MD"/>
        </w:rPr>
        <w:t xml:space="preserve">Dat fiind </w:t>
      </w:r>
      <w:r w:rsidR="009D68DD">
        <w:rPr>
          <w:rFonts w:asciiTheme="majorHAnsi" w:hAnsiTheme="majorHAnsi" w:cstheme="majorHAnsi"/>
          <w:sz w:val="24"/>
          <w:szCs w:val="24"/>
          <w:lang w:val="ro-MD"/>
        </w:rPr>
        <w:t xml:space="preserve">faptul </w:t>
      </w:r>
      <w:r w:rsidR="0066359F" w:rsidRPr="00401691">
        <w:rPr>
          <w:rFonts w:asciiTheme="majorHAnsi" w:hAnsiTheme="majorHAnsi" w:cstheme="majorHAnsi"/>
          <w:sz w:val="24"/>
          <w:szCs w:val="24"/>
          <w:lang w:val="ro-MD"/>
        </w:rPr>
        <w:t>că</w:t>
      </w:r>
      <w:r w:rsidR="001939EB" w:rsidRPr="00401691">
        <w:rPr>
          <w:rFonts w:asciiTheme="majorHAnsi" w:hAnsiTheme="majorHAnsi" w:cstheme="majorHAnsi"/>
          <w:sz w:val="24"/>
          <w:szCs w:val="24"/>
          <w:lang w:val="ro-MD"/>
        </w:rPr>
        <w:t>,</w:t>
      </w:r>
      <w:r w:rsidR="0066359F" w:rsidRPr="00401691">
        <w:rPr>
          <w:rFonts w:asciiTheme="majorHAnsi" w:hAnsiTheme="majorHAnsi" w:cstheme="majorHAnsi"/>
          <w:sz w:val="24"/>
          <w:szCs w:val="24"/>
          <w:lang w:val="ro-MD"/>
        </w:rPr>
        <w:t xml:space="preserve"> potrivit cadrului legal, </w:t>
      </w:r>
      <w:r w:rsidR="000B22C5" w:rsidRPr="00401691">
        <w:rPr>
          <w:rFonts w:asciiTheme="majorHAnsi" w:hAnsiTheme="majorHAnsi" w:cstheme="majorHAnsi"/>
          <w:sz w:val="24"/>
          <w:szCs w:val="24"/>
          <w:lang w:val="ro-MD"/>
        </w:rPr>
        <w:t xml:space="preserve">obligațiile fiscale </w:t>
      </w:r>
      <w:r w:rsidR="00436CB2" w:rsidRPr="00401691">
        <w:rPr>
          <w:rFonts w:asciiTheme="majorHAnsi" w:hAnsiTheme="majorHAnsi" w:cstheme="majorHAnsi"/>
          <w:sz w:val="24"/>
          <w:szCs w:val="24"/>
          <w:lang w:val="ro-MD"/>
        </w:rPr>
        <w:t xml:space="preserve">din </w:t>
      </w:r>
      <w:r w:rsidR="0066359F" w:rsidRPr="00401691">
        <w:rPr>
          <w:rFonts w:asciiTheme="majorHAnsi" w:hAnsiTheme="majorHAnsi" w:cstheme="majorHAnsi"/>
          <w:sz w:val="24"/>
          <w:szCs w:val="24"/>
          <w:lang w:val="ro-MD"/>
        </w:rPr>
        <w:t>evidența specială</w:t>
      </w:r>
      <w:r w:rsidR="00B44EFF" w:rsidRPr="00401691">
        <w:rPr>
          <w:rFonts w:asciiTheme="majorHAnsi" w:hAnsiTheme="majorHAnsi" w:cstheme="majorHAnsi"/>
          <w:sz w:val="24"/>
          <w:szCs w:val="24"/>
          <w:lang w:val="ro-MD"/>
        </w:rPr>
        <w:t xml:space="preserve"> nu se consideră restanțe,</w:t>
      </w:r>
      <w:r w:rsidR="00436CB2" w:rsidRPr="00401691">
        <w:rPr>
          <w:rFonts w:asciiTheme="majorHAnsi" w:hAnsiTheme="majorHAnsi" w:cstheme="majorHAnsi"/>
          <w:sz w:val="24"/>
          <w:szCs w:val="24"/>
          <w:lang w:val="ro-MD"/>
        </w:rPr>
        <w:t xml:space="preserve"> acest aspect </w:t>
      </w:r>
      <w:r w:rsidR="0066359F" w:rsidRPr="00401691">
        <w:rPr>
          <w:rFonts w:asciiTheme="majorHAnsi" w:hAnsiTheme="majorHAnsi" w:cstheme="majorHAnsi"/>
          <w:sz w:val="24"/>
          <w:szCs w:val="24"/>
          <w:lang w:val="ro-MD"/>
        </w:rPr>
        <w:t>creează</w:t>
      </w:r>
      <w:r w:rsidR="000B22C5" w:rsidRPr="00401691">
        <w:rPr>
          <w:rFonts w:asciiTheme="majorHAnsi" w:hAnsiTheme="majorHAnsi" w:cstheme="majorHAnsi"/>
          <w:sz w:val="24"/>
          <w:szCs w:val="24"/>
          <w:lang w:val="ro-MD"/>
        </w:rPr>
        <w:t xml:space="preserve"> o </w:t>
      </w:r>
      <w:r w:rsidR="0066359F" w:rsidRPr="00401691">
        <w:rPr>
          <w:rFonts w:asciiTheme="majorHAnsi" w:hAnsiTheme="majorHAnsi" w:cstheme="majorHAnsi"/>
          <w:sz w:val="24"/>
          <w:szCs w:val="24"/>
          <w:lang w:val="ro-MD"/>
        </w:rPr>
        <w:t>impresi</w:t>
      </w:r>
      <w:r w:rsidR="000B22C5" w:rsidRPr="00401691">
        <w:rPr>
          <w:rFonts w:asciiTheme="majorHAnsi" w:hAnsiTheme="majorHAnsi" w:cstheme="majorHAnsi"/>
          <w:sz w:val="24"/>
          <w:szCs w:val="24"/>
          <w:lang w:val="ro-MD"/>
        </w:rPr>
        <w:t xml:space="preserve">e </w:t>
      </w:r>
      <w:r w:rsidR="00D10ED2" w:rsidRPr="00401691">
        <w:rPr>
          <w:rFonts w:asciiTheme="majorHAnsi" w:hAnsiTheme="majorHAnsi" w:cstheme="majorHAnsi"/>
          <w:sz w:val="24"/>
          <w:szCs w:val="24"/>
          <w:lang w:val="ro-MD"/>
        </w:rPr>
        <w:t xml:space="preserve">greșită </w:t>
      </w:r>
      <w:r w:rsidR="00FC241B" w:rsidRPr="00401691">
        <w:rPr>
          <w:rFonts w:asciiTheme="majorHAnsi" w:hAnsiTheme="majorHAnsi" w:cstheme="majorHAnsi"/>
          <w:sz w:val="24"/>
          <w:szCs w:val="24"/>
          <w:lang w:val="ro-MD"/>
        </w:rPr>
        <w:t xml:space="preserve">privind </w:t>
      </w:r>
      <w:r w:rsidR="00436CB2" w:rsidRPr="00401691">
        <w:rPr>
          <w:rFonts w:asciiTheme="majorHAnsi" w:hAnsiTheme="majorHAnsi" w:cstheme="majorHAnsi"/>
          <w:sz w:val="24"/>
          <w:szCs w:val="24"/>
          <w:lang w:val="ro-MD"/>
        </w:rPr>
        <w:t>diminu</w:t>
      </w:r>
      <w:r w:rsidR="00FC241B" w:rsidRPr="00401691">
        <w:rPr>
          <w:rFonts w:asciiTheme="majorHAnsi" w:hAnsiTheme="majorHAnsi" w:cstheme="majorHAnsi"/>
          <w:sz w:val="24"/>
          <w:szCs w:val="24"/>
          <w:lang w:val="ro-MD"/>
        </w:rPr>
        <w:t xml:space="preserve">area </w:t>
      </w:r>
      <w:r w:rsidR="00436CB2" w:rsidRPr="00401691">
        <w:rPr>
          <w:rFonts w:asciiTheme="majorHAnsi" w:hAnsiTheme="majorHAnsi" w:cstheme="majorHAnsi"/>
          <w:sz w:val="24"/>
          <w:szCs w:val="24"/>
          <w:lang w:val="ro-MD"/>
        </w:rPr>
        <w:t xml:space="preserve">restanțelor la </w:t>
      </w:r>
      <w:r w:rsidR="00366935" w:rsidRPr="00401691">
        <w:rPr>
          <w:rFonts w:asciiTheme="majorHAnsi" w:hAnsiTheme="majorHAnsi" w:cstheme="majorHAnsi"/>
          <w:sz w:val="24"/>
          <w:szCs w:val="24"/>
          <w:lang w:val="ro-MD"/>
        </w:rPr>
        <w:t>BS</w:t>
      </w:r>
      <w:r w:rsidR="00AA76BD">
        <w:rPr>
          <w:rFonts w:asciiTheme="majorHAnsi" w:hAnsiTheme="majorHAnsi" w:cstheme="majorHAnsi"/>
          <w:sz w:val="24"/>
          <w:szCs w:val="24"/>
          <w:lang w:val="ro-MD"/>
        </w:rPr>
        <w:t xml:space="preserve"> și ridică/îmbunătățește nivelul indicatorilor SFS la capitolul administr</w:t>
      </w:r>
      <w:r w:rsidR="009D68DD">
        <w:rPr>
          <w:rFonts w:asciiTheme="majorHAnsi" w:hAnsiTheme="majorHAnsi" w:cstheme="majorHAnsi"/>
          <w:sz w:val="24"/>
          <w:szCs w:val="24"/>
          <w:lang w:val="ro-MD"/>
        </w:rPr>
        <w:t>area</w:t>
      </w:r>
      <w:r w:rsidR="00AA76BD">
        <w:rPr>
          <w:rFonts w:asciiTheme="majorHAnsi" w:hAnsiTheme="majorHAnsi" w:cstheme="majorHAnsi"/>
          <w:sz w:val="24"/>
          <w:szCs w:val="24"/>
          <w:lang w:val="ro-MD"/>
        </w:rPr>
        <w:t xml:space="preserve"> restanțelor</w:t>
      </w:r>
      <w:r w:rsidR="00055C47" w:rsidRPr="00401691">
        <w:rPr>
          <w:rFonts w:asciiTheme="majorHAnsi" w:hAnsiTheme="majorHAnsi" w:cstheme="majorHAnsi"/>
          <w:sz w:val="24"/>
          <w:szCs w:val="24"/>
          <w:lang w:val="ro-MD"/>
        </w:rPr>
        <w:t xml:space="preserve">. </w:t>
      </w:r>
      <w:r w:rsidR="00C0281C" w:rsidRPr="00401691">
        <w:rPr>
          <w:rFonts w:asciiTheme="majorHAnsi" w:hAnsiTheme="majorHAnsi" w:cstheme="majorHAnsi"/>
          <w:sz w:val="24"/>
          <w:szCs w:val="24"/>
          <w:lang w:val="ro-MD"/>
        </w:rPr>
        <w:t>La situația din 31.12.2019</w:t>
      </w:r>
      <w:r w:rsidR="004966DD">
        <w:rPr>
          <w:rFonts w:asciiTheme="majorHAnsi" w:hAnsiTheme="majorHAnsi" w:cstheme="majorHAnsi"/>
          <w:sz w:val="24"/>
          <w:szCs w:val="24"/>
          <w:lang w:val="ro-MD"/>
        </w:rPr>
        <w:t>,</w:t>
      </w:r>
      <w:r w:rsidR="00C0281C" w:rsidRPr="00401691">
        <w:rPr>
          <w:rFonts w:asciiTheme="majorHAnsi" w:hAnsiTheme="majorHAnsi" w:cstheme="majorHAnsi"/>
          <w:sz w:val="24"/>
          <w:szCs w:val="24"/>
          <w:lang w:val="ro-MD"/>
        </w:rPr>
        <w:t xml:space="preserve"> datoriile </w:t>
      </w:r>
      <w:r w:rsidR="00044354" w:rsidRPr="00401691">
        <w:rPr>
          <w:rFonts w:asciiTheme="majorHAnsi" w:hAnsiTheme="majorHAnsi" w:cstheme="majorHAnsi"/>
          <w:sz w:val="24"/>
          <w:szCs w:val="24"/>
          <w:lang w:val="ro-MD"/>
        </w:rPr>
        <w:t xml:space="preserve">totale </w:t>
      </w:r>
      <w:r w:rsidR="009D68DD" w:rsidRPr="00037389">
        <w:rPr>
          <w:rFonts w:asciiTheme="majorHAnsi" w:hAnsiTheme="majorHAnsi" w:cstheme="majorHAnsi"/>
          <w:sz w:val="24"/>
          <w:szCs w:val="24"/>
          <w:lang w:val="ro-MD"/>
        </w:rPr>
        <w:t>privind</w:t>
      </w:r>
      <w:r w:rsidR="00044354" w:rsidRPr="00F10708">
        <w:rPr>
          <w:rFonts w:asciiTheme="majorHAnsi" w:hAnsiTheme="majorHAnsi" w:cstheme="majorHAnsi"/>
          <w:sz w:val="24"/>
          <w:szCs w:val="24"/>
          <w:lang w:val="ro-MD"/>
        </w:rPr>
        <w:t xml:space="preserve"> </w:t>
      </w:r>
      <w:r w:rsidR="00C0281C" w:rsidRPr="00F10708">
        <w:rPr>
          <w:rFonts w:asciiTheme="majorHAnsi" w:hAnsiTheme="majorHAnsi" w:cstheme="majorHAnsi"/>
          <w:sz w:val="24"/>
          <w:szCs w:val="24"/>
          <w:lang w:val="ro-MD"/>
        </w:rPr>
        <w:t>oblig</w:t>
      </w:r>
      <w:r w:rsidR="00C0281C" w:rsidRPr="00401691">
        <w:rPr>
          <w:rFonts w:asciiTheme="majorHAnsi" w:hAnsiTheme="majorHAnsi" w:cstheme="majorHAnsi"/>
          <w:sz w:val="24"/>
          <w:szCs w:val="24"/>
          <w:lang w:val="ro-MD"/>
        </w:rPr>
        <w:t>ațiil</w:t>
      </w:r>
      <w:r w:rsidR="009D68DD">
        <w:rPr>
          <w:rFonts w:asciiTheme="majorHAnsi" w:hAnsiTheme="majorHAnsi" w:cstheme="majorHAnsi"/>
          <w:sz w:val="24"/>
          <w:szCs w:val="24"/>
          <w:lang w:val="ro-MD"/>
        </w:rPr>
        <w:t>e</w:t>
      </w:r>
      <w:r w:rsidR="00C0281C" w:rsidRPr="00401691">
        <w:rPr>
          <w:rFonts w:asciiTheme="majorHAnsi" w:hAnsiTheme="majorHAnsi" w:cstheme="majorHAnsi"/>
          <w:sz w:val="24"/>
          <w:szCs w:val="24"/>
          <w:lang w:val="ro-MD"/>
        </w:rPr>
        <w:t xml:space="preserve"> </w:t>
      </w:r>
      <w:r w:rsidR="00C0281C" w:rsidRPr="00401691">
        <w:rPr>
          <w:rFonts w:asciiTheme="majorHAnsi" w:hAnsiTheme="majorHAnsi" w:cstheme="majorHAnsi"/>
          <w:color w:val="000000" w:themeColor="text1"/>
          <w:sz w:val="24"/>
          <w:szCs w:val="24"/>
          <w:lang w:val="ro-MD"/>
        </w:rPr>
        <w:t>fiscale</w:t>
      </w:r>
      <w:r w:rsidR="00044354" w:rsidRPr="00401691">
        <w:rPr>
          <w:rFonts w:asciiTheme="majorHAnsi" w:hAnsiTheme="majorHAnsi" w:cstheme="majorHAnsi"/>
          <w:sz w:val="24"/>
          <w:szCs w:val="24"/>
          <w:lang w:val="ro-MD"/>
        </w:rPr>
        <w:t xml:space="preserve"> </w:t>
      </w:r>
      <w:r w:rsidR="00BB6001">
        <w:rPr>
          <w:rFonts w:asciiTheme="majorHAnsi" w:hAnsiTheme="majorHAnsi" w:cstheme="majorHAnsi"/>
          <w:sz w:val="24"/>
          <w:szCs w:val="24"/>
          <w:lang w:val="ro-MD"/>
        </w:rPr>
        <w:t>față de</w:t>
      </w:r>
      <w:r w:rsidR="00044354" w:rsidRPr="00401691">
        <w:rPr>
          <w:rFonts w:asciiTheme="majorHAnsi" w:hAnsiTheme="majorHAnsi" w:cstheme="majorHAnsi"/>
          <w:sz w:val="24"/>
          <w:szCs w:val="24"/>
          <w:lang w:val="ro-MD"/>
        </w:rPr>
        <w:t xml:space="preserve"> </w:t>
      </w:r>
      <w:r w:rsidR="00366935" w:rsidRPr="00401691">
        <w:rPr>
          <w:rFonts w:asciiTheme="majorHAnsi" w:hAnsiTheme="majorHAnsi" w:cstheme="majorHAnsi"/>
          <w:sz w:val="24"/>
          <w:szCs w:val="24"/>
          <w:lang w:val="ro-MD"/>
        </w:rPr>
        <w:t>BS</w:t>
      </w:r>
      <w:r w:rsidR="00BB6001">
        <w:rPr>
          <w:rFonts w:asciiTheme="majorHAnsi" w:hAnsiTheme="majorHAnsi" w:cstheme="majorHAnsi"/>
          <w:sz w:val="24"/>
          <w:szCs w:val="24"/>
          <w:lang w:val="ro-MD"/>
        </w:rPr>
        <w:t>,</w:t>
      </w:r>
      <w:r w:rsidR="00C0281C" w:rsidRPr="00401691">
        <w:rPr>
          <w:rFonts w:asciiTheme="majorHAnsi" w:hAnsiTheme="majorHAnsi" w:cstheme="majorHAnsi"/>
          <w:sz w:val="24"/>
          <w:szCs w:val="24"/>
          <w:lang w:val="ro-MD"/>
        </w:rPr>
        <w:t xml:space="preserve"> care figurau </w:t>
      </w:r>
      <w:r w:rsidR="00B44EFF" w:rsidRPr="00401691">
        <w:rPr>
          <w:rFonts w:asciiTheme="majorHAnsi" w:hAnsiTheme="majorHAnsi" w:cstheme="majorHAnsi"/>
          <w:sz w:val="24"/>
          <w:szCs w:val="24"/>
          <w:lang w:val="ro-MD"/>
        </w:rPr>
        <w:t>în evidența specială</w:t>
      </w:r>
      <w:r w:rsidR="009D68DD">
        <w:rPr>
          <w:rFonts w:asciiTheme="majorHAnsi" w:hAnsiTheme="majorHAnsi" w:cstheme="majorHAnsi"/>
          <w:sz w:val="24"/>
          <w:szCs w:val="24"/>
          <w:lang w:val="ro-MD"/>
        </w:rPr>
        <w:t>,</w:t>
      </w:r>
      <w:r w:rsidR="00B44EFF" w:rsidRPr="00401691">
        <w:rPr>
          <w:rFonts w:asciiTheme="majorHAnsi" w:hAnsiTheme="majorHAnsi" w:cstheme="majorHAnsi"/>
          <w:sz w:val="24"/>
          <w:szCs w:val="24"/>
          <w:lang w:val="ro-MD"/>
        </w:rPr>
        <w:t xml:space="preserve"> au însumat</w:t>
      </w:r>
      <w:r w:rsidR="00C0281C" w:rsidRPr="00401691">
        <w:rPr>
          <w:rFonts w:asciiTheme="majorHAnsi" w:hAnsiTheme="majorHAnsi" w:cstheme="majorHAnsi"/>
          <w:sz w:val="24"/>
          <w:szCs w:val="24"/>
          <w:lang w:val="ro-MD"/>
        </w:rPr>
        <w:t xml:space="preserve"> 12034,4 mil</w:t>
      </w:r>
      <w:r w:rsidR="00044354" w:rsidRPr="00401691">
        <w:rPr>
          <w:rFonts w:asciiTheme="majorHAnsi" w:hAnsiTheme="majorHAnsi" w:cstheme="majorHAnsi"/>
          <w:sz w:val="24"/>
          <w:szCs w:val="24"/>
          <w:lang w:val="ro-MD"/>
        </w:rPr>
        <w:t>.</w:t>
      </w:r>
      <w:r w:rsidR="00C0281C" w:rsidRPr="00401691">
        <w:rPr>
          <w:rFonts w:asciiTheme="majorHAnsi" w:hAnsiTheme="majorHAnsi" w:cstheme="majorHAnsi"/>
          <w:sz w:val="24"/>
          <w:szCs w:val="24"/>
          <w:lang w:val="ro-MD"/>
        </w:rPr>
        <w:t xml:space="preserve"> lei</w:t>
      </w:r>
      <w:r w:rsidR="00C02A75">
        <w:rPr>
          <w:rFonts w:asciiTheme="majorHAnsi" w:hAnsiTheme="majorHAnsi" w:cstheme="majorHAnsi"/>
          <w:sz w:val="24"/>
          <w:szCs w:val="24"/>
          <w:lang w:val="ro-MD"/>
        </w:rPr>
        <w:t xml:space="preserve"> (2.1</w:t>
      </w:r>
      <w:r w:rsidR="00FD1669">
        <w:rPr>
          <w:rFonts w:asciiTheme="majorHAnsi" w:hAnsiTheme="majorHAnsi" w:cstheme="majorHAnsi"/>
          <w:sz w:val="24"/>
          <w:szCs w:val="24"/>
          <w:lang w:val="ro-MD"/>
        </w:rPr>
        <w:t>.</w:t>
      </w:r>
      <w:r w:rsidR="00C02A75">
        <w:rPr>
          <w:rFonts w:asciiTheme="majorHAnsi" w:hAnsiTheme="majorHAnsi" w:cstheme="majorHAnsi"/>
          <w:sz w:val="24"/>
          <w:szCs w:val="24"/>
          <w:lang w:val="ro-MD"/>
        </w:rPr>
        <w:t>)</w:t>
      </w:r>
      <w:r w:rsidR="00044354" w:rsidRPr="00401691">
        <w:rPr>
          <w:rFonts w:asciiTheme="majorHAnsi" w:hAnsiTheme="majorHAnsi" w:cstheme="majorHAnsi"/>
          <w:sz w:val="24"/>
          <w:szCs w:val="24"/>
          <w:lang w:val="ro-MD"/>
        </w:rPr>
        <w:t>.</w:t>
      </w:r>
    </w:p>
    <w:p w:rsidR="004C6281" w:rsidRPr="002D6368" w:rsidRDefault="00B44EFF" w:rsidP="00844145">
      <w:pPr>
        <w:pStyle w:val="ListParagraph"/>
        <w:numPr>
          <w:ilvl w:val="0"/>
          <w:numId w:val="27"/>
        </w:numPr>
        <w:tabs>
          <w:tab w:val="left" w:pos="360"/>
          <w:tab w:val="left" w:pos="540"/>
        </w:tabs>
        <w:spacing w:after="120" w:line="276" w:lineRule="auto"/>
        <w:ind w:left="0" w:firstLine="0"/>
        <w:contextualSpacing w:val="0"/>
        <w:jc w:val="both"/>
        <w:rPr>
          <w:rFonts w:asciiTheme="majorHAnsi" w:eastAsia="Times New Roman" w:hAnsiTheme="majorHAnsi" w:cstheme="majorHAnsi"/>
          <w:b/>
          <w:i/>
          <w:sz w:val="24"/>
          <w:szCs w:val="24"/>
          <w:lang w:val="ro-MD"/>
        </w:rPr>
      </w:pPr>
      <w:r w:rsidRPr="002D6368">
        <w:rPr>
          <w:rFonts w:asciiTheme="majorHAnsi" w:hAnsiTheme="majorHAnsi" w:cstheme="majorHAnsi"/>
          <w:color w:val="000000" w:themeColor="text1"/>
          <w:sz w:val="24"/>
          <w:szCs w:val="24"/>
          <w:lang w:val="ro-MD"/>
        </w:rPr>
        <w:lastRenderedPageBreak/>
        <w:t xml:space="preserve">În totalul obligațiilor fiscale </w:t>
      </w:r>
      <w:r w:rsidR="00715D5F" w:rsidRPr="002D6368">
        <w:rPr>
          <w:rFonts w:asciiTheme="majorHAnsi" w:hAnsiTheme="majorHAnsi" w:cstheme="majorHAnsi"/>
          <w:color w:val="000000" w:themeColor="text1"/>
          <w:sz w:val="24"/>
          <w:szCs w:val="24"/>
          <w:lang w:val="ro-MD"/>
        </w:rPr>
        <w:t xml:space="preserve">înscrise în evidența specială, partea preponderentă – </w:t>
      </w:r>
      <w:r w:rsidR="00C3000D">
        <w:rPr>
          <w:rFonts w:asciiTheme="majorHAnsi" w:hAnsiTheme="majorHAnsi" w:cstheme="majorHAnsi"/>
          <w:color w:val="000000" w:themeColor="text1"/>
          <w:sz w:val="24"/>
          <w:szCs w:val="24"/>
          <w:lang w:val="ro-MD"/>
        </w:rPr>
        <w:t xml:space="preserve">6733,6 </w:t>
      </w:r>
      <w:r w:rsidR="00715D5F" w:rsidRPr="002D6368">
        <w:rPr>
          <w:rFonts w:asciiTheme="majorHAnsi" w:hAnsiTheme="majorHAnsi" w:cstheme="majorHAnsi"/>
          <w:color w:val="000000" w:themeColor="text1"/>
          <w:sz w:val="24"/>
          <w:szCs w:val="24"/>
          <w:lang w:val="ro-MD"/>
        </w:rPr>
        <w:t>mil</w:t>
      </w:r>
      <w:r w:rsidR="00CA7DEE" w:rsidRPr="002D6368">
        <w:rPr>
          <w:rFonts w:asciiTheme="majorHAnsi" w:hAnsiTheme="majorHAnsi" w:cstheme="majorHAnsi"/>
          <w:color w:val="000000" w:themeColor="text1"/>
          <w:sz w:val="24"/>
          <w:szCs w:val="24"/>
          <w:lang w:val="ro-MD"/>
        </w:rPr>
        <w:t>.</w:t>
      </w:r>
      <w:r w:rsidR="00715D5F" w:rsidRPr="002D6368">
        <w:rPr>
          <w:rFonts w:asciiTheme="majorHAnsi" w:hAnsiTheme="majorHAnsi" w:cstheme="majorHAnsi"/>
          <w:color w:val="000000" w:themeColor="text1"/>
          <w:sz w:val="24"/>
          <w:szCs w:val="24"/>
          <w:lang w:val="ro-MD"/>
        </w:rPr>
        <w:t xml:space="preserve"> lei, sau 55,8 %, revin restan</w:t>
      </w:r>
      <w:r w:rsidR="009D68DD">
        <w:rPr>
          <w:rFonts w:asciiTheme="majorHAnsi" w:hAnsiTheme="majorHAnsi" w:cstheme="majorHAnsi"/>
          <w:color w:val="000000" w:themeColor="text1"/>
          <w:sz w:val="24"/>
          <w:szCs w:val="24"/>
          <w:lang w:val="ro-MD"/>
        </w:rPr>
        <w:t>ț</w:t>
      </w:r>
      <w:r w:rsidR="00715D5F" w:rsidRPr="002D6368">
        <w:rPr>
          <w:rFonts w:asciiTheme="majorHAnsi" w:hAnsiTheme="majorHAnsi" w:cstheme="majorHAnsi"/>
          <w:color w:val="000000" w:themeColor="text1"/>
          <w:sz w:val="24"/>
          <w:szCs w:val="24"/>
          <w:lang w:val="ro-MD"/>
        </w:rPr>
        <w:t>elor contribuabililor aflați în procedur</w:t>
      </w:r>
      <w:r w:rsidR="009D68DD">
        <w:rPr>
          <w:rFonts w:asciiTheme="majorHAnsi" w:hAnsiTheme="majorHAnsi" w:cstheme="majorHAnsi"/>
          <w:color w:val="000000" w:themeColor="text1"/>
          <w:sz w:val="24"/>
          <w:szCs w:val="24"/>
          <w:lang w:val="ro-MD"/>
        </w:rPr>
        <w:t>a</w:t>
      </w:r>
      <w:r w:rsidR="00715D5F" w:rsidRPr="002D6368">
        <w:rPr>
          <w:rFonts w:asciiTheme="majorHAnsi" w:hAnsiTheme="majorHAnsi" w:cstheme="majorHAnsi"/>
          <w:color w:val="000000" w:themeColor="text1"/>
          <w:sz w:val="24"/>
          <w:szCs w:val="24"/>
          <w:lang w:val="ro-MD"/>
        </w:rPr>
        <w:t xml:space="preserve"> de insolvabilitate, procedura falimentului sau procedura simplificată a falimentului. </w:t>
      </w:r>
      <w:r w:rsidR="00BB591F" w:rsidRPr="002D6368">
        <w:rPr>
          <w:rFonts w:asciiTheme="majorHAnsi" w:hAnsiTheme="majorHAnsi" w:cstheme="majorHAnsi"/>
          <w:sz w:val="24"/>
          <w:szCs w:val="24"/>
          <w:lang w:val="ro-MD"/>
        </w:rPr>
        <w:t>L</w:t>
      </w:r>
      <w:r w:rsidR="00A50CCC" w:rsidRPr="002D6368">
        <w:rPr>
          <w:rFonts w:asciiTheme="majorHAnsi" w:hAnsiTheme="majorHAnsi" w:cstheme="majorHAnsi"/>
          <w:sz w:val="24"/>
          <w:szCs w:val="24"/>
          <w:lang w:val="ro-MD"/>
        </w:rPr>
        <w:t>ipsa unui cadru metodologic</w:t>
      </w:r>
      <w:r w:rsidR="009D68DD">
        <w:rPr>
          <w:rFonts w:asciiTheme="majorHAnsi" w:hAnsiTheme="majorHAnsi" w:cstheme="majorHAnsi"/>
          <w:sz w:val="24"/>
          <w:szCs w:val="24"/>
          <w:lang w:val="ro-MD"/>
        </w:rPr>
        <w:t>,</w:t>
      </w:r>
      <w:r w:rsidR="00A50CCC" w:rsidRPr="002D6368">
        <w:rPr>
          <w:rFonts w:asciiTheme="majorHAnsi" w:hAnsiTheme="majorHAnsi" w:cstheme="majorHAnsi"/>
          <w:sz w:val="24"/>
          <w:szCs w:val="24"/>
          <w:lang w:val="ro-MD"/>
        </w:rPr>
        <w:t xml:space="preserve"> </w:t>
      </w:r>
      <w:r w:rsidRPr="002D6368">
        <w:rPr>
          <w:rFonts w:asciiTheme="majorHAnsi" w:hAnsiTheme="majorHAnsi" w:cstheme="majorHAnsi"/>
          <w:sz w:val="24"/>
          <w:szCs w:val="24"/>
          <w:lang w:val="ro-MD"/>
        </w:rPr>
        <w:t>aprobat de MF</w:t>
      </w:r>
      <w:r w:rsidR="009D68DD">
        <w:rPr>
          <w:rFonts w:asciiTheme="majorHAnsi" w:hAnsiTheme="majorHAnsi" w:cstheme="majorHAnsi"/>
          <w:sz w:val="24"/>
          <w:szCs w:val="24"/>
          <w:lang w:val="ro-MD"/>
        </w:rPr>
        <w:t>,</w:t>
      </w:r>
      <w:r w:rsidR="007F5C07" w:rsidRPr="002D6368">
        <w:rPr>
          <w:rFonts w:asciiTheme="majorHAnsi" w:hAnsiTheme="majorHAnsi" w:cstheme="majorHAnsi"/>
          <w:sz w:val="24"/>
          <w:szCs w:val="24"/>
          <w:lang w:val="ro-MD"/>
        </w:rPr>
        <w:t xml:space="preserve"> privind </w:t>
      </w:r>
      <w:r w:rsidR="00A50CCC" w:rsidRPr="002D6368">
        <w:rPr>
          <w:rFonts w:asciiTheme="majorHAnsi" w:hAnsiTheme="majorHAnsi" w:cstheme="majorHAnsi"/>
          <w:sz w:val="24"/>
          <w:szCs w:val="24"/>
          <w:lang w:val="ro-MD"/>
        </w:rPr>
        <w:t xml:space="preserve">raportarea restanțelor aferente contribuabililor </w:t>
      </w:r>
      <w:r w:rsidR="00715D5F" w:rsidRPr="002D6368">
        <w:rPr>
          <w:rFonts w:asciiTheme="majorHAnsi" w:hAnsiTheme="majorHAnsi" w:cstheme="majorHAnsi"/>
          <w:sz w:val="24"/>
          <w:szCs w:val="24"/>
          <w:lang w:val="ro-MD"/>
        </w:rPr>
        <w:t xml:space="preserve">insolvabili </w:t>
      </w:r>
      <w:r w:rsidR="00A50CCC" w:rsidRPr="002D6368">
        <w:rPr>
          <w:rFonts w:asciiTheme="majorHAnsi" w:hAnsiTheme="majorHAnsi" w:cstheme="majorHAnsi"/>
          <w:sz w:val="24"/>
          <w:szCs w:val="24"/>
          <w:lang w:val="ro-MD"/>
        </w:rPr>
        <w:t>a</w:t>
      </w:r>
      <w:r w:rsidR="007F5C07" w:rsidRPr="002D6368">
        <w:rPr>
          <w:rFonts w:asciiTheme="majorHAnsi" w:hAnsiTheme="majorHAnsi" w:cstheme="majorHAnsi"/>
          <w:sz w:val="24"/>
          <w:szCs w:val="24"/>
          <w:lang w:val="ro-MD"/>
        </w:rPr>
        <w:t xml:space="preserve"> </w:t>
      </w:r>
      <w:r w:rsidR="009D68DD">
        <w:rPr>
          <w:rFonts w:asciiTheme="majorHAnsi" w:hAnsiTheme="majorHAnsi" w:cstheme="majorHAnsi"/>
          <w:sz w:val="24"/>
          <w:szCs w:val="24"/>
          <w:lang w:val="ro-MD"/>
        </w:rPr>
        <w:t>determinat</w:t>
      </w:r>
      <w:r w:rsidR="007F5C07" w:rsidRPr="002D6368">
        <w:rPr>
          <w:rFonts w:asciiTheme="majorHAnsi" w:hAnsiTheme="majorHAnsi" w:cstheme="majorHAnsi"/>
          <w:sz w:val="24"/>
          <w:szCs w:val="24"/>
          <w:lang w:val="ro-MD"/>
        </w:rPr>
        <w:t xml:space="preserve"> </w:t>
      </w:r>
      <w:r w:rsidR="00E90908" w:rsidRPr="002D6368">
        <w:rPr>
          <w:rFonts w:asciiTheme="majorHAnsi" w:hAnsiTheme="majorHAnsi" w:cstheme="majorHAnsi"/>
          <w:sz w:val="24"/>
          <w:szCs w:val="24"/>
          <w:lang w:val="ro-MD"/>
        </w:rPr>
        <w:t>neatribuirea și neraportarea</w:t>
      </w:r>
      <w:r w:rsidR="00DC7732" w:rsidRPr="002D6368">
        <w:rPr>
          <w:rFonts w:asciiTheme="majorHAnsi" w:hAnsiTheme="majorHAnsi" w:cstheme="majorHAnsi"/>
          <w:sz w:val="24"/>
          <w:szCs w:val="24"/>
          <w:lang w:val="ro-MD"/>
        </w:rPr>
        <w:t xml:space="preserve"> de către SFS a obligațiilor fiscale în sumă de</w:t>
      </w:r>
      <w:r w:rsidR="00E90908" w:rsidRPr="002D6368">
        <w:rPr>
          <w:rFonts w:asciiTheme="majorHAnsi" w:hAnsiTheme="majorHAnsi" w:cstheme="majorHAnsi"/>
          <w:sz w:val="24"/>
          <w:szCs w:val="24"/>
          <w:lang w:val="ro-MD"/>
        </w:rPr>
        <w:t xml:space="preserve"> </w:t>
      </w:r>
      <w:r w:rsidR="00C3000D">
        <w:rPr>
          <w:rFonts w:asciiTheme="majorHAnsi" w:hAnsiTheme="majorHAnsi" w:cstheme="majorHAnsi"/>
          <w:color w:val="000000" w:themeColor="text1"/>
          <w:sz w:val="24"/>
          <w:szCs w:val="24"/>
          <w:lang w:val="ro-MD"/>
        </w:rPr>
        <w:t xml:space="preserve">6733,6 </w:t>
      </w:r>
      <w:r w:rsidR="00A50CCC" w:rsidRPr="002D6368">
        <w:rPr>
          <w:rFonts w:asciiTheme="majorHAnsi" w:hAnsiTheme="majorHAnsi" w:cstheme="majorHAnsi"/>
          <w:sz w:val="24"/>
          <w:szCs w:val="24"/>
          <w:lang w:val="ro-MD"/>
        </w:rPr>
        <w:t>mil</w:t>
      </w:r>
      <w:r w:rsidRPr="002D6368">
        <w:rPr>
          <w:rFonts w:asciiTheme="majorHAnsi" w:hAnsiTheme="majorHAnsi" w:cstheme="majorHAnsi"/>
          <w:sz w:val="24"/>
          <w:szCs w:val="24"/>
          <w:lang w:val="ro-MD"/>
        </w:rPr>
        <w:t>.</w:t>
      </w:r>
      <w:r w:rsidR="00A50CCC" w:rsidRPr="002D6368">
        <w:rPr>
          <w:rFonts w:asciiTheme="majorHAnsi" w:hAnsiTheme="majorHAnsi" w:cstheme="majorHAnsi"/>
          <w:sz w:val="24"/>
          <w:szCs w:val="24"/>
          <w:lang w:val="ro-MD"/>
        </w:rPr>
        <w:t xml:space="preserve"> lei</w:t>
      </w:r>
      <w:r w:rsidR="00E90908" w:rsidRPr="002D6368">
        <w:rPr>
          <w:rFonts w:asciiTheme="majorHAnsi" w:hAnsiTheme="majorHAnsi" w:cstheme="majorHAnsi"/>
          <w:sz w:val="24"/>
          <w:szCs w:val="24"/>
          <w:lang w:val="ro-MD"/>
        </w:rPr>
        <w:t xml:space="preserve"> </w:t>
      </w:r>
      <w:r w:rsidR="00DC7732" w:rsidRPr="002D6368">
        <w:rPr>
          <w:rFonts w:asciiTheme="majorHAnsi" w:hAnsiTheme="majorHAnsi" w:cstheme="majorHAnsi"/>
          <w:sz w:val="24"/>
          <w:szCs w:val="24"/>
          <w:lang w:val="ro-MD"/>
        </w:rPr>
        <w:t xml:space="preserve">la capitolul </w:t>
      </w:r>
      <w:r w:rsidR="00AA76BD" w:rsidRPr="002D6368">
        <w:rPr>
          <w:rFonts w:asciiTheme="majorHAnsi" w:hAnsiTheme="majorHAnsi" w:cstheme="majorHAnsi"/>
          <w:sz w:val="24"/>
          <w:szCs w:val="24"/>
          <w:lang w:val="ro-MD"/>
        </w:rPr>
        <w:t>,,</w:t>
      </w:r>
      <w:r w:rsidR="00DC7732" w:rsidRPr="002D6368">
        <w:rPr>
          <w:rFonts w:asciiTheme="majorHAnsi" w:hAnsiTheme="majorHAnsi" w:cstheme="majorHAnsi"/>
          <w:sz w:val="24"/>
          <w:szCs w:val="24"/>
          <w:lang w:val="ro-MD"/>
        </w:rPr>
        <w:t>r</w:t>
      </w:r>
      <w:r w:rsidR="00E90908" w:rsidRPr="002D6368">
        <w:rPr>
          <w:rFonts w:asciiTheme="majorHAnsi" w:hAnsiTheme="majorHAnsi" w:cstheme="majorHAnsi"/>
          <w:sz w:val="24"/>
          <w:szCs w:val="24"/>
          <w:lang w:val="ro-MD"/>
        </w:rPr>
        <w:t>estanțe</w:t>
      </w:r>
      <w:r w:rsidR="0006143B" w:rsidRPr="002D6368">
        <w:rPr>
          <w:rFonts w:asciiTheme="majorHAnsi" w:hAnsiTheme="majorHAnsi" w:cstheme="majorHAnsi"/>
          <w:sz w:val="24"/>
          <w:szCs w:val="24"/>
          <w:lang w:val="ro-MD"/>
        </w:rPr>
        <w:t>”.</w:t>
      </w:r>
      <w:r w:rsidR="00BB591F" w:rsidRPr="002D6368">
        <w:rPr>
          <w:rFonts w:asciiTheme="majorHAnsi" w:hAnsiTheme="majorHAnsi" w:cstheme="majorHAnsi"/>
          <w:sz w:val="24"/>
          <w:szCs w:val="24"/>
          <w:lang w:val="ro-MD"/>
        </w:rPr>
        <w:t xml:space="preserve"> Pe parcursul auditului</w:t>
      </w:r>
      <w:r w:rsidR="009D68DD">
        <w:rPr>
          <w:rFonts w:asciiTheme="majorHAnsi" w:hAnsiTheme="majorHAnsi" w:cstheme="majorHAnsi"/>
          <w:sz w:val="24"/>
          <w:szCs w:val="24"/>
          <w:lang w:val="ro-MD"/>
        </w:rPr>
        <w:t>,</w:t>
      </w:r>
      <w:r w:rsidR="00BB591F" w:rsidRPr="002D6368">
        <w:rPr>
          <w:rFonts w:asciiTheme="majorHAnsi" w:hAnsiTheme="majorHAnsi" w:cstheme="majorHAnsi"/>
          <w:sz w:val="24"/>
          <w:szCs w:val="24"/>
          <w:lang w:val="ro-MD"/>
        </w:rPr>
        <w:t xml:space="preserve"> </w:t>
      </w:r>
      <w:r w:rsidR="00CA3593" w:rsidRPr="002D6368">
        <w:rPr>
          <w:rFonts w:asciiTheme="majorHAnsi" w:hAnsiTheme="majorHAnsi" w:cstheme="majorHAnsi"/>
          <w:sz w:val="24"/>
          <w:szCs w:val="24"/>
          <w:lang w:val="ro-MD"/>
        </w:rPr>
        <w:t>MF a modificat ordinul intern, stipulând că obligații</w:t>
      </w:r>
      <w:r w:rsidR="00185BC7" w:rsidRPr="002D6368">
        <w:rPr>
          <w:rFonts w:asciiTheme="majorHAnsi" w:hAnsiTheme="majorHAnsi" w:cstheme="majorHAnsi"/>
          <w:sz w:val="24"/>
          <w:szCs w:val="24"/>
          <w:lang w:val="ro-MD"/>
        </w:rPr>
        <w:t>le</w:t>
      </w:r>
      <w:r w:rsidR="00CA3593" w:rsidRPr="002D6368">
        <w:rPr>
          <w:rFonts w:asciiTheme="majorHAnsi" w:hAnsiTheme="majorHAnsi" w:cstheme="majorHAnsi"/>
          <w:sz w:val="24"/>
          <w:szCs w:val="24"/>
          <w:lang w:val="ro-MD"/>
        </w:rPr>
        <w:t xml:space="preserve"> fiscale </w:t>
      </w:r>
      <w:r w:rsidR="002D6368" w:rsidRPr="002D6368">
        <w:rPr>
          <w:rFonts w:asciiTheme="majorHAnsi" w:hAnsiTheme="majorHAnsi" w:cstheme="majorHAnsi"/>
          <w:sz w:val="24"/>
          <w:szCs w:val="24"/>
          <w:lang w:val="ro-MD"/>
        </w:rPr>
        <w:t xml:space="preserve">restante ale </w:t>
      </w:r>
      <w:r w:rsidR="00CA3593" w:rsidRPr="002D6368">
        <w:rPr>
          <w:rFonts w:asciiTheme="majorHAnsi" w:hAnsiTheme="majorHAnsi" w:cstheme="majorHAnsi"/>
          <w:sz w:val="24"/>
          <w:szCs w:val="24"/>
          <w:lang w:val="ro-MD"/>
        </w:rPr>
        <w:t>contribuabili</w:t>
      </w:r>
      <w:r w:rsidR="002D6368" w:rsidRPr="002D6368">
        <w:rPr>
          <w:rFonts w:asciiTheme="majorHAnsi" w:hAnsiTheme="majorHAnsi" w:cstheme="majorHAnsi"/>
          <w:sz w:val="24"/>
          <w:szCs w:val="24"/>
          <w:lang w:val="ro-MD"/>
        </w:rPr>
        <w:t>lor</w:t>
      </w:r>
      <w:r w:rsidR="00CA3593" w:rsidRPr="002D6368">
        <w:rPr>
          <w:rFonts w:asciiTheme="majorHAnsi" w:hAnsiTheme="majorHAnsi" w:cstheme="majorHAnsi"/>
          <w:sz w:val="24"/>
          <w:szCs w:val="24"/>
          <w:lang w:val="ro-MD"/>
        </w:rPr>
        <w:t xml:space="preserve"> insolvabili nu se raportează ca restanțe</w:t>
      </w:r>
      <w:r w:rsidR="00C02A75" w:rsidRPr="002D6368">
        <w:rPr>
          <w:rFonts w:asciiTheme="majorHAnsi" w:hAnsiTheme="majorHAnsi" w:cstheme="majorHAnsi"/>
          <w:sz w:val="24"/>
          <w:szCs w:val="24"/>
          <w:lang w:val="ro-MD"/>
        </w:rPr>
        <w:t xml:space="preserve"> (pct.2.2</w:t>
      </w:r>
      <w:r w:rsidR="009D68DD">
        <w:rPr>
          <w:rFonts w:asciiTheme="majorHAnsi" w:hAnsiTheme="majorHAnsi" w:cstheme="majorHAnsi"/>
          <w:sz w:val="24"/>
          <w:szCs w:val="24"/>
          <w:lang w:val="ro-MD"/>
        </w:rPr>
        <w:t>.</w:t>
      </w:r>
      <w:r w:rsidR="00C02A75" w:rsidRPr="002D6368">
        <w:rPr>
          <w:rFonts w:asciiTheme="majorHAnsi" w:hAnsiTheme="majorHAnsi" w:cstheme="majorHAnsi"/>
          <w:sz w:val="24"/>
          <w:szCs w:val="24"/>
          <w:lang w:val="ro-MD"/>
        </w:rPr>
        <w:t>)</w:t>
      </w:r>
      <w:r w:rsidR="00CA7DEE" w:rsidRPr="002D6368">
        <w:rPr>
          <w:rFonts w:asciiTheme="majorHAnsi" w:hAnsiTheme="majorHAnsi" w:cstheme="majorHAnsi"/>
          <w:sz w:val="24"/>
          <w:szCs w:val="24"/>
          <w:lang w:val="ro-MD"/>
        </w:rPr>
        <w:t>.</w:t>
      </w:r>
      <w:r w:rsidR="005B6EE7" w:rsidRPr="002D6368">
        <w:rPr>
          <w:rFonts w:asciiTheme="majorHAnsi" w:hAnsiTheme="majorHAnsi" w:cstheme="majorHAnsi"/>
          <w:sz w:val="24"/>
          <w:szCs w:val="24"/>
          <w:lang w:val="ro-MD"/>
        </w:rPr>
        <w:t xml:space="preserve"> </w:t>
      </w:r>
    </w:p>
    <w:p w:rsidR="004C6281" w:rsidRPr="00401691" w:rsidRDefault="0017407D" w:rsidP="00844145">
      <w:pPr>
        <w:pStyle w:val="ListParagraph"/>
        <w:numPr>
          <w:ilvl w:val="0"/>
          <w:numId w:val="27"/>
        </w:numPr>
        <w:tabs>
          <w:tab w:val="left" w:pos="360"/>
          <w:tab w:val="left" w:pos="540"/>
        </w:tabs>
        <w:spacing w:after="120" w:line="276" w:lineRule="auto"/>
        <w:ind w:left="0" w:firstLine="0"/>
        <w:contextualSpacing w:val="0"/>
        <w:jc w:val="both"/>
        <w:rPr>
          <w:rFonts w:asciiTheme="majorHAnsi" w:eastAsia="Times New Roman" w:hAnsiTheme="majorHAnsi" w:cstheme="majorHAnsi"/>
          <w:b/>
          <w:i/>
          <w:sz w:val="24"/>
          <w:szCs w:val="24"/>
          <w:lang w:val="ro-MD"/>
        </w:rPr>
      </w:pPr>
      <w:r>
        <w:rPr>
          <w:rFonts w:asciiTheme="majorHAnsi" w:hAnsiTheme="majorHAnsi" w:cstheme="majorHAnsi"/>
          <w:color w:val="000000" w:themeColor="text1"/>
          <w:sz w:val="24"/>
          <w:szCs w:val="24"/>
          <w:lang w:val="ro-MD"/>
        </w:rPr>
        <w:t xml:space="preserve"> </w:t>
      </w:r>
      <w:r w:rsidR="00250B1C" w:rsidRPr="00401691">
        <w:rPr>
          <w:rFonts w:asciiTheme="majorHAnsi" w:hAnsiTheme="majorHAnsi" w:cstheme="majorHAnsi"/>
          <w:color w:val="000000" w:themeColor="text1"/>
          <w:sz w:val="24"/>
          <w:szCs w:val="24"/>
          <w:lang w:val="ro-MD"/>
        </w:rPr>
        <w:t xml:space="preserve">Auditul </w:t>
      </w:r>
      <w:r w:rsidR="0051107E" w:rsidRPr="00401691">
        <w:rPr>
          <w:rFonts w:asciiTheme="majorHAnsi" w:hAnsiTheme="majorHAnsi" w:cstheme="majorHAnsi"/>
          <w:color w:val="000000" w:themeColor="text1"/>
          <w:sz w:val="24"/>
          <w:szCs w:val="24"/>
          <w:lang w:val="ro-MD"/>
        </w:rPr>
        <w:t xml:space="preserve">a </w:t>
      </w:r>
      <w:r w:rsidR="009D68DD">
        <w:rPr>
          <w:rFonts w:asciiTheme="majorHAnsi" w:hAnsiTheme="majorHAnsi" w:cstheme="majorHAnsi"/>
          <w:color w:val="000000" w:themeColor="text1"/>
          <w:sz w:val="24"/>
          <w:szCs w:val="24"/>
          <w:lang w:val="ro-MD"/>
        </w:rPr>
        <w:t>relevat</w:t>
      </w:r>
      <w:r w:rsidR="0051107E" w:rsidRPr="00401691">
        <w:rPr>
          <w:rFonts w:asciiTheme="majorHAnsi" w:hAnsiTheme="majorHAnsi" w:cstheme="majorHAnsi"/>
          <w:color w:val="000000" w:themeColor="text1"/>
          <w:sz w:val="24"/>
          <w:szCs w:val="24"/>
          <w:lang w:val="ro-MD"/>
        </w:rPr>
        <w:t xml:space="preserve"> că SFS a </w:t>
      </w:r>
      <w:r w:rsidR="000A7E6A" w:rsidRPr="00401691">
        <w:rPr>
          <w:rFonts w:asciiTheme="majorHAnsi" w:hAnsiTheme="majorHAnsi" w:cstheme="majorHAnsi"/>
          <w:color w:val="000000" w:themeColor="text1"/>
          <w:sz w:val="24"/>
          <w:szCs w:val="24"/>
          <w:lang w:val="ro-MD"/>
        </w:rPr>
        <w:t>anula</w:t>
      </w:r>
      <w:r w:rsidR="0051107E" w:rsidRPr="00401691">
        <w:rPr>
          <w:rFonts w:asciiTheme="majorHAnsi" w:hAnsiTheme="majorHAnsi" w:cstheme="majorHAnsi"/>
          <w:color w:val="000000" w:themeColor="text1"/>
          <w:sz w:val="24"/>
          <w:szCs w:val="24"/>
          <w:lang w:val="ro-MD"/>
        </w:rPr>
        <w:t>t</w:t>
      </w:r>
      <w:r w:rsidR="009D68DD">
        <w:rPr>
          <w:rFonts w:asciiTheme="majorHAnsi" w:hAnsiTheme="majorHAnsi" w:cstheme="majorHAnsi"/>
          <w:color w:val="000000" w:themeColor="text1"/>
          <w:sz w:val="24"/>
          <w:szCs w:val="24"/>
          <w:lang w:val="ro-MD"/>
        </w:rPr>
        <w:t>,</w:t>
      </w:r>
      <w:r>
        <w:rPr>
          <w:rFonts w:asciiTheme="majorHAnsi" w:hAnsiTheme="majorHAnsi" w:cstheme="majorHAnsi"/>
          <w:color w:val="000000" w:themeColor="text1"/>
          <w:sz w:val="24"/>
          <w:szCs w:val="24"/>
          <w:lang w:val="ro-MD"/>
        </w:rPr>
        <w:t xml:space="preserve"> ulterior finalizării procesului de stimulare fiscală, suma </w:t>
      </w:r>
      <w:r w:rsidR="000A7E6A" w:rsidRPr="00401691">
        <w:rPr>
          <w:rFonts w:asciiTheme="majorHAnsi" w:hAnsiTheme="majorHAnsi" w:cstheme="majorHAnsi"/>
          <w:color w:val="000000" w:themeColor="text1"/>
          <w:sz w:val="24"/>
          <w:szCs w:val="24"/>
          <w:lang w:val="ro-MD"/>
        </w:rPr>
        <w:t>amenzil</w:t>
      </w:r>
      <w:r>
        <w:rPr>
          <w:rFonts w:asciiTheme="majorHAnsi" w:hAnsiTheme="majorHAnsi" w:cstheme="majorHAnsi"/>
          <w:color w:val="000000" w:themeColor="text1"/>
          <w:sz w:val="24"/>
          <w:szCs w:val="24"/>
          <w:lang w:val="ro-MD"/>
        </w:rPr>
        <w:t>or</w:t>
      </w:r>
      <w:r w:rsidR="000A7E6A" w:rsidRPr="00401691">
        <w:rPr>
          <w:rFonts w:asciiTheme="majorHAnsi" w:hAnsiTheme="majorHAnsi" w:cstheme="majorHAnsi"/>
          <w:color w:val="000000" w:themeColor="text1"/>
          <w:sz w:val="24"/>
          <w:szCs w:val="24"/>
          <w:lang w:val="ro-MD"/>
        </w:rPr>
        <w:t xml:space="preserve"> și majorăril</w:t>
      </w:r>
      <w:r>
        <w:rPr>
          <w:rFonts w:asciiTheme="majorHAnsi" w:hAnsiTheme="majorHAnsi" w:cstheme="majorHAnsi"/>
          <w:color w:val="000000" w:themeColor="text1"/>
          <w:sz w:val="24"/>
          <w:szCs w:val="24"/>
          <w:lang w:val="ro-MD"/>
        </w:rPr>
        <w:t>or</w:t>
      </w:r>
      <w:r w:rsidR="000A7E6A" w:rsidRPr="00401691">
        <w:rPr>
          <w:rFonts w:asciiTheme="majorHAnsi" w:hAnsiTheme="majorHAnsi" w:cstheme="majorHAnsi"/>
          <w:color w:val="000000" w:themeColor="text1"/>
          <w:sz w:val="24"/>
          <w:szCs w:val="24"/>
          <w:lang w:val="ro-MD"/>
        </w:rPr>
        <w:t xml:space="preserve"> de întârziere în </w:t>
      </w:r>
      <w:r w:rsidR="009D68DD">
        <w:rPr>
          <w:rFonts w:asciiTheme="majorHAnsi" w:hAnsiTheme="majorHAnsi" w:cstheme="majorHAnsi"/>
          <w:color w:val="000000" w:themeColor="text1"/>
          <w:sz w:val="24"/>
          <w:szCs w:val="24"/>
          <w:lang w:val="ro-MD"/>
        </w:rPr>
        <w:t>mărime</w:t>
      </w:r>
      <w:r w:rsidR="000A7E6A" w:rsidRPr="00401691">
        <w:rPr>
          <w:rFonts w:asciiTheme="majorHAnsi" w:hAnsiTheme="majorHAnsi" w:cstheme="majorHAnsi"/>
          <w:color w:val="000000" w:themeColor="text1"/>
          <w:sz w:val="24"/>
          <w:szCs w:val="24"/>
          <w:lang w:val="ro-MD"/>
        </w:rPr>
        <w:t xml:space="preserve"> de 2,1 mil</w:t>
      </w:r>
      <w:r w:rsidR="00A241AB" w:rsidRPr="00401691">
        <w:rPr>
          <w:rFonts w:asciiTheme="majorHAnsi" w:hAnsiTheme="majorHAnsi" w:cstheme="majorHAnsi"/>
          <w:color w:val="000000" w:themeColor="text1"/>
          <w:sz w:val="24"/>
          <w:szCs w:val="24"/>
          <w:lang w:val="ro-MD"/>
        </w:rPr>
        <w:t>.</w:t>
      </w:r>
      <w:r w:rsidR="000A7E6A" w:rsidRPr="00401691">
        <w:rPr>
          <w:rFonts w:asciiTheme="majorHAnsi" w:hAnsiTheme="majorHAnsi" w:cstheme="majorHAnsi"/>
          <w:color w:val="000000" w:themeColor="text1"/>
          <w:sz w:val="24"/>
          <w:szCs w:val="24"/>
          <w:lang w:val="ro-MD"/>
        </w:rPr>
        <w:t xml:space="preserve"> lei,</w:t>
      </w:r>
      <w:r w:rsidR="0051107E" w:rsidRPr="00401691">
        <w:rPr>
          <w:rFonts w:asciiTheme="majorHAnsi" w:hAnsiTheme="majorHAnsi" w:cstheme="majorHAnsi"/>
          <w:color w:val="000000" w:themeColor="text1"/>
          <w:sz w:val="24"/>
          <w:szCs w:val="24"/>
          <w:lang w:val="ro-MD"/>
        </w:rPr>
        <w:t xml:space="preserve"> </w:t>
      </w:r>
      <w:r w:rsidR="000A7E6A" w:rsidRPr="00401691">
        <w:rPr>
          <w:rFonts w:asciiTheme="majorHAnsi" w:hAnsiTheme="majorHAnsi" w:cstheme="majorHAnsi"/>
          <w:color w:val="000000" w:themeColor="text1"/>
          <w:sz w:val="24"/>
          <w:szCs w:val="24"/>
          <w:lang w:val="ro-MD"/>
        </w:rPr>
        <w:t xml:space="preserve">acestea fiind </w:t>
      </w:r>
      <w:r w:rsidR="0051107E" w:rsidRPr="00401691">
        <w:rPr>
          <w:rFonts w:asciiTheme="majorHAnsi" w:hAnsiTheme="majorHAnsi" w:cstheme="majorHAnsi"/>
          <w:color w:val="000000" w:themeColor="text1"/>
          <w:sz w:val="24"/>
          <w:szCs w:val="24"/>
          <w:lang w:val="ro-MD"/>
        </w:rPr>
        <w:t>stinse în evidenț</w:t>
      </w:r>
      <w:r w:rsidR="00F10708">
        <w:rPr>
          <w:rFonts w:asciiTheme="majorHAnsi" w:hAnsiTheme="majorHAnsi" w:cstheme="majorHAnsi"/>
          <w:color w:val="000000" w:themeColor="text1"/>
          <w:sz w:val="24"/>
          <w:szCs w:val="24"/>
          <w:lang w:val="ro-MD"/>
        </w:rPr>
        <w:t>a</w:t>
      </w:r>
      <w:r w:rsidR="0051107E" w:rsidRPr="00401691">
        <w:rPr>
          <w:rFonts w:asciiTheme="majorHAnsi" w:hAnsiTheme="majorHAnsi" w:cstheme="majorHAnsi"/>
          <w:color w:val="000000" w:themeColor="text1"/>
          <w:sz w:val="24"/>
          <w:szCs w:val="24"/>
          <w:lang w:val="ro-MD"/>
        </w:rPr>
        <w:t xml:space="preserve"> fiscală de bază în aprilie 2019, </w:t>
      </w:r>
      <w:r w:rsidR="00250B1C" w:rsidRPr="00401691">
        <w:rPr>
          <w:rFonts w:asciiTheme="majorHAnsi" w:hAnsiTheme="majorHAnsi" w:cstheme="majorHAnsi"/>
          <w:color w:val="000000" w:themeColor="text1"/>
          <w:sz w:val="24"/>
          <w:szCs w:val="24"/>
          <w:lang w:val="ro-MD"/>
        </w:rPr>
        <w:t xml:space="preserve">deși </w:t>
      </w:r>
      <w:r w:rsidR="00DD41F5" w:rsidRPr="00401691">
        <w:rPr>
          <w:rFonts w:asciiTheme="majorHAnsi" w:hAnsiTheme="majorHAnsi" w:cstheme="majorHAnsi"/>
          <w:color w:val="000000" w:themeColor="text1"/>
          <w:sz w:val="24"/>
          <w:szCs w:val="24"/>
          <w:lang w:val="ro-MD"/>
        </w:rPr>
        <w:t xml:space="preserve">termenul </w:t>
      </w:r>
      <w:r w:rsidR="000A7E6A" w:rsidRPr="00401691">
        <w:rPr>
          <w:rFonts w:asciiTheme="majorHAnsi" w:hAnsiTheme="majorHAnsi" w:cstheme="majorHAnsi"/>
          <w:color w:val="000000" w:themeColor="text1"/>
          <w:sz w:val="24"/>
          <w:szCs w:val="24"/>
          <w:lang w:val="ro-MD"/>
        </w:rPr>
        <w:t xml:space="preserve">regulamentar </w:t>
      </w:r>
      <w:r w:rsidR="0051107E" w:rsidRPr="00401691">
        <w:rPr>
          <w:rFonts w:asciiTheme="majorHAnsi" w:hAnsiTheme="majorHAnsi" w:cstheme="majorHAnsi"/>
          <w:color w:val="000000" w:themeColor="text1"/>
          <w:sz w:val="24"/>
          <w:szCs w:val="24"/>
          <w:lang w:val="ro-MD"/>
        </w:rPr>
        <w:t>pre</w:t>
      </w:r>
      <w:r w:rsidR="000A7E6A" w:rsidRPr="00401691">
        <w:rPr>
          <w:rFonts w:asciiTheme="majorHAnsi" w:hAnsiTheme="majorHAnsi" w:cstheme="majorHAnsi"/>
          <w:color w:val="000000" w:themeColor="text1"/>
          <w:sz w:val="24"/>
          <w:szCs w:val="24"/>
          <w:lang w:val="ro-MD"/>
        </w:rPr>
        <w:t>stabilit</w:t>
      </w:r>
      <w:r w:rsidR="00D80A0C" w:rsidRPr="00401691">
        <w:rPr>
          <w:rFonts w:asciiTheme="majorHAnsi" w:hAnsiTheme="majorHAnsi" w:cstheme="majorHAnsi"/>
          <w:color w:val="000000" w:themeColor="text1"/>
          <w:sz w:val="24"/>
          <w:szCs w:val="24"/>
          <w:lang w:val="ro-MD"/>
        </w:rPr>
        <w:t xml:space="preserve"> pentru acest proces</w:t>
      </w:r>
      <w:r w:rsidR="00250B1C" w:rsidRPr="00401691">
        <w:rPr>
          <w:rFonts w:asciiTheme="majorHAnsi" w:hAnsiTheme="majorHAnsi" w:cstheme="majorHAnsi"/>
          <w:color w:val="000000" w:themeColor="text1"/>
          <w:sz w:val="24"/>
          <w:szCs w:val="24"/>
          <w:lang w:val="ro-MD"/>
        </w:rPr>
        <w:t xml:space="preserve"> a expirat</w:t>
      </w:r>
      <w:r>
        <w:rPr>
          <w:rFonts w:asciiTheme="majorHAnsi" w:hAnsiTheme="majorHAnsi" w:cstheme="majorHAnsi"/>
          <w:color w:val="000000" w:themeColor="text1"/>
          <w:sz w:val="24"/>
          <w:szCs w:val="24"/>
          <w:lang w:val="ro-MD"/>
        </w:rPr>
        <w:t>.</w:t>
      </w:r>
      <w:r w:rsidR="000A7E6A" w:rsidRPr="00401691">
        <w:rPr>
          <w:rFonts w:asciiTheme="majorHAnsi" w:hAnsiTheme="majorHAnsi" w:cstheme="majorHAnsi"/>
          <w:color w:val="000000" w:themeColor="text1"/>
          <w:sz w:val="24"/>
          <w:szCs w:val="24"/>
          <w:lang w:val="ro-MD"/>
        </w:rPr>
        <w:t xml:space="preserve"> </w:t>
      </w:r>
      <w:r w:rsidR="0051107E" w:rsidRPr="00401691">
        <w:rPr>
          <w:rFonts w:asciiTheme="majorHAnsi" w:hAnsiTheme="majorHAnsi" w:cstheme="majorHAnsi"/>
          <w:color w:val="000000" w:themeColor="text1"/>
          <w:sz w:val="24"/>
          <w:szCs w:val="24"/>
          <w:lang w:val="ro-MD"/>
        </w:rPr>
        <w:t>Suma de 2,1 mil</w:t>
      </w:r>
      <w:r w:rsidR="00D80A0C" w:rsidRPr="00401691">
        <w:rPr>
          <w:rFonts w:asciiTheme="majorHAnsi" w:hAnsiTheme="majorHAnsi" w:cstheme="majorHAnsi"/>
          <w:color w:val="000000" w:themeColor="text1"/>
          <w:sz w:val="24"/>
          <w:szCs w:val="24"/>
          <w:lang w:val="ro-MD"/>
        </w:rPr>
        <w:t>.</w:t>
      </w:r>
      <w:r w:rsidR="0051107E" w:rsidRPr="00401691">
        <w:rPr>
          <w:rFonts w:asciiTheme="majorHAnsi" w:hAnsiTheme="majorHAnsi" w:cstheme="majorHAnsi"/>
          <w:color w:val="000000" w:themeColor="text1"/>
          <w:sz w:val="24"/>
          <w:szCs w:val="24"/>
          <w:lang w:val="ro-MD"/>
        </w:rPr>
        <w:t xml:space="preserve"> lei </w:t>
      </w:r>
      <w:r w:rsidR="00D80A0C" w:rsidRPr="00401691">
        <w:rPr>
          <w:rFonts w:asciiTheme="majorHAnsi" w:hAnsiTheme="majorHAnsi" w:cstheme="majorHAnsi"/>
          <w:color w:val="000000" w:themeColor="text1"/>
          <w:sz w:val="24"/>
          <w:szCs w:val="24"/>
          <w:lang w:val="ro-MD"/>
        </w:rPr>
        <w:t>nu și-a găsit reflectare în datele</w:t>
      </w:r>
      <w:r w:rsidR="00250B1C" w:rsidRPr="00401691">
        <w:rPr>
          <w:rFonts w:asciiTheme="majorHAnsi" w:hAnsiTheme="majorHAnsi" w:cstheme="majorHAnsi"/>
          <w:color w:val="000000" w:themeColor="text1"/>
          <w:sz w:val="24"/>
          <w:szCs w:val="24"/>
          <w:lang w:val="ro-MD"/>
        </w:rPr>
        <w:t xml:space="preserve"> agregate și raportate de SFS </w:t>
      </w:r>
      <w:r w:rsidR="00D80A0C" w:rsidRPr="00401691">
        <w:rPr>
          <w:rFonts w:asciiTheme="majorHAnsi" w:hAnsiTheme="majorHAnsi" w:cstheme="majorHAnsi"/>
          <w:color w:val="000000" w:themeColor="text1"/>
          <w:sz w:val="24"/>
          <w:szCs w:val="24"/>
          <w:lang w:val="ro-MD"/>
        </w:rPr>
        <w:t>privind amenzil</w:t>
      </w:r>
      <w:r w:rsidR="00F10708">
        <w:rPr>
          <w:rFonts w:asciiTheme="majorHAnsi" w:hAnsiTheme="majorHAnsi" w:cstheme="majorHAnsi"/>
          <w:color w:val="000000" w:themeColor="text1"/>
          <w:sz w:val="24"/>
          <w:szCs w:val="24"/>
          <w:lang w:val="ro-MD"/>
        </w:rPr>
        <w:t>e</w:t>
      </w:r>
      <w:r w:rsidR="00D80A0C" w:rsidRPr="00401691">
        <w:rPr>
          <w:rFonts w:asciiTheme="majorHAnsi" w:hAnsiTheme="majorHAnsi" w:cstheme="majorHAnsi"/>
          <w:color w:val="000000" w:themeColor="text1"/>
          <w:sz w:val="24"/>
          <w:szCs w:val="24"/>
          <w:lang w:val="ro-MD"/>
        </w:rPr>
        <w:t xml:space="preserve"> și penalitățil</w:t>
      </w:r>
      <w:r w:rsidR="00F10708">
        <w:rPr>
          <w:rFonts w:asciiTheme="majorHAnsi" w:hAnsiTheme="majorHAnsi" w:cstheme="majorHAnsi"/>
          <w:color w:val="000000" w:themeColor="text1"/>
          <w:sz w:val="24"/>
          <w:szCs w:val="24"/>
          <w:lang w:val="ro-MD"/>
        </w:rPr>
        <w:t>e</w:t>
      </w:r>
      <w:r w:rsidR="00D80A0C" w:rsidRPr="00401691">
        <w:rPr>
          <w:rFonts w:asciiTheme="majorHAnsi" w:hAnsiTheme="majorHAnsi" w:cstheme="majorHAnsi"/>
          <w:color w:val="000000" w:themeColor="text1"/>
          <w:sz w:val="24"/>
          <w:szCs w:val="24"/>
          <w:lang w:val="ro-MD"/>
        </w:rPr>
        <w:t xml:space="preserve"> anulate în cadrul stimulării fiscale, </w:t>
      </w:r>
      <w:r w:rsidR="00E53CDD" w:rsidRPr="00401691">
        <w:rPr>
          <w:rFonts w:asciiTheme="majorHAnsi" w:hAnsiTheme="majorHAnsi" w:cstheme="majorHAnsi"/>
          <w:color w:val="000000" w:themeColor="text1"/>
          <w:sz w:val="24"/>
          <w:szCs w:val="24"/>
          <w:lang w:val="ro-MD"/>
        </w:rPr>
        <w:t xml:space="preserve">fiind </w:t>
      </w:r>
      <w:r w:rsidR="00F10708" w:rsidRPr="00401691">
        <w:rPr>
          <w:rFonts w:asciiTheme="majorHAnsi" w:hAnsiTheme="majorHAnsi" w:cstheme="majorHAnsi"/>
          <w:color w:val="000000" w:themeColor="text1"/>
          <w:sz w:val="24"/>
          <w:szCs w:val="24"/>
          <w:lang w:val="ro-MD"/>
        </w:rPr>
        <w:t xml:space="preserve">raportată </w:t>
      </w:r>
      <w:r w:rsidR="004858B1" w:rsidRPr="00401691">
        <w:rPr>
          <w:rFonts w:asciiTheme="majorHAnsi" w:hAnsiTheme="majorHAnsi" w:cstheme="majorHAnsi"/>
          <w:color w:val="000000" w:themeColor="text1"/>
          <w:sz w:val="24"/>
          <w:szCs w:val="24"/>
          <w:lang w:val="ro-MD"/>
        </w:rPr>
        <w:t xml:space="preserve">eronat </w:t>
      </w:r>
      <w:r w:rsidR="00DD41F5" w:rsidRPr="00401691">
        <w:rPr>
          <w:rFonts w:asciiTheme="majorHAnsi" w:hAnsiTheme="majorHAnsi" w:cstheme="majorHAnsi"/>
          <w:color w:val="000000" w:themeColor="text1"/>
          <w:sz w:val="24"/>
          <w:szCs w:val="24"/>
          <w:lang w:val="ro-MD"/>
        </w:rPr>
        <w:t>suma</w:t>
      </w:r>
      <w:r w:rsidR="00E53CDD" w:rsidRPr="00401691">
        <w:rPr>
          <w:rFonts w:asciiTheme="majorHAnsi" w:hAnsiTheme="majorHAnsi" w:cstheme="majorHAnsi"/>
          <w:color w:val="000000" w:themeColor="text1"/>
          <w:sz w:val="24"/>
          <w:szCs w:val="24"/>
          <w:lang w:val="ro-MD"/>
        </w:rPr>
        <w:t xml:space="preserve"> de 187,</w:t>
      </w:r>
      <w:r w:rsidR="006C52EF" w:rsidRPr="00401691">
        <w:rPr>
          <w:rFonts w:asciiTheme="majorHAnsi" w:hAnsiTheme="majorHAnsi" w:cstheme="majorHAnsi"/>
          <w:color w:val="000000" w:themeColor="text1"/>
          <w:sz w:val="24"/>
          <w:szCs w:val="24"/>
          <w:lang w:val="ro-MD"/>
        </w:rPr>
        <w:t>3 mil. lei,</w:t>
      </w:r>
      <w:r w:rsidR="00E53CDD" w:rsidRPr="00401691">
        <w:rPr>
          <w:rFonts w:asciiTheme="majorHAnsi" w:hAnsiTheme="majorHAnsi" w:cstheme="majorHAnsi"/>
          <w:color w:val="000000" w:themeColor="text1"/>
          <w:sz w:val="24"/>
          <w:szCs w:val="24"/>
          <w:lang w:val="ro-MD"/>
        </w:rPr>
        <w:t xml:space="preserve"> </w:t>
      </w:r>
      <w:r w:rsidR="00BB6001">
        <w:rPr>
          <w:rFonts w:asciiTheme="majorHAnsi" w:hAnsiTheme="majorHAnsi" w:cstheme="majorHAnsi"/>
          <w:color w:val="000000" w:themeColor="text1"/>
          <w:sz w:val="24"/>
          <w:szCs w:val="24"/>
          <w:lang w:val="ro-MD"/>
        </w:rPr>
        <w:t xml:space="preserve">aceasta </w:t>
      </w:r>
      <w:r w:rsidR="00E53CDD" w:rsidRPr="00401691">
        <w:rPr>
          <w:rFonts w:asciiTheme="majorHAnsi" w:hAnsiTheme="majorHAnsi" w:cstheme="majorHAnsi"/>
          <w:color w:val="000000" w:themeColor="text1"/>
          <w:sz w:val="24"/>
          <w:szCs w:val="24"/>
          <w:lang w:val="ro-MD"/>
        </w:rPr>
        <w:t xml:space="preserve">de fapt constituind </w:t>
      </w:r>
      <w:r w:rsidR="006C52EF" w:rsidRPr="00401691">
        <w:rPr>
          <w:rFonts w:asciiTheme="majorHAnsi" w:hAnsiTheme="majorHAnsi" w:cstheme="majorHAnsi"/>
          <w:color w:val="000000" w:themeColor="text1"/>
          <w:sz w:val="24"/>
          <w:szCs w:val="24"/>
          <w:lang w:val="ro-MD"/>
        </w:rPr>
        <w:t>189,4 mil. lei</w:t>
      </w:r>
      <w:r w:rsidR="00D16A66">
        <w:rPr>
          <w:rFonts w:asciiTheme="majorHAnsi" w:hAnsiTheme="majorHAnsi" w:cstheme="majorHAnsi"/>
          <w:color w:val="000000" w:themeColor="text1"/>
          <w:sz w:val="24"/>
          <w:szCs w:val="24"/>
          <w:lang w:val="ro-MD"/>
        </w:rPr>
        <w:t xml:space="preserve"> (pct. 2.3</w:t>
      </w:r>
      <w:r w:rsidR="00F10708">
        <w:rPr>
          <w:rFonts w:asciiTheme="majorHAnsi" w:hAnsiTheme="majorHAnsi" w:cstheme="majorHAnsi"/>
          <w:color w:val="000000" w:themeColor="text1"/>
          <w:sz w:val="24"/>
          <w:szCs w:val="24"/>
          <w:lang w:val="ro-MD"/>
        </w:rPr>
        <w:t>.</w:t>
      </w:r>
      <w:r w:rsidR="00D16A66">
        <w:rPr>
          <w:rFonts w:asciiTheme="majorHAnsi" w:hAnsiTheme="majorHAnsi" w:cstheme="majorHAnsi"/>
          <w:color w:val="000000" w:themeColor="text1"/>
          <w:sz w:val="24"/>
          <w:szCs w:val="24"/>
          <w:lang w:val="ro-MD"/>
        </w:rPr>
        <w:t>)</w:t>
      </w:r>
      <w:r w:rsidR="006C52EF" w:rsidRPr="00401691">
        <w:rPr>
          <w:rFonts w:asciiTheme="majorHAnsi" w:hAnsiTheme="majorHAnsi" w:cstheme="majorHAnsi"/>
          <w:color w:val="000000" w:themeColor="text1"/>
          <w:sz w:val="24"/>
          <w:szCs w:val="24"/>
          <w:lang w:val="ro-MD"/>
        </w:rPr>
        <w:t xml:space="preserve">. </w:t>
      </w:r>
    </w:p>
    <w:p w:rsidR="00544C23" w:rsidRPr="00401691" w:rsidRDefault="006F0B2C" w:rsidP="00844145">
      <w:pPr>
        <w:pStyle w:val="ListParagraph"/>
        <w:numPr>
          <w:ilvl w:val="0"/>
          <w:numId w:val="27"/>
        </w:numPr>
        <w:tabs>
          <w:tab w:val="left" w:pos="360"/>
          <w:tab w:val="left" w:pos="540"/>
        </w:tabs>
        <w:spacing w:after="0" w:line="276" w:lineRule="auto"/>
        <w:ind w:left="0" w:firstLine="0"/>
        <w:contextualSpacing w:val="0"/>
        <w:jc w:val="both"/>
        <w:rPr>
          <w:rFonts w:asciiTheme="majorHAnsi" w:eastAsia="Times New Roman" w:hAnsiTheme="majorHAnsi" w:cstheme="majorHAnsi"/>
          <w:b/>
          <w:i/>
          <w:sz w:val="24"/>
          <w:szCs w:val="24"/>
          <w:lang w:val="ro-MD"/>
        </w:rPr>
      </w:pPr>
      <w:r w:rsidRPr="00401691">
        <w:rPr>
          <w:rFonts w:asciiTheme="majorHAnsi" w:hAnsiTheme="majorHAnsi" w:cstheme="majorHAnsi"/>
          <w:sz w:val="24"/>
          <w:szCs w:val="24"/>
          <w:lang w:val="ro-MD"/>
        </w:rPr>
        <w:t>În perioada auditată</w:t>
      </w:r>
      <w:r w:rsidR="00F10708">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conducerea SFS a identificat procesul de elaborare a listei contri</w:t>
      </w:r>
      <w:r w:rsidR="00366AE8">
        <w:rPr>
          <w:rFonts w:asciiTheme="majorHAnsi" w:hAnsiTheme="majorHAnsi" w:cstheme="majorHAnsi"/>
          <w:sz w:val="24"/>
          <w:szCs w:val="24"/>
          <w:lang w:val="ro-MD"/>
        </w:rPr>
        <w:t>buabililor restanțieri ca fiind sensibil</w:t>
      </w:r>
      <w:r w:rsidR="00F10708">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w:t>
      </w:r>
      <w:r w:rsidR="00F10708">
        <w:rPr>
          <w:rFonts w:asciiTheme="majorHAnsi" w:hAnsiTheme="majorHAnsi" w:cstheme="majorHAnsi"/>
          <w:sz w:val="24"/>
          <w:szCs w:val="24"/>
          <w:lang w:val="ro-MD"/>
        </w:rPr>
        <w:t>Î</w:t>
      </w:r>
      <w:r w:rsidRPr="00401691">
        <w:rPr>
          <w:rFonts w:asciiTheme="majorHAnsi" w:hAnsiTheme="majorHAnsi" w:cstheme="majorHAnsi"/>
          <w:sz w:val="24"/>
          <w:szCs w:val="24"/>
          <w:lang w:val="ro-MD"/>
        </w:rPr>
        <w:t>n vederea îmbunătățirii acestuia</w:t>
      </w:r>
      <w:r w:rsidR="00F10708">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w:t>
      </w:r>
      <w:r w:rsidR="00F10708">
        <w:rPr>
          <w:rFonts w:asciiTheme="majorHAnsi" w:hAnsiTheme="majorHAnsi" w:cstheme="majorHAnsi"/>
          <w:sz w:val="24"/>
          <w:szCs w:val="24"/>
          <w:lang w:val="ro-MD"/>
        </w:rPr>
        <w:t>s-</w:t>
      </w:r>
      <w:r w:rsidRPr="00401691">
        <w:rPr>
          <w:rFonts w:asciiTheme="majorHAnsi" w:hAnsiTheme="majorHAnsi" w:cstheme="majorHAnsi"/>
          <w:sz w:val="24"/>
          <w:szCs w:val="24"/>
          <w:lang w:val="ro-MD"/>
        </w:rPr>
        <w:t>a dispus efectuarea activităților de audit intern, constatările căruia au elucidat nereguli/omisiuni</w:t>
      </w:r>
      <w:r w:rsidR="00F10708">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w:t>
      </w:r>
      <w:r w:rsidRPr="008A4309">
        <w:rPr>
          <w:rFonts w:asciiTheme="majorHAnsi" w:hAnsiTheme="majorHAnsi" w:cstheme="majorHAnsi"/>
          <w:sz w:val="24"/>
          <w:szCs w:val="24"/>
          <w:lang w:val="ro-MD"/>
        </w:rPr>
        <w:t>admise de DDF</w:t>
      </w:r>
      <w:r w:rsidR="00F10708" w:rsidRPr="000649B1">
        <w:rPr>
          <w:rFonts w:asciiTheme="majorHAnsi" w:hAnsiTheme="majorHAnsi" w:cstheme="majorHAnsi"/>
          <w:sz w:val="24"/>
          <w:szCs w:val="24"/>
          <w:lang w:val="ro-MD"/>
        </w:rPr>
        <w:t>,</w:t>
      </w:r>
      <w:r w:rsidRPr="000649B1">
        <w:rPr>
          <w:rFonts w:asciiTheme="majorHAnsi" w:hAnsiTheme="majorHAnsi" w:cstheme="majorHAnsi"/>
          <w:sz w:val="24"/>
          <w:szCs w:val="24"/>
          <w:lang w:val="ro-MD"/>
        </w:rPr>
        <w:t xml:space="preserve"> </w:t>
      </w:r>
      <w:r w:rsidR="00AA76BD" w:rsidRPr="005C6CCE">
        <w:rPr>
          <w:rFonts w:asciiTheme="majorHAnsi" w:hAnsiTheme="majorHAnsi" w:cstheme="majorHAnsi"/>
          <w:sz w:val="24"/>
          <w:szCs w:val="24"/>
          <w:lang w:val="ro-MD"/>
        </w:rPr>
        <w:t>atât</w:t>
      </w:r>
      <w:r w:rsidRPr="00401691">
        <w:rPr>
          <w:rFonts w:asciiTheme="majorHAnsi" w:hAnsiTheme="majorHAnsi" w:cstheme="majorHAnsi"/>
          <w:sz w:val="24"/>
          <w:szCs w:val="24"/>
          <w:lang w:val="ro-MD"/>
        </w:rPr>
        <w:t xml:space="preserve"> la modul de prezentare</w:t>
      </w:r>
      <w:r w:rsidR="00F10708">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c</w:t>
      </w:r>
      <w:r w:rsidR="00F10708">
        <w:rPr>
          <w:rFonts w:asciiTheme="majorHAnsi" w:hAnsiTheme="majorHAnsi" w:cstheme="majorHAnsi"/>
          <w:sz w:val="24"/>
          <w:szCs w:val="24"/>
          <w:lang w:val="ro-MD"/>
        </w:rPr>
        <w:t>â</w:t>
      </w:r>
      <w:r w:rsidRPr="00401691">
        <w:rPr>
          <w:rFonts w:asciiTheme="majorHAnsi" w:hAnsiTheme="majorHAnsi" w:cstheme="majorHAnsi"/>
          <w:sz w:val="24"/>
          <w:szCs w:val="24"/>
          <w:lang w:val="ro-MD"/>
        </w:rPr>
        <w:t xml:space="preserve">t și la suma </w:t>
      </w:r>
      <w:r w:rsidR="00B445D6" w:rsidRPr="00401691">
        <w:rPr>
          <w:rFonts w:asciiTheme="majorHAnsi" w:hAnsiTheme="majorHAnsi" w:cstheme="majorHAnsi"/>
          <w:sz w:val="24"/>
          <w:szCs w:val="24"/>
          <w:lang w:val="ro-MD"/>
        </w:rPr>
        <w:t xml:space="preserve">minimă </w:t>
      </w:r>
      <w:r w:rsidR="00B445D6">
        <w:rPr>
          <w:rFonts w:asciiTheme="majorHAnsi" w:hAnsiTheme="majorHAnsi" w:cstheme="majorHAnsi"/>
          <w:sz w:val="24"/>
          <w:szCs w:val="24"/>
          <w:lang w:val="ro-MD"/>
        </w:rPr>
        <w:t xml:space="preserve">a  </w:t>
      </w:r>
      <w:r w:rsidRPr="00401691">
        <w:rPr>
          <w:rFonts w:asciiTheme="majorHAnsi" w:hAnsiTheme="majorHAnsi" w:cstheme="majorHAnsi"/>
          <w:sz w:val="24"/>
          <w:szCs w:val="24"/>
          <w:lang w:val="ro-MD"/>
        </w:rPr>
        <w:t>restanței</w:t>
      </w:r>
      <w:r w:rsidR="00B445D6">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inclusă în listă. </w:t>
      </w:r>
      <w:r w:rsidR="0017407D">
        <w:rPr>
          <w:rFonts w:asciiTheme="majorHAnsi" w:hAnsiTheme="majorHAnsi" w:cstheme="majorHAnsi"/>
          <w:sz w:val="24"/>
          <w:szCs w:val="24"/>
          <w:lang w:val="ro-MD"/>
        </w:rPr>
        <w:t>Deși a</w:t>
      </w:r>
      <w:r w:rsidRPr="00401691">
        <w:rPr>
          <w:rFonts w:asciiTheme="majorHAnsi" w:hAnsiTheme="majorHAnsi" w:cstheme="majorHAnsi"/>
          <w:sz w:val="24"/>
          <w:szCs w:val="24"/>
          <w:lang w:val="ro-MD"/>
        </w:rPr>
        <w:t>udi</w:t>
      </w:r>
      <w:r w:rsidR="0017407D">
        <w:rPr>
          <w:rFonts w:asciiTheme="majorHAnsi" w:hAnsiTheme="majorHAnsi" w:cstheme="majorHAnsi"/>
          <w:sz w:val="24"/>
          <w:szCs w:val="24"/>
          <w:lang w:val="ro-MD"/>
        </w:rPr>
        <w:t xml:space="preserve">tul extern a constatat îmbunătățirea </w:t>
      </w:r>
      <w:r w:rsidR="0017407D">
        <w:rPr>
          <w:rFonts w:asciiTheme="majorHAnsi" w:hAnsiTheme="majorHAnsi" w:cstheme="majorHAnsi"/>
          <w:sz w:val="24"/>
          <w:szCs w:val="24"/>
          <w:lang w:val="ro-MD"/>
        </w:rPr>
        <w:lastRenderedPageBreak/>
        <w:t>procedurii de elaborare a listei restanțierilor</w:t>
      </w:r>
      <w:r w:rsidR="00E946DA">
        <w:rPr>
          <w:rFonts w:asciiTheme="majorHAnsi" w:hAnsiTheme="majorHAnsi" w:cstheme="majorHAnsi"/>
          <w:sz w:val="24"/>
          <w:szCs w:val="24"/>
          <w:lang w:val="ro-MD"/>
        </w:rPr>
        <w:t xml:space="preserve">, </w:t>
      </w:r>
      <w:r w:rsidRPr="00401691">
        <w:rPr>
          <w:rFonts w:asciiTheme="majorHAnsi" w:hAnsiTheme="majorHAnsi" w:cstheme="majorHAnsi"/>
          <w:sz w:val="24"/>
          <w:szCs w:val="24"/>
          <w:lang w:val="ro-MD"/>
        </w:rPr>
        <w:t>totuși</w:t>
      </w:r>
      <w:r w:rsidR="00B445D6">
        <w:rPr>
          <w:rFonts w:asciiTheme="majorHAnsi" w:hAnsiTheme="majorHAnsi" w:cstheme="majorHAnsi"/>
          <w:sz w:val="24"/>
          <w:szCs w:val="24"/>
          <w:lang w:val="ro-MD"/>
        </w:rPr>
        <w:t>,</w:t>
      </w:r>
      <w:r w:rsidR="006C52EF" w:rsidRPr="00401691">
        <w:rPr>
          <w:rFonts w:asciiTheme="majorHAnsi" w:hAnsiTheme="majorHAnsi" w:cstheme="majorHAnsi"/>
          <w:sz w:val="24"/>
          <w:szCs w:val="24"/>
          <w:lang w:val="ro-MD"/>
        </w:rPr>
        <w:t xml:space="preserve"> mai persistă </w:t>
      </w:r>
      <w:r w:rsidR="00E946DA">
        <w:rPr>
          <w:rFonts w:asciiTheme="majorHAnsi" w:hAnsiTheme="majorHAnsi" w:cstheme="majorHAnsi"/>
          <w:sz w:val="24"/>
          <w:szCs w:val="24"/>
          <w:lang w:val="ro-MD"/>
        </w:rPr>
        <w:t>unele aspecte problematice</w:t>
      </w:r>
      <w:r w:rsidR="006C52EF" w:rsidRPr="00401691">
        <w:rPr>
          <w:rFonts w:asciiTheme="majorHAnsi" w:hAnsiTheme="majorHAnsi" w:cstheme="majorHAnsi"/>
          <w:sz w:val="24"/>
          <w:szCs w:val="24"/>
          <w:lang w:val="ro-MD"/>
        </w:rPr>
        <w:t xml:space="preserve">, </w:t>
      </w:r>
      <w:r w:rsidR="00212729" w:rsidRPr="00401691">
        <w:rPr>
          <w:rFonts w:asciiTheme="majorHAnsi" w:hAnsiTheme="majorHAnsi" w:cstheme="majorHAnsi"/>
          <w:sz w:val="24"/>
          <w:szCs w:val="24"/>
          <w:lang w:val="ro-MD"/>
        </w:rPr>
        <w:t xml:space="preserve">preponderent </w:t>
      </w:r>
      <w:r w:rsidR="006C52EF" w:rsidRPr="00401691">
        <w:rPr>
          <w:rFonts w:asciiTheme="majorHAnsi" w:hAnsiTheme="majorHAnsi" w:cstheme="majorHAnsi"/>
          <w:sz w:val="24"/>
          <w:szCs w:val="24"/>
          <w:lang w:val="ro-MD"/>
        </w:rPr>
        <w:t>rezultate din tergiversarea</w:t>
      </w:r>
      <w:r w:rsidR="00BB6001">
        <w:rPr>
          <w:rFonts w:asciiTheme="majorHAnsi" w:hAnsiTheme="majorHAnsi" w:cstheme="majorHAnsi"/>
          <w:sz w:val="24"/>
          <w:szCs w:val="24"/>
          <w:lang w:val="ro-MD"/>
        </w:rPr>
        <w:t xml:space="preserve"> prezentării </w:t>
      </w:r>
      <w:r w:rsidR="006C52EF" w:rsidRPr="00401691">
        <w:rPr>
          <w:rFonts w:asciiTheme="majorHAnsi" w:hAnsiTheme="majorHAnsi" w:cstheme="majorHAnsi"/>
          <w:sz w:val="24"/>
          <w:szCs w:val="24"/>
          <w:lang w:val="ro-MD"/>
        </w:rPr>
        <w:t xml:space="preserve">datelor de </w:t>
      </w:r>
      <w:r w:rsidR="00B445D6">
        <w:rPr>
          <w:rFonts w:asciiTheme="majorHAnsi" w:hAnsiTheme="majorHAnsi" w:cstheme="majorHAnsi"/>
          <w:sz w:val="24"/>
          <w:szCs w:val="24"/>
          <w:lang w:val="ro-MD"/>
        </w:rPr>
        <w:t xml:space="preserve">către </w:t>
      </w:r>
      <w:r w:rsidR="006C52EF" w:rsidRPr="00401691">
        <w:rPr>
          <w:rFonts w:asciiTheme="majorHAnsi" w:hAnsiTheme="majorHAnsi" w:cstheme="majorHAnsi"/>
          <w:sz w:val="24"/>
          <w:szCs w:val="24"/>
          <w:lang w:val="ro-MD"/>
        </w:rPr>
        <w:t>CNAS referitor la sumele calculate și achitate la BASS</w:t>
      </w:r>
      <w:r w:rsidR="00D16A66">
        <w:rPr>
          <w:rFonts w:asciiTheme="majorHAnsi" w:hAnsiTheme="majorHAnsi" w:cstheme="majorHAnsi"/>
          <w:sz w:val="24"/>
          <w:szCs w:val="24"/>
          <w:lang w:val="ro-MD"/>
        </w:rPr>
        <w:t xml:space="preserve"> (pct. 2.4</w:t>
      </w:r>
      <w:r w:rsidR="00B445D6">
        <w:rPr>
          <w:rFonts w:asciiTheme="majorHAnsi" w:hAnsiTheme="majorHAnsi" w:cstheme="majorHAnsi"/>
          <w:sz w:val="24"/>
          <w:szCs w:val="24"/>
          <w:lang w:val="ro-MD"/>
        </w:rPr>
        <w:t>.</w:t>
      </w:r>
      <w:r w:rsidR="00D16A66">
        <w:rPr>
          <w:rFonts w:asciiTheme="majorHAnsi" w:hAnsiTheme="majorHAnsi" w:cstheme="majorHAnsi"/>
          <w:sz w:val="24"/>
          <w:szCs w:val="24"/>
          <w:lang w:val="ro-MD"/>
        </w:rPr>
        <w:t>)</w:t>
      </w:r>
      <w:r w:rsidR="006C52EF" w:rsidRPr="00401691">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w:t>
      </w:r>
    </w:p>
    <w:p w:rsidR="00213AD3" w:rsidRPr="00401691" w:rsidRDefault="00213AD3" w:rsidP="00844145">
      <w:pPr>
        <w:pStyle w:val="ListParagraph"/>
        <w:tabs>
          <w:tab w:val="left" w:pos="360"/>
          <w:tab w:val="left" w:pos="540"/>
        </w:tabs>
        <w:spacing w:after="0" w:line="276" w:lineRule="auto"/>
        <w:ind w:left="0"/>
        <w:contextualSpacing w:val="0"/>
        <w:jc w:val="both"/>
        <w:rPr>
          <w:rFonts w:asciiTheme="majorHAnsi" w:hAnsiTheme="majorHAnsi" w:cstheme="majorHAnsi"/>
          <w:sz w:val="24"/>
          <w:szCs w:val="24"/>
          <w:lang w:val="ro-MD"/>
        </w:rPr>
      </w:pPr>
    </w:p>
    <w:p w:rsidR="003F6BCB" w:rsidRPr="00401691" w:rsidRDefault="00B445D6" w:rsidP="00844145">
      <w:pPr>
        <w:spacing w:line="276" w:lineRule="auto"/>
        <w:ind w:right="-44"/>
        <w:jc w:val="both"/>
        <w:rPr>
          <w:rFonts w:asciiTheme="majorHAnsi" w:eastAsia="Times New Roman" w:hAnsiTheme="majorHAnsi" w:cstheme="majorHAnsi"/>
          <w:i/>
          <w:color w:val="1F4E79" w:themeColor="accent1" w:themeShade="80"/>
          <w:sz w:val="24"/>
          <w:szCs w:val="24"/>
          <w:lang w:val="ro-MD"/>
        </w:rPr>
      </w:pPr>
      <w:r>
        <w:rPr>
          <w:rStyle w:val="ms-rtefontface-3"/>
          <w:rFonts w:asciiTheme="majorHAnsi" w:hAnsiTheme="majorHAnsi" w:cstheme="majorHAnsi"/>
          <w:i/>
          <w:color w:val="1F4E79" w:themeColor="accent1" w:themeShade="80"/>
          <w:sz w:val="24"/>
          <w:szCs w:val="24"/>
          <w:lang w:val="ro-MD"/>
        </w:rPr>
        <w:t xml:space="preserve"> Privind </w:t>
      </w:r>
      <w:r w:rsidR="00463476" w:rsidRPr="00401691">
        <w:rPr>
          <w:rFonts w:asciiTheme="majorHAnsi" w:eastAsia="Times New Roman" w:hAnsiTheme="majorHAnsi" w:cstheme="majorHAnsi"/>
          <w:i/>
          <w:color w:val="1F4E79" w:themeColor="accent1" w:themeShade="80"/>
          <w:sz w:val="24"/>
          <w:szCs w:val="24"/>
          <w:lang w:val="ro-MD"/>
        </w:rPr>
        <w:t>conformit</w:t>
      </w:r>
      <w:r>
        <w:rPr>
          <w:rFonts w:asciiTheme="majorHAnsi" w:eastAsia="Times New Roman" w:hAnsiTheme="majorHAnsi" w:cstheme="majorHAnsi"/>
          <w:i/>
          <w:color w:val="1F4E79" w:themeColor="accent1" w:themeShade="80"/>
          <w:sz w:val="24"/>
          <w:szCs w:val="24"/>
          <w:lang w:val="ro-MD"/>
        </w:rPr>
        <w:t>atea</w:t>
      </w:r>
      <w:r w:rsidR="00D10ED2" w:rsidRPr="00401691">
        <w:rPr>
          <w:rFonts w:asciiTheme="majorHAnsi" w:eastAsia="Times New Roman" w:hAnsiTheme="majorHAnsi" w:cstheme="majorHAnsi"/>
          <w:i/>
          <w:color w:val="1F4E79" w:themeColor="accent1" w:themeShade="80"/>
          <w:sz w:val="24"/>
          <w:szCs w:val="24"/>
          <w:lang w:val="ro-MD"/>
        </w:rPr>
        <w:t xml:space="preserve"> </w:t>
      </w:r>
      <w:r w:rsidR="00463476" w:rsidRPr="00401691">
        <w:rPr>
          <w:rFonts w:asciiTheme="majorHAnsi" w:eastAsia="Times New Roman" w:hAnsiTheme="majorHAnsi" w:cstheme="majorHAnsi"/>
          <w:i/>
          <w:color w:val="1F4E79" w:themeColor="accent1" w:themeShade="80"/>
          <w:sz w:val="24"/>
          <w:szCs w:val="24"/>
          <w:lang w:val="ro-MD"/>
        </w:rPr>
        <w:t>procesului de executare silită a obligației fiscale</w:t>
      </w:r>
      <w:r w:rsidR="00645E14" w:rsidRPr="00401691">
        <w:rPr>
          <w:rFonts w:asciiTheme="majorHAnsi" w:eastAsia="Times New Roman" w:hAnsiTheme="majorHAnsi" w:cstheme="majorHAnsi"/>
          <w:i/>
          <w:color w:val="1F4E79" w:themeColor="accent1" w:themeShade="80"/>
          <w:sz w:val="24"/>
          <w:szCs w:val="24"/>
          <w:lang w:val="ro-MD"/>
        </w:rPr>
        <w:t xml:space="preserve"> de către SFS</w:t>
      </w:r>
      <w:r w:rsidR="00463476" w:rsidRPr="00401691">
        <w:rPr>
          <w:rFonts w:asciiTheme="majorHAnsi" w:eastAsia="Times New Roman" w:hAnsiTheme="majorHAnsi" w:cstheme="majorHAnsi"/>
          <w:i/>
          <w:color w:val="1F4E79" w:themeColor="accent1" w:themeShade="80"/>
          <w:sz w:val="24"/>
          <w:szCs w:val="24"/>
          <w:lang w:val="ro-MD"/>
        </w:rPr>
        <w:t xml:space="preserve"> </w:t>
      </w:r>
    </w:p>
    <w:p w:rsidR="00F371A0" w:rsidRPr="00401691" w:rsidRDefault="001A4B60" w:rsidP="00844145">
      <w:pPr>
        <w:pStyle w:val="ListParagraph"/>
        <w:numPr>
          <w:ilvl w:val="0"/>
          <w:numId w:val="27"/>
        </w:numPr>
        <w:tabs>
          <w:tab w:val="left" w:pos="360"/>
          <w:tab w:val="left" w:pos="540"/>
        </w:tabs>
        <w:spacing w:after="120" w:line="276" w:lineRule="auto"/>
        <w:ind w:left="0" w:firstLine="0"/>
        <w:contextualSpacing w:val="0"/>
        <w:jc w:val="both"/>
        <w:rPr>
          <w:rFonts w:asciiTheme="majorHAnsi" w:hAnsiTheme="majorHAnsi" w:cstheme="majorHAnsi"/>
          <w:b/>
          <w:i/>
          <w:sz w:val="24"/>
          <w:szCs w:val="24"/>
          <w:lang w:val="ro-MD"/>
        </w:rPr>
      </w:pPr>
      <w:r w:rsidRPr="00401691">
        <w:rPr>
          <w:rFonts w:asciiTheme="majorHAnsi" w:eastAsia="Times New Roman" w:hAnsiTheme="majorHAnsi" w:cstheme="majorHAnsi"/>
          <w:sz w:val="24"/>
          <w:szCs w:val="24"/>
          <w:lang w:val="ro-MD"/>
        </w:rPr>
        <w:t>Reforma instituțional</w:t>
      </w:r>
      <w:r w:rsidR="00295E20" w:rsidRPr="00401691">
        <w:rPr>
          <w:rFonts w:asciiTheme="majorHAnsi" w:eastAsia="Times New Roman" w:hAnsiTheme="majorHAnsi" w:cstheme="majorHAnsi"/>
          <w:sz w:val="24"/>
          <w:szCs w:val="24"/>
          <w:lang w:val="ro-MD"/>
        </w:rPr>
        <w:t>ă și operațională promovată în</w:t>
      </w:r>
      <w:r w:rsidRPr="00401691">
        <w:rPr>
          <w:rFonts w:asciiTheme="majorHAnsi" w:eastAsia="Times New Roman" w:hAnsiTheme="majorHAnsi" w:cstheme="majorHAnsi"/>
          <w:sz w:val="24"/>
          <w:szCs w:val="24"/>
          <w:lang w:val="ro-MD"/>
        </w:rPr>
        <w:t xml:space="preserve"> ultimii ani</w:t>
      </w:r>
      <w:r w:rsidR="00295E20" w:rsidRPr="00401691">
        <w:rPr>
          <w:rFonts w:asciiTheme="majorHAnsi" w:eastAsia="Times New Roman" w:hAnsiTheme="majorHAnsi" w:cstheme="majorHAnsi"/>
          <w:sz w:val="24"/>
          <w:szCs w:val="24"/>
          <w:lang w:val="ro-MD"/>
        </w:rPr>
        <w:t xml:space="preserve"> de SFS</w:t>
      </w:r>
      <w:r w:rsidRPr="00401691">
        <w:rPr>
          <w:rFonts w:asciiTheme="majorHAnsi" w:eastAsia="Times New Roman" w:hAnsiTheme="majorHAnsi" w:cstheme="majorHAnsi"/>
          <w:sz w:val="24"/>
          <w:szCs w:val="24"/>
          <w:lang w:val="ro-MD"/>
        </w:rPr>
        <w:t xml:space="preserve"> </w:t>
      </w:r>
      <w:r w:rsidR="00295E20" w:rsidRPr="00401691">
        <w:rPr>
          <w:rFonts w:asciiTheme="majorHAnsi" w:eastAsia="Times New Roman" w:hAnsiTheme="majorHAnsi" w:cstheme="majorHAnsi"/>
          <w:sz w:val="24"/>
          <w:szCs w:val="24"/>
          <w:lang w:val="ro-MD"/>
        </w:rPr>
        <w:t xml:space="preserve">a contribuit la </w:t>
      </w:r>
      <w:r w:rsidR="00EB39AA" w:rsidRPr="00401691">
        <w:rPr>
          <w:rFonts w:asciiTheme="majorHAnsi" w:eastAsia="Times New Roman" w:hAnsiTheme="majorHAnsi" w:cstheme="majorHAnsi"/>
          <w:sz w:val="24"/>
          <w:szCs w:val="24"/>
          <w:lang w:val="ro-MD"/>
        </w:rPr>
        <w:t>moderniza</w:t>
      </w:r>
      <w:r w:rsidR="00295E20" w:rsidRPr="00401691">
        <w:rPr>
          <w:rFonts w:asciiTheme="majorHAnsi" w:eastAsia="Times New Roman" w:hAnsiTheme="majorHAnsi" w:cstheme="majorHAnsi"/>
          <w:sz w:val="24"/>
          <w:szCs w:val="24"/>
          <w:lang w:val="ro-MD"/>
        </w:rPr>
        <w:t>rea și dezvoltarea funcției de executare silită a arieratelor</w:t>
      </w:r>
      <w:r w:rsidR="00716164" w:rsidRPr="00401691">
        <w:rPr>
          <w:rFonts w:asciiTheme="majorHAnsi" w:hAnsiTheme="majorHAnsi" w:cstheme="majorHAnsi"/>
          <w:sz w:val="24"/>
          <w:szCs w:val="24"/>
          <w:lang w:val="ro-MD"/>
        </w:rPr>
        <w:t>.</w:t>
      </w:r>
      <w:r w:rsidR="00A241AB" w:rsidRPr="00401691">
        <w:rPr>
          <w:rFonts w:asciiTheme="majorHAnsi" w:hAnsiTheme="majorHAnsi" w:cstheme="majorHAnsi"/>
          <w:sz w:val="24"/>
          <w:szCs w:val="24"/>
          <w:lang w:val="ro-MD"/>
        </w:rPr>
        <w:t xml:space="preserve"> Cu toate acestea, în</w:t>
      </w:r>
      <w:r w:rsidR="00BB0C9E" w:rsidRPr="00401691">
        <w:rPr>
          <w:rFonts w:asciiTheme="majorHAnsi" w:hAnsiTheme="majorHAnsi" w:cstheme="majorHAnsi"/>
          <w:sz w:val="24"/>
          <w:szCs w:val="24"/>
          <w:lang w:val="ro-MD"/>
        </w:rPr>
        <w:t xml:space="preserve"> anul 2019, veniturile</w:t>
      </w:r>
      <w:r w:rsidR="00A241AB" w:rsidRPr="00401691">
        <w:rPr>
          <w:rFonts w:asciiTheme="majorHAnsi" w:hAnsiTheme="majorHAnsi" w:cstheme="majorHAnsi"/>
          <w:sz w:val="24"/>
          <w:szCs w:val="24"/>
          <w:lang w:val="ro-MD"/>
        </w:rPr>
        <w:t xml:space="preserve"> fiscale </w:t>
      </w:r>
      <w:r w:rsidR="00BB0C9E" w:rsidRPr="00401691">
        <w:rPr>
          <w:rFonts w:asciiTheme="majorHAnsi" w:hAnsiTheme="majorHAnsi" w:cstheme="majorHAnsi"/>
          <w:sz w:val="24"/>
          <w:szCs w:val="24"/>
          <w:lang w:val="ro-MD"/>
        </w:rPr>
        <w:t xml:space="preserve">încasate prin aplicarea modalităților de executare silită </w:t>
      </w:r>
      <w:r w:rsidR="0022042E" w:rsidRPr="00401691">
        <w:rPr>
          <w:rFonts w:asciiTheme="majorHAnsi" w:hAnsiTheme="majorHAnsi" w:cstheme="majorHAnsi"/>
          <w:sz w:val="24"/>
          <w:szCs w:val="24"/>
          <w:lang w:val="ro-MD"/>
        </w:rPr>
        <w:t>s</w:t>
      </w:r>
      <w:r w:rsidR="00034B63" w:rsidRPr="00401691">
        <w:rPr>
          <w:rFonts w:asciiTheme="majorHAnsi" w:hAnsiTheme="majorHAnsi" w:cstheme="majorHAnsi"/>
          <w:sz w:val="24"/>
          <w:szCs w:val="24"/>
          <w:lang w:val="ro-MD"/>
        </w:rPr>
        <w:t>-</w:t>
      </w:r>
      <w:r w:rsidR="00A241AB" w:rsidRPr="00401691">
        <w:rPr>
          <w:rFonts w:asciiTheme="majorHAnsi" w:hAnsiTheme="majorHAnsi" w:cstheme="majorHAnsi"/>
          <w:sz w:val="24"/>
          <w:szCs w:val="24"/>
          <w:lang w:val="ro-MD"/>
        </w:rPr>
        <w:t>au diminuat</w:t>
      </w:r>
      <w:r w:rsidR="0022042E" w:rsidRPr="00401691">
        <w:rPr>
          <w:rFonts w:asciiTheme="majorHAnsi" w:hAnsiTheme="majorHAnsi" w:cstheme="majorHAnsi"/>
          <w:sz w:val="24"/>
          <w:szCs w:val="24"/>
          <w:lang w:val="ro-MD"/>
        </w:rPr>
        <w:t xml:space="preserve"> comparativ cu anul </w:t>
      </w:r>
      <w:r w:rsidR="00034B63" w:rsidRPr="00401691">
        <w:rPr>
          <w:rFonts w:asciiTheme="majorHAnsi" w:hAnsiTheme="majorHAnsi" w:cstheme="majorHAnsi"/>
          <w:sz w:val="24"/>
          <w:szCs w:val="24"/>
          <w:lang w:val="ro-MD"/>
        </w:rPr>
        <w:t>anterior,</w:t>
      </w:r>
      <w:r w:rsidR="0022042E" w:rsidRPr="00401691">
        <w:rPr>
          <w:rFonts w:asciiTheme="majorHAnsi" w:hAnsiTheme="majorHAnsi" w:cstheme="majorHAnsi"/>
          <w:sz w:val="24"/>
          <w:szCs w:val="24"/>
          <w:lang w:val="ro-MD"/>
        </w:rPr>
        <w:t xml:space="preserve"> c</w:t>
      </w:r>
      <w:r w:rsidR="00BB0C9E" w:rsidRPr="00401691">
        <w:rPr>
          <w:rFonts w:asciiTheme="majorHAnsi" w:hAnsiTheme="majorHAnsi" w:cstheme="majorHAnsi"/>
          <w:sz w:val="24"/>
          <w:szCs w:val="24"/>
          <w:lang w:val="ro-MD"/>
        </w:rPr>
        <w:t>onstitui</w:t>
      </w:r>
      <w:r w:rsidR="0022042E" w:rsidRPr="00401691">
        <w:rPr>
          <w:rFonts w:asciiTheme="majorHAnsi" w:hAnsiTheme="majorHAnsi" w:cstheme="majorHAnsi"/>
          <w:sz w:val="24"/>
          <w:szCs w:val="24"/>
          <w:lang w:val="ro-MD"/>
        </w:rPr>
        <w:t xml:space="preserve">nd </w:t>
      </w:r>
      <w:r w:rsidR="00BB0C9E" w:rsidRPr="00401691">
        <w:rPr>
          <w:rFonts w:asciiTheme="majorHAnsi" w:hAnsiTheme="majorHAnsi" w:cstheme="majorHAnsi"/>
          <w:sz w:val="24"/>
          <w:szCs w:val="24"/>
          <w:lang w:val="ro-MD"/>
        </w:rPr>
        <w:t>1086,6 mil</w:t>
      </w:r>
      <w:r w:rsidR="00A241AB" w:rsidRPr="00401691">
        <w:rPr>
          <w:rFonts w:asciiTheme="majorHAnsi" w:hAnsiTheme="majorHAnsi" w:cstheme="majorHAnsi"/>
          <w:sz w:val="24"/>
          <w:szCs w:val="24"/>
          <w:lang w:val="ro-MD"/>
        </w:rPr>
        <w:t>.</w:t>
      </w:r>
      <w:r w:rsidR="00BB0C9E" w:rsidRPr="00401691">
        <w:rPr>
          <w:rFonts w:asciiTheme="majorHAnsi" w:hAnsiTheme="majorHAnsi" w:cstheme="majorHAnsi"/>
          <w:sz w:val="24"/>
          <w:szCs w:val="24"/>
          <w:lang w:val="ro-MD"/>
        </w:rPr>
        <w:t xml:space="preserve"> lei, sau cu 70,7 mil</w:t>
      </w:r>
      <w:r w:rsidR="00A241AB" w:rsidRPr="00401691">
        <w:rPr>
          <w:rFonts w:asciiTheme="majorHAnsi" w:hAnsiTheme="majorHAnsi" w:cstheme="majorHAnsi"/>
          <w:sz w:val="24"/>
          <w:szCs w:val="24"/>
          <w:lang w:val="ro-MD"/>
        </w:rPr>
        <w:t>.</w:t>
      </w:r>
      <w:r w:rsidR="00BB0C9E" w:rsidRPr="00401691">
        <w:rPr>
          <w:rFonts w:asciiTheme="majorHAnsi" w:hAnsiTheme="majorHAnsi" w:cstheme="majorHAnsi"/>
          <w:sz w:val="24"/>
          <w:szCs w:val="24"/>
          <w:lang w:val="ro-MD"/>
        </w:rPr>
        <w:t xml:space="preserve"> lei mai puțin</w:t>
      </w:r>
      <w:r w:rsidR="005F56ED">
        <w:rPr>
          <w:rFonts w:asciiTheme="majorHAnsi" w:hAnsiTheme="majorHAnsi" w:cstheme="majorHAnsi"/>
          <w:sz w:val="24"/>
          <w:szCs w:val="24"/>
          <w:lang w:val="ro-MD"/>
        </w:rPr>
        <w:t xml:space="preserve"> (pct. 3.1</w:t>
      </w:r>
      <w:r w:rsidR="0024643A">
        <w:rPr>
          <w:rFonts w:asciiTheme="majorHAnsi" w:hAnsiTheme="majorHAnsi" w:cstheme="majorHAnsi"/>
          <w:sz w:val="24"/>
          <w:szCs w:val="24"/>
          <w:lang w:val="ro-MD"/>
        </w:rPr>
        <w:t>.</w:t>
      </w:r>
      <w:r w:rsidR="005F56ED">
        <w:rPr>
          <w:rFonts w:asciiTheme="majorHAnsi" w:hAnsiTheme="majorHAnsi" w:cstheme="majorHAnsi"/>
          <w:sz w:val="24"/>
          <w:szCs w:val="24"/>
          <w:lang w:val="ro-MD"/>
        </w:rPr>
        <w:t>)</w:t>
      </w:r>
      <w:r w:rsidR="0022042E" w:rsidRPr="00401691">
        <w:rPr>
          <w:rFonts w:asciiTheme="majorHAnsi" w:hAnsiTheme="majorHAnsi" w:cstheme="majorHAnsi"/>
          <w:sz w:val="24"/>
          <w:szCs w:val="24"/>
          <w:lang w:val="ro-MD"/>
        </w:rPr>
        <w:t>.</w:t>
      </w:r>
    </w:p>
    <w:p w:rsidR="00BB6001" w:rsidRPr="00BB6001" w:rsidRDefault="00E946DA" w:rsidP="00844145">
      <w:pPr>
        <w:pStyle w:val="ListParagraph"/>
        <w:numPr>
          <w:ilvl w:val="0"/>
          <w:numId w:val="27"/>
        </w:numPr>
        <w:tabs>
          <w:tab w:val="left" w:pos="360"/>
          <w:tab w:val="left" w:pos="450"/>
        </w:tabs>
        <w:spacing w:after="120" w:line="276" w:lineRule="auto"/>
        <w:ind w:left="0" w:firstLine="0"/>
        <w:contextualSpacing w:val="0"/>
        <w:jc w:val="both"/>
        <w:rPr>
          <w:rFonts w:asciiTheme="majorHAnsi" w:hAnsiTheme="majorHAnsi" w:cstheme="majorHAnsi"/>
          <w:b/>
          <w:i/>
          <w:sz w:val="24"/>
          <w:szCs w:val="24"/>
          <w:lang w:val="ro-MD"/>
        </w:rPr>
      </w:pPr>
      <w:r>
        <w:rPr>
          <w:rFonts w:asciiTheme="majorHAnsi" w:hAnsiTheme="majorHAnsi" w:cstheme="majorHAnsi"/>
          <w:sz w:val="24"/>
          <w:szCs w:val="24"/>
          <w:lang w:val="ro-MD"/>
        </w:rPr>
        <w:t>A</w:t>
      </w:r>
      <w:r w:rsidR="00172B74" w:rsidRPr="00401691">
        <w:rPr>
          <w:rFonts w:asciiTheme="majorHAnsi" w:hAnsiTheme="majorHAnsi" w:cstheme="majorHAnsi"/>
          <w:sz w:val="24"/>
          <w:szCs w:val="24"/>
          <w:lang w:val="ro-MD"/>
        </w:rPr>
        <w:t xml:space="preserve">uditul </w:t>
      </w:r>
      <w:r w:rsidR="0024643A">
        <w:rPr>
          <w:rFonts w:asciiTheme="majorHAnsi" w:hAnsiTheme="majorHAnsi" w:cstheme="majorHAnsi"/>
          <w:sz w:val="24"/>
          <w:szCs w:val="24"/>
          <w:lang w:val="ro-MD"/>
        </w:rPr>
        <w:t>atestă</w:t>
      </w:r>
      <w:r w:rsidR="00172B74" w:rsidRPr="00401691">
        <w:rPr>
          <w:rFonts w:asciiTheme="majorHAnsi" w:hAnsiTheme="majorHAnsi" w:cstheme="majorHAnsi"/>
          <w:sz w:val="24"/>
          <w:szCs w:val="24"/>
          <w:lang w:val="ro-MD"/>
        </w:rPr>
        <w:t xml:space="preserve"> </w:t>
      </w:r>
      <w:r w:rsidR="00366AE8">
        <w:rPr>
          <w:rFonts w:asciiTheme="majorHAnsi" w:hAnsiTheme="majorHAnsi" w:cstheme="majorHAnsi"/>
          <w:sz w:val="24"/>
          <w:szCs w:val="24"/>
          <w:lang w:val="ro-MD"/>
        </w:rPr>
        <w:t>neaplicarea</w:t>
      </w:r>
      <w:r>
        <w:rPr>
          <w:rFonts w:asciiTheme="majorHAnsi" w:hAnsiTheme="majorHAnsi" w:cstheme="majorHAnsi"/>
          <w:sz w:val="24"/>
          <w:szCs w:val="24"/>
          <w:lang w:val="ro-MD"/>
        </w:rPr>
        <w:t xml:space="preserve"> </w:t>
      </w:r>
      <w:r w:rsidRPr="00401691">
        <w:rPr>
          <w:rFonts w:asciiTheme="majorHAnsi" w:hAnsiTheme="majorHAnsi" w:cstheme="majorHAnsi"/>
          <w:sz w:val="24"/>
          <w:szCs w:val="24"/>
          <w:lang w:val="ro-MD"/>
        </w:rPr>
        <w:t>prevederilor Co</w:t>
      </w:r>
      <w:r w:rsidR="00366AE8">
        <w:rPr>
          <w:rFonts w:asciiTheme="majorHAnsi" w:hAnsiTheme="majorHAnsi" w:cstheme="majorHAnsi"/>
          <w:sz w:val="24"/>
          <w:szCs w:val="24"/>
          <w:lang w:val="ro-MD"/>
        </w:rPr>
        <w:t>dului fiscal</w:t>
      </w:r>
      <w:r>
        <w:rPr>
          <w:rFonts w:asciiTheme="majorHAnsi" w:hAnsiTheme="majorHAnsi" w:cstheme="majorHAnsi"/>
          <w:sz w:val="24"/>
          <w:szCs w:val="24"/>
          <w:lang w:val="ro-MD"/>
        </w:rPr>
        <w:t xml:space="preserve"> la </w:t>
      </w:r>
      <w:r w:rsidR="0022042E" w:rsidRPr="00401691">
        <w:rPr>
          <w:rFonts w:asciiTheme="majorHAnsi" w:hAnsiTheme="majorHAnsi" w:cstheme="majorHAnsi"/>
          <w:sz w:val="24"/>
          <w:szCs w:val="24"/>
          <w:lang w:val="ro-MD"/>
        </w:rPr>
        <w:t>sechestr</w:t>
      </w:r>
      <w:r>
        <w:rPr>
          <w:rFonts w:asciiTheme="majorHAnsi" w:hAnsiTheme="majorHAnsi" w:cstheme="majorHAnsi"/>
          <w:sz w:val="24"/>
          <w:szCs w:val="24"/>
          <w:lang w:val="ro-MD"/>
        </w:rPr>
        <w:t xml:space="preserve">area </w:t>
      </w:r>
      <w:r w:rsidR="00172B74" w:rsidRPr="00401691">
        <w:rPr>
          <w:rFonts w:asciiTheme="majorHAnsi" w:hAnsiTheme="majorHAnsi" w:cstheme="majorHAnsi"/>
          <w:sz w:val="24"/>
          <w:szCs w:val="24"/>
          <w:lang w:val="ro-MD"/>
        </w:rPr>
        <w:t>silit</w:t>
      </w:r>
      <w:r>
        <w:rPr>
          <w:rFonts w:asciiTheme="majorHAnsi" w:hAnsiTheme="majorHAnsi" w:cstheme="majorHAnsi"/>
          <w:sz w:val="24"/>
          <w:szCs w:val="24"/>
          <w:lang w:val="ro-MD"/>
        </w:rPr>
        <w:t xml:space="preserve">ă </w:t>
      </w:r>
      <w:r w:rsidR="00A241AB" w:rsidRPr="00401691">
        <w:rPr>
          <w:rFonts w:asciiTheme="majorHAnsi" w:hAnsiTheme="majorHAnsi" w:cstheme="majorHAnsi"/>
          <w:sz w:val="24"/>
          <w:szCs w:val="24"/>
          <w:lang w:val="ro-MD"/>
        </w:rPr>
        <w:t>a</w:t>
      </w:r>
      <w:r w:rsidR="00172B74" w:rsidRPr="00401691">
        <w:rPr>
          <w:rFonts w:asciiTheme="majorHAnsi" w:hAnsiTheme="majorHAnsi" w:cstheme="majorHAnsi"/>
          <w:sz w:val="24"/>
          <w:szCs w:val="24"/>
          <w:lang w:val="ro-MD"/>
        </w:rPr>
        <w:t xml:space="preserve"> cotelor sociale deținute de contribuabilii restanțieri în capitalul social a</w:t>
      </w:r>
      <w:r w:rsidR="0024643A">
        <w:rPr>
          <w:rFonts w:asciiTheme="majorHAnsi" w:hAnsiTheme="majorHAnsi" w:cstheme="majorHAnsi"/>
          <w:sz w:val="24"/>
          <w:szCs w:val="24"/>
          <w:lang w:val="ro-MD"/>
        </w:rPr>
        <w:t>l</w:t>
      </w:r>
      <w:r w:rsidR="00172B74" w:rsidRPr="00401691">
        <w:rPr>
          <w:rFonts w:asciiTheme="majorHAnsi" w:hAnsiTheme="majorHAnsi" w:cstheme="majorHAnsi"/>
          <w:sz w:val="24"/>
          <w:szCs w:val="24"/>
          <w:lang w:val="ro-MD"/>
        </w:rPr>
        <w:t xml:space="preserve"> uno</w:t>
      </w:r>
      <w:r w:rsidR="001F1F55" w:rsidRPr="00401691">
        <w:rPr>
          <w:rFonts w:asciiTheme="majorHAnsi" w:hAnsiTheme="majorHAnsi" w:cstheme="majorHAnsi"/>
          <w:sz w:val="24"/>
          <w:szCs w:val="24"/>
          <w:lang w:val="ro-MD"/>
        </w:rPr>
        <w:t>r societăți cu răspundere limitată</w:t>
      </w:r>
      <w:r w:rsidR="00C157E8" w:rsidRPr="00401691">
        <w:rPr>
          <w:rFonts w:asciiTheme="majorHAnsi" w:hAnsiTheme="majorHAnsi" w:cstheme="majorHAnsi"/>
          <w:sz w:val="24"/>
          <w:szCs w:val="24"/>
          <w:lang w:val="ro-MD"/>
        </w:rPr>
        <w:t xml:space="preserve">, neexistând niciun precedent </w:t>
      </w:r>
      <w:r w:rsidR="00034B63" w:rsidRPr="00401691">
        <w:rPr>
          <w:rFonts w:asciiTheme="majorHAnsi" w:hAnsiTheme="majorHAnsi" w:cstheme="majorHAnsi"/>
          <w:sz w:val="24"/>
          <w:szCs w:val="24"/>
          <w:lang w:val="ro-MD"/>
        </w:rPr>
        <w:t xml:space="preserve">de </w:t>
      </w:r>
      <w:r>
        <w:rPr>
          <w:rFonts w:asciiTheme="majorHAnsi" w:hAnsiTheme="majorHAnsi" w:cstheme="majorHAnsi"/>
          <w:sz w:val="24"/>
          <w:szCs w:val="24"/>
          <w:lang w:val="ro-MD"/>
        </w:rPr>
        <w:t xml:space="preserve">utilizare a </w:t>
      </w:r>
      <w:r w:rsidR="00034B63" w:rsidRPr="00401691">
        <w:rPr>
          <w:rFonts w:asciiTheme="majorHAnsi" w:hAnsiTheme="majorHAnsi" w:cstheme="majorHAnsi"/>
          <w:sz w:val="24"/>
          <w:szCs w:val="24"/>
          <w:lang w:val="ro-MD"/>
        </w:rPr>
        <w:t>acest</w:t>
      </w:r>
      <w:r w:rsidR="00904C8B" w:rsidRPr="00401691">
        <w:rPr>
          <w:rFonts w:asciiTheme="majorHAnsi" w:hAnsiTheme="majorHAnsi" w:cstheme="majorHAnsi"/>
          <w:sz w:val="24"/>
          <w:szCs w:val="24"/>
          <w:lang w:val="ro-MD"/>
        </w:rPr>
        <w:t>ui</w:t>
      </w:r>
      <w:r w:rsidR="00034B63" w:rsidRPr="00401691">
        <w:rPr>
          <w:rFonts w:asciiTheme="majorHAnsi" w:hAnsiTheme="majorHAnsi" w:cstheme="majorHAnsi"/>
          <w:sz w:val="24"/>
          <w:szCs w:val="24"/>
          <w:lang w:val="ro-MD"/>
        </w:rPr>
        <w:t xml:space="preserve"> </w:t>
      </w:r>
      <w:r w:rsidR="00904C8B" w:rsidRPr="00401691">
        <w:rPr>
          <w:rFonts w:asciiTheme="majorHAnsi" w:hAnsiTheme="majorHAnsi" w:cstheme="majorHAnsi"/>
          <w:sz w:val="24"/>
          <w:szCs w:val="24"/>
          <w:lang w:val="ro-MD"/>
        </w:rPr>
        <w:t>instrument</w:t>
      </w:r>
      <w:r>
        <w:rPr>
          <w:rFonts w:asciiTheme="majorHAnsi" w:hAnsiTheme="majorHAnsi" w:cstheme="majorHAnsi"/>
          <w:sz w:val="24"/>
          <w:szCs w:val="24"/>
          <w:lang w:val="ro-MD"/>
        </w:rPr>
        <w:t>.</w:t>
      </w:r>
      <w:r w:rsidR="00172B74" w:rsidRPr="00401691">
        <w:rPr>
          <w:rFonts w:asciiTheme="majorHAnsi" w:hAnsiTheme="majorHAnsi" w:cstheme="majorHAnsi"/>
          <w:sz w:val="24"/>
          <w:szCs w:val="24"/>
          <w:lang w:val="ro-MD"/>
        </w:rPr>
        <w:t xml:space="preserve"> </w:t>
      </w:r>
      <w:r w:rsidR="00C36E90" w:rsidRPr="00401691">
        <w:rPr>
          <w:rFonts w:asciiTheme="majorHAnsi" w:hAnsiTheme="majorHAnsi" w:cstheme="majorHAnsi"/>
          <w:sz w:val="24"/>
          <w:szCs w:val="24"/>
          <w:lang w:val="ro-MD"/>
        </w:rPr>
        <w:t>Astfel, v</w:t>
      </w:r>
      <w:r w:rsidR="00172B74" w:rsidRPr="00401691">
        <w:rPr>
          <w:rFonts w:asciiTheme="majorHAnsi" w:eastAsia="Calibri" w:hAnsiTheme="majorHAnsi" w:cstheme="majorHAnsi"/>
          <w:sz w:val="24"/>
          <w:szCs w:val="24"/>
          <w:lang w:val="ro-MD"/>
        </w:rPr>
        <w:t>erificările</w:t>
      </w:r>
      <w:r w:rsidR="00C157E8" w:rsidRPr="00401691">
        <w:rPr>
          <w:rFonts w:asciiTheme="majorHAnsi" w:eastAsia="Calibri" w:hAnsiTheme="majorHAnsi" w:cstheme="majorHAnsi"/>
          <w:sz w:val="24"/>
          <w:szCs w:val="24"/>
          <w:lang w:val="ro-MD"/>
        </w:rPr>
        <w:t xml:space="preserve"> selective ale auditului </w:t>
      </w:r>
      <w:r w:rsidR="00172B74" w:rsidRPr="00401691">
        <w:rPr>
          <w:rFonts w:asciiTheme="majorHAnsi" w:eastAsia="Calibri" w:hAnsiTheme="majorHAnsi" w:cstheme="majorHAnsi"/>
          <w:sz w:val="24"/>
          <w:szCs w:val="24"/>
          <w:lang w:val="ro-MD"/>
        </w:rPr>
        <w:t>a</w:t>
      </w:r>
      <w:r w:rsidR="00904C8B" w:rsidRPr="00401691">
        <w:rPr>
          <w:rFonts w:asciiTheme="majorHAnsi" w:eastAsia="Calibri" w:hAnsiTheme="majorHAnsi" w:cstheme="majorHAnsi"/>
          <w:sz w:val="24"/>
          <w:szCs w:val="24"/>
          <w:lang w:val="ro-MD"/>
        </w:rPr>
        <w:t>u</w:t>
      </w:r>
      <w:r w:rsidR="00A241AB" w:rsidRPr="00401691">
        <w:rPr>
          <w:rFonts w:asciiTheme="majorHAnsi" w:eastAsia="Calibri" w:hAnsiTheme="majorHAnsi" w:cstheme="majorHAnsi"/>
          <w:sz w:val="24"/>
          <w:szCs w:val="24"/>
          <w:lang w:val="ro-MD"/>
        </w:rPr>
        <w:t xml:space="preserve"> </w:t>
      </w:r>
      <w:r w:rsidR="0024643A">
        <w:rPr>
          <w:rFonts w:asciiTheme="majorHAnsi" w:eastAsia="Calibri" w:hAnsiTheme="majorHAnsi" w:cstheme="majorHAnsi"/>
          <w:sz w:val="24"/>
          <w:szCs w:val="24"/>
          <w:lang w:val="ro-MD"/>
        </w:rPr>
        <w:t>relevat</w:t>
      </w:r>
      <w:r w:rsidR="00172B74" w:rsidRPr="00401691">
        <w:rPr>
          <w:rFonts w:asciiTheme="majorHAnsi" w:eastAsia="Calibri" w:hAnsiTheme="majorHAnsi" w:cstheme="majorHAnsi"/>
          <w:sz w:val="24"/>
          <w:szCs w:val="24"/>
          <w:lang w:val="ro-MD"/>
        </w:rPr>
        <w:t xml:space="preserve"> cazuri </w:t>
      </w:r>
      <w:r w:rsidR="00C7074B">
        <w:rPr>
          <w:rFonts w:asciiTheme="majorHAnsi" w:eastAsia="Calibri" w:hAnsiTheme="majorHAnsi" w:cstheme="majorHAnsi"/>
          <w:sz w:val="24"/>
          <w:szCs w:val="24"/>
          <w:lang w:val="ro-MD"/>
        </w:rPr>
        <w:t xml:space="preserve">când </w:t>
      </w:r>
      <w:r w:rsidR="001F1F55" w:rsidRPr="00401691">
        <w:rPr>
          <w:rFonts w:asciiTheme="majorHAnsi" w:eastAsia="Calibri" w:hAnsiTheme="majorHAnsi" w:cstheme="majorHAnsi"/>
          <w:sz w:val="24"/>
          <w:szCs w:val="24"/>
          <w:lang w:val="ro-MD"/>
        </w:rPr>
        <w:t xml:space="preserve"> </w:t>
      </w:r>
      <w:r w:rsidR="00172B74" w:rsidRPr="00401691">
        <w:rPr>
          <w:rFonts w:asciiTheme="majorHAnsi" w:eastAsia="Calibri" w:hAnsiTheme="majorHAnsi" w:cstheme="majorHAnsi"/>
          <w:sz w:val="24"/>
          <w:szCs w:val="24"/>
          <w:lang w:val="ro-MD"/>
        </w:rPr>
        <w:t>contribuabilii</w:t>
      </w:r>
      <w:r w:rsidR="00A52AB0">
        <w:rPr>
          <w:rFonts w:asciiTheme="majorHAnsi" w:eastAsia="Calibri" w:hAnsiTheme="majorHAnsi" w:cstheme="majorHAnsi"/>
          <w:sz w:val="24"/>
          <w:szCs w:val="24"/>
          <w:lang w:val="ro-MD"/>
        </w:rPr>
        <w:t>,</w:t>
      </w:r>
      <w:r w:rsidR="00172B74" w:rsidRPr="00401691">
        <w:rPr>
          <w:rFonts w:asciiTheme="majorHAnsi" w:eastAsia="Calibri" w:hAnsiTheme="majorHAnsi" w:cstheme="majorHAnsi"/>
          <w:sz w:val="24"/>
          <w:szCs w:val="24"/>
          <w:lang w:val="ro-MD"/>
        </w:rPr>
        <w:t xml:space="preserve"> înregistr</w:t>
      </w:r>
      <w:r w:rsidR="00A52AB0">
        <w:rPr>
          <w:rFonts w:asciiTheme="majorHAnsi" w:eastAsia="Calibri" w:hAnsiTheme="majorHAnsi" w:cstheme="majorHAnsi"/>
          <w:sz w:val="24"/>
          <w:szCs w:val="24"/>
          <w:lang w:val="ro-MD"/>
        </w:rPr>
        <w:t>ând</w:t>
      </w:r>
      <w:r w:rsidR="001F1F55" w:rsidRPr="00401691">
        <w:rPr>
          <w:rFonts w:asciiTheme="majorHAnsi" w:eastAsia="Calibri" w:hAnsiTheme="majorHAnsi" w:cstheme="majorHAnsi"/>
          <w:sz w:val="24"/>
          <w:szCs w:val="24"/>
          <w:lang w:val="ro-MD"/>
        </w:rPr>
        <w:t xml:space="preserve"> restanțe </w:t>
      </w:r>
      <w:r w:rsidR="00172B74" w:rsidRPr="00401691">
        <w:rPr>
          <w:rFonts w:asciiTheme="majorHAnsi" w:eastAsia="Calibri" w:hAnsiTheme="majorHAnsi" w:cstheme="majorHAnsi"/>
          <w:sz w:val="24"/>
          <w:szCs w:val="24"/>
          <w:lang w:val="ro-MD"/>
        </w:rPr>
        <w:t xml:space="preserve">la buget în </w:t>
      </w:r>
      <w:r w:rsidR="00A93ACE">
        <w:rPr>
          <w:rFonts w:asciiTheme="majorHAnsi" w:eastAsia="Calibri" w:hAnsiTheme="majorHAnsi" w:cstheme="majorHAnsi"/>
          <w:sz w:val="24"/>
          <w:szCs w:val="24"/>
          <w:lang w:val="ro-MD"/>
        </w:rPr>
        <w:t>sumă</w:t>
      </w:r>
      <w:r w:rsidR="00172B74" w:rsidRPr="00401691">
        <w:rPr>
          <w:rFonts w:asciiTheme="majorHAnsi" w:eastAsia="Calibri" w:hAnsiTheme="majorHAnsi" w:cstheme="majorHAnsi"/>
          <w:sz w:val="24"/>
          <w:szCs w:val="24"/>
          <w:lang w:val="ro-MD"/>
        </w:rPr>
        <w:t xml:space="preserve"> de</w:t>
      </w:r>
      <w:r w:rsidR="0052118D" w:rsidRPr="00401691">
        <w:rPr>
          <w:rFonts w:asciiTheme="majorHAnsi" w:eastAsia="Calibri" w:hAnsiTheme="majorHAnsi" w:cstheme="majorHAnsi"/>
          <w:sz w:val="24"/>
          <w:szCs w:val="24"/>
          <w:lang w:val="ro-MD"/>
        </w:rPr>
        <w:t xml:space="preserve"> 32,9 </w:t>
      </w:r>
      <w:r w:rsidR="00172B74" w:rsidRPr="00401691">
        <w:rPr>
          <w:rFonts w:asciiTheme="majorHAnsi" w:eastAsia="Calibri" w:hAnsiTheme="majorHAnsi" w:cstheme="majorHAnsi"/>
          <w:sz w:val="24"/>
          <w:szCs w:val="24"/>
          <w:lang w:val="ro-MD"/>
        </w:rPr>
        <w:t>mil</w:t>
      </w:r>
      <w:r w:rsidR="00C157E8" w:rsidRPr="00401691">
        <w:rPr>
          <w:rFonts w:asciiTheme="majorHAnsi" w:eastAsia="Calibri" w:hAnsiTheme="majorHAnsi" w:cstheme="majorHAnsi"/>
          <w:sz w:val="24"/>
          <w:szCs w:val="24"/>
          <w:lang w:val="ro-MD"/>
        </w:rPr>
        <w:t>.</w:t>
      </w:r>
      <w:r w:rsidR="00172B74" w:rsidRPr="00401691">
        <w:rPr>
          <w:rFonts w:asciiTheme="majorHAnsi" w:eastAsia="Calibri" w:hAnsiTheme="majorHAnsi" w:cstheme="majorHAnsi"/>
          <w:sz w:val="24"/>
          <w:szCs w:val="24"/>
          <w:lang w:val="ro-MD"/>
        </w:rPr>
        <w:t xml:space="preserve"> lei, </w:t>
      </w:r>
      <w:r w:rsidR="001F1F55" w:rsidRPr="00401691">
        <w:rPr>
          <w:rFonts w:asciiTheme="majorHAnsi" w:eastAsia="Calibri" w:hAnsiTheme="majorHAnsi" w:cstheme="majorHAnsi"/>
          <w:sz w:val="24"/>
          <w:szCs w:val="24"/>
          <w:lang w:val="ro-MD"/>
        </w:rPr>
        <w:t>dețin</w:t>
      </w:r>
      <w:r w:rsidR="00A52AB0">
        <w:rPr>
          <w:rFonts w:asciiTheme="majorHAnsi" w:eastAsia="Calibri" w:hAnsiTheme="majorHAnsi" w:cstheme="majorHAnsi"/>
          <w:sz w:val="24"/>
          <w:szCs w:val="24"/>
          <w:lang w:val="ro-MD"/>
        </w:rPr>
        <w:t>eau</w:t>
      </w:r>
      <w:r w:rsidR="008404B3" w:rsidRPr="00401691">
        <w:rPr>
          <w:rFonts w:asciiTheme="majorHAnsi" w:eastAsia="Calibri" w:hAnsiTheme="majorHAnsi" w:cstheme="majorHAnsi"/>
          <w:sz w:val="24"/>
          <w:szCs w:val="24"/>
          <w:lang w:val="ro-MD"/>
        </w:rPr>
        <w:t xml:space="preserve"> </w:t>
      </w:r>
      <w:r w:rsidR="0022042E" w:rsidRPr="00401691">
        <w:rPr>
          <w:rFonts w:asciiTheme="majorHAnsi" w:eastAsia="Calibri" w:hAnsiTheme="majorHAnsi" w:cstheme="majorHAnsi"/>
          <w:sz w:val="24"/>
          <w:szCs w:val="24"/>
          <w:lang w:val="ro-MD"/>
        </w:rPr>
        <w:t xml:space="preserve">cote </w:t>
      </w:r>
      <w:r w:rsidR="00172B74" w:rsidRPr="00401691">
        <w:rPr>
          <w:rFonts w:asciiTheme="majorHAnsi" w:eastAsia="Calibri" w:hAnsiTheme="majorHAnsi" w:cstheme="majorHAnsi"/>
          <w:sz w:val="24"/>
          <w:szCs w:val="24"/>
          <w:lang w:val="ro-MD"/>
        </w:rPr>
        <w:t xml:space="preserve">sociale în societățile cu răspundere limitată în valoare de </w:t>
      </w:r>
      <w:r w:rsidR="0052118D" w:rsidRPr="00401691">
        <w:rPr>
          <w:rFonts w:asciiTheme="majorHAnsi" w:eastAsia="Calibri" w:hAnsiTheme="majorHAnsi" w:cstheme="majorHAnsi"/>
          <w:sz w:val="24"/>
          <w:szCs w:val="24"/>
          <w:lang w:val="ro-MD"/>
        </w:rPr>
        <w:t>95,4</w:t>
      </w:r>
      <w:r w:rsidR="00172B74" w:rsidRPr="00401691">
        <w:rPr>
          <w:rFonts w:asciiTheme="majorHAnsi" w:eastAsia="Calibri" w:hAnsiTheme="majorHAnsi" w:cstheme="majorHAnsi"/>
          <w:sz w:val="24"/>
          <w:szCs w:val="24"/>
          <w:lang w:val="ro-MD"/>
        </w:rPr>
        <w:t xml:space="preserve"> mil</w:t>
      </w:r>
      <w:r w:rsidR="001F1F55" w:rsidRPr="00401691">
        <w:rPr>
          <w:rFonts w:asciiTheme="majorHAnsi" w:eastAsia="Calibri" w:hAnsiTheme="majorHAnsi" w:cstheme="majorHAnsi"/>
          <w:sz w:val="24"/>
          <w:szCs w:val="24"/>
          <w:lang w:val="ro-MD"/>
        </w:rPr>
        <w:t>.</w:t>
      </w:r>
      <w:r w:rsidR="00172B74" w:rsidRPr="00401691">
        <w:rPr>
          <w:rFonts w:asciiTheme="majorHAnsi" w:eastAsia="Calibri" w:hAnsiTheme="majorHAnsi" w:cstheme="majorHAnsi"/>
          <w:sz w:val="24"/>
          <w:szCs w:val="24"/>
          <w:lang w:val="ro-MD"/>
        </w:rPr>
        <w:t xml:space="preserve"> lei, care nu au fost sechestrate</w:t>
      </w:r>
      <w:r w:rsidR="001F1F55" w:rsidRPr="00401691">
        <w:rPr>
          <w:rFonts w:asciiTheme="majorHAnsi" w:eastAsia="Calibri" w:hAnsiTheme="majorHAnsi" w:cstheme="majorHAnsi"/>
          <w:sz w:val="24"/>
          <w:szCs w:val="24"/>
          <w:lang w:val="ro-MD"/>
        </w:rPr>
        <w:t xml:space="preserve"> de </w:t>
      </w:r>
      <w:r w:rsidR="001F1F55" w:rsidRPr="008A4309">
        <w:rPr>
          <w:rFonts w:asciiTheme="majorHAnsi" w:eastAsia="Calibri" w:hAnsiTheme="majorHAnsi" w:cstheme="majorHAnsi"/>
          <w:sz w:val="24"/>
          <w:szCs w:val="24"/>
          <w:lang w:val="ro-MD"/>
        </w:rPr>
        <w:t>DGA mun.</w:t>
      </w:r>
      <w:r w:rsidR="001F1F55" w:rsidRPr="00401691">
        <w:rPr>
          <w:rFonts w:asciiTheme="majorHAnsi" w:eastAsia="Calibri" w:hAnsiTheme="majorHAnsi" w:cstheme="majorHAnsi"/>
          <w:sz w:val="24"/>
          <w:szCs w:val="24"/>
          <w:lang w:val="ro-MD"/>
        </w:rPr>
        <w:t xml:space="preserve"> Chișinău.</w:t>
      </w:r>
      <w:r w:rsidR="00172B74" w:rsidRPr="00401691">
        <w:rPr>
          <w:rFonts w:asciiTheme="majorHAnsi" w:eastAsia="Calibri" w:hAnsiTheme="majorHAnsi" w:cstheme="majorHAnsi"/>
          <w:sz w:val="24"/>
          <w:szCs w:val="24"/>
          <w:lang w:val="ro-MD"/>
        </w:rPr>
        <w:t xml:space="preserve"> În așa mod</w:t>
      </w:r>
      <w:r w:rsidR="00C157E8" w:rsidRPr="00401691">
        <w:rPr>
          <w:rFonts w:asciiTheme="majorHAnsi" w:eastAsia="Calibri" w:hAnsiTheme="majorHAnsi" w:cstheme="majorHAnsi"/>
          <w:sz w:val="24"/>
          <w:szCs w:val="24"/>
          <w:lang w:val="ro-MD"/>
        </w:rPr>
        <w:t>,</w:t>
      </w:r>
      <w:r w:rsidR="00172B74" w:rsidRPr="00401691">
        <w:rPr>
          <w:rFonts w:asciiTheme="majorHAnsi" w:eastAsia="Calibri" w:hAnsiTheme="majorHAnsi" w:cstheme="majorHAnsi"/>
          <w:sz w:val="24"/>
          <w:szCs w:val="24"/>
          <w:lang w:val="ro-MD"/>
        </w:rPr>
        <w:t xml:space="preserve"> contribuabilii </w:t>
      </w:r>
      <w:r w:rsidR="00904C8B" w:rsidRPr="00401691">
        <w:rPr>
          <w:rFonts w:asciiTheme="majorHAnsi" w:eastAsia="Calibri" w:hAnsiTheme="majorHAnsi" w:cstheme="majorHAnsi"/>
          <w:sz w:val="24"/>
          <w:szCs w:val="24"/>
          <w:lang w:val="ro-MD"/>
        </w:rPr>
        <w:t xml:space="preserve">cu </w:t>
      </w:r>
      <w:r w:rsidR="00A93ACE" w:rsidRPr="00401691">
        <w:rPr>
          <w:rFonts w:asciiTheme="majorHAnsi" w:eastAsia="Calibri" w:hAnsiTheme="majorHAnsi" w:cstheme="majorHAnsi"/>
          <w:sz w:val="24"/>
          <w:szCs w:val="24"/>
          <w:lang w:val="ro-MD"/>
        </w:rPr>
        <w:t xml:space="preserve">restanțe </w:t>
      </w:r>
      <w:r w:rsidR="00A93ACE">
        <w:rPr>
          <w:rFonts w:asciiTheme="majorHAnsi" w:eastAsia="Calibri" w:hAnsiTheme="majorHAnsi" w:cstheme="majorHAnsi"/>
          <w:sz w:val="24"/>
          <w:szCs w:val="24"/>
          <w:lang w:val="ro-MD"/>
        </w:rPr>
        <w:t>în mărimi</w:t>
      </w:r>
      <w:r w:rsidR="00904C8B" w:rsidRPr="00401691">
        <w:rPr>
          <w:rFonts w:asciiTheme="majorHAnsi" w:eastAsia="Calibri" w:hAnsiTheme="majorHAnsi" w:cstheme="majorHAnsi"/>
          <w:sz w:val="24"/>
          <w:szCs w:val="24"/>
          <w:lang w:val="ro-MD"/>
        </w:rPr>
        <w:t xml:space="preserve"> impunătoare</w:t>
      </w:r>
      <w:r w:rsidR="00172B74" w:rsidRPr="00401691">
        <w:rPr>
          <w:rFonts w:asciiTheme="majorHAnsi" w:eastAsia="Calibri" w:hAnsiTheme="majorHAnsi" w:cstheme="majorHAnsi"/>
          <w:sz w:val="24"/>
          <w:szCs w:val="24"/>
          <w:lang w:val="ro-MD"/>
        </w:rPr>
        <w:t xml:space="preserve">, formate în rezultatul neachitării impozitelor, </w:t>
      </w:r>
      <w:r w:rsidR="00C36E90" w:rsidRPr="00401691">
        <w:rPr>
          <w:rFonts w:asciiTheme="majorHAnsi" w:eastAsia="Calibri" w:hAnsiTheme="majorHAnsi" w:cstheme="majorHAnsi"/>
          <w:sz w:val="24"/>
          <w:szCs w:val="24"/>
          <w:lang w:val="ro-MD"/>
        </w:rPr>
        <w:t xml:space="preserve">și-au direcționat </w:t>
      </w:r>
      <w:r w:rsidR="00172B74" w:rsidRPr="00401691">
        <w:rPr>
          <w:rFonts w:asciiTheme="majorHAnsi" w:eastAsia="Calibri" w:hAnsiTheme="majorHAnsi" w:cstheme="majorHAnsi"/>
          <w:sz w:val="24"/>
          <w:szCs w:val="24"/>
          <w:lang w:val="ro-MD"/>
        </w:rPr>
        <w:t>mijloacele economice la majorarea capitalului social a</w:t>
      </w:r>
      <w:r w:rsidR="00257571">
        <w:rPr>
          <w:rFonts w:asciiTheme="majorHAnsi" w:eastAsia="Calibri" w:hAnsiTheme="majorHAnsi" w:cstheme="majorHAnsi"/>
          <w:sz w:val="24"/>
          <w:szCs w:val="24"/>
          <w:lang w:val="ro-MD"/>
        </w:rPr>
        <w:t>l</w:t>
      </w:r>
      <w:r w:rsidR="00172B74" w:rsidRPr="00401691">
        <w:rPr>
          <w:rFonts w:asciiTheme="majorHAnsi" w:eastAsia="Calibri" w:hAnsiTheme="majorHAnsi" w:cstheme="majorHAnsi"/>
          <w:sz w:val="24"/>
          <w:szCs w:val="24"/>
          <w:lang w:val="ro-MD"/>
        </w:rPr>
        <w:t xml:space="preserve"> unor societăți cu răspundere limitată</w:t>
      </w:r>
      <w:r w:rsidR="00034B63" w:rsidRPr="00401691">
        <w:rPr>
          <w:rFonts w:asciiTheme="majorHAnsi" w:eastAsia="Calibri" w:hAnsiTheme="majorHAnsi" w:cstheme="majorHAnsi"/>
          <w:sz w:val="24"/>
          <w:szCs w:val="24"/>
          <w:lang w:val="ro-MD"/>
        </w:rPr>
        <w:t>,</w:t>
      </w:r>
      <w:r w:rsidR="00C157E8" w:rsidRPr="00401691">
        <w:rPr>
          <w:rFonts w:asciiTheme="majorHAnsi" w:eastAsia="Calibri" w:hAnsiTheme="majorHAnsi" w:cstheme="majorHAnsi"/>
          <w:sz w:val="24"/>
          <w:szCs w:val="24"/>
          <w:lang w:val="ro-MD"/>
        </w:rPr>
        <w:t xml:space="preserve"> </w:t>
      </w:r>
      <w:r w:rsidR="00034B63" w:rsidRPr="00401691">
        <w:rPr>
          <w:rFonts w:asciiTheme="majorHAnsi" w:eastAsia="Calibri" w:hAnsiTheme="majorHAnsi" w:cstheme="majorHAnsi"/>
          <w:sz w:val="24"/>
          <w:szCs w:val="24"/>
          <w:lang w:val="ro-MD"/>
        </w:rPr>
        <w:lastRenderedPageBreak/>
        <w:t xml:space="preserve">care sunt </w:t>
      </w:r>
      <w:r w:rsidR="00C157E8" w:rsidRPr="00401691">
        <w:rPr>
          <w:rFonts w:asciiTheme="majorHAnsi" w:eastAsia="Calibri" w:hAnsiTheme="majorHAnsi" w:cstheme="majorHAnsi"/>
          <w:sz w:val="24"/>
          <w:szCs w:val="24"/>
          <w:lang w:val="ro-MD"/>
        </w:rPr>
        <w:t xml:space="preserve">active și profitabile din punct de vedere </w:t>
      </w:r>
      <w:proofErr w:type="spellStart"/>
      <w:r w:rsidR="00C157E8" w:rsidRPr="00401691">
        <w:rPr>
          <w:rFonts w:asciiTheme="majorHAnsi" w:eastAsia="Calibri" w:hAnsiTheme="majorHAnsi" w:cstheme="majorHAnsi"/>
          <w:sz w:val="24"/>
          <w:szCs w:val="24"/>
          <w:lang w:val="ro-MD"/>
        </w:rPr>
        <w:t>economic</w:t>
      </w:r>
      <w:r w:rsidR="00257571">
        <w:rPr>
          <w:rFonts w:asciiTheme="majorHAnsi" w:eastAsia="Calibri" w:hAnsiTheme="majorHAnsi" w:cstheme="majorHAnsi"/>
          <w:sz w:val="24"/>
          <w:szCs w:val="24"/>
          <w:lang w:val="ro-MD"/>
        </w:rPr>
        <w:t>o</w:t>
      </w:r>
      <w:proofErr w:type="spellEnd"/>
      <w:r w:rsidR="00037389">
        <w:rPr>
          <w:rFonts w:asciiTheme="majorHAnsi" w:eastAsia="Calibri" w:hAnsiTheme="majorHAnsi" w:cstheme="majorHAnsi"/>
          <w:sz w:val="24"/>
          <w:szCs w:val="24"/>
          <w:lang w:val="ro-MD"/>
        </w:rPr>
        <w:t>-</w:t>
      </w:r>
      <w:r w:rsidR="00C157E8" w:rsidRPr="00401691">
        <w:rPr>
          <w:rFonts w:asciiTheme="majorHAnsi" w:eastAsia="Calibri" w:hAnsiTheme="majorHAnsi" w:cstheme="majorHAnsi"/>
          <w:sz w:val="24"/>
          <w:szCs w:val="24"/>
          <w:lang w:val="ro-MD"/>
        </w:rPr>
        <w:t>financiar</w:t>
      </w:r>
      <w:r w:rsidR="00034B63" w:rsidRPr="00401691">
        <w:rPr>
          <w:rFonts w:asciiTheme="majorHAnsi" w:eastAsia="Calibri" w:hAnsiTheme="majorHAnsi" w:cstheme="majorHAnsi"/>
          <w:sz w:val="24"/>
          <w:szCs w:val="24"/>
          <w:lang w:val="ro-MD"/>
        </w:rPr>
        <w:t xml:space="preserve">, </w:t>
      </w:r>
      <w:r w:rsidR="0022042E" w:rsidRPr="00401691">
        <w:rPr>
          <w:rFonts w:asciiTheme="majorHAnsi" w:eastAsia="Calibri" w:hAnsiTheme="majorHAnsi" w:cstheme="majorHAnsi"/>
          <w:sz w:val="24"/>
          <w:szCs w:val="24"/>
          <w:lang w:val="ro-MD"/>
        </w:rPr>
        <w:t xml:space="preserve">fără </w:t>
      </w:r>
      <w:r w:rsidR="00A51725" w:rsidRPr="00401691">
        <w:rPr>
          <w:rFonts w:asciiTheme="majorHAnsi" w:eastAsia="Calibri" w:hAnsiTheme="majorHAnsi" w:cstheme="majorHAnsi"/>
          <w:sz w:val="24"/>
          <w:szCs w:val="24"/>
          <w:lang w:val="ro-MD"/>
        </w:rPr>
        <w:t xml:space="preserve">ca capitalul social </w:t>
      </w:r>
      <w:r w:rsidR="0022042E" w:rsidRPr="00401691">
        <w:rPr>
          <w:rFonts w:asciiTheme="majorHAnsi" w:eastAsia="Calibri" w:hAnsiTheme="majorHAnsi" w:cstheme="majorHAnsi"/>
          <w:sz w:val="24"/>
          <w:szCs w:val="24"/>
          <w:lang w:val="ro-MD"/>
        </w:rPr>
        <w:t>a</w:t>
      </w:r>
      <w:r w:rsidR="00A51725" w:rsidRPr="00401691">
        <w:rPr>
          <w:rFonts w:asciiTheme="majorHAnsi" w:eastAsia="Calibri" w:hAnsiTheme="majorHAnsi" w:cstheme="majorHAnsi"/>
          <w:sz w:val="24"/>
          <w:szCs w:val="24"/>
          <w:lang w:val="ro-MD"/>
        </w:rPr>
        <w:t xml:space="preserve">l acestora să </w:t>
      </w:r>
      <w:r w:rsidR="0022042E" w:rsidRPr="00401691">
        <w:rPr>
          <w:rFonts w:asciiTheme="majorHAnsi" w:eastAsia="Calibri" w:hAnsiTheme="majorHAnsi" w:cstheme="majorHAnsi"/>
          <w:sz w:val="24"/>
          <w:szCs w:val="24"/>
          <w:lang w:val="ro-MD"/>
        </w:rPr>
        <w:t>fi</w:t>
      </w:r>
      <w:r w:rsidR="00A51725" w:rsidRPr="00401691">
        <w:rPr>
          <w:rFonts w:asciiTheme="majorHAnsi" w:eastAsia="Calibri" w:hAnsiTheme="majorHAnsi" w:cstheme="majorHAnsi"/>
          <w:sz w:val="24"/>
          <w:szCs w:val="24"/>
          <w:lang w:val="ro-MD"/>
        </w:rPr>
        <w:t>e</w:t>
      </w:r>
      <w:r w:rsidR="0022042E" w:rsidRPr="00401691">
        <w:rPr>
          <w:rFonts w:asciiTheme="majorHAnsi" w:eastAsia="Calibri" w:hAnsiTheme="majorHAnsi" w:cstheme="majorHAnsi"/>
          <w:sz w:val="24"/>
          <w:szCs w:val="24"/>
          <w:lang w:val="ro-MD"/>
        </w:rPr>
        <w:t xml:space="preserve"> </w:t>
      </w:r>
      <w:r w:rsidR="00172B74" w:rsidRPr="00401691">
        <w:rPr>
          <w:rFonts w:asciiTheme="majorHAnsi" w:eastAsia="Calibri" w:hAnsiTheme="majorHAnsi" w:cstheme="majorHAnsi"/>
          <w:sz w:val="24"/>
          <w:szCs w:val="24"/>
          <w:lang w:val="ro-MD"/>
        </w:rPr>
        <w:t>supus</w:t>
      </w:r>
      <w:r w:rsidR="00C36E90" w:rsidRPr="00401691">
        <w:rPr>
          <w:rFonts w:asciiTheme="majorHAnsi" w:eastAsia="Calibri" w:hAnsiTheme="majorHAnsi" w:cstheme="majorHAnsi"/>
          <w:sz w:val="24"/>
          <w:szCs w:val="24"/>
          <w:lang w:val="ro-MD"/>
        </w:rPr>
        <w:t xml:space="preserve"> regulamentar </w:t>
      </w:r>
      <w:r w:rsidR="00172B74" w:rsidRPr="00401691">
        <w:rPr>
          <w:rFonts w:asciiTheme="majorHAnsi" w:eastAsia="Calibri" w:hAnsiTheme="majorHAnsi" w:cstheme="majorHAnsi"/>
          <w:sz w:val="24"/>
          <w:szCs w:val="24"/>
          <w:lang w:val="ro-MD"/>
        </w:rPr>
        <w:t>executării silite</w:t>
      </w:r>
      <w:r w:rsidR="0022042E" w:rsidRPr="00401691">
        <w:rPr>
          <w:rFonts w:asciiTheme="majorHAnsi" w:eastAsia="Calibri" w:hAnsiTheme="majorHAnsi" w:cstheme="majorHAnsi"/>
          <w:sz w:val="24"/>
          <w:szCs w:val="24"/>
          <w:lang w:val="ro-MD"/>
        </w:rPr>
        <w:t xml:space="preserve"> de către SFS</w:t>
      </w:r>
      <w:r w:rsidR="00C36E90" w:rsidRPr="00401691">
        <w:rPr>
          <w:rFonts w:asciiTheme="majorHAnsi" w:eastAsia="Calibri" w:hAnsiTheme="majorHAnsi" w:cstheme="majorHAnsi"/>
          <w:sz w:val="24"/>
          <w:szCs w:val="24"/>
          <w:lang w:val="ro-MD"/>
        </w:rPr>
        <w:t>.</w:t>
      </w:r>
      <w:r w:rsidR="001F1F55" w:rsidRPr="00401691">
        <w:rPr>
          <w:rFonts w:asciiTheme="majorHAnsi" w:eastAsia="Calibri" w:hAnsiTheme="majorHAnsi" w:cstheme="majorHAnsi"/>
          <w:sz w:val="24"/>
          <w:szCs w:val="24"/>
          <w:lang w:val="ro-MD"/>
        </w:rPr>
        <w:t xml:space="preserve"> Aceste deficiențe au fost cauzate </w:t>
      </w:r>
      <w:r w:rsidR="00A241AB" w:rsidRPr="00401691">
        <w:rPr>
          <w:rFonts w:asciiTheme="majorHAnsi" w:eastAsia="Calibri" w:hAnsiTheme="majorHAnsi" w:cstheme="majorHAnsi"/>
          <w:sz w:val="24"/>
          <w:szCs w:val="24"/>
          <w:lang w:val="ro-MD"/>
        </w:rPr>
        <w:t xml:space="preserve">atât </w:t>
      </w:r>
      <w:r w:rsidR="00A51725" w:rsidRPr="00401691">
        <w:rPr>
          <w:rFonts w:asciiTheme="majorHAnsi" w:eastAsia="Calibri" w:hAnsiTheme="majorHAnsi" w:cstheme="majorHAnsi"/>
          <w:sz w:val="24"/>
          <w:szCs w:val="24"/>
          <w:lang w:val="ro-MD"/>
        </w:rPr>
        <w:t xml:space="preserve">de </w:t>
      </w:r>
      <w:r w:rsidR="001E658C" w:rsidRPr="00401691">
        <w:rPr>
          <w:rFonts w:asciiTheme="majorHAnsi" w:eastAsia="Calibri" w:hAnsiTheme="majorHAnsi" w:cstheme="majorHAnsi"/>
          <w:sz w:val="24"/>
          <w:szCs w:val="24"/>
          <w:lang w:val="ro-MD"/>
        </w:rPr>
        <w:t xml:space="preserve">nerespectarea de către angajații SFS a prevederilor legale, </w:t>
      </w:r>
      <w:r w:rsidR="00BB6001" w:rsidRPr="00401691">
        <w:rPr>
          <w:rFonts w:asciiTheme="majorHAnsi" w:eastAsia="Calibri" w:hAnsiTheme="majorHAnsi" w:cstheme="majorHAnsi"/>
          <w:sz w:val="24"/>
          <w:szCs w:val="24"/>
          <w:lang w:val="ro-MD"/>
        </w:rPr>
        <w:t xml:space="preserve">cât și de lipsa </w:t>
      </w:r>
      <w:r w:rsidR="00BB6001" w:rsidRPr="00401691">
        <w:rPr>
          <w:rFonts w:asciiTheme="majorHAnsi" w:hAnsiTheme="majorHAnsi" w:cstheme="majorHAnsi"/>
          <w:sz w:val="24"/>
          <w:szCs w:val="24"/>
          <w:lang w:val="ro-MD"/>
        </w:rPr>
        <w:t xml:space="preserve">în cadrul metodologic </w:t>
      </w:r>
      <w:r w:rsidR="00BB6001" w:rsidRPr="00BB6001">
        <w:rPr>
          <w:rFonts w:asciiTheme="majorHAnsi" w:hAnsiTheme="majorHAnsi" w:cstheme="majorHAnsi"/>
          <w:sz w:val="24"/>
          <w:szCs w:val="24"/>
          <w:lang w:val="ro-MD"/>
        </w:rPr>
        <w:t xml:space="preserve">intern al SFS a </w:t>
      </w:r>
      <w:r w:rsidR="00366AE8">
        <w:rPr>
          <w:rFonts w:asciiTheme="majorHAnsi" w:hAnsiTheme="majorHAnsi" w:cstheme="majorHAnsi"/>
          <w:sz w:val="24"/>
          <w:szCs w:val="24"/>
          <w:lang w:val="ro-MD"/>
        </w:rPr>
        <w:t>unor reglementări cu privire la</w:t>
      </w:r>
      <w:r w:rsidR="00BB6001" w:rsidRPr="00BB6001">
        <w:rPr>
          <w:rFonts w:asciiTheme="majorHAnsi" w:hAnsiTheme="majorHAnsi" w:cstheme="majorHAnsi"/>
          <w:sz w:val="24"/>
          <w:szCs w:val="24"/>
          <w:lang w:val="ro-MD"/>
        </w:rPr>
        <w:t xml:space="preserve"> mecanismul de sechestrare și comercializare a cotelor sociale deținute în </w:t>
      </w:r>
      <w:r w:rsidR="00257571">
        <w:rPr>
          <w:rFonts w:asciiTheme="majorHAnsi" w:hAnsiTheme="majorHAnsi" w:cstheme="majorHAnsi"/>
          <w:sz w:val="24"/>
          <w:szCs w:val="24"/>
          <w:lang w:val="ro-MD"/>
        </w:rPr>
        <w:t xml:space="preserve">capitalul social al </w:t>
      </w:r>
      <w:r w:rsidR="00BB6001" w:rsidRPr="00BB6001">
        <w:rPr>
          <w:rFonts w:asciiTheme="majorHAnsi" w:eastAsia="Calibri" w:hAnsiTheme="majorHAnsi" w:cstheme="majorHAnsi"/>
          <w:sz w:val="24"/>
          <w:szCs w:val="24"/>
          <w:lang w:val="ro-MD"/>
        </w:rPr>
        <w:t>societăți</w:t>
      </w:r>
      <w:r w:rsidR="00257571">
        <w:rPr>
          <w:rFonts w:asciiTheme="majorHAnsi" w:eastAsia="Calibri" w:hAnsiTheme="majorHAnsi" w:cstheme="majorHAnsi"/>
          <w:sz w:val="24"/>
          <w:szCs w:val="24"/>
          <w:lang w:val="ro-MD"/>
        </w:rPr>
        <w:t>lor</w:t>
      </w:r>
      <w:r w:rsidR="00BB6001" w:rsidRPr="00BB6001">
        <w:rPr>
          <w:rFonts w:asciiTheme="majorHAnsi" w:eastAsia="Calibri" w:hAnsiTheme="majorHAnsi" w:cstheme="majorHAnsi"/>
          <w:sz w:val="24"/>
          <w:szCs w:val="24"/>
          <w:lang w:val="ro-MD"/>
        </w:rPr>
        <w:t xml:space="preserve"> cu răspundere limitată</w:t>
      </w:r>
      <w:r w:rsidR="005F56ED">
        <w:rPr>
          <w:rFonts w:asciiTheme="majorHAnsi" w:eastAsia="Calibri" w:hAnsiTheme="majorHAnsi" w:cstheme="majorHAnsi"/>
          <w:sz w:val="24"/>
          <w:szCs w:val="24"/>
          <w:lang w:val="ro-MD"/>
        </w:rPr>
        <w:t xml:space="preserve"> (pct.3.1</w:t>
      </w:r>
      <w:r w:rsidR="00257571">
        <w:rPr>
          <w:rFonts w:asciiTheme="majorHAnsi" w:eastAsia="Calibri" w:hAnsiTheme="majorHAnsi" w:cstheme="majorHAnsi"/>
          <w:sz w:val="24"/>
          <w:szCs w:val="24"/>
          <w:lang w:val="ro-MD"/>
        </w:rPr>
        <w:t>.</w:t>
      </w:r>
      <w:r w:rsidR="005F56ED">
        <w:rPr>
          <w:rFonts w:asciiTheme="majorHAnsi" w:eastAsia="Calibri" w:hAnsiTheme="majorHAnsi" w:cstheme="majorHAnsi"/>
          <w:sz w:val="24"/>
          <w:szCs w:val="24"/>
          <w:lang w:val="ro-MD"/>
        </w:rPr>
        <w:t>)</w:t>
      </w:r>
      <w:r w:rsidR="00BB6001" w:rsidRPr="00BB6001">
        <w:rPr>
          <w:rFonts w:asciiTheme="majorHAnsi" w:hAnsiTheme="majorHAnsi" w:cstheme="majorHAnsi"/>
          <w:sz w:val="24"/>
          <w:szCs w:val="24"/>
          <w:lang w:val="ro-MD"/>
        </w:rPr>
        <w:t xml:space="preserve">. </w:t>
      </w:r>
    </w:p>
    <w:p w:rsidR="00A93206" w:rsidRPr="00401691" w:rsidRDefault="00153730" w:rsidP="00844145">
      <w:pPr>
        <w:pStyle w:val="ListParagraph"/>
        <w:numPr>
          <w:ilvl w:val="0"/>
          <w:numId w:val="27"/>
        </w:numPr>
        <w:tabs>
          <w:tab w:val="left" w:pos="180"/>
          <w:tab w:val="left" w:pos="270"/>
          <w:tab w:val="left" w:pos="360"/>
          <w:tab w:val="left" w:pos="450"/>
          <w:tab w:val="left" w:pos="540"/>
        </w:tabs>
        <w:spacing w:after="120" w:line="276" w:lineRule="auto"/>
        <w:ind w:left="0" w:firstLine="0"/>
        <w:contextualSpacing w:val="0"/>
        <w:jc w:val="both"/>
        <w:rPr>
          <w:rFonts w:asciiTheme="majorHAnsi" w:hAnsiTheme="majorHAnsi" w:cstheme="majorHAnsi"/>
          <w:b/>
          <w:i/>
          <w:sz w:val="24"/>
          <w:szCs w:val="24"/>
          <w:lang w:val="ro-MD"/>
        </w:rPr>
      </w:pPr>
      <w:r w:rsidRPr="00401691">
        <w:rPr>
          <w:rFonts w:asciiTheme="majorHAnsi" w:hAnsiTheme="majorHAnsi" w:cstheme="majorHAnsi"/>
          <w:sz w:val="24"/>
          <w:szCs w:val="24"/>
          <w:lang w:val="ro-MD"/>
        </w:rPr>
        <w:t xml:space="preserve">Verificările </w:t>
      </w:r>
      <w:r w:rsidR="00BB57EA">
        <w:rPr>
          <w:rFonts w:asciiTheme="majorHAnsi" w:hAnsiTheme="majorHAnsi" w:cstheme="majorHAnsi"/>
          <w:sz w:val="24"/>
          <w:szCs w:val="24"/>
          <w:lang w:val="ro-MD"/>
        </w:rPr>
        <w:t xml:space="preserve">efectuate </w:t>
      </w:r>
      <w:r w:rsidRPr="00401691">
        <w:rPr>
          <w:rFonts w:asciiTheme="majorHAnsi" w:hAnsiTheme="majorHAnsi" w:cstheme="majorHAnsi"/>
          <w:sz w:val="24"/>
          <w:szCs w:val="24"/>
          <w:lang w:val="ro-MD"/>
        </w:rPr>
        <w:t xml:space="preserve">la DGA </w:t>
      </w:r>
      <w:r w:rsidR="00E93530" w:rsidRPr="00401691">
        <w:rPr>
          <w:rFonts w:asciiTheme="majorHAnsi" w:hAnsiTheme="majorHAnsi" w:cstheme="majorHAnsi"/>
          <w:sz w:val="24"/>
          <w:szCs w:val="24"/>
          <w:lang w:val="ro-MD"/>
        </w:rPr>
        <w:t>mun</w:t>
      </w:r>
      <w:r w:rsidR="00303969" w:rsidRPr="00401691">
        <w:rPr>
          <w:rFonts w:asciiTheme="majorHAnsi" w:hAnsiTheme="majorHAnsi" w:cstheme="majorHAnsi"/>
          <w:sz w:val="24"/>
          <w:szCs w:val="24"/>
          <w:lang w:val="ro-MD"/>
        </w:rPr>
        <w:t>.</w:t>
      </w:r>
      <w:r w:rsidR="00A93206" w:rsidRPr="00401691">
        <w:rPr>
          <w:rFonts w:asciiTheme="majorHAnsi" w:hAnsiTheme="majorHAnsi" w:cstheme="majorHAnsi"/>
          <w:sz w:val="24"/>
          <w:szCs w:val="24"/>
          <w:lang w:val="ro-MD"/>
        </w:rPr>
        <w:t xml:space="preserve"> </w:t>
      </w:r>
      <w:r w:rsidR="00E93530" w:rsidRPr="00401691">
        <w:rPr>
          <w:rFonts w:asciiTheme="majorHAnsi" w:hAnsiTheme="majorHAnsi" w:cstheme="majorHAnsi"/>
          <w:sz w:val="24"/>
          <w:szCs w:val="24"/>
          <w:lang w:val="ro-MD"/>
        </w:rPr>
        <w:t>Chișinău</w:t>
      </w:r>
      <w:r w:rsidR="00BB57EA">
        <w:rPr>
          <w:rFonts w:asciiTheme="majorHAnsi" w:hAnsiTheme="majorHAnsi" w:cstheme="majorHAnsi"/>
          <w:sz w:val="24"/>
          <w:szCs w:val="24"/>
          <w:lang w:val="ro-MD"/>
        </w:rPr>
        <w:t xml:space="preserve"> au</w:t>
      </w:r>
      <w:r w:rsidR="00E93530" w:rsidRPr="00401691">
        <w:rPr>
          <w:rFonts w:asciiTheme="majorHAnsi" w:hAnsiTheme="majorHAnsi" w:cstheme="majorHAnsi"/>
          <w:sz w:val="24"/>
          <w:szCs w:val="24"/>
          <w:lang w:val="ro-MD"/>
        </w:rPr>
        <w:t xml:space="preserve"> </w:t>
      </w:r>
      <w:r w:rsidR="00BB57EA">
        <w:rPr>
          <w:rFonts w:asciiTheme="majorHAnsi" w:hAnsiTheme="majorHAnsi" w:cstheme="majorHAnsi"/>
          <w:sz w:val="24"/>
          <w:szCs w:val="24"/>
          <w:lang w:val="ro-MD"/>
        </w:rPr>
        <w:t>relevat</w:t>
      </w:r>
      <w:r w:rsidRPr="00401691">
        <w:rPr>
          <w:rFonts w:asciiTheme="majorHAnsi" w:hAnsiTheme="majorHAnsi" w:cstheme="majorHAnsi"/>
          <w:sz w:val="24"/>
          <w:szCs w:val="24"/>
          <w:lang w:val="ro-MD"/>
        </w:rPr>
        <w:t xml:space="preserve"> </w:t>
      </w:r>
      <w:r w:rsidR="006A5773">
        <w:rPr>
          <w:rFonts w:asciiTheme="majorHAnsi" w:hAnsiTheme="majorHAnsi" w:cstheme="majorHAnsi"/>
          <w:sz w:val="24"/>
          <w:szCs w:val="24"/>
          <w:lang w:val="ro-MD"/>
        </w:rPr>
        <w:t xml:space="preserve">impedimente la </w:t>
      </w:r>
      <w:r w:rsidR="00A833BD" w:rsidRPr="00401691">
        <w:rPr>
          <w:rFonts w:asciiTheme="majorHAnsi" w:hAnsiTheme="majorHAnsi" w:cstheme="majorHAnsi"/>
          <w:sz w:val="24"/>
          <w:szCs w:val="24"/>
          <w:lang w:val="ro-MD"/>
        </w:rPr>
        <w:t>recupera</w:t>
      </w:r>
      <w:r w:rsidR="008B41DB" w:rsidRPr="00401691">
        <w:rPr>
          <w:rFonts w:asciiTheme="majorHAnsi" w:hAnsiTheme="majorHAnsi" w:cstheme="majorHAnsi"/>
          <w:sz w:val="24"/>
          <w:szCs w:val="24"/>
          <w:lang w:val="ro-MD"/>
        </w:rPr>
        <w:t>re</w:t>
      </w:r>
      <w:r w:rsidR="00CD2230" w:rsidRPr="00401691">
        <w:rPr>
          <w:rFonts w:asciiTheme="majorHAnsi" w:hAnsiTheme="majorHAnsi" w:cstheme="majorHAnsi"/>
          <w:sz w:val="24"/>
          <w:szCs w:val="24"/>
          <w:lang w:val="ro-MD"/>
        </w:rPr>
        <w:t>a</w:t>
      </w:r>
      <w:r w:rsidR="008B41DB" w:rsidRPr="00401691">
        <w:rPr>
          <w:rFonts w:asciiTheme="majorHAnsi" w:hAnsiTheme="majorHAnsi" w:cstheme="majorHAnsi"/>
          <w:sz w:val="24"/>
          <w:szCs w:val="24"/>
          <w:lang w:val="ro-MD"/>
        </w:rPr>
        <w:t xml:space="preserve"> datoriilor</w:t>
      </w:r>
      <w:r w:rsidR="00A833BD" w:rsidRPr="00401691">
        <w:rPr>
          <w:rFonts w:asciiTheme="majorHAnsi" w:hAnsiTheme="majorHAnsi" w:cstheme="majorHAnsi"/>
          <w:sz w:val="24"/>
          <w:szCs w:val="24"/>
          <w:lang w:val="ro-MD"/>
        </w:rPr>
        <w:t xml:space="preserve"> istorice, </w:t>
      </w:r>
      <w:r w:rsidR="008B41DB" w:rsidRPr="00401691">
        <w:rPr>
          <w:rFonts w:asciiTheme="majorHAnsi" w:hAnsiTheme="majorHAnsi" w:cstheme="majorHAnsi"/>
          <w:sz w:val="24"/>
          <w:szCs w:val="24"/>
          <w:lang w:val="ro-MD"/>
        </w:rPr>
        <w:t xml:space="preserve">dar și </w:t>
      </w:r>
      <w:r w:rsidR="00BB57EA">
        <w:rPr>
          <w:rFonts w:asciiTheme="majorHAnsi" w:hAnsiTheme="majorHAnsi" w:cstheme="majorHAnsi"/>
          <w:sz w:val="24"/>
          <w:szCs w:val="24"/>
          <w:lang w:val="ro-MD"/>
        </w:rPr>
        <w:t xml:space="preserve">a </w:t>
      </w:r>
      <w:r w:rsidR="008B41DB" w:rsidRPr="00401691">
        <w:rPr>
          <w:rFonts w:asciiTheme="majorHAnsi" w:hAnsiTheme="majorHAnsi" w:cstheme="majorHAnsi"/>
          <w:sz w:val="24"/>
          <w:szCs w:val="24"/>
          <w:lang w:val="ro-MD"/>
        </w:rPr>
        <w:t xml:space="preserve">unor </w:t>
      </w:r>
      <w:r w:rsidR="00A833BD" w:rsidRPr="00401691">
        <w:rPr>
          <w:rFonts w:asciiTheme="majorHAnsi" w:hAnsiTheme="majorHAnsi" w:cstheme="majorHAnsi"/>
          <w:sz w:val="24"/>
          <w:szCs w:val="24"/>
          <w:lang w:val="ro-MD"/>
        </w:rPr>
        <w:t>obligații fiscale curente</w:t>
      </w:r>
      <w:r w:rsidR="006A5773">
        <w:rPr>
          <w:rFonts w:asciiTheme="majorHAnsi" w:hAnsiTheme="majorHAnsi" w:cstheme="majorHAnsi"/>
          <w:sz w:val="24"/>
          <w:szCs w:val="24"/>
          <w:lang w:val="ro-MD"/>
        </w:rPr>
        <w:t xml:space="preserve">, acestea fiind </w:t>
      </w:r>
      <w:r w:rsidR="005B2137" w:rsidRPr="00401691">
        <w:rPr>
          <w:rFonts w:asciiTheme="majorHAnsi" w:hAnsiTheme="majorHAnsi" w:cstheme="majorHAnsi"/>
          <w:sz w:val="24"/>
          <w:szCs w:val="24"/>
          <w:lang w:val="ro-MD"/>
        </w:rPr>
        <w:t>condiționate atât de lipsa bunurilor deținute de con</w:t>
      </w:r>
      <w:r w:rsidR="00CD2230" w:rsidRPr="00401691">
        <w:rPr>
          <w:rFonts w:asciiTheme="majorHAnsi" w:hAnsiTheme="majorHAnsi" w:cstheme="majorHAnsi"/>
          <w:sz w:val="24"/>
          <w:szCs w:val="24"/>
          <w:lang w:val="ro-MD"/>
        </w:rPr>
        <w:t>tribuabilii restanțieri pasibili</w:t>
      </w:r>
      <w:r w:rsidR="005B2137" w:rsidRPr="00401691">
        <w:rPr>
          <w:rFonts w:asciiTheme="majorHAnsi" w:hAnsiTheme="majorHAnsi" w:cstheme="majorHAnsi"/>
          <w:sz w:val="24"/>
          <w:szCs w:val="24"/>
          <w:lang w:val="ro-MD"/>
        </w:rPr>
        <w:t xml:space="preserve"> executării silite, cât și </w:t>
      </w:r>
      <w:r w:rsidR="00BB57EA">
        <w:rPr>
          <w:rFonts w:asciiTheme="majorHAnsi" w:hAnsiTheme="majorHAnsi" w:cstheme="majorHAnsi"/>
          <w:sz w:val="24"/>
          <w:szCs w:val="24"/>
          <w:lang w:val="ro-MD"/>
        </w:rPr>
        <w:t xml:space="preserve">de </w:t>
      </w:r>
      <w:r w:rsidR="005B2137" w:rsidRPr="00401691">
        <w:rPr>
          <w:rFonts w:asciiTheme="majorHAnsi" w:hAnsiTheme="majorHAnsi" w:cstheme="majorHAnsi"/>
          <w:sz w:val="24"/>
          <w:szCs w:val="24"/>
          <w:lang w:val="ro-MD"/>
        </w:rPr>
        <w:t xml:space="preserve">prezența unor </w:t>
      </w:r>
      <w:r w:rsidR="00910280">
        <w:rPr>
          <w:rFonts w:asciiTheme="majorHAnsi" w:hAnsiTheme="majorHAnsi" w:cstheme="majorHAnsi"/>
          <w:sz w:val="24"/>
          <w:szCs w:val="24"/>
          <w:lang w:val="ro-MD"/>
        </w:rPr>
        <w:t xml:space="preserve">neconcordanțe </w:t>
      </w:r>
      <w:r w:rsidR="005B2137" w:rsidRPr="00401691">
        <w:rPr>
          <w:rFonts w:asciiTheme="majorHAnsi" w:hAnsiTheme="majorHAnsi" w:cstheme="majorHAnsi"/>
          <w:sz w:val="24"/>
          <w:szCs w:val="24"/>
          <w:lang w:val="ro-MD"/>
        </w:rPr>
        <w:t xml:space="preserve">de ordin legislativ, care </w:t>
      </w:r>
      <w:r w:rsidR="003E096B" w:rsidRPr="00401691">
        <w:rPr>
          <w:rFonts w:asciiTheme="majorHAnsi" w:hAnsiTheme="majorHAnsi" w:cstheme="majorHAnsi"/>
          <w:sz w:val="24"/>
          <w:szCs w:val="24"/>
          <w:lang w:val="ro-MD"/>
        </w:rPr>
        <w:t xml:space="preserve">afectează procesul </w:t>
      </w:r>
      <w:r w:rsidR="00BB57EA">
        <w:rPr>
          <w:rFonts w:asciiTheme="majorHAnsi" w:hAnsiTheme="majorHAnsi" w:cstheme="majorHAnsi"/>
          <w:sz w:val="24"/>
          <w:szCs w:val="24"/>
          <w:lang w:val="ro-MD"/>
        </w:rPr>
        <w:t>de</w:t>
      </w:r>
      <w:r w:rsidR="00EB39AA" w:rsidRPr="00401691">
        <w:rPr>
          <w:rFonts w:asciiTheme="majorHAnsi" w:hAnsiTheme="majorHAnsi" w:cstheme="majorHAnsi"/>
          <w:sz w:val="24"/>
          <w:szCs w:val="24"/>
          <w:lang w:val="ro-MD"/>
        </w:rPr>
        <w:t xml:space="preserve"> încasare în termen și oportună a </w:t>
      </w:r>
      <w:r w:rsidR="00433E18" w:rsidRPr="00401691">
        <w:rPr>
          <w:rFonts w:asciiTheme="majorHAnsi" w:hAnsiTheme="majorHAnsi" w:cstheme="majorHAnsi"/>
          <w:sz w:val="24"/>
          <w:szCs w:val="24"/>
          <w:lang w:val="ro-MD"/>
        </w:rPr>
        <w:t>arieratelor</w:t>
      </w:r>
      <w:r w:rsidR="00EB39AA" w:rsidRPr="00401691">
        <w:rPr>
          <w:rFonts w:asciiTheme="majorHAnsi" w:hAnsiTheme="majorHAnsi" w:cstheme="majorHAnsi"/>
          <w:sz w:val="24"/>
          <w:szCs w:val="24"/>
          <w:lang w:val="ro-MD"/>
        </w:rPr>
        <w:t xml:space="preserve"> la buget</w:t>
      </w:r>
      <w:r w:rsidR="00595F0B">
        <w:rPr>
          <w:rFonts w:asciiTheme="majorHAnsi" w:hAnsiTheme="majorHAnsi" w:cstheme="majorHAnsi"/>
          <w:sz w:val="24"/>
          <w:szCs w:val="24"/>
          <w:lang w:val="ro-MD"/>
        </w:rPr>
        <w:t xml:space="preserve"> (pct. 3.2</w:t>
      </w:r>
      <w:r w:rsidR="00BB57EA">
        <w:rPr>
          <w:rFonts w:asciiTheme="majorHAnsi" w:hAnsiTheme="majorHAnsi" w:cstheme="majorHAnsi"/>
          <w:sz w:val="24"/>
          <w:szCs w:val="24"/>
          <w:lang w:val="ro-MD"/>
        </w:rPr>
        <w:t>.</w:t>
      </w:r>
      <w:r w:rsidR="00595F0B">
        <w:rPr>
          <w:rFonts w:asciiTheme="majorHAnsi" w:hAnsiTheme="majorHAnsi" w:cstheme="majorHAnsi"/>
          <w:sz w:val="24"/>
          <w:szCs w:val="24"/>
          <w:lang w:val="ro-MD"/>
        </w:rPr>
        <w:t>)</w:t>
      </w:r>
      <w:r w:rsidR="009C1A11" w:rsidRPr="00401691">
        <w:rPr>
          <w:rFonts w:asciiTheme="majorHAnsi" w:hAnsiTheme="majorHAnsi" w:cstheme="majorHAnsi"/>
          <w:sz w:val="24"/>
          <w:szCs w:val="24"/>
          <w:lang w:val="ro-MD"/>
        </w:rPr>
        <w:t>. În contextul expus</w:t>
      </w:r>
      <w:r w:rsidR="00BB57EA">
        <w:rPr>
          <w:rFonts w:asciiTheme="majorHAnsi" w:hAnsiTheme="majorHAnsi" w:cstheme="majorHAnsi"/>
          <w:sz w:val="24"/>
          <w:szCs w:val="24"/>
          <w:lang w:val="ro-MD"/>
        </w:rPr>
        <w:t>,</w:t>
      </w:r>
      <w:r w:rsidR="009C1A11" w:rsidRPr="00401691">
        <w:rPr>
          <w:rFonts w:asciiTheme="majorHAnsi" w:hAnsiTheme="majorHAnsi" w:cstheme="majorHAnsi"/>
          <w:sz w:val="24"/>
          <w:szCs w:val="24"/>
          <w:lang w:val="ro-MD"/>
        </w:rPr>
        <w:t xml:space="preserve"> se constată:</w:t>
      </w:r>
    </w:p>
    <w:p w:rsidR="005B64F6" w:rsidRPr="00401691" w:rsidRDefault="00EB39AA" w:rsidP="00844145">
      <w:pPr>
        <w:pStyle w:val="ListParagraph"/>
        <w:numPr>
          <w:ilvl w:val="0"/>
          <w:numId w:val="29"/>
        </w:numPr>
        <w:spacing w:after="120" w:line="276" w:lineRule="auto"/>
        <w:contextualSpacing w:val="0"/>
        <w:jc w:val="both"/>
        <w:rPr>
          <w:rFonts w:asciiTheme="majorHAnsi" w:eastAsia="Calibri" w:hAnsiTheme="majorHAnsi" w:cstheme="majorHAnsi"/>
          <w:sz w:val="24"/>
          <w:szCs w:val="24"/>
          <w:lang w:val="ro-MD"/>
        </w:rPr>
      </w:pPr>
      <w:r w:rsidRPr="00401691">
        <w:rPr>
          <w:rFonts w:asciiTheme="majorHAnsi" w:eastAsia="Calibri" w:hAnsiTheme="majorHAnsi" w:cstheme="majorHAnsi"/>
          <w:sz w:val="24"/>
          <w:szCs w:val="24"/>
          <w:lang w:val="ro-MD"/>
        </w:rPr>
        <w:t xml:space="preserve">lipsa unor pârghii legale de responsabilizare a contribuabililor care tergiversează comercializarea bunurilor sechestrate silit de </w:t>
      </w:r>
      <w:r w:rsidR="00BB57EA">
        <w:rPr>
          <w:rFonts w:asciiTheme="majorHAnsi" w:eastAsia="Calibri" w:hAnsiTheme="majorHAnsi" w:cstheme="majorHAnsi"/>
          <w:sz w:val="24"/>
          <w:szCs w:val="24"/>
          <w:lang w:val="ro-MD"/>
        </w:rPr>
        <w:t xml:space="preserve">către </w:t>
      </w:r>
      <w:r w:rsidRPr="00401691">
        <w:rPr>
          <w:rFonts w:asciiTheme="majorHAnsi" w:eastAsia="Calibri" w:hAnsiTheme="majorHAnsi" w:cstheme="majorHAnsi"/>
          <w:sz w:val="24"/>
          <w:szCs w:val="24"/>
          <w:lang w:val="ro-MD"/>
        </w:rPr>
        <w:t>SFS</w:t>
      </w:r>
      <w:r w:rsidR="00BB57EA">
        <w:rPr>
          <w:rFonts w:asciiTheme="majorHAnsi" w:eastAsia="Calibri" w:hAnsiTheme="majorHAnsi" w:cstheme="majorHAnsi"/>
          <w:sz w:val="24"/>
          <w:szCs w:val="24"/>
          <w:lang w:val="ro-MD"/>
        </w:rPr>
        <w:t>, în</w:t>
      </w:r>
      <w:r w:rsidR="00645E14" w:rsidRPr="00401691">
        <w:rPr>
          <w:rFonts w:asciiTheme="majorHAnsi" w:eastAsia="Calibri" w:hAnsiTheme="majorHAnsi" w:cstheme="majorHAnsi"/>
          <w:sz w:val="24"/>
          <w:szCs w:val="24"/>
          <w:lang w:val="ro-MD"/>
        </w:rPr>
        <w:t xml:space="preserve"> rezultat</w:t>
      </w:r>
      <w:r w:rsidR="00BB57EA">
        <w:rPr>
          <w:rFonts w:asciiTheme="majorHAnsi" w:eastAsia="Calibri" w:hAnsiTheme="majorHAnsi" w:cstheme="majorHAnsi"/>
          <w:sz w:val="24"/>
          <w:szCs w:val="24"/>
          <w:lang w:val="ro-MD"/>
        </w:rPr>
        <w:t>ul cărui fapt</w:t>
      </w:r>
      <w:r w:rsidR="00645E14" w:rsidRPr="00401691">
        <w:rPr>
          <w:rFonts w:asciiTheme="majorHAnsi" w:eastAsia="Calibri" w:hAnsiTheme="majorHAnsi" w:cstheme="majorHAnsi"/>
          <w:sz w:val="24"/>
          <w:szCs w:val="24"/>
          <w:lang w:val="ro-MD"/>
        </w:rPr>
        <w:t>,</w:t>
      </w:r>
      <w:r w:rsidR="00544C23" w:rsidRPr="00401691">
        <w:rPr>
          <w:rFonts w:asciiTheme="majorHAnsi" w:eastAsia="Calibri" w:hAnsiTheme="majorHAnsi" w:cstheme="majorHAnsi"/>
          <w:sz w:val="24"/>
          <w:szCs w:val="24"/>
          <w:lang w:val="ro-MD"/>
        </w:rPr>
        <w:t xml:space="preserve"> </w:t>
      </w:r>
      <w:r w:rsidR="00544C23" w:rsidRPr="00401691">
        <w:rPr>
          <w:rFonts w:asciiTheme="majorHAnsi" w:hAnsiTheme="majorHAnsi" w:cstheme="majorHAnsi"/>
          <w:sz w:val="24"/>
          <w:szCs w:val="24"/>
          <w:lang w:val="ro-MD"/>
        </w:rPr>
        <w:t>va</w:t>
      </w:r>
      <w:r w:rsidR="00CD2230" w:rsidRPr="00401691">
        <w:rPr>
          <w:rFonts w:asciiTheme="majorHAnsi" w:hAnsiTheme="majorHAnsi" w:cstheme="majorHAnsi"/>
          <w:sz w:val="24"/>
          <w:szCs w:val="24"/>
          <w:lang w:val="ro-MD"/>
        </w:rPr>
        <w:t>loarea bunurilor comercializate</w:t>
      </w:r>
      <w:r w:rsidR="00544C23" w:rsidRPr="00401691">
        <w:rPr>
          <w:rFonts w:asciiTheme="majorHAnsi" w:hAnsiTheme="majorHAnsi" w:cstheme="majorHAnsi"/>
          <w:sz w:val="24"/>
          <w:szCs w:val="24"/>
          <w:lang w:val="ro-MD"/>
        </w:rPr>
        <w:t xml:space="preserve"> a constituit</w:t>
      </w:r>
      <w:r w:rsidR="00B2454A" w:rsidRPr="00401691">
        <w:rPr>
          <w:rFonts w:asciiTheme="majorHAnsi" w:hAnsiTheme="majorHAnsi" w:cstheme="majorHAnsi"/>
          <w:sz w:val="24"/>
          <w:szCs w:val="24"/>
          <w:lang w:val="ro-MD"/>
        </w:rPr>
        <w:t xml:space="preserve"> doar </w:t>
      </w:r>
      <w:r w:rsidR="00544C23" w:rsidRPr="00401691">
        <w:rPr>
          <w:rFonts w:asciiTheme="majorHAnsi" w:hAnsiTheme="majorHAnsi" w:cstheme="majorHAnsi"/>
          <w:sz w:val="24"/>
          <w:szCs w:val="24"/>
          <w:lang w:val="ro-MD"/>
        </w:rPr>
        <w:t>1,1 mil</w:t>
      </w:r>
      <w:r w:rsidR="00CD2230" w:rsidRPr="00401691">
        <w:rPr>
          <w:rFonts w:asciiTheme="majorHAnsi" w:hAnsiTheme="majorHAnsi" w:cstheme="majorHAnsi"/>
          <w:sz w:val="24"/>
          <w:szCs w:val="24"/>
          <w:lang w:val="ro-MD"/>
        </w:rPr>
        <w:t>.</w:t>
      </w:r>
      <w:r w:rsidR="00544C23" w:rsidRPr="00401691">
        <w:rPr>
          <w:rFonts w:asciiTheme="majorHAnsi" w:hAnsiTheme="majorHAnsi" w:cstheme="majorHAnsi"/>
          <w:sz w:val="24"/>
          <w:szCs w:val="24"/>
          <w:lang w:val="ro-MD"/>
        </w:rPr>
        <w:t xml:space="preserve"> lei, sau 1,0 % din valoarea bunurilor aflate sub sechestru</w:t>
      </w:r>
      <w:r w:rsidR="00645E14" w:rsidRPr="00401691">
        <w:rPr>
          <w:rFonts w:asciiTheme="majorHAnsi" w:hAnsiTheme="majorHAnsi" w:cstheme="majorHAnsi"/>
          <w:sz w:val="24"/>
          <w:szCs w:val="24"/>
          <w:lang w:val="ro-MD"/>
        </w:rPr>
        <w:t xml:space="preserve">, </w:t>
      </w:r>
      <w:r w:rsidR="00BB57EA">
        <w:rPr>
          <w:rFonts w:asciiTheme="majorHAnsi" w:hAnsiTheme="majorHAnsi" w:cstheme="majorHAnsi"/>
          <w:sz w:val="24"/>
          <w:szCs w:val="24"/>
          <w:lang w:val="ro-MD"/>
        </w:rPr>
        <w:t xml:space="preserve">al căror </w:t>
      </w:r>
      <w:r w:rsidR="00645E14" w:rsidRPr="00401691">
        <w:rPr>
          <w:rFonts w:asciiTheme="majorHAnsi" w:hAnsiTheme="majorHAnsi" w:cstheme="majorHAnsi"/>
          <w:sz w:val="24"/>
          <w:szCs w:val="24"/>
          <w:lang w:val="ro-MD"/>
        </w:rPr>
        <w:t>sold</w:t>
      </w:r>
      <w:r w:rsidR="00544C23" w:rsidRPr="00401691">
        <w:rPr>
          <w:rFonts w:asciiTheme="majorHAnsi" w:hAnsiTheme="majorHAnsi" w:cstheme="majorHAnsi"/>
          <w:sz w:val="24"/>
          <w:szCs w:val="24"/>
          <w:lang w:val="ro-MD"/>
        </w:rPr>
        <w:t xml:space="preserve"> </w:t>
      </w:r>
      <w:r w:rsidR="00366AE8">
        <w:rPr>
          <w:rFonts w:asciiTheme="majorHAnsi" w:eastAsia="Calibri" w:hAnsiTheme="majorHAnsi" w:cstheme="majorHAnsi"/>
          <w:sz w:val="24"/>
          <w:szCs w:val="24"/>
          <w:lang w:val="ro-MD"/>
        </w:rPr>
        <w:t xml:space="preserve">la </w:t>
      </w:r>
      <w:r w:rsidR="00872613" w:rsidRPr="00401691">
        <w:rPr>
          <w:rFonts w:asciiTheme="majorHAnsi" w:eastAsia="Calibri" w:hAnsiTheme="majorHAnsi" w:cstheme="majorHAnsi"/>
          <w:sz w:val="24"/>
          <w:szCs w:val="24"/>
          <w:lang w:val="ro-MD"/>
        </w:rPr>
        <w:t>31.12.2019</w:t>
      </w:r>
      <w:r w:rsidR="00872613" w:rsidRPr="00401691">
        <w:rPr>
          <w:rFonts w:asciiTheme="majorHAnsi" w:hAnsiTheme="majorHAnsi" w:cstheme="majorHAnsi"/>
          <w:sz w:val="24"/>
          <w:szCs w:val="24"/>
          <w:lang w:val="ro-MD"/>
        </w:rPr>
        <w:t xml:space="preserve"> a </w:t>
      </w:r>
      <w:r w:rsidR="004119E9">
        <w:rPr>
          <w:rFonts w:asciiTheme="majorHAnsi" w:hAnsiTheme="majorHAnsi" w:cstheme="majorHAnsi"/>
          <w:sz w:val="24"/>
          <w:szCs w:val="24"/>
          <w:lang w:val="ro-MD"/>
        </w:rPr>
        <w:t>însumat</w:t>
      </w:r>
      <w:r w:rsidR="00872613" w:rsidRPr="00401691">
        <w:rPr>
          <w:rFonts w:asciiTheme="majorHAnsi" w:hAnsiTheme="majorHAnsi" w:cstheme="majorHAnsi"/>
          <w:sz w:val="24"/>
          <w:szCs w:val="24"/>
          <w:lang w:val="ro-MD"/>
        </w:rPr>
        <w:t xml:space="preserve"> 114,5 mil</w:t>
      </w:r>
      <w:r w:rsidR="00EA47C1" w:rsidRPr="00401691">
        <w:rPr>
          <w:rFonts w:asciiTheme="majorHAnsi" w:hAnsiTheme="majorHAnsi" w:cstheme="majorHAnsi"/>
          <w:sz w:val="24"/>
          <w:szCs w:val="24"/>
          <w:lang w:val="ro-MD"/>
        </w:rPr>
        <w:t>.</w:t>
      </w:r>
      <w:r w:rsidR="008024B2" w:rsidRPr="00401691">
        <w:rPr>
          <w:rFonts w:asciiTheme="majorHAnsi" w:hAnsiTheme="majorHAnsi" w:cstheme="majorHAnsi"/>
          <w:sz w:val="24"/>
          <w:szCs w:val="24"/>
          <w:lang w:val="ro-MD"/>
        </w:rPr>
        <w:t xml:space="preserve"> lei;</w:t>
      </w:r>
    </w:p>
    <w:p w:rsidR="005B64F6" w:rsidRPr="00401691" w:rsidRDefault="00EB39AA" w:rsidP="00844145">
      <w:pPr>
        <w:pStyle w:val="ListParagraph"/>
        <w:numPr>
          <w:ilvl w:val="0"/>
          <w:numId w:val="29"/>
        </w:numPr>
        <w:spacing w:after="120" w:line="276" w:lineRule="auto"/>
        <w:contextualSpacing w:val="0"/>
        <w:jc w:val="both"/>
        <w:rPr>
          <w:rStyle w:val="ms-rtefontface-3"/>
          <w:rFonts w:asciiTheme="majorHAnsi" w:hAnsiTheme="majorHAnsi" w:cstheme="majorHAnsi"/>
          <w:i/>
          <w:color w:val="1F4E79" w:themeColor="accent1" w:themeShade="80"/>
          <w:sz w:val="24"/>
          <w:szCs w:val="24"/>
          <w:lang w:val="ro-MD"/>
        </w:rPr>
      </w:pPr>
      <w:r w:rsidRPr="00401691">
        <w:rPr>
          <w:rFonts w:asciiTheme="majorHAnsi" w:eastAsia="Calibri" w:hAnsiTheme="majorHAnsi" w:cstheme="majorHAnsi"/>
          <w:sz w:val="24"/>
          <w:szCs w:val="24"/>
          <w:lang w:val="ro-MD"/>
        </w:rPr>
        <w:t xml:space="preserve">nearmonizarea modificărilor </w:t>
      </w:r>
      <w:r w:rsidR="004119E9">
        <w:rPr>
          <w:rFonts w:asciiTheme="majorHAnsi" w:eastAsia="Calibri" w:hAnsiTheme="majorHAnsi" w:cstheme="majorHAnsi"/>
          <w:sz w:val="24"/>
          <w:szCs w:val="24"/>
          <w:lang w:val="ro-MD"/>
        </w:rPr>
        <w:t>oper</w:t>
      </w:r>
      <w:r w:rsidRPr="00401691">
        <w:rPr>
          <w:rFonts w:asciiTheme="majorHAnsi" w:eastAsia="Calibri" w:hAnsiTheme="majorHAnsi" w:cstheme="majorHAnsi"/>
          <w:sz w:val="24"/>
          <w:szCs w:val="24"/>
          <w:lang w:val="ro-MD"/>
        </w:rPr>
        <w:t xml:space="preserve">ate în Codul </w:t>
      </w:r>
      <w:r w:rsidR="004119E9">
        <w:rPr>
          <w:rFonts w:asciiTheme="majorHAnsi" w:eastAsia="Calibri" w:hAnsiTheme="majorHAnsi" w:cstheme="majorHAnsi"/>
          <w:sz w:val="24"/>
          <w:szCs w:val="24"/>
          <w:lang w:val="ro-MD"/>
        </w:rPr>
        <w:t>f</w:t>
      </w:r>
      <w:r w:rsidRPr="00401691">
        <w:rPr>
          <w:rFonts w:asciiTheme="majorHAnsi" w:eastAsia="Calibri" w:hAnsiTheme="majorHAnsi" w:cstheme="majorHAnsi"/>
          <w:sz w:val="24"/>
          <w:szCs w:val="24"/>
          <w:lang w:val="ro-MD"/>
        </w:rPr>
        <w:t>iscal cu prevederile Legii insolvabilității</w:t>
      </w:r>
      <w:r w:rsidR="004119E9">
        <w:rPr>
          <w:rFonts w:asciiTheme="majorHAnsi" w:eastAsia="Calibri" w:hAnsiTheme="majorHAnsi" w:cstheme="majorHAnsi"/>
          <w:sz w:val="24"/>
          <w:szCs w:val="24"/>
          <w:lang w:val="ro-MD"/>
        </w:rPr>
        <w:t>,</w:t>
      </w:r>
      <w:r w:rsidR="00823468" w:rsidRPr="00401691">
        <w:rPr>
          <w:rFonts w:asciiTheme="majorHAnsi" w:eastAsia="Calibri" w:hAnsiTheme="majorHAnsi" w:cstheme="majorHAnsi"/>
          <w:sz w:val="24"/>
          <w:szCs w:val="24"/>
          <w:lang w:val="ro-MD"/>
        </w:rPr>
        <w:t xml:space="preserve"> </w:t>
      </w:r>
      <w:r w:rsidR="004119E9">
        <w:rPr>
          <w:rFonts w:asciiTheme="majorHAnsi" w:eastAsia="Calibri" w:hAnsiTheme="majorHAnsi" w:cstheme="majorHAnsi"/>
          <w:sz w:val="24"/>
          <w:szCs w:val="24"/>
          <w:lang w:val="ro-MD"/>
        </w:rPr>
        <w:t xml:space="preserve">în aspectul </w:t>
      </w:r>
      <w:r w:rsidR="00823468" w:rsidRPr="00401691">
        <w:rPr>
          <w:rFonts w:asciiTheme="majorHAnsi" w:eastAsia="Calibri" w:hAnsiTheme="majorHAnsi" w:cstheme="majorHAnsi"/>
          <w:sz w:val="24"/>
          <w:szCs w:val="24"/>
          <w:lang w:val="ro-MD"/>
        </w:rPr>
        <w:t xml:space="preserve"> urmări</w:t>
      </w:r>
      <w:r w:rsidR="004119E9">
        <w:rPr>
          <w:rFonts w:asciiTheme="majorHAnsi" w:eastAsia="Calibri" w:hAnsiTheme="majorHAnsi" w:cstheme="majorHAnsi"/>
          <w:sz w:val="24"/>
          <w:szCs w:val="24"/>
          <w:lang w:val="ro-MD"/>
        </w:rPr>
        <w:t>rii</w:t>
      </w:r>
      <w:r w:rsidR="00823468" w:rsidRPr="00401691">
        <w:rPr>
          <w:rFonts w:asciiTheme="majorHAnsi" w:eastAsia="Calibri" w:hAnsiTheme="majorHAnsi" w:cstheme="majorHAnsi"/>
          <w:sz w:val="24"/>
          <w:szCs w:val="24"/>
          <w:lang w:val="ro-MD"/>
        </w:rPr>
        <w:t xml:space="preserve"> silit</w:t>
      </w:r>
      <w:r w:rsidR="004119E9">
        <w:rPr>
          <w:rFonts w:asciiTheme="majorHAnsi" w:eastAsia="Calibri" w:hAnsiTheme="majorHAnsi" w:cstheme="majorHAnsi"/>
          <w:sz w:val="24"/>
          <w:szCs w:val="24"/>
          <w:lang w:val="ro-MD"/>
        </w:rPr>
        <w:t>e</w:t>
      </w:r>
      <w:r w:rsidR="00823468" w:rsidRPr="00401691">
        <w:rPr>
          <w:rFonts w:asciiTheme="majorHAnsi" w:eastAsia="Calibri" w:hAnsiTheme="majorHAnsi" w:cstheme="majorHAnsi"/>
          <w:sz w:val="24"/>
          <w:szCs w:val="24"/>
          <w:lang w:val="ro-MD"/>
        </w:rPr>
        <w:t xml:space="preserve"> a datoriilor curente a</w:t>
      </w:r>
      <w:r w:rsidR="004119E9">
        <w:rPr>
          <w:rFonts w:asciiTheme="majorHAnsi" w:eastAsia="Calibri" w:hAnsiTheme="majorHAnsi" w:cstheme="majorHAnsi"/>
          <w:sz w:val="24"/>
          <w:szCs w:val="24"/>
          <w:lang w:val="ro-MD"/>
        </w:rPr>
        <w:t>le</w:t>
      </w:r>
      <w:r w:rsidR="00823468" w:rsidRPr="00401691">
        <w:rPr>
          <w:rFonts w:asciiTheme="majorHAnsi" w:eastAsia="Calibri" w:hAnsiTheme="majorHAnsi" w:cstheme="majorHAnsi"/>
          <w:sz w:val="24"/>
          <w:szCs w:val="24"/>
          <w:lang w:val="ro-MD"/>
        </w:rPr>
        <w:t xml:space="preserve"> contribuabililor insolvabili</w:t>
      </w:r>
      <w:r w:rsidR="007D7226" w:rsidRPr="00401691">
        <w:rPr>
          <w:rFonts w:asciiTheme="majorHAnsi" w:eastAsia="Calibri" w:hAnsiTheme="majorHAnsi" w:cstheme="majorHAnsi"/>
          <w:sz w:val="24"/>
          <w:szCs w:val="24"/>
          <w:lang w:val="ro-MD"/>
        </w:rPr>
        <w:t xml:space="preserve">, care la finele anului 2019 </w:t>
      </w:r>
      <w:r w:rsidR="004119E9">
        <w:rPr>
          <w:rFonts w:asciiTheme="majorHAnsi" w:eastAsia="Calibri" w:hAnsiTheme="majorHAnsi" w:cstheme="majorHAnsi"/>
          <w:sz w:val="24"/>
          <w:szCs w:val="24"/>
          <w:lang w:val="ro-MD"/>
        </w:rPr>
        <w:t xml:space="preserve">au atins </w:t>
      </w:r>
      <w:r w:rsidR="001E1014" w:rsidRPr="00401691">
        <w:rPr>
          <w:rFonts w:asciiTheme="majorHAnsi" w:eastAsia="Calibri" w:hAnsiTheme="majorHAnsi" w:cstheme="majorHAnsi"/>
          <w:sz w:val="24"/>
          <w:szCs w:val="24"/>
          <w:lang w:val="ro-MD"/>
        </w:rPr>
        <w:t xml:space="preserve"> </w:t>
      </w:r>
      <w:r w:rsidR="001E1014" w:rsidRPr="00401691">
        <w:rPr>
          <w:rFonts w:asciiTheme="majorHAnsi" w:eastAsia="Calibri" w:hAnsiTheme="majorHAnsi" w:cstheme="majorHAnsi"/>
          <w:sz w:val="24"/>
          <w:szCs w:val="24"/>
          <w:lang w:val="ro-MD"/>
        </w:rPr>
        <w:lastRenderedPageBreak/>
        <w:t>sum</w:t>
      </w:r>
      <w:r w:rsidR="004119E9">
        <w:rPr>
          <w:rFonts w:asciiTheme="majorHAnsi" w:eastAsia="Calibri" w:hAnsiTheme="majorHAnsi" w:cstheme="majorHAnsi"/>
          <w:sz w:val="24"/>
          <w:szCs w:val="24"/>
          <w:lang w:val="ro-MD"/>
        </w:rPr>
        <w:t>a</w:t>
      </w:r>
      <w:r w:rsidR="001E1014" w:rsidRPr="00401691">
        <w:rPr>
          <w:rFonts w:asciiTheme="majorHAnsi" w:eastAsia="Calibri" w:hAnsiTheme="majorHAnsi" w:cstheme="majorHAnsi"/>
          <w:sz w:val="24"/>
          <w:szCs w:val="24"/>
          <w:lang w:val="ro-MD"/>
        </w:rPr>
        <w:t xml:space="preserve"> de </w:t>
      </w:r>
      <w:r w:rsidR="007D7226" w:rsidRPr="00401691">
        <w:rPr>
          <w:rFonts w:asciiTheme="majorHAnsi" w:eastAsia="Calibri" w:hAnsiTheme="majorHAnsi" w:cstheme="majorHAnsi"/>
          <w:sz w:val="24"/>
          <w:szCs w:val="24"/>
          <w:lang w:val="ro-MD"/>
        </w:rPr>
        <w:t>147,1 mil</w:t>
      </w:r>
      <w:r w:rsidR="00EA47C1" w:rsidRPr="00401691">
        <w:rPr>
          <w:rFonts w:asciiTheme="majorHAnsi" w:eastAsia="Calibri" w:hAnsiTheme="majorHAnsi" w:cstheme="majorHAnsi"/>
          <w:sz w:val="24"/>
          <w:szCs w:val="24"/>
          <w:lang w:val="ro-MD"/>
        </w:rPr>
        <w:t>.</w:t>
      </w:r>
      <w:r w:rsidR="007D7226" w:rsidRPr="00401691">
        <w:rPr>
          <w:rFonts w:asciiTheme="majorHAnsi" w:eastAsia="Calibri" w:hAnsiTheme="majorHAnsi" w:cstheme="majorHAnsi"/>
          <w:sz w:val="24"/>
          <w:szCs w:val="24"/>
          <w:lang w:val="ro-MD"/>
        </w:rPr>
        <w:t xml:space="preserve"> lei</w:t>
      </w:r>
      <w:r w:rsidRPr="00401691">
        <w:rPr>
          <w:rFonts w:asciiTheme="majorHAnsi" w:eastAsia="Calibri" w:hAnsiTheme="majorHAnsi" w:cstheme="majorHAnsi"/>
          <w:sz w:val="24"/>
          <w:szCs w:val="24"/>
          <w:lang w:val="ro-MD"/>
        </w:rPr>
        <w:t>.</w:t>
      </w:r>
      <w:r w:rsidR="007D7226" w:rsidRPr="00401691">
        <w:rPr>
          <w:rFonts w:asciiTheme="majorHAnsi" w:eastAsia="Calibri" w:hAnsiTheme="majorHAnsi" w:cstheme="majorHAnsi"/>
          <w:sz w:val="24"/>
          <w:szCs w:val="24"/>
          <w:lang w:val="ro-MD"/>
        </w:rPr>
        <w:t xml:space="preserve"> Astfel</w:t>
      </w:r>
      <w:r w:rsidR="00B2454A" w:rsidRPr="00401691">
        <w:rPr>
          <w:rFonts w:asciiTheme="majorHAnsi" w:eastAsia="Calibri" w:hAnsiTheme="majorHAnsi" w:cstheme="majorHAnsi"/>
          <w:sz w:val="24"/>
          <w:szCs w:val="24"/>
          <w:lang w:val="ro-MD"/>
        </w:rPr>
        <w:t xml:space="preserve">, SFS </w:t>
      </w:r>
      <w:r w:rsidR="007D7226" w:rsidRPr="00401691">
        <w:rPr>
          <w:rFonts w:asciiTheme="majorHAnsi" w:eastAsia="Calibri" w:hAnsiTheme="majorHAnsi" w:cstheme="majorHAnsi"/>
          <w:sz w:val="24"/>
          <w:szCs w:val="24"/>
          <w:lang w:val="ro-MD"/>
        </w:rPr>
        <w:t xml:space="preserve">a fost limitat în aplicarea tuturor instrumentelor </w:t>
      </w:r>
      <w:r w:rsidR="00B2454A" w:rsidRPr="00401691">
        <w:rPr>
          <w:rFonts w:asciiTheme="majorHAnsi" w:eastAsia="Calibri" w:hAnsiTheme="majorHAnsi" w:cstheme="majorHAnsi"/>
          <w:sz w:val="24"/>
          <w:szCs w:val="24"/>
          <w:lang w:val="ro-MD"/>
        </w:rPr>
        <w:t>de executare silită a obligației fiscale curente</w:t>
      </w:r>
      <w:r w:rsidR="00823468" w:rsidRPr="00401691">
        <w:rPr>
          <w:rFonts w:asciiTheme="majorHAnsi" w:eastAsia="Calibri" w:hAnsiTheme="majorHAnsi" w:cstheme="majorHAnsi"/>
          <w:sz w:val="24"/>
          <w:szCs w:val="24"/>
          <w:lang w:val="ro-MD"/>
        </w:rPr>
        <w:t xml:space="preserve">, </w:t>
      </w:r>
      <w:r w:rsidR="001E1014" w:rsidRPr="00401691">
        <w:rPr>
          <w:rFonts w:asciiTheme="majorHAnsi" w:eastAsia="Calibri" w:hAnsiTheme="majorHAnsi" w:cstheme="majorHAnsi"/>
          <w:sz w:val="24"/>
          <w:szCs w:val="24"/>
          <w:lang w:val="ro-MD"/>
        </w:rPr>
        <w:t xml:space="preserve">fiind influențat nivelul de recuperare, care, pe parcursul anului 2019, a constituit </w:t>
      </w:r>
      <w:r w:rsidR="007D7226" w:rsidRPr="00401691">
        <w:rPr>
          <w:rFonts w:asciiTheme="majorHAnsi" w:eastAsia="Calibri" w:hAnsiTheme="majorHAnsi" w:cstheme="majorHAnsi"/>
          <w:sz w:val="24"/>
          <w:szCs w:val="24"/>
          <w:lang w:val="ro-MD"/>
        </w:rPr>
        <w:t xml:space="preserve">doar 8 % </w:t>
      </w:r>
      <w:r w:rsidR="001E1014" w:rsidRPr="00401691">
        <w:rPr>
          <w:rFonts w:asciiTheme="majorHAnsi" w:eastAsia="Calibri" w:hAnsiTheme="majorHAnsi" w:cstheme="majorHAnsi"/>
          <w:sz w:val="24"/>
          <w:szCs w:val="24"/>
          <w:lang w:val="ro-MD"/>
        </w:rPr>
        <w:t>din valoar</w:t>
      </w:r>
      <w:r w:rsidR="00CD2230" w:rsidRPr="00401691">
        <w:rPr>
          <w:rFonts w:asciiTheme="majorHAnsi" w:eastAsia="Calibri" w:hAnsiTheme="majorHAnsi" w:cstheme="majorHAnsi"/>
          <w:sz w:val="24"/>
          <w:szCs w:val="24"/>
          <w:lang w:val="ro-MD"/>
        </w:rPr>
        <w:t>ea totală a arieratelor curente.</w:t>
      </w:r>
      <w:r w:rsidR="00CD2230" w:rsidRPr="00401691">
        <w:rPr>
          <w:rStyle w:val="ms-rtefontface-3"/>
          <w:rFonts w:asciiTheme="majorHAnsi" w:hAnsiTheme="majorHAnsi" w:cstheme="majorHAnsi"/>
          <w:i/>
          <w:color w:val="1F4E79" w:themeColor="accent1" w:themeShade="80"/>
          <w:sz w:val="24"/>
          <w:szCs w:val="24"/>
          <w:lang w:val="ro-MD"/>
        </w:rPr>
        <w:t xml:space="preserve"> </w:t>
      </w:r>
    </w:p>
    <w:p w:rsidR="003B604D" w:rsidRPr="00401691" w:rsidRDefault="003B604D" w:rsidP="00844145">
      <w:pPr>
        <w:spacing w:before="240" w:line="276" w:lineRule="auto"/>
        <w:jc w:val="both"/>
        <w:rPr>
          <w:rStyle w:val="ms-rtefontface-3"/>
          <w:rFonts w:asciiTheme="majorHAnsi" w:hAnsiTheme="majorHAnsi" w:cstheme="majorHAnsi"/>
          <w:i/>
          <w:color w:val="1F4E79" w:themeColor="accent1" w:themeShade="80"/>
          <w:sz w:val="24"/>
          <w:szCs w:val="24"/>
          <w:lang w:val="ro-MD"/>
        </w:rPr>
      </w:pPr>
      <w:r w:rsidRPr="00932BE7">
        <w:rPr>
          <w:rStyle w:val="ms-rtefontface-3"/>
          <w:rFonts w:asciiTheme="majorHAnsi" w:hAnsiTheme="majorHAnsi" w:cstheme="majorHAnsi"/>
          <w:i/>
          <w:color w:val="1F4E79" w:themeColor="accent1" w:themeShade="80"/>
          <w:sz w:val="24"/>
          <w:szCs w:val="24"/>
          <w:lang w:val="ro-MD"/>
        </w:rPr>
        <w:t>Privind vulnerabilitățile procesului</w:t>
      </w:r>
      <w:r w:rsidRPr="00401691">
        <w:rPr>
          <w:rStyle w:val="ms-rtefontface-3"/>
          <w:rFonts w:asciiTheme="majorHAnsi" w:hAnsiTheme="majorHAnsi" w:cstheme="majorHAnsi"/>
          <w:i/>
          <w:color w:val="1F4E79" w:themeColor="accent1" w:themeShade="80"/>
          <w:sz w:val="24"/>
          <w:szCs w:val="24"/>
          <w:lang w:val="ro-MD"/>
        </w:rPr>
        <w:t xml:space="preserve"> de executare a obligației fiscale de către </w:t>
      </w:r>
      <w:r w:rsidR="00366AE8">
        <w:rPr>
          <w:rStyle w:val="ms-rtefontface-3"/>
          <w:rFonts w:asciiTheme="majorHAnsi" w:hAnsiTheme="majorHAnsi" w:cstheme="majorHAnsi"/>
          <w:i/>
          <w:color w:val="1F4E79" w:themeColor="accent1" w:themeShade="80"/>
          <w:sz w:val="24"/>
          <w:szCs w:val="24"/>
          <w:lang w:val="ro-MD"/>
        </w:rPr>
        <w:t>executorii judecătorești</w:t>
      </w:r>
    </w:p>
    <w:p w:rsidR="003B604D" w:rsidRPr="00401691" w:rsidRDefault="00BB6001" w:rsidP="00844145">
      <w:pPr>
        <w:pStyle w:val="ListParagraph"/>
        <w:numPr>
          <w:ilvl w:val="0"/>
          <w:numId w:val="27"/>
        </w:numPr>
        <w:tabs>
          <w:tab w:val="left" w:pos="180"/>
          <w:tab w:val="left" w:pos="270"/>
          <w:tab w:val="left" w:pos="360"/>
          <w:tab w:val="left" w:pos="450"/>
          <w:tab w:val="left" w:pos="540"/>
        </w:tabs>
        <w:spacing w:after="120" w:line="276" w:lineRule="auto"/>
        <w:ind w:left="0" w:firstLine="0"/>
        <w:contextualSpacing w:val="0"/>
        <w:jc w:val="both"/>
        <w:rPr>
          <w:rFonts w:asciiTheme="majorHAnsi" w:hAnsiTheme="majorHAnsi" w:cstheme="majorHAnsi"/>
          <w:b/>
          <w:i/>
          <w:sz w:val="24"/>
          <w:szCs w:val="24"/>
          <w:lang w:val="ro-MD"/>
        </w:rPr>
      </w:pPr>
      <w:r>
        <w:rPr>
          <w:rFonts w:asciiTheme="majorHAnsi" w:hAnsiTheme="majorHAnsi" w:cstheme="majorHAnsi"/>
          <w:sz w:val="24"/>
          <w:szCs w:val="24"/>
          <w:lang w:val="ro-MD"/>
        </w:rPr>
        <w:t xml:space="preserve"> </w:t>
      </w:r>
      <w:r w:rsidR="002967F5" w:rsidRPr="00401691">
        <w:rPr>
          <w:rFonts w:asciiTheme="majorHAnsi" w:hAnsiTheme="majorHAnsi" w:cstheme="majorHAnsi"/>
          <w:sz w:val="24"/>
          <w:szCs w:val="24"/>
          <w:lang w:val="ro-MD"/>
        </w:rPr>
        <w:t>Deși, urmare implementării recomandărilor Curții de Conturi, SFS și-a intensificat controlul asupra respectării</w:t>
      </w:r>
      <w:r w:rsidR="00CE5C6C" w:rsidRPr="00401691">
        <w:rPr>
          <w:rFonts w:asciiTheme="majorHAnsi" w:hAnsiTheme="majorHAnsi" w:cstheme="majorHAnsi"/>
          <w:sz w:val="24"/>
          <w:szCs w:val="24"/>
          <w:lang w:val="ro-MD"/>
        </w:rPr>
        <w:t xml:space="preserve"> de către executorii judecătorești a </w:t>
      </w:r>
      <w:r w:rsidR="002967F5" w:rsidRPr="00401691">
        <w:rPr>
          <w:rFonts w:asciiTheme="majorHAnsi" w:hAnsiTheme="majorHAnsi" w:cstheme="majorHAnsi"/>
          <w:sz w:val="24"/>
          <w:szCs w:val="24"/>
          <w:lang w:val="ro-MD"/>
        </w:rPr>
        <w:t>cadrului legal aferent executării silite a restanțelor la buget, prezentul audit</w:t>
      </w:r>
      <w:r w:rsidR="00894534" w:rsidRPr="00401691">
        <w:rPr>
          <w:rFonts w:asciiTheme="majorHAnsi" w:hAnsiTheme="majorHAnsi" w:cstheme="majorHAnsi"/>
          <w:sz w:val="24"/>
          <w:szCs w:val="24"/>
          <w:lang w:val="ro-MD"/>
        </w:rPr>
        <w:t xml:space="preserve"> </w:t>
      </w:r>
      <w:r w:rsidR="002967F5" w:rsidRPr="00401691">
        <w:rPr>
          <w:rFonts w:asciiTheme="majorHAnsi" w:hAnsiTheme="majorHAnsi" w:cstheme="majorHAnsi"/>
          <w:sz w:val="24"/>
          <w:szCs w:val="24"/>
          <w:lang w:val="ro-MD"/>
        </w:rPr>
        <w:t xml:space="preserve">a constatat că </w:t>
      </w:r>
      <w:r w:rsidR="00894534" w:rsidRPr="00401691">
        <w:rPr>
          <w:rFonts w:asciiTheme="majorHAnsi" w:hAnsiTheme="majorHAnsi" w:cstheme="majorHAnsi"/>
          <w:sz w:val="24"/>
          <w:szCs w:val="24"/>
          <w:lang w:val="ro-MD"/>
        </w:rPr>
        <w:t xml:space="preserve">acest </w:t>
      </w:r>
      <w:r w:rsidR="00936482" w:rsidRPr="00401691">
        <w:rPr>
          <w:rFonts w:asciiTheme="majorHAnsi" w:hAnsiTheme="majorHAnsi" w:cstheme="majorHAnsi"/>
          <w:sz w:val="24"/>
          <w:szCs w:val="24"/>
          <w:lang w:val="ro-MD"/>
        </w:rPr>
        <w:t>proces</w:t>
      </w:r>
      <w:r w:rsidR="00DC22E2" w:rsidRPr="00401691">
        <w:rPr>
          <w:rFonts w:asciiTheme="majorHAnsi" w:hAnsiTheme="majorHAnsi" w:cstheme="majorHAnsi"/>
          <w:sz w:val="24"/>
          <w:szCs w:val="24"/>
          <w:lang w:val="ro-MD"/>
        </w:rPr>
        <w:t>,</w:t>
      </w:r>
      <w:r w:rsidR="00CE5C6C" w:rsidRPr="00401691">
        <w:rPr>
          <w:rFonts w:asciiTheme="majorHAnsi" w:hAnsiTheme="majorHAnsi" w:cstheme="majorHAnsi"/>
          <w:sz w:val="24"/>
          <w:szCs w:val="24"/>
          <w:lang w:val="ro-MD"/>
        </w:rPr>
        <w:t xml:space="preserve"> pe unele segme</w:t>
      </w:r>
      <w:r w:rsidR="00DC22E2" w:rsidRPr="00401691">
        <w:rPr>
          <w:rFonts w:asciiTheme="majorHAnsi" w:hAnsiTheme="majorHAnsi" w:cstheme="majorHAnsi"/>
          <w:sz w:val="24"/>
          <w:szCs w:val="24"/>
          <w:lang w:val="ro-MD"/>
        </w:rPr>
        <w:t>nte,</w:t>
      </w:r>
      <w:r w:rsidR="00936482" w:rsidRPr="00401691">
        <w:rPr>
          <w:rFonts w:asciiTheme="majorHAnsi" w:hAnsiTheme="majorHAnsi" w:cstheme="majorHAnsi"/>
          <w:sz w:val="24"/>
          <w:szCs w:val="24"/>
          <w:lang w:val="ro-MD"/>
        </w:rPr>
        <w:t xml:space="preserve"> </w:t>
      </w:r>
      <w:r w:rsidR="002967F5" w:rsidRPr="00401691">
        <w:rPr>
          <w:rFonts w:asciiTheme="majorHAnsi" w:hAnsiTheme="majorHAnsi" w:cstheme="majorHAnsi"/>
          <w:sz w:val="24"/>
          <w:szCs w:val="24"/>
          <w:lang w:val="ro-MD"/>
        </w:rPr>
        <w:t>rămâne</w:t>
      </w:r>
      <w:r w:rsidR="00894534" w:rsidRPr="00401691">
        <w:rPr>
          <w:rFonts w:asciiTheme="majorHAnsi" w:hAnsiTheme="majorHAnsi" w:cstheme="majorHAnsi"/>
          <w:sz w:val="24"/>
          <w:szCs w:val="24"/>
          <w:lang w:val="ro-MD"/>
        </w:rPr>
        <w:t xml:space="preserve"> în continuare</w:t>
      </w:r>
      <w:r w:rsidR="002967F5" w:rsidRPr="00401691">
        <w:rPr>
          <w:rFonts w:asciiTheme="majorHAnsi" w:hAnsiTheme="majorHAnsi" w:cstheme="majorHAnsi"/>
          <w:sz w:val="24"/>
          <w:szCs w:val="24"/>
          <w:lang w:val="ro-MD"/>
        </w:rPr>
        <w:t xml:space="preserve"> afectat și</w:t>
      </w:r>
      <w:r w:rsidR="00936482" w:rsidRPr="00401691">
        <w:rPr>
          <w:rFonts w:asciiTheme="majorHAnsi" w:hAnsiTheme="majorHAnsi" w:cstheme="majorHAnsi"/>
          <w:sz w:val="24"/>
          <w:szCs w:val="24"/>
          <w:lang w:val="ro-MD"/>
        </w:rPr>
        <w:t xml:space="preserve"> compromis de mai multe încălcări</w:t>
      </w:r>
      <w:r w:rsidR="002967F5" w:rsidRPr="00401691">
        <w:rPr>
          <w:rFonts w:asciiTheme="majorHAnsi" w:hAnsiTheme="majorHAnsi" w:cstheme="majorHAnsi"/>
          <w:sz w:val="24"/>
          <w:szCs w:val="24"/>
          <w:lang w:val="ro-MD"/>
        </w:rPr>
        <w:t>, inclusiv de riscuri de fraudă</w:t>
      </w:r>
      <w:r w:rsidR="009C64A2">
        <w:rPr>
          <w:rFonts w:asciiTheme="majorHAnsi" w:hAnsiTheme="majorHAnsi" w:cstheme="majorHAnsi"/>
          <w:sz w:val="24"/>
          <w:szCs w:val="24"/>
          <w:lang w:val="ro-MD"/>
        </w:rPr>
        <w:t xml:space="preserve"> (pct.3.3</w:t>
      </w:r>
      <w:r w:rsidR="00BB57EA">
        <w:rPr>
          <w:rFonts w:asciiTheme="majorHAnsi" w:hAnsiTheme="majorHAnsi" w:cstheme="majorHAnsi"/>
          <w:sz w:val="24"/>
          <w:szCs w:val="24"/>
          <w:lang w:val="ro-MD"/>
        </w:rPr>
        <w:t>.</w:t>
      </w:r>
      <w:r w:rsidR="009C64A2">
        <w:rPr>
          <w:rFonts w:asciiTheme="majorHAnsi" w:hAnsiTheme="majorHAnsi" w:cstheme="majorHAnsi"/>
          <w:sz w:val="24"/>
          <w:szCs w:val="24"/>
          <w:lang w:val="ro-MD"/>
        </w:rPr>
        <w:t>)</w:t>
      </w:r>
      <w:r w:rsidR="002967F5" w:rsidRPr="00401691">
        <w:rPr>
          <w:rFonts w:asciiTheme="majorHAnsi" w:hAnsiTheme="majorHAnsi" w:cstheme="majorHAnsi"/>
          <w:sz w:val="24"/>
          <w:szCs w:val="24"/>
          <w:lang w:val="ro-MD"/>
        </w:rPr>
        <w:t>.</w:t>
      </w:r>
    </w:p>
    <w:p w:rsidR="0042369E" w:rsidRPr="0067477E" w:rsidRDefault="00A92473" w:rsidP="00D570EA">
      <w:pPr>
        <w:pStyle w:val="ListParagraph"/>
        <w:numPr>
          <w:ilvl w:val="0"/>
          <w:numId w:val="27"/>
        </w:numPr>
        <w:tabs>
          <w:tab w:val="left" w:pos="180"/>
          <w:tab w:val="left" w:pos="270"/>
          <w:tab w:val="left" w:pos="360"/>
          <w:tab w:val="left" w:pos="450"/>
          <w:tab w:val="left" w:pos="540"/>
        </w:tabs>
        <w:spacing w:after="120" w:line="276" w:lineRule="auto"/>
        <w:ind w:left="0" w:firstLine="0"/>
        <w:contextualSpacing w:val="0"/>
        <w:jc w:val="both"/>
        <w:rPr>
          <w:rFonts w:asciiTheme="majorHAnsi" w:hAnsiTheme="majorHAnsi" w:cstheme="majorHAnsi"/>
          <w:b/>
          <w:i/>
          <w:sz w:val="24"/>
          <w:szCs w:val="24"/>
          <w:lang w:val="ro-MD"/>
        </w:rPr>
      </w:pPr>
      <w:r w:rsidRPr="0067477E">
        <w:rPr>
          <w:rFonts w:asciiTheme="majorHAnsi" w:hAnsiTheme="majorHAnsi" w:cstheme="majorHAnsi"/>
          <w:sz w:val="24"/>
          <w:szCs w:val="24"/>
          <w:lang w:val="ro-MD"/>
        </w:rPr>
        <w:t>Un instrument pe larg utilizat de organul fiscal privind încasarea la buget a obligației fiscale constituie remiterea documentelor executorii către executorii judecătorești, inclusiv</w:t>
      </w:r>
      <w:r w:rsidR="0051116A" w:rsidRPr="0067477E">
        <w:rPr>
          <w:rFonts w:asciiTheme="majorHAnsi" w:hAnsiTheme="majorHAnsi" w:cstheme="majorHAnsi"/>
          <w:sz w:val="24"/>
          <w:szCs w:val="24"/>
          <w:lang w:val="ro-MD"/>
        </w:rPr>
        <w:t xml:space="preserve"> </w:t>
      </w:r>
      <w:r w:rsidRPr="0067477E">
        <w:rPr>
          <w:rFonts w:asciiTheme="majorHAnsi" w:hAnsiTheme="majorHAnsi" w:cstheme="majorHAnsi"/>
          <w:sz w:val="24"/>
          <w:szCs w:val="24"/>
          <w:lang w:val="ro-MD"/>
        </w:rPr>
        <w:t xml:space="preserve">prin alăturarea la procedura de urmărire a bunurilor. </w:t>
      </w:r>
      <w:r w:rsidR="00BD10FD" w:rsidRPr="0067477E">
        <w:rPr>
          <w:rFonts w:asciiTheme="majorHAnsi" w:hAnsiTheme="majorHAnsi" w:cstheme="majorHAnsi"/>
          <w:sz w:val="24"/>
          <w:szCs w:val="24"/>
          <w:lang w:val="ro-MD"/>
        </w:rPr>
        <w:t xml:space="preserve">La situația din 31.12.2019, </w:t>
      </w:r>
      <w:r w:rsidR="0051116A" w:rsidRPr="0067477E">
        <w:rPr>
          <w:rFonts w:asciiTheme="majorHAnsi" w:hAnsiTheme="majorHAnsi" w:cstheme="majorHAnsi"/>
          <w:sz w:val="24"/>
          <w:szCs w:val="24"/>
          <w:lang w:val="ro-MD"/>
        </w:rPr>
        <w:t>potrivit datelor SFS</w:t>
      </w:r>
      <w:r w:rsidR="006A5773" w:rsidRPr="0067477E">
        <w:rPr>
          <w:rFonts w:asciiTheme="majorHAnsi" w:hAnsiTheme="majorHAnsi" w:cstheme="majorHAnsi"/>
          <w:sz w:val="24"/>
          <w:szCs w:val="24"/>
          <w:lang w:val="ro-MD"/>
        </w:rPr>
        <w:t xml:space="preserve">, executorii judecătorești aveau în </w:t>
      </w:r>
      <w:r w:rsidR="0067477E" w:rsidRPr="0067477E">
        <w:rPr>
          <w:rFonts w:asciiTheme="majorHAnsi" w:hAnsiTheme="majorHAnsi" w:cstheme="majorHAnsi"/>
          <w:sz w:val="24"/>
          <w:szCs w:val="24"/>
          <w:lang w:val="ro-MD"/>
        </w:rPr>
        <w:t xml:space="preserve">procedură </w:t>
      </w:r>
      <w:r w:rsidR="006A5773" w:rsidRPr="0067477E">
        <w:rPr>
          <w:rFonts w:asciiTheme="majorHAnsi" w:hAnsiTheme="majorHAnsi" w:cstheme="majorHAnsi"/>
          <w:sz w:val="24"/>
          <w:szCs w:val="24"/>
          <w:lang w:val="ro-MD"/>
        </w:rPr>
        <w:t>1711 d</w:t>
      </w:r>
      <w:r w:rsidR="00BD10FD" w:rsidRPr="0067477E">
        <w:rPr>
          <w:rFonts w:asciiTheme="majorHAnsi" w:hAnsiTheme="majorHAnsi" w:cstheme="majorHAnsi"/>
          <w:sz w:val="24"/>
          <w:szCs w:val="24"/>
          <w:lang w:val="ro-MD"/>
        </w:rPr>
        <w:t>ocumente executorii</w:t>
      </w:r>
      <w:r w:rsidR="0067477E" w:rsidRPr="0067477E">
        <w:rPr>
          <w:rFonts w:asciiTheme="majorHAnsi" w:hAnsiTheme="majorHAnsi" w:cstheme="majorHAnsi"/>
          <w:sz w:val="24"/>
          <w:szCs w:val="24"/>
          <w:lang w:val="ro-MD"/>
        </w:rPr>
        <w:t xml:space="preserve"> emise de organul fiscal</w:t>
      </w:r>
      <w:r w:rsidR="004E5A6D">
        <w:rPr>
          <w:rFonts w:asciiTheme="majorHAnsi" w:hAnsiTheme="majorHAnsi" w:cstheme="majorHAnsi"/>
          <w:sz w:val="24"/>
          <w:szCs w:val="24"/>
          <w:lang w:val="ro-MD"/>
        </w:rPr>
        <w:t>,</w:t>
      </w:r>
      <w:r w:rsidR="00BD10FD" w:rsidRPr="0067477E">
        <w:rPr>
          <w:rFonts w:asciiTheme="majorHAnsi" w:hAnsiTheme="majorHAnsi" w:cstheme="majorHAnsi"/>
          <w:sz w:val="24"/>
          <w:szCs w:val="24"/>
          <w:lang w:val="ro-MD"/>
        </w:rPr>
        <w:t xml:space="preserve"> </w:t>
      </w:r>
      <w:r w:rsidR="00366AE8">
        <w:rPr>
          <w:rFonts w:asciiTheme="majorHAnsi" w:hAnsiTheme="majorHAnsi" w:cstheme="majorHAnsi"/>
          <w:sz w:val="24"/>
          <w:szCs w:val="24"/>
          <w:lang w:val="ro-MD"/>
        </w:rPr>
        <w:t>în valoare de 1091,6 mil. lei,</w:t>
      </w:r>
      <w:r w:rsidR="006A5773" w:rsidRPr="0067477E">
        <w:rPr>
          <w:rFonts w:asciiTheme="majorHAnsi" w:hAnsiTheme="majorHAnsi" w:cstheme="majorHAnsi"/>
          <w:sz w:val="24"/>
          <w:szCs w:val="24"/>
          <w:lang w:val="ro-MD"/>
        </w:rPr>
        <w:t xml:space="preserve"> fiind intentate proceduri de executare în cazul a 439 </w:t>
      </w:r>
      <w:r w:rsidR="004E5A6D">
        <w:rPr>
          <w:rFonts w:asciiTheme="majorHAnsi" w:hAnsiTheme="majorHAnsi" w:cstheme="majorHAnsi"/>
          <w:sz w:val="24"/>
          <w:szCs w:val="24"/>
          <w:lang w:val="ro-MD"/>
        </w:rPr>
        <w:t xml:space="preserve">de </w:t>
      </w:r>
      <w:r w:rsidR="006A5773" w:rsidRPr="0067477E">
        <w:rPr>
          <w:rFonts w:asciiTheme="majorHAnsi" w:hAnsiTheme="majorHAnsi" w:cstheme="majorHAnsi"/>
          <w:sz w:val="24"/>
          <w:szCs w:val="24"/>
          <w:lang w:val="ro-MD"/>
        </w:rPr>
        <w:t>documente în sumă de 408,6 mil</w:t>
      </w:r>
      <w:r w:rsidR="00BB32D7">
        <w:rPr>
          <w:rFonts w:asciiTheme="majorHAnsi" w:hAnsiTheme="majorHAnsi" w:cstheme="majorHAnsi"/>
          <w:sz w:val="24"/>
          <w:szCs w:val="24"/>
          <w:lang w:val="ro-MD"/>
        </w:rPr>
        <w:t>.</w:t>
      </w:r>
      <w:r w:rsidR="006A5773" w:rsidRPr="0067477E">
        <w:rPr>
          <w:rFonts w:asciiTheme="majorHAnsi" w:hAnsiTheme="majorHAnsi" w:cstheme="majorHAnsi"/>
          <w:sz w:val="24"/>
          <w:szCs w:val="24"/>
          <w:lang w:val="ro-MD"/>
        </w:rPr>
        <w:t xml:space="preserve"> lei</w:t>
      </w:r>
      <w:r w:rsidR="0067477E" w:rsidRPr="0067477E">
        <w:rPr>
          <w:rFonts w:asciiTheme="majorHAnsi" w:hAnsiTheme="majorHAnsi" w:cstheme="majorHAnsi"/>
          <w:sz w:val="24"/>
          <w:szCs w:val="24"/>
          <w:lang w:val="ro-MD"/>
        </w:rPr>
        <w:t xml:space="preserve">, </w:t>
      </w:r>
      <w:r w:rsidR="00334C33" w:rsidRPr="0067477E">
        <w:rPr>
          <w:rFonts w:asciiTheme="majorHAnsi" w:hAnsiTheme="majorHAnsi" w:cstheme="majorHAnsi"/>
          <w:sz w:val="24"/>
          <w:szCs w:val="24"/>
          <w:lang w:val="ro-MD"/>
        </w:rPr>
        <w:t xml:space="preserve">din care </w:t>
      </w:r>
      <w:r w:rsidR="004E5A6D">
        <w:rPr>
          <w:rFonts w:asciiTheme="majorHAnsi" w:hAnsiTheme="majorHAnsi" w:cstheme="majorHAnsi"/>
          <w:sz w:val="24"/>
          <w:szCs w:val="24"/>
          <w:lang w:val="ro-MD"/>
        </w:rPr>
        <w:t>s-</w:t>
      </w:r>
      <w:r w:rsidR="00334C33" w:rsidRPr="0067477E">
        <w:rPr>
          <w:rFonts w:asciiTheme="majorHAnsi" w:hAnsiTheme="majorHAnsi" w:cstheme="majorHAnsi"/>
          <w:sz w:val="24"/>
          <w:szCs w:val="24"/>
          <w:lang w:val="ro-MD"/>
        </w:rPr>
        <w:t>au restituit la buget</w:t>
      </w:r>
      <w:r w:rsidR="0042369E" w:rsidRPr="0067477E">
        <w:rPr>
          <w:rFonts w:asciiTheme="majorHAnsi" w:hAnsiTheme="majorHAnsi" w:cstheme="majorHAnsi"/>
          <w:sz w:val="24"/>
          <w:szCs w:val="24"/>
          <w:lang w:val="ro-MD"/>
        </w:rPr>
        <w:t xml:space="preserve"> 26,6 mil. lei, ce constituie </w:t>
      </w:r>
      <w:r w:rsidR="0067477E">
        <w:rPr>
          <w:rFonts w:asciiTheme="majorHAnsi" w:hAnsiTheme="majorHAnsi" w:cstheme="majorHAnsi"/>
          <w:sz w:val="24"/>
          <w:szCs w:val="24"/>
          <w:lang w:val="ro-MD"/>
        </w:rPr>
        <w:t xml:space="preserve">6,5%. </w:t>
      </w:r>
      <w:r w:rsidR="009C64A2" w:rsidRPr="0067477E">
        <w:rPr>
          <w:rFonts w:asciiTheme="majorHAnsi" w:hAnsiTheme="majorHAnsi" w:cstheme="majorHAnsi"/>
          <w:sz w:val="24"/>
          <w:szCs w:val="24"/>
          <w:lang w:val="ro-MD"/>
        </w:rPr>
        <w:t>(pct.3.3</w:t>
      </w:r>
      <w:r w:rsidR="00932BE7">
        <w:rPr>
          <w:rFonts w:asciiTheme="majorHAnsi" w:hAnsiTheme="majorHAnsi" w:cstheme="majorHAnsi"/>
          <w:sz w:val="24"/>
          <w:szCs w:val="24"/>
          <w:lang w:val="ro-MD"/>
        </w:rPr>
        <w:t>.</w:t>
      </w:r>
      <w:r w:rsidR="009C64A2" w:rsidRPr="0067477E">
        <w:rPr>
          <w:rFonts w:asciiTheme="majorHAnsi" w:hAnsiTheme="majorHAnsi" w:cstheme="majorHAnsi"/>
          <w:sz w:val="24"/>
          <w:szCs w:val="24"/>
          <w:lang w:val="ro-MD"/>
        </w:rPr>
        <w:t>)</w:t>
      </w:r>
      <w:r w:rsidR="0042369E" w:rsidRPr="0067477E">
        <w:rPr>
          <w:rFonts w:asciiTheme="majorHAnsi" w:hAnsiTheme="majorHAnsi" w:cstheme="majorHAnsi"/>
          <w:sz w:val="24"/>
          <w:szCs w:val="24"/>
          <w:lang w:val="ro-MD"/>
        </w:rPr>
        <w:t>.</w:t>
      </w:r>
    </w:p>
    <w:p w:rsidR="00CE5C6C" w:rsidRPr="00401691" w:rsidRDefault="00CE5C6C" w:rsidP="00844145">
      <w:pPr>
        <w:pStyle w:val="ListParagraph"/>
        <w:numPr>
          <w:ilvl w:val="0"/>
          <w:numId w:val="27"/>
        </w:numPr>
        <w:tabs>
          <w:tab w:val="left" w:pos="180"/>
          <w:tab w:val="left" w:pos="270"/>
          <w:tab w:val="left" w:pos="360"/>
          <w:tab w:val="left" w:pos="450"/>
          <w:tab w:val="left" w:pos="540"/>
        </w:tabs>
        <w:spacing w:after="120" w:line="276" w:lineRule="auto"/>
        <w:ind w:left="0" w:firstLine="0"/>
        <w:contextualSpacing w:val="0"/>
        <w:jc w:val="both"/>
        <w:rPr>
          <w:rFonts w:asciiTheme="majorHAnsi" w:hAnsiTheme="majorHAnsi" w:cstheme="majorHAnsi"/>
          <w:b/>
          <w:i/>
          <w:sz w:val="24"/>
          <w:szCs w:val="24"/>
          <w:lang w:val="ro-MD"/>
        </w:rPr>
      </w:pPr>
      <w:r w:rsidRPr="00401691">
        <w:rPr>
          <w:rFonts w:asciiTheme="majorHAnsi" w:hAnsiTheme="majorHAnsi" w:cstheme="majorHAnsi"/>
          <w:sz w:val="24"/>
          <w:szCs w:val="24"/>
          <w:lang w:val="ro-MD"/>
        </w:rPr>
        <w:t xml:space="preserve">Verificările </w:t>
      </w:r>
      <w:r w:rsidR="00174EDB">
        <w:rPr>
          <w:rFonts w:asciiTheme="majorHAnsi" w:hAnsiTheme="majorHAnsi" w:cstheme="majorHAnsi"/>
          <w:sz w:val="24"/>
          <w:szCs w:val="24"/>
          <w:lang w:val="ro-MD"/>
        </w:rPr>
        <w:t>auditului a</w:t>
      </w:r>
      <w:r w:rsidR="004E5A6D">
        <w:rPr>
          <w:rFonts w:asciiTheme="majorHAnsi" w:hAnsiTheme="majorHAnsi" w:cstheme="majorHAnsi"/>
          <w:sz w:val="24"/>
          <w:szCs w:val="24"/>
          <w:lang w:val="ro-MD"/>
        </w:rPr>
        <w:t>supra</w:t>
      </w:r>
      <w:r w:rsidRPr="00401691">
        <w:rPr>
          <w:rFonts w:asciiTheme="majorHAnsi" w:hAnsiTheme="majorHAnsi" w:cstheme="majorHAnsi"/>
          <w:sz w:val="24"/>
          <w:szCs w:val="24"/>
          <w:lang w:val="ro-MD"/>
        </w:rPr>
        <w:t xml:space="preserve"> </w:t>
      </w:r>
      <w:r w:rsidR="0051116A" w:rsidRPr="00401691">
        <w:rPr>
          <w:rFonts w:asciiTheme="majorHAnsi" w:hAnsiTheme="majorHAnsi" w:cstheme="majorHAnsi"/>
          <w:sz w:val="24"/>
          <w:szCs w:val="24"/>
          <w:lang w:val="ro-MD"/>
        </w:rPr>
        <w:t xml:space="preserve">opt documente executorii </w:t>
      </w:r>
      <w:r w:rsidR="00A20BCD" w:rsidRPr="00401691">
        <w:rPr>
          <w:rFonts w:asciiTheme="majorHAnsi" w:hAnsiTheme="majorHAnsi" w:cstheme="majorHAnsi"/>
          <w:sz w:val="24"/>
          <w:szCs w:val="24"/>
          <w:lang w:val="ro-MD"/>
        </w:rPr>
        <w:t xml:space="preserve">în valoare de </w:t>
      </w:r>
      <w:r w:rsidR="0051116A" w:rsidRPr="00401691">
        <w:rPr>
          <w:rFonts w:asciiTheme="majorHAnsi" w:hAnsiTheme="majorHAnsi" w:cstheme="majorHAnsi"/>
          <w:sz w:val="24"/>
          <w:szCs w:val="24"/>
          <w:lang w:val="ro-MD"/>
        </w:rPr>
        <w:t>70,9 mil</w:t>
      </w:r>
      <w:r w:rsidR="00A20BCD" w:rsidRPr="00401691">
        <w:rPr>
          <w:rFonts w:asciiTheme="majorHAnsi" w:hAnsiTheme="majorHAnsi" w:cstheme="majorHAnsi"/>
          <w:sz w:val="24"/>
          <w:szCs w:val="24"/>
          <w:lang w:val="ro-MD"/>
        </w:rPr>
        <w:t>.</w:t>
      </w:r>
      <w:r w:rsidR="0051116A" w:rsidRPr="00401691">
        <w:rPr>
          <w:rFonts w:asciiTheme="majorHAnsi" w:hAnsiTheme="majorHAnsi" w:cstheme="majorHAnsi"/>
          <w:sz w:val="24"/>
          <w:szCs w:val="24"/>
          <w:lang w:val="ro-MD"/>
        </w:rPr>
        <w:t xml:space="preserve"> lei</w:t>
      </w:r>
      <w:r w:rsidRPr="00401691">
        <w:rPr>
          <w:rFonts w:asciiTheme="majorHAnsi" w:hAnsiTheme="majorHAnsi" w:cstheme="majorHAnsi"/>
          <w:sz w:val="24"/>
          <w:szCs w:val="24"/>
          <w:lang w:val="ro-MD"/>
        </w:rPr>
        <w:t>,</w:t>
      </w:r>
      <w:r w:rsidR="0051116A" w:rsidRPr="00401691">
        <w:rPr>
          <w:rFonts w:asciiTheme="majorHAnsi" w:hAnsiTheme="majorHAnsi" w:cstheme="majorHAnsi"/>
          <w:sz w:val="24"/>
          <w:szCs w:val="24"/>
          <w:lang w:val="ro-MD"/>
        </w:rPr>
        <w:t xml:space="preserve"> gestionate de către executorii </w:t>
      </w:r>
      <w:r w:rsidR="0051116A" w:rsidRPr="00401691">
        <w:rPr>
          <w:rFonts w:asciiTheme="majorHAnsi" w:hAnsiTheme="majorHAnsi" w:cstheme="majorHAnsi"/>
          <w:sz w:val="24"/>
          <w:szCs w:val="24"/>
          <w:lang w:val="ro-MD"/>
        </w:rPr>
        <w:lastRenderedPageBreak/>
        <w:t xml:space="preserve">judecătorești, au </w:t>
      </w:r>
      <w:r w:rsidRPr="00401691">
        <w:rPr>
          <w:rFonts w:asciiTheme="majorHAnsi" w:hAnsiTheme="majorHAnsi" w:cstheme="majorHAnsi"/>
          <w:sz w:val="24"/>
          <w:szCs w:val="24"/>
          <w:lang w:val="ro-MD"/>
        </w:rPr>
        <w:t xml:space="preserve">identificat </w:t>
      </w:r>
      <w:r w:rsidR="0051116A" w:rsidRPr="00401691">
        <w:rPr>
          <w:rFonts w:asciiTheme="majorHAnsi" w:hAnsiTheme="majorHAnsi" w:cstheme="majorHAnsi"/>
          <w:sz w:val="24"/>
          <w:szCs w:val="24"/>
          <w:lang w:val="ro-MD"/>
        </w:rPr>
        <w:t>suspiciuni rezonabile de fraudă în actele/ materialele emise de un executor judecătoresc</w:t>
      </w:r>
      <w:r w:rsidR="008B7D15">
        <w:rPr>
          <w:rFonts w:asciiTheme="majorHAnsi" w:hAnsiTheme="majorHAnsi" w:cstheme="majorHAnsi"/>
          <w:sz w:val="24"/>
          <w:szCs w:val="24"/>
          <w:lang w:val="ro-MD"/>
        </w:rPr>
        <w:t xml:space="preserve"> (pct.3.3</w:t>
      </w:r>
      <w:r w:rsidR="00932BE7">
        <w:rPr>
          <w:rFonts w:asciiTheme="majorHAnsi" w:hAnsiTheme="majorHAnsi" w:cstheme="majorHAnsi"/>
          <w:sz w:val="24"/>
          <w:szCs w:val="24"/>
          <w:lang w:val="ro-MD"/>
        </w:rPr>
        <w:t>.</w:t>
      </w:r>
      <w:r w:rsidR="008B7D15">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Astfel: </w:t>
      </w:r>
    </w:p>
    <w:p w:rsidR="005B64F6" w:rsidRPr="00401691" w:rsidRDefault="000C2128" w:rsidP="00844145">
      <w:pPr>
        <w:pStyle w:val="ListParagraph"/>
        <w:numPr>
          <w:ilvl w:val="0"/>
          <w:numId w:val="30"/>
        </w:numPr>
        <w:spacing w:after="120" w:line="276" w:lineRule="auto"/>
        <w:contextualSpacing w:val="0"/>
        <w:jc w:val="both"/>
        <w:rPr>
          <w:rFonts w:asciiTheme="majorHAnsi" w:hAnsiTheme="majorHAnsi" w:cstheme="majorHAnsi"/>
          <w:sz w:val="24"/>
          <w:szCs w:val="24"/>
          <w:shd w:val="clear" w:color="auto" w:fill="FFFFFF"/>
          <w:lang w:val="ro-MD"/>
        </w:rPr>
      </w:pPr>
      <w:r w:rsidRPr="00401691">
        <w:rPr>
          <w:rFonts w:asciiTheme="majorHAnsi" w:hAnsiTheme="majorHAnsi" w:cstheme="majorHAnsi"/>
          <w:sz w:val="24"/>
          <w:szCs w:val="24"/>
          <w:shd w:val="clear" w:color="auto" w:fill="FFFFFF"/>
          <w:lang w:val="ro-MD"/>
        </w:rPr>
        <w:t>Î</w:t>
      </w:r>
      <w:r w:rsidR="0051116A" w:rsidRPr="00401691">
        <w:rPr>
          <w:rFonts w:asciiTheme="majorHAnsi" w:hAnsiTheme="majorHAnsi" w:cstheme="majorHAnsi"/>
          <w:sz w:val="24"/>
          <w:szCs w:val="24"/>
          <w:shd w:val="clear" w:color="auto" w:fill="FFFFFF"/>
          <w:lang w:val="ro-MD"/>
        </w:rPr>
        <w:t xml:space="preserve">n </w:t>
      </w:r>
      <w:r w:rsidR="00425CB3" w:rsidRPr="00401691">
        <w:rPr>
          <w:rFonts w:asciiTheme="majorHAnsi" w:hAnsiTheme="majorHAnsi" w:cstheme="majorHAnsi"/>
          <w:sz w:val="24"/>
          <w:szCs w:val="24"/>
          <w:shd w:val="clear" w:color="auto" w:fill="FFFFFF"/>
          <w:lang w:val="ro-MD"/>
        </w:rPr>
        <w:t xml:space="preserve">cadrul </w:t>
      </w:r>
      <w:r w:rsidR="0051116A" w:rsidRPr="00401691">
        <w:rPr>
          <w:rFonts w:asciiTheme="majorHAnsi" w:hAnsiTheme="majorHAnsi" w:cstheme="majorHAnsi"/>
          <w:sz w:val="24"/>
          <w:szCs w:val="24"/>
          <w:shd w:val="clear" w:color="auto" w:fill="FFFFFF"/>
          <w:lang w:val="ro-MD"/>
        </w:rPr>
        <w:t>procedur</w:t>
      </w:r>
      <w:r w:rsidR="00425CB3" w:rsidRPr="00401691">
        <w:rPr>
          <w:rFonts w:asciiTheme="majorHAnsi" w:hAnsiTheme="majorHAnsi" w:cstheme="majorHAnsi"/>
          <w:sz w:val="24"/>
          <w:szCs w:val="24"/>
          <w:shd w:val="clear" w:color="auto" w:fill="FFFFFF"/>
          <w:lang w:val="ro-MD"/>
        </w:rPr>
        <w:t>ii</w:t>
      </w:r>
      <w:r w:rsidRPr="00401691">
        <w:rPr>
          <w:rFonts w:asciiTheme="majorHAnsi" w:hAnsiTheme="majorHAnsi" w:cstheme="majorHAnsi"/>
          <w:sz w:val="24"/>
          <w:szCs w:val="24"/>
          <w:shd w:val="clear" w:color="auto" w:fill="FFFFFF"/>
          <w:lang w:val="ro-MD"/>
        </w:rPr>
        <w:t xml:space="preserve"> de recuperare a </w:t>
      </w:r>
      <w:r w:rsidR="0051116A" w:rsidRPr="00401691">
        <w:rPr>
          <w:rFonts w:asciiTheme="majorHAnsi" w:hAnsiTheme="majorHAnsi" w:cstheme="majorHAnsi"/>
          <w:sz w:val="24"/>
          <w:szCs w:val="24"/>
          <w:shd w:val="clear" w:color="auto" w:fill="FFFFFF"/>
          <w:lang w:val="ro-MD"/>
        </w:rPr>
        <w:t xml:space="preserve">restanței </w:t>
      </w:r>
      <w:r w:rsidRPr="00401691">
        <w:rPr>
          <w:rFonts w:asciiTheme="majorHAnsi" w:hAnsiTheme="majorHAnsi" w:cstheme="majorHAnsi"/>
          <w:sz w:val="24"/>
          <w:szCs w:val="24"/>
          <w:shd w:val="clear" w:color="auto" w:fill="FFFFFF"/>
          <w:lang w:val="ro-MD"/>
        </w:rPr>
        <w:t xml:space="preserve">în </w:t>
      </w:r>
      <w:r w:rsidR="004E5A6D">
        <w:rPr>
          <w:rFonts w:asciiTheme="majorHAnsi" w:hAnsiTheme="majorHAnsi" w:cstheme="majorHAnsi"/>
          <w:sz w:val="24"/>
          <w:szCs w:val="24"/>
          <w:shd w:val="clear" w:color="auto" w:fill="FFFFFF"/>
          <w:lang w:val="ro-MD"/>
        </w:rPr>
        <w:t>sumă</w:t>
      </w:r>
      <w:r w:rsidR="0051116A" w:rsidRPr="00401691">
        <w:rPr>
          <w:rFonts w:asciiTheme="majorHAnsi" w:hAnsiTheme="majorHAnsi" w:cstheme="majorHAnsi"/>
          <w:sz w:val="24"/>
          <w:szCs w:val="24"/>
          <w:shd w:val="clear" w:color="auto" w:fill="FFFFFF"/>
          <w:lang w:val="ro-MD"/>
        </w:rPr>
        <w:t xml:space="preserve"> de 13,3 mil</w:t>
      </w:r>
      <w:r w:rsidR="00C21FCE">
        <w:rPr>
          <w:rFonts w:asciiTheme="majorHAnsi" w:hAnsiTheme="majorHAnsi" w:cstheme="majorHAnsi"/>
          <w:sz w:val="24"/>
          <w:szCs w:val="24"/>
          <w:shd w:val="clear" w:color="auto" w:fill="FFFFFF"/>
          <w:lang w:val="ro-MD"/>
        </w:rPr>
        <w:t>.</w:t>
      </w:r>
      <w:r w:rsidR="0051116A" w:rsidRPr="00401691">
        <w:rPr>
          <w:rFonts w:asciiTheme="majorHAnsi" w:hAnsiTheme="majorHAnsi" w:cstheme="majorHAnsi"/>
          <w:sz w:val="24"/>
          <w:szCs w:val="24"/>
          <w:shd w:val="clear" w:color="auto" w:fill="FFFFFF"/>
          <w:lang w:val="ro-MD"/>
        </w:rPr>
        <w:t xml:space="preserve"> lei</w:t>
      </w:r>
      <w:r w:rsidRPr="00401691">
        <w:rPr>
          <w:rFonts w:asciiTheme="majorHAnsi" w:hAnsiTheme="majorHAnsi" w:cstheme="majorHAnsi"/>
          <w:sz w:val="24"/>
          <w:szCs w:val="24"/>
          <w:shd w:val="clear" w:color="auto" w:fill="FFFFFF"/>
          <w:lang w:val="ro-MD"/>
        </w:rPr>
        <w:t xml:space="preserve">, </w:t>
      </w:r>
      <w:r w:rsidR="00A20BCD" w:rsidRPr="00401691">
        <w:rPr>
          <w:rFonts w:asciiTheme="majorHAnsi" w:hAnsiTheme="majorHAnsi" w:cstheme="majorHAnsi"/>
          <w:sz w:val="24"/>
          <w:szCs w:val="24"/>
          <w:shd w:val="clear" w:color="auto" w:fill="FFFFFF"/>
          <w:lang w:val="ro-MD"/>
        </w:rPr>
        <w:t xml:space="preserve">în anul 2018, </w:t>
      </w:r>
      <w:r w:rsidR="0051116A" w:rsidRPr="00401691">
        <w:rPr>
          <w:rFonts w:asciiTheme="majorHAnsi" w:hAnsiTheme="majorHAnsi" w:cstheme="majorHAnsi"/>
          <w:sz w:val="24"/>
          <w:szCs w:val="24"/>
          <w:shd w:val="clear" w:color="auto" w:fill="FFFFFF"/>
          <w:lang w:val="ro-MD"/>
        </w:rPr>
        <w:t>executorul judecătoresc</w:t>
      </w:r>
      <w:r w:rsidR="004E5A6D">
        <w:rPr>
          <w:rFonts w:asciiTheme="majorHAnsi" w:hAnsiTheme="majorHAnsi" w:cstheme="majorHAnsi"/>
          <w:sz w:val="24"/>
          <w:szCs w:val="24"/>
          <w:shd w:val="clear" w:color="auto" w:fill="FFFFFF"/>
          <w:lang w:val="ro-MD"/>
        </w:rPr>
        <w:t>,</w:t>
      </w:r>
      <w:r w:rsidR="00425CB3" w:rsidRPr="00401691">
        <w:rPr>
          <w:rFonts w:asciiTheme="majorHAnsi" w:hAnsiTheme="majorHAnsi" w:cstheme="majorHAnsi"/>
          <w:sz w:val="24"/>
          <w:szCs w:val="24"/>
          <w:shd w:val="clear" w:color="auto" w:fill="FFFFFF"/>
          <w:lang w:val="ro-MD"/>
        </w:rPr>
        <w:t xml:space="preserve"> fiind</w:t>
      </w:r>
      <w:r w:rsidR="0051116A" w:rsidRPr="00401691">
        <w:rPr>
          <w:rFonts w:asciiTheme="majorHAnsi" w:hAnsiTheme="majorHAnsi" w:cstheme="majorHAnsi"/>
          <w:sz w:val="24"/>
          <w:szCs w:val="24"/>
          <w:shd w:val="clear" w:color="auto" w:fill="FFFFFF"/>
          <w:lang w:val="ro-MD"/>
        </w:rPr>
        <w:t xml:space="preserve"> asistat de angajații SFS</w:t>
      </w:r>
      <w:r w:rsidR="004E5A6D">
        <w:rPr>
          <w:rFonts w:asciiTheme="majorHAnsi" w:hAnsiTheme="majorHAnsi" w:cstheme="majorHAnsi"/>
          <w:sz w:val="24"/>
          <w:szCs w:val="24"/>
          <w:shd w:val="clear" w:color="auto" w:fill="FFFFFF"/>
          <w:lang w:val="ro-MD"/>
        </w:rPr>
        <w:t>,</w:t>
      </w:r>
      <w:r w:rsidR="0051116A" w:rsidRPr="00401691">
        <w:rPr>
          <w:rFonts w:asciiTheme="majorHAnsi" w:hAnsiTheme="majorHAnsi" w:cstheme="majorHAnsi"/>
          <w:sz w:val="24"/>
          <w:szCs w:val="24"/>
          <w:shd w:val="clear" w:color="auto" w:fill="FFFFFF"/>
          <w:lang w:val="ro-MD"/>
        </w:rPr>
        <w:t xml:space="preserve"> a</w:t>
      </w:r>
      <w:r w:rsidR="00A20BCD" w:rsidRPr="00401691">
        <w:rPr>
          <w:rFonts w:asciiTheme="majorHAnsi" w:hAnsiTheme="majorHAnsi" w:cstheme="majorHAnsi"/>
          <w:sz w:val="24"/>
          <w:szCs w:val="24"/>
          <w:shd w:val="clear" w:color="auto" w:fill="FFFFFF"/>
          <w:lang w:val="ro-MD"/>
        </w:rPr>
        <w:t xml:space="preserve"> sechestrat/ridicat articole </w:t>
      </w:r>
      <w:r w:rsidR="0051116A" w:rsidRPr="00401691">
        <w:rPr>
          <w:rFonts w:asciiTheme="majorHAnsi" w:hAnsiTheme="majorHAnsi" w:cstheme="majorHAnsi"/>
          <w:sz w:val="24"/>
          <w:szCs w:val="24"/>
          <w:shd w:val="clear" w:color="auto" w:fill="FFFFFF"/>
          <w:lang w:val="ro-MD"/>
        </w:rPr>
        <w:t>din metale prețioase (aur și argint, alte bunuri) în valoare totală de 7,5 mil</w:t>
      </w:r>
      <w:r w:rsidR="00A20BCD" w:rsidRPr="00401691">
        <w:rPr>
          <w:rFonts w:asciiTheme="majorHAnsi" w:hAnsiTheme="majorHAnsi" w:cstheme="majorHAnsi"/>
          <w:sz w:val="24"/>
          <w:szCs w:val="24"/>
          <w:shd w:val="clear" w:color="auto" w:fill="FFFFFF"/>
          <w:lang w:val="ro-MD"/>
        </w:rPr>
        <w:t>.</w:t>
      </w:r>
      <w:r w:rsidR="0051116A" w:rsidRPr="00401691">
        <w:rPr>
          <w:rFonts w:asciiTheme="majorHAnsi" w:hAnsiTheme="majorHAnsi" w:cstheme="majorHAnsi"/>
          <w:sz w:val="24"/>
          <w:szCs w:val="24"/>
          <w:shd w:val="clear" w:color="auto" w:fill="FFFFFF"/>
          <w:lang w:val="ro-MD"/>
        </w:rPr>
        <w:t xml:space="preserve"> lei</w:t>
      </w:r>
      <w:r w:rsidR="00425CB3" w:rsidRPr="00401691">
        <w:rPr>
          <w:rFonts w:asciiTheme="majorHAnsi" w:hAnsiTheme="majorHAnsi" w:cstheme="majorHAnsi"/>
          <w:sz w:val="24"/>
          <w:szCs w:val="24"/>
          <w:shd w:val="clear" w:color="auto" w:fill="FFFFFF"/>
          <w:lang w:val="ro-MD"/>
        </w:rPr>
        <w:t>. Contrar art.118 alin. (2) din Codul de executare, documentele</w:t>
      </w:r>
      <w:r w:rsidR="00A20BCD" w:rsidRPr="00401691">
        <w:rPr>
          <w:rFonts w:asciiTheme="majorHAnsi" w:hAnsiTheme="majorHAnsi" w:cstheme="majorHAnsi"/>
          <w:sz w:val="24"/>
          <w:szCs w:val="24"/>
          <w:shd w:val="clear" w:color="auto" w:fill="FFFFFF"/>
          <w:lang w:val="ro-MD"/>
        </w:rPr>
        <w:t xml:space="preserve"> de sechestru nu conțineau</w:t>
      </w:r>
      <w:r w:rsidR="00425CB3" w:rsidRPr="00401691">
        <w:rPr>
          <w:rFonts w:asciiTheme="majorHAnsi" w:hAnsiTheme="majorHAnsi" w:cstheme="majorHAnsi"/>
          <w:sz w:val="24"/>
          <w:szCs w:val="24"/>
          <w:shd w:val="clear" w:color="auto" w:fill="FFFFFF"/>
          <w:lang w:val="ro-MD"/>
        </w:rPr>
        <w:t xml:space="preserve"> informația referitor la elementele de individualizare pentru fiecare bijuterie</w:t>
      </w:r>
      <w:r w:rsidR="005B64F6" w:rsidRPr="00401691">
        <w:rPr>
          <w:rFonts w:asciiTheme="majorHAnsi" w:hAnsiTheme="majorHAnsi" w:cstheme="majorHAnsi"/>
          <w:sz w:val="24"/>
          <w:szCs w:val="24"/>
          <w:shd w:val="clear" w:color="auto" w:fill="FFFFFF"/>
          <w:lang w:val="ro-MD"/>
        </w:rPr>
        <w:t>, greutatea și prețul acestora</w:t>
      </w:r>
      <w:r w:rsidR="00460185">
        <w:rPr>
          <w:rFonts w:asciiTheme="majorHAnsi" w:hAnsiTheme="majorHAnsi" w:cstheme="majorHAnsi"/>
          <w:sz w:val="24"/>
          <w:szCs w:val="24"/>
          <w:shd w:val="clear" w:color="auto" w:fill="FFFFFF"/>
          <w:lang w:val="ro-MD"/>
        </w:rPr>
        <w:t>.</w:t>
      </w:r>
    </w:p>
    <w:p w:rsidR="00161100" w:rsidRPr="008A4309" w:rsidRDefault="00711926" w:rsidP="00844145">
      <w:pPr>
        <w:pStyle w:val="ListParagraph"/>
        <w:numPr>
          <w:ilvl w:val="0"/>
          <w:numId w:val="30"/>
        </w:numPr>
        <w:spacing w:after="120" w:line="276" w:lineRule="auto"/>
        <w:contextualSpacing w:val="0"/>
        <w:jc w:val="both"/>
        <w:rPr>
          <w:rFonts w:asciiTheme="majorHAnsi" w:hAnsiTheme="majorHAnsi" w:cstheme="majorHAnsi"/>
          <w:sz w:val="24"/>
          <w:szCs w:val="24"/>
          <w:lang w:val="ro-MD"/>
        </w:rPr>
      </w:pPr>
      <w:r w:rsidRPr="00161100">
        <w:rPr>
          <w:rFonts w:asciiTheme="majorHAnsi" w:hAnsiTheme="majorHAnsi" w:cstheme="majorHAnsi"/>
          <w:sz w:val="24"/>
          <w:szCs w:val="24"/>
          <w:shd w:val="clear" w:color="auto" w:fill="FFFFFF"/>
          <w:lang w:val="ro-MD"/>
        </w:rPr>
        <w:t xml:space="preserve">Executorul judecătoresc a transmis ilegal </w:t>
      </w:r>
      <w:r w:rsidR="00255487" w:rsidRPr="00161100">
        <w:rPr>
          <w:rFonts w:asciiTheme="majorHAnsi" w:hAnsiTheme="majorHAnsi" w:cstheme="majorHAnsi"/>
          <w:sz w:val="24"/>
          <w:szCs w:val="24"/>
          <w:shd w:val="clear" w:color="auto" w:fill="FFFFFF"/>
          <w:lang w:val="ro-MD"/>
        </w:rPr>
        <w:t xml:space="preserve">bunurile </w:t>
      </w:r>
      <w:r w:rsidR="0051116A" w:rsidRPr="00161100">
        <w:rPr>
          <w:rFonts w:asciiTheme="majorHAnsi" w:hAnsiTheme="majorHAnsi" w:cstheme="majorHAnsi"/>
          <w:sz w:val="24"/>
          <w:szCs w:val="24"/>
          <w:shd w:val="clear" w:color="auto" w:fill="FFFFFF"/>
          <w:lang w:val="ro-MD"/>
        </w:rPr>
        <w:t>spre comercializare</w:t>
      </w:r>
      <w:r w:rsidR="000C2128" w:rsidRPr="00161100">
        <w:rPr>
          <w:rFonts w:asciiTheme="majorHAnsi" w:hAnsiTheme="majorHAnsi" w:cstheme="majorHAnsi"/>
          <w:sz w:val="24"/>
          <w:szCs w:val="24"/>
          <w:shd w:val="clear" w:color="auto" w:fill="FFFFFF"/>
          <w:lang w:val="ro-MD"/>
        </w:rPr>
        <w:t xml:space="preserve"> </w:t>
      </w:r>
      <w:r w:rsidR="00F43057" w:rsidRPr="00161100">
        <w:rPr>
          <w:rFonts w:asciiTheme="majorHAnsi" w:hAnsiTheme="majorHAnsi" w:cstheme="majorHAnsi"/>
          <w:sz w:val="24"/>
          <w:szCs w:val="24"/>
          <w:shd w:val="clear" w:color="auto" w:fill="FFFFFF"/>
          <w:lang w:val="ro-MD"/>
        </w:rPr>
        <w:t xml:space="preserve">în </w:t>
      </w:r>
      <w:r w:rsidRPr="00161100">
        <w:rPr>
          <w:rFonts w:asciiTheme="majorHAnsi" w:hAnsiTheme="majorHAnsi" w:cstheme="majorHAnsi"/>
          <w:sz w:val="24"/>
          <w:szCs w:val="24"/>
          <w:shd w:val="clear" w:color="auto" w:fill="FFFFFF"/>
          <w:lang w:val="ro-MD"/>
        </w:rPr>
        <w:t xml:space="preserve">condiții de </w:t>
      </w:r>
      <w:r w:rsidR="00F43057" w:rsidRPr="00161100">
        <w:rPr>
          <w:rFonts w:asciiTheme="majorHAnsi" w:hAnsiTheme="majorHAnsi" w:cstheme="majorHAnsi"/>
          <w:sz w:val="24"/>
          <w:szCs w:val="24"/>
          <w:shd w:val="clear" w:color="auto" w:fill="FFFFFF"/>
          <w:lang w:val="ro-MD"/>
        </w:rPr>
        <w:t>consignație</w:t>
      </w:r>
      <w:r w:rsidR="008A4309" w:rsidRPr="008A4309">
        <w:rPr>
          <w:rFonts w:asciiTheme="majorHAnsi" w:hAnsiTheme="majorHAnsi" w:cstheme="majorHAnsi"/>
          <w:sz w:val="24"/>
          <w:szCs w:val="24"/>
          <w:shd w:val="clear" w:color="auto" w:fill="FFFFFF"/>
          <w:lang w:val="ro-MD"/>
        </w:rPr>
        <w:t xml:space="preserve"> </w:t>
      </w:r>
      <w:r w:rsidR="008A4309" w:rsidRPr="00161100">
        <w:rPr>
          <w:rFonts w:asciiTheme="majorHAnsi" w:hAnsiTheme="majorHAnsi" w:cstheme="majorHAnsi"/>
          <w:sz w:val="24"/>
          <w:szCs w:val="24"/>
          <w:shd w:val="clear" w:color="auto" w:fill="FFFFFF"/>
          <w:lang w:val="ro-MD"/>
        </w:rPr>
        <w:t>unui agent economic</w:t>
      </w:r>
      <w:r w:rsidR="00F43057" w:rsidRPr="00161100">
        <w:rPr>
          <w:rFonts w:asciiTheme="majorHAnsi" w:hAnsiTheme="majorHAnsi" w:cstheme="majorHAnsi"/>
          <w:sz w:val="24"/>
          <w:szCs w:val="24"/>
          <w:shd w:val="clear" w:color="auto" w:fill="FFFFFF"/>
          <w:lang w:val="ro-MD"/>
        </w:rPr>
        <w:t xml:space="preserve">, </w:t>
      </w:r>
      <w:r w:rsidR="008A4309">
        <w:rPr>
          <w:rFonts w:asciiTheme="majorHAnsi" w:hAnsiTheme="majorHAnsi" w:cstheme="majorHAnsi"/>
          <w:sz w:val="24"/>
          <w:szCs w:val="24"/>
          <w:shd w:val="clear" w:color="auto" w:fill="FFFFFF"/>
          <w:lang w:val="ro-MD"/>
        </w:rPr>
        <w:t xml:space="preserve">care nu </w:t>
      </w:r>
      <w:r w:rsidRPr="00161100">
        <w:rPr>
          <w:rFonts w:asciiTheme="majorHAnsi" w:hAnsiTheme="majorHAnsi" w:cstheme="majorHAnsi"/>
          <w:sz w:val="24"/>
          <w:szCs w:val="24"/>
          <w:shd w:val="clear" w:color="auto" w:fill="FFFFFF"/>
          <w:lang w:val="ro-MD"/>
        </w:rPr>
        <w:t>dispun</w:t>
      </w:r>
      <w:r w:rsidR="008A4309">
        <w:rPr>
          <w:rFonts w:asciiTheme="majorHAnsi" w:hAnsiTheme="majorHAnsi" w:cstheme="majorHAnsi"/>
          <w:sz w:val="24"/>
          <w:szCs w:val="24"/>
          <w:shd w:val="clear" w:color="auto" w:fill="FFFFFF"/>
          <w:lang w:val="ro-MD"/>
        </w:rPr>
        <w:t>e</w:t>
      </w:r>
      <w:r w:rsidRPr="00161100">
        <w:rPr>
          <w:rFonts w:asciiTheme="majorHAnsi" w:hAnsiTheme="majorHAnsi" w:cstheme="majorHAnsi"/>
          <w:sz w:val="24"/>
          <w:szCs w:val="24"/>
          <w:shd w:val="clear" w:color="auto" w:fill="FFFFFF"/>
          <w:lang w:val="ro-MD"/>
        </w:rPr>
        <w:t xml:space="preserve"> </w:t>
      </w:r>
      <w:r w:rsidR="00210F19" w:rsidRPr="00161100">
        <w:rPr>
          <w:rFonts w:asciiTheme="majorHAnsi" w:hAnsiTheme="majorHAnsi" w:cstheme="majorHAnsi"/>
          <w:sz w:val="24"/>
          <w:szCs w:val="24"/>
          <w:shd w:val="clear" w:color="auto" w:fill="FFFFFF"/>
          <w:lang w:val="ro-MD"/>
        </w:rPr>
        <w:t xml:space="preserve">de magazin </w:t>
      </w:r>
      <w:r w:rsidR="00F43057" w:rsidRPr="00161100">
        <w:rPr>
          <w:rFonts w:asciiTheme="majorHAnsi" w:hAnsiTheme="majorHAnsi" w:cstheme="majorHAnsi"/>
          <w:sz w:val="24"/>
          <w:szCs w:val="24"/>
          <w:shd w:val="clear" w:color="auto" w:fill="FFFFFF"/>
          <w:lang w:val="ro-MD"/>
        </w:rPr>
        <w:t xml:space="preserve">specializat în comercializarea </w:t>
      </w:r>
      <w:r w:rsidR="00F43057" w:rsidRPr="008A4309">
        <w:rPr>
          <w:rFonts w:asciiTheme="majorHAnsi" w:hAnsiTheme="majorHAnsi" w:cstheme="majorHAnsi"/>
          <w:sz w:val="24"/>
          <w:szCs w:val="24"/>
          <w:shd w:val="clear" w:color="auto" w:fill="FFFFFF"/>
          <w:lang w:val="ro-MD"/>
        </w:rPr>
        <w:t>bijuteriilor</w:t>
      </w:r>
      <w:r w:rsidRPr="008A4309">
        <w:rPr>
          <w:rFonts w:asciiTheme="majorHAnsi" w:hAnsiTheme="majorHAnsi" w:cstheme="majorHAnsi"/>
          <w:sz w:val="24"/>
          <w:szCs w:val="24"/>
          <w:shd w:val="clear" w:color="auto" w:fill="FFFFFF"/>
          <w:lang w:val="ro-MD"/>
        </w:rPr>
        <w:t xml:space="preserve"> și care și-a ridicat licența</w:t>
      </w:r>
      <w:r w:rsidRPr="000649B1">
        <w:rPr>
          <w:rFonts w:asciiTheme="majorHAnsi" w:hAnsiTheme="majorHAnsi" w:cstheme="majorHAnsi"/>
          <w:sz w:val="24"/>
          <w:szCs w:val="24"/>
          <w:shd w:val="clear" w:color="auto" w:fill="FFFFFF"/>
          <w:lang w:val="ro-MD"/>
        </w:rPr>
        <w:t xml:space="preserve"> de</w:t>
      </w:r>
      <w:r w:rsidR="005F310C" w:rsidRPr="000649B1">
        <w:rPr>
          <w:rFonts w:asciiTheme="majorHAnsi" w:hAnsiTheme="majorHAnsi" w:cstheme="majorHAnsi"/>
          <w:sz w:val="24"/>
          <w:szCs w:val="24"/>
          <w:shd w:val="clear" w:color="auto" w:fill="FFFFFF"/>
          <w:lang w:val="ro-MD"/>
        </w:rPr>
        <w:t xml:space="preserve"> activitate cu metale și pietre prețioase c</w:t>
      </w:r>
      <w:r w:rsidR="00AB6E66" w:rsidRPr="005C6CCE">
        <w:rPr>
          <w:rFonts w:asciiTheme="majorHAnsi" w:hAnsiTheme="majorHAnsi" w:cstheme="majorHAnsi"/>
          <w:sz w:val="24"/>
          <w:szCs w:val="24"/>
          <w:shd w:val="clear" w:color="auto" w:fill="FFFFFF"/>
          <w:lang w:val="ro-MD"/>
        </w:rPr>
        <w:t xml:space="preserve">u 8 zile înainte </w:t>
      </w:r>
      <w:r w:rsidR="00AB6E66" w:rsidRPr="00AF3D3A">
        <w:rPr>
          <w:rFonts w:asciiTheme="majorHAnsi" w:hAnsiTheme="majorHAnsi" w:cstheme="majorHAnsi"/>
          <w:sz w:val="24"/>
          <w:szCs w:val="24"/>
          <w:shd w:val="clear" w:color="auto" w:fill="FFFFFF"/>
          <w:lang w:val="ro-MD"/>
        </w:rPr>
        <w:t>de a fi înche</w:t>
      </w:r>
      <w:r w:rsidR="00A030BB" w:rsidRPr="008A4309">
        <w:rPr>
          <w:rFonts w:asciiTheme="majorHAnsi" w:hAnsiTheme="majorHAnsi" w:cstheme="majorHAnsi"/>
          <w:sz w:val="24"/>
          <w:szCs w:val="24"/>
          <w:shd w:val="clear" w:color="auto" w:fill="FFFFFF"/>
          <w:lang w:val="ro-MD"/>
        </w:rPr>
        <w:t xml:space="preserve">iat contractul </w:t>
      </w:r>
      <w:r w:rsidR="005B64F6" w:rsidRPr="008A4309">
        <w:rPr>
          <w:rFonts w:asciiTheme="majorHAnsi" w:hAnsiTheme="majorHAnsi" w:cstheme="majorHAnsi"/>
          <w:sz w:val="24"/>
          <w:szCs w:val="24"/>
          <w:shd w:val="clear" w:color="auto" w:fill="FFFFFF"/>
          <w:lang w:val="ro-MD"/>
        </w:rPr>
        <w:t>de consignație</w:t>
      </w:r>
      <w:r w:rsidR="00460185" w:rsidRPr="008A4309">
        <w:rPr>
          <w:rFonts w:asciiTheme="majorHAnsi" w:hAnsiTheme="majorHAnsi" w:cstheme="majorHAnsi"/>
          <w:sz w:val="24"/>
          <w:szCs w:val="24"/>
          <w:shd w:val="clear" w:color="auto" w:fill="FFFFFF"/>
          <w:lang w:val="ro-MD"/>
        </w:rPr>
        <w:t>.</w:t>
      </w:r>
    </w:p>
    <w:p w:rsidR="00161100" w:rsidRPr="00161100" w:rsidRDefault="00AB6E66" w:rsidP="00844145">
      <w:pPr>
        <w:pStyle w:val="ListParagraph"/>
        <w:numPr>
          <w:ilvl w:val="0"/>
          <w:numId w:val="30"/>
        </w:numPr>
        <w:spacing w:after="120" w:line="276" w:lineRule="auto"/>
        <w:contextualSpacing w:val="0"/>
        <w:jc w:val="both"/>
        <w:rPr>
          <w:rFonts w:asciiTheme="majorHAnsi" w:hAnsiTheme="majorHAnsi" w:cstheme="majorHAnsi"/>
          <w:sz w:val="24"/>
          <w:szCs w:val="24"/>
          <w:lang w:val="ro-MD"/>
        </w:rPr>
      </w:pPr>
      <w:r w:rsidRPr="008A4309">
        <w:rPr>
          <w:rFonts w:asciiTheme="majorHAnsi" w:hAnsiTheme="majorHAnsi" w:cstheme="majorHAnsi"/>
          <w:sz w:val="24"/>
          <w:szCs w:val="24"/>
          <w:shd w:val="clear" w:color="auto" w:fill="FFFFFF"/>
          <w:lang w:val="ro-MD"/>
        </w:rPr>
        <w:t>Î</w:t>
      </w:r>
      <w:r w:rsidR="00DB50D3" w:rsidRPr="008A4309">
        <w:rPr>
          <w:rFonts w:asciiTheme="majorHAnsi" w:hAnsiTheme="majorHAnsi" w:cstheme="majorHAnsi"/>
          <w:sz w:val="24"/>
          <w:szCs w:val="24"/>
          <w:shd w:val="clear" w:color="auto" w:fill="FFFFFF"/>
          <w:lang w:val="ro-MD"/>
        </w:rPr>
        <w:t>n perioada instituirii stării de urgentă epidemiologică în țară, executorul judecăto</w:t>
      </w:r>
      <w:r w:rsidR="00A030BB" w:rsidRPr="008A4309">
        <w:rPr>
          <w:rFonts w:asciiTheme="majorHAnsi" w:hAnsiTheme="majorHAnsi" w:cstheme="majorHAnsi"/>
          <w:sz w:val="24"/>
          <w:szCs w:val="24"/>
          <w:shd w:val="clear" w:color="auto" w:fill="FFFFFF"/>
          <w:lang w:val="ro-MD"/>
        </w:rPr>
        <w:t>resc</w:t>
      </w:r>
      <w:r w:rsidR="00255487" w:rsidRPr="008A4309">
        <w:rPr>
          <w:rFonts w:asciiTheme="majorHAnsi" w:hAnsiTheme="majorHAnsi" w:cstheme="majorHAnsi"/>
          <w:sz w:val="24"/>
          <w:szCs w:val="24"/>
          <w:shd w:val="clear" w:color="auto" w:fill="FFFFFF"/>
          <w:lang w:val="ro-MD"/>
        </w:rPr>
        <w:t>,</w:t>
      </w:r>
      <w:r w:rsidR="00A030BB" w:rsidRPr="008A4309">
        <w:rPr>
          <w:rFonts w:asciiTheme="majorHAnsi" w:hAnsiTheme="majorHAnsi" w:cstheme="majorHAnsi"/>
          <w:sz w:val="24"/>
          <w:szCs w:val="24"/>
          <w:shd w:val="clear" w:color="auto" w:fill="FFFFFF"/>
          <w:lang w:val="ro-MD"/>
        </w:rPr>
        <w:t xml:space="preserve"> </w:t>
      </w:r>
      <w:r w:rsidR="00255487" w:rsidRPr="008A4309">
        <w:rPr>
          <w:rFonts w:asciiTheme="majorHAnsi" w:hAnsiTheme="majorHAnsi" w:cstheme="majorHAnsi"/>
          <w:sz w:val="24"/>
          <w:szCs w:val="24"/>
          <w:shd w:val="clear" w:color="auto" w:fill="FFFFFF"/>
          <w:lang w:val="ro-MD"/>
        </w:rPr>
        <w:t>în</w:t>
      </w:r>
      <w:r w:rsidR="00A030BB" w:rsidRPr="00161100">
        <w:rPr>
          <w:rFonts w:asciiTheme="majorHAnsi" w:hAnsiTheme="majorHAnsi" w:cstheme="majorHAnsi"/>
          <w:sz w:val="24"/>
          <w:szCs w:val="24"/>
          <w:shd w:val="clear" w:color="auto" w:fill="FFFFFF"/>
          <w:lang w:val="ro-MD"/>
        </w:rPr>
        <w:t xml:space="preserve"> comun cu consignatarul, au reevaluat</w:t>
      </w:r>
      <w:r w:rsidR="00DB50D3" w:rsidRPr="00161100">
        <w:rPr>
          <w:rFonts w:asciiTheme="majorHAnsi" w:hAnsiTheme="majorHAnsi" w:cstheme="majorHAnsi"/>
          <w:sz w:val="24"/>
          <w:szCs w:val="24"/>
          <w:shd w:val="clear" w:color="auto" w:fill="FFFFFF"/>
          <w:lang w:val="ro-MD"/>
        </w:rPr>
        <w:t xml:space="preserve"> de două ori valoarea bunurilor</w:t>
      </w:r>
      <w:r w:rsidR="008D001C" w:rsidRPr="00161100">
        <w:rPr>
          <w:rFonts w:asciiTheme="majorHAnsi" w:hAnsiTheme="majorHAnsi" w:cstheme="majorHAnsi"/>
          <w:sz w:val="24"/>
          <w:szCs w:val="24"/>
          <w:shd w:val="clear" w:color="auto" w:fill="FFFFFF"/>
          <w:lang w:val="ro-MD"/>
        </w:rPr>
        <w:t>,</w:t>
      </w:r>
      <w:r w:rsidR="00A030BB" w:rsidRPr="00161100">
        <w:rPr>
          <w:rFonts w:asciiTheme="majorHAnsi" w:hAnsiTheme="majorHAnsi" w:cstheme="majorHAnsi"/>
          <w:sz w:val="24"/>
          <w:szCs w:val="24"/>
          <w:shd w:val="clear" w:color="auto" w:fill="FFFFFF"/>
          <w:lang w:val="ro-MD"/>
        </w:rPr>
        <w:t xml:space="preserve"> </w:t>
      </w:r>
      <w:r w:rsidR="00DB50D3" w:rsidRPr="00161100">
        <w:rPr>
          <w:rFonts w:asciiTheme="majorHAnsi" w:hAnsiTheme="majorHAnsi" w:cstheme="majorHAnsi"/>
          <w:sz w:val="24"/>
          <w:szCs w:val="24"/>
          <w:shd w:val="clear" w:color="auto" w:fill="FFFFFF"/>
          <w:lang w:val="ro-MD"/>
        </w:rPr>
        <w:t>micșorând-o până la 4,1 mil</w:t>
      </w:r>
      <w:r w:rsidR="00C21FCE" w:rsidRPr="00161100">
        <w:rPr>
          <w:rFonts w:asciiTheme="majorHAnsi" w:hAnsiTheme="majorHAnsi" w:cstheme="majorHAnsi"/>
          <w:sz w:val="24"/>
          <w:szCs w:val="24"/>
          <w:shd w:val="clear" w:color="auto" w:fill="FFFFFF"/>
          <w:lang w:val="ro-MD"/>
        </w:rPr>
        <w:t>.</w:t>
      </w:r>
      <w:r w:rsidR="00DB50D3" w:rsidRPr="00161100">
        <w:rPr>
          <w:rFonts w:asciiTheme="majorHAnsi" w:hAnsiTheme="majorHAnsi" w:cstheme="majorHAnsi"/>
          <w:sz w:val="24"/>
          <w:szCs w:val="24"/>
          <w:shd w:val="clear" w:color="auto" w:fill="FFFFFF"/>
          <w:lang w:val="ro-MD"/>
        </w:rPr>
        <w:t xml:space="preserve"> lei, sau cu 45%, motivând că acestea nu au putut fi comercializate în lunile martie</w:t>
      </w:r>
      <w:r w:rsidR="003B1B79" w:rsidRPr="00161100">
        <w:rPr>
          <w:rFonts w:asciiTheme="majorHAnsi" w:hAnsiTheme="majorHAnsi" w:cstheme="majorHAnsi"/>
          <w:sz w:val="24"/>
          <w:szCs w:val="24"/>
          <w:shd w:val="clear" w:color="auto" w:fill="FFFFFF"/>
          <w:lang w:val="ro-MD"/>
        </w:rPr>
        <w:t>-</w:t>
      </w:r>
      <w:r w:rsidR="00DB50D3" w:rsidRPr="00161100">
        <w:rPr>
          <w:rFonts w:asciiTheme="majorHAnsi" w:hAnsiTheme="majorHAnsi" w:cstheme="majorHAnsi"/>
          <w:sz w:val="24"/>
          <w:szCs w:val="24"/>
          <w:shd w:val="clear" w:color="auto" w:fill="FFFFFF"/>
          <w:lang w:val="ro-MD"/>
        </w:rPr>
        <w:t>aprilie 2020</w:t>
      </w:r>
      <w:r w:rsidR="009A2EAA" w:rsidRPr="00161100">
        <w:rPr>
          <w:rFonts w:asciiTheme="majorHAnsi" w:hAnsiTheme="majorHAnsi" w:cstheme="majorHAnsi"/>
          <w:sz w:val="24"/>
          <w:szCs w:val="24"/>
          <w:shd w:val="clear" w:color="auto" w:fill="FFFFFF"/>
          <w:lang w:val="ro-MD"/>
        </w:rPr>
        <w:t>.</w:t>
      </w:r>
      <w:r w:rsidR="005F310C" w:rsidRPr="00161100">
        <w:rPr>
          <w:rFonts w:asciiTheme="majorHAnsi" w:hAnsiTheme="majorHAnsi" w:cstheme="majorHAnsi"/>
          <w:sz w:val="24"/>
          <w:szCs w:val="24"/>
          <w:shd w:val="clear" w:color="auto" w:fill="FFFFFF"/>
          <w:lang w:val="ro-MD"/>
        </w:rPr>
        <w:t xml:space="preserve"> Pentru a</w:t>
      </w:r>
      <w:r w:rsidR="00A030BB" w:rsidRPr="00161100">
        <w:rPr>
          <w:rFonts w:asciiTheme="majorHAnsi" w:hAnsiTheme="majorHAnsi" w:cstheme="majorHAnsi"/>
          <w:sz w:val="24"/>
          <w:szCs w:val="24"/>
          <w:shd w:val="clear" w:color="auto" w:fill="FFFFFF"/>
          <w:lang w:val="ro-MD"/>
        </w:rPr>
        <w:t>-</w:t>
      </w:r>
      <w:r w:rsidR="005F310C" w:rsidRPr="00161100">
        <w:rPr>
          <w:rFonts w:asciiTheme="majorHAnsi" w:hAnsiTheme="majorHAnsi" w:cstheme="majorHAnsi"/>
          <w:sz w:val="24"/>
          <w:szCs w:val="24"/>
          <w:shd w:val="clear" w:color="auto" w:fill="FFFFFF"/>
          <w:lang w:val="ro-MD"/>
        </w:rPr>
        <w:t>și confirma activitatea de comercializare a bunurilor, agentul economic</w:t>
      </w:r>
      <w:r w:rsidR="00460185">
        <w:rPr>
          <w:rFonts w:asciiTheme="majorHAnsi" w:hAnsiTheme="majorHAnsi" w:cstheme="majorHAnsi"/>
          <w:sz w:val="24"/>
          <w:szCs w:val="24"/>
          <w:shd w:val="clear" w:color="auto" w:fill="FFFFFF"/>
          <w:lang w:val="ro-MD"/>
        </w:rPr>
        <w:t>,</w:t>
      </w:r>
      <w:r w:rsidR="005F310C" w:rsidRPr="00161100">
        <w:rPr>
          <w:rFonts w:asciiTheme="majorHAnsi" w:hAnsiTheme="majorHAnsi" w:cstheme="majorHAnsi"/>
          <w:sz w:val="24"/>
          <w:szCs w:val="24"/>
          <w:shd w:val="clear" w:color="auto" w:fill="FFFFFF"/>
          <w:lang w:val="ro-MD"/>
        </w:rPr>
        <w:t xml:space="preserve"> într</w:t>
      </w:r>
      <w:r w:rsidR="00A030BB" w:rsidRPr="00161100">
        <w:rPr>
          <w:rFonts w:asciiTheme="majorHAnsi" w:hAnsiTheme="majorHAnsi" w:cstheme="majorHAnsi"/>
          <w:sz w:val="24"/>
          <w:szCs w:val="24"/>
          <w:shd w:val="clear" w:color="auto" w:fill="FFFFFF"/>
          <w:lang w:val="ro-MD"/>
        </w:rPr>
        <w:t>-o manieră dubioasă</w:t>
      </w:r>
      <w:r w:rsidR="00460185">
        <w:rPr>
          <w:rFonts w:asciiTheme="majorHAnsi" w:hAnsiTheme="majorHAnsi" w:cstheme="majorHAnsi"/>
          <w:sz w:val="24"/>
          <w:szCs w:val="24"/>
          <w:shd w:val="clear" w:color="auto" w:fill="FFFFFF"/>
          <w:lang w:val="ro-MD"/>
        </w:rPr>
        <w:t>,</w:t>
      </w:r>
      <w:r w:rsidR="00A030BB" w:rsidRPr="00161100">
        <w:rPr>
          <w:rFonts w:asciiTheme="majorHAnsi" w:hAnsiTheme="majorHAnsi" w:cstheme="majorHAnsi"/>
          <w:sz w:val="24"/>
          <w:szCs w:val="24"/>
          <w:shd w:val="clear" w:color="auto" w:fill="FFFFFF"/>
          <w:lang w:val="ro-MD"/>
        </w:rPr>
        <w:t xml:space="preserve"> </w:t>
      </w:r>
      <w:r w:rsidR="00460185">
        <w:rPr>
          <w:rFonts w:asciiTheme="majorHAnsi" w:hAnsiTheme="majorHAnsi" w:cstheme="majorHAnsi"/>
          <w:sz w:val="24"/>
          <w:szCs w:val="24"/>
          <w:shd w:val="clear" w:color="auto" w:fill="FFFFFF"/>
          <w:lang w:val="ro-MD"/>
        </w:rPr>
        <w:t xml:space="preserve">     </w:t>
      </w:r>
      <w:r w:rsidR="00A030BB" w:rsidRPr="00161100">
        <w:rPr>
          <w:rFonts w:asciiTheme="majorHAnsi" w:hAnsiTheme="majorHAnsi" w:cstheme="majorHAnsi"/>
          <w:sz w:val="24"/>
          <w:szCs w:val="24"/>
          <w:shd w:val="clear" w:color="auto" w:fill="FFFFFF"/>
          <w:lang w:val="ro-MD"/>
        </w:rPr>
        <w:t xml:space="preserve">le-a plasat pe </w:t>
      </w:r>
      <w:r w:rsidR="008D001C" w:rsidRPr="00161100">
        <w:rPr>
          <w:rFonts w:asciiTheme="majorHAnsi" w:hAnsiTheme="majorHAnsi" w:cstheme="majorHAnsi"/>
          <w:sz w:val="24"/>
          <w:szCs w:val="24"/>
          <w:shd w:val="clear" w:color="auto" w:fill="FFFFFF"/>
          <w:lang w:val="ro-MD"/>
        </w:rPr>
        <w:t xml:space="preserve">portalul </w:t>
      </w:r>
      <w:r w:rsidR="008404B3" w:rsidRPr="00161100">
        <w:rPr>
          <w:rFonts w:asciiTheme="majorHAnsi" w:hAnsiTheme="majorHAnsi" w:cstheme="majorHAnsi"/>
          <w:sz w:val="24"/>
          <w:szCs w:val="24"/>
          <w:shd w:val="clear" w:color="auto" w:fill="FFFFFF"/>
          <w:lang w:val="ro-MD"/>
        </w:rPr>
        <w:t>de comercializare a bunurilor</w:t>
      </w:r>
      <w:r w:rsidR="008D001C" w:rsidRPr="00161100">
        <w:rPr>
          <w:rFonts w:asciiTheme="majorHAnsi" w:hAnsiTheme="majorHAnsi" w:cstheme="majorHAnsi"/>
          <w:sz w:val="24"/>
          <w:szCs w:val="24"/>
          <w:shd w:val="clear" w:color="auto" w:fill="FFFFFF"/>
          <w:lang w:val="ro-MD"/>
        </w:rPr>
        <w:t xml:space="preserve">, </w:t>
      </w:r>
      <w:r w:rsidR="00161100" w:rsidRPr="00161100">
        <w:rPr>
          <w:rFonts w:asciiTheme="majorHAnsi" w:hAnsiTheme="majorHAnsi" w:cstheme="majorHAnsi"/>
          <w:sz w:val="24"/>
          <w:szCs w:val="24"/>
          <w:lang w:val="ro-MD"/>
        </w:rPr>
        <w:lastRenderedPageBreak/>
        <w:t>fiind expuse fotografii ale bijuteriilor în pungi, în condiții c</w:t>
      </w:r>
      <w:r w:rsidR="00460185">
        <w:rPr>
          <w:rFonts w:asciiTheme="majorHAnsi" w:hAnsiTheme="majorHAnsi" w:cstheme="majorHAnsi"/>
          <w:sz w:val="24"/>
          <w:szCs w:val="24"/>
          <w:lang w:val="ro-MD"/>
        </w:rPr>
        <w:t>ar</w:t>
      </w:r>
      <w:r w:rsidR="00161100" w:rsidRPr="00161100">
        <w:rPr>
          <w:rFonts w:asciiTheme="majorHAnsi" w:hAnsiTheme="majorHAnsi" w:cstheme="majorHAnsi"/>
          <w:sz w:val="24"/>
          <w:szCs w:val="24"/>
          <w:lang w:val="ro-MD"/>
        </w:rPr>
        <w:t>e nu asigură int</w:t>
      </w:r>
      <w:r w:rsidR="00366AE8">
        <w:rPr>
          <w:rFonts w:asciiTheme="majorHAnsi" w:hAnsiTheme="majorHAnsi" w:cstheme="majorHAnsi"/>
          <w:sz w:val="24"/>
          <w:szCs w:val="24"/>
          <w:lang w:val="ro-MD"/>
        </w:rPr>
        <w:t>egritatea bunurilor, cu risc de</w:t>
      </w:r>
      <w:r w:rsidR="00161100" w:rsidRPr="00161100">
        <w:rPr>
          <w:rFonts w:asciiTheme="majorHAnsi" w:hAnsiTheme="majorHAnsi" w:cstheme="majorHAnsi"/>
          <w:sz w:val="24"/>
          <w:szCs w:val="24"/>
          <w:lang w:val="ro-MD"/>
        </w:rPr>
        <w:t xml:space="preserve"> sustragere și substituire a acestora</w:t>
      </w:r>
      <w:r w:rsidR="00460185">
        <w:rPr>
          <w:rFonts w:asciiTheme="majorHAnsi" w:hAnsiTheme="majorHAnsi" w:cstheme="majorHAnsi"/>
          <w:sz w:val="24"/>
          <w:szCs w:val="24"/>
          <w:lang w:val="ro-MD"/>
        </w:rPr>
        <w:t>.</w:t>
      </w:r>
      <w:r w:rsidR="00161100" w:rsidRPr="00161100">
        <w:rPr>
          <w:rFonts w:asciiTheme="majorHAnsi" w:hAnsiTheme="majorHAnsi" w:cstheme="majorHAnsi"/>
          <w:sz w:val="24"/>
          <w:szCs w:val="24"/>
          <w:lang w:val="ro-MD"/>
        </w:rPr>
        <w:t xml:space="preserve"> </w:t>
      </w:r>
    </w:p>
    <w:p w:rsidR="005B64F6" w:rsidRPr="00401691" w:rsidRDefault="008D001C" w:rsidP="00844145">
      <w:pPr>
        <w:pStyle w:val="ListParagraph"/>
        <w:numPr>
          <w:ilvl w:val="0"/>
          <w:numId w:val="30"/>
        </w:numPr>
        <w:spacing w:after="120" w:line="276" w:lineRule="auto"/>
        <w:contextualSpacing w:val="0"/>
        <w:jc w:val="both"/>
        <w:rPr>
          <w:rFonts w:asciiTheme="majorHAnsi" w:hAnsiTheme="majorHAnsi" w:cstheme="majorHAnsi"/>
          <w:sz w:val="24"/>
          <w:szCs w:val="24"/>
          <w:shd w:val="clear" w:color="auto" w:fill="FFFFFF"/>
          <w:lang w:val="ro-MD"/>
        </w:rPr>
      </w:pPr>
      <w:r w:rsidRPr="00401691">
        <w:rPr>
          <w:rFonts w:asciiTheme="majorHAnsi" w:hAnsiTheme="majorHAnsi" w:cstheme="majorHAnsi"/>
          <w:sz w:val="24"/>
          <w:szCs w:val="24"/>
          <w:shd w:val="clear" w:color="auto" w:fill="FFFFFF"/>
          <w:lang w:val="ro-MD"/>
        </w:rPr>
        <w:t xml:space="preserve">Deși executorul judecătoresc a informat SFS despre toate acțiunile întreprinse aferente comercializării metalelor prețioase, angajații </w:t>
      </w:r>
      <w:r w:rsidR="009A2EAA" w:rsidRPr="00401691">
        <w:rPr>
          <w:rFonts w:asciiTheme="majorHAnsi" w:hAnsiTheme="majorHAnsi" w:cstheme="majorHAnsi"/>
          <w:sz w:val="24"/>
          <w:szCs w:val="24"/>
          <w:shd w:val="clear" w:color="auto" w:fill="FFFFFF"/>
          <w:lang w:val="ro-MD"/>
        </w:rPr>
        <w:t>DGA</w:t>
      </w:r>
      <w:r w:rsidR="00AB6E66" w:rsidRPr="00401691">
        <w:rPr>
          <w:rFonts w:asciiTheme="majorHAnsi" w:hAnsiTheme="majorHAnsi" w:cstheme="majorHAnsi"/>
          <w:sz w:val="24"/>
          <w:szCs w:val="24"/>
          <w:shd w:val="clear" w:color="auto" w:fill="FFFFFF"/>
          <w:lang w:val="ro-MD"/>
        </w:rPr>
        <w:t xml:space="preserve"> nu au făcut uz de prevederile art. </w:t>
      </w:r>
      <w:r w:rsidRPr="00401691">
        <w:rPr>
          <w:rFonts w:asciiTheme="majorHAnsi" w:hAnsiTheme="majorHAnsi" w:cstheme="majorHAnsi"/>
          <w:sz w:val="24"/>
          <w:szCs w:val="24"/>
          <w:shd w:val="clear" w:color="auto" w:fill="FFFFFF"/>
          <w:lang w:val="ro-MD"/>
        </w:rPr>
        <w:t>44 și art.161 din Codul</w:t>
      </w:r>
      <w:r w:rsidR="000173F3" w:rsidRPr="00401691">
        <w:rPr>
          <w:rFonts w:asciiTheme="majorHAnsi" w:hAnsiTheme="majorHAnsi" w:cstheme="majorHAnsi"/>
          <w:sz w:val="24"/>
          <w:szCs w:val="24"/>
          <w:shd w:val="clear" w:color="auto" w:fill="FFFFFF"/>
          <w:lang w:val="ro-MD"/>
        </w:rPr>
        <w:t xml:space="preserve"> de executare</w:t>
      </w:r>
      <w:r w:rsidR="00460185">
        <w:rPr>
          <w:rFonts w:asciiTheme="majorHAnsi" w:hAnsiTheme="majorHAnsi" w:cstheme="majorHAnsi"/>
          <w:sz w:val="24"/>
          <w:szCs w:val="24"/>
          <w:shd w:val="clear" w:color="auto" w:fill="FFFFFF"/>
          <w:lang w:val="ro-MD"/>
        </w:rPr>
        <w:t>,</w:t>
      </w:r>
      <w:r w:rsidR="000173F3" w:rsidRPr="00401691">
        <w:rPr>
          <w:rFonts w:asciiTheme="majorHAnsi" w:hAnsiTheme="majorHAnsi" w:cstheme="majorHAnsi"/>
          <w:sz w:val="24"/>
          <w:szCs w:val="24"/>
          <w:shd w:val="clear" w:color="auto" w:fill="FFFFFF"/>
          <w:lang w:val="ro-MD"/>
        </w:rPr>
        <w:t xml:space="preserve"> </w:t>
      </w:r>
      <w:r w:rsidRPr="00401691">
        <w:rPr>
          <w:rFonts w:asciiTheme="majorHAnsi" w:hAnsiTheme="majorHAnsi" w:cstheme="majorHAnsi"/>
          <w:sz w:val="24"/>
          <w:szCs w:val="24"/>
          <w:shd w:val="clear" w:color="auto" w:fill="FFFFFF"/>
          <w:lang w:val="ro-MD"/>
        </w:rPr>
        <w:t>pentru a contesta actele emise cu ilegalități</w:t>
      </w:r>
      <w:r w:rsidR="008115BC" w:rsidRPr="00401691">
        <w:rPr>
          <w:rFonts w:asciiTheme="majorHAnsi" w:hAnsiTheme="majorHAnsi" w:cstheme="majorHAnsi"/>
          <w:sz w:val="24"/>
          <w:szCs w:val="24"/>
          <w:shd w:val="clear" w:color="auto" w:fill="FFFFFF"/>
          <w:lang w:val="ro-MD"/>
        </w:rPr>
        <w:t xml:space="preserve"> de către executorul judecătoresc</w:t>
      </w:r>
      <w:r w:rsidRPr="00401691">
        <w:rPr>
          <w:rFonts w:asciiTheme="majorHAnsi" w:hAnsiTheme="majorHAnsi" w:cstheme="majorHAnsi"/>
          <w:sz w:val="24"/>
          <w:szCs w:val="24"/>
          <w:shd w:val="clear" w:color="auto" w:fill="FFFFFF"/>
          <w:lang w:val="ro-MD"/>
        </w:rPr>
        <w:t xml:space="preserve">, </w:t>
      </w:r>
      <w:r w:rsidR="00910280">
        <w:rPr>
          <w:rFonts w:asciiTheme="majorHAnsi" w:hAnsiTheme="majorHAnsi" w:cstheme="majorHAnsi"/>
          <w:sz w:val="24"/>
          <w:szCs w:val="24"/>
          <w:shd w:val="clear" w:color="auto" w:fill="FFFFFF"/>
          <w:lang w:val="ro-MD"/>
        </w:rPr>
        <w:t xml:space="preserve">acționând în mod regulamentar </w:t>
      </w:r>
      <w:r w:rsidRPr="00401691">
        <w:rPr>
          <w:rFonts w:asciiTheme="majorHAnsi" w:hAnsiTheme="majorHAnsi" w:cstheme="majorHAnsi"/>
          <w:sz w:val="24"/>
          <w:szCs w:val="24"/>
          <w:shd w:val="clear" w:color="auto" w:fill="FFFFFF"/>
          <w:lang w:val="ro-MD"/>
        </w:rPr>
        <w:t xml:space="preserve">doar </w:t>
      </w:r>
      <w:r w:rsidR="000173F3" w:rsidRPr="00401691">
        <w:rPr>
          <w:rFonts w:asciiTheme="majorHAnsi" w:hAnsiTheme="majorHAnsi" w:cstheme="majorHAnsi"/>
          <w:sz w:val="24"/>
          <w:szCs w:val="24"/>
          <w:shd w:val="clear" w:color="auto" w:fill="FFFFFF"/>
          <w:lang w:val="ro-MD"/>
        </w:rPr>
        <w:t xml:space="preserve">după </w:t>
      </w:r>
      <w:r w:rsidR="00910280">
        <w:rPr>
          <w:rFonts w:asciiTheme="majorHAnsi" w:hAnsiTheme="majorHAnsi" w:cstheme="majorHAnsi"/>
          <w:sz w:val="24"/>
          <w:szCs w:val="24"/>
          <w:shd w:val="clear" w:color="auto" w:fill="FFFFFF"/>
          <w:lang w:val="ro-MD"/>
        </w:rPr>
        <w:t>verificările auditului public extern.</w:t>
      </w:r>
    </w:p>
    <w:p w:rsidR="00B26282" w:rsidRPr="00401691" w:rsidRDefault="00B26282" w:rsidP="00844145">
      <w:pPr>
        <w:spacing w:after="0" w:line="276" w:lineRule="auto"/>
        <w:jc w:val="both"/>
        <w:rPr>
          <w:rFonts w:asciiTheme="majorHAnsi" w:hAnsiTheme="majorHAnsi" w:cstheme="majorHAnsi"/>
          <w:sz w:val="24"/>
          <w:szCs w:val="24"/>
          <w:lang w:val="ro-MD"/>
        </w:rPr>
      </w:pPr>
    </w:p>
    <w:p w:rsidR="00D26E75" w:rsidRPr="00401691" w:rsidRDefault="00262ECA" w:rsidP="00844145">
      <w:pPr>
        <w:spacing w:line="276" w:lineRule="auto"/>
        <w:jc w:val="both"/>
        <w:rPr>
          <w:rStyle w:val="ms-rtefontface-3"/>
          <w:rFonts w:asciiTheme="majorHAnsi" w:hAnsiTheme="majorHAnsi" w:cstheme="majorHAnsi"/>
          <w:i/>
          <w:color w:val="1F4E79" w:themeColor="accent1" w:themeShade="80"/>
          <w:sz w:val="24"/>
          <w:szCs w:val="24"/>
          <w:lang w:val="ro-MD"/>
        </w:rPr>
      </w:pPr>
      <w:r w:rsidRPr="00401691">
        <w:rPr>
          <w:rStyle w:val="ms-rtefontface-3"/>
          <w:rFonts w:asciiTheme="majorHAnsi" w:hAnsiTheme="majorHAnsi" w:cstheme="majorHAnsi"/>
          <w:i/>
          <w:color w:val="1F4E79" w:themeColor="accent1" w:themeShade="80"/>
          <w:sz w:val="24"/>
          <w:szCs w:val="24"/>
          <w:lang w:val="ro-MD"/>
        </w:rPr>
        <w:t xml:space="preserve">Privind </w:t>
      </w:r>
      <w:r w:rsidR="001E658C" w:rsidRPr="00401691">
        <w:rPr>
          <w:rStyle w:val="ms-rtefontface-3"/>
          <w:rFonts w:asciiTheme="majorHAnsi" w:hAnsiTheme="majorHAnsi" w:cstheme="majorHAnsi"/>
          <w:i/>
          <w:color w:val="1F4E79" w:themeColor="accent1" w:themeShade="80"/>
          <w:sz w:val="24"/>
          <w:szCs w:val="24"/>
          <w:lang w:val="ro-MD"/>
        </w:rPr>
        <w:t>conformitatea procesului de planificare a controalelor fiscale</w:t>
      </w:r>
      <w:r w:rsidR="00A93D45" w:rsidRPr="00401691">
        <w:rPr>
          <w:rStyle w:val="ms-rtefontface-3"/>
          <w:rFonts w:asciiTheme="majorHAnsi" w:hAnsiTheme="majorHAnsi" w:cstheme="majorHAnsi"/>
          <w:i/>
          <w:color w:val="1F4E79" w:themeColor="accent1" w:themeShade="80"/>
          <w:sz w:val="24"/>
          <w:szCs w:val="24"/>
          <w:lang w:val="ro-MD"/>
        </w:rPr>
        <w:t xml:space="preserve"> </w:t>
      </w:r>
      <w:r w:rsidR="001E658C" w:rsidRPr="00401691">
        <w:rPr>
          <w:rStyle w:val="ms-rtefontface-3"/>
          <w:rFonts w:asciiTheme="majorHAnsi" w:hAnsiTheme="majorHAnsi" w:cstheme="majorHAnsi"/>
          <w:i/>
          <w:color w:val="1F4E79" w:themeColor="accent1" w:themeShade="80"/>
          <w:sz w:val="24"/>
          <w:szCs w:val="24"/>
          <w:lang w:val="ro-MD"/>
        </w:rPr>
        <w:t xml:space="preserve">și </w:t>
      </w:r>
      <w:r w:rsidR="00A93D45" w:rsidRPr="00401691">
        <w:rPr>
          <w:rStyle w:val="ms-rtefontface-3"/>
          <w:rFonts w:asciiTheme="majorHAnsi" w:hAnsiTheme="majorHAnsi" w:cstheme="majorHAnsi"/>
          <w:i/>
          <w:color w:val="1F4E79" w:themeColor="accent1" w:themeShade="80"/>
          <w:sz w:val="24"/>
          <w:szCs w:val="24"/>
          <w:lang w:val="ro-MD"/>
        </w:rPr>
        <w:t>rezultatele controalelor efectuate</w:t>
      </w:r>
    </w:p>
    <w:p w:rsidR="0042369E" w:rsidRPr="001E37F9" w:rsidRDefault="0063703D" w:rsidP="001E37F9">
      <w:pPr>
        <w:pStyle w:val="ListParagraph"/>
        <w:numPr>
          <w:ilvl w:val="0"/>
          <w:numId w:val="27"/>
        </w:numPr>
        <w:tabs>
          <w:tab w:val="left" w:pos="180"/>
          <w:tab w:val="left" w:pos="270"/>
          <w:tab w:val="left" w:pos="360"/>
          <w:tab w:val="left" w:pos="450"/>
          <w:tab w:val="left" w:pos="540"/>
        </w:tabs>
        <w:spacing w:after="120" w:line="276" w:lineRule="auto"/>
        <w:ind w:left="0" w:firstLine="0"/>
        <w:contextualSpacing w:val="0"/>
        <w:jc w:val="both"/>
        <w:rPr>
          <w:rFonts w:asciiTheme="majorHAnsi" w:hAnsiTheme="majorHAnsi" w:cstheme="majorHAnsi"/>
          <w:b/>
          <w:i/>
          <w:sz w:val="24"/>
          <w:szCs w:val="24"/>
          <w:lang w:val="ro-MD"/>
        </w:rPr>
      </w:pPr>
      <w:r>
        <w:rPr>
          <w:rFonts w:asciiTheme="majorHAnsi" w:hAnsiTheme="majorHAnsi" w:cstheme="majorHAnsi"/>
          <w:sz w:val="24"/>
          <w:szCs w:val="24"/>
          <w:lang w:val="ro-MD"/>
        </w:rPr>
        <w:t xml:space="preserve"> </w:t>
      </w:r>
      <w:r w:rsidR="00B533BB" w:rsidRPr="00401691">
        <w:rPr>
          <w:rFonts w:asciiTheme="majorHAnsi" w:hAnsiTheme="majorHAnsi" w:cstheme="majorHAnsi"/>
          <w:sz w:val="24"/>
          <w:szCs w:val="24"/>
          <w:lang w:val="ro-MD"/>
        </w:rPr>
        <w:t>Una din</w:t>
      </w:r>
      <w:r w:rsidR="00460185">
        <w:rPr>
          <w:rFonts w:asciiTheme="majorHAnsi" w:hAnsiTheme="majorHAnsi" w:cstheme="majorHAnsi"/>
          <w:sz w:val="24"/>
          <w:szCs w:val="24"/>
          <w:lang w:val="ro-MD"/>
        </w:rPr>
        <w:t>tre</w:t>
      </w:r>
      <w:r w:rsidR="00B533BB" w:rsidRPr="00401691">
        <w:rPr>
          <w:rFonts w:asciiTheme="majorHAnsi" w:hAnsiTheme="majorHAnsi" w:cstheme="majorHAnsi"/>
          <w:sz w:val="24"/>
          <w:szCs w:val="24"/>
          <w:lang w:val="ro-MD"/>
        </w:rPr>
        <w:t xml:space="preserve"> principalele </w:t>
      </w:r>
      <w:r w:rsidR="002B3F6D" w:rsidRPr="00401691">
        <w:rPr>
          <w:rFonts w:asciiTheme="majorHAnsi" w:hAnsiTheme="majorHAnsi" w:cstheme="majorHAnsi"/>
          <w:sz w:val="24"/>
          <w:szCs w:val="24"/>
          <w:lang w:val="ro-MD"/>
        </w:rPr>
        <w:t>soluții</w:t>
      </w:r>
      <w:r w:rsidR="00B533BB" w:rsidRPr="00401691">
        <w:rPr>
          <w:rFonts w:asciiTheme="majorHAnsi" w:hAnsiTheme="majorHAnsi" w:cstheme="majorHAnsi"/>
          <w:sz w:val="24"/>
          <w:szCs w:val="24"/>
          <w:lang w:val="ro-MD"/>
        </w:rPr>
        <w:t xml:space="preserve"> de combatere a </w:t>
      </w:r>
      <w:r w:rsidR="00E510F9" w:rsidRPr="00401691">
        <w:rPr>
          <w:rFonts w:asciiTheme="majorHAnsi" w:hAnsiTheme="majorHAnsi" w:cstheme="majorHAnsi"/>
          <w:sz w:val="24"/>
          <w:szCs w:val="24"/>
          <w:lang w:val="ro-MD"/>
        </w:rPr>
        <w:t xml:space="preserve">evaziunii fiscale </w:t>
      </w:r>
      <w:r w:rsidR="00B533BB" w:rsidRPr="00401691">
        <w:rPr>
          <w:rFonts w:asciiTheme="majorHAnsi" w:hAnsiTheme="majorHAnsi" w:cstheme="majorHAnsi"/>
          <w:sz w:val="24"/>
          <w:szCs w:val="24"/>
          <w:lang w:val="ro-MD"/>
        </w:rPr>
        <w:t xml:space="preserve">constă în efectuarea </w:t>
      </w:r>
      <w:r w:rsidR="00E510F9" w:rsidRPr="00401691">
        <w:rPr>
          <w:rFonts w:asciiTheme="majorHAnsi" w:hAnsiTheme="majorHAnsi" w:cstheme="majorHAnsi"/>
          <w:sz w:val="24"/>
          <w:szCs w:val="24"/>
          <w:lang w:val="ro-MD"/>
        </w:rPr>
        <w:t xml:space="preserve">unor </w:t>
      </w:r>
      <w:r w:rsidR="00B533BB" w:rsidRPr="00401691">
        <w:rPr>
          <w:rFonts w:asciiTheme="majorHAnsi" w:hAnsiTheme="majorHAnsi" w:cstheme="majorHAnsi"/>
          <w:sz w:val="24"/>
          <w:szCs w:val="24"/>
          <w:lang w:val="ro-MD"/>
        </w:rPr>
        <w:t xml:space="preserve">controale fiscale care să </w:t>
      </w:r>
      <w:r w:rsidR="00B533BB" w:rsidRPr="008A4309">
        <w:rPr>
          <w:rFonts w:asciiTheme="majorHAnsi" w:hAnsiTheme="majorHAnsi" w:cstheme="majorHAnsi"/>
          <w:sz w:val="24"/>
          <w:szCs w:val="24"/>
          <w:lang w:val="ro-MD"/>
        </w:rPr>
        <w:t>aibă o țintă finală, respectiv destinatarii banilor obținuți</w:t>
      </w:r>
      <w:r w:rsidR="00B533BB" w:rsidRPr="00401691">
        <w:rPr>
          <w:rFonts w:asciiTheme="majorHAnsi" w:hAnsiTheme="majorHAnsi" w:cstheme="majorHAnsi"/>
          <w:sz w:val="24"/>
          <w:szCs w:val="24"/>
          <w:lang w:val="ro-MD"/>
        </w:rPr>
        <w:t xml:space="preserve"> din activități nedeclarate sau chiar ilicite</w:t>
      </w:r>
      <w:r w:rsidR="00D26E75" w:rsidRPr="00401691">
        <w:rPr>
          <w:rFonts w:asciiTheme="majorHAnsi" w:hAnsiTheme="majorHAnsi" w:cstheme="majorHAnsi"/>
          <w:sz w:val="24"/>
          <w:szCs w:val="24"/>
          <w:lang w:val="ro-MD"/>
        </w:rPr>
        <w:t>.</w:t>
      </w:r>
      <w:r w:rsidR="00E510F9" w:rsidRPr="00401691">
        <w:rPr>
          <w:rFonts w:asciiTheme="majorHAnsi" w:hAnsiTheme="majorHAnsi" w:cstheme="majorHAnsi"/>
          <w:sz w:val="24"/>
          <w:szCs w:val="24"/>
          <w:lang w:val="ro-MD"/>
        </w:rPr>
        <w:t xml:space="preserve"> </w:t>
      </w:r>
      <w:r w:rsidR="001E658C" w:rsidRPr="00401691">
        <w:rPr>
          <w:rFonts w:asciiTheme="majorHAnsi" w:hAnsiTheme="majorHAnsi" w:cstheme="majorHAnsi"/>
          <w:sz w:val="24"/>
          <w:szCs w:val="24"/>
          <w:lang w:val="ro-MD"/>
        </w:rPr>
        <w:t>Auditul atestă că</w:t>
      </w:r>
      <w:r w:rsidR="00147558">
        <w:rPr>
          <w:rFonts w:asciiTheme="majorHAnsi" w:hAnsiTheme="majorHAnsi" w:cstheme="majorHAnsi"/>
          <w:sz w:val="24"/>
          <w:szCs w:val="24"/>
          <w:lang w:val="ro-MD"/>
        </w:rPr>
        <w:t>,</w:t>
      </w:r>
      <w:r w:rsidR="001E658C" w:rsidRPr="00401691">
        <w:rPr>
          <w:rFonts w:asciiTheme="majorHAnsi" w:hAnsiTheme="majorHAnsi" w:cstheme="majorHAnsi"/>
          <w:sz w:val="24"/>
          <w:szCs w:val="24"/>
          <w:lang w:val="ro-MD"/>
        </w:rPr>
        <w:t xml:space="preserve"> </w:t>
      </w:r>
      <w:r w:rsidR="00A93D45" w:rsidRPr="00401691">
        <w:rPr>
          <w:rFonts w:asciiTheme="majorHAnsi" w:hAnsiTheme="majorHAnsi" w:cstheme="majorHAnsi"/>
          <w:sz w:val="24"/>
          <w:szCs w:val="24"/>
          <w:lang w:val="ro-MD"/>
        </w:rPr>
        <w:t xml:space="preserve">deși </w:t>
      </w:r>
      <w:r w:rsidR="00A51725" w:rsidRPr="00401691">
        <w:rPr>
          <w:rFonts w:asciiTheme="majorHAnsi" w:hAnsiTheme="majorHAnsi" w:cstheme="majorHAnsi"/>
          <w:sz w:val="24"/>
          <w:szCs w:val="24"/>
          <w:lang w:val="ro-MD"/>
        </w:rPr>
        <w:t xml:space="preserve">activitățile de control </w:t>
      </w:r>
      <w:r w:rsidR="00A93D45" w:rsidRPr="00401691">
        <w:rPr>
          <w:rFonts w:asciiTheme="majorHAnsi" w:hAnsiTheme="majorHAnsi" w:cstheme="majorHAnsi"/>
          <w:sz w:val="24"/>
          <w:szCs w:val="24"/>
          <w:lang w:val="ro-MD"/>
        </w:rPr>
        <w:t xml:space="preserve">fiscal </w:t>
      </w:r>
      <w:r w:rsidR="00A51725" w:rsidRPr="00401691">
        <w:rPr>
          <w:rFonts w:asciiTheme="majorHAnsi" w:hAnsiTheme="majorHAnsi" w:cstheme="majorHAnsi"/>
          <w:sz w:val="24"/>
          <w:szCs w:val="24"/>
          <w:lang w:val="ro-MD"/>
        </w:rPr>
        <w:t>planificate în anul 2019 s-au axat pe monitorizarea comportamentului fiscal al contribuabililor și identificarea contribuabililor cu risc de admitere a încălcărilor fiscale,</w:t>
      </w:r>
      <w:r w:rsidR="00520DC0" w:rsidRPr="00401691">
        <w:rPr>
          <w:rFonts w:asciiTheme="majorHAnsi" w:hAnsiTheme="majorHAnsi" w:cstheme="majorHAnsi"/>
          <w:sz w:val="24"/>
          <w:szCs w:val="24"/>
          <w:lang w:val="ro-MD"/>
        </w:rPr>
        <w:t xml:space="preserve"> totuși</w:t>
      </w:r>
      <w:r w:rsidR="00147558">
        <w:rPr>
          <w:rFonts w:asciiTheme="majorHAnsi" w:hAnsiTheme="majorHAnsi" w:cstheme="majorHAnsi"/>
          <w:sz w:val="24"/>
          <w:szCs w:val="24"/>
          <w:lang w:val="ro-MD"/>
        </w:rPr>
        <w:t>,</w:t>
      </w:r>
      <w:r w:rsidR="00520DC0" w:rsidRPr="00401691">
        <w:rPr>
          <w:rFonts w:asciiTheme="majorHAnsi" w:hAnsiTheme="majorHAnsi" w:cstheme="majorHAnsi"/>
          <w:sz w:val="24"/>
          <w:szCs w:val="24"/>
          <w:lang w:val="ro-MD"/>
        </w:rPr>
        <w:t xml:space="preserve"> acest proces nu a corespuns în totalitate reglementărilor metodologice aplicabile</w:t>
      </w:r>
      <w:r w:rsidR="00A51725" w:rsidRPr="00401691">
        <w:rPr>
          <w:rFonts w:asciiTheme="majorHAnsi" w:hAnsiTheme="majorHAnsi" w:cstheme="majorHAnsi"/>
          <w:sz w:val="24"/>
          <w:szCs w:val="24"/>
          <w:lang w:val="ro-MD"/>
        </w:rPr>
        <w:t>.</w:t>
      </w:r>
      <w:r w:rsidR="00520DC0" w:rsidRPr="00401691">
        <w:rPr>
          <w:rFonts w:asciiTheme="majorHAnsi" w:hAnsiTheme="majorHAnsi" w:cstheme="majorHAnsi"/>
          <w:sz w:val="24"/>
          <w:szCs w:val="24"/>
          <w:lang w:val="ro-MD"/>
        </w:rPr>
        <w:t xml:space="preserve"> Astfel</w:t>
      </w:r>
      <w:r w:rsidR="00A63BC6" w:rsidRPr="00401691">
        <w:rPr>
          <w:rFonts w:asciiTheme="majorHAnsi" w:hAnsiTheme="majorHAnsi" w:cstheme="majorHAnsi"/>
          <w:sz w:val="24"/>
          <w:szCs w:val="24"/>
          <w:lang w:val="ro-MD"/>
        </w:rPr>
        <w:t xml:space="preserve">, </w:t>
      </w:r>
      <w:r w:rsidR="00520DC0" w:rsidRPr="00401691">
        <w:rPr>
          <w:rFonts w:asciiTheme="majorHAnsi" w:hAnsiTheme="majorHAnsi" w:cstheme="majorHAnsi"/>
          <w:sz w:val="24"/>
          <w:szCs w:val="24"/>
          <w:lang w:val="ro-MD"/>
        </w:rPr>
        <w:t xml:space="preserve">nu au fost utilizate toate riscurile de conformare prestabilite la calcularea </w:t>
      </w:r>
      <w:r w:rsidR="00520DC0" w:rsidRPr="008A4309">
        <w:rPr>
          <w:rFonts w:asciiTheme="majorHAnsi" w:hAnsiTheme="majorHAnsi" w:cstheme="majorHAnsi"/>
          <w:sz w:val="24"/>
          <w:szCs w:val="24"/>
          <w:lang w:val="ro-MD"/>
        </w:rPr>
        <w:t>scorului de risc a</w:t>
      </w:r>
      <w:r w:rsidR="00147558" w:rsidRPr="008A4309">
        <w:rPr>
          <w:rFonts w:asciiTheme="majorHAnsi" w:hAnsiTheme="majorHAnsi" w:cstheme="majorHAnsi"/>
          <w:sz w:val="24"/>
          <w:szCs w:val="24"/>
          <w:lang w:val="ro-MD"/>
        </w:rPr>
        <w:t>l</w:t>
      </w:r>
      <w:r w:rsidR="00520DC0" w:rsidRPr="000649B1">
        <w:rPr>
          <w:rFonts w:asciiTheme="majorHAnsi" w:hAnsiTheme="majorHAnsi" w:cstheme="majorHAnsi"/>
          <w:sz w:val="24"/>
          <w:szCs w:val="24"/>
          <w:lang w:val="ro-MD"/>
        </w:rPr>
        <w:t xml:space="preserve"> contribuabililor</w:t>
      </w:r>
      <w:r w:rsidR="00520DC0" w:rsidRPr="00401691">
        <w:rPr>
          <w:rFonts w:asciiTheme="majorHAnsi" w:hAnsiTheme="majorHAnsi" w:cstheme="majorHAnsi"/>
          <w:sz w:val="24"/>
          <w:szCs w:val="24"/>
          <w:lang w:val="ro-MD"/>
        </w:rPr>
        <w:t xml:space="preserve">, fapt influențat de </w:t>
      </w:r>
      <w:proofErr w:type="spellStart"/>
      <w:r w:rsidR="007A6372" w:rsidRPr="00401691">
        <w:rPr>
          <w:rFonts w:asciiTheme="majorHAnsi" w:hAnsiTheme="majorHAnsi" w:cstheme="majorHAnsi"/>
          <w:sz w:val="24"/>
          <w:szCs w:val="24"/>
          <w:lang w:val="ro-MD"/>
        </w:rPr>
        <w:t>neautomatizarea</w:t>
      </w:r>
      <w:proofErr w:type="spellEnd"/>
      <w:r w:rsidR="00520DC0" w:rsidRPr="00401691">
        <w:rPr>
          <w:rFonts w:asciiTheme="majorHAnsi" w:hAnsiTheme="majorHAnsi" w:cstheme="majorHAnsi"/>
          <w:sz w:val="24"/>
          <w:szCs w:val="24"/>
          <w:lang w:val="ro-MD"/>
        </w:rPr>
        <w:t xml:space="preserve"> completă a procesul</w:t>
      </w:r>
      <w:r w:rsidR="00147558">
        <w:rPr>
          <w:rFonts w:asciiTheme="majorHAnsi" w:hAnsiTheme="majorHAnsi" w:cstheme="majorHAnsi"/>
          <w:sz w:val="24"/>
          <w:szCs w:val="24"/>
          <w:lang w:val="ro-MD"/>
        </w:rPr>
        <w:t>ui</w:t>
      </w:r>
      <w:r w:rsidR="00520DC0" w:rsidRPr="00401691">
        <w:rPr>
          <w:rFonts w:asciiTheme="majorHAnsi" w:hAnsiTheme="majorHAnsi" w:cstheme="majorHAnsi"/>
          <w:sz w:val="24"/>
          <w:szCs w:val="24"/>
          <w:lang w:val="ro-MD"/>
        </w:rPr>
        <w:t xml:space="preserve"> de planificare a controalelor fiscale</w:t>
      </w:r>
      <w:r w:rsidR="0042369E" w:rsidRPr="00401691">
        <w:rPr>
          <w:rFonts w:asciiTheme="majorHAnsi" w:hAnsiTheme="majorHAnsi" w:cstheme="majorHAnsi"/>
          <w:sz w:val="24"/>
          <w:szCs w:val="24"/>
          <w:lang w:val="ro-MD"/>
        </w:rPr>
        <w:t>.</w:t>
      </w:r>
      <w:r w:rsidR="00BB334D">
        <w:rPr>
          <w:rFonts w:asciiTheme="majorHAnsi" w:hAnsiTheme="majorHAnsi" w:cstheme="majorHAnsi"/>
          <w:sz w:val="24"/>
          <w:szCs w:val="24"/>
          <w:lang w:val="ro-MD"/>
        </w:rPr>
        <w:t xml:space="preserve"> Î</w:t>
      </w:r>
      <w:r w:rsidR="00A63BC6" w:rsidRPr="001E37F9">
        <w:rPr>
          <w:rFonts w:asciiTheme="majorHAnsi" w:hAnsiTheme="majorHAnsi" w:cstheme="majorHAnsi"/>
          <w:sz w:val="24"/>
          <w:szCs w:val="24"/>
          <w:lang w:val="ro-MD"/>
        </w:rPr>
        <w:t xml:space="preserve">n </w:t>
      </w:r>
      <w:r w:rsidR="008D0E8F" w:rsidRPr="001E37F9">
        <w:rPr>
          <w:rFonts w:asciiTheme="majorHAnsi" w:hAnsiTheme="majorHAnsi" w:cstheme="majorHAnsi"/>
          <w:sz w:val="24"/>
          <w:szCs w:val="24"/>
          <w:lang w:val="ro-MD"/>
        </w:rPr>
        <w:t xml:space="preserve">rezultatul </w:t>
      </w:r>
      <w:r w:rsidR="008D0E8F" w:rsidRPr="001E37F9">
        <w:rPr>
          <w:rFonts w:asciiTheme="majorHAnsi" w:hAnsiTheme="majorHAnsi" w:cstheme="majorHAnsi"/>
          <w:sz w:val="24"/>
          <w:szCs w:val="24"/>
          <w:lang w:val="ro-MD" w:eastAsia="ru-RU"/>
        </w:rPr>
        <w:t>controalelor fiscale exercitate</w:t>
      </w:r>
      <w:r w:rsidR="007B6E56" w:rsidRPr="001E37F9">
        <w:rPr>
          <w:rFonts w:asciiTheme="majorHAnsi" w:hAnsiTheme="majorHAnsi" w:cstheme="majorHAnsi"/>
          <w:sz w:val="24"/>
          <w:szCs w:val="24"/>
          <w:lang w:val="ro-MD" w:eastAsia="ru-RU"/>
        </w:rPr>
        <w:t xml:space="preserve">, subdiviziunile de control </w:t>
      </w:r>
      <w:r w:rsidR="007B6E56" w:rsidRPr="001E37F9">
        <w:rPr>
          <w:rFonts w:asciiTheme="majorHAnsi" w:hAnsiTheme="majorHAnsi" w:cstheme="majorHAnsi"/>
          <w:sz w:val="24"/>
          <w:szCs w:val="24"/>
          <w:lang w:val="ro-MD" w:eastAsia="ru-RU"/>
        </w:rPr>
        <w:lastRenderedPageBreak/>
        <w:t xml:space="preserve">au </w:t>
      </w:r>
      <w:r w:rsidR="008D0E8F" w:rsidRPr="001E37F9">
        <w:rPr>
          <w:rFonts w:asciiTheme="majorHAnsi" w:hAnsiTheme="majorHAnsi" w:cstheme="majorHAnsi"/>
          <w:sz w:val="24"/>
          <w:szCs w:val="24"/>
          <w:lang w:val="ro-MD" w:eastAsia="ru-RU"/>
        </w:rPr>
        <w:t xml:space="preserve">calculat la buget </w:t>
      </w:r>
      <w:r w:rsidR="007B6E56" w:rsidRPr="001E37F9">
        <w:rPr>
          <w:rFonts w:asciiTheme="majorHAnsi" w:hAnsiTheme="majorHAnsi" w:cstheme="majorHAnsi"/>
          <w:sz w:val="24"/>
          <w:szCs w:val="24"/>
          <w:lang w:val="ro-MD" w:eastAsia="ru-RU"/>
        </w:rPr>
        <w:t>obligații fiscale suplimentare</w:t>
      </w:r>
      <w:r w:rsidR="00A63BC6" w:rsidRPr="001E37F9">
        <w:rPr>
          <w:rFonts w:asciiTheme="majorHAnsi" w:hAnsiTheme="majorHAnsi" w:cstheme="majorHAnsi"/>
          <w:sz w:val="24"/>
          <w:szCs w:val="24"/>
          <w:lang w:val="ro-MD" w:eastAsia="ru-RU"/>
        </w:rPr>
        <w:t xml:space="preserve"> în valoare de</w:t>
      </w:r>
      <w:r w:rsidR="008D0E8F" w:rsidRPr="001E37F9">
        <w:rPr>
          <w:rFonts w:asciiTheme="majorHAnsi" w:hAnsiTheme="majorHAnsi" w:cstheme="majorHAnsi"/>
          <w:sz w:val="24"/>
          <w:szCs w:val="24"/>
          <w:lang w:val="ro-MD" w:eastAsia="ru-RU"/>
        </w:rPr>
        <w:t xml:space="preserve"> </w:t>
      </w:r>
      <w:r w:rsidR="007B6E56" w:rsidRPr="001E37F9">
        <w:rPr>
          <w:rFonts w:asciiTheme="majorHAnsi" w:hAnsiTheme="majorHAnsi" w:cstheme="majorHAnsi"/>
          <w:sz w:val="24"/>
          <w:szCs w:val="24"/>
          <w:lang w:val="ro-MD" w:eastAsia="ru-RU"/>
        </w:rPr>
        <w:t>539,8 mil</w:t>
      </w:r>
      <w:r w:rsidR="00C21FCE" w:rsidRPr="001E37F9">
        <w:rPr>
          <w:rFonts w:asciiTheme="majorHAnsi" w:hAnsiTheme="majorHAnsi" w:cstheme="majorHAnsi"/>
          <w:sz w:val="24"/>
          <w:szCs w:val="24"/>
          <w:lang w:val="ro-MD" w:eastAsia="ru-RU"/>
        </w:rPr>
        <w:t>.</w:t>
      </w:r>
      <w:r w:rsidR="007B6E56" w:rsidRPr="001E37F9">
        <w:rPr>
          <w:rFonts w:asciiTheme="majorHAnsi" w:hAnsiTheme="majorHAnsi" w:cstheme="majorHAnsi"/>
          <w:sz w:val="24"/>
          <w:szCs w:val="24"/>
          <w:lang w:val="ro-MD" w:eastAsia="ru-RU"/>
        </w:rPr>
        <w:t xml:space="preserve"> lei, </w:t>
      </w:r>
      <w:r w:rsidR="008D0E8F" w:rsidRPr="001E37F9">
        <w:rPr>
          <w:rFonts w:asciiTheme="majorHAnsi" w:hAnsiTheme="majorHAnsi" w:cstheme="majorHAnsi"/>
          <w:sz w:val="24"/>
          <w:szCs w:val="24"/>
          <w:lang w:val="ro-MD" w:eastAsia="ru-RU"/>
        </w:rPr>
        <w:t xml:space="preserve">din care au fost </w:t>
      </w:r>
      <w:r w:rsidR="00A63BC6" w:rsidRPr="001E37F9">
        <w:rPr>
          <w:rFonts w:asciiTheme="majorHAnsi" w:hAnsiTheme="majorHAnsi" w:cstheme="majorHAnsi"/>
          <w:sz w:val="24"/>
          <w:szCs w:val="24"/>
          <w:lang w:val="ro-MD" w:eastAsia="ru-RU"/>
        </w:rPr>
        <w:t>încasate</w:t>
      </w:r>
      <w:r w:rsidR="008D0E8F" w:rsidRPr="001E37F9">
        <w:rPr>
          <w:rFonts w:asciiTheme="majorHAnsi" w:hAnsiTheme="majorHAnsi" w:cstheme="majorHAnsi"/>
          <w:sz w:val="24"/>
          <w:szCs w:val="24"/>
          <w:lang w:val="ro-MD" w:eastAsia="ru-RU"/>
        </w:rPr>
        <w:t xml:space="preserve"> </w:t>
      </w:r>
      <w:r w:rsidR="007B6E56" w:rsidRPr="001E37F9">
        <w:rPr>
          <w:rFonts w:asciiTheme="majorHAnsi" w:hAnsiTheme="majorHAnsi" w:cstheme="majorHAnsi"/>
          <w:sz w:val="24"/>
          <w:szCs w:val="24"/>
          <w:lang w:val="ro-MD" w:eastAsia="ru-RU"/>
        </w:rPr>
        <w:t>158,1 mil</w:t>
      </w:r>
      <w:r w:rsidR="00A63BC6" w:rsidRPr="001E37F9">
        <w:rPr>
          <w:rFonts w:asciiTheme="majorHAnsi" w:hAnsiTheme="majorHAnsi" w:cstheme="majorHAnsi"/>
          <w:sz w:val="24"/>
          <w:szCs w:val="24"/>
          <w:lang w:val="ro-MD" w:eastAsia="ru-RU"/>
        </w:rPr>
        <w:t>.</w:t>
      </w:r>
      <w:r w:rsidR="007B6E56" w:rsidRPr="001E37F9">
        <w:rPr>
          <w:rFonts w:asciiTheme="majorHAnsi" w:hAnsiTheme="majorHAnsi" w:cstheme="majorHAnsi"/>
          <w:sz w:val="24"/>
          <w:szCs w:val="24"/>
          <w:lang w:val="ro-MD" w:eastAsia="ru-RU"/>
        </w:rPr>
        <w:t xml:space="preserve"> lei, ce constituie 29,3%</w:t>
      </w:r>
      <w:r w:rsidR="008B7D15" w:rsidRPr="001E37F9">
        <w:rPr>
          <w:rFonts w:asciiTheme="majorHAnsi" w:hAnsiTheme="majorHAnsi" w:cstheme="majorHAnsi"/>
          <w:sz w:val="24"/>
          <w:szCs w:val="24"/>
          <w:lang w:val="ro-MD" w:eastAsia="ru-RU"/>
        </w:rPr>
        <w:t xml:space="preserve"> (pct.4.</w:t>
      </w:r>
      <w:r w:rsidR="001E37F9">
        <w:rPr>
          <w:rFonts w:asciiTheme="majorHAnsi" w:hAnsiTheme="majorHAnsi" w:cstheme="majorHAnsi"/>
          <w:sz w:val="24"/>
          <w:szCs w:val="24"/>
          <w:lang w:val="ro-MD" w:eastAsia="ru-RU"/>
        </w:rPr>
        <w:t>1</w:t>
      </w:r>
      <w:r w:rsidR="00932BE7">
        <w:rPr>
          <w:rFonts w:asciiTheme="majorHAnsi" w:hAnsiTheme="majorHAnsi" w:cstheme="majorHAnsi"/>
          <w:sz w:val="24"/>
          <w:szCs w:val="24"/>
          <w:lang w:val="ro-MD" w:eastAsia="ru-RU"/>
        </w:rPr>
        <w:t>.</w:t>
      </w:r>
      <w:r w:rsidR="008B7D15" w:rsidRPr="001E37F9">
        <w:rPr>
          <w:rFonts w:asciiTheme="majorHAnsi" w:hAnsiTheme="majorHAnsi" w:cstheme="majorHAnsi"/>
          <w:sz w:val="24"/>
          <w:szCs w:val="24"/>
          <w:lang w:val="ro-MD" w:eastAsia="ru-RU"/>
        </w:rPr>
        <w:t>)</w:t>
      </w:r>
      <w:r w:rsidR="007B6E56" w:rsidRPr="001E37F9">
        <w:rPr>
          <w:rFonts w:asciiTheme="majorHAnsi" w:hAnsiTheme="majorHAnsi" w:cstheme="majorHAnsi"/>
          <w:sz w:val="24"/>
          <w:szCs w:val="24"/>
          <w:lang w:val="ro-MD" w:eastAsia="ru-RU"/>
        </w:rPr>
        <w:t>.</w:t>
      </w:r>
    </w:p>
    <w:p w:rsidR="005B64F6" w:rsidRPr="00401691" w:rsidRDefault="005B64F6" w:rsidP="00844145">
      <w:pPr>
        <w:pStyle w:val="ListParagraph"/>
        <w:tabs>
          <w:tab w:val="left" w:pos="180"/>
          <w:tab w:val="left" w:pos="270"/>
          <w:tab w:val="left" w:pos="360"/>
          <w:tab w:val="left" w:pos="450"/>
          <w:tab w:val="left" w:pos="540"/>
          <w:tab w:val="left" w:pos="2700"/>
        </w:tabs>
        <w:spacing w:after="0" w:line="276" w:lineRule="auto"/>
        <w:ind w:left="0"/>
        <w:contextualSpacing w:val="0"/>
        <w:jc w:val="center"/>
        <w:rPr>
          <w:rFonts w:asciiTheme="majorHAnsi" w:hAnsiTheme="majorHAnsi" w:cstheme="majorHAnsi"/>
          <w:b/>
          <w:i/>
          <w:sz w:val="24"/>
          <w:szCs w:val="24"/>
          <w:lang w:val="ro-MD"/>
        </w:rPr>
      </w:pPr>
    </w:p>
    <w:p w:rsidR="00CF4971" w:rsidRPr="00401691" w:rsidRDefault="001E658C" w:rsidP="00844145">
      <w:pPr>
        <w:spacing w:line="276" w:lineRule="auto"/>
        <w:jc w:val="both"/>
        <w:rPr>
          <w:rFonts w:asciiTheme="majorHAnsi" w:hAnsiTheme="majorHAnsi" w:cstheme="majorHAnsi"/>
          <w:i/>
          <w:sz w:val="24"/>
          <w:szCs w:val="24"/>
          <w:lang w:val="ro-MD"/>
        </w:rPr>
      </w:pPr>
      <w:r w:rsidRPr="00401691">
        <w:rPr>
          <w:rStyle w:val="ms-rtefontface-3"/>
          <w:rFonts w:asciiTheme="majorHAnsi" w:hAnsiTheme="majorHAnsi" w:cstheme="majorHAnsi"/>
          <w:i/>
          <w:color w:val="1F4E79" w:themeColor="accent1" w:themeShade="80"/>
          <w:sz w:val="24"/>
          <w:szCs w:val="24"/>
          <w:lang w:val="ro-MD"/>
        </w:rPr>
        <w:t xml:space="preserve">Conlucrarea SFS cu organele de drept ale statului </w:t>
      </w:r>
      <w:r w:rsidR="00CF4971" w:rsidRPr="00401691">
        <w:rPr>
          <w:rStyle w:val="ms-rtefontface-3"/>
          <w:rFonts w:asciiTheme="majorHAnsi" w:hAnsiTheme="majorHAnsi" w:cstheme="majorHAnsi"/>
          <w:i/>
          <w:color w:val="1F4E79" w:themeColor="accent1" w:themeShade="80"/>
          <w:sz w:val="24"/>
          <w:szCs w:val="24"/>
          <w:lang w:val="ro-MD"/>
        </w:rPr>
        <w:t>referitor la infracțiunile fiscale</w:t>
      </w:r>
      <w:r w:rsidR="00A93D45" w:rsidRPr="00401691">
        <w:rPr>
          <w:rFonts w:asciiTheme="majorHAnsi" w:hAnsiTheme="majorHAnsi" w:cstheme="majorHAnsi"/>
          <w:b/>
          <w:i/>
          <w:color w:val="1F4E79" w:themeColor="accent1" w:themeShade="80"/>
          <w:sz w:val="24"/>
          <w:szCs w:val="24"/>
          <w:lang w:val="ro-MD"/>
        </w:rPr>
        <w:t xml:space="preserve"> </w:t>
      </w:r>
    </w:p>
    <w:p w:rsidR="008D110F" w:rsidRPr="00401691" w:rsidRDefault="00CF4971" w:rsidP="00844145">
      <w:pPr>
        <w:pStyle w:val="ListParagraph"/>
        <w:numPr>
          <w:ilvl w:val="0"/>
          <w:numId w:val="27"/>
        </w:numPr>
        <w:tabs>
          <w:tab w:val="left" w:pos="180"/>
          <w:tab w:val="left" w:pos="270"/>
          <w:tab w:val="left" w:pos="360"/>
          <w:tab w:val="left" w:pos="450"/>
          <w:tab w:val="left" w:pos="630"/>
        </w:tabs>
        <w:spacing w:after="0" w:line="276" w:lineRule="auto"/>
        <w:ind w:left="0" w:firstLine="0"/>
        <w:contextualSpacing w:val="0"/>
        <w:jc w:val="both"/>
        <w:rPr>
          <w:rFonts w:asciiTheme="majorHAnsi" w:hAnsiTheme="majorHAnsi" w:cstheme="majorHAnsi"/>
          <w:b/>
          <w:i/>
          <w:sz w:val="24"/>
          <w:szCs w:val="24"/>
          <w:lang w:val="ro-MD"/>
        </w:rPr>
      </w:pPr>
      <w:r w:rsidRPr="00401691">
        <w:rPr>
          <w:rFonts w:asciiTheme="majorHAnsi" w:hAnsiTheme="majorHAnsi" w:cstheme="majorHAnsi"/>
          <w:sz w:val="24"/>
          <w:szCs w:val="24"/>
          <w:lang w:val="ro-MD"/>
        </w:rPr>
        <w:t>Deși în cadrul controalelor fiscale</w:t>
      </w:r>
      <w:r w:rsidR="00374DFC" w:rsidRPr="00401691">
        <w:rPr>
          <w:rFonts w:asciiTheme="majorHAnsi" w:hAnsiTheme="majorHAnsi" w:cstheme="majorHAnsi"/>
          <w:sz w:val="24"/>
          <w:szCs w:val="24"/>
          <w:lang w:val="ro-MD"/>
        </w:rPr>
        <w:t xml:space="preserve"> SFS </w:t>
      </w:r>
      <w:r w:rsidRPr="00401691">
        <w:rPr>
          <w:rFonts w:asciiTheme="majorHAnsi" w:hAnsiTheme="majorHAnsi" w:cstheme="majorHAnsi"/>
          <w:sz w:val="24"/>
          <w:szCs w:val="24"/>
          <w:lang w:val="ro-MD"/>
        </w:rPr>
        <w:t xml:space="preserve">sistematic constată infracțiuni fiscale, materialele controalelor fiind remise pentru investigare organelor de drept, </w:t>
      </w:r>
      <w:r w:rsidR="00374DFC" w:rsidRPr="00401691">
        <w:rPr>
          <w:rFonts w:asciiTheme="majorHAnsi" w:hAnsiTheme="majorHAnsi" w:cstheme="majorHAnsi"/>
          <w:sz w:val="24"/>
          <w:szCs w:val="24"/>
          <w:lang w:val="ro-MD"/>
        </w:rPr>
        <w:t xml:space="preserve">instituția </w:t>
      </w:r>
      <w:r w:rsidRPr="00401691">
        <w:rPr>
          <w:rFonts w:asciiTheme="majorHAnsi" w:hAnsiTheme="majorHAnsi" w:cstheme="majorHAnsi"/>
          <w:sz w:val="24"/>
          <w:szCs w:val="24"/>
          <w:lang w:val="ro-MD"/>
        </w:rPr>
        <w:t xml:space="preserve">nu dispune de date privind </w:t>
      </w:r>
      <w:r w:rsidR="00332899">
        <w:rPr>
          <w:rFonts w:asciiTheme="majorHAnsi" w:hAnsiTheme="majorHAnsi" w:cstheme="majorHAnsi"/>
          <w:sz w:val="24"/>
          <w:szCs w:val="24"/>
          <w:lang w:val="ro-MD"/>
        </w:rPr>
        <w:t xml:space="preserve">intentarea acțiunilor de investigare și </w:t>
      </w:r>
      <w:r w:rsidRPr="00401691">
        <w:rPr>
          <w:rFonts w:asciiTheme="majorHAnsi" w:hAnsiTheme="majorHAnsi" w:cstheme="majorHAnsi"/>
          <w:sz w:val="24"/>
          <w:szCs w:val="24"/>
          <w:lang w:val="ro-MD"/>
        </w:rPr>
        <w:t>rezultatele examinării acestora</w:t>
      </w:r>
      <w:r w:rsidR="00332899">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w:t>
      </w:r>
      <w:r w:rsidR="00147558">
        <w:rPr>
          <w:rFonts w:asciiTheme="majorHAnsi" w:hAnsiTheme="majorHAnsi" w:cstheme="majorHAnsi"/>
          <w:sz w:val="24"/>
          <w:szCs w:val="24"/>
          <w:lang w:val="ro-MD"/>
        </w:rPr>
        <w:t>Astfel</w:t>
      </w:r>
      <w:r w:rsidR="00332899">
        <w:rPr>
          <w:rFonts w:asciiTheme="majorHAnsi" w:hAnsiTheme="majorHAnsi" w:cstheme="majorHAnsi"/>
          <w:sz w:val="24"/>
          <w:szCs w:val="24"/>
          <w:lang w:val="ro-MD"/>
        </w:rPr>
        <w:t>, l</w:t>
      </w:r>
      <w:r w:rsidRPr="00401691">
        <w:rPr>
          <w:rFonts w:asciiTheme="majorHAnsi" w:hAnsiTheme="majorHAnsi" w:cstheme="majorHAnsi"/>
          <w:sz w:val="24"/>
          <w:szCs w:val="24"/>
          <w:lang w:val="ro-MD"/>
        </w:rPr>
        <w:t>a solicitarea auditului</w:t>
      </w:r>
      <w:r w:rsidR="00910280">
        <w:rPr>
          <w:rFonts w:asciiTheme="majorHAnsi" w:hAnsiTheme="majorHAnsi" w:cstheme="majorHAnsi"/>
          <w:sz w:val="24"/>
          <w:szCs w:val="24"/>
          <w:lang w:val="ro-MD"/>
        </w:rPr>
        <w:t xml:space="preserve"> public extern</w:t>
      </w:r>
      <w:r w:rsidRPr="00401691">
        <w:rPr>
          <w:rFonts w:asciiTheme="majorHAnsi" w:hAnsiTheme="majorHAnsi" w:cstheme="majorHAnsi"/>
          <w:sz w:val="24"/>
          <w:szCs w:val="24"/>
          <w:lang w:val="ro-MD"/>
        </w:rPr>
        <w:t>, SFS nu a prezentat documente</w:t>
      </w:r>
      <w:r w:rsidR="002207B5" w:rsidRPr="00401691">
        <w:rPr>
          <w:rFonts w:asciiTheme="majorHAnsi" w:hAnsiTheme="majorHAnsi" w:cstheme="majorHAnsi"/>
          <w:sz w:val="24"/>
          <w:szCs w:val="24"/>
          <w:lang w:val="ro-MD"/>
        </w:rPr>
        <w:t xml:space="preserve"> </w:t>
      </w:r>
      <w:r w:rsidRPr="00401691">
        <w:rPr>
          <w:rFonts w:asciiTheme="majorHAnsi" w:hAnsiTheme="majorHAnsi" w:cstheme="majorHAnsi"/>
          <w:sz w:val="24"/>
          <w:szCs w:val="24"/>
          <w:lang w:val="ro-MD"/>
        </w:rPr>
        <w:t xml:space="preserve">care atestă </w:t>
      </w:r>
      <w:r w:rsidR="002207B5" w:rsidRPr="00401691">
        <w:rPr>
          <w:rFonts w:asciiTheme="majorHAnsi" w:hAnsiTheme="majorHAnsi" w:cstheme="majorHAnsi"/>
          <w:sz w:val="24"/>
          <w:szCs w:val="24"/>
          <w:lang w:val="ro-MD"/>
        </w:rPr>
        <w:t xml:space="preserve">deținerea informațiilor despre </w:t>
      </w:r>
      <w:r w:rsidRPr="00401691">
        <w:rPr>
          <w:rFonts w:asciiTheme="majorHAnsi" w:hAnsiTheme="majorHAnsi" w:cstheme="majorHAnsi"/>
          <w:sz w:val="24"/>
          <w:szCs w:val="24"/>
          <w:lang w:val="ro-MD"/>
        </w:rPr>
        <w:t xml:space="preserve">investigarea </w:t>
      </w:r>
      <w:r w:rsidR="0067477E">
        <w:rPr>
          <w:rFonts w:asciiTheme="majorHAnsi" w:hAnsiTheme="majorHAnsi" w:cstheme="majorHAnsi"/>
          <w:sz w:val="24"/>
          <w:szCs w:val="24"/>
          <w:lang w:val="ro-MD"/>
        </w:rPr>
        <w:t xml:space="preserve">de către organele competente a </w:t>
      </w:r>
      <w:r w:rsidRPr="00401691">
        <w:rPr>
          <w:rFonts w:asciiTheme="majorHAnsi" w:hAnsiTheme="majorHAnsi" w:cstheme="majorHAnsi"/>
          <w:sz w:val="24"/>
          <w:szCs w:val="24"/>
          <w:lang w:val="ro-MD"/>
        </w:rPr>
        <w:t>infracțiunilor fiscale („</w:t>
      </w:r>
      <w:proofErr w:type="spellStart"/>
      <w:r w:rsidRPr="00401691">
        <w:rPr>
          <w:rFonts w:asciiTheme="majorHAnsi" w:hAnsiTheme="majorHAnsi" w:cstheme="majorHAnsi"/>
          <w:sz w:val="24"/>
          <w:szCs w:val="24"/>
          <w:lang w:val="ro-MD"/>
        </w:rPr>
        <w:t>pseudoactivitate</w:t>
      </w:r>
      <w:proofErr w:type="spellEnd"/>
      <w:r w:rsidRPr="00401691">
        <w:rPr>
          <w:rFonts w:asciiTheme="majorHAnsi" w:hAnsiTheme="majorHAnsi" w:cstheme="majorHAnsi"/>
          <w:sz w:val="24"/>
          <w:szCs w:val="24"/>
          <w:lang w:val="ro-MD"/>
        </w:rPr>
        <w:t xml:space="preserve">”), </w:t>
      </w:r>
      <w:r w:rsidR="00932BE7">
        <w:rPr>
          <w:rFonts w:asciiTheme="majorHAnsi" w:hAnsiTheme="majorHAnsi" w:cstheme="majorHAnsi"/>
          <w:sz w:val="24"/>
          <w:szCs w:val="24"/>
          <w:lang w:val="ro-MD"/>
        </w:rPr>
        <w:t>legate de neachitare</w:t>
      </w:r>
      <w:r w:rsidR="002207B5" w:rsidRPr="00401691">
        <w:rPr>
          <w:rFonts w:asciiTheme="majorHAnsi" w:hAnsiTheme="majorHAnsi" w:cstheme="majorHAnsi"/>
          <w:sz w:val="24"/>
          <w:szCs w:val="24"/>
          <w:lang w:val="ro-MD"/>
        </w:rPr>
        <w:t>a impozitelor și taxelor cuvenite bugetului în</w:t>
      </w:r>
      <w:r w:rsidRPr="00401691">
        <w:rPr>
          <w:rFonts w:asciiTheme="majorHAnsi" w:hAnsiTheme="majorHAnsi" w:cstheme="majorHAnsi"/>
          <w:sz w:val="24"/>
          <w:szCs w:val="24"/>
          <w:lang w:val="ro-MD"/>
        </w:rPr>
        <w:t xml:space="preserve"> </w:t>
      </w:r>
      <w:r w:rsidR="00932BE7">
        <w:rPr>
          <w:rFonts w:asciiTheme="majorHAnsi" w:hAnsiTheme="majorHAnsi" w:cstheme="majorHAnsi"/>
          <w:sz w:val="24"/>
          <w:szCs w:val="24"/>
          <w:lang w:val="ro-MD"/>
        </w:rPr>
        <w:t>sumă</w:t>
      </w:r>
      <w:r w:rsidRPr="00401691">
        <w:rPr>
          <w:rFonts w:asciiTheme="majorHAnsi" w:hAnsiTheme="majorHAnsi" w:cstheme="majorHAnsi"/>
          <w:sz w:val="24"/>
          <w:szCs w:val="24"/>
          <w:lang w:val="ro-MD"/>
        </w:rPr>
        <w:t xml:space="preserve"> </w:t>
      </w:r>
      <w:r w:rsidR="00932BE7">
        <w:rPr>
          <w:rFonts w:asciiTheme="majorHAnsi" w:hAnsiTheme="majorHAnsi" w:cstheme="majorHAnsi"/>
          <w:sz w:val="24"/>
          <w:szCs w:val="24"/>
          <w:lang w:val="ro-MD"/>
        </w:rPr>
        <w:t xml:space="preserve">de </w:t>
      </w:r>
      <w:r w:rsidRPr="00401691">
        <w:rPr>
          <w:rFonts w:asciiTheme="majorHAnsi" w:hAnsiTheme="majorHAnsi" w:cstheme="majorHAnsi"/>
          <w:sz w:val="24"/>
          <w:szCs w:val="24"/>
          <w:lang w:val="ro-MD"/>
        </w:rPr>
        <w:t>4078,1 mil. lei</w:t>
      </w:r>
      <w:r w:rsidR="00932BE7" w:rsidRPr="00932BE7">
        <w:rPr>
          <w:rFonts w:asciiTheme="majorHAnsi" w:hAnsiTheme="majorHAnsi" w:cstheme="majorHAnsi"/>
          <w:sz w:val="24"/>
          <w:szCs w:val="24"/>
          <w:lang w:val="ro-MD"/>
        </w:rPr>
        <w:t xml:space="preserve"> </w:t>
      </w:r>
      <w:r w:rsidR="00932BE7" w:rsidRPr="00401691">
        <w:rPr>
          <w:rFonts w:asciiTheme="majorHAnsi" w:hAnsiTheme="majorHAnsi" w:cstheme="majorHAnsi"/>
          <w:sz w:val="24"/>
          <w:szCs w:val="24"/>
          <w:lang w:val="ro-MD"/>
        </w:rPr>
        <w:t>de către 16 contribuabili</w:t>
      </w:r>
      <w:r w:rsidRPr="00401691">
        <w:rPr>
          <w:rFonts w:asciiTheme="majorHAnsi" w:hAnsiTheme="majorHAnsi" w:cstheme="majorHAnsi"/>
          <w:sz w:val="24"/>
          <w:szCs w:val="24"/>
          <w:lang w:val="ro-MD"/>
        </w:rPr>
        <w:t>, care au fost verificați în cadrul controalelor fiscale e</w:t>
      </w:r>
      <w:r w:rsidR="00932BE7">
        <w:rPr>
          <w:rFonts w:asciiTheme="majorHAnsi" w:hAnsiTheme="majorHAnsi" w:cstheme="majorHAnsi"/>
          <w:sz w:val="24"/>
          <w:szCs w:val="24"/>
          <w:lang w:val="ro-MD"/>
        </w:rPr>
        <w:t>fectu</w:t>
      </w:r>
      <w:r w:rsidRPr="00401691">
        <w:rPr>
          <w:rFonts w:asciiTheme="majorHAnsi" w:hAnsiTheme="majorHAnsi" w:cstheme="majorHAnsi"/>
          <w:sz w:val="24"/>
          <w:szCs w:val="24"/>
          <w:lang w:val="ro-MD"/>
        </w:rPr>
        <w:t xml:space="preserve">ate în anii 2016-2018. </w:t>
      </w:r>
      <w:r w:rsidR="00374DFC" w:rsidRPr="00401691">
        <w:rPr>
          <w:rFonts w:asciiTheme="majorHAnsi" w:hAnsiTheme="majorHAnsi" w:cstheme="majorHAnsi"/>
          <w:sz w:val="24"/>
          <w:szCs w:val="24"/>
          <w:lang w:val="ro-MD"/>
        </w:rPr>
        <w:t>Cele menționate sunt condiționate și de faptul că SFS nu are încheiate acorduri bilaterale de cooperare cu organele de drept</w:t>
      </w:r>
      <w:r w:rsidR="002207B5" w:rsidRPr="00401691">
        <w:rPr>
          <w:rFonts w:asciiTheme="majorHAnsi" w:hAnsiTheme="majorHAnsi" w:cstheme="majorHAnsi"/>
          <w:sz w:val="24"/>
          <w:szCs w:val="24"/>
          <w:lang w:val="ro-MD"/>
        </w:rPr>
        <w:t xml:space="preserve">, ceea ce ar asigura calitatea datelor </w:t>
      </w:r>
      <w:r w:rsidR="00374DFC" w:rsidRPr="00401691">
        <w:rPr>
          <w:rFonts w:asciiTheme="majorHAnsi" w:hAnsiTheme="majorHAnsi" w:cstheme="majorHAnsi"/>
          <w:sz w:val="24"/>
          <w:szCs w:val="24"/>
          <w:lang w:val="ro-MD"/>
        </w:rPr>
        <w:t>deținute.</w:t>
      </w:r>
      <w:r w:rsidR="00332899" w:rsidRPr="00332899">
        <w:rPr>
          <w:rFonts w:asciiTheme="majorHAnsi" w:hAnsiTheme="majorHAnsi" w:cstheme="majorHAnsi"/>
          <w:sz w:val="24"/>
          <w:szCs w:val="24"/>
          <w:lang w:val="ro-MD"/>
        </w:rPr>
        <w:t xml:space="preserve"> </w:t>
      </w:r>
      <w:r w:rsidR="00332899">
        <w:rPr>
          <w:rFonts w:asciiTheme="majorHAnsi" w:hAnsiTheme="majorHAnsi" w:cstheme="majorHAnsi"/>
          <w:sz w:val="24"/>
          <w:szCs w:val="24"/>
          <w:lang w:val="ro-MD"/>
        </w:rPr>
        <w:t>În consecință, statul este</w:t>
      </w:r>
      <w:r w:rsidR="00332899" w:rsidRPr="00401691">
        <w:rPr>
          <w:rFonts w:asciiTheme="majorHAnsi" w:hAnsiTheme="majorHAnsi" w:cstheme="majorHAnsi"/>
          <w:sz w:val="24"/>
          <w:szCs w:val="24"/>
          <w:lang w:val="ro-MD"/>
        </w:rPr>
        <w:t xml:space="preserve"> lipsit de venituri </w:t>
      </w:r>
      <w:r w:rsidR="00332899">
        <w:rPr>
          <w:rFonts w:asciiTheme="majorHAnsi" w:hAnsiTheme="majorHAnsi" w:cstheme="majorHAnsi"/>
          <w:sz w:val="24"/>
          <w:szCs w:val="24"/>
          <w:lang w:val="ro-MD"/>
        </w:rPr>
        <w:t xml:space="preserve">rezultate din </w:t>
      </w:r>
      <w:r w:rsidR="00332899" w:rsidRPr="00401691">
        <w:rPr>
          <w:rFonts w:asciiTheme="majorHAnsi" w:hAnsiTheme="majorHAnsi" w:cstheme="majorHAnsi"/>
          <w:sz w:val="24"/>
          <w:szCs w:val="24"/>
          <w:lang w:val="ro-MD"/>
        </w:rPr>
        <w:t>aplic</w:t>
      </w:r>
      <w:r w:rsidR="00332899">
        <w:rPr>
          <w:rFonts w:asciiTheme="majorHAnsi" w:hAnsiTheme="majorHAnsi" w:cstheme="majorHAnsi"/>
          <w:sz w:val="24"/>
          <w:szCs w:val="24"/>
          <w:lang w:val="ro-MD"/>
        </w:rPr>
        <w:t xml:space="preserve">area </w:t>
      </w:r>
      <w:r w:rsidR="00332899" w:rsidRPr="00401691">
        <w:rPr>
          <w:rFonts w:asciiTheme="majorHAnsi" w:hAnsiTheme="majorHAnsi" w:cstheme="majorHAnsi"/>
          <w:sz w:val="24"/>
          <w:szCs w:val="24"/>
          <w:lang w:val="ro-MD"/>
        </w:rPr>
        <w:t xml:space="preserve">schemelor operate sub paravanul firmelor care desfășoară </w:t>
      </w:r>
      <w:proofErr w:type="spellStart"/>
      <w:r w:rsidR="00332899" w:rsidRPr="00401691">
        <w:rPr>
          <w:rFonts w:asciiTheme="majorHAnsi" w:hAnsiTheme="majorHAnsi" w:cstheme="majorHAnsi"/>
          <w:sz w:val="24"/>
          <w:szCs w:val="24"/>
          <w:lang w:val="ro-MD"/>
        </w:rPr>
        <w:t>presudoactivitate</w:t>
      </w:r>
      <w:proofErr w:type="spellEnd"/>
      <w:r w:rsidR="00332899" w:rsidRPr="00401691">
        <w:rPr>
          <w:rFonts w:asciiTheme="majorHAnsi" w:hAnsiTheme="majorHAnsi" w:cstheme="majorHAnsi"/>
          <w:sz w:val="24"/>
          <w:szCs w:val="24"/>
          <w:lang w:val="ro-MD"/>
        </w:rPr>
        <w:t xml:space="preserve"> și nu </w:t>
      </w:r>
      <w:r w:rsidR="00932BE7">
        <w:rPr>
          <w:rFonts w:asciiTheme="majorHAnsi" w:hAnsiTheme="majorHAnsi" w:cstheme="majorHAnsi"/>
          <w:sz w:val="24"/>
          <w:szCs w:val="24"/>
          <w:lang w:val="ro-MD"/>
        </w:rPr>
        <w:t>poartă</w:t>
      </w:r>
      <w:r w:rsidR="00332899" w:rsidRPr="00401691">
        <w:rPr>
          <w:rFonts w:asciiTheme="majorHAnsi" w:hAnsiTheme="majorHAnsi" w:cstheme="majorHAnsi"/>
          <w:sz w:val="24"/>
          <w:szCs w:val="24"/>
          <w:lang w:val="ro-MD"/>
        </w:rPr>
        <w:t xml:space="preserve"> responsabilitate pentru aceste infracțiuni fiscale</w:t>
      </w:r>
      <w:r w:rsidR="00332899" w:rsidRPr="00332899">
        <w:rPr>
          <w:rFonts w:asciiTheme="majorHAnsi" w:hAnsiTheme="majorHAnsi" w:cstheme="majorHAnsi"/>
          <w:sz w:val="24"/>
          <w:szCs w:val="24"/>
          <w:lang w:val="ro-MD"/>
        </w:rPr>
        <w:t xml:space="preserve"> </w:t>
      </w:r>
      <w:r w:rsidR="00332899">
        <w:rPr>
          <w:rFonts w:asciiTheme="majorHAnsi" w:hAnsiTheme="majorHAnsi" w:cstheme="majorHAnsi"/>
          <w:sz w:val="24"/>
          <w:szCs w:val="24"/>
          <w:lang w:val="ro-MD"/>
        </w:rPr>
        <w:t>(pct.4.3</w:t>
      </w:r>
      <w:r w:rsidR="00932BE7">
        <w:rPr>
          <w:rFonts w:asciiTheme="majorHAnsi" w:hAnsiTheme="majorHAnsi" w:cstheme="majorHAnsi"/>
          <w:sz w:val="24"/>
          <w:szCs w:val="24"/>
          <w:lang w:val="ro-MD"/>
        </w:rPr>
        <w:t>.</w:t>
      </w:r>
      <w:r w:rsidR="00332899">
        <w:rPr>
          <w:rFonts w:asciiTheme="majorHAnsi" w:hAnsiTheme="majorHAnsi" w:cstheme="majorHAnsi"/>
          <w:sz w:val="24"/>
          <w:szCs w:val="24"/>
          <w:lang w:val="ro-MD"/>
        </w:rPr>
        <w:t>).</w:t>
      </w:r>
    </w:p>
    <w:p w:rsidR="008D110F" w:rsidRDefault="008D110F" w:rsidP="00844145">
      <w:pPr>
        <w:spacing w:line="276" w:lineRule="auto"/>
        <w:rPr>
          <w:lang w:val="ro-MD"/>
        </w:rPr>
      </w:pPr>
    </w:p>
    <w:p w:rsidR="00A44F7B" w:rsidRPr="00996380" w:rsidRDefault="00A44F7B" w:rsidP="00844145">
      <w:pPr>
        <w:pStyle w:val="Heading1"/>
        <w:numPr>
          <w:ilvl w:val="0"/>
          <w:numId w:val="32"/>
        </w:numPr>
        <w:tabs>
          <w:tab w:val="left" w:pos="2880"/>
        </w:tabs>
        <w:spacing w:line="276" w:lineRule="auto"/>
        <w:ind w:left="540" w:hanging="270"/>
        <w:jc w:val="center"/>
        <w:rPr>
          <w:i w:val="0"/>
          <w:color w:val="002060"/>
          <w:sz w:val="24"/>
          <w:szCs w:val="24"/>
          <w:lang w:val="ro-MD"/>
        </w:rPr>
      </w:pPr>
      <w:bookmarkStart w:id="4" w:name="_Toc48732716"/>
      <w:r w:rsidRPr="00996380">
        <w:rPr>
          <w:i w:val="0"/>
          <w:color w:val="002060"/>
          <w:sz w:val="24"/>
          <w:szCs w:val="24"/>
          <w:lang w:val="ro-MD"/>
        </w:rPr>
        <w:lastRenderedPageBreak/>
        <w:t>PREZENTARE GENERALĂ</w:t>
      </w:r>
      <w:r w:rsidR="0072702F" w:rsidRPr="00996380">
        <w:rPr>
          <w:i w:val="0"/>
          <w:color w:val="002060"/>
          <w:sz w:val="24"/>
          <w:szCs w:val="24"/>
          <w:lang w:val="ro-MD"/>
        </w:rPr>
        <w:t xml:space="preserve"> A ENTITĂȚII AUDITATE</w:t>
      </w:r>
      <w:bookmarkEnd w:id="4"/>
    </w:p>
    <w:p w:rsidR="008D4684" w:rsidRPr="00401691" w:rsidRDefault="00A76DA0" w:rsidP="00844145">
      <w:pPr>
        <w:spacing w:line="276" w:lineRule="auto"/>
        <w:jc w:val="both"/>
        <w:rPr>
          <w:rFonts w:asciiTheme="majorHAnsi" w:hAnsiTheme="majorHAnsi" w:cstheme="majorHAnsi"/>
          <w:sz w:val="24"/>
          <w:szCs w:val="24"/>
          <w:lang w:val="ro-MD"/>
        </w:rPr>
      </w:pPr>
      <w:r w:rsidRPr="00401691">
        <w:rPr>
          <w:rFonts w:asciiTheme="majorHAnsi" w:hAnsiTheme="majorHAnsi" w:cstheme="majorHAnsi"/>
          <w:sz w:val="24"/>
          <w:szCs w:val="24"/>
          <w:lang w:val="ro-MD"/>
        </w:rPr>
        <w:t>SF</w:t>
      </w:r>
      <w:r w:rsidR="00DD0B64" w:rsidRPr="00401691">
        <w:rPr>
          <w:rFonts w:asciiTheme="majorHAnsi" w:hAnsiTheme="majorHAnsi" w:cstheme="majorHAnsi"/>
          <w:sz w:val="24"/>
          <w:szCs w:val="24"/>
          <w:lang w:val="ro-MD"/>
        </w:rPr>
        <w:t>S</w:t>
      </w:r>
      <w:r w:rsidR="00456E95">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în calitate de organ al statului </w:t>
      </w:r>
      <w:r w:rsidR="008D4684" w:rsidRPr="00401691">
        <w:rPr>
          <w:rFonts w:asciiTheme="majorHAnsi" w:hAnsiTheme="majorHAnsi" w:cstheme="majorHAnsi"/>
          <w:sz w:val="24"/>
          <w:szCs w:val="24"/>
          <w:lang w:val="ro-MD"/>
        </w:rPr>
        <w:t>împuternicit</w:t>
      </w:r>
      <w:r w:rsidRPr="00401691">
        <w:rPr>
          <w:rFonts w:asciiTheme="majorHAnsi" w:hAnsiTheme="majorHAnsi" w:cstheme="majorHAnsi"/>
          <w:sz w:val="24"/>
          <w:szCs w:val="24"/>
          <w:lang w:val="ro-MD"/>
        </w:rPr>
        <w:t xml:space="preserve"> cu acti</w:t>
      </w:r>
      <w:r w:rsidR="001E74BA" w:rsidRPr="00401691">
        <w:rPr>
          <w:rFonts w:asciiTheme="majorHAnsi" w:hAnsiTheme="majorHAnsi" w:cstheme="majorHAnsi"/>
          <w:sz w:val="24"/>
          <w:szCs w:val="24"/>
          <w:lang w:val="ro-MD"/>
        </w:rPr>
        <w:t>vități de administrare fiscală</w:t>
      </w:r>
      <w:r w:rsidR="00456E95">
        <w:rPr>
          <w:rFonts w:asciiTheme="majorHAnsi" w:hAnsiTheme="majorHAnsi" w:cstheme="majorHAnsi"/>
          <w:sz w:val="24"/>
          <w:szCs w:val="24"/>
          <w:lang w:val="ro-MD"/>
        </w:rPr>
        <w:t>,</w:t>
      </w:r>
      <w:r w:rsidR="001E74BA" w:rsidRPr="00401691">
        <w:rPr>
          <w:rFonts w:asciiTheme="majorHAnsi" w:hAnsiTheme="majorHAnsi" w:cstheme="majorHAnsi"/>
          <w:sz w:val="24"/>
          <w:szCs w:val="24"/>
          <w:lang w:val="ro-MD"/>
        </w:rPr>
        <w:t xml:space="preserve"> </w:t>
      </w:r>
      <w:r w:rsidRPr="00401691">
        <w:rPr>
          <w:rFonts w:asciiTheme="majorHAnsi" w:hAnsiTheme="majorHAnsi" w:cstheme="majorHAnsi"/>
          <w:sz w:val="24"/>
          <w:szCs w:val="24"/>
          <w:lang w:val="ro-MD"/>
        </w:rPr>
        <w:t xml:space="preserve">este </w:t>
      </w:r>
      <w:r w:rsidR="008D4684" w:rsidRPr="00401691">
        <w:rPr>
          <w:rFonts w:asciiTheme="majorHAnsi" w:hAnsiTheme="majorHAnsi" w:cstheme="majorHAnsi"/>
          <w:sz w:val="24"/>
          <w:szCs w:val="24"/>
          <w:lang w:val="ro-MD"/>
        </w:rPr>
        <w:t>responsabil de asigurarea colectării depline și la termen a impozitelor și taxelor, a penalităților și amenzilor în bugetele de toate nivelurile, precum și de efectuarea acțiunilor de urmărire penală în caz de existență a unor circumstanțe ce atestă comiterea infracțiunilor fiscale.</w:t>
      </w:r>
    </w:p>
    <w:p w:rsidR="0072702F" w:rsidRPr="00401691" w:rsidRDefault="005976CB" w:rsidP="00844145">
      <w:pPr>
        <w:pStyle w:val="ListParagraph"/>
        <w:spacing w:after="120" w:line="276" w:lineRule="auto"/>
        <w:ind w:left="0"/>
        <w:contextualSpacing w:val="0"/>
        <w:jc w:val="both"/>
        <w:rPr>
          <w:rFonts w:asciiTheme="majorHAnsi" w:hAnsiTheme="majorHAnsi" w:cstheme="majorHAnsi"/>
          <w:sz w:val="24"/>
          <w:szCs w:val="24"/>
          <w:lang w:val="ro-MD"/>
        </w:rPr>
      </w:pPr>
      <w:r w:rsidRPr="00401691">
        <w:rPr>
          <w:rFonts w:asciiTheme="majorHAnsi" w:hAnsiTheme="majorHAnsi" w:cstheme="majorHAnsi"/>
          <w:sz w:val="24"/>
          <w:szCs w:val="24"/>
          <w:lang w:val="ro-MD"/>
        </w:rPr>
        <w:t xml:space="preserve">Este evident </w:t>
      </w:r>
      <w:r w:rsidR="0072702F" w:rsidRPr="00401691">
        <w:rPr>
          <w:rFonts w:asciiTheme="majorHAnsi" w:hAnsiTheme="majorHAnsi" w:cstheme="majorHAnsi"/>
          <w:sz w:val="24"/>
          <w:szCs w:val="24"/>
          <w:lang w:val="ro-MD"/>
        </w:rPr>
        <w:t>rol</w:t>
      </w:r>
      <w:r w:rsidRPr="00401691">
        <w:rPr>
          <w:rFonts w:asciiTheme="majorHAnsi" w:hAnsiTheme="majorHAnsi" w:cstheme="majorHAnsi"/>
          <w:sz w:val="24"/>
          <w:szCs w:val="24"/>
          <w:lang w:val="ro-MD"/>
        </w:rPr>
        <w:t>ul</w:t>
      </w:r>
      <w:r w:rsidR="0072702F" w:rsidRPr="00401691">
        <w:rPr>
          <w:rFonts w:asciiTheme="majorHAnsi" w:hAnsiTheme="majorHAnsi" w:cstheme="majorHAnsi"/>
          <w:sz w:val="24"/>
          <w:szCs w:val="24"/>
          <w:lang w:val="ro-MD"/>
        </w:rPr>
        <w:t xml:space="preserve"> important </w:t>
      </w:r>
      <w:r w:rsidRPr="00401691">
        <w:rPr>
          <w:rFonts w:asciiTheme="majorHAnsi" w:hAnsiTheme="majorHAnsi" w:cstheme="majorHAnsi"/>
          <w:sz w:val="24"/>
          <w:szCs w:val="24"/>
          <w:lang w:val="ro-MD"/>
        </w:rPr>
        <w:t xml:space="preserve">care </w:t>
      </w:r>
      <w:r w:rsidR="00DD0B64" w:rsidRPr="00401691">
        <w:rPr>
          <w:rFonts w:asciiTheme="majorHAnsi" w:hAnsiTheme="majorHAnsi" w:cstheme="majorHAnsi"/>
          <w:sz w:val="24"/>
          <w:szCs w:val="24"/>
          <w:lang w:val="ro-MD"/>
        </w:rPr>
        <w:t xml:space="preserve">revine SFS privind aplicarea instrumentelor de </w:t>
      </w:r>
      <w:r w:rsidR="0072702F" w:rsidRPr="00401691">
        <w:rPr>
          <w:rFonts w:asciiTheme="majorHAnsi" w:hAnsiTheme="majorHAnsi" w:cstheme="majorHAnsi"/>
          <w:sz w:val="24"/>
          <w:szCs w:val="24"/>
          <w:lang w:val="ro-MD"/>
        </w:rPr>
        <w:t>administr</w:t>
      </w:r>
      <w:r w:rsidR="001E74BA" w:rsidRPr="00401691">
        <w:rPr>
          <w:rFonts w:asciiTheme="majorHAnsi" w:hAnsiTheme="majorHAnsi" w:cstheme="majorHAnsi"/>
          <w:sz w:val="24"/>
          <w:szCs w:val="24"/>
          <w:lang w:val="ro-MD"/>
        </w:rPr>
        <w:t>are</w:t>
      </w:r>
      <w:r w:rsidR="0072702F" w:rsidRPr="00401691">
        <w:rPr>
          <w:rFonts w:asciiTheme="majorHAnsi" w:hAnsiTheme="majorHAnsi" w:cstheme="majorHAnsi"/>
          <w:sz w:val="24"/>
          <w:szCs w:val="24"/>
          <w:lang w:val="ro-MD"/>
        </w:rPr>
        <w:t xml:space="preserve"> fiscal</w:t>
      </w:r>
      <w:r w:rsidR="00DD0B64" w:rsidRPr="00401691">
        <w:rPr>
          <w:rFonts w:asciiTheme="majorHAnsi" w:hAnsiTheme="majorHAnsi" w:cstheme="majorHAnsi"/>
          <w:sz w:val="24"/>
          <w:szCs w:val="24"/>
          <w:lang w:val="ro-MD"/>
        </w:rPr>
        <w:t>ă</w:t>
      </w:r>
      <w:r w:rsidR="0072702F" w:rsidRPr="00401691">
        <w:rPr>
          <w:rFonts w:asciiTheme="majorHAnsi" w:hAnsiTheme="majorHAnsi" w:cstheme="majorHAnsi"/>
          <w:sz w:val="24"/>
          <w:szCs w:val="24"/>
          <w:lang w:val="ro-MD"/>
        </w:rPr>
        <w:t>, pornind de la faptul că anume prin intermediul acestor</w:t>
      </w:r>
      <w:r w:rsidR="00DD0B64" w:rsidRPr="00401691">
        <w:rPr>
          <w:rFonts w:asciiTheme="majorHAnsi" w:hAnsiTheme="majorHAnsi" w:cstheme="majorHAnsi"/>
          <w:sz w:val="24"/>
          <w:szCs w:val="24"/>
          <w:lang w:val="ro-MD"/>
        </w:rPr>
        <w:t>a</w:t>
      </w:r>
      <w:r w:rsidR="0072702F" w:rsidRPr="00401691">
        <w:rPr>
          <w:rFonts w:asciiTheme="majorHAnsi" w:hAnsiTheme="majorHAnsi" w:cstheme="majorHAnsi"/>
          <w:sz w:val="24"/>
          <w:szCs w:val="24"/>
          <w:lang w:val="ro-MD"/>
        </w:rPr>
        <w:t xml:space="preserve"> se asigură colectarea resurselor financiare la BNP, </w:t>
      </w:r>
      <w:r w:rsidR="0073430F" w:rsidRPr="00401691">
        <w:rPr>
          <w:rFonts w:asciiTheme="majorHAnsi" w:hAnsiTheme="majorHAnsi" w:cstheme="majorHAnsi"/>
          <w:sz w:val="24"/>
          <w:szCs w:val="24"/>
          <w:lang w:val="ro-MD"/>
        </w:rPr>
        <w:t xml:space="preserve">inclusiv la bugetul de stat, </w:t>
      </w:r>
      <w:r w:rsidR="0072702F" w:rsidRPr="00401691">
        <w:rPr>
          <w:rFonts w:asciiTheme="majorHAnsi" w:hAnsiTheme="majorHAnsi" w:cstheme="majorHAnsi"/>
          <w:sz w:val="24"/>
          <w:szCs w:val="24"/>
          <w:lang w:val="ro-MD"/>
        </w:rPr>
        <w:t>în scopul finanțării cheltuielilor în domeniile social</w:t>
      </w:r>
      <w:r w:rsidR="00456E95">
        <w:rPr>
          <w:rFonts w:asciiTheme="majorHAnsi" w:hAnsiTheme="majorHAnsi" w:cstheme="majorHAnsi"/>
          <w:sz w:val="24"/>
          <w:szCs w:val="24"/>
          <w:lang w:val="ro-MD"/>
        </w:rPr>
        <w:t xml:space="preserve">e </w:t>
      </w:r>
      <w:r w:rsidR="0072702F" w:rsidRPr="00401691">
        <w:rPr>
          <w:rFonts w:asciiTheme="majorHAnsi" w:hAnsiTheme="majorHAnsi" w:cstheme="majorHAnsi"/>
          <w:sz w:val="24"/>
          <w:szCs w:val="24"/>
          <w:lang w:val="ro-MD"/>
        </w:rPr>
        <w:t xml:space="preserve">importante ale statului. </w:t>
      </w:r>
    </w:p>
    <w:p w:rsidR="00F931B5" w:rsidRPr="00401691" w:rsidRDefault="00E84F6B" w:rsidP="00844145">
      <w:pPr>
        <w:pStyle w:val="ListParagraph"/>
        <w:spacing w:after="120" w:line="276" w:lineRule="auto"/>
        <w:ind w:left="0"/>
        <w:contextualSpacing w:val="0"/>
        <w:jc w:val="both"/>
        <w:rPr>
          <w:rFonts w:asciiTheme="majorHAnsi" w:eastAsia="Calibri" w:hAnsiTheme="majorHAnsi" w:cstheme="majorHAnsi"/>
          <w:sz w:val="24"/>
          <w:szCs w:val="24"/>
          <w:lang w:val="ro-MD"/>
        </w:rPr>
      </w:pPr>
      <w:r w:rsidRPr="00401691">
        <w:rPr>
          <w:rFonts w:asciiTheme="majorHAnsi" w:eastAsia="Calibri" w:hAnsiTheme="majorHAnsi" w:cstheme="majorHAnsi"/>
          <w:sz w:val="24"/>
          <w:szCs w:val="24"/>
          <w:lang w:val="ro-MD"/>
        </w:rPr>
        <w:t>Conform Regulamentului privind organizarea și funcționarea Serviciului Fiscal de Stat</w:t>
      </w:r>
      <w:r w:rsidRPr="00401691">
        <w:rPr>
          <w:rStyle w:val="FootnoteReference"/>
          <w:rFonts w:asciiTheme="majorHAnsi" w:eastAsia="Calibri" w:hAnsiTheme="majorHAnsi" w:cstheme="majorHAnsi"/>
          <w:sz w:val="24"/>
          <w:szCs w:val="24"/>
          <w:lang w:val="ro-MD"/>
        </w:rPr>
        <w:footnoteReference w:id="1"/>
      </w:r>
      <w:r w:rsidRPr="00401691">
        <w:rPr>
          <w:rFonts w:asciiTheme="majorHAnsi" w:eastAsia="Calibri" w:hAnsiTheme="majorHAnsi" w:cstheme="majorHAnsi"/>
          <w:sz w:val="24"/>
          <w:szCs w:val="24"/>
          <w:lang w:val="ro-MD"/>
        </w:rPr>
        <w:t xml:space="preserve">, misiunea SFS constă în administrarea fiscală prin crearea de condiții contribuabililor pentru conformare la respectarea legislației, monitorizarea procesului de conformare, aplicarea uniformă a politicii și reglementărilor </w:t>
      </w:r>
      <w:r w:rsidR="00456E95">
        <w:rPr>
          <w:rFonts w:asciiTheme="majorHAnsi" w:eastAsia="Calibri" w:hAnsiTheme="majorHAnsi" w:cstheme="majorHAnsi"/>
          <w:sz w:val="24"/>
          <w:szCs w:val="24"/>
          <w:lang w:val="ro-MD"/>
        </w:rPr>
        <w:t>î</w:t>
      </w:r>
      <w:r w:rsidRPr="00401691">
        <w:rPr>
          <w:rFonts w:asciiTheme="majorHAnsi" w:eastAsia="Calibri" w:hAnsiTheme="majorHAnsi" w:cstheme="majorHAnsi"/>
          <w:sz w:val="24"/>
          <w:szCs w:val="24"/>
          <w:lang w:val="ro-MD"/>
        </w:rPr>
        <w:t xml:space="preserve">n domeniul fiscal. </w:t>
      </w:r>
      <w:r w:rsidR="00F931B5" w:rsidRPr="00401691">
        <w:rPr>
          <w:rFonts w:asciiTheme="majorHAnsi" w:eastAsia="Calibri" w:hAnsiTheme="majorHAnsi" w:cstheme="majorHAnsi"/>
          <w:sz w:val="24"/>
          <w:szCs w:val="24"/>
          <w:lang w:val="ro-MD"/>
        </w:rPr>
        <w:t xml:space="preserve">Obiectivul major al SFS este asigurarea colectării și onorării de către contribuabili a părții de venituri la plățile administrate de către instituție. </w:t>
      </w:r>
    </w:p>
    <w:p w:rsidR="00F931B5" w:rsidRPr="00401691" w:rsidRDefault="00F931B5" w:rsidP="00844145">
      <w:pPr>
        <w:pStyle w:val="ListParagraph"/>
        <w:spacing w:after="120" w:line="276" w:lineRule="auto"/>
        <w:ind w:left="0"/>
        <w:jc w:val="both"/>
        <w:rPr>
          <w:rFonts w:asciiTheme="majorHAnsi" w:eastAsia="Calibri" w:hAnsiTheme="majorHAnsi" w:cstheme="majorHAnsi"/>
          <w:sz w:val="24"/>
          <w:szCs w:val="24"/>
          <w:lang w:val="ro-MD"/>
        </w:rPr>
      </w:pPr>
      <w:r w:rsidRPr="00401691">
        <w:rPr>
          <w:rFonts w:asciiTheme="majorHAnsi" w:eastAsia="Calibri" w:hAnsiTheme="majorHAnsi" w:cstheme="majorHAnsi"/>
          <w:sz w:val="24"/>
          <w:szCs w:val="24"/>
          <w:lang w:val="ro-MD"/>
        </w:rPr>
        <w:t>În rezultatul reformei instituționale a SFS, car</w:t>
      </w:r>
      <w:r w:rsidR="00366AE8">
        <w:rPr>
          <w:rFonts w:asciiTheme="majorHAnsi" w:eastAsia="Calibri" w:hAnsiTheme="majorHAnsi" w:cstheme="majorHAnsi"/>
          <w:sz w:val="24"/>
          <w:szCs w:val="24"/>
          <w:lang w:val="ro-MD"/>
        </w:rPr>
        <w:t>e a fost inițiată în anul 2017,</w:t>
      </w:r>
      <w:r w:rsidRPr="00401691">
        <w:rPr>
          <w:rFonts w:asciiTheme="majorHAnsi" w:eastAsia="Calibri" w:hAnsiTheme="majorHAnsi" w:cstheme="majorHAnsi"/>
          <w:sz w:val="24"/>
          <w:szCs w:val="24"/>
          <w:lang w:val="ro-MD"/>
        </w:rPr>
        <w:t xml:space="preserve"> </w:t>
      </w:r>
      <w:r w:rsidR="00E545E0" w:rsidRPr="00401691">
        <w:rPr>
          <w:rFonts w:asciiTheme="majorHAnsi" w:eastAsia="Calibri" w:hAnsiTheme="majorHAnsi" w:cstheme="majorHAnsi"/>
          <w:sz w:val="24"/>
          <w:szCs w:val="24"/>
          <w:lang w:val="ro-MD"/>
        </w:rPr>
        <w:t xml:space="preserve">instituția a devenit </w:t>
      </w:r>
      <w:r w:rsidRPr="00401691">
        <w:rPr>
          <w:rFonts w:asciiTheme="majorHAnsi" w:eastAsia="Calibri" w:hAnsiTheme="majorHAnsi" w:cstheme="majorHAnsi"/>
          <w:sz w:val="24"/>
          <w:szCs w:val="24"/>
          <w:lang w:val="ro-MD"/>
        </w:rPr>
        <w:t xml:space="preserve">un organ unificat cu </w:t>
      </w:r>
      <w:r w:rsidRPr="00401691">
        <w:rPr>
          <w:rFonts w:asciiTheme="majorHAnsi" w:eastAsia="Calibri" w:hAnsiTheme="majorHAnsi" w:cstheme="majorHAnsi"/>
          <w:sz w:val="24"/>
          <w:szCs w:val="24"/>
          <w:lang w:val="ro-MD"/>
        </w:rPr>
        <w:lastRenderedPageBreak/>
        <w:t>competență teritorială pe întreg teritoriul R</w:t>
      </w:r>
      <w:r w:rsidR="00910280">
        <w:rPr>
          <w:rFonts w:asciiTheme="majorHAnsi" w:eastAsia="Calibri" w:hAnsiTheme="majorHAnsi" w:cstheme="majorHAnsi"/>
          <w:sz w:val="24"/>
          <w:szCs w:val="24"/>
          <w:lang w:val="ro-MD"/>
        </w:rPr>
        <w:t>epublicii Moldova</w:t>
      </w:r>
      <w:r w:rsidRPr="00401691">
        <w:rPr>
          <w:rFonts w:asciiTheme="majorHAnsi" w:eastAsia="Calibri" w:hAnsiTheme="majorHAnsi" w:cstheme="majorHAnsi"/>
          <w:sz w:val="24"/>
          <w:szCs w:val="24"/>
          <w:lang w:val="ro-MD"/>
        </w:rPr>
        <w:t>. Personalul instituției este concentrat într-o structură centralizată,</w:t>
      </w:r>
      <w:r w:rsidR="00E545E0" w:rsidRPr="00401691">
        <w:rPr>
          <w:rFonts w:asciiTheme="majorHAnsi" w:eastAsia="Calibri" w:hAnsiTheme="majorHAnsi" w:cstheme="majorHAnsi"/>
          <w:sz w:val="24"/>
          <w:szCs w:val="24"/>
          <w:lang w:val="ro-MD"/>
        </w:rPr>
        <w:t xml:space="preserve"> care include</w:t>
      </w:r>
      <w:r w:rsidRPr="00401691">
        <w:rPr>
          <w:rFonts w:asciiTheme="majorHAnsi" w:eastAsia="Calibri" w:hAnsiTheme="majorHAnsi" w:cstheme="majorHAnsi"/>
          <w:sz w:val="24"/>
          <w:szCs w:val="24"/>
          <w:lang w:val="ro-MD"/>
        </w:rPr>
        <w:t xml:space="preserve">: </w:t>
      </w:r>
    </w:p>
    <w:p w:rsidR="00E545E0" w:rsidRPr="00401691" w:rsidRDefault="00F931B5" w:rsidP="00844145">
      <w:pPr>
        <w:pStyle w:val="ListParagraph"/>
        <w:numPr>
          <w:ilvl w:val="0"/>
          <w:numId w:val="1"/>
        </w:numPr>
        <w:tabs>
          <w:tab w:val="left" w:pos="990"/>
        </w:tabs>
        <w:spacing w:after="0" w:line="276" w:lineRule="auto"/>
        <w:ind w:left="720" w:firstLine="0"/>
        <w:contextualSpacing w:val="0"/>
        <w:jc w:val="both"/>
        <w:rPr>
          <w:rFonts w:asciiTheme="majorHAnsi" w:eastAsia="Calibri" w:hAnsiTheme="majorHAnsi" w:cstheme="majorHAnsi"/>
          <w:sz w:val="24"/>
          <w:szCs w:val="24"/>
          <w:lang w:val="ro-MD"/>
        </w:rPr>
      </w:pPr>
      <w:r w:rsidRPr="00401691">
        <w:rPr>
          <w:rFonts w:asciiTheme="majorHAnsi" w:eastAsia="Calibri" w:hAnsiTheme="majorHAnsi" w:cstheme="majorHAnsi"/>
          <w:sz w:val="24"/>
          <w:szCs w:val="24"/>
          <w:lang w:val="ro-MD"/>
        </w:rPr>
        <w:t xml:space="preserve">aparatul central, responsabil de aspectele metodologice, de suport și gestiune; </w:t>
      </w:r>
    </w:p>
    <w:p w:rsidR="00F931B5" w:rsidRPr="00401691" w:rsidRDefault="00F931B5" w:rsidP="00844145">
      <w:pPr>
        <w:pStyle w:val="ListParagraph"/>
        <w:numPr>
          <w:ilvl w:val="0"/>
          <w:numId w:val="1"/>
        </w:numPr>
        <w:tabs>
          <w:tab w:val="left" w:pos="990"/>
        </w:tabs>
        <w:spacing w:after="120" w:line="276" w:lineRule="auto"/>
        <w:ind w:left="720" w:firstLine="0"/>
        <w:contextualSpacing w:val="0"/>
        <w:jc w:val="both"/>
        <w:rPr>
          <w:rFonts w:asciiTheme="majorHAnsi" w:eastAsia="Calibri" w:hAnsiTheme="majorHAnsi" w:cstheme="majorHAnsi"/>
          <w:sz w:val="24"/>
          <w:szCs w:val="24"/>
          <w:lang w:val="ro-MD"/>
        </w:rPr>
      </w:pPr>
      <w:r w:rsidRPr="00401691">
        <w:rPr>
          <w:rFonts w:asciiTheme="majorHAnsi" w:eastAsia="Calibri" w:hAnsiTheme="majorHAnsi" w:cstheme="majorHAnsi"/>
          <w:sz w:val="24"/>
          <w:szCs w:val="24"/>
          <w:lang w:val="ro-MD"/>
        </w:rPr>
        <w:t>4 regiuni de administrare fiscală</w:t>
      </w:r>
      <w:r w:rsidR="00E545E0" w:rsidRPr="00401691">
        <w:rPr>
          <w:rFonts w:asciiTheme="majorHAnsi" w:eastAsia="Calibri" w:hAnsiTheme="majorHAnsi" w:cstheme="majorHAnsi"/>
          <w:sz w:val="24"/>
          <w:szCs w:val="24"/>
          <w:lang w:val="ro-MD"/>
        </w:rPr>
        <w:t>:</w:t>
      </w:r>
      <w:r w:rsidR="00BC7709" w:rsidRPr="00401691">
        <w:rPr>
          <w:rFonts w:asciiTheme="majorHAnsi" w:eastAsia="Calibri" w:hAnsiTheme="majorHAnsi" w:cstheme="majorHAnsi"/>
          <w:sz w:val="24"/>
          <w:szCs w:val="24"/>
          <w:lang w:val="ro-MD"/>
        </w:rPr>
        <w:t xml:space="preserve"> </w:t>
      </w:r>
      <w:r w:rsidRPr="00401691">
        <w:rPr>
          <w:rFonts w:asciiTheme="majorHAnsi" w:eastAsia="Calibri" w:hAnsiTheme="majorHAnsi" w:cstheme="majorHAnsi"/>
          <w:sz w:val="24"/>
          <w:szCs w:val="24"/>
          <w:lang w:val="ro-MD"/>
        </w:rPr>
        <w:t xml:space="preserve">Nord, Sud, Centru și mun. </w:t>
      </w:r>
      <w:r w:rsidR="00D26DCB" w:rsidRPr="00401691">
        <w:rPr>
          <w:rFonts w:asciiTheme="majorHAnsi" w:eastAsia="Calibri" w:hAnsiTheme="majorHAnsi" w:cstheme="majorHAnsi"/>
          <w:sz w:val="24"/>
          <w:szCs w:val="24"/>
          <w:lang w:val="ro-MD"/>
        </w:rPr>
        <w:t>Chișinău</w:t>
      </w:r>
      <w:r w:rsidRPr="00401691">
        <w:rPr>
          <w:rFonts w:asciiTheme="majorHAnsi" w:eastAsia="Calibri" w:hAnsiTheme="majorHAnsi" w:cstheme="majorHAnsi"/>
          <w:sz w:val="24"/>
          <w:szCs w:val="24"/>
          <w:lang w:val="ro-MD"/>
        </w:rPr>
        <w:t>, în cadrul cărora sunt concentrate funcțiile de control, de gestionare a arieratelor, asistență juridică, și direcții de deservire și prestări servicii contribuabililor la nivel teritorial.</w:t>
      </w:r>
    </w:p>
    <w:p w:rsidR="00C63D7B" w:rsidRPr="00401691" w:rsidRDefault="008108CB" w:rsidP="00844145">
      <w:pPr>
        <w:widowControl w:val="0"/>
        <w:tabs>
          <w:tab w:val="left" w:pos="720"/>
        </w:tabs>
        <w:autoSpaceDE w:val="0"/>
        <w:autoSpaceDN w:val="0"/>
        <w:adjustRightInd w:val="0"/>
        <w:spacing w:after="120" w:line="276" w:lineRule="auto"/>
        <w:jc w:val="both"/>
        <w:rPr>
          <w:rFonts w:asciiTheme="majorHAnsi" w:eastAsia="Impact" w:hAnsiTheme="majorHAnsi" w:cstheme="majorHAnsi"/>
          <w:bCs/>
          <w:iCs/>
          <w:color w:val="000000"/>
          <w:sz w:val="24"/>
          <w:szCs w:val="24"/>
          <w:shd w:val="clear" w:color="auto" w:fill="FFFFFF"/>
          <w:lang w:val="ro-MD" w:bidi="en-US"/>
        </w:rPr>
      </w:pPr>
      <w:r w:rsidRPr="00401691">
        <w:rPr>
          <w:rFonts w:asciiTheme="majorHAnsi" w:eastAsia="Impact" w:hAnsiTheme="majorHAnsi" w:cstheme="majorHAnsi"/>
          <w:bCs/>
          <w:iCs/>
          <w:color w:val="000000"/>
          <w:sz w:val="24"/>
          <w:szCs w:val="24"/>
          <w:shd w:val="clear" w:color="auto" w:fill="FFFFFF"/>
          <w:lang w:val="ro-MD" w:bidi="en-US"/>
        </w:rPr>
        <w:t xml:space="preserve">Concomitent, </w:t>
      </w:r>
      <w:r w:rsidR="00C63D7B" w:rsidRPr="00401691">
        <w:rPr>
          <w:rFonts w:asciiTheme="majorHAnsi" w:eastAsia="Impact" w:hAnsiTheme="majorHAnsi" w:cstheme="majorHAnsi"/>
          <w:bCs/>
          <w:iCs/>
          <w:color w:val="000000"/>
          <w:sz w:val="24"/>
          <w:szCs w:val="24"/>
          <w:shd w:val="clear" w:color="auto" w:fill="FFFFFF"/>
          <w:lang w:val="ro-MD" w:bidi="en-US"/>
        </w:rPr>
        <w:t xml:space="preserve">pe parcursul ultimilor ani, </w:t>
      </w:r>
      <w:r w:rsidRPr="00401691">
        <w:rPr>
          <w:rFonts w:asciiTheme="majorHAnsi" w:eastAsia="Impact" w:hAnsiTheme="majorHAnsi" w:cstheme="majorHAnsi"/>
          <w:bCs/>
          <w:iCs/>
          <w:color w:val="000000"/>
          <w:sz w:val="24"/>
          <w:szCs w:val="24"/>
          <w:shd w:val="clear" w:color="auto" w:fill="FFFFFF"/>
          <w:lang w:val="ro-MD" w:bidi="en-US"/>
        </w:rPr>
        <w:t xml:space="preserve">SFS </w:t>
      </w:r>
      <w:r w:rsidR="00C63D7B" w:rsidRPr="00401691">
        <w:rPr>
          <w:rFonts w:asciiTheme="majorHAnsi" w:eastAsia="Impact" w:hAnsiTheme="majorHAnsi" w:cstheme="majorHAnsi"/>
          <w:bCs/>
          <w:iCs/>
          <w:color w:val="000000"/>
          <w:sz w:val="24"/>
          <w:szCs w:val="24"/>
          <w:shd w:val="clear" w:color="auto" w:fill="FFFFFF"/>
          <w:lang w:val="ro-MD" w:bidi="en-US"/>
        </w:rPr>
        <w:t xml:space="preserve">a reușit să realizeze o multitudine de reforme importante din punct de vedere </w:t>
      </w:r>
      <w:r w:rsidR="00787E8D">
        <w:rPr>
          <w:rFonts w:asciiTheme="majorHAnsi" w:eastAsia="Impact" w:hAnsiTheme="majorHAnsi" w:cstheme="majorHAnsi"/>
          <w:bCs/>
          <w:iCs/>
          <w:color w:val="000000"/>
          <w:sz w:val="24"/>
          <w:szCs w:val="24"/>
          <w:shd w:val="clear" w:color="auto" w:fill="FFFFFF"/>
          <w:lang w:val="ro-MD" w:bidi="en-US"/>
        </w:rPr>
        <w:t xml:space="preserve">atât </w:t>
      </w:r>
      <w:r w:rsidR="00C63D7B" w:rsidRPr="00401691">
        <w:rPr>
          <w:rFonts w:asciiTheme="majorHAnsi" w:eastAsia="Impact" w:hAnsiTheme="majorHAnsi" w:cstheme="majorHAnsi"/>
          <w:bCs/>
          <w:iCs/>
          <w:color w:val="000000"/>
          <w:sz w:val="24"/>
          <w:szCs w:val="24"/>
          <w:shd w:val="clear" w:color="auto" w:fill="FFFFFF"/>
          <w:lang w:val="ro-MD" w:bidi="en-US"/>
        </w:rPr>
        <w:t>s</w:t>
      </w:r>
      <w:r w:rsidR="00401691" w:rsidRPr="00401691">
        <w:rPr>
          <w:rFonts w:asciiTheme="majorHAnsi" w:eastAsia="Impact" w:hAnsiTheme="majorHAnsi" w:cstheme="majorHAnsi"/>
          <w:bCs/>
          <w:iCs/>
          <w:color w:val="000000"/>
          <w:sz w:val="24"/>
          <w:szCs w:val="24"/>
          <w:shd w:val="clear" w:color="auto" w:fill="FFFFFF"/>
          <w:lang w:val="ro-MD" w:bidi="en-US"/>
        </w:rPr>
        <w:t>tructural, cât și operațional.</w:t>
      </w:r>
    </w:p>
    <w:p w:rsidR="00272F29" w:rsidRDefault="00E84F6B" w:rsidP="00C72A44">
      <w:pPr>
        <w:widowControl w:val="0"/>
        <w:tabs>
          <w:tab w:val="left" w:pos="720"/>
        </w:tabs>
        <w:autoSpaceDE w:val="0"/>
        <w:autoSpaceDN w:val="0"/>
        <w:adjustRightInd w:val="0"/>
        <w:spacing w:after="120" w:line="276" w:lineRule="auto"/>
        <w:jc w:val="both"/>
        <w:rPr>
          <w:rFonts w:asciiTheme="majorHAnsi" w:hAnsiTheme="majorHAnsi" w:cstheme="majorHAnsi"/>
          <w:color w:val="000000"/>
          <w:sz w:val="24"/>
          <w:szCs w:val="24"/>
          <w:lang w:val="ro-MD"/>
        </w:rPr>
      </w:pPr>
      <w:r w:rsidRPr="00401691">
        <w:rPr>
          <w:rFonts w:asciiTheme="majorHAnsi" w:eastAsia="Impact" w:hAnsiTheme="majorHAnsi" w:cstheme="majorHAnsi"/>
          <w:bCs/>
          <w:iCs/>
          <w:color w:val="000000"/>
          <w:sz w:val="24"/>
          <w:szCs w:val="24"/>
          <w:shd w:val="clear" w:color="auto" w:fill="FFFFFF"/>
          <w:lang w:val="ro-MD" w:bidi="en-US"/>
        </w:rPr>
        <w:t xml:space="preserve">SFS este </w:t>
      </w:r>
      <w:r w:rsidRPr="00401691">
        <w:rPr>
          <w:rFonts w:asciiTheme="majorHAnsi" w:hAnsiTheme="majorHAnsi" w:cstheme="majorHAnsi"/>
          <w:color w:val="000000"/>
          <w:sz w:val="24"/>
          <w:szCs w:val="24"/>
          <w:lang w:val="ro-MD" w:eastAsia="en-GB"/>
        </w:rPr>
        <w:t xml:space="preserve">subordonat Ministerului Finanțelor, </w:t>
      </w:r>
      <w:r w:rsidR="00787E8D">
        <w:rPr>
          <w:rFonts w:asciiTheme="majorHAnsi" w:hAnsiTheme="majorHAnsi" w:cstheme="majorHAnsi"/>
          <w:color w:val="000000"/>
          <w:sz w:val="24"/>
          <w:szCs w:val="24"/>
          <w:lang w:val="ro-MD"/>
        </w:rPr>
        <w:t>care</w:t>
      </w:r>
      <w:r w:rsidR="00C63D7B" w:rsidRPr="00401691">
        <w:rPr>
          <w:rFonts w:asciiTheme="majorHAnsi" w:hAnsiTheme="majorHAnsi" w:cstheme="majorHAnsi"/>
          <w:color w:val="000000"/>
          <w:sz w:val="24"/>
          <w:szCs w:val="24"/>
          <w:lang w:val="ro-MD"/>
        </w:rPr>
        <w:t xml:space="preserve"> </w:t>
      </w:r>
      <w:r w:rsidR="00272F29" w:rsidRPr="00401691">
        <w:rPr>
          <w:rFonts w:asciiTheme="majorHAnsi" w:hAnsiTheme="majorHAnsi" w:cstheme="majorHAnsi"/>
          <w:color w:val="000000"/>
          <w:sz w:val="24"/>
          <w:szCs w:val="24"/>
          <w:lang w:val="ro-MD"/>
        </w:rPr>
        <w:t>dirij</w:t>
      </w:r>
      <w:r w:rsidR="00787E8D">
        <w:rPr>
          <w:rFonts w:asciiTheme="majorHAnsi" w:hAnsiTheme="majorHAnsi" w:cstheme="majorHAnsi"/>
          <w:color w:val="000000"/>
          <w:sz w:val="24"/>
          <w:szCs w:val="24"/>
          <w:lang w:val="ro-MD"/>
        </w:rPr>
        <w:t>ează</w:t>
      </w:r>
      <w:r w:rsidR="00272F29" w:rsidRPr="00401691">
        <w:rPr>
          <w:rFonts w:asciiTheme="majorHAnsi" w:hAnsiTheme="majorHAnsi" w:cstheme="majorHAnsi"/>
          <w:color w:val="000000"/>
          <w:sz w:val="24"/>
          <w:szCs w:val="24"/>
          <w:lang w:val="ro-MD"/>
        </w:rPr>
        <w:t xml:space="preserve"> metodologic activit</w:t>
      </w:r>
      <w:r w:rsidR="00787E8D">
        <w:rPr>
          <w:rFonts w:asciiTheme="majorHAnsi" w:hAnsiTheme="majorHAnsi" w:cstheme="majorHAnsi"/>
          <w:color w:val="000000"/>
          <w:sz w:val="24"/>
          <w:szCs w:val="24"/>
          <w:lang w:val="ro-MD"/>
        </w:rPr>
        <w:t>atea</w:t>
      </w:r>
      <w:r w:rsidR="00272F29" w:rsidRPr="00401691">
        <w:rPr>
          <w:rFonts w:asciiTheme="majorHAnsi" w:hAnsiTheme="majorHAnsi" w:cstheme="majorHAnsi"/>
          <w:color w:val="000000"/>
          <w:sz w:val="24"/>
          <w:szCs w:val="24"/>
          <w:lang w:val="ro-MD"/>
        </w:rPr>
        <w:t xml:space="preserve"> SFS, prin exercitarea următoarelor atribuții: </w:t>
      </w:r>
      <w:r w:rsidR="00272F29" w:rsidRPr="00401691">
        <w:rPr>
          <w:rFonts w:asciiTheme="majorHAnsi" w:hAnsiTheme="majorHAnsi" w:cstheme="majorHAnsi"/>
          <w:i/>
          <w:color w:val="000000"/>
          <w:sz w:val="24"/>
          <w:szCs w:val="24"/>
          <w:lang w:val="ro-MD"/>
        </w:rPr>
        <w:t>(i)</w:t>
      </w:r>
      <w:r w:rsidR="00272F29" w:rsidRPr="00401691">
        <w:rPr>
          <w:rFonts w:asciiTheme="majorHAnsi" w:hAnsiTheme="majorHAnsi" w:cstheme="majorHAnsi"/>
          <w:color w:val="000000"/>
          <w:sz w:val="24"/>
          <w:szCs w:val="24"/>
          <w:lang w:val="ro-MD"/>
        </w:rPr>
        <w:t xml:space="preserve"> aprobă structura SFS; </w:t>
      </w:r>
      <w:r w:rsidR="00272F29" w:rsidRPr="00401691">
        <w:rPr>
          <w:rFonts w:asciiTheme="majorHAnsi" w:hAnsiTheme="majorHAnsi" w:cstheme="majorHAnsi"/>
          <w:i/>
          <w:color w:val="000000"/>
          <w:sz w:val="24"/>
          <w:szCs w:val="24"/>
          <w:lang w:val="ro-MD"/>
        </w:rPr>
        <w:t>ii)</w:t>
      </w:r>
      <w:r w:rsidR="00272F29" w:rsidRPr="00401691">
        <w:rPr>
          <w:rFonts w:asciiTheme="majorHAnsi" w:hAnsiTheme="majorHAnsi" w:cstheme="majorHAnsi"/>
          <w:color w:val="000000"/>
          <w:sz w:val="24"/>
          <w:szCs w:val="24"/>
          <w:lang w:val="ro-MD"/>
        </w:rPr>
        <w:t xml:space="preserve"> stabilește obiectivele și indicatorii de performanță ai SFS </w:t>
      </w:r>
      <w:r w:rsidR="00272F29" w:rsidRPr="00401691">
        <w:rPr>
          <w:rFonts w:asciiTheme="majorHAnsi" w:hAnsiTheme="majorHAnsi" w:cstheme="majorHAnsi"/>
          <w:i/>
          <w:color w:val="000000"/>
          <w:sz w:val="24"/>
          <w:szCs w:val="24"/>
          <w:lang w:val="ro-MD"/>
        </w:rPr>
        <w:t>(iii)</w:t>
      </w:r>
      <w:r w:rsidR="00272F29" w:rsidRPr="00401691">
        <w:rPr>
          <w:rFonts w:asciiTheme="majorHAnsi" w:hAnsiTheme="majorHAnsi" w:cstheme="majorHAnsi"/>
          <w:color w:val="000000"/>
          <w:sz w:val="24"/>
          <w:szCs w:val="24"/>
          <w:lang w:val="ro-MD"/>
        </w:rPr>
        <w:t xml:space="preserve"> evaluează performanța activității directorului și a directorilor adjuncți ai SFS; </w:t>
      </w:r>
      <w:r w:rsidR="00272F29" w:rsidRPr="00401691">
        <w:rPr>
          <w:rFonts w:asciiTheme="majorHAnsi" w:hAnsiTheme="majorHAnsi" w:cstheme="majorHAnsi"/>
          <w:i/>
          <w:color w:val="000000"/>
          <w:sz w:val="24"/>
          <w:szCs w:val="24"/>
          <w:lang w:val="ro-MD"/>
        </w:rPr>
        <w:t>(iv)</w:t>
      </w:r>
      <w:r w:rsidR="00272F29" w:rsidRPr="00401691">
        <w:rPr>
          <w:rFonts w:asciiTheme="majorHAnsi" w:hAnsiTheme="majorHAnsi" w:cstheme="majorHAnsi"/>
          <w:color w:val="000000"/>
          <w:sz w:val="24"/>
          <w:szCs w:val="24"/>
          <w:lang w:val="ro-MD"/>
        </w:rPr>
        <w:t xml:space="preserve"> aprobă bugetul SFS; </w:t>
      </w:r>
      <w:r w:rsidR="00272F29" w:rsidRPr="00401691">
        <w:rPr>
          <w:rFonts w:asciiTheme="majorHAnsi" w:hAnsiTheme="majorHAnsi" w:cstheme="majorHAnsi"/>
          <w:i/>
          <w:color w:val="000000"/>
          <w:sz w:val="24"/>
          <w:szCs w:val="24"/>
          <w:lang w:val="ro-MD"/>
        </w:rPr>
        <w:t>(v)</w:t>
      </w:r>
      <w:r w:rsidR="00272F29" w:rsidRPr="00401691">
        <w:rPr>
          <w:rFonts w:asciiTheme="majorHAnsi" w:hAnsiTheme="majorHAnsi" w:cstheme="majorHAnsi"/>
          <w:color w:val="000000"/>
          <w:sz w:val="24"/>
          <w:szCs w:val="24"/>
          <w:lang w:val="ro-MD"/>
        </w:rPr>
        <w:t xml:space="preserve"> solicită informații privind monitorizarea administrării fiscale, inclusiv rapoarte cu privire la impozitarea și administrarea fiscală, rapoarte trimestriale </w:t>
      </w:r>
      <w:proofErr w:type="spellStart"/>
      <w:r w:rsidR="00272F29" w:rsidRPr="00401691">
        <w:rPr>
          <w:rFonts w:asciiTheme="majorHAnsi" w:hAnsiTheme="majorHAnsi" w:cstheme="majorHAnsi"/>
          <w:color w:val="000000"/>
          <w:sz w:val="24"/>
          <w:szCs w:val="24"/>
          <w:lang w:val="ro-MD"/>
        </w:rPr>
        <w:t>şi</w:t>
      </w:r>
      <w:proofErr w:type="spellEnd"/>
      <w:r w:rsidR="00272F29" w:rsidRPr="00401691">
        <w:rPr>
          <w:rFonts w:asciiTheme="majorHAnsi" w:hAnsiTheme="majorHAnsi" w:cstheme="majorHAnsi"/>
          <w:color w:val="000000"/>
          <w:sz w:val="24"/>
          <w:szCs w:val="24"/>
          <w:lang w:val="ro-MD"/>
        </w:rPr>
        <w:t xml:space="preserve"> anuale privind suma obligațiilor fiscale luate la evidență spe</w:t>
      </w:r>
      <w:r w:rsidR="00401691" w:rsidRPr="00401691">
        <w:rPr>
          <w:rFonts w:asciiTheme="majorHAnsi" w:hAnsiTheme="majorHAnsi" w:cstheme="majorHAnsi"/>
          <w:color w:val="000000"/>
          <w:sz w:val="24"/>
          <w:szCs w:val="24"/>
          <w:lang w:val="ro-MD"/>
        </w:rPr>
        <w:t>cială;</w:t>
      </w:r>
      <w:r w:rsidR="00272F29" w:rsidRPr="00401691">
        <w:rPr>
          <w:rFonts w:asciiTheme="majorHAnsi" w:hAnsiTheme="majorHAnsi" w:cstheme="majorHAnsi"/>
          <w:color w:val="000000"/>
          <w:sz w:val="24"/>
          <w:szCs w:val="24"/>
          <w:lang w:val="ro-MD"/>
        </w:rPr>
        <w:t xml:space="preserve"> </w:t>
      </w:r>
      <w:r w:rsidR="00272F29" w:rsidRPr="00401691">
        <w:rPr>
          <w:rFonts w:asciiTheme="majorHAnsi" w:hAnsiTheme="majorHAnsi" w:cstheme="majorHAnsi"/>
          <w:i/>
          <w:color w:val="000000"/>
          <w:sz w:val="24"/>
          <w:szCs w:val="24"/>
          <w:lang w:val="ro-MD"/>
        </w:rPr>
        <w:t>vi)</w:t>
      </w:r>
      <w:r w:rsidR="00272F29" w:rsidRPr="00401691">
        <w:rPr>
          <w:rFonts w:asciiTheme="majorHAnsi" w:hAnsiTheme="majorHAnsi" w:cstheme="majorHAnsi"/>
          <w:color w:val="000000"/>
          <w:sz w:val="24"/>
          <w:szCs w:val="24"/>
          <w:lang w:val="ro-MD"/>
        </w:rPr>
        <w:t xml:space="preserve"> alte acțiuni prevăzute de legislație.</w:t>
      </w:r>
      <w:r w:rsidR="00E12D62" w:rsidRPr="00401691">
        <w:rPr>
          <w:rStyle w:val="FootnoteReference"/>
          <w:rFonts w:asciiTheme="majorHAnsi" w:hAnsiTheme="majorHAnsi" w:cstheme="majorHAnsi"/>
          <w:color w:val="000000"/>
          <w:sz w:val="24"/>
          <w:szCs w:val="24"/>
          <w:lang w:val="ro-MD"/>
        </w:rPr>
        <w:footnoteReference w:id="2"/>
      </w:r>
    </w:p>
    <w:p w:rsidR="00C72A44" w:rsidRDefault="00BB1DEC" w:rsidP="00C72A44">
      <w:pPr>
        <w:widowControl w:val="0"/>
        <w:tabs>
          <w:tab w:val="left" w:pos="720"/>
        </w:tabs>
        <w:autoSpaceDE w:val="0"/>
        <w:autoSpaceDN w:val="0"/>
        <w:adjustRightInd w:val="0"/>
        <w:spacing w:after="120" w:line="276" w:lineRule="auto"/>
        <w:contextualSpacing/>
        <w:jc w:val="both"/>
        <w:rPr>
          <w:rFonts w:asciiTheme="majorHAnsi" w:hAnsiTheme="majorHAnsi" w:cstheme="majorHAnsi"/>
          <w:color w:val="000000"/>
          <w:sz w:val="24"/>
          <w:szCs w:val="24"/>
          <w:lang w:val="ro-MD"/>
        </w:rPr>
      </w:pPr>
      <w:r>
        <w:rPr>
          <w:rFonts w:asciiTheme="majorHAnsi" w:hAnsiTheme="majorHAnsi" w:cstheme="majorHAnsi"/>
          <w:color w:val="000000"/>
          <w:sz w:val="24"/>
          <w:szCs w:val="24"/>
          <w:lang w:val="ro-MD"/>
        </w:rPr>
        <w:t>Conceptul de management al administrării fiscale a fost orientat pe i</w:t>
      </w:r>
      <w:r w:rsidRPr="00BB1DEC">
        <w:rPr>
          <w:rFonts w:asciiTheme="majorHAnsi" w:hAnsiTheme="majorHAnsi" w:cstheme="majorHAnsi"/>
          <w:color w:val="000000"/>
          <w:sz w:val="24"/>
          <w:szCs w:val="24"/>
          <w:lang w:val="ro-MD"/>
        </w:rPr>
        <w:t>mplementarea unui management bazat pe business</w:t>
      </w:r>
      <w:r w:rsidR="00787E8D">
        <w:rPr>
          <w:rFonts w:asciiTheme="majorHAnsi" w:hAnsiTheme="majorHAnsi" w:cstheme="majorHAnsi"/>
          <w:color w:val="000000"/>
          <w:sz w:val="24"/>
          <w:szCs w:val="24"/>
          <w:lang w:val="ro-MD"/>
        </w:rPr>
        <w:t>-</w:t>
      </w:r>
      <w:r w:rsidRPr="00BB1DEC">
        <w:rPr>
          <w:rFonts w:asciiTheme="majorHAnsi" w:hAnsiTheme="majorHAnsi" w:cstheme="majorHAnsi"/>
          <w:color w:val="000000"/>
          <w:sz w:val="24"/>
          <w:szCs w:val="24"/>
          <w:lang w:val="ro-MD"/>
        </w:rPr>
        <w:t xml:space="preserve">procese în cadrul </w:t>
      </w:r>
      <w:r w:rsidR="00F568AA">
        <w:rPr>
          <w:rFonts w:asciiTheme="majorHAnsi" w:hAnsiTheme="majorHAnsi" w:cstheme="majorHAnsi"/>
          <w:color w:val="000000"/>
          <w:sz w:val="24"/>
          <w:szCs w:val="24"/>
          <w:lang w:val="ro-MD"/>
        </w:rPr>
        <w:t xml:space="preserve">SFS, </w:t>
      </w:r>
      <w:r w:rsidR="00C72A44">
        <w:rPr>
          <w:rFonts w:asciiTheme="majorHAnsi" w:hAnsiTheme="majorHAnsi" w:cstheme="majorHAnsi"/>
          <w:color w:val="000000"/>
          <w:sz w:val="24"/>
          <w:szCs w:val="24"/>
          <w:lang w:val="ro-MD"/>
        </w:rPr>
        <w:t>care pune în aplicare</w:t>
      </w:r>
      <w:r>
        <w:rPr>
          <w:rFonts w:asciiTheme="majorHAnsi" w:hAnsiTheme="majorHAnsi" w:cstheme="majorHAnsi"/>
          <w:color w:val="000000"/>
          <w:sz w:val="24"/>
          <w:szCs w:val="24"/>
          <w:lang w:val="ro-MD"/>
        </w:rPr>
        <w:t xml:space="preserve"> </w:t>
      </w:r>
      <w:r w:rsidRPr="00BB1DEC">
        <w:rPr>
          <w:rFonts w:asciiTheme="majorHAnsi" w:hAnsiTheme="majorHAnsi" w:cstheme="majorHAnsi"/>
          <w:color w:val="000000"/>
          <w:sz w:val="24"/>
          <w:szCs w:val="24"/>
          <w:lang w:val="ro-MD"/>
        </w:rPr>
        <w:t xml:space="preserve">o </w:t>
      </w:r>
      <w:r w:rsidRPr="00BB1DEC">
        <w:rPr>
          <w:rFonts w:asciiTheme="majorHAnsi" w:hAnsiTheme="majorHAnsi" w:cstheme="majorHAnsi"/>
          <w:color w:val="000000"/>
          <w:sz w:val="24"/>
          <w:szCs w:val="24"/>
          <w:lang w:val="ro-MD"/>
        </w:rPr>
        <w:lastRenderedPageBreak/>
        <w:t xml:space="preserve">multitudine de acte normative de nivel diferit </w:t>
      </w:r>
      <w:r w:rsidR="00C72A44" w:rsidRPr="004836DA">
        <w:rPr>
          <w:rFonts w:asciiTheme="majorHAnsi" w:hAnsiTheme="majorHAnsi" w:cstheme="majorHAnsi"/>
          <w:color w:val="000000"/>
          <w:sz w:val="24"/>
          <w:szCs w:val="24"/>
          <w:lang w:val="ro-MD"/>
        </w:rPr>
        <w:t>și</w:t>
      </w:r>
      <w:r w:rsidRPr="004836DA">
        <w:rPr>
          <w:rFonts w:asciiTheme="majorHAnsi" w:hAnsiTheme="majorHAnsi" w:cstheme="majorHAnsi"/>
          <w:color w:val="000000"/>
          <w:sz w:val="24"/>
          <w:szCs w:val="24"/>
          <w:lang w:val="ro-MD"/>
        </w:rPr>
        <w:t xml:space="preserve"> din proceduri</w:t>
      </w:r>
      <w:r w:rsidR="00C72A44">
        <w:rPr>
          <w:rFonts w:asciiTheme="majorHAnsi" w:hAnsiTheme="majorHAnsi" w:cstheme="majorHAnsi"/>
          <w:color w:val="000000"/>
          <w:sz w:val="24"/>
          <w:szCs w:val="24"/>
          <w:lang w:val="ro-MD"/>
        </w:rPr>
        <w:t xml:space="preserve"> interne formalizate, acestea </w:t>
      </w:r>
      <w:r w:rsidRPr="00BB1DEC">
        <w:rPr>
          <w:rFonts w:asciiTheme="majorHAnsi" w:hAnsiTheme="majorHAnsi" w:cstheme="majorHAnsi"/>
          <w:color w:val="000000"/>
          <w:sz w:val="24"/>
          <w:szCs w:val="24"/>
          <w:lang w:val="ro-MD"/>
        </w:rPr>
        <w:t>fiind definite, inventariate și descrise într-o manieră sistematică</w:t>
      </w:r>
      <w:r w:rsidR="00C72A44">
        <w:rPr>
          <w:rFonts w:asciiTheme="majorHAnsi" w:hAnsiTheme="majorHAnsi" w:cstheme="majorHAnsi"/>
          <w:color w:val="000000"/>
          <w:sz w:val="24"/>
          <w:szCs w:val="24"/>
          <w:lang w:val="ro-MD"/>
        </w:rPr>
        <w:t>. În acest context, SFS a elaborat Catalogul Business</w:t>
      </w:r>
      <w:r w:rsidR="00104E56">
        <w:rPr>
          <w:rFonts w:asciiTheme="majorHAnsi" w:hAnsiTheme="majorHAnsi" w:cstheme="majorHAnsi"/>
          <w:color w:val="000000"/>
          <w:sz w:val="24"/>
          <w:szCs w:val="24"/>
          <w:lang w:val="ro-MD"/>
        </w:rPr>
        <w:t>-</w:t>
      </w:r>
      <w:r w:rsidR="00C72A44">
        <w:rPr>
          <w:rFonts w:asciiTheme="majorHAnsi" w:hAnsiTheme="majorHAnsi" w:cstheme="majorHAnsi"/>
          <w:color w:val="000000"/>
          <w:sz w:val="24"/>
          <w:szCs w:val="24"/>
          <w:lang w:val="ro-MD"/>
        </w:rPr>
        <w:t>Proceselor</w:t>
      </w:r>
      <w:r w:rsidR="00104E56">
        <w:rPr>
          <w:rFonts w:asciiTheme="majorHAnsi" w:hAnsiTheme="majorHAnsi" w:cstheme="majorHAnsi"/>
          <w:color w:val="000000"/>
          <w:sz w:val="24"/>
          <w:szCs w:val="24"/>
          <w:lang w:val="ro-MD"/>
        </w:rPr>
        <w:t>,</w:t>
      </w:r>
      <w:r w:rsidR="00C72A44">
        <w:rPr>
          <w:rFonts w:asciiTheme="majorHAnsi" w:hAnsiTheme="majorHAnsi" w:cstheme="majorHAnsi"/>
          <w:color w:val="000000"/>
          <w:sz w:val="24"/>
          <w:szCs w:val="24"/>
          <w:lang w:val="ro-MD"/>
        </w:rPr>
        <w:t xml:space="preserve"> care cuprinde 269 </w:t>
      </w:r>
      <w:r w:rsidR="00104E56">
        <w:rPr>
          <w:rFonts w:asciiTheme="majorHAnsi" w:hAnsiTheme="majorHAnsi" w:cstheme="majorHAnsi"/>
          <w:color w:val="000000"/>
          <w:sz w:val="24"/>
          <w:szCs w:val="24"/>
          <w:lang w:val="ro-MD"/>
        </w:rPr>
        <w:t xml:space="preserve">de </w:t>
      </w:r>
      <w:r w:rsidR="00C72A44">
        <w:rPr>
          <w:rFonts w:asciiTheme="majorHAnsi" w:hAnsiTheme="majorHAnsi" w:cstheme="majorHAnsi"/>
          <w:color w:val="000000"/>
          <w:sz w:val="24"/>
          <w:szCs w:val="24"/>
          <w:lang w:val="ro-MD"/>
        </w:rPr>
        <w:t>procese operaționale și conexe</w:t>
      </w:r>
      <w:r w:rsidR="00104E56">
        <w:rPr>
          <w:rFonts w:asciiTheme="majorHAnsi" w:hAnsiTheme="majorHAnsi" w:cstheme="majorHAnsi"/>
          <w:color w:val="000000"/>
          <w:sz w:val="24"/>
          <w:szCs w:val="24"/>
          <w:lang w:val="ro-MD"/>
        </w:rPr>
        <w:t>,</w:t>
      </w:r>
      <w:r w:rsidR="00C72A44">
        <w:rPr>
          <w:rFonts w:asciiTheme="majorHAnsi" w:hAnsiTheme="majorHAnsi" w:cstheme="majorHAnsi"/>
          <w:color w:val="000000"/>
          <w:sz w:val="24"/>
          <w:szCs w:val="24"/>
          <w:lang w:val="ro-MD"/>
        </w:rPr>
        <w:t xml:space="preserve"> care asigură funcționalitatea administrării fiscale. </w:t>
      </w:r>
    </w:p>
    <w:p w:rsidR="00C72A44" w:rsidRDefault="00C72A44" w:rsidP="00C72A44">
      <w:pPr>
        <w:widowControl w:val="0"/>
        <w:tabs>
          <w:tab w:val="left" w:pos="720"/>
        </w:tabs>
        <w:autoSpaceDE w:val="0"/>
        <w:autoSpaceDN w:val="0"/>
        <w:adjustRightInd w:val="0"/>
        <w:spacing w:after="120" w:line="276" w:lineRule="auto"/>
        <w:contextualSpacing/>
        <w:jc w:val="both"/>
        <w:rPr>
          <w:rFonts w:asciiTheme="majorHAnsi" w:hAnsiTheme="majorHAnsi" w:cstheme="majorHAnsi"/>
          <w:color w:val="000000"/>
          <w:sz w:val="24"/>
          <w:szCs w:val="24"/>
          <w:lang w:val="ro-MD"/>
        </w:rPr>
      </w:pPr>
    </w:p>
    <w:p w:rsidR="00544000" w:rsidRPr="000D34A8" w:rsidRDefault="00544000" w:rsidP="00844145">
      <w:pPr>
        <w:pStyle w:val="Heading1"/>
        <w:numPr>
          <w:ilvl w:val="0"/>
          <w:numId w:val="32"/>
        </w:numPr>
        <w:spacing w:line="276" w:lineRule="auto"/>
        <w:ind w:left="720" w:hanging="360"/>
        <w:jc w:val="center"/>
        <w:rPr>
          <w:i w:val="0"/>
          <w:color w:val="1F3864" w:themeColor="accent5" w:themeShade="80"/>
          <w:sz w:val="24"/>
          <w:szCs w:val="24"/>
          <w:shd w:val="clear" w:color="auto" w:fill="FFFFFF"/>
          <w:lang w:val="ro-MD"/>
        </w:rPr>
      </w:pPr>
      <w:bookmarkStart w:id="5" w:name="_Toc48732717"/>
      <w:bookmarkEnd w:id="3"/>
      <w:r w:rsidRPr="000D34A8">
        <w:rPr>
          <w:i w:val="0"/>
          <w:color w:val="1F3864" w:themeColor="accent5" w:themeShade="80"/>
          <w:sz w:val="24"/>
          <w:szCs w:val="24"/>
          <w:lang w:val="ro-MD"/>
        </w:rPr>
        <w:t>SFERA</w:t>
      </w:r>
      <w:r w:rsidRPr="000D34A8">
        <w:rPr>
          <w:i w:val="0"/>
          <w:color w:val="1F3864" w:themeColor="accent5" w:themeShade="80"/>
          <w:sz w:val="24"/>
          <w:szCs w:val="24"/>
          <w:shd w:val="clear" w:color="auto" w:fill="FFFFFF"/>
          <w:lang w:val="ro-MD"/>
        </w:rPr>
        <w:t xml:space="preserve"> ȘI ABORDAREA AUDITULUI</w:t>
      </w:r>
      <w:bookmarkEnd w:id="5"/>
    </w:p>
    <w:p w:rsidR="00544000" w:rsidRPr="00401691" w:rsidRDefault="00544000" w:rsidP="00844145">
      <w:pPr>
        <w:spacing w:line="276" w:lineRule="auto"/>
        <w:jc w:val="both"/>
        <w:rPr>
          <w:rFonts w:asciiTheme="majorHAnsi" w:hAnsiTheme="majorHAnsi" w:cstheme="majorHAnsi"/>
          <w:b/>
          <w:color w:val="1F4E79" w:themeColor="accent1" w:themeShade="80"/>
          <w:sz w:val="24"/>
          <w:szCs w:val="24"/>
          <w:shd w:val="clear" w:color="auto" w:fill="FFFFFF"/>
          <w:lang w:val="ro-MD"/>
        </w:rPr>
      </w:pPr>
      <w:r w:rsidRPr="00401691">
        <w:rPr>
          <w:rFonts w:asciiTheme="majorHAnsi" w:hAnsiTheme="majorHAnsi" w:cstheme="majorHAnsi"/>
          <w:b/>
          <w:color w:val="1F4E79" w:themeColor="accent1" w:themeShade="80"/>
          <w:sz w:val="24"/>
          <w:szCs w:val="24"/>
          <w:shd w:val="clear" w:color="auto" w:fill="FFFFFF"/>
          <w:lang w:val="ro-MD"/>
        </w:rPr>
        <w:t>Mandatul legal și scopul auditului</w:t>
      </w:r>
      <w:r w:rsidR="00910280">
        <w:rPr>
          <w:rFonts w:asciiTheme="majorHAnsi" w:hAnsiTheme="majorHAnsi" w:cstheme="majorHAnsi"/>
          <w:b/>
          <w:color w:val="1F4E79" w:themeColor="accent1" w:themeShade="80"/>
          <w:sz w:val="24"/>
          <w:szCs w:val="24"/>
          <w:shd w:val="clear" w:color="auto" w:fill="FFFFFF"/>
          <w:lang w:val="ro-MD"/>
        </w:rPr>
        <w:t xml:space="preserve"> public extern</w:t>
      </w:r>
    </w:p>
    <w:p w:rsidR="00544000" w:rsidRPr="00401691" w:rsidRDefault="00544000" w:rsidP="00844145">
      <w:pPr>
        <w:spacing w:line="276" w:lineRule="auto"/>
        <w:jc w:val="both"/>
        <w:rPr>
          <w:rFonts w:asciiTheme="majorHAnsi" w:hAnsiTheme="majorHAnsi" w:cstheme="majorHAnsi"/>
          <w:color w:val="000000"/>
          <w:sz w:val="24"/>
          <w:szCs w:val="24"/>
          <w:shd w:val="clear" w:color="auto" w:fill="FFFFFF"/>
          <w:lang w:val="ro-MD"/>
        </w:rPr>
      </w:pPr>
      <w:r w:rsidRPr="00401691">
        <w:rPr>
          <w:rFonts w:asciiTheme="majorHAnsi" w:hAnsiTheme="majorHAnsi" w:cstheme="majorHAnsi"/>
          <w:color w:val="000000"/>
          <w:sz w:val="24"/>
          <w:szCs w:val="24"/>
          <w:shd w:val="clear" w:color="auto" w:fill="FFFFFF"/>
          <w:lang w:val="ro-MD"/>
        </w:rPr>
        <w:t xml:space="preserve">Misiunea de audit </w:t>
      </w:r>
      <w:r w:rsidR="00910280">
        <w:rPr>
          <w:rFonts w:asciiTheme="majorHAnsi" w:hAnsiTheme="majorHAnsi" w:cstheme="majorHAnsi"/>
          <w:color w:val="000000"/>
          <w:sz w:val="24"/>
          <w:szCs w:val="24"/>
          <w:shd w:val="clear" w:color="auto" w:fill="FFFFFF"/>
          <w:lang w:val="ro-MD"/>
        </w:rPr>
        <w:t xml:space="preserve">public extern </w:t>
      </w:r>
      <w:r w:rsidRPr="00401691">
        <w:rPr>
          <w:rFonts w:asciiTheme="majorHAnsi" w:hAnsiTheme="majorHAnsi" w:cstheme="majorHAnsi"/>
          <w:color w:val="000000"/>
          <w:sz w:val="24"/>
          <w:szCs w:val="24"/>
          <w:shd w:val="clear" w:color="auto" w:fill="FFFFFF"/>
          <w:lang w:val="ro-MD"/>
        </w:rPr>
        <w:t xml:space="preserve">a fost desfășurată în temeiul prevederilor art.3 alin.(1), art.5 alin.(1) </w:t>
      </w:r>
      <w:proofErr w:type="spellStart"/>
      <w:r w:rsidRPr="00401691">
        <w:rPr>
          <w:rFonts w:asciiTheme="majorHAnsi" w:hAnsiTheme="majorHAnsi" w:cstheme="majorHAnsi"/>
          <w:color w:val="000000"/>
          <w:sz w:val="24"/>
          <w:szCs w:val="24"/>
          <w:shd w:val="clear" w:color="auto" w:fill="FFFFFF"/>
          <w:lang w:val="ro-MD"/>
        </w:rPr>
        <w:t>lit.a</w:t>
      </w:r>
      <w:proofErr w:type="spellEnd"/>
      <w:r w:rsidRPr="00401691">
        <w:rPr>
          <w:rFonts w:asciiTheme="majorHAnsi" w:hAnsiTheme="majorHAnsi" w:cstheme="majorHAnsi"/>
          <w:color w:val="000000"/>
          <w:sz w:val="24"/>
          <w:szCs w:val="24"/>
          <w:shd w:val="clear" w:color="auto" w:fill="FFFFFF"/>
          <w:lang w:val="ro-MD"/>
        </w:rPr>
        <w:t xml:space="preserve">) și art.31 alin.(1) </w:t>
      </w:r>
      <w:proofErr w:type="spellStart"/>
      <w:r w:rsidRPr="00401691">
        <w:rPr>
          <w:rFonts w:asciiTheme="majorHAnsi" w:hAnsiTheme="majorHAnsi" w:cstheme="majorHAnsi"/>
          <w:color w:val="000000"/>
          <w:sz w:val="24"/>
          <w:szCs w:val="24"/>
          <w:shd w:val="clear" w:color="auto" w:fill="FFFFFF"/>
          <w:lang w:val="ro-MD"/>
        </w:rPr>
        <w:t>lit.b</w:t>
      </w:r>
      <w:proofErr w:type="spellEnd"/>
      <w:r w:rsidRPr="00401691">
        <w:rPr>
          <w:rFonts w:asciiTheme="majorHAnsi" w:hAnsiTheme="majorHAnsi" w:cstheme="majorHAnsi"/>
          <w:color w:val="000000"/>
          <w:sz w:val="24"/>
          <w:szCs w:val="24"/>
          <w:shd w:val="clear" w:color="auto" w:fill="FFFFFF"/>
          <w:lang w:val="ro-MD"/>
        </w:rPr>
        <w:t xml:space="preserve">) din Legea privind organizarea și funcționarea Curții de Conturi </w:t>
      </w:r>
      <w:r w:rsidR="00104E56">
        <w:rPr>
          <w:rFonts w:asciiTheme="majorHAnsi" w:hAnsiTheme="majorHAnsi" w:cstheme="majorHAnsi"/>
          <w:color w:val="000000"/>
          <w:sz w:val="24"/>
          <w:szCs w:val="24"/>
          <w:shd w:val="clear" w:color="auto" w:fill="FFFFFF"/>
          <w:lang w:val="ro-MD"/>
        </w:rPr>
        <w:t xml:space="preserve">a Republicii Moldova </w:t>
      </w:r>
      <w:r w:rsidRPr="00401691">
        <w:rPr>
          <w:rFonts w:asciiTheme="majorHAnsi" w:hAnsiTheme="majorHAnsi" w:cstheme="majorHAnsi"/>
          <w:color w:val="000000"/>
          <w:sz w:val="24"/>
          <w:szCs w:val="24"/>
          <w:shd w:val="clear" w:color="auto" w:fill="FFFFFF"/>
          <w:lang w:val="ro-MD"/>
        </w:rPr>
        <w:t>și în conformitate cu Programul activității de audit a Curții de Conturi pe anul 2020, av</w:t>
      </w:r>
      <w:r w:rsidR="00104E56">
        <w:rPr>
          <w:rFonts w:asciiTheme="majorHAnsi" w:hAnsiTheme="majorHAnsi" w:cstheme="majorHAnsi"/>
          <w:color w:val="000000"/>
          <w:sz w:val="24"/>
          <w:szCs w:val="24"/>
          <w:shd w:val="clear" w:color="auto" w:fill="FFFFFF"/>
          <w:lang w:val="ro-MD"/>
        </w:rPr>
        <w:t>â</w:t>
      </w:r>
      <w:r w:rsidRPr="00401691">
        <w:rPr>
          <w:rFonts w:asciiTheme="majorHAnsi" w:hAnsiTheme="majorHAnsi" w:cstheme="majorHAnsi"/>
          <w:color w:val="000000"/>
          <w:sz w:val="24"/>
          <w:szCs w:val="24"/>
          <w:shd w:val="clear" w:color="auto" w:fill="FFFFFF"/>
          <w:lang w:val="ro-MD"/>
        </w:rPr>
        <w:t>nd drept scop exprimarea unei concluzii generale privind conformitatea administrării veniturilor bugetului de stat de către Serviciul Fiscal de Stat în anul 2019</w:t>
      </w:r>
      <w:r w:rsidR="00104E56">
        <w:rPr>
          <w:rFonts w:asciiTheme="majorHAnsi" w:hAnsiTheme="majorHAnsi" w:cstheme="majorHAnsi"/>
          <w:color w:val="000000"/>
          <w:sz w:val="24"/>
          <w:szCs w:val="24"/>
          <w:shd w:val="clear" w:color="auto" w:fill="FFFFFF"/>
          <w:lang w:val="ro-MD"/>
        </w:rPr>
        <w:t>, acest an</w:t>
      </w:r>
      <w:r w:rsidRPr="00401691">
        <w:rPr>
          <w:rFonts w:asciiTheme="majorHAnsi" w:hAnsiTheme="majorHAnsi" w:cstheme="majorHAnsi"/>
          <w:color w:val="000000"/>
          <w:sz w:val="24"/>
          <w:szCs w:val="24"/>
          <w:shd w:val="clear" w:color="auto" w:fill="FFFFFF"/>
          <w:lang w:val="ro-MD"/>
        </w:rPr>
        <w:t xml:space="preserve"> fiind și perioada auditată.</w:t>
      </w:r>
    </w:p>
    <w:p w:rsidR="00544000" w:rsidRPr="00401691" w:rsidRDefault="00544000" w:rsidP="00844145">
      <w:pPr>
        <w:spacing w:line="276" w:lineRule="auto"/>
        <w:jc w:val="both"/>
        <w:rPr>
          <w:rFonts w:asciiTheme="majorHAnsi" w:hAnsiTheme="majorHAnsi" w:cstheme="majorHAnsi"/>
          <w:color w:val="000000"/>
          <w:sz w:val="24"/>
          <w:szCs w:val="24"/>
          <w:shd w:val="clear" w:color="auto" w:fill="FFFFFF"/>
          <w:lang w:val="ro-MD"/>
        </w:rPr>
      </w:pPr>
      <w:r w:rsidRPr="00910280">
        <w:rPr>
          <w:rFonts w:asciiTheme="majorHAnsi" w:hAnsiTheme="majorHAnsi" w:cstheme="majorHAnsi"/>
          <w:b/>
          <w:color w:val="1F4E79" w:themeColor="accent1" w:themeShade="80"/>
          <w:sz w:val="24"/>
          <w:szCs w:val="24"/>
          <w:shd w:val="clear" w:color="auto" w:fill="FFFFFF"/>
          <w:lang w:val="ro-MD"/>
        </w:rPr>
        <w:t>Obiectivul principal al auditului</w:t>
      </w:r>
      <w:r w:rsidR="00910280" w:rsidRPr="00910280">
        <w:rPr>
          <w:rFonts w:asciiTheme="majorHAnsi" w:hAnsiTheme="majorHAnsi" w:cstheme="majorHAnsi"/>
          <w:b/>
          <w:color w:val="1F4E79" w:themeColor="accent1" w:themeShade="80"/>
          <w:sz w:val="24"/>
          <w:szCs w:val="24"/>
          <w:shd w:val="clear" w:color="auto" w:fill="FFFFFF"/>
          <w:lang w:val="ro-MD"/>
        </w:rPr>
        <w:t xml:space="preserve"> public extern</w:t>
      </w:r>
      <w:r w:rsidRPr="00910280">
        <w:rPr>
          <w:rFonts w:asciiTheme="majorHAnsi" w:hAnsiTheme="majorHAnsi" w:cstheme="majorHAnsi"/>
          <w:b/>
          <w:color w:val="1F4E79" w:themeColor="accent1" w:themeShade="80"/>
          <w:sz w:val="24"/>
          <w:szCs w:val="24"/>
          <w:shd w:val="clear" w:color="auto" w:fill="FFFFFF"/>
          <w:lang w:val="ro-MD"/>
        </w:rPr>
        <w:t xml:space="preserve"> îl reprezintă</w:t>
      </w:r>
      <w:r w:rsidRPr="00401691">
        <w:rPr>
          <w:rFonts w:asciiTheme="majorHAnsi" w:hAnsiTheme="majorHAnsi" w:cstheme="majorHAnsi"/>
          <w:color w:val="000000"/>
          <w:sz w:val="24"/>
          <w:szCs w:val="24"/>
          <w:shd w:val="clear" w:color="auto" w:fill="FFFFFF"/>
          <w:lang w:val="ro-MD"/>
        </w:rPr>
        <w:t xml:space="preserve">: </w:t>
      </w:r>
      <w:r w:rsidRPr="00401691">
        <w:rPr>
          <w:rFonts w:asciiTheme="majorHAnsi" w:hAnsiTheme="majorHAnsi" w:cstheme="majorHAnsi"/>
          <w:i/>
          <w:color w:val="000000"/>
          <w:sz w:val="24"/>
          <w:szCs w:val="24"/>
          <w:shd w:val="clear" w:color="auto" w:fill="FFFFFF"/>
          <w:lang w:val="ro-MD"/>
        </w:rPr>
        <w:t>evaluarea conformității administrării fiscale de către SFS a veniturilor încasate în bugetul de stat și identificarea ariilor problematice privind colectarea impozitelor și taxelor cuvenite bugetului.</w:t>
      </w:r>
    </w:p>
    <w:p w:rsidR="00544000" w:rsidRPr="00401691" w:rsidRDefault="00544000" w:rsidP="00844145">
      <w:pPr>
        <w:spacing w:line="276" w:lineRule="auto"/>
        <w:jc w:val="both"/>
        <w:rPr>
          <w:rFonts w:asciiTheme="majorHAnsi" w:hAnsiTheme="majorHAnsi" w:cstheme="majorHAnsi"/>
          <w:color w:val="000000"/>
          <w:sz w:val="24"/>
          <w:szCs w:val="24"/>
          <w:shd w:val="clear" w:color="auto" w:fill="FFFFFF"/>
          <w:lang w:val="ro-MD"/>
        </w:rPr>
      </w:pPr>
      <w:r w:rsidRPr="00401691">
        <w:rPr>
          <w:rFonts w:asciiTheme="majorHAnsi" w:hAnsiTheme="majorHAnsi" w:cstheme="majorHAnsi"/>
          <w:color w:val="000000"/>
          <w:sz w:val="24"/>
          <w:szCs w:val="24"/>
          <w:shd w:val="clear" w:color="auto" w:fill="FFFFFF"/>
          <w:lang w:val="ro-MD"/>
        </w:rPr>
        <w:t>În acest sens, au fost determinate următoarele obiective specifice:</w:t>
      </w:r>
    </w:p>
    <w:p w:rsidR="00FF5696" w:rsidRDefault="008F545C" w:rsidP="00844145">
      <w:pPr>
        <w:spacing w:line="276" w:lineRule="auto"/>
        <w:jc w:val="both"/>
        <w:rPr>
          <w:rFonts w:asciiTheme="majorHAnsi" w:hAnsiTheme="majorHAnsi" w:cstheme="majorHAnsi"/>
          <w:i/>
          <w:color w:val="000000"/>
          <w:sz w:val="24"/>
          <w:szCs w:val="24"/>
          <w:shd w:val="clear" w:color="auto" w:fill="FFFFFF"/>
          <w:lang w:val="ro-MD"/>
        </w:rPr>
      </w:pPr>
      <w:r w:rsidRPr="00401691">
        <w:rPr>
          <w:rFonts w:asciiTheme="majorHAnsi" w:hAnsiTheme="majorHAnsi" w:cstheme="majorHAnsi"/>
          <w:color w:val="000000"/>
          <w:sz w:val="24"/>
          <w:szCs w:val="24"/>
          <w:shd w:val="clear" w:color="auto" w:fill="FFFFFF"/>
          <w:lang w:val="ro-MD"/>
        </w:rPr>
        <w:lastRenderedPageBreak/>
        <w:t>(</w:t>
      </w:r>
      <w:r w:rsidR="005D5426" w:rsidRPr="00401691">
        <w:rPr>
          <w:rFonts w:asciiTheme="majorHAnsi" w:hAnsiTheme="majorHAnsi" w:cstheme="majorHAnsi"/>
          <w:color w:val="000000"/>
          <w:sz w:val="24"/>
          <w:szCs w:val="24"/>
          <w:shd w:val="clear" w:color="auto" w:fill="FFFFFF"/>
          <w:lang w:val="ro-MD"/>
        </w:rPr>
        <w:t>1</w:t>
      </w:r>
      <w:r w:rsidRPr="00401691">
        <w:rPr>
          <w:rFonts w:asciiTheme="majorHAnsi" w:hAnsiTheme="majorHAnsi" w:cstheme="majorHAnsi"/>
          <w:color w:val="000000"/>
          <w:sz w:val="24"/>
          <w:szCs w:val="24"/>
          <w:shd w:val="clear" w:color="auto" w:fill="FFFFFF"/>
          <w:lang w:val="ro-MD"/>
        </w:rPr>
        <w:t xml:space="preserve"> ) </w:t>
      </w:r>
      <w:r w:rsidR="00FF5696" w:rsidRPr="00FF5696">
        <w:rPr>
          <w:rFonts w:asciiTheme="majorHAnsi" w:hAnsiTheme="majorHAnsi" w:cstheme="majorHAnsi"/>
          <w:i/>
          <w:color w:val="000000"/>
          <w:sz w:val="24"/>
          <w:szCs w:val="24"/>
          <w:shd w:val="clear" w:color="auto" w:fill="FFFFFF"/>
          <w:lang w:val="ro-MD"/>
        </w:rPr>
        <w:t xml:space="preserve">Estimarea sarcinii de colectare și raportare a veniturilor încasate la bugetul de stat s-a realizat potrivit normelor procedurale/metodologice aplicabile? </w:t>
      </w:r>
    </w:p>
    <w:p w:rsidR="008F545C" w:rsidRPr="00401691" w:rsidRDefault="008F545C" w:rsidP="00844145">
      <w:pPr>
        <w:spacing w:line="276" w:lineRule="auto"/>
        <w:jc w:val="both"/>
        <w:rPr>
          <w:rFonts w:asciiTheme="majorHAnsi" w:hAnsiTheme="majorHAnsi" w:cstheme="majorHAnsi"/>
          <w:i/>
          <w:sz w:val="24"/>
          <w:szCs w:val="24"/>
          <w:lang w:val="ro-MD"/>
        </w:rPr>
      </w:pPr>
      <w:r w:rsidRPr="00401691">
        <w:rPr>
          <w:rFonts w:asciiTheme="majorHAnsi" w:hAnsiTheme="majorHAnsi" w:cstheme="majorHAnsi"/>
          <w:color w:val="000000"/>
          <w:sz w:val="24"/>
          <w:szCs w:val="24"/>
          <w:shd w:val="clear" w:color="auto" w:fill="FFFFFF"/>
          <w:lang w:val="ro-MD"/>
        </w:rPr>
        <w:t>(2)</w:t>
      </w:r>
      <w:r w:rsidRPr="00401691">
        <w:rPr>
          <w:rFonts w:asciiTheme="majorHAnsi" w:hAnsiTheme="majorHAnsi" w:cstheme="majorHAnsi"/>
          <w:b/>
          <w:color w:val="1F3864" w:themeColor="accent5" w:themeShade="80"/>
          <w:sz w:val="28"/>
          <w:szCs w:val="28"/>
          <w:lang w:val="ro-MD"/>
        </w:rPr>
        <w:t xml:space="preserve"> </w:t>
      </w:r>
      <w:r w:rsidRPr="00401691">
        <w:rPr>
          <w:rFonts w:asciiTheme="majorHAnsi" w:hAnsiTheme="majorHAnsi" w:cstheme="majorHAnsi"/>
          <w:i/>
          <w:sz w:val="24"/>
          <w:szCs w:val="24"/>
          <w:lang w:val="ro-MD"/>
        </w:rPr>
        <w:t>Organul fiscal a asigurat conformitatea procesului de evidență și raportare a restanțelor?</w:t>
      </w:r>
    </w:p>
    <w:p w:rsidR="00544000" w:rsidRPr="00401691" w:rsidRDefault="00544000" w:rsidP="00844145">
      <w:pPr>
        <w:spacing w:line="276" w:lineRule="auto"/>
        <w:jc w:val="both"/>
        <w:rPr>
          <w:rFonts w:asciiTheme="majorHAnsi" w:hAnsiTheme="majorHAnsi" w:cstheme="majorHAnsi"/>
          <w:i/>
          <w:color w:val="000000"/>
          <w:sz w:val="24"/>
          <w:szCs w:val="24"/>
          <w:shd w:val="clear" w:color="auto" w:fill="FFFFFF"/>
          <w:lang w:val="ro-MD"/>
        </w:rPr>
      </w:pPr>
      <w:r w:rsidRPr="00401691">
        <w:rPr>
          <w:rFonts w:asciiTheme="majorHAnsi" w:hAnsiTheme="majorHAnsi" w:cstheme="majorHAnsi"/>
          <w:color w:val="000000"/>
          <w:sz w:val="24"/>
          <w:szCs w:val="24"/>
          <w:shd w:val="clear" w:color="auto" w:fill="FFFFFF"/>
          <w:lang w:val="ro-MD"/>
        </w:rPr>
        <w:t>(</w:t>
      </w:r>
      <w:r w:rsidR="008F545C" w:rsidRPr="00401691">
        <w:rPr>
          <w:rFonts w:asciiTheme="majorHAnsi" w:hAnsiTheme="majorHAnsi" w:cstheme="majorHAnsi"/>
          <w:color w:val="000000"/>
          <w:sz w:val="24"/>
          <w:szCs w:val="24"/>
          <w:shd w:val="clear" w:color="auto" w:fill="FFFFFF"/>
          <w:lang w:val="ro-MD"/>
        </w:rPr>
        <w:t>3</w:t>
      </w:r>
      <w:r w:rsidR="004A79B0" w:rsidRPr="00401691">
        <w:rPr>
          <w:rFonts w:asciiTheme="majorHAnsi" w:hAnsiTheme="majorHAnsi" w:cstheme="majorHAnsi"/>
          <w:color w:val="000000"/>
          <w:sz w:val="24"/>
          <w:szCs w:val="24"/>
          <w:shd w:val="clear" w:color="auto" w:fill="FFFFFF"/>
          <w:lang w:val="ro-MD"/>
        </w:rPr>
        <w:t xml:space="preserve"> </w:t>
      </w:r>
      <w:r w:rsidRPr="00401691">
        <w:rPr>
          <w:rFonts w:asciiTheme="majorHAnsi" w:hAnsiTheme="majorHAnsi" w:cstheme="majorHAnsi"/>
          <w:i/>
          <w:color w:val="000000"/>
          <w:sz w:val="24"/>
          <w:szCs w:val="24"/>
          <w:shd w:val="clear" w:color="auto" w:fill="FFFFFF"/>
          <w:lang w:val="ro-MD"/>
        </w:rPr>
        <w:t>)</w:t>
      </w:r>
      <w:r w:rsidR="008F545C" w:rsidRPr="00401691">
        <w:rPr>
          <w:rFonts w:asciiTheme="majorHAnsi" w:hAnsiTheme="majorHAnsi" w:cstheme="majorHAnsi"/>
          <w:i/>
          <w:color w:val="000000"/>
          <w:sz w:val="24"/>
          <w:szCs w:val="24"/>
          <w:shd w:val="clear" w:color="auto" w:fill="FFFFFF"/>
          <w:lang w:val="ro-MD"/>
        </w:rPr>
        <w:t xml:space="preserve"> </w:t>
      </w:r>
      <w:r w:rsidR="00F11214" w:rsidRPr="00401691">
        <w:rPr>
          <w:rFonts w:asciiTheme="majorHAnsi" w:hAnsiTheme="majorHAnsi" w:cstheme="majorHAnsi"/>
          <w:i/>
          <w:color w:val="000000"/>
          <w:sz w:val="24"/>
          <w:szCs w:val="24"/>
          <w:shd w:val="clear" w:color="auto" w:fill="FFFFFF"/>
          <w:lang w:val="ro-MD"/>
        </w:rPr>
        <w:t>SFS a</w:t>
      </w:r>
      <w:r w:rsidRPr="00401691">
        <w:rPr>
          <w:rFonts w:asciiTheme="majorHAnsi" w:hAnsiTheme="majorHAnsi" w:cstheme="majorHAnsi"/>
          <w:i/>
          <w:color w:val="000000"/>
          <w:sz w:val="24"/>
          <w:szCs w:val="24"/>
          <w:shd w:val="clear" w:color="auto" w:fill="FFFFFF"/>
          <w:lang w:val="ro-MD"/>
        </w:rPr>
        <w:t xml:space="preserve"> aplicat toate măsurile</w:t>
      </w:r>
      <w:r w:rsidR="00F11214" w:rsidRPr="00401691">
        <w:rPr>
          <w:rFonts w:asciiTheme="majorHAnsi" w:hAnsiTheme="majorHAnsi" w:cstheme="majorHAnsi"/>
          <w:i/>
          <w:color w:val="000000"/>
          <w:sz w:val="24"/>
          <w:szCs w:val="24"/>
          <w:shd w:val="clear" w:color="auto" w:fill="FFFFFF"/>
          <w:lang w:val="ro-MD"/>
        </w:rPr>
        <w:t xml:space="preserve"> legale</w:t>
      </w:r>
      <w:r w:rsidR="00CE1526" w:rsidRPr="00401691">
        <w:rPr>
          <w:rFonts w:asciiTheme="majorHAnsi" w:hAnsiTheme="majorHAnsi" w:cstheme="majorHAnsi"/>
          <w:i/>
          <w:color w:val="000000"/>
          <w:sz w:val="24"/>
          <w:szCs w:val="24"/>
          <w:shd w:val="clear" w:color="auto" w:fill="FFFFFF"/>
          <w:lang w:val="ro-MD"/>
        </w:rPr>
        <w:t xml:space="preserve"> de executare silită în vederea recuperării arieratelor?</w:t>
      </w:r>
    </w:p>
    <w:p w:rsidR="002133C7" w:rsidRPr="00401691" w:rsidRDefault="00544000" w:rsidP="00844145">
      <w:pPr>
        <w:spacing w:line="276" w:lineRule="auto"/>
        <w:jc w:val="both"/>
        <w:rPr>
          <w:rFonts w:asciiTheme="majorHAnsi" w:hAnsiTheme="majorHAnsi" w:cstheme="majorHAnsi"/>
          <w:i/>
          <w:color w:val="000000"/>
          <w:sz w:val="24"/>
          <w:szCs w:val="24"/>
          <w:shd w:val="clear" w:color="auto" w:fill="FFFFFF"/>
          <w:lang w:val="ro-MD"/>
        </w:rPr>
      </w:pPr>
      <w:r w:rsidRPr="00401691">
        <w:rPr>
          <w:rFonts w:asciiTheme="majorHAnsi" w:hAnsiTheme="majorHAnsi" w:cstheme="majorHAnsi"/>
          <w:color w:val="000000"/>
          <w:sz w:val="24"/>
          <w:szCs w:val="24"/>
          <w:shd w:val="clear" w:color="auto" w:fill="FFFFFF"/>
          <w:lang w:val="ro-MD"/>
        </w:rPr>
        <w:t>(</w:t>
      </w:r>
      <w:r w:rsidR="008F545C" w:rsidRPr="00401691">
        <w:rPr>
          <w:rFonts w:asciiTheme="majorHAnsi" w:hAnsiTheme="majorHAnsi" w:cstheme="majorHAnsi"/>
          <w:color w:val="000000"/>
          <w:sz w:val="24"/>
          <w:szCs w:val="24"/>
          <w:shd w:val="clear" w:color="auto" w:fill="FFFFFF"/>
          <w:lang w:val="ro-MD"/>
        </w:rPr>
        <w:t>4</w:t>
      </w:r>
      <w:r w:rsidRPr="00401691">
        <w:rPr>
          <w:rFonts w:asciiTheme="majorHAnsi" w:hAnsiTheme="majorHAnsi" w:cstheme="majorHAnsi"/>
          <w:i/>
          <w:color w:val="000000"/>
          <w:sz w:val="24"/>
          <w:szCs w:val="24"/>
          <w:shd w:val="clear" w:color="auto" w:fill="FFFFFF"/>
          <w:lang w:val="ro-MD"/>
        </w:rPr>
        <w:t>)</w:t>
      </w:r>
      <w:r w:rsidR="002133C7" w:rsidRPr="00401691">
        <w:rPr>
          <w:rFonts w:asciiTheme="majorHAnsi" w:hAnsiTheme="majorHAnsi" w:cstheme="majorHAnsi"/>
          <w:i/>
          <w:color w:val="000000"/>
          <w:sz w:val="24"/>
          <w:szCs w:val="24"/>
          <w:shd w:val="clear" w:color="auto" w:fill="FFFFFF"/>
          <w:lang w:val="ro-MD"/>
        </w:rPr>
        <w:t xml:space="preserve"> Procesul de planificare a cont</w:t>
      </w:r>
      <w:r w:rsidR="00F11214" w:rsidRPr="00401691">
        <w:rPr>
          <w:rFonts w:asciiTheme="majorHAnsi" w:hAnsiTheme="majorHAnsi" w:cstheme="majorHAnsi"/>
          <w:i/>
          <w:color w:val="000000"/>
          <w:sz w:val="24"/>
          <w:szCs w:val="24"/>
          <w:shd w:val="clear" w:color="auto" w:fill="FFFFFF"/>
          <w:lang w:val="ro-MD"/>
        </w:rPr>
        <w:t>roalelor fiscale se efectuează</w:t>
      </w:r>
      <w:r w:rsidR="002133C7" w:rsidRPr="00401691">
        <w:rPr>
          <w:rFonts w:asciiTheme="majorHAnsi" w:hAnsiTheme="majorHAnsi" w:cstheme="majorHAnsi"/>
          <w:i/>
          <w:color w:val="000000"/>
          <w:sz w:val="24"/>
          <w:szCs w:val="24"/>
          <w:shd w:val="clear" w:color="auto" w:fill="FFFFFF"/>
          <w:lang w:val="ro-MD"/>
        </w:rPr>
        <w:t xml:space="preserve"> în baza managementul</w:t>
      </w:r>
      <w:r w:rsidR="00104E56">
        <w:rPr>
          <w:rFonts w:asciiTheme="majorHAnsi" w:hAnsiTheme="majorHAnsi" w:cstheme="majorHAnsi"/>
          <w:i/>
          <w:color w:val="000000"/>
          <w:sz w:val="24"/>
          <w:szCs w:val="24"/>
          <w:shd w:val="clear" w:color="auto" w:fill="FFFFFF"/>
          <w:lang w:val="ro-MD"/>
        </w:rPr>
        <w:t>ui</w:t>
      </w:r>
      <w:r w:rsidR="002133C7" w:rsidRPr="00401691">
        <w:rPr>
          <w:rFonts w:asciiTheme="majorHAnsi" w:hAnsiTheme="majorHAnsi" w:cstheme="majorHAnsi"/>
          <w:i/>
          <w:color w:val="000000"/>
          <w:sz w:val="24"/>
          <w:szCs w:val="24"/>
          <w:shd w:val="clear" w:color="auto" w:fill="FFFFFF"/>
          <w:lang w:val="ro-MD"/>
        </w:rPr>
        <w:t xml:space="preserve"> riscurilor de conformare fiscală? Organul fiscal conlucrează cu organele de drept ale statului în vederea deținerii datelor referitor la materialele controalelor remise acestora?</w:t>
      </w:r>
    </w:p>
    <w:p w:rsidR="00544000" w:rsidRPr="00401691" w:rsidRDefault="00544000" w:rsidP="00844145">
      <w:pPr>
        <w:spacing w:line="276" w:lineRule="auto"/>
        <w:jc w:val="both"/>
        <w:rPr>
          <w:rFonts w:asciiTheme="majorHAnsi" w:hAnsiTheme="majorHAnsi" w:cstheme="majorHAnsi"/>
          <w:b/>
          <w:color w:val="1F4E79" w:themeColor="accent1" w:themeShade="80"/>
          <w:sz w:val="24"/>
          <w:szCs w:val="24"/>
          <w:shd w:val="clear" w:color="auto" w:fill="FFFFFF"/>
          <w:lang w:val="ro-MD"/>
        </w:rPr>
      </w:pPr>
      <w:r w:rsidRPr="00401691">
        <w:rPr>
          <w:rFonts w:asciiTheme="majorHAnsi" w:hAnsiTheme="majorHAnsi" w:cstheme="majorHAnsi"/>
          <w:b/>
          <w:color w:val="1F4E79" w:themeColor="accent1" w:themeShade="80"/>
          <w:sz w:val="24"/>
          <w:szCs w:val="24"/>
          <w:shd w:val="clear" w:color="auto" w:fill="FFFFFF"/>
          <w:lang w:val="ro-MD"/>
        </w:rPr>
        <w:t>Abordarea auditului</w:t>
      </w:r>
      <w:r w:rsidR="00910280">
        <w:rPr>
          <w:rFonts w:asciiTheme="majorHAnsi" w:hAnsiTheme="majorHAnsi" w:cstheme="majorHAnsi"/>
          <w:b/>
          <w:color w:val="1F4E79" w:themeColor="accent1" w:themeShade="80"/>
          <w:sz w:val="24"/>
          <w:szCs w:val="24"/>
          <w:shd w:val="clear" w:color="auto" w:fill="FFFFFF"/>
          <w:lang w:val="ro-MD"/>
        </w:rPr>
        <w:t xml:space="preserve"> public extern</w:t>
      </w:r>
    </w:p>
    <w:p w:rsidR="00544000" w:rsidRPr="00401691" w:rsidRDefault="00544000" w:rsidP="00844145">
      <w:pPr>
        <w:spacing w:line="276" w:lineRule="auto"/>
        <w:jc w:val="both"/>
        <w:rPr>
          <w:rFonts w:asciiTheme="majorHAnsi" w:hAnsiTheme="majorHAnsi" w:cstheme="majorHAnsi"/>
          <w:color w:val="000000"/>
          <w:sz w:val="24"/>
          <w:szCs w:val="24"/>
          <w:shd w:val="clear" w:color="auto" w:fill="FFFFFF"/>
          <w:lang w:val="ro-MD"/>
        </w:rPr>
      </w:pPr>
      <w:r w:rsidRPr="00401691">
        <w:rPr>
          <w:rFonts w:asciiTheme="majorHAnsi" w:hAnsiTheme="majorHAnsi" w:cstheme="majorHAnsi"/>
          <w:color w:val="000000"/>
          <w:sz w:val="24"/>
          <w:szCs w:val="24"/>
          <w:shd w:val="clear" w:color="auto" w:fill="FFFFFF"/>
          <w:lang w:val="ro-MD"/>
        </w:rPr>
        <w:t>Activitățile de audit</w:t>
      </w:r>
      <w:r w:rsidR="00492A34">
        <w:rPr>
          <w:rFonts w:asciiTheme="majorHAnsi" w:hAnsiTheme="majorHAnsi" w:cstheme="majorHAnsi"/>
          <w:color w:val="000000"/>
          <w:sz w:val="24"/>
          <w:szCs w:val="24"/>
          <w:shd w:val="clear" w:color="auto" w:fill="FFFFFF"/>
          <w:lang w:val="ro-MD"/>
        </w:rPr>
        <w:t xml:space="preserve"> public extern </w:t>
      </w:r>
      <w:r w:rsidRPr="00401691">
        <w:rPr>
          <w:rFonts w:asciiTheme="majorHAnsi" w:hAnsiTheme="majorHAnsi" w:cstheme="majorHAnsi"/>
          <w:color w:val="000000"/>
          <w:sz w:val="24"/>
          <w:szCs w:val="24"/>
          <w:shd w:val="clear" w:color="auto" w:fill="FFFFFF"/>
          <w:lang w:val="ro-MD"/>
        </w:rPr>
        <w:t xml:space="preserve">au fost ghidate de </w:t>
      </w:r>
      <w:r w:rsidR="00A459CA">
        <w:rPr>
          <w:rFonts w:asciiTheme="majorHAnsi" w:hAnsiTheme="majorHAnsi" w:cstheme="majorHAnsi"/>
          <w:color w:val="000000"/>
          <w:sz w:val="24"/>
          <w:szCs w:val="24"/>
          <w:shd w:val="clear" w:color="auto" w:fill="FFFFFF"/>
          <w:lang w:val="ro-MD"/>
        </w:rPr>
        <w:t>S</w:t>
      </w:r>
      <w:r w:rsidRPr="00401691">
        <w:rPr>
          <w:rFonts w:asciiTheme="majorHAnsi" w:hAnsiTheme="majorHAnsi" w:cstheme="majorHAnsi"/>
          <w:color w:val="000000"/>
          <w:sz w:val="24"/>
          <w:szCs w:val="24"/>
          <w:shd w:val="clear" w:color="auto" w:fill="FFFFFF"/>
          <w:lang w:val="ro-MD"/>
        </w:rPr>
        <w:t xml:space="preserve">tandardele </w:t>
      </w:r>
      <w:r w:rsidR="00A459CA">
        <w:rPr>
          <w:rFonts w:asciiTheme="majorHAnsi" w:hAnsiTheme="majorHAnsi" w:cstheme="majorHAnsi"/>
          <w:color w:val="000000"/>
          <w:sz w:val="24"/>
          <w:szCs w:val="24"/>
          <w:shd w:val="clear" w:color="auto" w:fill="FFFFFF"/>
          <w:lang w:val="ro-MD"/>
        </w:rPr>
        <w:t>I</w:t>
      </w:r>
      <w:r w:rsidRPr="00401691">
        <w:rPr>
          <w:rFonts w:asciiTheme="majorHAnsi" w:hAnsiTheme="majorHAnsi" w:cstheme="majorHAnsi"/>
          <w:color w:val="000000"/>
          <w:sz w:val="24"/>
          <w:szCs w:val="24"/>
          <w:shd w:val="clear" w:color="auto" w:fill="FFFFFF"/>
          <w:lang w:val="ro-MD"/>
        </w:rPr>
        <w:t xml:space="preserve">nternaționale ale </w:t>
      </w:r>
      <w:r w:rsidR="00A459CA">
        <w:rPr>
          <w:rFonts w:asciiTheme="majorHAnsi" w:hAnsiTheme="majorHAnsi" w:cstheme="majorHAnsi"/>
          <w:color w:val="000000"/>
          <w:sz w:val="24"/>
          <w:szCs w:val="24"/>
          <w:shd w:val="clear" w:color="auto" w:fill="FFFFFF"/>
          <w:lang w:val="ro-MD"/>
        </w:rPr>
        <w:t>I</w:t>
      </w:r>
      <w:r w:rsidRPr="00401691">
        <w:rPr>
          <w:rFonts w:asciiTheme="majorHAnsi" w:hAnsiTheme="majorHAnsi" w:cstheme="majorHAnsi"/>
          <w:color w:val="000000"/>
          <w:sz w:val="24"/>
          <w:szCs w:val="24"/>
          <w:shd w:val="clear" w:color="auto" w:fill="FFFFFF"/>
          <w:lang w:val="ro-MD"/>
        </w:rPr>
        <w:t xml:space="preserve">nstituțiilor </w:t>
      </w:r>
      <w:r w:rsidR="00A459CA">
        <w:rPr>
          <w:rFonts w:asciiTheme="majorHAnsi" w:hAnsiTheme="majorHAnsi" w:cstheme="majorHAnsi"/>
          <w:color w:val="000000"/>
          <w:sz w:val="24"/>
          <w:szCs w:val="24"/>
          <w:shd w:val="clear" w:color="auto" w:fill="FFFFFF"/>
          <w:lang w:val="ro-MD"/>
        </w:rPr>
        <w:t>S</w:t>
      </w:r>
      <w:r w:rsidRPr="00401691">
        <w:rPr>
          <w:rFonts w:asciiTheme="majorHAnsi" w:hAnsiTheme="majorHAnsi" w:cstheme="majorHAnsi"/>
          <w:color w:val="000000"/>
          <w:sz w:val="24"/>
          <w:szCs w:val="24"/>
          <w:shd w:val="clear" w:color="auto" w:fill="FFFFFF"/>
          <w:lang w:val="ro-MD"/>
        </w:rPr>
        <w:t xml:space="preserve">upreme de </w:t>
      </w:r>
      <w:r w:rsidR="00A459CA">
        <w:rPr>
          <w:rFonts w:asciiTheme="majorHAnsi" w:hAnsiTheme="majorHAnsi" w:cstheme="majorHAnsi"/>
          <w:color w:val="000000"/>
          <w:sz w:val="24"/>
          <w:szCs w:val="24"/>
          <w:shd w:val="clear" w:color="auto" w:fill="FFFFFF"/>
          <w:lang w:val="ro-MD"/>
        </w:rPr>
        <w:t>A</w:t>
      </w:r>
      <w:r w:rsidRPr="00401691">
        <w:rPr>
          <w:rFonts w:asciiTheme="majorHAnsi" w:hAnsiTheme="majorHAnsi" w:cstheme="majorHAnsi"/>
          <w:color w:val="000000"/>
          <w:sz w:val="24"/>
          <w:szCs w:val="24"/>
          <w:shd w:val="clear" w:color="auto" w:fill="FFFFFF"/>
          <w:lang w:val="ro-MD"/>
        </w:rPr>
        <w:t>udit ISSAI 100, ISSAI 400 și</w:t>
      </w:r>
      <w:r w:rsidR="00A459CA">
        <w:rPr>
          <w:rFonts w:asciiTheme="majorHAnsi" w:hAnsiTheme="majorHAnsi" w:cstheme="majorHAnsi"/>
          <w:color w:val="000000"/>
          <w:sz w:val="24"/>
          <w:szCs w:val="24"/>
          <w:shd w:val="clear" w:color="auto" w:fill="FFFFFF"/>
          <w:lang w:val="ro-MD"/>
        </w:rPr>
        <w:t xml:space="preserve"> </w:t>
      </w:r>
      <w:r w:rsidRPr="00401691">
        <w:rPr>
          <w:rFonts w:asciiTheme="majorHAnsi" w:hAnsiTheme="majorHAnsi" w:cstheme="majorHAnsi"/>
          <w:color w:val="000000"/>
          <w:sz w:val="24"/>
          <w:szCs w:val="24"/>
          <w:shd w:val="clear" w:color="auto" w:fill="FFFFFF"/>
          <w:lang w:val="ro-MD"/>
        </w:rPr>
        <w:t>ISSAI 4000</w:t>
      </w:r>
      <w:r w:rsidR="00904077">
        <w:rPr>
          <w:rStyle w:val="FootnoteReference"/>
          <w:rFonts w:asciiTheme="majorHAnsi" w:hAnsiTheme="majorHAnsi" w:cstheme="majorHAnsi"/>
          <w:color w:val="000000"/>
          <w:sz w:val="24"/>
          <w:szCs w:val="24"/>
          <w:shd w:val="clear" w:color="auto" w:fill="FFFFFF"/>
          <w:lang w:val="ro-MD"/>
        </w:rPr>
        <w:footnoteReference w:id="3"/>
      </w:r>
      <w:r w:rsidRPr="00401691">
        <w:rPr>
          <w:rFonts w:asciiTheme="majorHAnsi" w:hAnsiTheme="majorHAnsi" w:cstheme="majorHAnsi"/>
          <w:color w:val="000000"/>
          <w:sz w:val="24"/>
          <w:szCs w:val="24"/>
          <w:shd w:val="clear" w:color="auto" w:fill="FFFFFF"/>
          <w:lang w:val="ro-MD"/>
        </w:rPr>
        <w:t>, cu aplicarea bunelor practici în domeniul auditului conformității. Abordarea de audit</w:t>
      </w:r>
      <w:r w:rsidR="00492A34">
        <w:rPr>
          <w:rFonts w:asciiTheme="majorHAnsi" w:hAnsiTheme="majorHAnsi" w:cstheme="majorHAnsi"/>
          <w:color w:val="000000"/>
          <w:sz w:val="24"/>
          <w:szCs w:val="24"/>
          <w:shd w:val="clear" w:color="auto" w:fill="FFFFFF"/>
          <w:lang w:val="ro-MD"/>
        </w:rPr>
        <w:t xml:space="preserve"> </w:t>
      </w:r>
      <w:r w:rsidRPr="00401691">
        <w:rPr>
          <w:rFonts w:asciiTheme="majorHAnsi" w:hAnsiTheme="majorHAnsi" w:cstheme="majorHAnsi"/>
          <w:color w:val="000000"/>
          <w:sz w:val="24"/>
          <w:szCs w:val="24"/>
          <w:shd w:val="clear" w:color="auto" w:fill="FFFFFF"/>
          <w:lang w:val="ro-MD"/>
        </w:rPr>
        <w:t>s-a bazat pe evaluarea conformității proceselor din cadrul SFS</w:t>
      </w:r>
      <w:r w:rsidR="00A459CA">
        <w:rPr>
          <w:rFonts w:asciiTheme="majorHAnsi" w:hAnsiTheme="majorHAnsi" w:cstheme="majorHAnsi"/>
          <w:color w:val="000000"/>
          <w:sz w:val="24"/>
          <w:szCs w:val="24"/>
          <w:shd w:val="clear" w:color="auto" w:fill="FFFFFF"/>
          <w:lang w:val="ro-MD"/>
        </w:rPr>
        <w:t>,</w:t>
      </w:r>
      <w:r w:rsidRPr="00401691">
        <w:rPr>
          <w:rFonts w:asciiTheme="majorHAnsi" w:hAnsiTheme="majorHAnsi" w:cstheme="majorHAnsi"/>
          <w:color w:val="000000"/>
          <w:sz w:val="24"/>
          <w:szCs w:val="24"/>
          <w:shd w:val="clear" w:color="auto" w:fill="FFFFFF"/>
          <w:lang w:val="ro-MD"/>
        </w:rPr>
        <w:t xml:space="preserve"> prin utilizarea preponderentă a testărilor directe de fond.</w:t>
      </w:r>
    </w:p>
    <w:p w:rsidR="00544000" w:rsidRPr="00401691" w:rsidRDefault="00544000" w:rsidP="00844145">
      <w:pPr>
        <w:spacing w:line="276" w:lineRule="auto"/>
        <w:jc w:val="both"/>
        <w:rPr>
          <w:rFonts w:asciiTheme="majorHAnsi" w:hAnsiTheme="majorHAnsi" w:cstheme="majorHAnsi"/>
          <w:color w:val="000000"/>
          <w:sz w:val="24"/>
          <w:szCs w:val="24"/>
          <w:shd w:val="clear" w:color="auto" w:fill="FFFFFF"/>
          <w:lang w:val="ro-MD"/>
        </w:rPr>
      </w:pPr>
      <w:r w:rsidRPr="00401691">
        <w:rPr>
          <w:rFonts w:asciiTheme="majorHAnsi" w:hAnsiTheme="majorHAnsi" w:cstheme="majorHAnsi"/>
          <w:color w:val="000000"/>
          <w:sz w:val="24"/>
          <w:szCs w:val="24"/>
          <w:shd w:val="clear" w:color="auto" w:fill="FFFFFF"/>
          <w:lang w:val="ro-MD"/>
        </w:rPr>
        <w:t xml:space="preserve">Se </w:t>
      </w:r>
      <w:r w:rsidR="00A459CA">
        <w:rPr>
          <w:rFonts w:asciiTheme="majorHAnsi" w:hAnsiTheme="majorHAnsi" w:cstheme="majorHAnsi"/>
          <w:color w:val="000000"/>
          <w:sz w:val="24"/>
          <w:szCs w:val="24"/>
          <w:shd w:val="clear" w:color="auto" w:fill="FFFFFF"/>
          <w:lang w:val="ro-MD"/>
        </w:rPr>
        <w:t xml:space="preserve">atestă </w:t>
      </w:r>
      <w:r w:rsidRPr="00401691">
        <w:rPr>
          <w:rFonts w:asciiTheme="majorHAnsi" w:hAnsiTheme="majorHAnsi" w:cstheme="majorHAnsi"/>
          <w:color w:val="000000"/>
          <w:sz w:val="24"/>
          <w:szCs w:val="24"/>
          <w:shd w:val="clear" w:color="auto" w:fill="FFFFFF"/>
          <w:lang w:val="ro-MD"/>
        </w:rPr>
        <w:t xml:space="preserve">că metodologia de audit a constat din acțiuni de colectare a probelor </w:t>
      </w:r>
      <w:r w:rsidR="00A459CA">
        <w:rPr>
          <w:rFonts w:asciiTheme="majorHAnsi" w:hAnsiTheme="majorHAnsi" w:cstheme="majorHAnsi"/>
          <w:color w:val="000000"/>
          <w:sz w:val="24"/>
          <w:szCs w:val="24"/>
          <w:shd w:val="clear" w:color="auto" w:fill="FFFFFF"/>
          <w:lang w:val="ro-MD"/>
        </w:rPr>
        <w:t>î</w:t>
      </w:r>
      <w:r w:rsidRPr="00401691">
        <w:rPr>
          <w:rFonts w:asciiTheme="majorHAnsi" w:hAnsiTheme="majorHAnsi" w:cstheme="majorHAnsi"/>
          <w:color w:val="000000"/>
          <w:sz w:val="24"/>
          <w:szCs w:val="24"/>
          <w:shd w:val="clear" w:color="auto" w:fill="FFFFFF"/>
          <w:lang w:val="ro-MD"/>
        </w:rPr>
        <w:t xml:space="preserve">n cadrul SFS </w:t>
      </w:r>
      <w:r w:rsidR="00CC6833" w:rsidRPr="00401691">
        <w:rPr>
          <w:rFonts w:asciiTheme="majorHAnsi" w:hAnsiTheme="majorHAnsi" w:cstheme="majorHAnsi"/>
          <w:color w:val="000000"/>
          <w:sz w:val="24"/>
          <w:szCs w:val="24"/>
          <w:shd w:val="clear" w:color="auto" w:fill="FFFFFF"/>
          <w:lang w:val="ro-MD"/>
        </w:rPr>
        <w:t>atât</w:t>
      </w:r>
      <w:r w:rsidRPr="00401691">
        <w:rPr>
          <w:rFonts w:asciiTheme="majorHAnsi" w:hAnsiTheme="majorHAnsi" w:cstheme="majorHAnsi"/>
          <w:color w:val="000000"/>
          <w:sz w:val="24"/>
          <w:szCs w:val="24"/>
          <w:shd w:val="clear" w:color="auto" w:fill="FFFFFF"/>
          <w:lang w:val="ro-MD"/>
        </w:rPr>
        <w:t xml:space="preserve"> la distanță</w:t>
      </w:r>
      <w:r w:rsidR="00A459CA">
        <w:rPr>
          <w:rFonts w:asciiTheme="majorHAnsi" w:hAnsiTheme="majorHAnsi" w:cstheme="majorHAnsi"/>
          <w:color w:val="000000"/>
          <w:sz w:val="24"/>
          <w:szCs w:val="24"/>
          <w:shd w:val="clear" w:color="auto" w:fill="FFFFFF"/>
          <w:lang w:val="ro-MD"/>
        </w:rPr>
        <w:t>,</w:t>
      </w:r>
      <w:r w:rsidRPr="00401691">
        <w:rPr>
          <w:rFonts w:asciiTheme="majorHAnsi" w:hAnsiTheme="majorHAnsi" w:cstheme="majorHAnsi"/>
          <w:color w:val="000000"/>
          <w:sz w:val="24"/>
          <w:szCs w:val="24"/>
          <w:shd w:val="clear" w:color="auto" w:fill="FFFFFF"/>
          <w:lang w:val="ro-MD"/>
        </w:rPr>
        <w:t xml:space="preserve"> c</w:t>
      </w:r>
      <w:r w:rsidR="00A459CA">
        <w:rPr>
          <w:rFonts w:asciiTheme="majorHAnsi" w:hAnsiTheme="majorHAnsi" w:cstheme="majorHAnsi"/>
          <w:color w:val="000000"/>
          <w:sz w:val="24"/>
          <w:szCs w:val="24"/>
          <w:shd w:val="clear" w:color="auto" w:fill="FFFFFF"/>
          <w:lang w:val="ro-MD"/>
        </w:rPr>
        <w:t>â</w:t>
      </w:r>
      <w:r w:rsidRPr="00401691">
        <w:rPr>
          <w:rFonts w:asciiTheme="majorHAnsi" w:hAnsiTheme="majorHAnsi" w:cstheme="majorHAnsi"/>
          <w:color w:val="000000"/>
          <w:sz w:val="24"/>
          <w:szCs w:val="24"/>
          <w:shd w:val="clear" w:color="auto" w:fill="FFFFFF"/>
          <w:lang w:val="ro-MD"/>
        </w:rPr>
        <w:t>t și la fața locului, prin</w:t>
      </w:r>
      <w:r w:rsidR="00A459CA">
        <w:rPr>
          <w:rFonts w:asciiTheme="majorHAnsi" w:hAnsiTheme="majorHAnsi" w:cstheme="majorHAnsi"/>
          <w:color w:val="000000"/>
          <w:sz w:val="24"/>
          <w:szCs w:val="24"/>
          <w:shd w:val="clear" w:color="auto" w:fill="FFFFFF"/>
          <w:lang w:val="ro-MD"/>
        </w:rPr>
        <w:t xml:space="preserve"> </w:t>
      </w:r>
      <w:r w:rsidRPr="00401691">
        <w:rPr>
          <w:rFonts w:asciiTheme="majorHAnsi" w:hAnsiTheme="majorHAnsi" w:cstheme="majorHAnsi"/>
          <w:color w:val="000000"/>
          <w:sz w:val="24"/>
          <w:szCs w:val="24"/>
          <w:shd w:val="clear" w:color="auto" w:fill="FFFFFF"/>
          <w:lang w:val="ro-MD"/>
        </w:rPr>
        <w:t xml:space="preserve">analiza rapoartelor veniturilor calculate/încasate la bugetul de stat în anul 2019, examinarea </w:t>
      </w:r>
      <w:r w:rsidRPr="00401691">
        <w:rPr>
          <w:rFonts w:asciiTheme="majorHAnsi" w:hAnsiTheme="majorHAnsi" w:cstheme="majorHAnsi"/>
          <w:color w:val="000000"/>
          <w:sz w:val="24"/>
          <w:szCs w:val="24"/>
          <w:shd w:val="clear" w:color="auto" w:fill="FFFFFF"/>
          <w:lang w:val="ro-MD"/>
        </w:rPr>
        <w:lastRenderedPageBreak/>
        <w:t>înregistrărilor din sistemele informaționale automatizate și a documentelor primare, hotărârilor și deciziilor conducerii, prin observații, confirmări, (re)calcule</w:t>
      </w:r>
      <w:r w:rsidR="00A459CA">
        <w:rPr>
          <w:rFonts w:asciiTheme="majorHAnsi" w:hAnsiTheme="majorHAnsi" w:cstheme="majorHAnsi"/>
          <w:color w:val="000000"/>
          <w:sz w:val="24"/>
          <w:szCs w:val="24"/>
          <w:shd w:val="clear" w:color="auto" w:fill="FFFFFF"/>
          <w:lang w:val="ro-MD"/>
        </w:rPr>
        <w:t>,</w:t>
      </w:r>
      <w:r w:rsidRPr="00401691">
        <w:rPr>
          <w:rFonts w:asciiTheme="majorHAnsi" w:hAnsiTheme="majorHAnsi" w:cstheme="majorHAnsi"/>
          <w:color w:val="000000"/>
          <w:sz w:val="24"/>
          <w:szCs w:val="24"/>
          <w:shd w:val="clear" w:color="auto" w:fill="FFFFFF"/>
          <w:lang w:val="ro-MD"/>
        </w:rPr>
        <w:t xml:space="preserve"> precum și prin intervievarea persoanelor responsabile din cadrul entității. De asemenea, au fost solicitate și analizate informații din surse externe, inclusiv de la ANTA, IF, IPM, BNS și IP CSSM. </w:t>
      </w:r>
    </w:p>
    <w:p w:rsidR="00544000" w:rsidRPr="00401691" w:rsidRDefault="00544000" w:rsidP="00844145">
      <w:pPr>
        <w:spacing w:line="276" w:lineRule="auto"/>
        <w:jc w:val="both"/>
        <w:rPr>
          <w:rFonts w:asciiTheme="majorHAnsi" w:hAnsiTheme="majorHAnsi" w:cstheme="majorHAnsi"/>
          <w:color w:val="000000"/>
          <w:sz w:val="24"/>
          <w:szCs w:val="24"/>
          <w:shd w:val="clear" w:color="auto" w:fill="FFFFFF"/>
          <w:lang w:val="ro-MD"/>
        </w:rPr>
      </w:pPr>
      <w:r w:rsidRPr="00401691">
        <w:rPr>
          <w:rFonts w:asciiTheme="majorHAnsi" w:hAnsiTheme="majorHAnsi" w:cstheme="majorHAnsi"/>
          <w:color w:val="000000"/>
          <w:sz w:val="24"/>
          <w:szCs w:val="24"/>
          <w:shd w:val="clear" w:color="auto" w:fill="FFFFFF"/>
          <w:lang w:val="ro-MD"/>
        </w:rPr>
        <w:t>Drept surse ale criteriilor de audit s-au utilizat actele legislative și normative care reglementează procesul de administrare fiscală, în spe</w:t>
      </w:r>
      <w:r w:rsidR="00DD3F6A" w:rsidRPr="00401691">
        <w:rPr>
          <w:rFonts w:asciiTheme="majorHAnsi" w:hAnsiTheme="majorHAnsi" w:cstheme="majorHAnsi"/>
          <w:color w:val="000000"/>
          <w:sz w:val="24"/>
          <w:szCs w:val="24"/>
          <w:shd w:val="clear" w:color="auto" w:fill="FFFFFF"/>
          <w:lang w:val="ro-MD"/>
        </w:rPr>
        <w:t xml:space="preserve">cial Codul fiscal, aprobat prin Legea nr.1163-XIII </w:t>
      </w:r>
      <w:r w:rsidR="001E6CA5">
        <w:rPr>
          <w:rFonts w:asciiTheme="majorHAnsi" w:hAnsiTheme="majorHAnsi" w:cstheme="majorHAnsi"/>
          <w:color w:val="000000"/>
          <w:sz w:val="24"/>
          <w:szCs w:val="24"/>
          <w:shd w:val="clear" w:color="auto" w:fill="FFFFFF"/>
          <w:lang w:val="ro-MD"/>
        </w:rPr>
        <w:t xml:space="preserve">din </w:t>
      </w:r>
      <w:r w:rsidRPr="00401691">
        <w:rPr>
          <w:rFonts w:asciiTheme="majorHAnsi" w:hAnsiTheme="majorHAnsi" w:cstheme="majorHAnsi"/>
          <w:color w:val="000000"/>
          <w:sz w:val="24"/>
          <w:szCs w:val="24"/>
          <w:shd w:val="clear" w:color="auto" w:fill="FFFFFF"/>
          <w:lang w:val="ro-MD"/>
        </w:rPr>
        <w:t xml:space="preserve">24.04.1997 (cu modificările și completările ulterioare). Informația integrală </w:t>
      </w:r>
      <w:r w:rsidR="00A459CA">
        <w:rPr>
          <w:rFonts w:asciiTheme="majorHAnsi" w:hAnsiTheme="majorHAnsi" w:cstheme="majorHAnsi"/>
          <w:color w:val="000000"/>
          <w:sz w:val="24"/>
          <w:szCs w:val="24"/>
          <w:shd w:val="clear" w:color="auto" w:fill="FFFFFF"/>
          <w:lang w:val="ro-MD"/>
        </w:rPr>
        <w:t>privind</w:t>
      </w:r>
      <w:r w:rsidRPr="00401691">
        <w:rPr>
          <w:rFonts w:asciiTheme="majorHAnsi" w:hAnsiTheme="majorHAnsi" w:cstheme="majorHAnsi"/>
          <w:color w:val="000000"/>
          <w:sz w:val="24"/>
          <w:szCs w:val="24"/>
          <w:shd w:val="clear" w:color="auto" w:fill="FFFFFF"/>
          <w:lang w:val="ro-MD"/>
        </w:rPr>
        <w:t xml:space="preserve"> aria de cuprindere a auditului și criteriile de evaluare a conformității </w:t>
      </w:r>
      <w:r w:rsidR="00A459CA">
        <w:rPr>
          <w:rFonts w:asciiTheme="majorHAnsi" w:hAnsiTheme="majorHAnsi" w:cstheme="majorHAnsi"/>
          <w:color w:val="000000"/>
          <w:sz w:val="24"/>
          <w:szCs w:val="24"/>
          <w:shd w:val="clear" w:color="auto" w:fill="FFFFFF"/>
          <w:lang w:val="ro-MD"/>
        </w:rPr>
        <w:t>este</w:t>
      </w:r>
      <w:r w:rsidRPr="00401691">
        <w:rPr>
          <w:rFonts w:asciiTheme="majorHAnsi" w:hAnsiTheme="majorHAnsi" w:cstheme="majorHAnsi"/>
          <w:color w:val="000000"/>
          <w:sz w:val="24"/>
          <w:szCs w:val="24"/>
          <w:shd w:val="clear" w:color="auto" w:fill="FFFFFF"/>
          <w:lang w:val="ro-MD"/>
        </w:rPr>
        <w:t xml:space="preserve"> prezentat</w:t>
      </w:r>
      <w:r w:rsidR="00A459CA">
        <w:rPr>
          <w:rFonts w:asciiTheme="majorHAnsi" w:hAnsiTheme="majorHAnsi" w:cstheme="majorHAnsi"/>
          <w:color w:val="000000"/>
          <w:sz w:val="24"/>
          <w:szCs w:val="24"/>
          <w:shd w:val="clear" w:color="auto" w:fill="FFFFFF"/>
          <w:lang w:val="ro-MD"/>
        </w:rPr>
        <w:t>ă</w:t>
      </w:r>
      <w:r w:rsidRPr="00401691">
        <w:rPr>
          <w:rFonts w:asciiTheme="majorHAnsi" w:hAnsiTheme="majorHAnsi" w:cstheme="majorHAnsi"/>
          <w:color w:val="000000"/>
          <w:sz w:val="24"/>
          <w:szCs w:val="24"/>
          <w:shd w:val="clear" w:color="auto" w:fill="FFFFFF"/>
          <w:lang w:val="ro-MD"/>
        </w:rPr>
        <w:t xml:space="preserve"> în Anexa nr.</w:t>
      </w:r>
      <w:r w:rsidR="0032763D" w:rsidRPr="00401691">
        <w:rPr>
          <w:rFonts w:asciiTheme="majorHAnsi" w:hAnsiTheme="majorHAnsi" w:cstheme="majorHAnsi"/>
          <w:color w:val="000000"/>
          <w:sz w:val="24"/>
          <w:szCs w:val="24"/>
          <w:shd w:val="clear" w:color="auto" w:fill="FFFFFF"/>
          <w:lang w:val="ro-MD"/>
        </w:rPr>
        <w:t xml:space="preserve"> 1</w:t>
      </w:r>
      <w:r w:rsidRPr="00401691">
        <w:rPr>
          <w:rFonts w:asciiTheme="majorHAnsi" w:hAnsiTheme="majorHAnsi" w:cstheme="majorHAnsi"/>
          <w:color w:val="000000"/>
          <w:sz w:val="24"/>
          <w:szCs w:val="24"/>
          <w:shd w:val="clear" w:color="auto" w:fill="FFFFFF"/>
          <w:lang w:val="ro-MD"/>
        </w:rPr>
        <w:t xml:space="preserve"> la Raportul de audit.</w:t>
      </w:r>
    </w:p>
    <w:p w:rsidR="00544000" w:rsidRPr="00401691" w:rsidRDefault="00544000" w:rsidP="00844145">
      <w:pPr>
        <w:spacing w:line="276" w:lineRule="auto"/>
        <w:jc w:val="both"/>
        <w:rPr>
          <w:rFonts w:asciiTheme="majorHAnsi" w:hAnsiTheme="majorHAnsi" w:cstheme="majorHAnsi"/>
          <w:b/>
          <w:color w:val="1F4E79" w:themeColor="accent1" w:themeShade="80"/>
          <w:sz w:val="24"/>
          <w:szCs w:val="24"/>
          <w:shd w:val="clear" w:color="auto" w:fill="FFFFFF"/>
          <w:lang w:val="ro-MD"/>
        </w:rPr>
      </w:pPr>
      <w:r w:rsidRPr="00401691">
        <w:rPr>
          <w:rFonts w:asciiTheme="majorHAnsi" w:hAnsiTheme="majorHAnsi" w:cstheme="majorHAnsi"/>
          <w:b/>
          <w:color w:val="1F4E79" w:themeColor="accent1" w:themeShade="80"/>
          <w:sz w:val="24"/>
          <w:szCs w:val="24"/>
          <w:shd w:val="clear" w:color="auto" w:fill="FFFFFF"/>
          <w:lang w:val="ro-MD"/>
        </w:rPr>
        <w:t>Responsabilitatea echipei de audit</w:t>
      </w:r>
    </w:p>
    <w:p w:rsidR="00544000" w:rsidRPr="00401691" w:rsidRDefault="00544000" w:rsidP="00844145">
      <w:pPr>
        <w:spacing w:line="276" w:lineRule="auto"/>
        <w:jc w:val="both"/>
        <w:rPr>
          <w:rFonts w:asciiTheme="majorHAnsi" w:hAnsiTheme="majorHAnsi" w:cstheme="majorHAnsi"/>
          <w:color w:val="000000"/>
          <w:sz w:val="24"/>
          <w:szCs w:val="24"/>
          <w:shd w:val="clear" w:color="auto" w:fill="FFFFFF"/>
          <w:lang w:val="ro-MD"/>
        </w:rPr>
      </w:pPr>
      <w:r w:rsidRPr="00401691">
        <w:rPr>
          <w:rFonts w:asciiTheme="majorHAnsi" w:hAnsiTheme="majorHAnsi" w:cstheme="majorHAnsi"/>
          <w:color w:val="000000"/>
          <w:sz w:val="24"/>
          <w:szCs w:val="24"/>
          <w:shd w:val="clear" w:color="auto" w:fill="FFFFFF"/>
          <w:lang w:val="ro-MD"/>
        </w:rPr>
        <w:t xml:space="preserve">Responsabilitatea auditorului </w:t>
      </w:r>
      <w:r w:rsidR="00492A34">
        <w:rPr>
          <w:rFonts w:asciiTheme="majorHAnsi" w:hAnsiTheme="majorHAnsi" w:cstheme="majorHAnsi"/>
          <w:color w:val="000000"/>
          <w:sz w:val="24"/>
          <w:szCs w:val="24"/>
          <w:shd w:val="clear" w:color="auto" w:fill="FFFFFF"/>
          <w:lang w:val="ro-MD"/>
        </w:rPr>
        <w:t xml:space="preserve">public </w:t>
      </w:r>
      <w:r w:rsidRPr="00401691">
        <w:rPr>
          <w:rFonts w:asciiTheme="majorHAnsi" w:hAnsiTheme="majorHAnsi" w:cstheme="majorHAnsi"/>
          <w:color w:val="000000"/>
          <w:sz w:val="24"/>
          <w:szCs w:val="24"/>
          <w:shd w:val="clear" w:color="auto" w:fill="FFFFFF"/>
          <w:lang w:val="ro-MD"/>
        </w:rPr>
        <w:t xml:space="preserve">este de a planifica și a realiza misiunea de audit în conformitate cu standardele în materie de audit </w:t>
      </w:r>
      <w:r w:rsidR="00492A34">
        <w:rPr>
          <w:rFonts w:asciiTheme="majorHAnsi" w:hAnsiTheme="majorHAnsi" w:cstheme="majorHAnsi"/>
          <w:color w:val="000000"/>
          <w:sz w:val="24"/>
          <w:szCs w:val="24"/>
          <w:shd w:val="clear" w:color="auto" w:fill="FFFFFF"/>
          <w:lang w:val="ro-MD"/>
        </w:rPr>
        <w:t xml:space="preserve">public extern </w:t>
      </w:r>
      <w:r w:rsidRPr="00401691">
        <w:rPr>
          <w:rFonts w:asciiTheme="majorHAnsi" w:hAnsiTheme="majorHAnsi" w:cstheme="majorHAnsi"/>
          <w:color w:val="000000"/>
          <w:sz w:val="24"/>
          <w:szCs w:val="24"/>
          <w:shd w:val="clear" w:color="auto" w:fill="FFFFFF"/>
          <w:lang w:val="ro-MD"/>
        </w:rPr>
        <w:t>și cadrul normativ-metodologic instituțional aferent, cu obținerea probelor suficiente și adecvate, exprimarea unei concluzii concepute asupra conformității</w:t>
      </w:r>
      <w:r w:rsidR="00B97B49">
        <w:rPr>
          <w:rFonts w:asciiTheme="majorHAnsi" w:hAnsiTheme="majorHAnsi" w:cstheme="majorHAnsi"/>
          <w:color w:val="000000"/>
          <w:sz w:val="24"/>
          <w:szCs w:val="24"/>
          <w:shd w:val="clear" w:color="auto" w:fill="FFFFFF"/>
          <w:lang w:val="ro-MD"/>
        </w:rPr>
        <w:t xml:space="preserve"> administrării veniturilor la bugetul de stat de către SFS</w:t>
      </w:r>
      <w:r w:rsidRPr="00401691">
        <w:rPr>
          <w:rFonts w:asciiTheme="majorHAnsi" w:hAnsiTheme="majorHAnsi" w:cstheme="majorHAnsi"/>
          <w:color w:val="000000"/>
          <w:sz w:val="24"/>
          <w:szCs w:val="24"/>
          <w:shd w:val="clear" w:color="auto" w:fill="FFFFFF"/>
          <w:lang w:val="ro-MD"/>
        </w:rPr>
        <w:t>. Auditorul</w:t>
      </w:r>
      <w:r w:rsidR="00492A34">
        <w:rPr>
          <w:rFonts w:asciiTheme="majorHAnsi" w:hAnsiTheme="majorHAnsi" w:cstheme="majorHAnsi"/>
          <w:color w:val="000000"/>
          <w:sz w:val="24"/>
          <w:szCs w:val="24"/>
          <w:shd w:val="clear" w:color="auto" w:fill="FFFFFF"/>
          <w:lang w:val="ro-MD"/>
        </w:rPr>
        <w:t xml:space="preserve"> public</w:t>
      </w:r>
      <w:r w:rsidRPr="00401691">
        <w:rPr>
          <w:rFonts w:asciiTheme="majorHAnsi" w:hAnsiTheme="majorHAnsi" w:cstheme="majorHAnsi"/>
          <w:color w:val="000000"/>
          <w:sz w:val="24"/>
          <w:szCs w:val="24"/>
          <w:shd w:val="clear" w:color="auto" w:fill="FFFFFF"/>
          <w:lang w:val="ro-MD"/>
        </w:rPr>
        <w:t xml:space="preserve"> nu este responsabil de prevenirea faptelor de fraudă și eroare.</w:t>
      </w:r>
    </w:p>
    <w:p w:rsidR="00544000" w:rsidRDefault="00544000" w:rsidP="001C0614">
      <w:pPr>
        <w:spacing w:line="276" w:lineRule="auto"/>
        <w:jc w:val="both"/>
        <w:rPr>
          <w:rFonts w:asciiTheme="majorHAnsi" w:hAnsiTheme="majorHAnsi" w:cstheme="majorHAnsi"/>
          <w:color w:val="000000"/>
          <w:sz w:val="24"/>
          <w:szCs w:val="24"/>
          <w:shd w:val="clear" w:color="auto" w:fill="FFFFFF"/>
          <w:lang w:val="ro-MD"/>
        </w:rPr>
      </w:pPr>
      <w:r w:rsidRPr="00401691">
        <w:rPr>
          <w:rFonts w:asciiTheme="majorHAnsi" w:hAnsiTheme="majorHAnsi" w:cstheme="majorHAnsi"/>
          <w:color w:val="000000"/>
          <w:sz w:val="24"/>
          <w:szCs w:val="24"/>
          <w:shd w:val="clear" w:color="auto" w:fill="FFFFFF"/>
          <w:lang w:val="ro-MD"/>
        </w:rPr>
        <w:t>Verificările auditului au vizat doar acele aspecte care au asigurat acumularea probelor necesare și suficiente pentru a răspunde la obiectivele specifice și întrebările de audit. Concomitent</w:t>
      </w:r>
      <w:r w:rsidR="001C0614">
        <w:rPr>
          <w:rFonts w:asciiTheme="majorHAnsi" w:hAnsiTheme="majorHAnsi" w:cstheme="majorHAnsi"/>
          <w:color w:val="000000"/>
          <w:sz w:val="24"/>
          <w:szCs w:val="24"/>
          <w:shd w:val="clear" w:color="auto" w:fill="FFFFFF"/>
          <w:lang w:val="ro-MD"/>
        </w:rPr>
        <w:t xml:space="preserve">, activitatea de audit public extern a fost </w:t>
      </w:r>
      <w:r w:rsidR="002D6368" w:rsidRPr="002D6368">
        <w:rPr>
          <w:rFonts w:asciiTheme="majorHAnsi" w:hAnsiTheme="majorHAnsi" w:cstheme="majorHAnsi"/>
          <w:color w:val="000000"/>
          <w:sz w:val="24"/>
          <w:szCs w:val="24"/>
          <w:shd w:val="clear" w:color="auto" w:fill="FFFFFF"/>
          <w:lang w:val="ro-MD"/>
        </w:rPr>
        <w:lastRenderedPageBreak/>
        <w:t>influențată</w:t>
      </w:r>
      <w:r w:rsidR="00662223" w:rsidRPr="002D6368">
        <w:rPr>
          <w:rStyle w:val="FootnoteReference"/>
          <w:rFonts w:asciiTheme="majorHAnsi" w:hAnsiTheme="majorHAnsi" w:cstheme="majorHAnsi"/>
          <w:color w:val="000000"/>
          <w:sz w:val="24"/>
          <w:szCs w:val="24"/>
          <w:shd w:val="clear" w:color="auto" w:fill="FFFFFF"/>
          <w:lang w:val="ro-MD"/>
        </w:rPr>
        <w:footnoteReference w:id="4"/>
      </w:r>
      <w:r w:rsidR="004A0BBD">
        <w:rPr>
          <w:rFonts w:asciiTheme="majorHAnsi" w:hAnsiTheme="majorHAnsi" w:cstheme="majorHAnsi"/>
          <w:color w:val="000000"/>
          <w:sz w:val="24"/>
          <w:szCs w:val="24"/>
          <w:shd w:val="clear" w:color="auto" w:fill="FFFFFF"/>
          <w:lang w:val="ro-MD"/>
        </w:rPr>
        <w:t xml:space="preserve"> </w:t>
      </w:r>
      <w:r w:rsidR="007407F2">
        <w:rPr>
          <w:rFonts w:asciiTheme="majorHAnsi" w:hAnsiTheme="majorHAnsi" w:cstheme="majorHAnsi"/>
          <w:color w:val="000000"/>
          <w:sz w:val="24"/>
          <w:szCs w:val="24"/>
          <w:shd w:val="clear" w:color="auto" w:fill="FFFFFF"/>
          <w:lang w:val="ro-MD"/>
        </w:rPr>
        <w:t>de</w:t>
      </w:r>
      <w:r w:rsidR="001C0614" w:rsidRPr="00401691">
        <w:rPr>
          <w:rFonts w:asciiTheme="majorHAnsi" w:hAnsiTheme="majorHAnsi" w:cstheme="majorHAnsi"/>
          <w:color w:val="000000"/>
          <w:sz w:val="24"/>
          <w:szCs w:val="24"/>
          <w:shd w:val="clear" w:color="auto" w:fill="FFFFFF"/>
          <w:lang w:val="ro-MD"/>
        </w:rPr>
        <w:t xml:space="preserve"> neacord</w:t>
      </w:r>
      <w:r w:rsidR="007407F2">
        <w:rPr>
          <w:rFonts w:asciiTheme="majorHAnsi" w:hAnsiTheme="majorHAnsi" w:cstheme="majorHAnsi"/>
          <w:color w:val="000000"/>
          <w:sz w:val="24"/>
          <w:szCs w:val="24"/>
          <w:shd w:val="clear" w:color="auto" w:fill="FFFFFF"/>
          <w:lang w:val="ro-MD"/>
        </w:rPr>
        <w:t>area</w:t>
      </w:r>
      <w:r w:rsidR="001C0614" w:rsidRPr="00401691">
        <w:rPr>
          <w:rFonts w:asciiTheme="majorHAnsi" w:hAnsiTheme="majorHAnsi" w:cstheme="majorHAnsi"/>
          <w:color w:val="000000"/>
          <w:sz w:val="24"/>
          <w:szCs w:val="24"/>
          <w:shd w:val="clear" w:color="auto" w:fill="FFFFFF"/>
          <w:lang w:val="ro-MD"/>
        </w:rPr>
        <w:t xml:space="preserve"> de către SFS a accesului echipei Curții de Conturi la unele </w:t>
      </w:r>
      <w:r w:rsidR="001C0614">
        <w:rPr>
          <w:rFonts w:asciiTheme="majorHAnsi" w:hAnsiTheme="majorHAnsi" w:cstheme="majorHAnsi"/>
          <w:color w:val="000000"/>
          <w:sz w:val="24"/>
          <w:szCs w:val="24"/>
          <w:shd w:val="clear" w:color="auto" w:fill="FFFFFF"/>
          <w:lang w:val="ro-MD"/>
        </w:rPr>
        <w:t>surse</w:t>
      </w:r>
      <w:r w:rsidR="001C0614" w:rsidRPr="00401691">
        <w:rPr>
          <w:rFonts w:asciiTheme="majorHAnsi" w:hAnsiTheme="majorHAnsi" w:cstheme="majorHAnsi"/>
          <w:color w:val="000000"/>
          <w:sz w:val="24"/>
          <w:szCs w:val="24"/>
          <w:shd w:val="clear" w:color="auto" w:fill="FFFFFF"/>
          <w:lang w:val="ro-MD"/>
        </w:rPr>
        <w:t xml:space="preserve"> infor</w:t>
      </w:r>
      <w:r w:rsidR="001C0614">
        <w:rPr>
          <w:rFonts w:asciiTheme="majorHAnsi" w:hAnsiTheme="majorHAnsi" w:cstheme="majorHAnsi"/>
          <w:color w:val="000000"/>
          <w:sz w:val="24"/>
          <w:szCs w:val="24"/>
          <w:shd w:val="clear" w:color="auto" w:fill="FFFFFF"/>
          <w:lang w:val="ro-MD"/>
        </w:rPr>
        <w:t xml:space="preserve">maționale deținute de entitate </w:t>
      </w:r>
      <w:r w:rsidR="001C0614" w:rsidRPr="00401691">
        <w:rPr>
          <w:rFonts w:asciiTheme="majorHAnsi" w:hAnsiTheme="majorHAnsi" w:cstheme="majorHAnsi"/>
          <w:color w:val="000000"/>
          <w:sz w:val="24"/>
          <w:szCs w:val="24"/>
          <w:shd w:val="clear" w:color="auto" w:fill="FFFFFF"/>
          <w:lang w:val="ro-MD"/>
        </w:rPr>
        <w:t>în scopul administrării evidenței fiscale</w:t>
      </w:r>
      <w:r w:rsidR="001C0614">
        <w:rPr>
          <w:rFonts w:asciiTheme="majorHAnsi" w:hAnsiTheme="majorHAnsi" w:cstheme="majorHAnsi"/>
          <w:color w:val="000000"/>
          <w:sz w:val="24"/>
          <w:szCs w:val="24"/>
          <w:shd w:val="clear" w:color="auto" w:fill="FFFFFF"/>
          <w:lang w:val="ro-MD"/>
        </w:rPr>
        <w:t xml:space="preserve">, precum și de </w:t>
      </w:r>
      <w:r w:rsidRPr="00401691">
        <w:rPr>
          <w:rFonts w:asciiTheme="majorHAnsi" w:hAnsiTheme="majorHAnsi" w:cstheme="majorHAnsi"/>
          <w:color w:val="000000"/>
          <w:sz w:val="24"/>
          <w:szCs w:val="24"/>
          <w:shd w:val="clear" w:color="auto" w:fill="FFFFFF"/>
          <w:lang w:val="ro-MD"/>
        </w:rPr>
        <w:t>restricțiile impuse de starea de urgență și epidemiologică din țară.</w:t>
      </w:r>
    </w:p>
    <w:p w:rsidR="004836DA" w:rsidRDefault="004836DA" w:rsidP="001C0614">
      <w:pPr>
        <w:spacing w:line="276" w:lineRule="auto"/>
        <w:jc w:val="both"/>
        <w:rPr>
          <w:rFonts w:asciiTheme="majorHAnsi" w:hAnsiTheme="majorHAnsi" w:cstheme="majorHAnsi"/>
          <w:color w:val="000000"/>
          <w:sz w:val="24"/>
          <w:szCs w:val="24"/>
          <w:shd w:val="clear" w:color="auto" w:fill="FFFFFF"/>
          <w:lang w:val="ro-MD"/>
        </w:rPr>
      </w:pPr>
    </w:p>
    <w:p w:rsidR="004836DA" w:rsidRDefault="004836DA" w:rsidP="001C0614">
      <w:pPr>
        <w:spacing w:line="276" w:lineRule="auto"/>
        <w:jc w:val="both"/>
        <w:rPr>
          <w:rFonts w:asciiTheme="majorHAnsi" w:hAnsiTheme="majorHAnsi" w:cstheme="majorHAnsi"/>
          <w:color w:val="000000"/>
          <w:sz w:val="24"/>
          <w:szCs w:val="24"/>
          <w:shd w:val="clear" w:color="auto" w:fill="FFFFFF"/>
          <w:lang w:val="ro-MD"/>
        </w:rPr>
      </w:pPr>
    </w:p>
    <w:p w:rsidR="004836DA" w:rsidRDefault="004836DA" w:rsidP="001C0614">
      <w:pPr>
        <w:spacing w:line="276" w:lineRule="auto"/>
        <w:jc w:val="both"/>
        <w:rPr>
          <w:rFonts w:asciiTheme="majorHAnsi" w:hAnsiTheme="majorHAnsi" w:cstheme="majorHAnsi"/>
          <w:color w:val="000000"/>
          <w:sz w:val="24"/>
          <w:szCs w:val="24"/>
          <w:shd w:val="clear" w:color="auto" w:fill="FFFFFF"/>
          <w:lang w:val="ro-MD"/>
        </w:rPr>
      </w:pPr>
    </w:p>
    <w:p w:rsidR="004836DA" w:rsidRDefault="004836DA" w:rsidP="001C0614">
      <w:pPr>
        <w:spacing w:line="276" w:lineRule="auto"/>
        <w:jc w:val="both"/>
        <w:rPr>
          <w:rFonts w:asciiTheme="majorHAnsi" w:hAnsiTheme="majorHAnsi" w:cstheme="majorHAnsi"/>
          <w:color w:val="000000"/>
          <w:sz w:val="24"/>
          <w:szCs w:val="24"/>
          <w:shd w:val="clear" w:color="auto" w:fill="FFFFFF"/>
          <w:lang w:val="ro-MD"/>
        </w:rPr>
      </w:pPr>
    </w:p>
    <w:p w:rsidR="004836DA" w:rsidRDefault="004836DA" w:rsidP="001C0614">
      <w:pPr>
        <w:spacing w:line="276" w:lineRule="auto"/>
        <w:jc w:val="both"/>
        <w:rPr>
          <w:rFonts w:asciiTheme="majorHAnsi" w:hAnsiTheme="majorHAnsi" w:cstheme="majorHAnsi"/>
          <w:color w:val="000000"/>
          <w:sz w:val="24"/>
          <w:szCs w:val="24"/>
          <w:shd w:val="clear" w:color="auto" w:fill="FFFFFF"/>
          <w:lang w:val="ro-MD"/>
        </w:rPr>
      </w:pPr>
    </w:p>
    <w:p w:rsidR="004836DA" w:rsidRDefault="004836DA" w:rsidP="001C0614">
      <w:pPr>
        <w:spacing w:line="276" w:lineRule="auto"/>
        <w:jc w:val="both"/>
        <w:rPr>
          <w:rFonts w:asciiTheme="majorHAnsi" w:hAnsiTheme="majorHAnsi" w:cstheme="majorHAnsi"/>
          <w:color w:val="000000"/>
          <w:sz w:val="24"/>
          <w:szCs w:val="24"/>
          <w:shd w:val="clear" w:color="auto" w:fill="FFFFFF"/>
          <w:lang w:val="ro-MD"/>
        </w:rPr>
      </w:pPr>
    </w:p>
    <w:p w:rsidR="004836DA" w:rsidRDefault="004836DA" w:rsidP="001C0614">
      <w:pPr>
        <w:spacing w:line="276" w:lineRule="auto"/>
        <w:jc w:val="both"/>
        <w:rPr>
          <w:rFonts w:asciiTheme="majorHAnsi" w:hAnsiTheme="majorHAnsi" w:cstheme="majorHAnsi"/>
          <w:color w:val="000000"/>
          <w:sz w:val="24"/>
          <w:szCs w:val="24"/>
          <w:shd w:val="clear" w:color="auto" w:fill="FFFFFF"/>
          <w:lang w:val="ro-MD"/>
        </w:rPr>
      </w:pPr>
    </w:p>
    <w:p w:rsidR="004836DA" w:rsidRDefault="004836DA" w:rsidP="001C0614">
      <w:pPr>
        <w:spacing w:line="276" w:lineRule="auto"/>
        <w:jc w:val="both"/>
        <w:rPr>
          <w:rFonts w:asciiTheme="majorHAnsi" w:hAnsiTheme="majorHAnsi" w:cstheme="majorHAnsi"/>
          <w:color w:val="000000"/>
          <w:sz w:val="24"/>
          <w:szCs w:val="24"/>
          <w:shd w:val="clear" w:color="auto" w:fill="FFFFFF"/>
          <w:lang w:val="ro-MD"/>
        </w:rPr>
      </w:pPr>
    </w:p>
    <w:p w:rsidR="004836DA" w:rsidRDefault="004836DA" w:rsidP="001C0614">
      <w:pPr>
        <w:spacing w:line="276" w:lineRule="auto"/>
        <w:jc w:val="both"/>
        <w:rPr>
          <w:rFonts w:asciiTheme="majorHAnsi" w:hAnsiTheme="majorHAnsi" w:cstheme="majorHAnsi"/>
          <w:color w:val="000000"/>
          <w:sz w:val="24"/>
          <w:szCs w:val="24"/>
          <w:shd w:val="clear" w:color="auto" w:fill="FFFFFF"/>
          <w:lang w:val="ro-MD"/>
        </w:rPr>
      </w:pPr>
    </w:p>
    <w:p w:rsidR="004836DA" w:rsidRDefault="004836DA" w:rsidP="001C0614">
      <w:pPr>
        <w:spacing w:line="276" w:lineRule="auto"/>
        <w:jc w:val="both"/>
        <w:rPr>
          <w:rFonts w:asciiTheme="majorHAnsi" w:hAnsiTheme="majorHAnsi" w:cstheme="majorHAnsi"/>
          <w:color w:val="000000"/>
          <w:sz w:val="24"/>
          <w:szCs w:val="24"/>
          <w:shd w:val="clear" w:color="auto" w:fill="FFFFFF"/>
          <w:lang w:val="ro-MD"/>
        </w:rPr>
      </w:pPr>
    </w:p>
    <w:p w:rsidR="004836DA" w:rsidRDefault="004836DA" w:rsidP="001C0614">
      <w:pPr>
        <w:spacing w:line="276" w:lineRule="auto"/>
        <w:jc w:val="both"/>
        <w:rPr>
          <w:rFonts w:asciiTheme="majorHAnsi" w:hAnsiTheme="majorHAnsi" w:cstheme="majorHAnsi"/>
          <w:color w:val="000000"/>
          <w:sz w:val="24"/>
          <w:szCs w:val="24"/>
          <w:shd w:val="clear" w:color="auto" w:fill="FFFFFF"/>
          <w:lang w:val="ro-MD"/>
        </w:rPr>
      </w:pPr>
    </w:p>
    <w:p w:rsidR="004836DA" w:rsidRDefault="004836DA" w:rsidP="001C0614">
      <w:pPr>
        <w:spacing w:line="276" w:lineRule="auto"/>
        <w:jc w:val="both"/>
        <w:rPr>
          <w:rFonts w:asciiTheme="majorHAnsi" w:hAnsiTheme="majorHAnsi" w:cstheme="majorHAnsi"/>
          <w:color w:val="000000"/>
          <w:sz w:val="24"/>
          <w:szCs w:val="24"/>
          <w:shd w:val="clear" w:color="auto" w:fill="FFFFFF"/>
          <w:lang w:val="ro-MD"/>
        </w:rPr>
      </w:pPr>
    </w:p>
    <w:p w:rsidR="004836DA" w:rsidRDefault="004836DA" w:rsidP="001C0614">
      <w:pPr>
        <w:spacing w:line="276" w:lineRule="auto"/>
        <w:jc w:val="both"/>
        <w:rPr>
          <w:rFonts w:asciiTheme="majorHAnsi" w:hAnsiTheme="majorHAnsi" w:cstheme="majorHAnsi"/>
          <w:color w:val="000000"/>
          <w:sz w:val="24"/>
          <w:szCs w:val="24"/>
          <w:shd w:val="clear" w:color="auto" w:fill="FFFFFF"/>
          <w:lang w:val="ro-MD"/>
        </w:rPr>
      </w:pPr>
    </w:p>
    <w:p w:rsidR="004836DA" w:rsidRDefault="004836DA" w:rsidP="001C0614">
      <w:pPr>
        <w:spacing w:line="276" w:lineRule="auto"/>
        <w:jc w:val="both"/>
        <w:rPr>
          <w:rFonts w:asciiTheme="majorHAnsi" w:hAnsiTheme="majorHAnsi" w:cstheme="majorHAnsi"/>
          <w:color w:val="000000"/>
          <w:sz w:val="24"/>
          <w:szCs w:val="24"/>
          <w:shd w:val="clear" w:color="auto" w:fill="FFFFFF"/>
          <w:lang w:val="ro-MD"/>
        </w:rPr>
      </w:pPr>
    </w:p>
    <w:p w:rsidR="009A1917" w:rsidRPr="00502CDC" w:rsidRDefault="008F52E4" w:rsidP="00844145">
      <w:pPr>
        <w:pStyle w:val="Heading1"/>
        <w:numPr>
          <w:ilvl w:val="0"/>
          <w:numId w:val="32"/>
        </w:numPr>
        <w:spacing w:line="276" w:lineRule="auto"/>
        <w:ind w:left="720" w:hanging="360"/>
        <w:jc w:val="center"/>
        <w:rPr>
          <w:i w:val="0"/>
          <w:sz w:val="24"/>
          <w:szCs w:val="24"/>
          <w:shd w:val="clear" w:color="auto" w:fill="FFFFFF"/>
          <w:lang w:val="ro-MD"/>
        </w:rPr>
      </w:pPr>
      <w:bookmarkStart w:id="6" w:name="_Toc48732718"/>
      <w:r w:rsidRPr="00502CDC">
        <w:rPr>
          <w:i w:val="0"/>
          <w:color w:val="002060"/>
          <w:sz w:val="24"/>
          <w:szCs w:val="24"/>
          <w:shd w:val="clear" w:color="auto" w:fill="FFFFFF"/>
          <w:lang w:val="ro-MD"/>
        </w:rPr>
        <w:lastRenderedPageBreak/>
        <w:t>CONSTATĂRI</w:t>
      </w:r>
      <w:bookmarkEnd w:id="6"/>
    </w:p>
    <w:p w:rsidR="00B00022" w:rsidRPr="00502CDC" w:rsidRDefault="00B24C0F" w:rsidP="00844145">
      <w:pPr>
        <w:pStyle w:val="Heading2"/>
        <w:spacing w:after="240" w:line="276" w:lineRule="auto"/>
        <w:jc w:val="both"/>
        <w:rPr>
          <w:b/>
          <w:color w:val="1F4E79" w:themeColor="accent1" w:themeShade="80"/>
          <w:shd w:val="clear" w:color="auto" w:fill="FFFFFF"/>
          <w:lang w:val="ro-MD"/>
        </w:rPr>
      </w:pPr>
      <w:bookmarkStart w:id="7" w:name="_Toc48732719"/>
      <w:r w:rsidRPr="00502CDC">
        <w:rPr>
          <w:b/>
          <w:color w:val="1F4E79" w:themeColor="accent1" w:themeShade="80"/>
          <w:shd w:val="clear" w:color="auto" w:fill="FFFFFF"/>
          <w:lang w:val="ro-MD"/>
        </w:rPr>
        <w:t xml:space="preserve">Obiectivul </w:t>
      </w:r>
      <w:r w:rsidR="002133C7" w:rsidRPr="00502CDC">
        <w:rPr>
          <w:b/>
          <w:color w:val="1F4E79" w:themeColor="accent1" w:themeShade="80"/>
          <w:shd w:val="clear" w:color="auto" w:fill="FFFFFF"/>
          <w:lang w:val="ro-MD"/>
        </w:rPr>
        <w:t xml:space="preserve">specific </w:t>
      </w:r>
      <w:r w:rsidRPr="00502CDC">
        <w:rPr>
          <w:b/>
          <w:color w:val="1F4E79" w:themeColor="accent1" w:themeShade="80"/>
          <w:shd w:val="clear" w:color="auto" w:fill="FFFFFF"/>
          <w:lang w:val="ro-MD"/>
        </w:rPr>
        <w:t xml:space="preserve">nr.1: </w:t>
      </w:r>
      <w:r w:rsidR="0080562F" w:rsidRPr="00502CDC">
        <w:rPr>
          <w:b/>
          <w:color w:val="1F4E79" w:themeColor="accent1" w:themeShade="80"/>
          <w:shd w:val="clear" w:color="auto" w:fill="FFFFFF"/>
          <w:lang w:val="ro-MD"/>
        </w:rPr>
        <w:t>E</w:t>
      </w:r>
      <w:r w:rsidRPr="00502CDC">
        <w:rPr>
          <w:b/>
          <w:color w:val="1F4E79" w:themeColor="accent1" w:themeShade="80"/>
          <w:shd w:val="clear" w:color="auto" w:fill="FFFFFF"/>
          <w:lang w:val="ro-MD"/>
        </w:rPr>
        <w:t>stimarea sarcinii de colectare și raportare a veniturilor încasate la bugetul de stat s-a realizat potrivit normelor procedurale/metodologice aplicabile?</w:t>
      </w:r>
      <w:bookmarkEnd w:id="7"/>
    </w:p>
    <w:tbl>
      <w:tblPr>
        <w:tblW w:w="10176"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6"/>
      </w:tblGrid>
      <w:tr w:rsidR="003A16EC" w:rsidRPr="00401691" w:rsidTr="004836DA">
        <w:trPr>
          <w:trHeight w:val="2820"/>
        </w:trPr>
        <w:tc>
          <w:tcPr>
            <w:tcW w:w="10176" w:type="dxa"/>
            <w:tcBorders>
              <w:top w:val="wave" w:sz="6" w:space="0" w:color="auto"/>
              <w:left w:val="wave" w:sz="6" w:space="0" w:color="auto"/>
              <w:bottom w:val="wave" w:sz="6" w:space="0" w:color="auto"/>
              <w:right w:val="wave" w:sz="6" w:space="0" w:color="auto"/>
            </w:tcBorders>
          </w:tcPr>
          <w:p w:rsidR="002E452A" w:rsidRPr="00401691" w:rsidRDefault="002E452A" w:rsidP="00844145">
            <w:pPr>
              <w:spacing w:after="0" w:line="276" w:lineRule="auto"/>
              <w:ind w:left="-26"/>
              <w:jc w:val="both"/>
              <w:rPr>
                <w:rFonts w:asciiTheme="majorHAnsi" w:hAnsiTheme="majorHAnsi" w:cstheme="majorHAnsi"/>
                <w:i/>
                <w:sz w:val="24"/>
                <w:szCs w:val="24"/>
                <w:lang w:val="ro-MD"/>
              </w:rPr>
            </w:pPr>
            <w:r w:rsidRPr="00401691">
              <w:rPr>
                <w:rFonts w:asciiTheme="majorHAnsi" w:hAnsiTheme="majorHAnsi" w:cstheme="majorHAnsi"/>
                <w:i/>
                <w:sz w:val="24"/>
                <w:szCs w:val="24"/>
                <w:lang w:val="ro-MD"/>
              </w:rPr>
              <w:t xml:space="preserve">Comparând nivelul prognozat al veniturilor colectate la bugetul de stat (ținta </w:t>
            </w:r>
            <w:r w:rsidR="001E4A3A">
              <w:rPr>
                <w:rFonts w:asciiTheme="majorHAnsi" w:hAnsiTheme="majorHAnsi" w:cstheme="majorHAnsi"/>
                <w:i/>
                <w:sz w:val="24"/>
                <w:szCs w:val="24"/>
                <w:lang w:val="ro-MD"/>
              </w:rPr>
              <w:t>propusă) și încasările executate</w:t>
            </w:r>
            <w:r w:rsidRPr="00401691">
              <w:rPr>
                <w:rFonts w:asciiTheme="majorHAnsi" w:hAnsiTheme="majorHAnsi" w:cstheme="majorHAnsi"/>
                <w:i/>
                <w:sz w:val="24"/>
                <w:szCs w:val="24"/>
                <w:lang w:val="ro-MD"/>
              </w:rPr>
              <w:t xml:space="preserve"> în </w:t>
            </w:r>
            <w:r w:rsidR="007407F2">
              <w:rPr>
                <w:rFonts w:asciiTheme="majorHAnsi" w:hAnsiTheme="majorHAnsi" w:cstheme="majorHAnsi"/>
                <w:i/>
                <w:sz w:val="24"/>
                <w:szCs w:val="24"/>
                <w:lang w:val="ro-MD"/>
              </w:rPr>
              <w:t>anul</w:t>
            </w:r>
            <w:r w:rsidRPr="00401691">
              <w:rPr>
                <w:rFonts w:asciiTheme="majorHAnsi" w:hAnsiTheme="majorHAnsi" w:cstheme="majorHAnsi"/>
                <w:i/>
                <w:sz w:val="24"/>
                <w:szCs w:val="24"/>
                <w:lang w:val="ro-MD"/>
              </w:rPr>
              <w:t xml:space="preserve"> 2019</w:t>
            </w:r>
            <w:r w:rsidR="007407F2">
              <w:rPr>
                <w:rFonts w:asciiTheme="majorHAnsi" w:hAnsiTheme="majorHAnsi" w:cstheme="majorHAnsi"/>
                <w:i/>
                <w:sz w:val="24"/>
                <w:szCs w:val="24"/>
                <w:lang w:val="ro-MD"/>
              </w:rPr>
              <w:t>,</w:t>
            </w:r>
            <w:r w:rsidRPr="00401691">
              <w:rPr>
                <w:rFonts w:asciiTheme="majorHAnsi" w:hAnsiTheme="majorHAnsi" w:cstheme="majorHAnsi"/>
                <w:i/>
                <w:sz w:val="24"/>
                <w:szCs w:val="24"/>
                <w:lang w:val="ro-MD"/>
              </w:rPr>
              <w:t xml:space="preserve"> s-a constatat </w:t>
            </w:r>
            <w:r w:rsidRPr="002E67D5">
              <w:rPr>
                <w:rFonts w:asciiTheme="majorHAnsi" w:hAnsiTheme="majorHAnsi" w:cstheme="majorHAnsi"/>
                <w:i/>
                <w:sz w:val="24"/>
                <w:szCs w:val="24"/>
                <w:lang w:val="ro-MD"/>
              </w:rPr>
              <w:t xml:space="preserve">că </w:t>
            </w:r>
            <w:r w:rsidR="002E67D5" w:rsidRPr="002E67D5">
              <w:rPr>
                <w:rFonts w:asciiTheme="majorHAnsi" w:hAnsiTheme="majorHAnsi" w:cstheme="majorHAnsi"/>
                <w:i/>
                <w:sz w:val="24"/>
                <w:szCs w:val="24"/>
                <w:lang w:val="ro-MD"/>
              </w:rPr>
              <w:t xml:space="preserve">nivelul de realizare a veniturilor la bugetul de stat a constituit 99,7%, sau indicatorii </w:t>
            </w:r>
            <w:r w:rsidR="002E67D5">
              <w:rPr>
                <w:rFonts w:asciiTheme="majorHAnsi" w:hAnsiTheme="majorHAnsi" w:cstheme="majorHAnsi"/>
                <w:i/>
                <w:sz w:val="24"/>
                <w:szCs w:val="24"/>
                <w:lang w:val="ro-MD"/>
              </w:rPr>
              <w:t xml:space="preserve">prognozați </w:t>
            </w:r>
            <w:r w:rsidR="002E67D5" w:rsidRPr="002E67D5">
              <w:rPr>
                <w:rFonts w:asciiTheme="majorHAnsi" w:hAnsiTheme="majorHAnsi" w:cstheme="majorHAnsi"/>
                <w:i/>
                <w:sz w:val="24"/>
                <w:szCs w:val="24"/>
                <w:lang w:val="ro-MD"/>
              </w:rPr>
              <w:t>nu au fost</w:t>
            </w:r>
            <w:r w:rsidR="002E67D5">
              <w:rPr>
                <w:rFonts w:asciiTheme="majorHAnsi" w:hAnsiTheme="majorHAnsi" w:cstheme="majorHAnsi"/>
                <w:i/>
                <w:sz w:val="24"/>
                <w:szCs w:val="24"/>
                <w:lang w:val="ro-MD"/>
              </w:rPr>
              <w:t xml:space="preserve"> </w:t>
            </w:r>
            <w:r w:rsidR="002E67D5" w:rsidRPr="002E67D5">
              <w:rPr>
                <w:rFonts w:asciiTheme="majorHAnsi" w:hAnsiTheme="majorHAnsi" w:cstheme="majorHAnsi"/>
                <w:i/>
                <w:sz w:val="24"/>
                <w:szCs w:val="24"/>
                <w:lang w:val="ro-MD"/>
              </w:rPr>
              <w:t>realizați cu 45,1 mil.lei</w:t>
            </w:r>
            <w:r w:rsidRPr="00401691">
              <w:rPr>
                <w:rFonts w:asciiTheme="majorHAnsi" w:hAnsiTheme="majorHAnsi" w:cstheme="majorHAnsi"/>
                <w:i/>
                <w:sz w:val="24"/>
                <w:szCs w:val="24"/>
                <w:lang w:val="ro-MD"/>
              </w:rPr>
              <w:t>. Concomitent, se atestă și</w:t>
            </w:r>
            <w:r w:rsidRPr="00401691">
              <w:rPr>
                <w:rFonts w:asciiTheme="majorHAnsi" w:hAnsiTheme="majorHAnsi" w:cstheme="majorHAnsi"/>
                <w:bCs/>
                <w:i/>
                <w:sz w:val="24"/>
                <w:szCs w:val="24"/>
                <w:lang w:val="ro-MD"/>
              </w:rPr>
              <w:t xml:space="preserve"> neexecutarea planului pe 6 tipuri de venituri</w:t>
            </w:r>
            <w:r w:rsidR="007407F2">
              <w:rPr>
                <w:rFonts w:asciiTheme="majorHAnsi" w:hAnsiTheme="majorHAnsi" w:cstheme="majorHAnsi"/>
                <w:bCs/>
                <w:i/>
                <w:sz w:val="24"/>
                <w:szCs w:val="24"/>
                <w:lang w:val="ro-MD"/>
              </w:rPr>
              <w:t>,</w:t>
            </w:r>
            <w:r w:rsidRPr="00401691">
              <w:rPr>
                <w:rFonts w:asciiTheme="majorHAnsi" w:hAnsiTheme="majorHAnsi" w:cstheme="majorHAnsi"/>
                <w:bCs/>
                <w:i/>
                <w:sz w:val="24"/>
                <w:szCs w:val="24"/>
                <w:lang w:val="ro-MD"/>
              </w:rPr>
              <w:t xml:space="preserve"> în </w:t>
            </w:r>
            <w:r w:rsidR="007407F2">
              <w:rPr>
                <w:rFonts w:asciiTheme="majorHAnsi" w:hAnsiTheme="majorHAnsi" w:cstheme="majorHAnsi"/>
                <w:bCs/>
                <w:i/>
                <w:sz w:val="24"/>
                <w:szCs w:val="24"/>
                <w:lang w:val="ro-MD"/>
              </w:rPr>
              <w:t>sumă</w:t>
            </w:r>
            <w:r w:rsidRPr="00401691">
              <w:rPr>
                <w:rFonts w:asciiTheme="majorHAnsi" w:hAnsiTheme="majorHAnsi" w:cstheme="majorHAnsi"/>
                <w:bCs/>
                <w:i/>
                <w:sz w:val="24"/>
                <w:szCs w:val="24"/>
                <w:lang w:val="ro-MD"/>
              </w:rPr>
              <w:t xml:space="preserve"> de 176,2 mil. lei.</w:t>
            </w:r>
          </w:p>
          <w:p w:rsidR="00552A0F" w:rsidRPr="00401691" w:rsidRDefault="0014535D" w:rsidP="00844145">
            <w:pPr>
              <w:spacing w:after="0" w:line="276" w:lineRule="auto"/>
              <w:ind w:left="-26"/>
              <w:jc w:val="both"/>
              <w:rPr>
                <w:rFonts w:asciiTheme="majorHAnsi" w:hAnsiTheme="majorHAnsi" w:cstheme="majorHAnsi"/>
                <w:i/>
                <w:sz w:val="24"/>
                <w:szCs w:val="24"/>
                <w:lang w:val="ro-MD"/>
              </w:rPr>
            </w:pPr>
            <w:r>
              <w:rPr>
                <w:rFonts w:asciiTheme="majorHAnsi" w:hAnsiTheme="majorHAnsi" w:cstheme="majorHAnsi"/>
                <w:i/>
                <w:sz w:val="24"/>
                <w:szCs w:val="24"/>
                <w:lang w:val="ro-MD"/>
              </w:rPr>
              <w:t>În</w:t>
            </w:r>
            <w:r w:rsidR="002E452A" w:rsidRPr="00401691">
              <w:rPr>
                <w:rFonts w:asciiTheme="majorHAnsi" w:hAnsiTheme="majorHAnsi" w:cstheme="majorHAnsi"/>
                <w:i/>
                <w:sz w:val="24"/>
                <w:szCs w:val="24"/>
                <w:lang w:val="ro-MD"/>
              </w:rPr>
              <w:t xml:space="preserve"> anul 2019, SFS</w:t>
            </w:r>
            <w:r w:rsidR="007407F2">
              <w:rPr>
                <w:rFonts w:asciiTheme="majorHAnsi" w:hAnsiTheme="majorHAnsi" w:cstheme="majorHAnsi"/>
                <w:i/>
                <w:sz w:val="24"/>
                <w:szCs w:val="24"/>
                <w:lang w:val="ro-MD"/>
              </w:rPr>
              <w:t>,</w:t>
            </w:r>
            <w:r w:rsidR="002E452A" w:rsidRPr="00401691">
              <w:rPr>
                <w:rFonts w:asciiTheme="majorHAnsi" w:hAnsiTheme="majorHAnsi" w:cstheme="majorHAnsi"/>
                <w:i/>
                <w:sz w:val="24"/>
                <w:szCs w:val="24"/>
                <w:lang w:val="ro-MD"/>
              </w:rPr>
              <w:t xml:space="preserve"> fiind desemnat în calitate de administrator de venituri</w:t>
            </w:r>
            <w:r w:rsidR="00C8270E">
              <w:rPr>
                <w:rFonts w:asciiTheme="majorHAnsi" w:hAnsiTheme="majorHAnsi" w:cstheme="majorHAnsi"/>
                <w:i/>
                <w:sz w:val="24"/>
                <w:szCs w:val="24"/>
                <w:lang w:val="ro-MD"/>
              </w:rPr>
              <w:t xml:space="preserve"> la unele plăți și taxe </w:t>
            </w:r>
            <w:r w:rsidR="002E452A" w:rsidRPr="00401691">
              <w:rPr>
                <w:rFonts w:asciiTheme="majorHAnsi" w:hAnsiTheme="majorHAnsi" w:cstheme="majorHAnsi"/>
                <w:i/>
                <w:sz w:val="24"/>
                <w:szCs w:val="24"/>
                <w:lang w:val="ro-MD"/>
              </w:rPr>
              <w:t xml:space="preserve">provenite din prestarea serviciilor publice și aplicarea sancțiunilor de către </w:t>
            </w:r>
            <w:r w:rsidR="002E452A" w:rsidRPr="008A4309">
              <w:rPr>
                <w:rFonts w:asciiTheme="majorHAnsi" w:hAnsiTheme="majorHAnsi" w:cstheme="majorHAnsi"/>
                <w:i/>
                <w:sz w:val="24"/>
                <w:szCs w:val="24"/>
                <w:lang w:val="ro-MD"/>
              </w:rPr>
              <w:t xml:space="preserve">autorități ale statului, nu a asigurat controlul asupra virării integrale și </w:t>
            </w:r>
            <w:r w:rsidR="007407F2" w:rsidRPr="008A4309">
              <w:rPr>
                <w:rFonts w:asciiTheme="majorHAnsi" w:hAnsiTheme="majorHAnsi" w:cstheme="majorHAnsi"/>
                <w:i/>
                <w:sz w:val="24"/>
                <w:szCs w:val="24"/>
                <w:lang w:val="ro-MD"/>
              </w:rPr>
              <w:t>la</w:t>
            </w:r>
            <w:r w:rsidR="002E452A" w:rsidRPr="000649B1">
              <w:rPr>
                <w:rFonts w:asciiTheme="majorHAnsi" w:hAnsiTheme="majorHAnsi" w:cstheme="majorHAnsi"/>
                <w:i/>
                <w:sz w:val="24"/>
                <w:szCs w:val="24"/>
                <w:lang w:val="ro-MD"/>
              </w:rPr>
              <w:t xml:space="preserve"> timp a veniturilor respective, limitându-se doar la evidența</w:t>
            </w:r>
            <w:r w:rsidR="002E452A" w:rsidRPr="00401691">
              <w:rPr>
                <w:rFonts w:asciiTheme="majorHAnsi" w:hAnsiTheme="majorHAnsi" w:cstheme="majorHAnsi"/>
                <w:i/>
                <w:sz w:val="24"/>
                <w:szCs w:val="24"/>
                <w:lang w:val="ro-MD"/>
              </w:rPr>
              <w:t xml:space="preserve"> plăților încasate</w:t>
            </w:r>
            <w:r w:rsidR="00E868CE">
              <w:rPr>
                <w:rFonts w:asciiTheme="majorHAnsi" w:hAnsiTheme="majorHAnsi" w:cstheme="majorHAnsi"/>
                <w:i/>
                <w:sz w:val="24"/>
                <w:szCs w:val="24"/>
                <w:lang w:val="ro-MD"/>
              </w:rPr>
              <w:t xml:space="preserve"> și </w:t>
            </w:r>
            <w:r w:rsidR="007407F2">
              <w:rPr>
                <w:rFonts w:asciiTheme="majorHAnsi" w:hAnsiTheme="majorHAnsi" w:cstheme="majorHAnsi"/>
                <w:i/>
                <w:sz w:val="24"/>
                <w:szCs w:val="24"/>
                <w:lang w:val="ro-MD"/>
              </w:rPr>
              <w:t xml:space="preserve">la </w:t>
            </w:r>
            <w:r w:rsidR="00E868CE">
              <w:rPr>
                <w:rFonts w:asciiTheme="majorHAnsi" w:hAnsiTheme="majorHAnsi" w:cstheme="majorHAnsi"/>
                <w:i/>
                <w:sz w:val="24"/>
                <w:szCs w:val="24"/>
                <w:lang w:val="ro-MD"/>
              </w:rPr>
              <w:t>reconcilierea acestor date cu MF</w:t>
            </w:r>
            <w:r w:rsidR="002E452A" w:rsidRPr="00401691">
              <w:rPr>
                <w:rFonts w:asciiTheme="majorHAnsi" w:hAnsiTheme="majorHAnsi" w:cstheme="majorHAnsi"/>
                <w:i/>
                <w:sz w:val="24"/>
                <w:szCs w:val="24"/>
                <w:lang w:val="ro-MD"/>
              </w:rPr>
              <w:t xml:space="preserve">, fără a dispune de sumele calculate la buget. Acest fapt </w:t>
            </w:r>
            <w:r w:rsidR="002E452A" w:rsidRPr="001E4A3A">
              <w:rPr>
                <w:rFonts w:asciiTheme="majorHAnsi" w:hAnsiTheme="majorHAnsi" w:cstheme="majorHAnsi"/>
                <w:i/>
                <w:sz w:val="24"/>
                <w:szCs w:val="24"/>
                <w:lang w:val="ro-MD"/>
              </w:rPr>
              <w:t>a afectat acuratețea informației din SIA CCC, date</w:t>
            </w:r>
            <w:r w:rsidR="002E452A" w:rsidRPr="00401691">
              <w:rPr>
                <w:rFonts w:asciiTheme="majorHAnsi" w:hAnsiTheme="majorHAnsi" w:cstheme="majorHAnsi"/>
                <w:i/>
                <w:sz w:val="24"/>
                <w:szCs w:val="24"/>
                <w:lang w:val="ro-MD"/>
              </w:rPr>
              <w:t xml:space="preserve"> care sta</w:t>
            </w:r>
            <w:r w:rsidR="00C8270E">
              <w:rPr>
                <w:rFonts w:asciiTheme="majorHAnsi" w:hAnsiTheme="majorHAnsi" w:cstheme="majorHAnsi"/>
                <w:i/>
                <w:sz w:val="24"/>
                <w:szCs w:val="24"/>
                <w:lang w:val="ro-MD"/>
              </w:rPr>
              <w:t>u la baza statisticilor fiscale</w:t>
            </w:r>
            <w:r w:rsidR="002E452A" w:rsidRPr="00401691">
              <w:rPr>
                <w:rFonts w:asciiTheme="majorHAnsi" w:hAnsiTheme="majorHAnsi" w:cstheme="majorHAnsi"/>
                <w:i/>
                <w:sz w:val="24"/>
                <w:szCs w:val="24"/>
                <w:lang w:val="ro-MD"/>
              </w:rPr>
              <w:t xml:space="preserve"> privind veniturile calculate la buget, achitările, precum și suma reală a restanțelor și/sau supraplățilo</w:t>
            </w:r>
            <w:r w:rsidR="00552A0F" w:rsidRPr="00401691">
              <w:rPr>
                <w:rFonts w:asciiTheme="majorHAnsi" w:hAnsiTheme="majorHAnsi" w:cstheme="majorHAnsi"/>
                <w:i/>
                <w:sz w:val="24"/>
                <w:szCs w:val="24"/>
                <w:lang w:val="ro-MD"/>
              </w:rPr>
              <w:t>r înregistrate de contribuabili, după cum urmează:</w:t>
            </w:r>
          </w:p>
          <w:p w:rsidR="00552A0F" w:rsidRPr="00401691" w:rsidRDefault="00552A0F" w:rsidP="00844145">
            <w:pPr>
              <w:numPr>
                <w:ilvl w:val="0"/>
                <w:numId w:val="28"/>
              </w:numPr>
              <w:spacing w:after="0" w:line="276" w:lineRule="auto"/>
              <w:jc w:val="both"/>
              <w:rPr>
                <w:rFonts w:asciiTheme="majorHAnsi" w:hAnsiTheme="majorHAnsi" w:cstheme="majorHAnsi"/>
                <w:i/>
                <w:sz w:val="24"/>
                <w:szCs w:val="24"/>
                <w:lang w:val="ro-MD"/>
              </w:rPr>
            </w:pPr>
            <w:r w:rsidRPr="00401691">
              <w:rPr>
                <w:rFonts w:asciiTheme="majorHAnsi" w:hAnsiTheme="majorHAnsi" w:cstheme="majorHAnsi"/>
                <w:i/>
                <w:sz w:val="24"/>
                <w:szCs w:val="24"/>
                <w:lang w:val="ro-MD"/>
              </w:rPr>
              <w:t>58,6 mil.lei - suma calculelor veniturilor provenite din taxe, neînregistrate de SFS în evidența individuală a contribuabililor, din care 46491,7 mii lei neincluse în Darea de seamă privind sumele calculate la BPN la plăți</w:t>
            </w:r>
            <w:r w:rsidR="007536A6">
              <w:rPr>
                <w:rFonts w:asciiTheme="majorHAnsi" w:hAnsiTheme="majorHAnsi" w:cstheme="majorHAnsi"/>
                <w:i/>
                <w:sz w:val="24"/>
                <w:szCs w:val="24"/>
                <w:lang w:val="ro-MD"/>
              </w:rPr>
              <w:t>le</w:t>
            </w:r>
            <w:r w:rsidRPr="00401691">
              <w:rPr>
                <w:rFonts w:asciiTheme="majorHAnsi" w:hAnsiTheme="majorHAnsi" w:cstheme="majorHAnsi"/>
                <w:i/>
                <w:sz w:val="24"/>
                <w:szCs w:val="24"/>
                <w:lang w:val="ro-MD"/>
              </w:rPr>
              <w:t xml:space="preserve"> de bază pentru perioada anului 2019;</w:t>
            </w:r>
          </w:p>
          <w:p w:rsidR="00552A0F" w:rsidRPr="00401691" w:rsidRDefault="00552A0F" w:rsidP="00844145">
            <w:pPr>
              <w:numPr>
                <w:ilvl w:val="0"/>
                <w:numId w:val="28"/>
              </w:numPr>
              <w:spacing w:after="0" w:line="276" w:lineRule="auto"/>
              <w:jc w:val="both"/>
              <w:rPr>
                <w:rFonts w:asciiTheme="majorHAnsi" w:hAnsiTheme="majorHAnsi" w:cstheme="majorHAnsi"/>
                <w:i/>
                <w:sz w:val="24"/>
                <w:szCs w:val="24"/>
                <w:lang w:val="ro-MD"/>
              </w:rPr>
            </w:pPr>
            <w:r w:rsidRPr="00401691">
              <w:rPr>
                <w:rFonts w:asciiTheme="majorHAnsi" w:hAnsiTheme="majorHAnsi" w:cstheme="majorHAnsi"/>
                <w:i/>
                <w:sz w:val="24"/>
                <w:szCs w:val="24"/>
                <w:lang w:val="ro-MD"/>
              </w:rPr>
              <w:t>56,5 mil.lei - soldul venituri</w:t>
            </w:r>
            <w:r w:rsidR="00366AE8">
              <w:rPr>
                <w:rFonts w:asciiTheme="majorHAnsi" w:hAnsiTheme="majorHAnsi" w:cstheme="majorHAnsi"/>
                <w:i/>
                <w:sz w:val="24"/>
                <w:szCs w:val="24"/>
                <w:lang w:val="ro-MD"/>
              </w:rPr>
              <w:t>lor</w:t>
            </w:r>
            <w:r w:rsidRPr="00401691">
              <w:rPr>
                <w:rFonts w:asciiTheme="majorHAnsi" w:hAnsiTheme="majorHAnsi" w:cstheme="majorHAnsi"/>
                <w:i/>
                <w:sz w:val="24"/>
                <w:szCs w:val="24"/>
                <w:lang w:val="ro-MD"/>
              </w:rPr>
              <w:t xml:space="preserve"> din eliberarea autorizațiilor pentru anii 2016-2018, care f</w:t>
            </w:r>
            <w:r w:rsidR="00366AE8">
              <w:rPr>
                <w:rFonts w:asciiTheme="majorHAnsi" w:hAnsiTheme="majorHAnsi" w:cstheme="majorHAnsi"/>
                <w:i/>
                <w:sz w:val="24"/>
                <w:szCs w:val="24"/>
                <w:lang w:val="ro-MD"/>
              </w:rPr>
              <w:t>igurează incorect ca supraplată</w:t>
            </w:r>
            <w:r w:rsidRPr="00401691">
              <w:rPr>
                <w:rFonts w:asciiTheme="majorHAnsi" w:hAnsiTheme="majorHAnsi" w:cstheme="majorHAnsi"/>
                <w:i/>
                <w:sz w:val="24"/>
                <w:szCs w:val="24"/>
                <w:lang w:val="ro-MD"/>
              </w:rPr>
              <w:t xml:space="preserve"> la contul curent al ANTA; </w:t>
            </w:r>
          </w:p>
          <w:p w:rsidR="00552A0F" w:rsidRPr="000960A4" w:rsidRDefault="00552A0F" w:rsidP="00844145">
            <w:pPr>
              <w:numPr>
                <w:ilvl w:val="0"/>
                <w:numId w:val="28"/>
              </w:numPr>
              <w:spacing w:after="0" w:line="276" w:lineRule="auto"/>
              <w:jc w:val="both"/>
              <w:rPr>
                <w:rFonts w:asciiTheme="majorHAnsi" w:hAnsiTheme="majorHAnsi" w:cstheme="majorHAnsi"/>
                <w:i/>
                <w:sz w:val="24"/>
                <w:szCs w:val="24"/>
                <w:lang w:val="ro-MD"/>
              </w:rPr>
            </w:pPr>
            <w:r w:rsidRPr="00401691">
              <w:rPr>
                <w:rFonts w:asciiTheme="majorHAnsi" w:hAnsiTheme="majorHAnsi" w:cstheme="majorHAnsi"/>
                <w:i/>
                <w:sz w:val="24"/>
                <w:szCs w:val="24"/>
                <w:lang w:val="ro-MD"/>
              </w:rPr>
              <w:t>0,3 mil</w:t>
            </w:r>
            <w:r w:rsidR="00C21FCE">
              <w:rPr>
                <w:rFonts w:asciiTheme="majorHAnsi" w:hAnsiTheme="majorHAnsi" w:cstheme="majorHAnsi"/>
                <w:i/>
                <w:sz w:val="24"/>
                <w:szCs w:val="24"/>
                <w:lang w:val="ro-MD"/>
              </w:rPr>
              <w:t>.</w:t>
            </w:r>
            <w:r w:rsidRPr="00401691">
              <w:rPr>
                <w:rFonts w:asciiTheme="majorHAnsi" w:hAnsiTheme="majorHAnsi" w:cstheme="majorHAnsi"/>
                <w:i/>
                <w:sz w:val="24"/>
                <w:szCs w:val="24"/>
                <w:lang w:val="ro-MD"/>
              </w:rPr>
              <w:t xml:space="preserve"> lei</w:t>
            </w:r>
            <w:r w:rsidR="007536A6">
              <w:rPr>
                <w:rFonts w:asciiTheme="majorHAnsi" w:hAnsiTheme="majorHAnsi" w:cstheme="majorHAnsi"/>
                <w:i/>
                <w:sz w:val="24"/>
                <w:szCs w:val="24"/>
                <w:lang w:val="ro-MD"/>
              </w:rPr>
              <w:t xml:space="preserve"> -</w:t>
            </w:r>
            <w:r w:rsidRPr="00401691">
              <w:rPr>
                <w:rFonts w:asciiTheme="majorHAnsi" w:hAnsiTheme="majorHAnsi" w:cstheme="majorHAnsi"/>
                <w:i/>
                <w:sz w:val="24"/>
                <w:szCs w:val="24"/>
                <w:lang w:val="ro-MD"/>
              </w:rPr>
              <w:t xml:space="preserve"> erori de raportare pe tipuri de coduri </w:t>
            </w:r>
            <w:r w:rsidRPr="00B1095F">
              <w:rPr>
                <w:rFonts w:asciiTheme="majorHAnsi" w:hAnsiTheme="majorHAnsi" w:cstheme="majorHAnsi"/>
                <w:i/>
                <w:sz w:val="24"/>
                <w:szCs w:val="24"/>
                <w:lang w:val="ro-MD"/>
              </w:rPr>
              <w:t>economice</w:t>
            </w:r>
            <w:r w:rsidRPr="000960A4">
              <w:rPr>
                <w:rFonts w:asciiTheme="majorHAnsi" w:hAnsiTheme="majorHAnsi" w:cstheme="majorHAnsi"/>
                <w:i/>
                <w:sz w:val="24"/>
                <w:szCs w:val="24"/>
                <w:lang w:val="ro-MD"/>
              </w:rPr>
              <w:t>, rezultate din</w:t>
            </w:r>
            <w:r w:rsidR="00A94E2C" w:rsidRPr="000960A4">
              <w:rPr>
                <w:rFonts w:asciiTheme="majorHAnsi" w:hAnsiTheme="majorHAnsi" w:cstheme="majorHAnsi"/>
                <w:i/>
                <w:sz w:val="24"/>
                <w:szCs w:val="24"/>
                <w:lang w:val="ro-MD"/>
              </w:rPr>
              <w:t xml:space="preserve"> </w:t>
            </w:r>
            <w:r w:rsidR="00B1095F" w:rsidRPr="000960A4">
              <w:rPr>
                <w:rFonts w:asciiTheme="majorHAnsi" w:hAnsiTheme="majorHAnsi" w:cstheme="majorHAnsi"/>
                <w:i/>
                <w:sz w:val="24"/>
                <w:szCs w:val="24"/>
                <w:lang w:val="ro-MD"/>
              </w:rPr>
              <w:t xml:space="preserve">achitarea greșită de către contribuabili a plăților </w:t>
            </w:r>
            <w:r w:rsidRPr="000960A4">
              <w:rPr>
                <w:rFonts w:asciiTheme="majorHAnsi" w:hAnsiTheme="majorHAnsi" w:cstheme="majorHAnsi"/>
                <w:i/>
                <w:sz w:val="24"/>
                <w:szCs w:val="24"/>
                <w:lang w:val="ro-MD"/>
              </w:rPr>
              <w:t>prin intermediul s</w:t>
            </w:r>
            <w:r w:rsidR="00DC1EFA" w:rsidRPr="000960A4">
              <w:rPr>
                <w:rFonts w:asciiTheme="majorHAnsi" w:hAnsiTheme="majorHAnsi" w:cstheme="majorHAnsi"/>
                <w:i/>
                <w:sz w:val="24"/>
                <w:szCs w:val="24"/>
                <w:lang w:val="ro-MD"/>
              </w:rPr>
              <w:t>istemelor electronice de plăți;</w:t>
            </w:r>
          </w:p>
          <w:p w:rsidR="00552A0F" w:rsidRPr="00401691" w:rsidRDefault="00F11214" w:rsidP="00844145">
            <w:pPr>
              <w:numPr>
                <w:ilvl w:val="0"/>
                <w:numId w:val="28"/>
              </w:numPr>
              <w:spacing w:after="0" w:line="276" w:lineRule="auto"/>
              <w:jc w:val="both"/>
              <w:rPr>
                <w:rFonts w:asciiTheme="majorHAnsi" w:hAnsiTheme="majorHAnsi" w:cstheme="majorHAnsi"/>
                <w:i/>
                <w:sz w:val="24"/>
                <w:szCs w:val="24"/>
                <w:lang w:val="ro-MD"/>
              </w:rPr>
            </w:pPr>
            <w:r w:rsidRPr="00401691">
              <w:rPr>
                <w:rFonts w:asciiTheme="majorHAnsi" w:hAnsiTheme="majorHAnsi" w:cstheme="majorHAnsi"/>
                <w:i/>
                <w:sz w:val="24"/>
                <w:szCs w:val="24"/>
                <w:lang w:val="ro-MD"/>
              </w:rPr>
              <w:t xml:space="preserve">17,0 mil. lei </w:t>
            </w:r>
            <w:r w:rsidR="001F4702">
              <w:rPr>
                <w:rFonts w:asciiTheme="majorHAnsi" w:hAnsiTheme="majorHAnsi" w:cstheme="majorHAnsi"/>
                <w:i/>
                <w:sz w:val="24"/>
                <w:szCs w:val="24"/>
                <w:lang w:val="ro-MD"/>
              </w:rPr>
              <w:t xml:space="preserve">- </w:t>
            </w:r>
            <w:r w:rsidRPr="00401691">
              <w:rPr>
                <w:rFonts w:asciiTheme="majorHAnsi" w:hAnsiTheme="majorHAnsi" w:cstheme="majorHAnsi"/>
                <w:i/>
                <w:sz w:val="24"/>
                <w:szCs w:val="24"/>
                <w:lang w:val="ro-MD"/>
              </w:rPr>
              <w:t>diferențe de evidenț</w:t>
            </w:r>
            <w:r w:rsidR="00552A0F" w:rsidRPr="00401691">
              <w:rPr>
                <w:rFonts w:asciiTheme="majorHAnsi" w:hAnsiTheme="majorHAnsi" w:cstheme="majorHAnsi"/>
                <w:i/>
                <w:sz w:val="24"/>
                <w:szCs w:val="24"/>
                <w:lang w:val="ro-MD"/>
              </w:rPr>
              <w:t>ă a încasărilor între datele SFS și datele unor instituții care aplică amenzile corespunzătoare</w:t>
            </w:r>
            <w:r w:rsidR="00DC1EFA">
              <w:rPr>
                <w:rFonts w:asciiTheme="majorHAnsi" w:hAnsiTheme="majorHAnsi" w:cstheme="majorHAnsi"/>
                <w:i/>
                <w:sz w:val="24"/>
                <w:szCs w:val="24"/>
                <w:lang w:val="ro-MD"/>
              </w:rPr>
              <w:t>.</w:t>
            </w:r>
          </w:p>
          <w:p w:rsidR="002E452A" w:rsidRPr="00401691" w:rsidRDefault="002E452A" w:rsidP="00844145">
            <w:pPr>
              <w:spacing w:after="0" w:line="276" w:lineRule="auto"/>
              <w:ind w:left="-26"/>
              <w:jc w:val="both"/>
              <w:rPr>
                <w:rFonts w:asciiTheme="majorHAnsi" w:hAnsiTheme="majorHAnsi" w:cstheme="majorHAnsi"/>
                <w:i/>
                <w:sz w:val="24"/>
                <w:szCs w:val="24"/>
                <w:lang w:val="ro-MD"/>
              </w:rPr>
            </w:pPr>
            <w:r w:rsidRPr="00401691">
              <w:rPr>
                <w:rFonts w:asciiTheme="majorHAnsi" w:hAnsiTheme="majorHAnsi" w:cstheme="majorHAnsi"/>
                <w:i/>
                <w:sz w:val="24"/>
                <w:szCs w:val="24"/>
                <w:lang w:val="ro-MD"/>
              </w:rPr>
              <w:t xml:space="preserve"> Deși SFS a demarat acțiuni de conlucrare cu autoritățile vizate privind schimbul de date aferente calculării acestor venituri prin intermediul platformei de interoperabilitate, acestea nu au avut finalitate. </w:t>
            </w:r>
          </w:p>
          <w:p w:rsidR="00AE4B52" w:rsidRPr="00401691" w:rsidRDefault="002E452A" w:rsidP="00844145">
            <w:pPr>
              <w:spacing w:line="276" w:lineRule="auto"/>
              <w:ind w:left="-26"/>
              <w:jc w:val="both"/>
              <w:rPr>
                <w:rFonts w:asciiTheme="majorHAnsi" w:hAnsiTheme="majorHAnsi" w:cstheme="majorHAnsi"/>
                <w:sz w:val="24"/>
                <w:szCs w:val="24"/>
                <w:highlight w:val="yellow"/>
                <w:lang w:val="ro-MD"/>
              </w:rPr>
            </w:pPr>
            <w:r w:rsidRPr="00401691">
              <w:rPr>
                <w:rFonts w:asciiTheme="majorHAnsi" w:hAnsiTheme="majorHAnsi" w:cstheme="majorHAnsi"/>
                <w:i/>
                <w:sz w:val="24"/>
                <w:szCs w:val="24"/>
                <w:lang w:val="ro-MD"/>
              </w:rPr>
              <w:t>Lipsa cadrului metodologic bine determinat la raportarea veniturilor administrate de SFS condiționează puncte slabe în buna funcționare a c</w:t>
            </w:r>
            <w:r w:rsidR="00B94556">
              <w:rPr>
                <w:rFonts w:asciiTheme="majorHAnsi" w:hAnsiTheme="majorHAnsi" w:cstheme="majorHAnsi"/>
                <w:i/>
                <w:sz w:val="24"/>
                <w:szCs w:val="24"/>
                <w:lang w:val="ro-MD"/>
              </w:rPr>
              <w:t>ontrolului intern managerial al</w:t>
            </w:r>
            <w:r w:rsidRPr="00401691">
              <w:rPr>
                <w:rFonts w:asciiTheme="majorHAnsi" w:hAnsiTheme="majorHAnsi" w:cstheme="majorHAnsi"/>
                <w:i/>
                <w:sz w:val="24"/>
                <w:szCs w:val="24"/>
                <w:lang w:val="ro-MD"/>
              </w:rPr>
              <w:t xml:space="preserve"> acestui proces.</w:t>
            </w:r>
          </w:p>
        </w:tc>
      </w:tr>
    </w:tbl>
    <w:p w:rsidR="00B900C4" w:rsidRPr="007D38DE" w:rsidRDefault="00557917" w:rsidP="004836DA">
      <w:pPr>
        <w:pStyle w:val="Heading3"/>
        <w:numPr>
          <w:ilvl w:val="1"/>
          <w:numId w:val="33"/>
        </w:numPr>
        <w:spacing w:before="240" w:line="276" w:lineRule="auto"/>
        <w:rPr>
          <w:rFonts w:cstheme="majorHAnsi"/>
          <w:b/>
          <w:color w:val="1F4E79" w:themeColor="accent1" w:themeShade="80"/>
        </w:rPr>
      </w:pPr>
      <w:bookmarkStart w:id="8" w:name="_Toc48732720"/>
      <w:r>
        <w:rPr>
          <w:rFonts w:cstheme="majorHAnsi"/>
          <w:b/>
          <w:color w:val="1F4E79" w:themeColor="accent1" w:themeShade="80"/>
        </w:rPr>
        <w:t xml:space="preserve">. </w:t>
      </w:r>
      <w:r w:rsidR="00904077">
        <w:rPr>
          <w:rFonts w:cstheme="majorHAnsi"/>
          <w:b/>
          <w:color w:val="1F4E79" w:themeColor="accent1" w:themeShade="80"/>
        </w:rPr>
        <w:t>S</w:t>
      </w:r>
      <w:r w:rsidR="00B900C4" w:rsidRPr="007D38DE">
        <w:rPr>
          <w:rFonts w:cstheme="majorHAnsi"/>
          <w:b/>
          <w:color w:val="1F4E79" w:themeColor="accent1" w:themeShade="80"/>
        </w:rPr>
        <w:t>arcin</w:t>
      </w:r>
      <w:r w:rsidR="00904077">
        <w:rPr>
          <w:rFonts w:cstheme="majorHAnsi"/>
          <w:b/>
          <w:color w:val="1F4E79" w:themeColor="accent1" w:themeShade="80"/>
        </w:rPr>
        <w:t>a</w:t>
      </w:r>
      <w:r w:rsidR="00B900C4" w:rsidRPr="007D38DE">
        <w:rPr>
          <w:rFonts w:cstheme="majorHAnsi"/>
          <w:b/>
          <w:color w:val="1F4E79" w:themeColor="accent1" w:themeShade="80"/>
        </w:rPr>
        <w:t xml:space="preserve"> de colectare a veniturilor la bugetul de stat</w:t>
      </w:r>
      <w:r w:rsidR="00F642C6">
        <w:rPr>
          <w:rFonts w:cstheme="majorHAnsi"/>
          <w:b/>
          <w:color w:val="1F4E79" w:themeColor="accent1" w:themeShade="80"/>
        </w:rPr>
        <w:t xml:space="preserve"> a fost</w:t>
      </w:r>
      <w:r w:rsidR="00904077">
        <w:rPr>
          <w:rFonts w:cstheme="majorHAnsi"/>
          <w:b/>
          <w:color w:val="1F4E79" w:themeColor="accent1" w:themeShade="80"/>
        </w:rPr>
        <w:t xml:space="preserve"> executată </w:t>
      </w:r>
      <w:r w:rsidR="00F642C6">
        <w:rPr>
          <w:rFonts w:cstheme="majorHAnsi"/>
          <w:b/>
          <w:color w:val="1F4E79" w:themeColor="accent1" w:themeShade="80"/>
        </w:rPr>
        <w:t>parțial</w:t>
      </w:r>
      <w:r>
        <w:rPr>
          <w:rFonts w:cstheme="majorHAnsi"/>
          <w:b/>
          <w:color w:val="1F4E79" w:themeColor="accent1" w:themeShade="80"/>
        </w:rPr>
        <w:t>,</w:t>
      </w:r>
      <w:r w:rsidR="00F642C6">
        <w:rPr>
          <w:rFonts w:cstheme="majorHAnsi"/>
          <w:b/>
          <w:color w:val="1F4E79" w:themeColor="accent1" w:themeShade="80"/>
        </w:rPr>
        <w:t xml:space="preserve"> </w:t>
      </w:r>
      <w:r w:rsidR="00BB334D">
        <w:rPr>
          <w:rFonts w:cstheme="majorHAnsi"/>
          <w:b/>
          <w:color w:val="1F4E79" w:themeColor="accent1" w:themeShade="80"/>
        </w:rPr>
        <w:t>comparativ cu</w:t>
      </w:r>
      <w:r w:rsidR="00F642C6">
        <w:rPr>
          <w:rFonts w:cstheme="majorHAnsi"/>
          <w:b/>
          <w:color w:val="1F4E79" w:themeColor="accent1" w:themeShade="80"/>
        </w:rPr>
        <w:t xml:space="preserve"> indicatorii prognozați</w:t>
      </w:r>
      <w:bookmarkEnd w:id="8"/>
      <w:r>
        <w:rPr>
          <w:rFonts w:cstheme="majorHAnsi"/>
          <w:b/>
          <w:color w:val="1F4E79" w:themeColor="accent1" w:themeShade="80"/>
        </w:rPr>
        <w:t>.</w:t>
      </w:r>
    </w:p>
    <w:p w:rsidR="00B900C4" w:rsidRPr="00401691" w:rsidRDefault="00D22DD9" w:rsidP="00844145">
      <w:pPr>
        <w:spacing w:line="276" w:lineRule="auto"/>
        <w:jc w:val="both"/>
        <w:rPr>
          <w:rFonts w:asciiTheme="majorHAnsi" w:hAnsiTheme="majorHAnsi" w:cstheme="majorHAnsi"/>
          <w:sz w:val="24"/>
          <w:szCs w:val="24"/>
          <w:lang w:val="ro-MD"/>
        </w:rPr>
      </w:pPr>
      <w:r w:rsidRPr="00401691">
        <w:rPr>
          <w:rFonts w:asciiTheme="majorHAnsi" w:hAnsiTheme="majorHAnsi" w:cstheme="majorHAnsi"/>
          <w:sz w:val="24"/>
          <w:szCs w:val="24"/>
          <w:lang w:val="ro-MD"/>
        </w:rPr>
        <w:t>Îndeplinirea sarcin</w:t>
      </w:r>
      <w:r w:rsidR="00A353BB" w:rsidRPr="00401691">
        <w:rPr>
          <w:rFonts w:asciiTheme="majorHAnsi" w:hAnsiTheme="majorHAnsi" w:cstheme="majorHAnsi"/>
          <w:sz w:val="24"/>
          <w:szCs w:val="24"/>
          <w:lang w:val="ro-MD"/>
        </w:rPr>
        <w:t xml:space="preserve">ii de colectare a veniturilor la </w:t>
      </w:r>
      <w:r w:rsidR="0014535D">
        <w:rPr>
          <w:rFonts w:asciiTheme="majorHAnsi" w:hAnsiTheme="majorHAnsi" w:cstheme="majorHAnsi"/>
          <w:sz w:val="24"/>
          <w:szCs w:val="24"/>
          <w:lang w:val="ro-MD"/>
        </w:rPr>
        <w:t>BPN, inclusiv la BS</w:t>
      </w:r>
      <w:r w:rsidR="00A353BB" w:rsidRPr="00401691">
        <w:rPr>
          <w:rFonts w:asciiTheme="majorHAnsi" w:hAnsiTheme="majorHAnsi" w:cstheme="majorHAnsi"/>
          <w:sz w:val="24"/>
          <w:szCs w:val="24"/>
          <w:lang w:val="ro-MD"/>
        </w:rPr>
        <w:t>, prin exercitarea atribuțiilor de administrare fiscală, reprezintă un</w:t>
      </w:r>
      <w:r w:rsidR="0014535D">
        <w:rPr>
          <w:rFonts w:asciiTheme="majorHAnsi" w:hAnsiTheme="majorHAnsi" w:cstheme="majorHAnsi"/>
          <w:sz w:val="24"/>
          <w:szCs w:val="24"/>
          <w:lang w:val="ro-MD"/>
        </w:rPr>
        <w:t>a din</w:t>
      </w:r>
      <w:r w:rsidR="00557917">
        <w:rPr>
          <w:rFonts w:asciiTheme="majorHAnsi" w:hAnsiTheme="majorHAnsi" w:cstheme="majorHAnsi"/>
          <w:sz w:val="24"/>
          <w:szCs w:val="24"/>
          <w:lang w:val="ro-MD"/>
        </w:rPr>
        <w:t>tre</w:t>
      </w:r>
      <w:r w:rsidR="0014535D">
        <w:rPr>
          <w:rFonts w:asciiTheme="majorHAnsi" w:hAnsiTheme="majorHAnsi" w:cstheme="majorHAnsi"/>
          <w:sz w:val="24"/>
          <w:szCs w:val="24"/>
          <w:lang w:val="ro-MD"/>
        </w:rPr>
        <w:t xml:space="preserve"> funcțiile </w:t>
      </w:r>
      <w:r w:rsidR="00A353BB" w:rsidRPr="00401691">
        <w:rPr>
          <w:rFonts w:asciiTheme="majorHAnsi" w:hAnsiTheme="majorHAnsi" w:cstheme="majorHAnsi"/>
          <w:sz w:val="24"/>
          <w:szCs w:val="24"/>
          <w:lang w:val="ro-MD"/>
        </w:rPr>
        <w:t xml:space="preserve">de bază ale </w:t>
      </w:r>
      <w:r w:rsidR="00A353BB" w:rsidRPr="00401691">
        <w:rPr>
          <w:rFonts w:asciiTheme="majorHAnsi" w:hAnsiTheme="majorHAnsi" w:cstheme="majorHAnsi"/>
          <w:bCs/>
          <w:sz w:val="24"/>
          <w:szCs w:val="24"/>
          <w:lang w:val="ro-MD" w:eastAsia="ro-RO"/>
        </w:rPr>
        <w:t xml:space="preserve">SFS și derivă din obiectivele pe termen mediu și </w:t>
      </w:r>
      <w:r w:rsidR="00557917">
        <w:rPr>
          <w:rFonts w:asciiTheme="majorHAnsi" w:hAnsiTheme="majorHAnsi" w:cstheme="majorHAnsi"/>
          <w:bCs/>
          <w:sz w:val="24"/>
          <w:szCs w:val="24"/>
          <w:lang w:val="ro-MD" w:eastAsia="ro-RO"/>
        </w:rPr>
        <w:t xml:space="preserve">din </w:t>
      </w:r>
      <w:r w:rsidR="00A353BB" w:rsidRPr="00401691">
        <w:rPr>
          <w:rFonts w:asciiTheme="majorHAnsi" w:hAnsiTheme="majorHAnsi" w:cstheme="majorHAnsi"/>
          <w:bCs/>
          <w:sz w:val="24"/>
          <w:szCs w:val="24"/>
          <w:lang w:val="ro-MD" w:eastAsia="ro-RO"/>
        </w:rPr>
        <w:t>planurile anuale prestabilite organului fiscal.</w:t>
      </w:r>
    </w:p>
    <w:p w:rsidR="00C37115" w:rsidRPr="00401691" w:rsidRDefault="00634184" w:rsidP="00844145">
      <w:pPr>
        <w:spacing w:after="120" w:line="276" w:lineRule="auto"/>
        <w:jc w:val="both"/>
        <w:rPr>
          <w:rFonts w:asciiTheme="majorHAnsi" w:hAnsiTheme="majorHAnsi" w:cstheme="majorHAnsi"/>
          <w:sz w:val="24"/>
          <w:szCs w:val="24"/>
          <w:lang w:val="ro-MD"/>
        </w:rPr>
      </w:pPr>
      <w:r w:rsidRPr="00401691">
        <w:rPr>
          <w:rFonts w:asciiTheme="majorHAnsi" w:hAnsiTheme="majorHAnsi" w:cstheme="majorHAnsi"/>
          <w:sz w:val="24"/>
          <w:szCs w:val="24"/>
          <w:lang w:val="ro-MD"/>
        </w:rPr>
        <w:t>În anul 2019,</w:t>
      </w:r>
      <w:r w:rsidR="003E57B0">
        <w:rPr>
          <w:rFonts w:asciiTheme="majorHAnsi" w:hAnsiTheme="majorHAnsi" w:cstheme="majorHAnsi"/>
          <w:sz w:val="24"/>
          <w:szCs w:val="24"/>
          <w:lang w:val="ro-MD"/>
        </w:rPr>
        <w:t xml:space="preserve"> s-au</w:t>
      </w:r>
      <w:r w:rsidRPr="00401691">
        <w:rPr>
          <w:rFonts w:asciiTheme="majorHAnsi" w:hAnsiTheme="majorHAnsi" w:cstheme="majorHAnsi"/>
          <w:sz w:val="24"/>
          <w:szCs w:val="24"/>
          <w:lang w:val="ro-MD"/>
        </w:rPr>
        <w:t xml:space="preserve"> colectat la B</w:t>
      </w:r>
      <w:r w:rsidR="007A0B52" w:rsidRPr="00401691">
        <w:rPr>
          <w:rFonts w:asciiTheme="majorHAnsi" w:hAnsiTheme="majorHAnsi" w:cstheme="majorHAnsi"/>
          <w:sz w:val="24"/>
          <w:szCs w:val="24"/>
          <w:lang w:val="ro-MD"/>
        </w:rPr>
        <w:t>P</w:t>
      </w:r>
      <w:r w:rsidR="00DA11D5" w:rsidRPr="00401691">
        <w:rPr>
          <w:rFonts w:asciiTheme="majorHAnsi" w:hAnsiTheme="majorHAnsi" w:cstheme="majorHAnsi"/>
          <w:sz w:val="24"/>
          <w:szCs w:val="24"/>
          <w:lang w:val="ro-MD"/>
        </w:rPr>
        <w:t>N</w:t>
      </w:r>
      <w:r w:rsidRPr="00401691">
        <w:rPr>
          <w:rFonts w:asciiTheme="majorHAnsi" w:hAnsiTheme="majorHAnsi" w:cstheme="majorHAnsi"/>
          <w:sz w:val="24"/>
          <w:szCs w:val="24"/>
          <w:lang w:val="ro-MD"/>
        </w:rPr>
        <w:t xml:space="preserve"> venituri</w:t>
      </w:r>
      <w:r w:rsidR="00ED55A9">
        <w:rPr>
          <w:rFonts w:asciiTheme="majorHAnsi" w:hAnsiTheme="majorHAnsi" w:cstheme="majorHAnsi"/>
          <w:sz w:val="24"/>
          <w:szCs w:val="24"/>
          <w:lang w:val="ro-MD"/>
        </w:rPr>
        <w:t xml:space="preserve"> administrate de </w:t>
      </w:r>
      <w:r w:rsidR="003E57B0">
        <w:rPr>
          <w:rFonts w:asciiTheme="majorHAnsi" w:hAnsiTheme="majorHAnsi" w:cstheme="majorHAnsi"/>
          <w:sz w:val="24"/>
          <w:szCs w:val="24"/>
          <w:lang w:val="ro-MD"/>
        </w:rPr>
        <w:t>SFS</w:t>
      </w:r>
      <w:r w:rsidRPr="00401691">
        <w:rPr>
          <w:rFonts w:asciiTheme="majorHAnsi" w:hAnsiTheme="majorHAnsi" w:cstheme="majorHAnsi"/>
          <w:sz w:val="24"/>
          <w:szCs w:val="24"/>
          <w:lang w:val="ro-MD"/>
        </w:rPr>
        <w:t xml:space="preserve"> în </w:t>
      </w:r>
      <w:r w:rsidR="003E57B0">
        <w:rPr>
          <w:rFonts w:asciiTheme="majorHAnsi" w:hAnsiTheme="majorHAnsi" w:cstheme="majorHAnsi"/>
          <w:sz w:val="24"/>
          <w:szCs w:val="24"/>
          <w:lang w:val="ro-MD"/>
        </w:rPr>
        <w:t>sumă</w:t>
      </w:r>
      <w:r w:rsidRPr="00401691">
        <w:rPr>
          <w:rFonts w:asciiTheme="majorHAnsi" w:hAnsiTheme="majorHAnsi" w:cstheme="majorHAnsi"/>
          <w:sz w:val="24"/>
          <w:szCs w:val="24"/>
          <w:lang w:val="ro-MD"/>
        </w:rPr>
        <w:t xml:space="preserve"> </w:t>
      </w:r>
      <w:r w:rsidR="006144AF">
        <w:rPr>
          <w:rFonts w:asciiTheme="majorHAnsi" w:hAnsiTheme="majorHAnsi" w:cstheme="majorHAnsi"/>
          <w:sz w:val="24"/>
          <w:szCs w:val="24"/>
          <w:lang w:val="ro-MD"/>
        </w:rPr>
        <w:t xml:space="preserve">totală </w:t>
      </w:r>
      <w:r w:rsidRPr="00401691">
        <w:rPr>
          <w:rFonts w:asciiTheme="majorHAnsi" w:hAnsiTheme="majorHAnsi" w:cstheme="majorHAnsi"/>
          <w:sz w:val="24"/>
          <w:szCs w:val="24"/>
          <w:lang w:val="ro-MD"/>
        </w:rPr>
        <w:t>de</w:t>
      </w:r>
      <w:r w:rsidR="00CC4B97" w:rsidRPr="00401691">
        <w:rPr>
          <w:rFonts w:asciiTheme="majorHAnsi" w:hAnsiTheme="majorHAnsi" w:cstheme="majorHAnsi"/>
          <w:sz w:val="24"/>
          <w:szCs w:val="24"/>
          <w:lang w:val="ro-MD"/>
        </w:rPr>
        <w:t xml:space="preserve"> 39135,1</w:t>
      </w:r>
      <w:r w:rsidRPr="00401691">
        <w:rPr>
          <w:rFonts w:asciiTheme="majorHAnsi" w:hAnsiTheme="majorHAnsi" w:cstheme="majorHAnsi"/>
          <w:sz w:val="24"/>
          <w:szCs w:val="24"/>
          <w:lang w:val="ro-MD"/>
        </w:rPr>
        <w:t xml:space="preserve"> mil</w:t>
      </w:r>
      <w:r w:rsidR="00ED55A9">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lei,</w:t>
      </w:r>
      <w:r w:rsidR="00316B8B" w:rsidRPr="00401691">
        <w:rPr>
          <w:rFonts w:asciiTheme="majorHAnsi" w:hAnsiTheme="majorHAnsi" w:cstheme="majorHAnsi"/>
          <w:sz w:val="24"/>
          <w:szCs w:val="24"/>
          <w:lang w:val="ro-MD"/>
        </w:rPr>
        <w:t xml:space="preserve"> sau cu 0</w:t>
      </w:r>
      <w:r w:rsidR="00492A34">
        <w:rPr>
          <w:rFonts w:asciiTheme="majorHAnsi" w:hAnsiTheme="majorHAnsi" w:cstheme="majorHAnsi"/>
          <w:sz w:val="24"/>
          <w:szCs w:val="24"/>
          <w:lang w:val="ro-MD"/>
        </w:rPr>
        <w:t>,</w:t>
      </w:r>
      <w:r w:rsidR="00316B8B" w:rsidRPr="00401691">
        <w:rPr>
          <w:rFonts w:asciiTheme="majorHAnsi" w:hAnsiTheme="majorHAnsi" w:cstheme="majorHAnsi"/>
          <w:sz w:val="24"/>
          <w:szCs w:val="24"/>
          <w:lang w:val="ro-MD"/>
        </w:rPr>
        <w:t xml:space="preserve">2 </w:t>
      </w:r>
      <w:r w:rsidR="007A0B52" w:rsidRPr="00401691">
        <w:rPr>
          <w:rFonts w:asciiTheme="majorHAnsi" w:hAnsiTheme="majorHAnsi" w:cstheme="majorHAnsi"/>
          <w:sz w:val="24"/>
          <w:szCs w:val="24"/>
          <w:lang w:val="ro-MD"/>
        </w:rPr>
        <w:t>%</w:t>
      </w:r>
      <w:r w:rsidR="00316B8B" w:rsidRPr="00401691">
        <w:rPr>
          <w:rFonts w:asciiTheme="majorHAnsi" w:hAnsiTheme="majorHAnsi" w:cstheme="majorHAnsi"/>
          <w:sz w:val="24"/>
          <w:szCs w:val="24"/>
          <w:lang w:val="ro-MD"/>
        </w:rPr>
        <w:t xml:space="preserve"> mai mult decât </w:t>
      </w:r>
      <w:r w:rsidR="007A0B52" w:rsidRPr="00401691">
        <w:rPr>
          <w:rFonts w:asciiTheme="majorHAnsi" w:hAnsiTheme="majorHAnsi" w:cstheme="majorHAnsi"/>
          <w:sz w:val="24"/>
          <w:szCs w:val="24"/>
          <w:lang w:val="ro-MD"/>
        </w:rPr>
        <w:t>prognoza bugetară</w:t>
      </w:r>
      <w:r w:rsidR="00366AE8">
        <w:rPr>
          <w:rFonts w:asciiTheme="majorHAnsi" w:hAnsiTheme="majorHAnsi" w:cstheme="majorHAnsi"/>
          <w:sz w:val="24"/>
          <w:szCs w:val="24"/>
          <w:lang w:val="ro-MD"/>
        </w:rPr>
        <w:t xml:space="preserve">, </w:t>
      </w:r>
      <w:r w:rsidR="00316B8B" w:rsidRPr="00401691">
        <w:rPr>
          <w:rFonts w:asciiTheme="majorHAnsi" w:hAnsiTheme="majorHAnsi" w:cstheme="majorHAnsi"/>
          <w:sz w:val="24"/>
          <w:szCs w:val="24"/>
          <w:lang w:val="ro-MD"/>
        </w:rPr>
        <w:t xml:space="preserve">ceea ce în valoare absolută </w:t>
      </w:r>
      <w:r w:rsidR="00316B8B" w:rsidRPr="00401691">
        <w:rPr>
          <w:rFonts w:asciiTheme="majorHAnsi" w:hAnsiTheme="majorHAnsi" w:cstheme="majorHAnsi"/>
          <w:sz w:val="24"/>
          <w:szCs w:val="24"/>
          <w:lang w:val="ro-MD"/>
        </w:rPr>
        <w:lastRenderedPageBreak/>
        <w:t>constituie 78,8 mil</w:t>
      </w:r>
      <w:r w:rsidR="00ED55A9">
        <w:rPr>
          <w:rFonts w:asciiTheme="majorHAnsi" w:hAnsiTheme="majorHAnsi" w:cstheme="majorHAnsi"/>
          <w:sz w:val="24"/>
          <w:szCs w:val="24"/>
          <w:lang w:val="ro-MD"/>
        </w:rPr>
        <w:t>.</w:t>
      </w:r>
      <w:r w:rsidR="00316B8B" w:rsidRPr="00401691">
        <w:rPr>
          <w:rFonts w:asciiTheme="majorHAnsi" w:hAnsiTheme="majorHAnsi" w:cstheme="majorHAnsi"/>
          <w:sz w:val="24"/>
          <w:szCs w:val="24"/>
          <w:lang w:val="ro-MD"/>
        </w:rPr>
        <w:t xml:space="preserve"> lei</w:t>
      </w:r>
      <w:r w:rsidRPr="00401691">
        <w:rPr>
          <w:rFonts w:asciiTheme="majorHAnsi" w:hAnsiTheme="majorHAnsi" w:cstheme="majorHAnsi"/>
          <w:sz w:val="24"/>
          <w:szCs w:val="24"/>
          <w:lang w:val="ro-MD"/>
        </w:rPr>
        <w:t xml:space="preserve">. Din analiza comparativă a încasărilor </w:t>
      </w:r>
      <w:r w:rsidR="007A0B52" w:rsidRPr="00401691">
        <w:rPr>
          <w:rFonts w:asciiTheme="majorHAnsi" w:hAnsiTheme="majorHAnsi" w:cstheme="majorHAnsi"/>
          <w:sz w:val="24"/>
          <w:szCs w:val="24"/>
          <w:lang w:val="ro-MD"/>
        </w:rPr>
        <w:t>la B</w:t>
      </w:r>
      <w:r w:rsidR="00DA11D5" w:rsidRPr="00401691">
        <w:rPr>
          <w:rFonts w:asciiTheme="majorHAnsi" w:hAnsiTheme="majorHAnsi" w:cstheme="majorHAnsi"/>
          <w:sz w:val="24"/>
          <w:szCs w:val="24"/>
          <w:lang w:val="ro-MD"/>
        </w:rPr>
        <w:t>PN</w:t>
      </w:r>
      <w:r w:rsidR="007A0B52" w:rsidRPr="00401691">
        <w:rPr>
          <w:rFonts w:asciiTheme="majorHAnsi" w:hAnsiTheme="majorHAnsi" w:cstheme="majorHAnsi"/>
          <w:sz w:val="24"/>
          <w:szCs w:val="24"/>
          <w:lang w:val="ro-MD"/>
        </w:rPr>
        <w:t xml:space="preserve">, </w:t>
      </w:r>
      <w:r w:rsidRPr="00401691">
        <w:rPr>
          <w:rFonts w:asciiTheme="majorHAnsi" w:hAnsiTheme="majorHAnsi" w:cstheme="majorHAnsi"/>
          <w:sz w:val="24"/>
          <w:szCs w:val="24"/>
          <w:lang w:val="ro-MD"/>
        </w:rPr>
        <w:t>se observă că</w:t>
      </w:r>
      <w:r w:rsidR="006144AF" w:rsidRPr="006144AF">
        <w:rPr>
          <w:rFonts w:asciiTheme="majorHAnsi" w:hAnsiTheme="majorHAnsi" w:cstheme="majorHAnsi"/>
          <w:sz w:val="24"/>
          <w:szCs w:val="24"/>
          <w:lang w:val="ro-MD"/>
        </w:rPr>
        <w:t xml:space="preserve"> </w:t>
      </w:r>
      <w:r w:rsidR="006144AF" w:rsidRPr="00401691">
        <w:rPr>
          <w:rFonts w:asciiTheme="majorHAnsi" w:hAnsiTheme="majorHAnsi" w:cstheme="majorHAnsi"/>
          <w:sz w:val="24"/>
          <w:szCs w:val="24"/>
          <w:lang w:val="ro-MD"/>
        </w:rPr>
        <w:t xml:space="preserve">în </w:t>
      </w:r>
      <w:r w:rsidR="006144AF">
        <w:rPr>
          <w:rFonts w:asciiTheme="majorHAnsi" w:hAnsiTheme="majorHAnsi" w:cstheme="majorHAnsi"/>
          <w:sz w:val="24"/>
          <w:szCs w:val="24"/>
          <w:lang w:val="ro-MD"/>
        </w:rPr>
        <w:t>anul</w:t>
      </w:r>
      <w:r w:rsidR="006144AF" w:rsidRPr="00401691">
        <w:rPr>
          <w:rFonts w:asciiTheme="majorHAnsi" w:hAnsiTheme="majorHAnsi" w:cstheme="majorHAnsi"/>
          <w:sz w:val="24"/>
          <w:szCs w:val="24"/>
          <w:lang w:val="ro-MD"/>
        </w:rPr>
        <w:t xml:space="preserve"> 2019</w:t>
      </w:r>
      <w:r w:rsidRPr="00401691">
        <w:rPr>
          <w:rFonts w:asciiTheme="majorHAnsi" w:hAnsiTheme="majorHAnsi" w:cstheme="majorHAnsi"/>
          <w:sz w:val="24"/>
          <w:szCs w:val="24"/>
          <w:lang w:val="ro-MD"/>
        </w:rPr>
        <w:t xml:space="preserve">, în termeni nominali, veniturile colectate de </w:t>
      </w:r>
      <w:r w:rsidR="007A0B52" w:rsidRPr="00401691">
        <w:rPr>
          <w:rFonts w:asciiTheme="majorHAnsi" w:hAnsiTheme="majorHAnsi" w:cstheme="majorHAnsi"/>
          <w:sz w:val="24"/>
          <w:szCs w:val="24"/>
          <w:lang w:val="ro-MD"/>
        </w:rPr>
        <w:t xml:space="preserve">SFS </w:t>
      </w:r>
      <w:r w:rsidRPr="00401691">
        <w:rPr>
          <w:rFonts w:asciiTheme="majorHAnsi" w:hAnsiTheme="majorHAnsi" w:cstheme="majorHAnsi"/>
          <w:sz w:val="24"/>
          <w:szCs w:val="24"/>
          <w:lang w:val="ro-MD"/>
        </w:rPr>
        <w:t>au înregistrat o evoluție ascendentă,</w:t>
      </w:r>
      <w:r w:rsidR="00316B8B" w:rsidRPr="00401691">
        <w:rPr>
          <w:rFonts w:asciiTheme="majorHAnsi" w:hAnsiTheme="majorHAnsi" w:cstheme="majorHAnsi"/>
          <w:sz w:val="24"/>
          <w:szCs w:val="24"/>
          <w:lang w:val="ro-MD"/>
        </w:rPr>
        <w:t xml:space="preserve"> comparativ cu anul 2018, cu 6</w:t>
      </w:r>
      <w:r w:rsidR="00EA47C1" w:rsidRPr="00401691">
        <w:rPr>
          <w:rFonts w:asciiTheme="majorHAnsi" w:hAnsiTheme="majorHAnsi" w:cstheme="majorHAnsi"/>
          <w:sz w:val="24"/>
          <w:szCs w:val="24"/>
          <w:lang w:val="ro-MD"/>
        </w:rPr>
        <w:t xml:space="preserve">,0 </w:t>
      </w:r>
      <w:proofErr w:type="spellStart"/>
      <w:r w:rsidR="00316B8B" w:rsidRPr="00401691">
        <w:rPr>
          <w:rFonts w:asciiTheme="majorHAnsi" w:hAnsiTheme="majorHAnsi" w:cstheme="majorHAnsi"/>
          <w:sz w:val="24"/>
          <w:szCs w:val="24"/>
          <w:lang w:val="ro-MD"/>
        </w:rPr>
        <w:t>p.p.</w:t>
      </w:r>
      <w:proofErr w:type="spellEnd"/>
      <w:r w:rsidR="00316B8B" w:rsidRPr="00401691">
        <w:rPr>
          <w:rFonts w:asciiTheme="majorHAnsi" w:hAnsiTheme="majorHAnsi" w:cstheme="majorHAnsi"/>
          <w:sz w:val="24"/>
          <w:szCs w:val="24"/>
          <w:lang w:val="ro-MD"/>
        </w:rPr>
        <w:t xml:space="preserve">, </w:t>
      </w:r>
      <w:r w:rsidRPr="00401691">
        <w:rPr>
          <w:rFonts w:asciiTheme="majorHAnsi" w:hAnsiTheme="majorHAnsi" w:cstheme="majorHAnsi"/>
          <w:sz w:val="24"/>
          <w:szCs w:val="24"/>
          <w:lang w:val="ro-MD"/>
        </w:rPr>
        <w:t>determinată în ma</w:t>
      </w:r>
      <w:r w:rsidR="007A0B52" w:rsidRPr="00401691">
        <w:rPr>
          <w:rFonts w:asciiTheme="majorHAnsi" w:hAnsiTheme="majorHAnsi" w:cstheme="majorHAnsi"/>
          <w:sz w:val="24"/>
          <w:szCs w:val="24"/>
          <w:lang w:val="ro-MD"/>
        </w:rPr>
        <w:t>re măsură de creșterea PIB</w:t>
      </w:r>
      <w:r w:rsidRPr="00401691">
        <w:rPr>
          <w:rFonts w:asciiTheme="majorHAnsi" w:hAnsiTheme="majorHAnsi" w:cstheme="majorHAnsi"/>
          <w:sz w:val="24"/>
          <w:szCs w:val="24"/>
          <w:lang w:val="ro-MD"/>
        </w:rPr>
        <w:t xml:space="preserve">. </w:t>
      </w:r>
      <w:r w:rsidR="00C37115" w:rsidRPr="00401691">
        <w:rPr>
          <w:rFonts w:asciiTheme="majorHAnsi" w:hAnsiTheme="majorHAnsi" w:cstheme="majorHAnsi"/>
          <w:sz w:val="24"/>
          <w:szCs w:val="24"/>
          <w:lang w:val="ro-MD"/>
        </w:rPr>
        <w:t xml:space="preserve">Datele agregate privind analiza veniturilor </w:t>
      </w:r>
      <w:r w:rsidR="00BB32D7" w:rsidRPr="00401691">
        <w:rPr>
          <w:rFonts w:asciiTheme="majorHAnsi" w:hAnsiTheme="majorHAnsi" w:cstheme="majorHAnsi"/>
          <w:sz w:val="24"/>
          <w:szCs w:val="24"/>
          <w:lang w:val="ro-MD"/>
        </w:rPr>
        <w:t xml:space="preserve">la BPN </w:t>
      </w:r>
      <w:r w:rsidR="00C37115" w:rsidRPr="00401691">
        <w:rPr>
          <w:rFonts w:asciiTheme="majorHAnsi" w:hAnsiTheme="majorHAnsi" w:cstheme="majorHAnsi"/>
          <w:sz w:val="24"/>
          <w:szCs w:val="24"/>
          <w:lang w:val="ro-MD"/>
        </w:rPr>
        <w:t>administrate de SFS în</w:t>
      </w:r>
      <w:r w:rsidR="00A52409" w:rsidRPr="00401691">
        <w:rPr>
          <w:rFonts w:asciiTheme="majorHAnsi" w:hAnsiTheme="majorHAnsi" w:cstheme="majorHAnsi"/>
          <w:sz w:val="24"/>
          <w:szCs w:val="24"/>
          <w:lang w:val="ro-MD"/>
        </w:rPr>
        <w:t xml:space="preserve"> anul 2019 </w:t>
      </w:r>
      <w:r w:rsidR="00ED55A9">
        <w:rPr>
          <w:rFonts w:asciiTheme="majorHAnsi" w:hAnsiTheme="majorHAnsi" w:cstheme="majorHAnsi"/>
          <w:sz w:val="24"/>
          <w:szCs w:val="24"/>
          <w:lang w:val="ro-MD"/>
        </w:rPr>
        <w:t>s</w:t>
      </w:r>
      <w:r w:rsidR="00BB32D7">
        <w:rPr>
          <w:rFonts w:asciiTheme="majorHAnsi" w:hAnsiTheme="majorHAnsi" w:cstheme="majorHAnsi"/>
          <w:sz w:val="24"/>
          <w:szCs w:val="24"/>
          <w:lang w:val="ro-MD"/>
        </w:rPr>
        <w:t>u</w:t>
      </w:r>
      <w:r w:rsidR="00ED55A9">
        <w:rPr>
          <w:rFonts w:asciiTheme="majorHAnsi" w:hAnsiTheme="majorHAnsi" w:cstheme="majorHAnsi"/>
          <w:sz w:val="24"/>
          <w:szCs w:val="24"/>
          <w:lang w:val="ro-MD"/>
        </w:rPr>
        <w:t>nt prezentate</w:t>
      </w:r>
      <w:r w:rsidR="00A52409" w:rsidRPr="00401691">
        <w:rPr>
          <w:rFonts w:asciiTheme="majorHAnsi" w:hAnsiTheme="majorHAnsi" w:cstheme="majorHAnsi"/>
          <w:sz w:val="24"/>
          <w:szCs w:val="24"/>
          <w:lang w:val="ro-MD"/>
        </w:rPr>
        <w:t xml:space="preserve"> în </w:t>
      </w:r>
      <w:r w:rsidR="00BB32D7">
        <w:rPr>
          <w:rFonts w:asciiTheme="majorHAnsi" w:hAnsiTheme="majorHAnsi" w:cstheme="majorHAnsi"/>
          <w:sz w:val="24"/>
          <w:szCs w:val="24"/>
          <w:lang w:val="ro-MD"/>
        </w:rPr>
        <w:t>T</w:t>
      </w:r>
      <w:r w:rsidR="00C37115" w:rsidRPr="00401691">
        <w:rPr>
          <w:rFonts w:asciiTheme="majorHAnsi" w:hAnsiTheme="majorHAnsi" w:cstheme="majorHAnsi"/>
          <w:sz w:val="24"/>
          <w:szCs w:val="24"/>
          <w:lang w:val="ro-MD"/>
        </w:rPr>
        <w:t xml:space="preserve">abelul </w:t>
      </w:r>
      <w:r w:rsidR="009E3344" w:rsidRPr="00401691">
        <w:rPr>
          <w:rFonts w:asciiTheme="majorHAnsi" w:hAnsiTheme="majorHAnsi" w:cstheme="majorHAnsi"/>
          <w:sz w:val="24"/>
          <w:szCs w:val="24"/>
          <w:lang w:val="ro-MD"/>
        </w:rPr>
        <w:t xml:space="preserve">din </w:t>
      </w:r>
      <w:r w:rsidR="00ED55A9">
        <w:rPr>
          <w:rFonts w:asciiTheme="majorHAnsi" w:hAnsiTheme="majorHAnsi" w:cstheme="majorHAnsi"/>
          <w:sz w:val="24"/>
          <w:szCs w:val="24"/>
          <w:lang w:val="ro-MD"/>
        </w:rPr>
        <w:t>Anexa nr. 2 la R</w:t>
      </w:r>
      <w:r w:rsidR="00A52409" w:rsidRPr="00401691">
        <w:rPr>
          <w:rFonts w:asciiTheme="majorHAnsi" w:hAnsiTheme="majorHAnsi" w:cstheme="majorHAnsi"/>
          <w:sz w:val="24"/>
          <w:szCs w:val="24"/>
          <w:lang w:val="ro-MD"/>
        </w:rPr>
        <w:t>aportul de audit</w:t>
      </w:r>
      <w:r w:rsidR="00C37115" w:rsidRPr="00401691">
        <w:rPr>
          <w:rFonts w:asciiTheme="majorHAnsi" w:hAnsiTheme="majorHAnsi" w:cstheme="majorHAnsi"/>
          <w:sz w:val="24"/>
          <w:szCs w:val="24"/>
          <w:lang w:val="ro-MD"/>
        </w:rPr>
        <w:t>.</w:t>
      </w:r>
    </w:p>
    <w:p w:rsidR="004F5B29" w:rsidRPr="00401691" w:rsidRDefault="00D57A12" w:rsidP="00844145">
      <w:pPr>
        <w:spacing w:after="120" w:line="276" w:lineRule="auto"/>
        <w:jc w:val="both"/>
        <w:rPr>
          <w:rFonts w:asciiTheme="majorHAnsi" w:hAnsiTheme="majorHAnsi" w:cstheme="majorHAnsi"/>
          <w:i/>
          <w:sz w:val="24"/>
          <w:szCs w:val="24"/>
          <w:lang w:val="ro-MD"/>
        </w:rPr>
      </w:pPr>
      <w:r w:rsidRPr="00401691">
        <w:rPr>
          <w:rFonts w:asciiTheme="majorHAnsi" w:hAnsiTheme="majorHAnsi" w:cstheme="majorHAnsi"/>
          <w:sz w:val="24"/>
          <w:szCs w:val="24"/>
          <w:lang w:val="ro-MD"/>
        </w:rPr>
        <w:t>Principalele încasă</w:t>
      </w:r>
      <w:r w:rsidR="00366AE8">
        <w:rPr>
          <w:rFonts w:asciiTheme="majorHAnsi" w:hAnsiTheme="majorHAnsi" w:cstheme="majorHAnsi"/>
          <w:sz w:val="24"/>
          <w:szCs w:val="24"/>
          <w:lang w:val="ro-MD"/>
        </w:rPr>
        <w:t xml:space="preserve">ri de venituri bugetare la BPN </w:t>
      </w:r>
      <w:r w:rsidRPr="00401691">
        <w:rPr>
          <w:rFonts w:asciiTheme="majorHAnsi" w:hAnsiTheme="majorHAnsi" w:cstheme="majorHAnsi"/>
          <w:sz w:val="24"/>
          <w:szCs w:val="24"/>
          <w:lang w:val="ro-MD"/>
        </w:rPr>
        <w:t xml:space="preserve">administrate de SFS revin </w:t>
      </w:r>
      <w:r w:rsidR="00B900C4" w:rsidRPr="00401691">
        <w:rPr>
          <w:rFonts w:asciiTheme="majorHAnsi" w:hAnsiTheme="majorHAnsi" w:cstheme="majorHAnsi"/>
          <w:sz w:val="24"/>
          <w:szCs w:val="24"/>
          <w:lang w:val="ro-MD"/>
        </w:rPr>
        <w:t>bugetul</w:t>
      </w:r>
      <w:r w:rsidRPr="00401691">
        <w:rPr>
          <w:rFonts w:asciiTheme="majorHAnsi" w:hAnsiTheme="majorHAnsi" w:cstheme="majorHAnsi"/>
          <w:sz w:val="24"/>
          <w:szCs w:val="24"/>
          <w:lang w:val="ro-MD"/>
        </w:rPr>
        <w:t>ui</w:t>
      </w:r>
      <w:r w:rsidR="00B900C4" w:rsidRPr="00401691">
        <w:rPr>
          <w:rFonts w:asciiTheme="majorHAnsi" w:hAnsiTheme="majorHAnsi" w:cstheme="majorHAnsi"/>
          <w:sz w:val="24"/>
          <w:szCs w:val="24"/>
          <w:lang w:val="ro-MD"/>
        </w:rPr>
        <w:t xml:space="preserve"> de stat</w:t>
      </w:r>
      <w:r w:rsidRPr="00401691">
        <w:rPr>
          <w:rFonts w:asciiTheme="majorHAnsi" w:hAnsiTheme="majorHAnsi" w:cstheme="majorHAnsi"/>
          <w:sz w:val="24"/>
          <w:szCs w:val="24"/>
          <w:lang w:val="ro-MD"/>
        </w:rPr>
        <w:t>. Astfel, î</w:t>
      </w:r>
      <w:r w:rsidR="009D76FD">
        <w:rPr>
          <w:rFonts w:asciiTheme="majorHAnsi" w:hAnsiTheme="majorHAnsi" w:cstheme="majorHAnsi"/>
          <w:sz w:val="24"/>
          <w:szCs w:val="24"/>
          <w:lang w:val="ro-MD"/>
        </w:rPr>
        <w:t>n anul 2019,</w:t>
      </w:r>
      <w:r w:rsidR="00B900C4" w:rsidRPr="00401691">
        <w:rPr>
          <w:rFonts w:asciiTheme="majorHAnsi" w:hAnsiTheme="majorHAnsi" w:cstheme="majorHAnsi"/>
          <w:sz w:val="24"/>
          <w:szCs w:val="24"/>
          <w:lang w:val="ro-MD"/>
        </w:rPr>
        <w:t xml:space="preserve"> SFS a încasat venituri în sumă de 17236,0 mil</w:t>
      </w:r>
      <w:r w:rsidR="009D76FD">
        <w:rPr>
          <w:rFonts w:asciiTheme="majorHAnsi" w:hAnsiTheme="majorHAnsi" w:cstheme="majorHAnsi"/>
          <w:sz w:val="24"/>
          <w:szCs w:val="24"/>
          <w:lang w:val="ro-MD"/>
        </w:rPr>
        <w:t>.</w:t>
      </w:r>
      <w:r w:rsidR="00B900C4" w:rsidRPr="00401691">
        <w:rPr>
          <w:rFonts w:asciiTheme="majorHAnsi" w:hAnsiTheme="majorHAnsi" w:cstheme="majorHAnsi"/>
          <w:sz w:val="24"/>
          <w:szCs w:val="24"/>
          <w:lang w:val="ro-MD"/>
        </w:rPr>
        <w:t xml:space="preserve"> lei, față de</w:t>
      </w:r>
      <w:r w:rsidR="00B900C4" w:rsidRPr="00401691">
        <w:rPr>
          <w:rFonts w:asciiTheme="majorHAnsi" w:hAnsiTheme="majorHAnsi" w:cstheme="majorHAnsi"/>
          <w:lang w:val="ro-MD"/>
        </w:rPr>
        <w:t xml:space="preserve"> </w:t>
      </w:r>
      <w:r w:rsidR="00B900C4" w:rsidRPr="00401691">
        <w:rPr>
          <w:rFonts w:asciiTheme="majorHAnsi" w:hAnsiTheme="majorHAnsi" w:cstheme="majorHAnsi"/>
          <w:sz w:val="24"/>
          <w:szCs w:val="24"/>
          <w:lang w:val="ro-MD"/>
        </w:rPr>
        <w:t>17281,1 mil</w:t>
      </w:r>
      <w:r w:rsidR="009D76FD">
        <w:rPr>
          <w:rFonts w:asciiTheme="majorHAnsi" w:hAnsiTheme="majorHAnsi" w:cstheme="majorHAnsi"/>
          <w:sz w:val="24"/>
          <w:szCs w:val="24"/>
          <w:lang w:val="ro-MD"/>
        </w:rPr>
        <w:t>.</w:t>
      </w:r>
      <w:r w:rsidR="00B900C4" w:rsidRPr="00401691">
        <w:rPr>
          <w:rFonts w:asciiTheme="majorHAnsi" w:hAnsiTheme="majorHAnsi" w:cstheme="majorHAnsi"/>
          <w:sz w:val="24"/>
          <w:szCs w:val="24"/>
          <w:lang w:val="ro-MD"/>
        </w:rPr>
        <w:t xml:space="preserve"> lei - planificate, sau </w:t>
      </w:r>
      <w:r w:rsidR="008A4309">
        <w:rPr>
          <w:rFonts w:asciiTheme="majorHAnsi" w:hAnsiTheme="majorHAnsi" w:cstheme="majorHAnsi"/>
          <w:sz w:val="24"/>
          <w:szCs w:val="24"/>
          <w:lang w:val="ro-MD"/>
        </w:rPr>
        <w:t xml:space="preserve">la nivelul </w:t>
      </w:r>
      <w:r w:rsidR="00B900C4" w:rsidRPr="00401691">
        <w:rPr>
          <w:rFonts w:asciiTheme="majorHAnsi" w:hAnsiTheme="majorHAnsi" w:cstheme="majorHAnsi"/>
          <w:sz w:val="24"/>
          <w:szCs w:val="24"/>
          <w:lang w:val="ro-MD"/>
        </w:rPr>
        <w:t xml:space="preserve"> de 99,7 %</w:t>
      </w:r>
      <w:r w:rsidRPr="00401691">
        <w:rPr>
          <w:rFonts w:asciiTheme="majorHAnsi" w:hAnsiTheme="majorHAnsi" w:cstheme="majorHAnsi"/>
          <w:sz w:val="24"/>
          <w:szCs w:val="24"/>
          <w:lang w:val="ro-MD"/>
        </w:rPr>
        <w:t xml:space="preserve">, nefiind </w:t>
      </w:r>
      <w:r w:rsidR="00B900C4" w:rsidRPr="00401691">
        <w:rPr>
          <w:rFonts w:asciiTheme="majorHAnsi" w:hAnsiTheme="majorHAnsi" w:cstheme="majorHAnsi"/>
          <w:sz w:val="24"/>
          <w:szCs w:val="24"/>
          <w:lang w:val="ro-MD"/>
        </w:rPr>
        <w:t xml:space="preserve">realizată sarcina planificată de colectare a veniturilor la </w:t>
      </w:r>
      <w:r w:rsidR="009D76FD">
        <w:rPr>
          <w:rFonts w:asciiTheme="majorHAnsi" w:hAnsiTheme="majorHAnsi" w:cstheme="majorHAnsi"/>
          <w:sz w:val="24"/>
          <w:szCs w:val="24"/>
          <w:lang w:val="ro-MD"/>
        </w:rPr>
        <w:t xml:space="preserve">BS </w:t>
      </w:r>
      <w:r w:rsidR="00B900C4" w:rsidRPr="00401691">
        <w:rPr>
          <w:rFonts w:asciiTheme="majorHAnsi" w:hAnsiTheme="majorHAnsi" w:cstheme="majorHAnsi"/>
          <w:sz w:val="24"/>
          <w:szCs w:val="24"/>
          <w:lang w:val="ro-MD"/>
        </w:rPr>
        <w:t>în valoare nominală de 45,1 mil</w:t>
      </w:r>
      <w:r w:rsidR="00C21FCE">
        <w:rPr>
          <w:rFonts w:asciiTheme="majorHAnsi" w:hAnsiTheme="majorHAnsi" w:cstheme="majorHAnsi"/>
          <w:sz w:val="24"/>
          <w:szCs w:val="24"/>
          <w:lang w:val="ro-MD"/>
        </w:rPr>
        <w:t>.</w:t>
      </w:r>
      <w:r w:rsidR="00B900C4" w:rsidRPr="00401691">
        <w:rPr>
          <w:rFonts w:asciiTheme="majorHAnsi" w:hAnsiTheme="majorHAnsi" w:cstheme="majorHAnsi"/>
          <w:sz w:val="24"/>
          <w:szCs w:val="24"/>
          <w:lang w:val="ro-MD"/>
        </w:rPr>
        <w:t xml:space="preserve"> lei. Datele</w:t>
      </w:r>
      <w:r w:rsidR="00087CA9" w:rsidRPr="00401691">
        <w:rPr>
          <w:rFonts w:asciiTheme="majorHAnsi" w:hAnsiTheme="majorHAnsi" w:cstheme="majorHAnsi"/>
          <w:sz w:val="24"/>
          <w:szCs w:val="24"/>
          <w:lang w:val="ro-MD"/>
        </w:rPr>
        <w:t xml:space="preserve"> agregate</w:t>
      </w:r>
      <w:r w:rsidR="00B900C4" w:rsidRPr="00401691">
        <w:rPr>
          <w:rFonts w:asciiTheme="majorHAnsi" w:hAnsiTheme="majorHAnsi" w:cstheme="majorHAnsi"/>
          <w:sz w:val="24"/>
          <w:szCs w:val="24"/>
          <w:lang w:val="ro-MD"/>
        </w:rPr>
        <w:t xml:space="preserve"> privind </w:t>
      </w:r>
      <w:r w:rsidRPr="00401691">
        <w:rPr>
          <w:rFonts w:asciiTheme="majorHAnsi" w:hAnsiTheme="majorHAnsi" w:cstheme="majorHAnsi"/>
          <w:sz w:val="24"/>
          <w:szCs w:val="24"/>
          <w:lang w:val="ro-MD"/>
        </w:rPr>
        <w:t xml:space="preserve">nivelul </w:t>
      </w:r>
      <w:r w:rsidR="00B900C4" w:rsidRPr="00401691">
        <w:rPr>
          <w:rFonts w:asciiTheme="majorHAnsi" w:hAnsiTheme="majorHAnsi" w:cstheme="majorHAnsi"/>
          <w:sz w:val="24"/>
          <w:szCs w:val="24"/>
          <w:lang w:val="ro-MD"/>
        </w:rPr>
        <w:t>execut</w:t>
      </w:r>
      <w:r w:rsidRPr="00401691">
        <w:rPr>
          <w:rFonts w:asciiTheme="majorHAnsi" w:hAnsiTheme="majorHAnsi" w:cstheme="majorHAnsi"/>
          <w:sz w:val="24"/>
          <w:szCs w:val="24"/>
          <w:lang w:val="ro-MD"/>
        </w:rPr>
        <w:t xml:space="preserve">ării pe tipuri de </w:t>
      </w:r>
      <w:r w:rsidR="00B900C4" w:rsidRPr="00401691">
        <w:rPr>
          <w:rFonts w:asciiTheme="majorHAnsi" w:hAnsiTheme="majorHAnsi" w:cstheme="majorHAnsi"/>
          <w:sz w:val="24"/>
          <w:szCs w:val="24"/>
          <w:lang w:val="ro-MD"/>
        </w:rPr>
        <w:t>venituri</w:t>
      </w:r>
      <w:r w:rsidRPr="00401691">
        <w:rPr>
          <w:rFonts w:asciiTheme="majorHAnsi" w:hAnsiTheme="majorHAnsi" w:cstheme="majorHAnsi"/>
          <w:sz w:val="24"/>
          <w:szCs w:val="24"/>
          <w:lang w:val="ro-MD"/>
        </w:rPr>
        <w:t xml:space="preserve"> cuvenite bugetului de stat s</w:t>
      </w:r>
      <w:r w:rsidR="00F11214" w:rsidRPr="00401691">
        <w:rPr>
          <w:rFonts w:asciiTheme="majorHAnsi" w:hAnsiTheme="majorHAnsi" w:cstheme="majorHAnsi"/>
          <w:sz w:val="24"/>
          <w:szCs w:val="24"/>
          <w:lang w:val="ro-MD"/>
        </w:rPr>
        <w:t xml:space="preserve">unt expuse în </w:t>
      </w:r>
      <w:r w:rsidR="008A4309">
        <w:rPr>
          <w:rFonts w:asciiTheme="majorHAnsi" w:hAnsiTheme="majorHAnsi" w:cstheme="majorHAnsi"/>
          <w:sz w:val="24"/>
          <w:szCs w:val="24"/>
          <w:lang w:val="ro-MD"/>
        </w:rPr>
        <w:t>T</w:t>
      </w:r>
      <w:r w:rsidR="00F11214" w:rsidRPr="00401691">
        <w:rPr>
          <w:rFonts w:asciiTheme="majorHAnsi" w:hAnsiTheme="majorHAnsi" w:cstheme="majorHAnsi"/>
          <w:sz w:val="24"/>
          <w:szCs w:val="24"/>
          <w:lang w:val="ro-MD"/>
        </w:rPr>
        <w:t>abel</w:t>
      </w:r>
      <w:r w:rsidR="007D13A4">
        <w:rPr>
          <w:rFonts w:asciiTheme="majorHAnsi" w:hAnsiTheme="majorHAnsi" w:cstheme="majorHAnsi"/>
          <w:sz w:val="24"/>
          <w:szCs w:val="24"/>
          <w:lang w:val="ro-MD"/>
        </w:rPr>
        <w:t>ul nr.1.</w:t>
      </w:r>
      <w:r w:rsidR="00F11214" w:rsidRPr="00401691">
        <w:rPr>
          <w:rFonts w:asciiTheme="majorHAnsi" w:hAnsiTheme="majorHAnsi" w:cstheme="majorHAnsi"/>
          <w:sz w:val="24"/>
          <w:szCs w:val="24"/>
          <w:lang w:val="ro-MD"/>
        </w:rPr>
        <w:t xml:space="preserve"> </w:t>
      </w:r>
    </w:p>
    <w:p w:rsidR="00B900C4" w:rsidRDefault="00B900C4" w:rsidP="00844145">
      <w:pPr>
        <w:spacing w:after="0" w:line="276" w:lineRule="auto"/>
        <w:jc w:val="right"/>
        <w:rPr>
          <w:rFonts w:asciiTheme="majorHAnsi" w:hAnsiTheme="majorHAnsi" w:cstheme="majorHAnsi"/>
          <w:i/>
          <w:sz w:val="24"/>
          <w:szCs w:val="24"/>
          <w:lang w:val="ro-MD"/>
        </w:rPr>
      </w:pPr>
      <w:r w:rsidRPr="00401691">
        <w:rPr>
          <w:rFonts w:asciiTheme="majorHAnsi" w:hAnsiTheme="majorHAnsi" w:cstheme="majorHAnsi"/>
          <w:i/>
          <w:sz w:val="24"/>
          <w:szCs w:val="24"/>
          <w:lang w:val="ro-MD"/>
        </w:rPr>
        <w:t>Tabelul nr.</w:t>
      </w:r>
      <w:r w:rsidR="00FB4073" w:rsidRPr="00401691">
        <w:rPr>
          <w:rFonts w:asciiTheme="majorHAnsi" w:hAnsiTheme="majorHAnsi" w:cstheme="majorHAnsi"/>
          <w:i/>
          <w:sz w:val="24"/>
          <w:szCs w:val="24"/>
          <w:lang w:val="ro-MD"/>
        </w:rPr>
        <w:t>1</w:t>
      </w:r>
    </w:p>
    <w:p w:rsidR="00825439" w:rsidRPr="007D13A4" w:rsidRDefault="007D13A4" w:rsidP="007D13A4">
      <w:pPr>
        <w:spacing w:after="0" w:line="276" w:lineRule="auto"/>
        <w:jc w:val="center"/>
        <w:rPr>
          <w:rFonts w:asciiTheme="majorHAnsi" w:hAnsiTheme="majorHAnsi" w:cstheme="majorHAnsi"/>
          <w:b/>
          <w:sz w:val="24"/>
          <w:szCs w:val="24"/>
          <w:lang w:val="ro-MD"/>
        </w:rPr>
      </w:pPr>
      <w:r w:rsidRPr="007D13A4">
        <w:rPr>
          <w:rFonts w:asciiTheme="majorHAnsi" w:hAnsiTheme="majorHAnsi" w:cstheme="majorHAnsi"/>
          <w:b/>
          <w:sz w:val="24"/>
          <w:szCs w:val="24"/>
          <w:lang w:val="ro-MD"/>
        </w:rPr>
        <w:t>Datele agregate privind nivelul executării pe tipuri de venituri cuvenite bugetului de stat</w:t>
      </w:r>
    </w:p>
    <w:p w:rsidR="00B900C4" w:rsidRPr="005E0F2C" w:rsidRDefault="00CF6CD6" w:rsidP="00844145">
      <w:pPr>
        <w:spacing w:after="120" w:line="276" w:lineRule="auto"/>
        <w:jc w:val="right"/>
        <w:rPr>
          <w:rFonts w:asciiTheme="majorHAnsi" w:hAnsiTheme="majorHAnsi" w:cstheme="majorHAnsi"/>
          <w:b/>
          <w:sz w:val="24"/>
          <w:szCs w:val="24"/>
          <w:lang w:val="ro-MD"/>
        </w:rPr>
      </w:pPr>
      <w:r w:rsidRPr="005E0F2C">
        <w:rPr>
          <w:rFonts w:asciiTheme="majorHAnsi" w:hAnsiTheme="majorHAnsi" w:cstheme="majorHAnsi"/>
          <w:b/>
          <w:sz w:val="24"/>
          <w:szCs w:val="24"/>
          <w:lang w:val="ro-MD"/>
        </w:rPr>
        <w:t>(</w:t>
      </w:r>
      <w:r w:rsidR="00B900C4" w:rsidRPr="005E0F2C">
        <w:rPr>
          <w:rFonts w:asciiTheme="majorHAnsi" w:hAnsiTheme="majorHAnsi" w:cstheme="majorHAnsi"/>
          <w:b/>
          <w:sz w:val="24"/>
          <w:szCs w:val="24"/>
          <w:lang w:val="ro-MD"/>
        </w:rPr>
        <w:t>mii lei</w:t>
      </w:r>
      <w:r w:rsidRPr="005E0F2C">
        <w:rPr>
          <w:rFonts w:asciiTheme="majorHAnsi" w:hAnsiTheme="majorHAnsi" w:cstheme="majorHAnsi"/>
          <w:b/>
          <w:sz w:val="24"/>
          <w:szCs w:val="24"/>
          <w:lang w:val="ro-MD"/>
        </w:rPr>
        <w:t>)</w:t>
      </w:r>
    </w:p>
    <w:tbl>
      <w:tblPr>
        <w:tblStyle w:val="TableGrid"/>
        <w:tblW w:w="10165" w:type="dxa"/>
        <w:tblLook w:val="04A0" w:firstRow="1" w:lastRow="0" w:firstColumn="1" w:lastColumn="0" w:noHBand="0" w:noVBand="1"/>
      </w:tblPr>
      <w:tblGrid>
        <w:gridCol w:w="4855"/>
        <w:gridCol w:w="1530"/>
        <w:gridCol w:w="1440"/>
        <w:gridCol w:w="1170"/>
        <w:gridCol w:w="1170"/>
      </w:tblGrid>
      <w:tr w:rsidR="000A10B5" w:rsidRPr="00401691" w:rsidTr="00825439">
        <w:tc>
          <w:tcPr>
            <w:tcW w:w="4855" w:type="dxa"/>
            <w:shd w:val="clear" w:color="auto" w:fill="BFBFBF" w:themeFill="background1" w:themeFillShade="BF"/>
          </w:tcPr>
          <w:p w:rsidR="000A10B5" w:rsidRPr="00401691" w:rsidRDefault="000A10B5" w:rsidP="00844145">
            <w:pPr>
              <w:spacing w:line="276" w:lineRule="auto"/>
              <w:rPr>
                <w:rFonts w:asciiTheme="majorHAnsi" w:eastAsia="Times New Roman" w:hAnsiTheme="majorHAnsi" w:cstheme="majorHAnsi"/>
                <w:b/>
                <w:bCs/>
                <w:color w:val="000000"/>
                <w:lang w:val="ro-MD"/>
              </w:rPr>
            </w:pPr>
            <w:r w:rsidRPr="00401691">
              <w:rPr>
                <w:rFonts w:asciiTheme="majorHAnsi" w:eastAsia="Times New Roman" w:hAnsiTheme="majorHAnsi" w:cstheme="majorHAnsi"/>
                <w:b/>
                <w:bCs/>
                <w:color w:val="000000"/>
                <w:lang w:val="ro-MD"/>
              </w:rPr>
              <w:t>D</w:t>
            </w:r>
            <w:r w:rsidR="008A4309">
              <w:rPr>
                <w:rFonts w:asciiTheme="majorHAnsi" w:eastAsia="Times New Roman" w:hAnsiTheme="majorHAnsi" w:cstheme="majorHAnsi"/>
                <w:b/>
                <w:bCs/>
                <w:color w:val="000000"/>
                <w:lang w:val="ro-MD"/>
              </w:rPr>
              <w:t>enumirea veniturilor</w:t>
            </w:r>
          </w:p>
        </w:tc>
        <w:tc>
          <w:tcPr>
            <w:tcW w:w="1530" w:type="dxa"/>
            <w:shd w:val="clear" w:color="auto" w:fill="BFBFBF" w:themeFill="background1" w:themeFillShade="BF"/>
          </w:tcPr>
          <w:p w:rsidR="000A10B5" w:rsidRPr="00401691" w:rsidRDefault="000A10B5" w:rsidP="00844145">
            <w:pPr>
              <w:spacing w:line="276" w:lineRule="auto"/>
              <w:jc w:val="center"/>
              <w:rPr>
                <w:rFonts w:asciiTheme="majorHAnsi" w:eastAsia="Times New Roman" w:hAnsiTheme="majorHAnsi" w:cstheme="majorHAnsi"/>
                <w:b/>
                <w:bCs/>
                <w:color w:val="000000"/>
                <w:lang w:val="ro-MD"/>
              </w:rPr>
            </w:pPr>
            <w:r w:rsidRPr="00401691">
              <w:rPr>
                <w:rFonts w:asciiTheme="majorHAnsi" w:eastAsia="Times New Roman" w:hAnsiTheme="majorHAnsi" w:cstheme="majorHAnsi"/>
                <w:b/>
                <w:bCs/>
                <w:color w:val="000000"/>
                <w:lang w:val="ro-MD"/>
              </w:rPr>
              <w:t>P</w:t>
            </w:r>
            <w:r w:rsidR="008A4309">
              <w:rPr>
                <w:rFonts w:asciiTheme="majorHAnsi" w:eastAsia="Times New Roman" w:hAnsiTheme="majorHAnsi" w:cstheme="majorHAnsi"/>
                <w:b/>
                <w:bCs/>
                <w:color w:val="000000"/>
                <w:lang w:val="ro-MD"/>
              </w:rPr>
              <w:t>lanul</w:t>
            </w:r>
            <w:r w:rsidR="007635D5" w:rsidRPr="00401691">
              <w:rPr>
                <w:rFonts w:asciiTheme="majorHAnsi" w:eastAsia="Times New Roman" w:hAnsiTheme="majorHAnsi" w:cstheme="majorHAnsi"/>
                <w:b/>
                <w:bCs/>
                <w:color w:val="000000"/>
                <w:lang w:val="ro-MD"/>
              </w:rPr>
              <w:t xml:space="preserve"> precizat </w:t>
            </w:r>
            <w:r w:rsidRPr="00401691">
              <w:rPr>
                <w:rFonts w:asciiTheme="majorHAnsi" w:eastAsia="Times New Roman" w:hAnsiTheme="majorHAnsi" w:cstheme="majorHAnsi"/>
                <w:b/>
                <w:bCs/>
                <w:color w:val="000000"/>
                <w:lang w:val="ro-MD"/>
              </w:rPr>
              <w:t>pe anul 2019</w:t>
            </w:r>
          </w:p>
        </w:tc>
        <w:tc>
          <w:tcPr>
            <w:tcW w:w="1440" w:type="dxa"/>
            <w:shd w:val="clear" w:color="auto" w:fill="BFBFBF" w:themeFill="background1" w:themeFillShade="BF"/>
          </w:tcPr>
          <w:p w:rsidR="000A10B5" w:rsidRPr="00401691" w:rsidRDefault="007635D5" w:rsidP="00844145">
            <w:pPr>
              <w:spacing w:line="276" w:lineRule="auto"/>
              <w:jc w:val="center"/>
              <w:rPr>
                <w:rFonts w:asciiTheme="majorHAnsi" w:eastAsia="Times New Roman" w:hAnsiTheme="majorHAnsi" w:cstheme="majorHAnsi"/>
                <w:b/>
                <w:bCs/>
                <w:color w:val="000000"/>
                <w:lang w:val="ro-MD"/>
              </w:rPr>
            </w:pPr>
            <w:r w:rsidRPr="00401691">
              <w:rPr>
                <w:rFonts w:asciiTheme="majorHAnsi" w:eastAsia="Times New Roman" w:hAnsiTheme="majorHAnsi" w:cstheme="majorHAnsi"/>
                <w:b/>
                <w:bCs/>
                <w:color w:val="000000"/>
                <w:lang w:val="ro-MD"/>
              </w:rPr>
              <w:t>E</w:t>
            </w:r>
            <w:r w:rsidR="000A10B5" w:rsidRPr="00401691">
              <w:rPr>
                <w:rFonts w:asciiTheme="majorHAnsi" w:eastAsia="Times New Roman" w:hAnsiTheme="majorHAnsi" w:cstheme="majorHAnsi"/>
                <w:b/>
                <w:bCs/>
                <w:color w:val="000000"/>
                <w:lang w:val="ro-MD"/>
              </w:rPr>
              <w:t>xecut</w:t>
            </w:r>
            <w:r w:rsidRPr="00401691">
              <w:rPr>
                <w:rFonts w:asciiTheme="majorHAnsi" w:eastAsia="Times New Roman" w:hAnsiTheme="majorHAnsi" w:cstheme="majorHAnsi"/>
                <w:b/>
                <w:bCs/>
                <w:color w:val="000000"/>
                <w:lang w:val="ro-MD"/>
              </w:rPr>
              <w:t>at</w:t>
            </w:r>
            <w:r w:rsidR="000A10B5" w:rsidRPr="00401691">
              <w:rPr>
                <w:rFonts w:asciiTheme="majorHAnsi" w:eastAsia="Times New Roman" w:hAnsiTheme="majorHAnsi" w:cstheme="majorHAnsi"/>
                <w:b/>
                <w:bCs/>
                <w:color w:val="000000"/>
                <w:lang w:val="ro-MD"/>
              </w:rPr>
              <w:t xml:space="preserve"> </w:t>
            </w:r>
            <w:r w:rsidRPr="00401691">
              <w:rPr>
                <w:rFonts w:asciiTheme="majorHAnsi" w:eastAsia="Times New Roman" w:hAnsiTheme="majorHAnsi" w:cstheme="majorHAnsi"/>
                <w:b/>
                <w:bCs/>
                <w:color w:val="000000"/>
                <w:lang w:val="ro-MD"/>
              </w:rPr>
              <w:t>pe anul 2019</w:t>
            </w:r>
          </w:p>
        </w:tc>
        <w:tc>
          <w:tcPr>
            <w:tcW w:w="2340" w:type="dxa"/>
            <w:gridSpan w:val="2"/>
            <w:shd w:val="clear" w:color="auto" w:fill="BFBFBF" w:themeFill="background1" w:themeFillShade="BF"/>
          </w:tcPr>
          <w:p w:rsidR="000A10B5" w:rsidRPr="00401691" w:rsidRDefault="000A10B5" w:rsidP="00844145">
            <w:pPr>
              <w:spacing w:line="276" w:lineRule="auto"/>
              <w:jc w:val="center"/>
              <w:rPr>
                <w:rFonts w:asciiTheme="majorHAnsi" w:eastAsia="Times New Roman" w:hAnsiTheme="majorHAnsi" w:cstheme="majorHAnsi"/>
                <w:b/>
                <w:bCs/>
                <w:color w:val="000000"/>
                <w:lang w:val="ro-MD"/>
              </w:rPr>
            </w:pPr>
            <w:r w:rsidRPr="00401691">
              <w:rPr>
                <w:rFonts w:asciiTheme="majorHAnsi" w:eastAsia="Times New Roman" w:hAnsiTheme="majorHAnsi" w:cstheme="majorHAnsi"/>
                <w:b/>
                <w:bCs/>
                <w:color w:val="000000"/>
                <w:lang w:val="ro-MD"/>
              </w:rPr>
              <w:t xml:space="preserve">Nivelul executării planului </w:t>
            </w:r>
            <w:r w:rsidR="008A4309">
              <w:rPr>
                <w:rFonts w:asciiTheme="majorHAnsi" w:eastAsia="Times New Roman" w:hAnsiTheme="majorHAnsi" w:cstheme="majorHAnsi"/>
                <w:b/>
                <w:bCs/>
                <w:color w:val="000000"/>
                <w:lang w:val="ro-MD"/>
              </w:rPr>
              <w:t>pe anul</w:t>
            </w:r>
            <w:r w:rsidRPr="00401691">
              <w:rPr>
                <w:rFonts w:asciiTheme="majorHAnsi" w:eastAsia="Times New Roman" w:hAnsiTheme="majorHAnsi" w:cstheme="majorHAnsi"/>
                <w:b/>
                <w:bCs/>
                <w:color w:val="000000"/>
                <w:lang w:val="ro-MD"/>
              </w:rPr>
              <w:t xml:space="preserve"> 2019</w:t>
            </w:r>
          </w:p>
          <w:p w:rsidR="000A10B5" w:rsidRPr="00401691" w:rsidRDefault="000A10B5" w:rsidP="00844145">
            <w:pPr>
              <w:spacing w:line="276" w:lineRule="auto"/>
              <w:jc w:val="center"/>
              <w:rPr>
                <w:rFonts w:asciiTheme="majorHAnsi" w:eastAsia="Times New Roman" w:hAnsiTheme="majorHAnsi" w:cstheme="majorHAnsi"/>
                <w:b/>
                <w:bCs/>
                <w:color w:val="000000"/>
                <w:lang w:val="ro-MD"/>
              </w:rPr>
            </w:pPr>
          </w:p>
        </w:tc>
      </w:tr>
      <w:tr w:rsidR="000A10B5" w:rsidRPr="00401691" w:rsidTr="00825439">
        <w:trPr>
          <w:trHeight w:val="350"/>
        </w:trPr>
        <w:tc>
          <w:tcPr>
            <w:tcW w:w="4855" w:type="dxa"/>
            <w:vAlign w:val="bottom"/>
          </w:tcPr>
          <w:p w:rsidR="000A10B5" w:rsidRPr="008A73A0" w:rsidRDefault="00B97B14" w:rsidP="008A73A0">
            <w:pPr>
              <w:spacing w:line="276" w:lineRule="auto"/>
              <w:jc w:val="center"/>
              <w:rPr>
                <w:rFonts w:asciiTheme="majorHAnsi" w:eastAsia="Times New Roman" w:hAnsiTheme="majorHAnsi" w:cstheme="majorHAnsi"/>
                <w:i/>
                <w:iCs/>
                <w:color w:val="000000"/>
                <w:sz w:val="18"/>
                <w:szCs w:val="18"/>
                <w:lang w:val="ro-MD"/>
              </w:rPr>
            </w:pPr>
            <w:r w:rsidRPr="008A73A0">
              <w:rPr>
                <w:rFonts w:asciiTheme="majorHAnsi" w:eastAsia="Times New Roman" w:hAnsiTheme="majorHAnsi" w:cstheme="majorHAnsi"/>
                <w:i/>
                <w:iCs/>
                <w:color w:val="000000"/>
                <w:sz w:val="18"/>
                <w:szCs w:val="18"/>
                <w:lang w:val="ro-MD"/>
              </w:rPr>
              <w:t>1</w:t>
            </w:r>
          </w:p>
        </w:tc>
        <w:tc>
          <w:tcPr>
            <w:tcW w:w="1530" w:type="dxa"/>
            <w:vAlign w:val="bottom"/>
          </w:tcPr>
          <w:p w:rsidR="000A10B5" w:rsidRPr="008A73A0" w:rsidRDefault="00B97B14" w:rsidP="008A73A0">
            <w:pPr>
              <w:spacing w:line="276" w:lineRule="auto"/>
              <w:jc w:val="center"/>
              <w:rPr>
                <w:rFonts w:asciiTheme="majorHAnsi" w:eastAsia="Times New Roman" w:hAnsiTheme="majorHAnsi" w:cstheme="majorHAnsi"/>
                <w:i/>
                <w:iCs/>
                <w:color w:val="000000"/>
                <w:sz w:val="18"/>
                <w:szCs w:val="18"/>
                <w:lang w:val="ro-MD"/>
              </w:rPr>
            </w:pPr>
            <w:r w:rsidRPr="008A73A0">
              <w:rPr>
                <w:rFonts w:asciiTheme="majorHAnsi" w:eastAsia="Times New Roman" w:hAnsiTheme="majorHAnsi" w:cstheme="majorHAnsi"/>
                <w:i/>
                <w:iCs/>
                <w:color w:val="000000"/>
                <w:sz w:val="18"/>
                <w:szCs w:val="18"/>
                <w:lang w:val="ro-MD"/>
              </w:rPr>
              <w:t>2</w:t>
            </w:r>
          </w:p>
        </w:tc>
        <w:tc>
          <w:tcPr>
            <w:tcW w:w="1440" w:type="dxa"/>
            <w:vAlign w:val="bottom"/>
          </w:tcPr>
          <w:p w:rsidR="000A10B5" w:rsidRPr="008A73A0" w:rsidRDefault="00B97B14" w:rsidP="008A73A0">
            <w:pPr>
              <w:spacing w:line="276" w:lineRule="auto"/>
              <w:jc w:val="center"/>
              <w:rPr>
                <w:rFonts w:asciiTheme="majorHAnsi" w:eastAsia="Times New Roman" w:hAnsiTheme="majorHAnsi" w:cstheme="majorHAnsi"/>
                <w:i/>
                <w:iCs/>
                <w:color w:val="000000"/>
                <w:sz w:val="18"/>
                <w:szCs w:val="18"/>
                <w:lang w:val="ro-MD"/>
              </w:rPr>
            </w:pPr>
            <w:r w:rsidRPr="008A73A0">
              <w:rPr>
                <w:rFonts w:asciiTheme="majorHAnsi" w:eastAsia="Times New Roman" w:hAnsiTheme="majorHAnsi" w:cstheme="majorHAnsi"/>
                <w:i/>
                <w:iCs/>
                <w:color w:val="000000"/>
                <w:sz w:val="18"/>
                <w:szCs w:val="18"/>
                <w:lang w:val="ro-MD"/>
              </w:rPr>
              <w:t>3</w:t>
            </w:r>
          </w:p>
        </w:tc>
        <w:tc>
          <w:tcPr>
            <w:tcW w:w="1170" w:type="dxa"/>
            <w:vAlign w:val="bottom"/>
          </w:tcPr>
          <w:p w:rsidR="000A10B5" w:rsidRPr="008A73A0" w:rsidRDefault="00B97B14" w:rsidP="008A73A0">
            <w:pPr>
              <w:spacing w:line="276" w:lineRule="auto"/>
              <w:jc w:val="center"/>
              <w:rPr>
                <w:rFonts w:asciiTheme="majorHAnsi" w:eastAsia="Times New Roman" w:hAnsiTheme="majorHAnsi" w:cstheme="majorHAnsi"/>
                <w:i/>
                <w:iCs/>
                <w:color w:val="000000"/>
                <w:sz w:val="18"/>
                <w:szCs w:val="18"/>
                <w:lang w:val="ro-MD"/>
              </w:rPr>
            </w:pPr>
            <w:r w:rsidRPr="008A73A0">
              <w:rPr>
                <w:rFonts w:asciiTheme="majorHAnsi" w:eastAsia="Times New Roman" w:hAnsiTheme="majorHAnsi" w:cstheme="majorHAnsi"/>
                <w:i/>
                <w:iCs/>
                <w:color w:val="000000"/>
                <w:sz w:val="18"/>
                <w:szCs w:val="18"/>
                <w:lang w:val="ro-MD"/>
              </w:rPr>
              <w:t>4</w:t>
            </w:r>
            <w:r w:rsidR="000A10B5" w:rsidRPr="008A73A0">
              <w:rPr>
                <w:rFonts w:asciiTheme="majorHAnsi" w:eastAsia="Times New Roman" w:hAnsiTheme="majorHAnsi" w:cstheme="majorHAnsi"/>
                <w:i/>
                <w:iCs/>
                <w:color w:val="000000"/>
                <w:sz w:val="18"/>
                <w:szCs w:val="18"/>
                <w:lang w:val="ro-MD"/>
              </w:rPr>
              <w:t>=-</w:t>
            </w:r>
            <w:r w:rsidRPr="008A73A0">
              <w:rPr>
                <w:rFonts w:asciiTheme="majorHAnsi" w:eastAsia="Times New Roman" w:hAnsiTheme="majorHAnsi" w:cstheme="majorHAnsi"/>
                <w:i/>
                <w:iCs/>
                <w:color w:val="000000"/>
                <w:sz w:val="18"/>
                <w:szCs w:val="18"/>
                <w:lang w:val="ro-MD"/>
              </w:rPr>
              <w:t>3-2</w:t>
            </w:r>
            <w:r w:rsidR="000A10B5" w:rsidRPr="008A73A0">
              <w:rPr>
                <w:rFonts w:asciiTheme="majorHAnsi" w:eastAsia="Times New Roman" w:hAnsiTheme="majorHAnsi" w:cstheme="majorHAnsi"/>
                <w:i/>
                <w:iCs/>
                <w:color w:val="000000"/>
                <w:sz w:val="18"/>
                <w:szCs w:val="18"/>
                <w:lang w:val="ro-MD"/>
              </w:rPr>
              <w:t xml:space="preserve"> (+;-)</w:t>
            </w:r>
          </w:p>
        </w:tc>
        <w:tc>
          <w:tcPr>
            <w:tcW w:w="1170" w:type="dxa"/>
            <w:vAlign w:val="bottom"/>
          </w:tcPr>
          <w:p w:rsidR="000A10B5" w:rsidRPr="008A73A0" w:rsidRDefault="00B97B14" w:rsidP="008A73A0">
            <w:pPr>
              <w:spacing w:line="276" w:lineRule="auto"/>
              <w:ind w:right="-21"/>
              <w:jc w:val="center"/>
              <w:rPr>
                <w:rFonts w:asciiTheme="majorHAnsi" w:eastAsia="Times New Roman" w:hAnsiTheme="majorHAnsi" w:cstheme="majorHAnsi"/>
                <w:i/>
                <w:iCs/>
                <w:color w:val="000000"/>
                <w:sz w:val="18"/>
                <w:szCs w:val="18"/>
                <w:lang w:val="ro-MD"/>
              </w:rPr>
            </w:pPr>
            <w:r w:rsidRPr="008A73A0">
              <w:rPr>
                <w:rFonts w:asciiTheme="majorHAnsi" w:eastAsia="Times New Roman" w:hAnsiTheme="majorHAnsi" w:cstheme="majorHAnsi"/>
                <w:i/>
                <w:iCs/>
                <w:color w:val="000000"/>
                <w:sz w:val="18"/>
                <w:szCs w:val="18"/>
                <w:lang w:val="ro-MD"/>
              </w:rPr>
              <w:t>5= 3/2*100</w:t>
            </w:r>
            <w:r w:rsidR="008A73A0" w:rsidRPr="008A73A0">
              <w:rPr>
                <w:rFonts w:asciiTheme="majorHAnsi" w:eastAsia="Times New Roman" w:hAnsiTheme="majorHAnsi" w:cstheme="majorHAnsi"/>
                <w:i/>
                <w:iCs/>
                <w:color w:val="000000"/>
                <w:sz w:val="18"/>
                <w:szCs w:val="18"/>
                <w:lang w:val="ro-MD"/>
              </w:rPr>
              <w:t>%</w:t>
            </w:r>
          </w:p>
        </w:tc>
      </w:tr>
      <w:tr w:rsidR="000A10B5" w:rsidRPr="00401691" w:rsidTr="00825439">
        <w:tc>
          <w:tcPr>
            <w:tcW w:w="4855" w:type="dxa"/>
          </w:tcPr>
          <w:p w:rsidR="000A10B5" w:rsidRPr="00825439" w:rsidRDefault="000A10B5" w:rsidP="00844145">
            <w:pPr>
              <w:spacing w:line="276" w:lineRule="auto"/>
              <w:rPr>
                <w:rFonts w:eastAsia="Times New Roman" w:cstheme="minorHAnsi"/>
                <w:color w:val="000000"/>
                <w:sz w:val="18"/>
                <w:szCs w:val="18"/>
                <w:lang w:val="ro-MD"/>
              </w:rPr>
            </w:pPr>
            <w:r w:rsidRPr="00825439">
              <w:rPr>
                <w:rFonts w:eastAsia="Times New Roman" w:cstheme="minorHAnsi"/>
                <w:color w:val="000000"/>
                <w:sz w:val="18"/>
                <w:szCs w:val="18"/>
                <w:lang w:val="ro-MD"/>
              </w:rPr>
              <w:t>Impozitul pe venit (TOTAL)</w:t>
            </w:r>
          </w:p>
        </w:tc>
        <w:tc>
          <w:tcPr>
            <w:tcW w:w="1530" w:type="dxa"/>
          </w:tcPr>
          <w:p w:rsidR="000A10B5" w:rsidRPr="00825439" w:rsidRDefault="000A10B5" w:rsidP="00844145">
            <w:pPr>
              <w:spacing w:line="276" w:lineRule="auto"/>
              <w:jc w:val="right"/>
              <w:rPr>
                <w:rFonts w:eastAsia="Times New Roman" w:cstheme="minorHAnsi"/>
                <w:color w:val="000000"/>
                <w:sz w:val="18"/>
                <w:szCs w:val="18"/>
                <w:lang w:val="ro-MD"/>
              </w:rPr>
            </w:pPr>
            <w:r w:rsidRPr="00825439">
              <w:rPr>
                <w:rFonts w:eastAsia="Times New Roman" w:cstheme="minorHAnsi"/>
                <w:color w:val="000000"/>
                <w:sz w:val="18"/>
                <w:szCs w:val="18"/>
                <w:lang w:val="ro-MD"/>
              </w:rPr>
              <w:t>6961900.0</w:t>
            </w:r>
          </w:p>
        </w:tc>
        <w:tc>
          <w:tcPr>
            <w:tcW w:w="1440" w:type="dxa"/>
          </w:tcPr>
          <w:p w:rsidR="000A10B5" w:rsidRPr="00825439" w:rsidRDefault="000A10B5" w:rsidP="00844145">
            <w:pPr>
              <w:spacing w:line="276" w:lineRule="auto"/>
              <w:jc w:val="right"/>
              <w:rPr>
                <w:rFonts w:eastAsia="Times New Roman" w:cstheme="minorHAnsi"/>
                <w:color w:val="000000"/>
                <w:sz w:val="18"/>
                <w:szCs w:val="18"/>
                <w:lang w:val="ro-MD"/>
              </w:rPr>
            </w:pPr>
            <w:r w:rsidRPr="00825439">
              <w:rPr>
                <w:rFonts w:eastAsia="Times New Roman" w:cstheme="minorHAnsi"/>
                <w:color w:val="000000"/>
                <w:sz w:val="18"/>
                <w:szCs w:val="18"/>
                <w:lang w:val="ro-MD"/>
              </w:rPr>
              <w:t>6923161.0</w:t>
            </w:r>
          </w:p>
        </w:tc>
        <w:tc>
          <w:tcPr>
            <w:tcW w:w="1170" w:type="dxa"/>
          </w:tcPr>
          <w:p w:rsidR="000A10B5" w:rsidRPr="00825439" w:rsidRDefault="000A10B5" w:rsidP="00844145">
            <w:pPr>
              <w:spacing w:line="276" w:lineRule="auto"/>
              <w:jc w:val="right"/>
              <w:rPr>
                <w:rFonts w:eastAsia="Times New Roman" w:cstheme="minorHAnsi"/>
                <w:color w:val="000000"/>
                <w:sz w:val="18"/>
                <w:szCs w:val="18"/>
                <w:lang w:val="ro-MD"/>
              </w:rPr>
            </w:pPr>
            <w:r w:rsidRPr="00825439">
              <w:rPr>
                <w:rFonts w:eastAsia="Times New Roman" w:cstheme="minorHAnsi"/>
                <w:color w:val="000000"/>
                <w:sz w:val="18"/>
                <w:szCs w:val="18"/>
                <w:lang w:val="ro-MD"/>
              </w:rPr>
              <w:t>-38739.0</w:t>
            </w:r>
          </w:p>
        </w:tc>
        <w:tc>
          <w:tcPr>
            <w:tcW w:w="1170" w:type="dxa"/>
          </w:tcPr>
          <w:p w:rsidR="000A10B5" w:rsidRPr="00825439" w:rsidRDefault="000A10B5" w:rsidP="00844145">
            <w:pPr>
              <w:spacing w:line="276" w:lineRule="auto"/>
              <w:jc w:val="right"/>
              <w:rPr>
                <w:rFonts w:eastAsia="Times New Roman" w:cstheme="minorHAnsi"/>
                <w:color w:val="000000"/>
                <w:sz w:val="18"/>
                <w:szCs w:val="18"/>
                <w:lang w:val="ro-MD"/>
              </w:rPr>
            </w:pPr>
            <w:r w:rsidRPr="00825439">
              <w:rPr>
                <w:rFonts w:eastAsia="Times New Roman" w:cstheme="minorHAnsi"/>
                <w:color w:val="000000"/>
                <w:sz w:val="18"/>
                <w:szCs w:val="18"/>
                <w:lang w:val="ro-MD"/>
              </w:rPr>
              <w:t>99.4</w:t>
            </w:r>
          </w:p>
        </w:tc>
      </w:tr>
      <w:tr w:rsidR="000A10B5" w:rsidRPr="00401691" w:rsidTr="00825439">
        <w:tc>
          <w:tcPr>
            <w:tcW w:w="4855" w:type="dxa"/>
          </w:tcPr>
          <w:p w:rsidR="000A10B5" w:rsidRPr="00825439" w:rsidRDefault="000A10B5" w:rsidP="00844145">
            <w:pPr>
              <w:spacing w:line="276" w:lineRule="auto"/>
              <w:rPr>
                <w:rFonts w:eastAsia="Times New Roman" w:cstheme="minorHAnsi"/>
                <w:color w:val="000000"/>
                <w:sz w:val="18"/>
                <w:szCs w:val="18"/>
                <w:lang w:val="ro-MD"/>
              </w:rPr>
            </w:pPr>
            <w:r w:rsidRPr="00825439">
              <w:rPr>
                <w:rFonts w:eastAsia="Times New Roman" w:cstheme="minorHAnsi"/>
                <w:color w:val="000000"/>
                <w:sz w:val="18"/>
                <w:szCs w:val="18"/>
                <w:lang w:val="ro-MD"/>
              </w:rPr>
              <w:t>Impozite pe proprietate</w:t>
            </w:r>
          </w:p>
        </w:tc>
        <w:tc>
          <w:tcPr>
            <w:tcW w:w="1530" w:type="dxa"/>
          </w:tcPr>
          <w:p w:rsidR="000A10B5" w:rsidRPr="00825439" w:rsidRDefault="000A10B5" w:rsidP="00844145">
            <w:pPr>
              <w:spacing w:line="276" w:lineRule="auto"/>
              <w:jc w:val="right"/>
              <w:rPr>
                <w:rFonts w:eastAsia="Times New Roman" w:cstheme="minorHAnsi"/>
                <w:color w:val="000000"/>
                <w:sz w:val="18"/>
                <w:szCs w:val="18"/>
                <w:lang w:val="ro-MD"/>
              </w:rPr>
            </w:pPr>
            <w:r w:rsidRPr="00825439">
              <w:rPr>
                <w:rFonts w:eastAsia="Times New Roman" w:cstheme="minorHAnsi"/>
                <w:color w:val="000000"/>
                <w:sz w:val="18"/>
                <w:szCs w:val="18"/>
                <w:lang w:val="ro-MD"/>
              </w:rPr>
              <w:t>52000.0</w:t>
            </w:r>
          </w:p>
        </w:tc>
        <w:tc>
          <w:tcPr>
            <w:tcW w:w="1440" w:type="dxa"/>
          </w:tcPr>
          <w:p w:rsidR="000A10B5" w:rsidRPr="00825439" w:rsidRDefault="000A10B5" w:rsidP="00844145">
            <w:pPr>
              <w:spacing w:line="276" w:lineRule="auto"/>
              <w:jc w:val="right"/>
              <w:rPr>
                <w:rFonts w:eastAsia="Times New Roman" w:cstheme="minorHAnsi"/>
                <w:color w:val="000000"/>
                <w:sz w:val="18"/>
                <w:szCs w:val="18"/>
                <w:lang w:val="ro-MD"/>
              </w:rPr>
            </w:pPr>
            <w:r w:rsidRPr="00825439">
              <w:rPr>
                <w:rFonts w:eastAsia="Times New Roman" w:cstheme="minorHAnsi"/>
                <w:color w:val="000000"/>
                <w:sz w:val="18"/>
                <w:szCs w:val="18"/>
                <w:lang w:val="ro-MD"/>
              </w:rPr>
              <w:t>50820.3</w:t>
            </w:r>
          </w:p>
        </w:tc>
        <w:tc>
          <w:tcPr>
            <w:tcW w:w="1170" w:type="dxa"/>
          </w:tcPr>
          <w:p w:rsidR="000A10B5" w:rsidRPr="00825439" w:rsidRDefault="000A10B5" w:rsidP="00844145">
            <w:pPr>
              <w:spacing w:line="276" w:lineRule="auto"/>
              <w:jc w:val="right"/>
              <w:rPr>
                <w:rFonts w:eastAsia="Times New Roman" w:cstheme="minorHAnsi"/>
                <w:color w:val="000000"/>
                <w:sz w:val="18"/>
                <w:szCs w:val="18"/>
                <w:lang w:val="ro-MD"/>
              </w:rPr>
            </w:pPr>
            <w:r w:rsidRPr="00825439">
              <w:rPr>
                <w:rFonts w:eastAsia="Times New Roman" w:cstheme="minorHAnsi"/>
                <w:color w:val="000000"/>
                <w:sz w:val="18"/>
                <w:szCs w:val="18"/>
                <w:lang w:val="ro-MD"/>
              </w:rPr>
              <w:t>-1179.7</w:t>
            </w:r>
          </w:p>
        </w:tc>
        <w:tc>
          <w:tcPr>
            <w:tcW w:w="1170" w:type="dxa"/>
          </w:tcPr>
          <w:p w:rsidR="000A10B5" w:rsidRPr="00825439" w:rsidRDefault="000A10B5" w:rsidP="00844145">
            <w:pPr>
              <w:spacing w:line="276" w:lineRule="auto"/>
              <w:jc w:val="right"/>
              <w:rPr>
                <w:rFonts w:eastAsia="Times New Roman" w:cstheme="minorHAnsi"/>
                <w:color w:val="000000"/>
                <w:sz w:val="18"/>
                <w:szCs w:val="18"/>
                <w:lang w:val="ro-MD"/>
              </w:rPr>
            </w:pPr>
            <w:r w:rsidRPr="00825439">
              <w:rPr>
                <w:rFonts w:eastAsia="Times New Roman" w:cstheme="minorHAnsi"/>
                <w:color w:val="000000"/>
                <w:sz w:val="18"/>
                <w:szCs w:val="18"/>
                <w:lang w:val="ro-MD"/>
              </w:rPr>
              <w:t>97.7</w:t>
            </w:r>
          </w:p>
        </w:tc>
      </w:tr>
      <w:tr w:rsidR="000A10B5" w:rsidRPr="00401691" w:rsidTr="00825439">
        <w:tc>
          <w:tcPr>
            <w:tcW w:w="4855" w:type="dxa"/>
          </w:tcPr>
          <w:p w:rsidR="000A10B5" w:rsidRPr="00825439" w:rsidRDefault="000A10B5" w:rsidP="00844145">
            <w:pPr>
              <w:spacing w:line="276" w:lineRule="auto"/>
              <w:rPr>
                <w:rFonts w:eastAsia="Times New Roman" w:cstheme="minorHAnsi"/>
                <w:color w:val="000000"/>
                <w:sz w:val="18"/>
                <w:szCs w:val="18"/>
                <w:lang w:val="ro-MD"/>
              </w:rPr>
            </w:pPr>
            <w:r w:rsidRPr="00825439">
              <w:rPr>
                <w:rFonts w:eastAsia="Times New Roman" w:cstheme="minorHAnsi"/>
                <w:color w:val="000000"/>
                <w:sz w:val="18"/>
                <w:szCs w:val="18"/>
                <w:lang w:val="ro-MD"/>
              </w:rPr>
              <w:t>Taxa pe valoarea adăugată</w:t>
            </w:r>
          </w:p>
        </w:tc>
        <w:tc>
          <w:tcPr>
            <w:tcW w:w="1530" w:type="dxa"/>
          </w:tcPr>
          <w:p w:rsidR="000A10B5" w:rsidRPr="00825439" w:rsidRDefault="000A10B5" w:rsidP="00844145">
            <w:pPr>
              <w:spacing w:line="276" w:lineRule="auto"/>
              <w:jc w:val="right"/>
              <w:rPr>
                <w:rFonts w:eastAsia="Times New Roman" w:cstheme="minorHAnsi"/>
                <w:color w:val="000000"/>
                <w:sz w:val="18"/>
                <w:szCs w:val="18"/>
                <w:lang w:val="ro-MD"/>
              </w:rPr>
            </w:pPr>
            <w:r w:rsidRPr="00825439">
              <w:rPr>
                <w:rFonts w:eastAsia="Times New Roman" w:cstheme="minorHAnsi"/>
                <w:color w:val="000000"/>
                <w:sz w:val="18"/>
                <w:szCs w:val="18"/>
                <w:lang w:val="ro-MD"/>
              </w:rPr>
              <w:t>7657600.0</w:t>
            </w:r>
          </w:p>
        </w:tc>
        <w:tc>
          <w:tcPr>
            <w:tcW w:w="1440" w:type="dxa"/>
          </w:tcPr>
          <w:p w:rsidR="000A10B5" w:rsidRPr="00825439" w:rsidRDefault="000A10B5" w:rsidP="00844145">
            <w:pPr>
              <w:spacing w:line="276" w:lineRule="auto"/>
              <w:jc w:val="right"/>
              <w:rPr>
                <w:rFonts w:eastAsia="Times New Roman" w:cstheme="minorHAnsi"/>
                <w:color w:val="000000"/>
                <w:sz w:val="18"/>
                <w:szCs w:val="18"/>
                <w:lang w:val="ro-MD"/>
              </w:rPr>
            </w:pPr>
            <w:r w:rsidRPr="00825439">
              <w:rPr>
                <w:rFonts w:eastAsia="Times New Roman" w:cstheme="minorHAnsi"/>
                <w:color w:val="000000"/>
                <w:sz w:val="18"/>
                <w:szCs w:val="18"/>
                <w:lang w:val="ro-MD"/>
              </w:rPr>
              <w:t>7546797.4</w:t>
            </w:r>
          </w:p>
        </w:tc>
        <w:tc>
          <w:tcPr>
            <w:tcW w:w="1170" w:type="dxa"/>
          </w:tcPr>
          <w:p w:rsidR="000A10B5" w:rsidRPr="00825439" w:rsidRDefault="000A10B5" w:rsidP="00844145">
            <w:pPr>
              <w:spacing w:line="276" w:lineRule="auto"/>
              <w:jc w:val="right"/>
              <w:rPr>
                <w:rFonts w:eastAsia="Times New Roman" w:cstheme="minorHAnsi"/>
                <w:color w:val="000000"/>
                <w:sz w:val="18"/>
                <w:szCs w:val="18"/>
                <w:lang w:val="ro-MD"/>
              </w:rPr>
            </w:pPr>
            <w:r w:rsidRPr="00825439">
              <w:rPr>
                <w:rFonts w:eastAsia="Times New Roman" w:cstheme="minorHAnsi"/>
                <w:color w:val="000000"/>
                <w:sz w:val="18"/>
                <w:szCs w:val="18"/>
                <w:lang w:val="ro-MD"/>
              </w:rPr>
              <w:t>-110802.6</w:t>
            </w:r>
          </w:p>
        </w:tc>
        <w:tc>
          <w:tcPr>
            <w:tcW w:w="1170" w:type="dxa"/>
          </w:tcPr>
          <w:p w:rsidR="000A10B5" w:rsidRPr="00825439" w:rsidRDefault="000A10B5" w:rsidP="00844145">
            <w:pPr>
              <w:spacing w:line="276" w:lineRule="auto"/>
              <w:jc w:val="right"/>
              <w:rPr>
                <w:rFonts w:eastAsia="Times New Roman" w:cstheme="minorHAnsi"/>
                <w:color w:val="000000"/>
                <w:sz w:val="18"/>
                <w:szCs w:val="18"/>
                <w:lang w:val="ro-MD"/>
              </w:rPr>
            </w:pPr>
            <w:r w:rsidRPr="00825439">
              <w:rPr>
                <w:rFonts w:eastAsia="Times New Roman" w:cstheme="minorHAnsi"/>
                <w:color w:val="000000"/>
                <w:sz w:val="18"/>
                <w:szCs w:val="18"/>
                <w:lang w:val="ro-MD"/>
              </w:rPr>
              <w:t>98.6</w:t>
            </w:r>
          </w:p>
        </w:tc>
      </w:tr>
      <w:tr w:rsidR="000A10B5" w:rsidRPr="00401691" w:rsidTr="00825439">
        <w:tc>
          <w:tcPr>
            <w:tcW w:w="4855" w:type="dxa"/>
          </w:tcPr>
          <w:p w:rsidR="000A10B5" w:rsidRPr="00825439" w:rsidRDefault="000A10B5" w:rsidP="00844145">
            <w:pPr>
              <w:spacing w:line="276" w:lineRule="auto"/>
              <w:rPr>
                <w:rFonts w:eastAsia="Times New Roman" w:cstheme="minorHAnsi"/>
                <w:color w:val="000000"/>
                <w:sz w:val="18"/>
                <w:szCs w:val="18"/>
                <w:lang w:val="ro-MD"/>
              </w:rPr>
            </w:pPr>
            <w:r w:rsidRPr="00825439">
              <w:rPr>
                <w:rFonts w:eastAsia="Times New Roman" w:cstheme="minorHAnsi"/>
                <w:color w:val="000000"/>
                <w:sz w:val="18"/>
                <w:szCs w:val="18"/>
                <w:lang w:val="ro-MD"/>
              </w:rPr>
              <w:t>Accize</w:t>
            </w:r>
          </w:p>
        </w:tc>
        <w:tc>
          <w:tcPr>
            <w:tcW w:w="1530" w:type="dxa"/>
          </w:tcPr>
          <w:p w:rsidR="000A10B5" w:rsidRPr="00825439" w:rsidRDefault="000A10B5" w:rsidP="00844145">
            <w:pPr>
              <w:spacing w:line="276" w:lineRule="auto"/>
              <w:jc w:val="right"/>
              <w:rPr>
                <w:rFonts w:eastAsia="Times New Roman" w:cstheme="minorHAnsi"/>
                <w:color w:val="000000"/>
                <w:sz w:val="18"/>
                <w:szCs w:val="18"/>
                <w:lang w:val="ro-MD"/>
              </w:rPr>
            </w:pPr>
            <w:r w:rsidRPr="00825439">
              <w:rPr>
                <w:rFonts w:eastAsia="Times New Roman" w:cstheme="minorHAnsi"/>
                <w:color w:val="000000"/>
                <w:sz w:val="18"/>
                <w:szCs w:val="18"/>
                <w:lang w:val="ro-MD"/>
              </w:rPr>
              <w:t>531026.0</w:t>
            </w:r>
          </w:p>
        </w:tc>
        <w:tc>
          <w:tcPr>
            <w:tcW w:w="1440" w:type="dxa"/>
          </w:tcPr>
          <w:p w:rsidR="000A10B5" w:rsidRPr="00825439" w:rsidRDefault="000A10B5" w:rsidP="00844145">
            <w:pPr>
              <w:spacing w:line="276" w:lineRule="auto"/>
              <w:jc w:val="right"/>
              <w:rPr>
                <w:rFonts w:eastAsia="Times New Roman" w:cstheme="minorHAnsi"/>
                <w:color w:val="000000"/>
                <w:sz w:val="18"/>
                <w:szCs w:val="18"/>
                <w:lang w:val="ro-MD"/>
              </w:rPr>
            </w:pPr>
            <w:r w:rsidRPr="00825439">
              <w:rPr>
                <w:rFonts w:eastAsia="Times New Roman" w:cstheme="minorHAnsi"/>
                <w:color w:val="000000"/>
                <w:sz w:val="18"/>
                <w:szCs w:val="18"/>
                <w:lang w:val="ro-MD"/>
              </w:rPr>
              <w:t>553234.5</w:t>
            </w:r>
          </w:p>
        </w:tc>
        <w:tc>
          <w:tcPr>
            <w:tcW w:w="1170" w:type="dxa"/>
          </w:tcPr>
          <w:p w:rsidR="000A10B5" w:rsidRPr="00825439" w:rsidRDefault="000A10B5" w:rsidP="00844145">
            <w:pPr>
              <w:spacing w:line="276" w:lineRule="auto"/>
              <w:jc w:val="right"/>
              <w:rPr>
                <w:rFonts w:eastAsia="Times New Roman" w:cstheme="minorHAnsi"/>
                <w:color w:val="000000"/>
                <w:sz w:val="18"/>
                <w:szCs w:val="18"/>
                <w:lang w:val="ro-MD"/>
              </w:rPr>
            </w:pPr>
            <w:r w:rsidRPr="00825439">
              <w:rPr>
                <w:rFonts w:eastAsia="Times New Roman" w:cstheme="minorHAnsi"/>
                <w:color w:val="000000"/>
                <w:sz w:val="18"/>
                <w:szCs w:val="18"/>
                <w:lang w:val="ro-MD"/>
              </w:rPr>
              <w:t>22208.5</w:t>
            </w:r>
          </w:p>
        </w:tc>
        <w:tc>
          <w:tcPr>
            <w:tcW w:w="1170" w:type="dxa"/>
          </w:tcPr>
          <w:p w:rsidR="000A10B5" w:rsidRPr="00825439" w:rsidRDefault="000A10B5" w:rsidP="00844145">
            <w:pPr>
              <w:spacing w:line="276" w:lineRule="auto"/>
              <w:jc w:val="right"/>
              <w:rPr>
                <w:rFonts w:eastAsia="Times New Roman" w:cstheme="minorHAnsi"/>
                <w:color w:val="000000"/>
                <w:sz w:val="18"/>
                <w:szCs w:val="18"/>
                <w:lang w:val="ro-MD"/>
              </w:rPr>
            </w:pPr>
            <w:r w:rsidRPr="00825439">
              <w:rPr>
                <w:rFonts w:eastAsia="Times New Roman" w:cstheme="minorHAnsi"/>
                <w:color w:val="000000"/>
                <w:sz w:val="18"/>
                <w:szCs w:val="18"/>
                <w:lang w:val="ro-MD"/>
              </w:rPr>
              <w:t>104.2</w:t>
            </w:r>
          </w:p>
        </w:tc>
      </w:tr>
      <w:tr w:rsidR="000A10B5" w:rsidRPr="00401691" w:rsidTr="00825439">
        <w:tc>
          <w:tcPr>
            <w:tcW w:w="4855" w:type="dxa"/>
          </w:tcPr>
          <w:p w:rsidR="000A10B5" w:rsidRPr="00825439" w:rsidRDefault="000A10B5" w:rsidP="00844145">
            <w:pPr>
              <w:spacing w:line="276" w:lineRule="auto"/>
              <w:rPr>
                <w:rFonts w:eastAsia="Times New Roman" w:cstheme="minorHAnsi"/>
                <w:color w:val="000000"/>
                <w:sz w:val="18"/>
                <w:szCs w:val="18"/>
                <w:lang w:val="ro-MD"/>
              </w:rPr>
            </w:pPr>
            <w:r w:rsidRPr="00825439">
              <w:rPr>
                <w:rFonts w:eastAsia="Times New Roman" w:cstheme="minorHAnsi"/>
                <w:color w:val="000000"/>
                <w:sz w:val="18"/>
                <w:szCs w:val="18"/>
                <w:lang w:val="ro-MD"/>
              </w:rPr>
              <w:t>Taxe pentru servicii specifice</w:t>
            </w:r>
          </w:p>
        </w:tc>
        <w:tc>
          <w:tcPr>
            <w:tcW w:w="1530" w:type="dxa"/>
          </w:tcPr>
          <w:p w:rsidR="000A10B5" w:rsidRPr="00825439" w:rsidRDefault="000A10B5" w:rsidP="00844145">
            <w:pPr>
              <w:spacing w:line="276" w:lineRule="auto"/>
              <w:jc w:val="right"/>
              <w:rPr>
                <w:rFonts w:eastAsia="Times New Roman" w:cstheme="minorHAnsi"/>
                <w:color w:val="000000"/>
                <w:sz w:val="18"/>
                <w:szCs w:val="18"/>
                <w:lang w:val="ro-MD"/>
              </w:rPr>
            </w:pPr>
            <w:r w:rsidRPr="00825439">
              <w:rPr>
                <w:rFonts w:eastAsia="Times New Roman" w:cstheme="minorHAnsi"/>
                <w:color w:val="000000"/>
                <w:sz w:val="18"/>
                <w:szCs w:val="18"/>
                <w:lang w:val="ro-MD"/>
              </w:rPr>
              <w:t>250.0</w:t>
            </w:r>
          </w:p>
        </w:tc>
        <w:tc>
          <w:tcPr>
            <w:tcW w:w="1440" w:type="dxa"/>
          </w:tcPr>
          <w:p w:rsidR="000A10B5" w:rsidRPr="00825439" w:rsidRDefault="000A10B5" w:rsidP="00844145">
            <w:pPr>
              <w:spacing w:line="276" w:lineRule="auto"/>
              <w:jc w:val="right"/>
              <w:rPr>
                <w:rFonts w:eastAsia="Times New Roman" w:cstheme="minorHAnsi"/>
                <w:color w:val="000000"/>
                <w:sz w:val="18"/>
                <w:szCs w:val="18"/>
                <w:lang w:val="ro-MD"/>
              </w:rPr>
            </w:pPr>
            <w:r w:rsidRPr="00825439">
              <w:rPr>
                <w:rFonts w:eastAsia="Times New Roman" w:cstheme="minorHAnsi"/>
                <w:color w:val="000000"/>
                <w:sz w:val="18"/>
                <w:szCs w:val="18"/>
                <w:lang w:val="ro-MD"/>
              </w:rPr>
              <w:t>177.8</w:t>
            </w:r>
          </w:p>
        </w:tc>
        <w:tc>
          <w:tcPr>
            <w:tcW w:w="1170" w:type="dxa"/>
          </w:tcPr>
          <w:p w:rsidR="000A10B5" w:rsidRPr="00825439" w:rsidRDefault="000A10B5" w:rsidP="00844145">
            <w:pPr>
              <w:spacing w:line="276" w:lineRule="auto"/>
              <w:jc w:val="right"/>
              <w:rPr>
                <w:rFonts w:eastAsia="Times New Roman" w:cstheme="minorHAnsi"/>
                <w:color w:val="000000"/>
                <w:sz w:val="18"/>
                <w:szCs w:val="18"/>
                <w:lang w:val="ro-MD"/>
              </w:rPr>
            </w:pPr>
            <w:r w:rsidRPr="00825439">
              <w:rPr>
                <w:rFonts w:eastAsia="Times New Roman" w:cstheme="minorHAnsi"/>
                <w:color w:val="000000"/>
                <w:sz w:val="18"/>
                <w:szCs w:val="18"/>
                <w:lang w:val="ro-MD"/>
              </w:rPr>
              <w:t>-72.2</w:t>
            </w:r>
          </w:p>
        </w:tc>
        <w:tc>
          <w:tcPr>
            <w:tcW w:w="1170" w:type="dxa"/>
          </w:tcPr>
          <w:p w:rsidR="000A10B5" w:rsidRPr="00825439" w:rsidRDefault="000A10B5" w:rsidP="00844145">
            <w:pPr>
              <w:spacing w:line="276" w:lineRule="auto"/>
              <w:jc w:val="right"/>
              <w:rPr>
                <w:rFonts w:eastAsia="Times New Roman" w:cstheme="minorHAnsi"/>
                <w:color w:val="000000"/>
                <w:sz w:val="18"/>
                <w:szCs w:val="18"/>
                <w:lang w:val="ro-MD"/>
              </w:rPr>
            </w:pPr>
            <w:r w:rsidRPr="00825439">
              <w:rPr>
                <w:rFonts w:eastAsia="Times New Roman" w:cstheme="minorHAnsi"/>
                <w:color w:val="000000"/>
                <w:sz w:val="18"/>
                <w:szCs w:val="18"/>
                <w:lang w:val="ro-MD"/>
              </w:rPr>
              <w:t>71.1</w:t>
            </w:r>
          </w:p>
        </w:tc>
      </w:tr>
      <w:tr w:rsidR="000A10B5" w:rsidRPr="00401691" w:rsidTr="00825439">
        <w:tc>
          <w:tcPr>
            <w:tcW w:w="4855" w:type="dxa"/>
          </w:tcPr>
          <w:p w:rsidR="000A10B5" w:rsidRPr="00825439" w:rsidRDefault="000A10B5" w:rsidP="00844145">
            <w:pPr>
              <w:spacing w:line="276" w:lineRule="auto"/>
              <w:rPr>
                <w:rFonts w:eastAsia="Times New Roman" w:cstheme="minorHAnsi"/>
                <w:color w:val="000000"/>
                <w:sz w:val="18"/>
                <w:szCs w:val="18"/>
                <w:lang w:val="ro-MD"/>
              </w:rPr>
            </w:pPr>
            <w:r w:rsidRPr="00825439">
              <w:rPr>
                <w:rFonts w:eastAsia="Times New Roman" w:cstheme="minorHAnsi"/>
                <w:color w:val="000000"/>
                <w:sz w:val="18"/>
                <w:szCs w:val="18"/>
                <w:lang w:val="ro-MD"/>
              </w:rPr>
              <w:t xml:space="preserve">Taxe </w:t>
            </w:r>
            <w:proofErr w:type="spellStart"/>
            <w:r w:rsidRPr="00825439">
              <w:rPr>
                <w:rFonts w:eastAsia="Times New Roman" w:cstheme="minorHAnsi"/>
                <w:color w:val="000000"/>
                <w:sz w:val="18"/>
                <w:szCs w:val="18"/>
                <w:lang w:val="ro-MD"/>
              </w:rPr>
              <w:t>şi</w:t>
            </w:r>
            <w:proofErr w:type="spellEnd"/>
            <w:r w:rsidRPr="00825439">
              <w:rPr>
                <w:rFonts w:eastAsia="Times New Roman" w:cstheme="minorHAnsi"/>
                <w:color w:val="000000"/>
                <w:sz w:val="18"/>
                <w:szCs w:val="18"/>
                <w:lang w:val="ro-MD"/>
              </w:rPr>
              <w:t xml:space="preserve"> </w:t>
            </w:r>
            <w:proofErr w:type="spellStart"/>
            <w:r w:rsidRPr="00825439">
              <w:rPr>
                <w:rFonts w:eastAsia="Times New Roman" w:cstheme="minorHAnsi"/>
                <w:color w:val="000000"/>
                <w:sz w:val="18"/>
                <w:szCs w:val="18"/>
                <w:lang w:val="ro-MD"/>
              </w:rPr>
              <w:t>plăţi</w:t>
            </w:r>
            <w:proofErr w:type="spellEnd"/>
            <w:r w:rsidRPr="00825439">
              <w:rPr>
                <w:rFonts w:eastAsia="Times New Roman" w:cstheme="minorHAnsi"/>
                <w:color w:val="000000"/>
                <w:sz w:val="18"/>
                <w:szCs w:val="18"/>
                <w:lang w:val="ro-MD"/>
              </w:rPr>
              <w:t xml:space="preserve"> pentru utilizarea mărfurilor </w:t>
            </w:r>
            <w:proofErr w:type="spellStart"/>
            <w:r w:rsidRPr="00825439">
              <w:rPr>
                <w:rFonts w:eastAsia="Times New Roman" w:cstheme="minorHAnsi"/>
                <w:color w:val="000000"/>
                <w:sz w:val="18"/>
                <w:szCs w:val="18"/>
                <w:lang w:val="ro-MD"/>
              </w:rPr>
              <w:t>şi</w:t>
            </w:r>
            <w:proofErr w:type="spellEnd"/>
            <w:r w:rsidRPr="00825439">
              <w:rPr>
                <w:rFonts w:eastAsia="Times New Roman" w:cstheme="minorHAnsi"/>
                <w:color w:val="000000"/>
                <w:sz w:val="18"/>
                <w:szCs w:val="18"/>
                <w:lang w:val="ro-MD"/>
              </w:rPr>
              <w:t xml:space="preserve"> pentru practicarea unor genuri de activitate</w:t>
            </w:r>
          </w:p>
        </w:tc>
        <w:tc>
          <w:tcPr>
            <w:tcW w:w="1530" w:type="dxa"/>
          </w:tcPr>
          <w:p w:rsidR="000A10B5" w:rsidRPr="00825439" w:rsidRDefault="000A10B5" w:rsidP="00844145">
            <w:pPr>
              <w:spacing w:line="276" w:lineRule="auto"/>
              <w:jc w:val="right"/>
              <w:rPr>
                <w:rFonts w:eastAsia="Times New Roman" w:cstheme="minorHAnsi"/>
                <w:color w:val="000000"/>
                <w:sz w:val="18"/>
                <w:szCs w:val="18"/>
                <w:lang w:val="ro-MD"/>
              </w:rPr>
            </w:pPr>
            <w:r w:rsidRPr="00825439">
              <w:rPr>
                <w:rFonts w:eastAsia="Times New Roman" w:cstheme="minorHAnsi"/>
                <w:color w:val="000000"/>
                <w:sz w:val="18"/>
                <w:szCs w:val="18"/>
                <w:lang w:val="ro-MD"/>
              </w:rPr>
              <w:t>388035.9</w:t>
            </w:r>
          </w:p>
        </w:tc>
        <w:tc>
          <w:tcPr>
            <w:tcW w:w="1440" w:type="dxa"/>
          </w:tcPr>
          <w:p w:rsidR="000A10B5" w:rsidRPr="00825439" w:rsidRDefault="000A10B5" w:rsidP="00844145">
            <w:pPr>
              <w:spacing w:line="276" w:lineRule="auto"/>
              <w:jc w:val="right"/>
              <w:rPr>
                <w:rFonts w:eastAsia="Times New Roman" w:cstheme="minorHAnsi"/>
                <w:color w:val="000000"/>
                <w:sz w:val="18"/>
                <w:szCs w:val="18"/>
                <w:lang w:val="ro-MD"/>
              </w:rPr>
            </w:pPr>
            <w:r w:rsidRPr="00825439">
              <w:rPr>
                <w:rFonts w:eastAsia="Times New Roman" w:cstheme="minorHAnsi"/>
                <w:color w:val="000000"/>
                <w:sz w:val="18"/>
                <w:szCs w:val="18"/>
                <w:lang w:val="ro-MD"/>
              </w:rPr>
              <w:t>397812.2</w:t>
            </w:r>
          </w:p>
        </w:tc>
        <w:tc>
          <w:tcPr>
            <w:tcW w:w="1170" w:type="dxa"/>
          </w:tcPr>
          <w:p w:rsidR="000A10B5" w:rsidRPr="00825439" w:rsidRDefault="000A10B5" w:rsidP="00844145">
            <w:pPr>
              <w:spacing w:line="276" w:lineRule="auto"/>
              <w:jc w:val="right"/>
              <w:rPr>
                <w:rFonts w:eastAsia="Times New Roman" w:cstheme="minorHAnsi"/>
                <w:color w:val="000000"/>
                <w:sz w:val="18"/>
                <w:szCs w:val="18"/>
                <w:lang w:val="ro-MD"/>
              </w:rPr>
            </w:pPr>
            <w:r w:rsidRPr="00825439">
              <w:rPr>
                <w:rFonts w:eastAsia="Times New Roman" w:cstheme="minorHAnsi"/>
                <w:color w:val="000000"/>
                <w:sz w:val="18"/>
                <w:szCs w:val="18"/>
                <w:lang w:val="ro-MD"/>
              </w:rPr>
              <w:t>9776.3</w:t>
            </w:r>
          </w:p>
        </w:tc>
        <w:tc>
          <w:tcPr>
            <w:tcW w:w="1170" w:type="dxa"/>
          </w:tcPr>
          <w:p w:rsidR="000A10B5" w:rsidRPr="00825439" w:rsidRDefault="000A10B5" w:rsidP="00844145">
            <w:pPr>
              <w:spacing w:line="276" w:lineRule="auto"/>
              <w:jc w:val="right"/>
              <w:rPr>
                <w:rFonts w:eastAsia="Times New Roman" w:cstheme="minorHAnsi"/>
                <w:color w:val="000000"/>
                <w:sz w:val="18"/>
                <w:szCs w:val="18"/>
                <w:lang w:val="ro-MD"/>
              </w:rPr>
            </w:pPr>
            <w:r w:rsidRPr="00825439">
              <w:rPr>
                <w:rFonts w:eastAsia="Times New Roman" w:cstheme="minorHAnsi"/>
                <w:color w:val="000000"/>
                <w:sz w:val="18"/>
                <w:szCs w:val="18"/>
                <w:lang w:val="ro-MD"/>
              </w:rPr>
              <w:t>102.5</w:t>
            </w:r>
          </w:p>
        </w:tc>
      </w:tr>
      <w:tr w:rsidR="000A10B5" w:rsidRPr="00401691" w:rsidTr="00825439">
        <w:tc>
          <w:tcPr>
            <w:tcW w:w="4855" w:type="dxa"/>
          </w:tcPr>
          <w:p w:rsidR="000A10B5" w:rsidRPr="00825439" w:rsidRDefault="000A10B5" w:rsidP="00844145">
            <w:pPr>
              <w:spacing w:line="276" w:lineRule="auto"/>
              <w:rPr>
                <w:rFonts w:eastAsia="Times New Roman" w:cstheme="minorHAnsi"/>
                <w:color w:val="000000"/>
                <w:sz w:val="18"/>
                <w:szCs w:val="18"/>
                <w:lang w:val="ro-MD"/>
              </w:rPr>
            </w:pPr>
            <w:r w:rsidRPr="00825439">
              <w:rPr>
                <w:rFonts w:eastAsia="Times New Roman" w:cstheme="minorHAnsi"/>
                <w:color w:val="000000"/>
                <w:sz w:val="18"/>
                <w:szCs w:val="18"/>
                <w:lang w:val="ro-MD"/>
              </w:rPr>
              <w:t>Taxa pentru folosirea drumurilor</w:t>
            </w:r>
          </w:p>
        </w:tc>
        <w:tc>
          <w:tcPr>
            <w:tcW w:w="1530" w:type="dxa"/>
          </w:tcPr>
          <w:p w:rsidR="000A10B5" w:rsidRPr="00825439" w:rsidRDefault="000A10B5" w:rsidP="00844145">
            <w:pPr>
              <w:spacing w:line="276" w:lineRule="auto"/>
              <w:jc w:val="right"/>
              <w:rPr>
                <w:rFonts w:eastAsia="Times New Roman" w:cstheme="minorHAnsi"/>
                <w:color w:val="000000"/>
                <w:sz w:val="18"/>
                <w:szCs w:val="18"/>
                <w:lang w:val="ro-MD"/>
              </w:rPr>
            </w:pPr>
            <w:r w:rsidRPr="00825439">
              <w:rPr>
                <w:rFonts w:eastAsia="Times New Roman" w:cstheme="minorHAnsi"/>
                <w:color w:val="000000"/>
                <w:sz w:val="18"/>
                <w:szCs w:val="18"/>
                <w:lang w:val="ro-MD"/>
              </w:rPr>
              <w:t>904495.0</w:t>
            </w:r>
          </w:p>
        </w:tc>
        <w:tc>
          <w:tcPr>
            <w:tcW w:w="1440" w:type="dxa"/>
          </w:tcPr>
          <w:p w:rsidR="000A10B5" w:rsidRPr="00825439" w:rsidRDefault="000A10B5" w:rsidP="00844145">
            <w:pPr>
              <w:spacing w:line="276" w:lineRule="auto"/>
              <w:jc w:val="right"/>
              <w:rPr>
                <w:rFonts w:eastAsia="Times New Roman" w:cstheme="minorHAnsi"/>
                <w:color w:val="000000"/>
                <w:sz w:val="18"/>
                <w:szCs w:val="18"/>
                <w:lang w:val="ro-MD"/>
              </w:rPr>
            </w:pPr>
            <w:r w:rsidRPr="00825439">
              <w:rPr>
                <w:rFonts w:eastAsia="Times New Roman" w:cstheme="minorHAnsi"/>
                <w:color w:val="000000"/>
                <w:sz w:val="18"/>
                <w:szCs w:val="18"/>
                <w:lang w:val="ro-MD"/>
              </w:rPr>
              <w:t>947967.9</w:t>
            </w:r>
          </w:p>
        </w:tc>
        <w:tc>
          <w:tcPr>
            <w:tcW w:w="1170" w:type="dxa"/>
          </w:tcPr>
          <w:p w:rsidR="000A10B5" w:rsidRPr="00825439" w:rsidRDefault="000A10B5" w:rsidP="00844145">
            <w:pPr>
              <w:spacing w:line="276" w:lineRule="auto"/>
              <w:jc w:val="right"/>
              <w:rPr>
                <w:rFonts w:eastAsia="Times New Roman" w:cstheme="minorHAnsi"/>
                <w:color w:val="000000"/>
                <w:sz w:val="18"/>
                <w:szCs w:val="18"/>
                <w:lang w:val="ro-MD"/>
              </w:rPr>
            </w:pPr>
            <w:r w:rsidRPr="00825439">
              <w:rPr>
                <w:rFonts w:eastAsia="Times New Roman" w:cstheme="minorHAnsi"/>
                <w:color w:val="000000"/>
                <w:sz w:val="18"/>
                <w:szCs w:val="18"/>
                <w:lang w:val="ro-MD"/>
              </w:rPr>
              <w:t>43472.9</w:t>
            </w:r>
          </w:p>
        </w:tc>
        <w:tc>
          <w:tcPr>
            <w:tcW w:w="1170" w:type="dxa"/>
          </w:tcPr>
          <w:p w:rsidR="000A10B5" w:rsidRPr="00825439" w:rsidRDefault="000A10B5" w:rsidP="00844145">
            <w:pPr>
              <w:spacing w:line="276" w:lineRule="auto"/>
              <w:jc w:val="right"/>
              <w:rPr>
                <w:rFonts w:eastAsia="Times New Roman" w:cstheme="minorHAnsi"/>
                <w:color w:val="000000"/>
                <w:sz w:val="18"/>
                <w:szCs w:val="18"/>
                <w:lang w:val="ro-MD"/>
              </w:rPr>
            </w:pPr>
            <w:r w:rsidRPr="00825439">
              <w:rPr>
                <w:rFonts w:eastAsia="Times New Roman" w:cstheme="minorHAnsi"/>
                <w:color w:val="000000"/>
                <w:sz w:val="18"/>
                <w:szCs w:val="18"/>
                <w:lang w:val="ro-MD"/>
              </w:rPr>
              <w:t>104.8</w:t>
            </w:r>
          </w:p>
        </w:tc>
      </w:tr>
      <w:tr w:rsidR="000A10B5" w:rsidRPr="00401691" w:rsidTr="00825439">
        <w:tc>
          <w:tcPr>
            <w:tcW w:w="4855" w:type="dxa"/>
          </w:tcPr>
          <w:p w:rsidR="000A10B5" w:rsidRPr="00825439" w:rsidRDefault="000A10B5" w:rsidP="00844145">
            <w:pPr>
              <w:spacing w:line="276" w:lineRule="auto"/>
              <w:rPr>
                <w:rFonts w:eastAsia="Times New Roman" w:cstheme="minorHAnsi"/>
                <w:color w:val="000000"/>
                <w:sz w:val="18"/>
                <w:szCs w:val="18"/>
                <w:lang w:val="ro-MD"/>
              </w:rPr>
            </w:pPr>
            <w:r w:rsidRPr="00825439">
              <w:rPr>
                <w:rFonts w:eastAsia="Times New Roman" w:cstheme="minorHAnsi"/>
                <w:color w:val="000000"/>
                <w:sz w:val="18"/>
                <w:szCs w:val="18"/>
                <w:lang w:val="ro-MD"/>
              </w:rPr>
              <w:t>Dividende primite</w:t>
            </w:r>
          </w:p>
        </w:tc>
        <w:tc>
          <w:tcPr>
            <w:tcW w:w="1530" w:type="dxa"/>
          </w:tcPr>
          <w:p w:rsidR="000A10B5" w:rsidRPr="00825439" w:rsidRDefault="000A10B5" w:rsidP="00844145">
            <w:pPr>
              <w:spacing w:line="276" w:lineRule="auto"/>
              <w:jc w:val="right"/>
              <w:rPr>
                <w:rFonts w:eastAsia="Times New Roman" w:cstheme="minorHAnsi"/>
                <w:color w:val="000000"/>
                <w:sz w:val="18"/>
                <w:szCs w:val="18"/>
                <w:lang w:val="ro-MD"/>
              </w:rPr>
            </w:pPr>
            <w:r w:rsidRPr="00825439">
              <w:rPr>
                <w:rFonts w:eastAsia="Times New Roman" w:cstheme="minorHAnsi"/>
                <w:color w:val="000000"/>
                <w:sz w:val="18"/>
                <w:szCs w:val="18"/>
                <w:lang w:val="ro-MD"/>
              </w:rPr>
              <w:t>131270.0</w:t>
            </w:r>
          </w:p>
        </w:tc>
        <w:tc>
          <w:tcPr>
            <w:tcW w:w="1440" w:type="dxa"/>
          </w:tcPr>
          <w:p w:rsidR="000A10B5" w:rsidRPr="00825439" w:rsidRDefault="000A10B5" w:rsidP="00844145">
            <w:pPr>
              <w:spacing w:line="276" w:lineRule="auto"/>
              <w:jc w:val="right"/>
              <w:rPr>
                <w:rFonts w:eastAsia="Times New Roman" w:cstheme="minorHAnsi"/>
                <w:color w:val="000000"/>
                <w:sz w:val="18"/>
                <w:szCs w:val="18"/>
                <w:lang w:val="ro-MD"/>
              </w:rPr>
            </w:pPr>
            <w:r w:rsidRPr="00825439">
              <w:rPr>
                <w:rFonts w:eastAsia="Times New Roman" w:cstheme="minorHAnsi"/>
                <w:color w:val="000000"/>
                <w:sz w:val="18"/>
                <w:szCs w:val="18"/>
                <w:lang w:val="ro-MD"/>
              </w:rPr>
              <w:t>137511.5</w:t>
            </w:r>
          </w:p>
        </w:tc>
        <w:tc>
          <w:tcPr>
            <w:tcW w:w="1170" w:type="dxa"/>
          </w:tcPr>
          <w:p w:rsidR="000A10B5" w:rsidRPr="00825439" w:rsidRDefault="000A10B5" w:rsidP="00844145">
            <w:pPr>
              <w:spacing w:line="276" w:lineRule="auto"/>
              <w:jc w:val="right"/>
              <w:rPr>
                <w:rFonts w:eastAsia="Times New Roman" w:cstheme="minorHAnsi"/>
                <w:color w:val="000000"/>
                <w:sz w:val="18"/>
                <w:szCs w:val="18"/>
                <w:lang w:val="ro-MD"/>
              </w:rPr>
            </w:pPr>
            <w:r w:rsidRPr="00825439">
              <w:rPr>
                <w:rFonts w:eastAsia="Times New Roman" w:cstheme="minorHAnsi"/>
                <w:color w:val="000000"/>
                <w:sz w:val="18"/>
                <w:szCs w:val="18"/>
                <w:lang w:val="ro-MD"/>
              </w:rPr>
              <w:t>6241.5</w:t>
            </w:r>
          </w:p>
        </w:tc>
        <w:tc>
          <w:tcPr>
            <w:tcW w:w="1170" w:type="dxa"/>
          </w:tcPr>
          <w:p w:rsidR="000A10B5" w:rsidRPr="00825439" w:rsidRDefault="000A10B5" w:rsidP="00844145">
            <w:pPr>
              <w:spacing w:line="276" w:lineRule="auto"/>
              <w:jc w:val="right"/>
              <w:rPr>
                <w:rFonts w:eastAsia="Times New Roman" w:cstheme="minorHAnsi"/>
                <w:color w:val="000000"/>
                <w:sz w:val="18"/>
                <w:szCs w:val="18"/>
                <w:lang w:val="ro-MD"/>
              </w:rPr>
            </w:pPr>
            <w:r w:rsidRPr="00825439">
              <w:rPr>
                <w:rFonts w:eastAsia="Times New Roman" w:cstheme="minorHAnsi"/>
                <w:color w:val="000000"/>
                <w:sz w:val="18"/>
                <w:szCs w:val="18"/>
                <w:lang w:val="ro-MD"/>
              </w:rPr>
              <w:t>104.8</w:t>
            </w:r>
          </w:p>
        </w:tc>
      </w:tr>
      <w:tr w:rsidR="000A10B5" w:rsidRPr="00401691" w:rsidTr="00825439">
        <w:tc>
          <w:tcPr>
            <w:tcW w:w="4855" w:type="dxa"/>
          </w:tcPr>
          <w:p w:rsidR="000A10B5" w:rsidRPr="00825439" w:rsidRDefault="000A10B5" w:rsidP="00844145">
            <w:pPr>
              <w:spacing w:line="276" w:lineRule="auto"/>
              <w:rPr>
                <w:rFonts w:eastAsia="Times New Roman" w:cstheme="minorHAnsi"/>
                <w:color w:val="000000"/>
                <w:sz w:val="18"/>
                <w:szCs w:val="18"/>
                <w:lang w:val="ro-MD"/>
              </w:rPr>
            </w:pPr>
            <w:r w:rsidRPr="00825439">
              <w:rPr>
                <w:rFonts w:eastAsia="Times New Roman" w:cstheme="minorHAnsi"/>
                <w:color w:val="000000"/>
                <w:sz w:val="18"/>
                <w:szCs w:val="18"/>
                <w:lang w:val="ro-MD"/>
              </w:rPr>
              <w:t xml:space="preserve"> Renta</w:t>
            </w:r>
          </w:p>
        </w:tc>
        <w:tc>
          <w:tcPr>
            <w:tcW w:w="1530" w:type="dxa"/>
          </w:tcPr>
          <w:p w:rsidR="000A10B5" w:rsidRPr="00825439" w:rsidRDefault="000A10B5" w:rsidP="00844145">
            <w:pPr>
              <w:spacing w:line="276" w:lineRule="auto"/>
              <w:jc w:val="right"/>
              <w:rPr>
                <w:rFonts w:eastAsia="Times New Roman" w:cstheme="minorHAnsi"/>
                <w:color w:val="000000"/>
                <w:sz w:val="18"/>
                <w:szCs w:val="18"/>
                <w:lang w:val="ro-MD"/>
              </w:rPr>
            </w:pPr>
            <w:r w:rsidRPr="00825439">
              <w:rPr>
                <w:rFonts w:eastAsia="Times New Roman" w:cstheme="minorHAnsi"/>
                <w:color w:val="000000"/>
                <w:sz w:val="18"/>
                <w:szCs w:val="18"/>
                <w:lang w:val="ro-MD"/>
              </w:rPr>
              <w:t>639.7</w:t>
            </w:r>
          </w:p>
        </w:tc>
        <w:tc>
          <w:tcPr>
            <w:tcW w:w="1440" w:type="dxa"/>
          </w:tcPr>
          <w:p w:rsidR="000A10B5" w:rsidRPr="00825439" w:rsidRDefault="000A10B5" w:rsidP="00844145">
            <w:pPr>
              <w:spacing w:line="276" w:lineRule="auto"/>
              <w:jc w:val="right"/>
              <w:rPr>
                <w:rFonts w:eastAsia="Times New Roman" w:cstheme="minorHAnsi"/>
                <w:color w:val="000000"/>
                <w:sz w:val="18"/>
                <w:szCs w:val="18"/>
                <w:lang w:val="ro-MD"/>
              </w:rPr>
            </w:pPr>
            <w:r w:rsidRPr="00825439">
              <w:rPr>
                <w:rFonts w:eastAsia="Times New Roman" w:cstheme="minorHAnsi"/>
                <w:color w:val="000000"/>
                <w:sz w:val="18"/>
                <w:szCs w:val="18"/>
                <w:lang w:val="ro-MD"/>
              </w:rPr>
              <w:t>251.5</w:t>
            </w:r>
          </w:p>
        </w:tc>
        <w:tc>
          <w:tcPr>
            <w:tcW w:w="1170" w:type="dxa"/>
          </w:tcPr>
          <w:p w:rsidR="000A10B5" w:rsidRPr="00825439" w:rsidRDefault="000A10B5" w:rsidP="00844145">
            <w:pPr>
              <w:spacing w:line="276" w:lineRule="auto"/>
              <w:jc w:val="right"/>
              <w:rPr>
                <w:rFonts w:eastAsia="Times New Roman" w:cstheme="minorHAnsi"/>
                <w:color w:val="000000"/>
                <w:sz w:val="18"/>
                <w:szCs w:val="18"/>
                <w:lang w:val="ro-MD"/>
              </w:rPr>
            </w:pPr>
            <w:r w:rsidRPr="00825439">
              <w:rPr>
                <w:rFonts w:eastAsia="Times New Roman" w:cstheme="minorHAnsi"/>
                <w:color w:val="000000"/>
                <w:sz w:val="18"/>
                <w:szCs w:val="18"/>
                <w:lang w:val="ro-MD"/>
              </w:rPr>
              <w:t>-388.2</w:t>
            </w:r>
          </w:p>
        </w:tc>
        <w:tc>
          <w:tcPr>
            <w:tcW w:w="1170" w:type="dxa"/>
          </w:tcPr>
          <w:p w:rsidR="000A10B5" w:rsidRPr="00825439" w:rsidRDefault="000A10B5" w:rsidP="00844145">
            <w:pPr>
              <w:spacing w:line="276" w:lineRule="auto"/>
              <w:jc w:val="right"/>
              <w:rPr>
                <w:rFonts w:eastAsia="Times New Roman" w:cstheme="minorHAnsi"/>
                <w:color w:val="000000"/>
                <w:sz w:val="18"/>
                <w:szCs w:val="18"/>
                <w:lang w:val="ro-MD"/>
              </w:rPr>
            </w:pPr>
            <w:r w:rsidRPr="00825439">
              <w:rPr>
                <w:rFonts w:eastAsia="Times New Roman" w:cstheme="minorHAnsi"/>
                <w:color w:val="000000"/>
                <w:sz w:val="18"/>
                <w:szCs w:val="18"/>
                <w:lang w:val="ro-MD"/>
              </w:rPr>
              <w:t>39.3</w:t>
            </w:r>
          </w:p>
        </w:tc>
      </w:tr>
      <w:tr w:rsidR="000A10B5" w:rsidRPr="00401691" w:rsidTr="00825439">
        <w:tc>
          <w:tcPr>
            <w:tcW w:w="4855" w:type="dxa"/>
          </w:tcPr>
          <w:p w:rsidR="000A10B5" w:rsidRPr="00825439" w:rsidRDefault="000A10B5" w:rsidP="00844145">
            <w:pPr>
              <w:spacing w:line="276" w:lineRule="auto"/>
              <w:rPr>
                <w:rFonts w:eastAsia="Times New Roman" w:cstheme="minorHAnsi"/>
                <w:color w:val="000000"/>
                <w:sz w:val="18"/>
                <w:szCs w:val="18"/>
                <w:lang w:val="ro-MD"/>
              </w:rPr>
            </w:pPr>
            <w:r w:rsidRPr="00825439">
              <w:rPr>
                <w:rFonts w:eastAsia="Times New Roman" w:cstheme="minorHAnsi"/>
                <w:color w:val="000000"/>
                <w:sz w:val="18"/>
                <w:szCs w:val="18"/>
                <w:lang w:val="ro-MD"/>
              </w:rPr>
              <w:t>Venituri din v</w:t>
            </w:r>
            <w:r w:rsidR="000649B1">
              <w:rPr>
                <w:rFonts w:eastAsia="Times New Roman" w:cstheme="minorHAnsi"/>
                <w:color w:val="000000"/>
                <w:sz w:val="18"/>
                <w:szCs w:val="18"/>
                <w:lang w:val="ro-MD"/>
              </w:rPr>
              <w:t>â</w:t>
            </w:r>
            <w:r w:rsidRPr="00825439">
              <w:rPr>
                <w:rFonts w:eastAsia="Times New Roman" w:cstheme="minorHAnsi"/>
                <w:color w:val="000000"/>
                <w:sz w:val="18"/>
                <w:szCs w:val="18"/>
                <w:lang w:val="ro-MD"/>
              </w:rPr>
              <w:t xml:space="preserve">nzarea mărfurilor și serviciilor </w:t>
            </w:r>
          </w:p>
        </w:tc>
        <w:tc>
          <w:tcPr>
            <w:tcW w:w="1530" w:type="dxa"/>
          </w:tcPr>
          <w:p w:rsidR="000A10B5" w:rsidRPr="00825439" w:rsidRDefault="000A10B5" w:rsidP="00844145">
            <w:pPr>
              <w:spacing w:line="276" w:lineRule="auto"/>
              <w:jc w:val="right"/>
              <w:rPr>
                <w:rFonts w:eastAsia="Times New Roman" w:cstheme="minorHAnsi"/>
                <w:color w:val="000000"/>
                <w:sz w:val="18"/>
                <w:szCs w:val="18"/>
                <w:lang w:val="ro-MD"/>
              </w:rPr>
            </w:pPr>
            <w:r w:rsidRPr="00825439">
              <w:rPr>
                <w:rFonts w:eastAsia="Times New Roman" w:cstheme="minorHAnsi"/>
                <w:color w:val="000000"/>
                <w:sz w:val="18"/>
                <w:szCs w:val="18"/>
                <w:lang w:val="ro-MD"/>
              </w:rPr>
              <w:t>208950.0</w:t>
            </w:r>
          </w:p>
        </w:tc>
        <w:tc>
          <w:tcPr>
            <w:tcW w:w="1440" w:type="dxa"/>
          </w:tcPr>
          <w:p w:rsidR="000A10B5" w:rsidRPr="00825439" w:rsidRDefault="000A10B5" w:rsidP="00844145">
            <w:pPr>
              <w:spacing w:line="276" w:lineRule="auto"/>
              <w:jc w:val="right"/>
              <w:rPr>
                <w:rFonts w:eastAsia="Times New Roman" w:cstheme="minorHAnsi"/>
                <w:color w:val="000000"/>
                <w:sz w:val="18"/>
                <w:szCs w:val="18"/>
                <w:lang w:val="ro-MD"/>
              </w:rPr>
            </w:pPr>
            <w:r w:rsidRPr="00825439">
              <w:rPr>
                <w:rFonts w:eastAsia="Times New Roman" w:cstheme="minorHAnsi"/>
                <w:color w:val="000000"/>
                <w:sz w:val="18"/>
                <w:szCs w:val="18"/>
                <w:lang w:val="ro-MD"/>
              </w:rPr>
              <w:t>251051.8</w:t>
            </w:r>
          </w:p>
        </w:tc>
        <w:tc>
          <w:tcPr>
            <w:tcW w:w="1170" w:type="dxa"/>
          </w:tcPr>
          <w:p w:rsidR="000A10B5" w:rsidRPr="00825439" w:rsidRDefault="000A10B5" w:rsidP="00844145">
            <w:pPr>
              <w:spacing w:line="276" w:lineRule="auto"/>
              <w:jc w:val="right"/>
              <w:rPr>
                <w:rFonts w:eastAsia="Times New Roman" w:cstheme="minorHAnsi"/>
                <w:color w:val="000000"/>
                <w:sz w:val="18"/>
                <w:szCs w:val="18"/>
                <w:lang w:val="ro-MD"/>
              </w:rPr>
            </w:pPr>
            <w:r w:rsidRPr="00825439">
              <w:rPr>
                <w:rFonts w:eastAsia="Times New Roman" w:cstheme="minorHAnsi"/>
                <w:color w:val="000000"/>
                <w:sz w:val="18"/>
                <w:szCs w:val="18"/>
                <w:lang w:val="ro-MD"/>
              </w:rPr>
              <w:t>42101.8</w:t>
            </w:r>
          </w:p>
        </w:tc>
        <w:tc>
          <w:tcPr>
            <w:tcW w:w="1170" w:type="dxa"/>
          </w:tcPr>
          <w:p w:rsidR="000A10B5" w:rsidRPr="00825439" w:rsidRDefault="000A10B5" w:rsidP="00844145">
            <w:pPr>
              <w:spacing w:line="276" w:lineRule="auto"/>
              <w:jc w:val="right"/>
              <w:rPr>
                <w:rFonts w:eastAsia="Times New Roman" w:cstheme="minorHAnsi"/>
                <w:color w:val="000000"/>
                <w:sz w:val="18"/>
                <w:szCs w:val="18"/>
                <w:lang w:val="ro-MD"/>
              </w:rPr>
            </w:pPr>
            <w:r w:rsidRPr="00825439">
              <w:rPr>
                <w:rFonts w:eastAsia="Times New Roman" w:cstheme="minorHAnsi"/>
                <w:color w:val="000000"/>
                <w:sz w:val="18"/>
                <w:szCs w:val="18"/>
                <w:lang w:val="ro-MD"/>
              </w:rPr>
              <w:t>120.1</w:t>
            </w:r>
          </w:p>
        </w:tc>
      </w:tr>
      <w:tr w:rsidR="000A10B5" w:rsidRPr="00401691" w:rsidTr="00825439">
        <w:tc>
          <w:tcPr>
            <w:tcW w:w="4855" w:type="dxa"/>
          </w:tcPr>
          <w:p w:rsidR="000A10B5" w:rsidRPr="00825439" w:rsidRDefault="00366AE8" w:rsidP="00844145">
            <w:pPr>
              <w:spacing w:line="276" w:lineRule="auto"/>
              <w:rPr>
                <w:rFonts w:eastAsia="Times New Roman" w:cstheme="minorHAnsi"/>
                <w:color w:val="000000"/>
                <w:sz w:val="18"/>
                <w:szCs w:val="18"/>
                <w:lang w:val="ro-MD"/>
              </w:rPr>
            </w:pPr>
            <w:r>
              <w:rPr>
                <w:rFonts w:eastAsia="Times New Roman" w:cstheme="minorHAnsi"/>
                <w:color w:val="000000"/>
                <w:sz w:val="18"/>
                <w:szCs w:val="18"/>
                <w:lang w:val="ro-MD"/>
              </w:rPr>
              <w:t xml:space="preserve"> Amenzi </w:t>
            </w:r>
            <w:r w:rsidR="000A10B5" w:rsidRPr="00825439">
              <w:rPr>
                <w:rFonts w:eastAsia="Times New Roman" w:cstheme="minorHAnsi"/>
                <w:color w:val="000000"/>
                <w:sz w:val="18"/>
                <w:szCs w:val="18"/>
                <w:lang w:val="ro-MD"/>
              </w:rPr>
              <w:t>și sancțiuni</w:t>
            </w:r>
          </w:p>
        </w:tc>
        <w:tc>
          <w:tcPr>
            <w:tcW w:w="1530" w:type="dxa"/>
          </w:tcPr>
          <w:p w:rsidR="000A10B5" w:rsidRPr="00825439" w:rsidRDefault="000A10B5" w:rsidP="00844145">
            <w:pPr>
              <w:spacing w:line="276" w:lineRule="auto"/>
              <w:jc w:val="right"/>
              <w:rPr>
                <w:rFonts w:eastAsia="Times New Roman" w:cstheme="minorHAnsi"/>
                <w:color w:val="000000"/>
                <w:sz w:val="18"/>
                <w:szCs w:val="18"/>
                <w:lang w:val="ro-MD"/>
              </w:rPr>
            </w:pPr>
            <w:r w:rsidRPr="00825439">
              <w:rPr>
                <w:rFonts w:eastAsia="Times New Roman" w:cstheme="minorHAnsi"/>
                <w:color w:val="000000"/>
                <w:sz w:val="18"/>
                <w:szCs w:val="18"/>
                <w:lang w:val="ro-MD"/>
              </w:rPr>
              <w:t>370252.3</w:t>
            </w:r>
          </w:p>
        </w:tc>
        <w:tc>
          <w:tcPr>
            <w:tcW w:w="1440" w:type="dxa"/>
          </w:tcPr>
          <w:p w:rsidR="000A10B5" w:rsidRPr="00825439" w:rsidRDefault="000A10B5" w:rsidP="00844145">
            <w:pPr>
              <w:spacing w:line="276" w:lineRule="auto"/>
              <w:jc w:val="right"/>
              <w:rPr>
                <w:rFonts w:eastAsia="Times New Roman" w:cstheme="minorHAnsi"/>
                <w:color w:val="000000"/>
                <w:sz w:val="18"/>
                <w:szCs w:val="18"/>
                <w:lang w:val="ro-MD"/>
              </w:rPr>
            </w:pPr>
            <w:r w:rsidRPr="00825439">
              <w:rPr>
                <w:rFonts w:eastAsia="Times New Roman" w:cstheme="minorHAnsi"/>
                <w:color w:val="000000"/>
                <w:sz w:val="18"/>
                <w:szCs w:val="18"/>
                <w:lang w:val="ro-MD"/>
              </w:rPr>
              <w:t>345246.3</w:t>
            </w:r>
          </w:p>
        </w:tc>
        <w:tc>
          <w:tcPr>
            <w:tcW w:w="1170" w:type="dxa"/>
          </w:tcPr>
          <w:p w:rsidR="000A10B5" w:rsidRPr="00825439" w:rsidRDefault="000A10B5" w:rsidP="00844145">
            <w:pPr>
              <w:spacing w:line="276" w:lineRule="auto"/>
              <w:jc w:val="right"/>
              <w:rPr>
                <w:rFonts w:eastAsia="Times New Roman" w:cstheme="minorHAnsi"/>
                <w:color w:val="000000"/>
                <w:sz w:val="18"/>
                <w:szCs w:val="18"/>
                <w:lang w:val="ro-MD"/>
              </w:rPr>
            </w:pPr>
            <w:r w:rsidRPr="00825439">
              <w:rPr>
                <w:rFonts w:eastAsia="Times New Roman" w:cstheme="minorHAnsi"/>
                <w:color w:val="000000"/>
                <w:sz w:val="18"/>
                <w:szCs w:val="18"/>
                <w:lang w:val="ro-MD"/>
              </w:rPr>
              <w:t>-25006.0</w:t>
            </w:r>
          </w:p>
        </w:tc>
        <w:tc>
          <w:tcPr>
            <w:tcW w:w="1170" w:type="dxa"/>
          </w:tcPr>
          <w:p w:rsidR="000A10B5" w:rsidRPr="00825439" w:rsidRDefault="000A10B5" w:rsidP="00844145">
            <w:pPr>
              <w:spacing w:line="276" w:lineRule="auto"/>
              <w:jc w:val="right"/>
              <w:rPr>
                <w:rFonts w:eastAsia="Times New Roman" w:cstheme="minorHAnsi"/>
                <w:color w:val="000000"/>
                <w:sz w:val="18"/>
                <w:szCs w:val="18"/>
                <w:lang w:val="ro-MD"/>
              </w:rPr>
            </w:pPr>
            <w:r w:rsidRPr="00825439">
              <w:rPr>
                <w:rFonts w:eastAsia="Times New Roman" w:cstheme="minorHAnsi"/>
                <w:color w:val="000000"/>
                <w:sz w:val="18"/>
                <w:szCs w:val="18"/>
                <w:lang w:val="ro-MD"/>
              </w:rPr>
              <w:t>93.2</w:t>
            </w:r>
          </w:p>
        </w:tc>
      </w:tr>
      <w:tr w:rsidR="000A10B5" w:rsidRPr="00401691" w:rsidTr="00825439">
        <w:tc>
          <w:tcPr>
            <w:tcW w:w="4855" w:type="dxa"/>
          </w:tcPr>
          <w:p w:rsidR="000A10B5" w:rsidRPr="00825439" w:rsidRDefault="000A10B5" w:rsidP="00844145">
            <w:pPr>
              <w:spacing w:line="276" w:lineRule="auto"/>
              <w:rPr>
                <w:rFonts w:eastAsia="Times New Roman" w:cstheme="minorHAnsi"/>
                <w:color w:val="000000"/>
                <w:sz w:val="18"/>
                <w:szCs w:val="18"/>
                <w:lang w:val="ro-MD"/>
              </w:rPr>
            </w:pPr>
            <w:r w:rsidRPr="00825439">
              <w:rPr>
                <w:rFonts w:eastAsia="Times New Roman" w:cstheme="minorHAnsi"/>
                <w:color w:val="000000"/>
                <w:sz w:val="18"/>
                <w:szCs w:val="18"/>
                <w:lang w:val="ro-MD"/>
              </w:rPr>
              <w:t>Alte venituri</w:t>
            </w:r>
          </w:p>
        </w:tc>
        <w:tc>
          <w:tcPr>
            <w:tcW w:w="1530" w:type="dxa"/>
          </w:tcPr>
          <w:p w:rsidR="000A10B5" w:rsidRPr="00825439" w:rsidRDefault="000A10B5" w:rsidP="00844145">
            <w:pPr>
              <w:spacing w:line="276" w:lineRule="auto"/>
              <w:jc w:val="right"/>
              <w:rPr>
                <w:rFonts w:eastAsia="Times New Roman" w:cstheme="minorHAnsi"/>
                <w:color w:val="000000"/>
                <w:sz w:val="18"/>
                <w:szCs w:val="18"/>
                <w:lang w:val="ro-MD"/>
              </w:rPr>
            </w:pPr>
            <w:r w:rsidRPr="00825439">
              <w:rPr>
                <w:rFonts w:eastAsia="Times New Roman" w:cstheme="minorHAnsi"/>
                <w:color w:val="000000"/>
                <w:sz w:val="18"/>
                <w:szCs w:val="18"/>
                <w:lang w:val="ro-MD"/>
              </w:rPr>
              <w:t>74717.3</w:t>
            </w:r>
          </w:p>
        </w:tc>
        <w:tc>
          <w:tcPr>
            <w:tcW w:w="1440" w:type="dxa"/>
          </w:tcPr>
          <w:p w:rsidR="000A10B5" w:rsidRPr="00825439" w:rsidRDefault="000A10B5" w:rsidP="00844145">
            <w:pPr>
              <w:spacing w:line="276" w:lineRule="auto"/>
              <w:jc w:val="right"/>
              <w:rPr>
                <w:rFonts w:eastAsia="Times New Roman" w:cstheme="minorHAnsi"/>
                <w:color w:val="000000"/>
                <w:sz w:val="18"/>
                <w:szCs w:val="18"/>
                <w:lang w:val="ro-MD"/>
              </w:rPr>
            </w:pPr>
            <w:r w:rsidRPr="00825439">
              <w:rPr>
                <w:rFonts w:eastAsia="Times New Roman" w:cstheme="minorHAnsi"/>
                <w:color w:val="000000"/>
                <w:sz w:val="18"/>
                <w:szCs w:val="18"/>
                <w:lang w:val="ro-MD"/>
              </w:rPr>
              <w:t>81974.9</w:t>
            </w:r>
          </w:p>
        </w:tc>
        <w:tc>
          <w:tcPr>
            <w:tcW w:w="1170" w:type="dxa"/>
          </w:tcPr>
          <w:p w:rsidR="000A10B5" w:rsidRPr="00825439" w:rsidRDefault="000A10B5" w:rsidP="00844145">
            <w:pPr>
              <w:spacing w:line="276" w:lineRule="auto"/>
              <w:jc w:val="right"/>
              <w:rPr>
                <w:rFonts w:eastAsia="Times New Roman" w:cstheme="minorHAnsi"/>
                <w:color w:val="000000"/>
                <w:sz w:val="18"/>
                <w:szCs w:val="18"/>
                <w:lang w:val="ro-MD"/>
              </w:rPr>
            </w:pPr>
            <w:r w:rsidRPr="00825439">
              <w:rPr>
                <w:rFonts w:eastAsia="Times New Roman" w:cstheme="minorHAnsi"/>
                <w:color w:val="000000"/>
                <w:sz w:val="18"/>
                <w:szCs w:val="18"/>
                <w:lang w:val="ro-MD"/>
              </w:rPr>
              <w:t>7257.6</w:t>
            </w:r>
          </w:p>
        </w:tc>
        <w:tc>
          <w:tcPr>
            <w:tcW w:w="1170" w:type="dxa"/>
          </w:tcPr>
          <w:p w:rsidR="000A10B5" w:rsidRPr="00825439" w:rsidRDefault="000A10B5" w:rsidP="00844145">
            <w:pPr>
              <w:spacing w:line="276" w:lineRule="auto"/>
              <w:jc w:val="right"/>
              <w:rPr>
                <w:rFonts w:eastAsia="Times New Roman" w:cstheme="minorHAnsi"/>
                <w:color w:val="000000"/>
                <w:sz w:val="18"/>
                <w:szCs w:val="18"/>
                <w:lang w:val="ro-MD"/>
              </w:rPr>
            </w:pPr>
            <w:r w:rsidRPr="00825439">
              <w:rPr>
                <w:rFonts w:eastAsia="Times New Roman" w:cstheme="minorHAnsi"/>
                <w:color w:val="000000"/>
                <w:sz w:val="18"/>
                <w:szCs w:val="18"/>
                <w:lang w:val="ro-MD"/>
              </w:rPr>
              <w:t>109.7</w:t>
            </w:r>
          </w:p>
        </w:tc>
      </w:tr>
      <w:tr w:rsidR="000A10B5" w:rsidRPr="00401691" w:rsidTr="00825439">
        <w:tc>
          <w:tcPr>
            <w:tcW w:w="4855" w:type="dxa"/>
          </w:tcPr>
          <w:p w:rsidR="000A10B5" w:rsidRPr="00825439" w:rsidRDefault="000A10B5" w:rsidP="00844145">
            <w:pPr>
              <w:spacing w:after="120" w:line="276" w:lineRule="auto"/>
              <w:jc w:val="both"/>
              <w:rPr>
                <w:rFonts w:cstheme="minorHAnsi"/>
                <w:sz w:val="18"/>
                <w:szCs w:val="18"/>
                <w:lang w:val="ro-MD"/>
              </w:rPr>
            </w:pPr>
            <w:r w:rsidRPr="00825439">
              <w:rPr>
                <w:rFonts w:eastAsia="Times New Roman" w:cstheme="minorHAnsi"/>
                <w:b/>
                <w:bCs/>
                <w:color w:val="000000"/>
                <w:sz w:val="18"/>
                <w:szCs w:val="18"/>
                <w:lang w:val="ro-MD"/>
              </w:rPr>
              <w:t>TOTAL VENITURI</w:t>
            </w:r>
          </w:p>
        </w:tc>
        <w:tc>
          <w:tcPr>
            <w:tcW w:w="1530" w:type="dxa"/>
          </w:tcPr>
          <w:p w:rsidR="000A10B5" w:rsidRPr="00825439" w:rsidRDefault="000A10B5" w:rsidP="00844145">
            <w:pPr>
              <w:spacing w:line="276" w:lineRule="auto"/>
              <w:jc w:val="right"/>
              <w:rPr>
                <w:rFonts w:eastAsia="Times New Roman" w:cstheme="minorHAnsi"/>
                <w:b/>
                <w:bCs/>
                <w:color w:val="000000"/>
                <w:sz w:val="18"/>
                <w:szCs w:val="18"/>
                <w:lang w:val="ro-MD"/>
              </w:rPr>
            </w:pPr>
            <w:r w:rsidRPr="00825439">
              <w:rPr>
                <w:rFonts w:eastAsia="Times New Roman" w:cstheme="minorHAnsi"/>
                <w:b/>
                <w:bCs/>
                <w:color w:val="000000"/>
                <w:sz w:val="18"/>
                <w:szCs w:val="18"/>
                <w:lang w:val="ro-MD"/>
              </w:rPr>
              <w:t>17281136.2</w:t>
            </w:r>
          </w:p>
        </w:tc>
        <w:tc>
          <w:tcPr>
            <w:tcW w:w="1440" w:type="dxa"/>
          </w:tcPr>
          <w:p w:rsidR="000A10B5" w:rsidRPr="00825439" w:rsidRDefault="000A10B5" w:rsidP="00844145">
            <w:pPr>
              <w:spacing w:line="276" w:lineRule="auto"/>
              <w:jc w:val="right"/>
              <w:rPr>
                <w:rFonts w:eastAsia="Times New Roman" w:cstheme="minorHAnsi"/>
                <w:b/>
                <w:bCs/>
                <w:color w:val="000000"/>
                <w:sz w:val="18"/>
                <w:szCs w:val="18"/>
                <w:lang w:val="ro-MD"/>
              </w:rPr>
            </w:pPr>
            <w:r w:rsidRPr="00825439">
              <w:rPr>
                <w:rFonts w:eastAsia="Times New Roman" w:cstheme="minorHAnsi"/>
                <w:b/>
                <w:bCs/>
                <w:color w:val="000000"/>
                <w:sz w:val="18"/>
                <w:szCs w:val="18"/>
                <w:lang w:val="ro-MD"/>
              </w:rPr>
              <w:t>17236007.1</w:t>
            </w:r>
          </w:p>
        </w:tc>
        <w:tc>
          <w:tcPr>
            <w:tcW w:w="1170" w:type="dxa"/>
          </w:tcPr>
          <w:p w:rsidR="000A10B5" w:rsidRPr="00825439" w:rsidRDefault="000A10B5" w:rsidP="00844145">
            <w:pPr>
              <w:spacing w:line="276" w:lineRule="auto"/>
              <w:jc w:val="right"/>
              <w:rPr>
                <w:rFonts w:eastAsia="Times New Roman" w:cstheme="minorHAnsi"/>
                <w:b/>
                <w:bCs/>
                <w:color w:val="000000"/>
                <w:sz w:val="18"/>
                <w:szCs w:val="18"/>
                <w:lang w:val="ro-MD"/>
              </w:rPr>
            </w:pPr>
            <w:r w:rsidRPr="00825439">
              <w:rPr>
                <w:rFonts w:eastAsia="Times New Roman" w:cstheme="minorHAnsi"/>
                <w:b/>
                <w:bCs/>
                <w:color w:val="000000"/>
                <w:sz w:val="18"/>
                <w:szCs w:val="18"/>
                <w:lang w:val="ro-MD"/>
              </w:rPr>
              <w:t>-45129.1</w:t>
            </w:r>
          </w:p>
        </w:tc>
        <w:tc>
          <w:tcPr>
            <w:tcW w:w="1170" w:type="dxa"/>
          </w:tcPr>
          <w:p w:rsidR="000A10B5" w:rsidRPr="00825439" w:rsidRDefault="000A10B5" w:rsidP="00844145">
            <w:pPr>
              <w:spacing w:line="276" w:lineRule="auto"/>
              <w:jc w:val="right"/>
              <w:rPr>
                <w:rFonts w:eastAsia="Times New Roman" w:cstheme="minorHAnsi"/>
                <w:b/>
                <w:bCs/>
                <w:color w:val="000000"/>
                <w:sz w:val="18"/>
                <w:szCs w:val="18"/>
                <w:lang w:val="ro-MD"/>
              </w:rPr>
            </w:pPr>
            <w:r w:rsidRPr="00825439">
              <w:rPr>
                <w:rFonts w:eastAsia="Times New Roman" w:cstheme="minorHAnsi"/>
                <w:b/>
                <w:bCs/>
                <w:color w:val="000000"/>
                <w:sz w:val="18"/>
                <w:szCs w:val="18"/>
                <w:lang w:val="ro-MD"/>
              </w:rPr>
              <w:t>99.7</w:t>
            </w:r>
          </w:p>
        </w:tc>
      </w:tr>
    </w:tbl>
    <w:p w:rsidR="00F430CF" w:rsidRPr="00502038" w:rsidRDefault="0092777E" w:rsidP="00844145">
      <w:pPr>
        <w:pStyle w:val="ListParagraph"/>
        <w:tabs>
          <w:tab w:val="left" w:pos="360"/>
        </w:tabs>
        <w:spacing w:after="120" w:line="276" w:lineRule="auto"/>
        <w:ind w:left="0"/>
        <w:contextualSpacing w:val="0"/>
        <w:jc w:val="both"/>
        <w:rPr>
          <w:rFonts w:asciiTheme="majorHAnsi" w:hAnsiTheme="majorHAnsi" w:cstheme="majorHAnsi"/>
          <w:bCs/>
          <w:i/>
          <w:sz w:val="20"/>
          <w:szCs w:val="20"/>
          <w:lang w:val="ro-MD" w:eastAsia="ro-RO"/>
        </w:rPr>
      </w:pPr>
      <w:r w:rsidRPr="00502038">
        <w:rPr>
          <w:rFonts w:asciiTheme="majorHAnsi" w:hAnsiTheme="majorHAnsi" w:cstheme="majorHAnsi"/>
          <w:b/>
          <w:bCs/>
          <w:i/>
          <w:sz w:val="20"/>
          <w:szCs w:val="20"/>
          <w:lang w:val="ro-MD" w:eastAsia="ro-RO"/>
        </w:rPr>
        <w:lastRenderedPageBreak/>
        <w:t>Sursa</w:t>
      </w:r>
      <w:r w:rsidR="00F430CF" w:rsidRPr="00502038">
        <w:rPr>
          <w:rFonts w:asciiTheme="majorHAnsi" w:hAnsiTheme="majorHAnsi" w:cstheme="majorHAnsi"/>
          <w:b/>
          <w:bCs/>
          <w:i/>
          <w:sz w:val="20"/>
          <w:szCs w:val="20"/>
          <w:lang w:val="ro-MD" w:eastAsia="ro-RO"/>
        </w:rPr>
        <w:t>:</w:t>
      </w:r>
      <w:r w:rsidR="004832BE" w:rsidRPr="00502038">
        <w:rPr>
          <w:rFonts w:asciiTheme="majorHAnsi" w:eastAsia="Times New Roman" w:hAnsiTheme="majorHAnsi" w:cstheme="majorHAnsi"/>
          <w:i/>
          <w:sz w:val="20"/>
          <w:szCs w:val="20"/>
          <w:lang w:val="ro-MD" w:eastAsia="ru-RU"/>
        </w:rPr>
        <w:t xml:space="preserve"> Date generalizate de echipa de audit conform Rapoartelor privind executarea bugetului de stat pe anul 2019</w:t>
      </w:r>
      <w:r w:rsidR="00583F45">
        <w:rPr>
          <w:rFonts w:asciiTheme="majorHAnsi" w:eastAsia="Times New Roman" w:hAnsiTheme="majorHAnsi" w:cstheme="majorHAnsi"/>
          <w:i/>
          <w:sz w:val="20"/>
          <w:szCs w:val="20"/>
          <w:lang w:val="ro-MD" w:eastAsia="ru-RU"/>
        </w:rPr>
        <w:t>.</w:t>
      </w:r>
    </w:p>
    <w:p w:rsidR="00B2183D" w:rsidRPr="00BC1C02" w:rsidRDefault="000A10B5" w:rsidP="00844145">
      <w:pPr>
        <w:pStyle w:val="ListParagraph"/>
        <w:tabs>
          <w:tab w:val="left" w:pos="90"/>
          <w:tab w:val="left" w:pos="270"/>
        </w:tabs>
        <w:spacing w:before="120" w:after="0" w:line="276" w:lineRule="auto"/>
        <w:ind w:left="0"/>
        <w:contextualSpacing w:val="0"/>
        <w:jc w:val="both"/>
        <w:rPr>
          <w:rFonts w:asciiTheme="majorHAnsi" w:hAnsiTheme="majorHAnsi" w:cstheme="majorHAnsi"/>
          <w:bCs/>
          <w:sz w:val="24"/>
          <w:szCs w:val="24"/>
          <w:lang w:val="ro-MD" w:eastAsia="ro-RO"/>
        </w:rPr>
      </w:pPr>
      <w:r w:rsidRPr="00BC1C02">
        <w:rPr>
          <w:rFonts w:asciiTheme="majorHAnsi" w:hAnsiTheme="majorHAnsi" w:cstheme="majorHAnsi"/>
          <w:bCs/>
          <w:sz w:val="24"/>
          <w:szCs w:val="24"/>
          <w:lang w:val="ro-MD" w:eastAsia="ro-RO"/>
        </w:rPr>
        <w:t>D</w:t>
      </w:r>
      <w:r w:rsidR="00B900C4" w:rsidRPr="00BC1C02">
        <w:rPr>
          <w:rFonts w:asciiTheme="majorHAnsi" w:hAnsiTheme="majorHAnsi" w:cstheme="majorHAnsi"/>
          <w:bCs/>
          <w:sz w:val="24"/>
          <w:szCs w:val="24"/>
          <w:lang w:val="ro-MD" w:eastAsia="ro-RO"/>
        </w:rPr>
        <w:t>atel</w:t>
      </w:r>
      <w:r w:rsidRPr="00BC1C02">
        <w:rPr>
          <w:rFonts w:asciiTheme="majorHAnsi" w:hAnsiTheme="majorHAnsi" w:cstheme="majorHAnsi"/>
          <w:bCs/>
          <w:sz w:val="24"/>
          <w:szCs w:val="24"/>
          <w:lang w:val="ro-MD" w:eastAsia="ro-RO"/>
        </w:rPr>
        <w:t>e</w:t>
      </w:r>
      <w:r w:rsidR="00BC1C02">
        <w:rPr>
          <w:rFonts w:asciiTheme="majorHAnsi" w:hAnsiTheme="majorHAnsi" w:cstheme="majorHAnsi"/>
          <w:bCs/>
          <w:sz w:val="24"/>
          <w:szCs w:val="24"/>
          <w:lang w:val="ro-MD" w:eastAsia="ro-RO"/>
        </w:rPr>
        <w:t xml:space="preserve"> </w:t>
      </w:r>
      <w:r w:rsidR="000649B1">
        <w:rPr>
          <w:rFonts w:asciiTheme="majorHAnsi" w:hAnsiTheme="majorHAnsi" w:cstheme="majorHAnsi"/>
          <w:bCs/>
          <w:sz w:val="24"/>
          <w:szCs w:val="24"/>
          <w:lang w:val="ro-MD" w:eastAsia="ro-RO"/>
        </w:rPr>
        <w:t>din tabel indică</w:t>
      </w:r>
      <w:r w:rsidR="00B900C4" w:rsidRPr="00BC1C02">
        <w:rPr>
          <w:rFonts w:asciiTheme="majorHAnsi" w:hAnsiTheme="majorHAnsi" w:cstheme="majorHAnsi"/>
          <w:bCs/>
          <w:sz w:val="24"/>
          <w:szCs w:val="24"/>
          <w:lang w:val="ro-MD" w:eastAsia="ro-RO"/>
        </w:rPr>
        <w:t xml:space="preserve"> că </w:t>
      </w:r>
      <w:r w:rsidR="00BC1C02" w:rsidRPr="00BC1C02">
        <w:rPr>
          <w:rFonts w:asciiTheme="majorHAnsi" w:hAnsiTheme="majorHAnsi" w:cstheme="majorHAnsi"/>
          <w:bCs/>
          <w:sz w:val="24"/>
          <w:szCs w:val="24"/>
          <w:lang w:val="ro-MD" w:eastAsia="ro-RO"/>
        </w:rPr>
        <w:t>pentru</w:t>
      </w:r>
      <w:r w:rsidR="00BC1C02" w:rsidRPr="00BC1C02">
        <w:rPr>
          <w:rFonts w:asciiTheme="majorHAnsi" w:eastAsia="Times New Roman" w:hAnsiTheme="majorHAnsi" w:cstheme="majorHAnsi"/>
          <w:color w:val="000000"/>
          <w:sz w:val="24"/>
          <w:szCs w:val="24"/>
          <w:lang w:val="ro-MD"/>
        </w:rPr>
        <w:t xml:space="preserve"> </w:t>
      </w:r>
      <w:r w:rsidR="00BC1C02" w:rsidRPr="00BC1C02">
        <w:rPr>
          <w:rFonts w:asciiTheme="majorHAnsi" w:hAnsiTheme="majorHAnsi" w:cstheme="majorHAnsi"/>
          <w:bCs/>
          <w:sz w:val="24"/>
          <w:szCs w:val="24"/>
          <w:lang w:val="ro-MD" w:eastAsia="ro-RO"/>
        </w:rPr>
        <w:t xml:space="preserve">6 categorii de venituri planul a fost </w:t>
      </w:r>
      <w:proofErr w:type="spellStart"/>
      <w:r w:rsidR="00BC1C02" w:rsidRPr="00BC1C02">
        <w:rPr>
          <w:rFonts w:asciiTheme="majorHAnsi" w:hAnsiTheme="majorHAnsi" w:cstheme="majorHAnsi"/>
          <w:bCs/>
          <w:sz w:val="24"/>
          <w:szCs w:val="24"/>
          <w:lang w:val="ro-MD" w:eastAsia="ro-RO"/>
        </w:rPr>
        <w:t>supraexecutat</w:t>
      </w:r>
      <w:proofErr w:type="spellEnd"/>
      <w:r w:rsidR="00BC1C02" w:rsidRPr="00BC1C02">
        <w:rPr>
          <w:rFonts w:asciiTheme="majorHAnsi" w:hAnsiTheme="majorHAnsi" w:cstheme="majorHAnsi"/>
          <w:bCs/>
          <w:sz w:val="24"/>
          <w:szCs w:val="24"/>
          <w:lang w:val="ro-MD" w:eastAsia="ro-RO"/>
        </w:rPr>
        <w:t xml:space="preserve"> cu 131,1 mil. lei, c</w:t>
      </w:r>
      <w:r w:rsidR="00BC1C02" w:rsidRPr="00BC1C02">
        <w:rPr>
          <w:rFonts w:asciiTheme="majorHAnsi" w:hAnsiTheme="majorHAnsi" w:cstheme="majorHAnsi"/>
          <w:sz w:val="24"/>
          <w:szCs w:val="24"/>
          <w:lang w:val="ro-MD"/>
        </w:rPr>
        <w:t>ele mai relevante din punct</w:t>
      </w:r>
      <w:r w:rsidR="000649B1">
        <w:rPr>
          <w:rFonts w:asciiTheme="majorHAnsi" w:hAnsiTheme="majorHAnsi" w:cstheme="majorHAnsi"/>
          <w:sz w:val="24"/>
          <w:szCs w:val="24"/>
          <w:lang w:val="ro-MD"/>
        </w:rPr>
        <w:t>ul</w:t>
      </w:r>
      <w:r w:rsidR="00BC1C02" w:rsidRPr="00BC1C02">
        <w:rPr>
          <w:rFonts w:asciiTheme="majorHAnsi" w:hAnsiTheme="majorHAnsi" w:cstheme="majorHAnsi"/>
          <w:sz w:val="24"/>
          <w:szCs w:val="24"/>
          <w:lang w:val="ro-MD"/>
        </w:rPr>
        <w:t xml:space="preserve"> de vedere </w:t>
      </w:r>
      <w:r w:rsidR="00BC1C02">
        <w:rPr>
          <w:rFonts w:asciiTheme="majorHAnsi" w:hAnsiTheme="majorHAnsi" w:cstheme="majorHAnsi"/>
          <w:sz w:val="24"/>
          <w:szCs w:val="24"/>
          <w:lang w:val="ro-MD"/>
        </w:rPr>
        <w:t>al dimensiunii financiare fiind</w:t>
      </w:r>
      <w:r w:rsidR="00BC1C02" w:rsidRPr="00BC1C02">
        <w:rPr>
          <w:rFonts w:asciiTheme="majorHAnsi" w:hAnsiTheme="majorHAnsi" w:cstheme="majorHAnsi"/>
          <w:sz w:val="24"/>
          <w:szCs w:val="24"/>
          <w:lang w:val="ro-MD"/>
        </w:rPr>
        <w:t>:</w:t>
      </w:r>
      <w:r w:rsidR="00BC1C02" w:rsidRPr="00BC1C02">
        <w:rPr>
          <w:rFonts w:asciiTheme="majorHAnsi" w:eastAsia="Times New Roman" w:hAnsiTheme="majorHAnsi" w:cstheme="majorHAnsi"/>
          <w:color w:val="000000"/>
          <w:sz w:val="24"/>
          <w:szCs w:val="24"/>
          <w:lang w:val="ro-MD"/>
        </w:rPr>
        <w:t xml:space="preserve"> taxa pentru folosirea drumurilor</w:t>
      </w:r>
      <w:r w:rsidR="00BC1C02" w:rsidRPr="00BC1C02">
        <w:rPr>
          <w:rFonts w:asciiTheme="majorHAnsi" w:hAnsiTheme="majorHAnsi" w:cstheme="majorHAnsi"/>
          <w:bCs/>
          <w:sz w:val="24"/>
          <w:szCs w:val="24"/>
          <w:lang w:val="ro-MD" w:eastAsia="ro-RO"/>
        </w:rPr>
        <w:t xml:space="preserve"> -43,4 mil</w:t>
      </w:r>
      <w:r w:rsidR="00C21FCE">
        <w:rPr>
          <w:rFonts w:asciiTheme="majorHAnsi" w:hAnsiTheme="majorHAnsi" w:cstheme="majorHAnsi"/>
          <w:bCs/>
          <w:sz w:val="24"/>
          <w:szCs w:val="24"/>
          <w:lang w:val="ro-MD" w:eastAsia="ro-RO"/>
        </w:rPr>
        <w:t>.</w:t>
      </w:r>
      <w:r w:rsidR="00BC1C02" w:rsidRPr="00BC1C02">
        <w:rPr>
          <w:rFonts w:asciiTheme="majorHAnsi" w:hAnsiTheme="majorHAnsi" w:cstheme="majorHAnsi"/>
          <w:bCs/>
          <w:sz w:val="24"/>
          <w:szCs w:val="24"/>
          <w:lang w:val="ro-MD" w:eastAsia="ro-RO"/>
        </w:rPr>
        <w:t xml:space="preserve"> lei; v</w:t>
      </w:r>
      <w:r w:rsidR="00BC1C02" w:rsidRPr="00BC1C02">
        <w:rPr>
          <w:rFonts w:asciiTheme="majorHAnsi" w:eastAsia="Times New Roman" w:hAnsiTheme="majorHAnsi" w:cstheme="majorHAnsi"/>
          <w:color w:val="000000"/>
          <w:sz w:val="24"/>
          <w:szCs w:val="24"/>
          <w:lang w:val="ro-MD"/>
        </w:rPr>
        <w:t>enituri</w:t>
      </w:r>
      <w:r w:rsidR="000649B1">
        <w:rPr>
          <w:rFonts w:asciiTheme="majorHAnsi" w:eastAsia="Times New Roman" w:hAnsiTheme="majorHAnsi" w:cstheme="majorHAnsi"/>
          <w:color w:val="000000"/>
          <w:sz w:val="24"/>
          <w:szCs w:val="24"/>
          <w:lang w:val="ro-MD"/>
        </w:rPr>
        <w:t>le</w:t>
      </w:r>
      <w:r w:rsidR="00BC1C02" w:rsidRPr="00BC1C02">
        <w:rPr>
          <w:rFonts w:asciiTheme="majorHAnsi" w:eastAsia="Times New Roman" w:hAnsiTheme="majorHAnsi" w:cstheme="majorHAnsi"/>
          <w:color w:val="000000"/>
          <w:sz w:val="24"/>
          <w:szCs w:val="24"/>
          <w:lang w:val="ro-MD"/>
        </w:rPr>
        <w:t xml:space="preserve"> din vânzarea mărfurilor și serviciilor – 42,1 mil</w:t>
      </w:r>
      <w:r w:rsidR="00C21FCE">
        <w:rPr>
          <w:rFonts w:asciiTheme="majorHAnsi" w:eastAsia="Times New Roman" w:hAnsiTheme="majorHAnsi" w:cstheme="majorHAnsi"/>
          <w:color w:val="000000"/>
          <w:sz w:val="24"/>
          <w:szCs w:val="24"/>
          <w:lang w:val="ro-MD"/>
        </w:rPr>
        <w:t>.</w:t>
      </w:r>
      <w:r w:rsidR="00BC1C02" w:rsidRPr="00BC1C02">
        <w:rPr>
          <w:rFonts w:asciiTheme="majorHAnsi" w:eastAsia="Times New Roman" w:hAnsiTheme="majorHAnsi" w:cstheme="majorHAnsi"/>
          <w:color w:val="000000"/>
          <w:sz w:val="24"/>
          <w:szCs w:val="24"/>
          <w:lang w:val="ro-MD"/>
        </w:rPr>
        <w:t xml:space="preserve"> lei. C</w:t>
      </w:r>
      <w:r w:rsidR="00BC1C02">
        <w:rPr>
          <w:rFonts w:asciiTheme="majorHAnsi" w:eastAsia="Times New Roman" w:hAnsiTheme="majorHAnsi" w:cstheme="majorHAnsi"/>
          <w:color w:val="000000"/>
          <w:sz w:val="24"/>
          <w:szCs w:val="24"/>
          <w:lang w:val="ro-MD"/>
        </w:rPr>
        <w:t>oncomitent, auditul relevă</w:t>
      </w:r>
      <w:r w:rsidR="00BC1C02" w:rsidRPr="00BC1C02">
        <w:rPr>
          <w:rFonts w:asciiTheme="majorHAnsi" w:eastAsia="Times New Roman" w:hAnsiTheme="majorHAnsi" w:cstheme="majorHAnsi"/>
          <w:color w:val="000000"/>
          <w:sz w:val="24"/>
          <w:szCs w:val="24"/>
          <w:lang w:val="ro-MD"/>
        </w:rPr>
        <w:t xml:space="preserve"> </w:t>
      </w:r>
      <w:r w:rsidR="00B900C4" w:rsidRPr="00BC1C02">
        <w:rPr>
          <w:rFonts w:asciiTheme="majorHAnsi" w:hAnsiTheme="majorHAnsi" w:cstheme="majorHAnsi"/>
          <w:bCs/>
          <w:sz w:val="24"/>
          <w:szCs w:val="24"/>
          <w:lang w:val="ro-MD" w:eastAsia="ro-RO"/>
        </w:rPr>
        <w:t>nereali</w:t>
      </w:r>
      <w:r w:rsidR="009D76FD" w:rsidRPr="00BC1C02">
        <w:rPr>
          <w:rFonts w:asciiTheme="majorHAnsi" w:hAnsiTheme="majorHAnsi" w:cstheme="majorHAnsi"/>
          <w:bCs/>
          <w:sz w:val="24"/>
          <w:szCs w:val="24"/>
          <w:lang w:val="ro-MD" w:eastAsia="ro-RO"/>
        </w:rPr>
        <w:t>zarea cuantumului planificat a</w:t>
      </w:r>
      <w:r w:rsidR="000649B1">
        <w:rPr>
          <w:rFonts w:asciiTheme="majorHAnsi" w:hAnsiTheme="majorHAnsi" w:cstheme="majorHAnsi"/>
          <w:bCs/>
          <w:sz w:val="24"/>
          <w:szCs w:val="24"/>
          <w:lang w:val="ro-MD" w:eastAsia="ro-RO"/>
        </w:rPr>
        <w:t>l</w:t>
      </w:r>
      <w:r w:rsidR="009D76FD" w:rsidRPr="00BC1C02">
        <w:rPr>
          <w:rFonts w:asciiTheme="majorHAnsi" w:hAnsiTheme="majorHAnsi" w:cstheme="majorHAnsi"/>
          <w:bCs/>
          <w:sz w:val="24"/>
          <w:szCs w:val="24"/>
          <w:lang w:val="ro-MD" w:eastAsia="ro-RO"/>
        </w:rPr>
        <w:t xml:space="preserve"> </w:t>
      </w:r>
      <w:r w:rsidR="00BC1C02" w:rsidRPr="00BC1C02">
        <w:rPr>
          <w:rFonts w:asciiTheme="majorHAnsi" w:hAnsiTheme="majorHAnsi" w:cstheme="majorHAnsi"/>
          <w:bCs/>
          <w:sz w:val="24"/>
          <w:szCs w:val="24"/>
          <w:lang w:val="ro-MD" w:eastAsia="ro-RO"/>
        </w:rPr>
        <w:t xml:space="preserve">veniturilor la BS pe alte </w:t>
      </w:r>
      <w:r w:rsidR="00B94556" w:rsidRPr="00BC1C02">
        <w:rPr>
          <w:rFonts w:asciiTheme="majorHAnsi" w:hAnsiTheme="majorHAnsi" w:cstheme="majorHAnsi"/>
          <w:bCs/>
          <w:sz w:val="24"/>
          <w:szCs w:val="24"/>
          <w:lang w:val="ro-MD" w:eastAsia="ro-RO"/>
        </w:rPr>
        <w:t xml:space="preserve">6 tipuri </w:t>
      </w:r>
      <w:r w:rsidR="00B900C4" w:rsidRPr="00BC1C02">
        <w:rPr>
          <w:rFonts w:asciiTheme="majorHAnsi" w:hAnsiTheme="majorHAnsi" w:cstheme="majorHAnsi"/>
          <w:bCs/>
          <w:sz w:val="24"/>
          <w:szCs w:val="24"/>
          <w:lang w:val="ro-MD" w:eastAsia="ro-RO"/>
        </w:rPr>
        <w:t>de venituri</w:t>
      </w:r>
      <w:r w:rsidR="000649B1">
        <w:rPr>
          <w:rFonts w:asciiTheme="majorHAnsi" w:hAnsiTheme="majorHAnsi" w:cstheme="majorHAnsi"/>
          <w:bCs/>
          <w:sz w:val="24"/>
          <w:szCs w:val="24"/>
          <w:lang w:val="ro-MD" w:eastAsia="ro-RO"/>
        </w:rPr>
        <w:t>,</w:t>
      </w:r>
      <w:r w:rsidR="00B900C4" w:rsidRPr="00BC1C02">
        <w:rPr>
          <w:rFonts w:asciiTheme="majorHAnsi" w:hAnsiTheme="majorHAnsi" w:cstheme="majorHAnsi"/>
          <w:bCs/>
          <w:sz w:val="24"/>
          <w:szCs w:val="24"/>
          <w:lang w:val="ro-MD" w:eastAsia="ro-RO"/>
        </w:rPr>
        <w:t xml:space="preserve"> în </w:t>
      </w:r>
      <w:r w:rsidR="000649B1">
        <w:rPr>
          <w:rFonts w:asciiTheme="majorHAnsi" w:hAnsiTheme="majorHAnsi" w:cstheme="majorHAnsi"/>
          <w:bCs/>
          <w:sz w:val="24"/>
          <w:szCs w:val="24"/>
          <w:lang w:val="ro-MD" w:eastAsia="ro-RO"/>
        </w:rPr>
        <w:t>sumă</w:t>
      </w:r>
      <w:r w:rsidR="00B900C4" w:rsidRPr="00BC1C02">
        <w:rPr>
          <w:rFonts w:asciiTheme="majorHAnsi" w:hAnsiTheme="majorHAnsi" w:cstheme="majorHAnsi"/>
          <w:bCs/>
          <w:sz w:val="24"/>
          <w:szCs w:val="24"/>
          <w:lang w:val="ro-MD" w:eastAsia="ro-RO"/>
        </w:rPr>
        <w:t xml:space="preserve"> de 176,2 mil. lei</w:t>
      </w:r>
      <w:r w:rsidR="00F11214" w:rsidRPr="00BC1C02">
        <w:rPr>
          <w:rFonts w:asciiTheme="majorHAnsi" w:hAnsiTheme="majorHAnsi" w:cstheme="majorHAnsi"/>
          <w:bCs/>
          <w:sz w:val="24"/>
          <w:szCs w:val="24"/>
          <w:lang w:val="ro-MD" w:eastAsia="ro-RO"/>
        </w:rPr>
        <w:t>.</w:t>
      </w:r>
      <w:r w:rsidR="00B2183D" w:rsidRPr="00BC1C02">
        <w:rPr>
          <w:rFonts w:asciiTheme="majorHAnsi" w:hAnsiTheme="majorHAnsi" w:cstheme="majorHAnsi"/>
          <w:bCs/>
          <w:sz w:val="24"/>
          <w:szCs w:val="24"/>
          <w:lang w:val="ro-MD" w:eastAsia="ro-RO"/>
        </w:rPr>
        <w:t xml:space="preserve"> În contextul expus</w:t>
      </w:r>
      <w:r w:rsidR="000649B1">
        <w:rPr>
          <w:rFonts w:asciiTheme="majorHAnsi" w:hAnsiTheme="majorHAnsi" w:cstheme="majorHAnsi"/>
          <w:bCs/>
          <w:sz w:val="24"/>
          <w:szCs w:val="24"/>
          <w:lang w:val="ro-MD" w:eastAsia="ro-RO"/>
        </w:rPr>
        <w:t>,</w:t>
      </w:r>
      <w:r w:rsidR="00B2183D" w:rsidRPr="00BC1C02">
        <w:rPr>
          <w:rFonts w:asciiTheme="majorHAnsi" w:hAnsiTheme="majorHAnsi" w:cstheme="majorHAnsi"/>
          <w:bCs/>
          <w:sz w:val="24"/>
          <w:szCs w:val="24"/>
          <w:lang w:val="ro-MD" w:eastAsia="ro-RO"/>
        </w:rPr>
        <w:t xml:space="preserve"> se </w:t>
      </w:r>
      <w:r w:rsidR="000649B1">
        <w:rPr>
          <w:rFonts w:asciiTheme="majorHAnsi" w:hAnsiTheme="majorHAnsi" w:cstheme="majorHAnsi"/>
          <w:bCs/>
          <w:sz w:val="24"/>
          <w:szCs w:val="24"/>
          <w:lang w:val="ro-MD" w:eastAsia="ro-RO"/>
        </w:rPr>
        <w:t>remarcă următoarele</w:t>
      </w:r>
      <w:r w:rsidR="00B2183D" w:rsidRPr="00BC1C02">
        <w:rPr>
          <w:rFonts w:asciiTheme="majorHAnsi" w:hAnsiTheme="majorHAnsi" w:cstheme="majorHAnsi"/>
          <w:bCs/>
          <w:sz w:val="24"/>
          <w:szCs w:val="24"/>
          <w:lang w:val="ro-MD" w:eastAsia="ro-RO"/>
        </w:rPr>
        <w:t>:</w:t>
      </w:r>
    </w:p>
    <w:p w:rsidR="003D561A" w:rsidRPr="00401691" w:rsidRDefault="003939E3" w:rsidP="00844145">
      <w:pPr>
        <w:pStyle w:val="ListParagraph"/>
        <w:numPr>
          <w:ilvl w:val="0"/>
          <w:numId w:val="13"/>
        </w:numPr>
        <w:tabs>
          <w:tab w:val="left" w:pos="90"/>
          <w:tab w:val="left" w:pos="270"/>
        </w:tabs>
        <w:spacing w:after="120" w:line="276" w:lineRule="auto"/>
        <w:ind w:left="0" w:firstLine="0"/>
        <w:contextualSpacing w:val="0"/>
        <w:jc w:val="both"/>
        <w:rPr>
          <w:rFonts w:asciiTheme="majorHAnsi" w:hAnsiTheme="majorHAnsi" w:cstheme="majorHAnsi"/>
          <w:sz w:val="24"/>
          <w:szCs w:val="24"/>
          <w:lang w:val="ro-MD"/>
        </w:rPr>
      </w:pPr>
      <w:r>
        <w:rPr>
          <w:rFonts w:asciiTheme="majorHAnsi" w:hAnsiTheme="majorHAnsi" w:cstheme="majorHAnsi"/>
          <w:sz w:val="24"/>
          <w:szCs w:val="24"/>
          <w:lang w:val="ro-MD"/>
        </w:rPr>
        <w:t>Potrivit d</w:t>
      </w:r>
      <w:r w:rsidR="00F11214" w:rsidRPr="00401691">
        <w:rPr>
          <w:rFonts w:asciiTheme="majorHAnsi" w:hAnsiTheme="majorHAnsi" w:cstheme="majorHAnsi"/>
          <w:sz w:val="24"/>
          <w:szCs w:val="24"/>
          <w:lang w:val="ro-MD"/>
        </w:rPr>
        <w:t>atel</w:t>
      </w:r>
      <w:r>
        <w:rPr>
          <w:rFonts w:asciiTheme="majorHAnsi" w:hAnsiTheme="majorHAnsi" w:cstheme="majorHAnsi"/>
          <w:sz w:val="24"/>
          <w:szCs w:val="24"/>
          <w:lang w:val="ro-MD"/>
        </w:rPr>
        <w:t>or</w:t>
      </w:r>
      <w:r w:rsidR="000A10B5" w:rsidRPr="00401691">
        <w:rPr>
          <w:rFonts w:asciiTheme="majorHAnsi" w:hAnsiTheme="majorHAnsi" w:cstheme="majorHAnsi"/>
          <w:sz w:val="24"/>
          <w:szCs w:val="24"/>
          <w:lang w:val="ro-MD"/>
        </w:rPr>
        <w:t xml:space="preserve"> din </w:t>
      </w:r>
      <w:r w:rsidR="004C006C" w:rsidRPr="00401691">
        <w:rPr>
          <w:rFonts w:asciiTheme="majorHAnsi" w:hAnsiTheme="majorHAnsi" w:cstheme="majorHAnsi"/>
          <w:sz w:val="24"/>
          <w:szCs w:val="24"/>
          <w:lang w:val="ro-MD"/>
        </w:rPr>
        <w:t>tabel</w:t>
      </w:r>
      <w:r>
        <w:rPr>
          <w:rFonts w:asciiTheme="majorHAnsi" w:hAnsiTheme="majorHAnsi" w:cstheme="majorHAnsi"/>
          <w:sz w:val="24"/>
          <w:szCs w:val="24"/>
          <w:lang w:val="ro-MD"/>
        </w:rPr>
        <w:t>,</w:t>
      </w:r>
      <w:r w:rsidR="005520AC" w:rsidRPr="00401691">
        <w:rPr>
          <w:rFonts w:asciiTheme="majorHAnsi" w:hAnsiTheme="majorHAnsi" w:cstheme="majorHAnsi"/>
          <w:sz w:val="24"/>
          <w:szCs w:val="24"/>
          <w:lang w:val="ro-MD"/>
        </w:rPr>
        <w:t xml:space="preserve"> ponderea cea mai mare a neîncasărilor </w:t>
      </w:r>
      <w:r w:rsidR="004F68C1" w:rsidRPr="00401691">
        <w:rPr>
          <w:rFonts w:asciiTheme="majorHAnsi" w:hAnsiTheme="majorHAnsi" w:cstheme="majorHAnsi"/>
          <w:sz w:val="24"/>
          <w:szCs w:val="24"/>
          <w:lang w:val="ro-MD"/>
        </w:rPr>
        <w:t xml:space="preserve">la buget </w:t>
      </w:r>
      <w:r w:rsidR="00B2183D" w:rsidRPr="00401691">
        <w:rPr>
          <w:rFonts w:asciiTheme="majorHAnsi" w:hAnsiTheme="majorHAnsi" w:cstheme="majorHAnsi"/>
          <w:sz w:val="24"/>
          <w:szCs w:val="24"/>
          <w:lang w:val="ro-MD"/>
        </w:rPr>
        <w:t>re</w:t>
      </w:r>
      <w:r w:rsidR="005520AC" w:rsidRPr="00401691">
        <w:rPr>
          <w:rFonts w:asciiTheme="majorHAnsi" w:hAnsiTheme="majorHAnsi" w:cstheme="majorHAnsi"/>
          <w:sz w:val="24"/>
          <w:szCs w:val="24"/>
          <w:lang w:val="ro-MD"/>
        </w:rPr>
        <w:t xml:space="preserve">vine </w:t>
      </w:r>
      <w:r w:rsidR="004C006C" w:rsidRPr="00401691">
        <w:rPr>
          <w:rFonts w:asciiTheme="majorHAnsi" w:hAnsiTheme="majorHAnsi" w:cstheme="majorHAnsi"/>
          <w:sz w:val="24"/>
          <w:szCs w:val="24"/>
          <w:lang w:val="ro-MD"/>
        </w:rPr>
        <w:t>pl</w:t>
      </w:r>
      <w:r w:rsidR="000649B1">
        <w:rPr>
          <w:rFonts w:asciiTheme="majorHAnsi" w:hAnsiTheme="majorHAnsi" w:cstheme="majorHAnsi"/>
          <w:sz w:val="24"/>
          <w:szCs w:val="24"/>
          <w:lang w:val="ro-MD"/>
        </w:rPr>
        <w:t>ă</w:t>
      </w:r>
      <w:r w:rsidR="004C006C" w:rsidRPr="00401691">
        <w:rPr>
          <w:rFonts w:asciiTheme="majorHAnsi" w:hAnsiTheme="majorHAnsi" w:cstheme="majorHAnsi"/>
          <w:sz w:val="24"/>
          <w:szCs w:val="24"/>
          <w:lang w:val="ro-MD"/>
        </w:rPr>
        <w:t xml:space="preserve">ților </w:t>
      </w:r>
      <w:r w:rsidR="00B2183D" w:rsidRPr="00401691">
        <w:rPr>
          <w:rFonts w:asciiTheme="majorHAnsi" w:hAnsiTheme="majorHAnsi" w:cstheme="majorHAnsi"/>
          <w:sz w:val="24"/>
          <w:szCs w:val="24"/>
          <w:lang w:val="ro-MD"/>
        </w:rPr>
        <w:t>aferente TVA</w:t>
      </w:r>
      <w:r w:rsidR="004F68C1" w:rsidRPr="00401691">
        <w:rPr>
          <w:rFonts w:asciiTheme="majorHAnsi" w:hAnsiTheme="majorHAnsi" w:cstheme="majorHAnsi"/>
          <w:sz w:val="24"/>
          <w:szCs w:val="24"/>
          <w:lang w:val="ro-MD"/>
        </w:rPr>
        <w:t>. A</w:t>
      </w:r>
      <w:r w:rsidR="00B2183D" w:rsidRPr="00401691">
        <w:rPr>
          <w:rFonts w:asciiTheme="majorHAnsi" w:hAnsiTheme="majorHAnsi" w:cstheme="majorHAnsi"/>
          <w:sz w:val="24"/>
          <w:szCs w:val="24"/>
          <w:lang w:val="ro-MD"/>
        </w:rPr>
        <w:t>stfel</w:t>
      </w:r>
      <w:r w:rsidR="000649B1">
        <w:rPr>
          <w:rFonts w:asciiTheme="majorHAnsi" w:hAnsiTheme="majorHAnsi" w:cstheme="majorHAnsi"/>
          <w:sz w:val="24"/>
          <w:szCs w:val="24"/>
          <w:lang w:val="ro-MD"/>
        </w:rPr>
        <w:t>,</w:t>
      </w:r>
      <w:r w:rsidR="004C006C" w:rsidRPr="00401691">
        <w:rPr>
          <w:rFonts w:asciiTheme="majorHAnsi" w:hAnsiTheme="majorHAnsi" w:cstheme="majorHAnsi"/>
          <w:lang w:val="ro-MD"/>
        </w:rPr>
        <w:t xml:space="preserve"> </w:t>
      </w:r>
      <w:r w:rsidR="004C006C" w:rsidRPr="00401691">
        <w:rPr>
          <w:rFonts w:asciiTheme="majorHAnsi" w:hAnsiTheme="majorHAnsi" w:cstheme="majorHAnsi"/>
          <w:sz w:val="24"/>
          <w:szCs w:val="24"/>
          <w:lang w:val="ro-MD"/>
        </w:rPr>
        <w:t>comparativ cu indicatorii bugetari prognozați</w:t>
      </w:r>
      <w:r w:rsidR="000649B1">
        <w:rPr>
          <w:rFonts w:asciiTheme="majorHAnsi" w:hAnsiTheme="majorHAnsi" w:cstheme="majorHAnsi"/>
          <w:sz w:val="24"/>
          <w:szCs w:val="24"/>
          <w:lang w:val="ro-MD"/>
        </w:rPr>
        <w:t>,</w:t>
      </w:r>
      <w:r w:rsidR="00665E5A" w:rsidRPr="00401691">
        <w:rPr>
          <w:rFonts w:asciiTheme="majorHAnsi" w:hAnsiTheme="majorHAnsi" w:cstheme="majorHAnsi"/>
          <w:sz w:val="24"/>
          <w:szCs w:val="24"/>
          <w:lang w:val="ro-MD"/>
        </w:rPr>
        <w:t xml:space="preserve"> suma ne</w:t>
      </w:r>
      <w:r w:rsidR="000649B1">
        <w:rPr>
          <w:rFonts w:asciiTheme="majorHAnsi" w:hAnsiTheme="majorHAnsi" w:cstheme="majorHAnsi"/>
          <w:sz w:val="24"/>
          <w:szCs w:val="24"/>
          <w:lang w:val="ro-MD"/>
        </w:rPr>
        <w:t>încas</w:t>
      </w:r>
      <w:r w:rsidR="00665E5A" w:rsidRPr="00401691">
        <w:rPr>
          <w:rFonts w:asciiTheme="majorHAnsi" w:hAnsiTheme="majorHAnsi" w:cstheme="majorHAnsi"/>
          <w:sz w:val="24"/>
          <w:szCs w:val="24"/>
          <w:lang w:val="ro-MD"/>
        </w:rPr>
        <w:t>ată</w:t>
      </w:r>
      <w:r w:rsidR="004C006C" w:rsidRPr="00401691">
        <w:rPr>
          <w:rFonts w:asciiTheme="majorHAnsi" w:hAnsiTheme="majorHAnsi" w:cstheme="majorHAnsi"/>
          <w:sz w:val="24"/>
          <w:szCs w:val="24"/>
          <w:lang w:val="ro-MD"/>
        </w:rPr>
        <w:t xml:space="preserve"> </w:t>
      </w:r>
      <w:r w:rsidR="00F11214" w:rsidRPr="00401691">
        <w:rPr>
          <w:rFonts w:asciiTheme="majorHAnsi" w:hAnsiTheme="majorHAnsi" w:cstheme="majorHAnsi"/>
          <w:sz w:val="24"/>
          <w:szCs w:val="24"/>
          <w:lang w:val="ro-MD"/>
        </w:rPr>
        <w:t>a constituit</w:t>
      </w:r>
      <w:r w:rsidR="000649B1">
        <w:rPr>
          <w:rFonts w:asciiTheme="majorHAnsi" w:hAnsiTheme="majorHAnsi" w:cstheme="majorHAnsi"/>
          <w:sz w:val="24"/>
          <w:szCs w:val="24"/>
          <w:lang w:val="ro-MD"/>
        </w:rPr>
        <w:t>,</w:t>
      </w:r>
      <w:r w:rsidR="004C006C" w:rsidRPr="00401691">
        <w:rPr>
          <w:rFonts w:asciiTheme="majorHAnsi" w:hAnsiTheme="majorHAnsi" w:cstheme="majorHAnsi"/>
          <w:sz w:val="24"/>
          <w:szCs w:val="24"/>
          <w:lang w:val="ro-MD"/>
        </w:rPr>
        <w:t xml:space="preserve"> în valoare nominală</w:t>
      </w:r>
      <w:r w:rsidR="000649B1">
        <w:rPr>
          <w:rFonts w:asciiTheme="majorHAnsi" w:hAnsiTheme="majorHAnsi" w:cstheme="majorHAnsi"/>
          <w:sz w:val="24"/>
          <w:szCs w:val="24"/>
          <w:lang w:val="ro-MD"/>
        </w:rPr>
        <w:t xml:space="preserve">, </w:t>
      </w:r>
      <w:r w:rsidR="007635D5" w:rsidRPr="00401691">
        <w:rPr>
          <w:rFonts w:asciiTheme="majorHAnsi" w:hAnsiTheme="majorHAnsi" w:cstheme="majorHAnsi"/>
          <w:sz w:val="24"/>
          <w:szCs w:val="24"/>
          <w:lang w:val="ro-MD"/>
        </w:rPr>
        <w:t xml:space="preserve"> </w:t>
      </w:r>
      <w:r w:rsidR="004C006C" w:rsidRPr="00401691">
        <w:rPr>
          <w:rFonts w:asciiTheme="majorHAnsi" w:eastAsia="Times New Roman" w:hAnsiTheme="majorHAnsi" w:cstheme="majorHAnsi"/>
          <w:color w:val="000000"/>
          <w:sz w:val="24"/>
          <w:szCs w:val="24"/>
          <w:lang w:val="ro-MD"/>
        </w:rPr>
        <w:t>110,8 mil</w:t>
      </w:r>
      <w:r w:rsidR="00665E5A" w:rsidRPr="00401691">
        <w:rPr>
          <w:rFonts w:asciiTheme="majorHAnsi" w:eastAsia="Times New Roman" w:hAnsiTheme="majorHAnsi" w:cstheme="majorHAnsi"/>
          <w:color w:val="000000"/>
          <w:sz w:val="24"/>
          <w:szCs w:val="24"/>
          <w:lang w:val="ro-MD"/>
        </w:rPr>
        <w:t>.</w:t>
      </w:r>
      <w:r w:rsidR="004C006C" w:rsidRPr="00401691">
        <w:rPr>
          <w:rFonts w:asciiTheme="majorHAnsi" w:eastAsia="Times New Roman" w:hAnsiTheme="majorHAnsi" w:cstheme="majorHAnsi"/>
          <w:color w:val="000000"/>
          <w:sz w:val="24"/>
          <w:szCs w:val="24"/>
          <w:lang w:val="ro-MD"/>
        </w:rPr>
        <w:t xml:space="preserve"> lei</w:t>
      </w:r>
      <w:r w:rsidR="004C006C" w:rsidRPr="00401691">
        <w:rPr>
          <w:rFonts w:asciiTheme="majorHAnsi" w:hAnsiTheme="majorHAnsi" w:cstheme="majorHAnsi"/>
          <w:sz w:val="24"/>
          <w:szCs w:val="24"/>
          <w:lang w:val="ro-MD"/>
        </w:rPr>
        <w:t>.</w:t>
      </w:r>
      <w:r w:rsidR="008E1232" w:rsidRPr="00401691">
        <w:rPr>
          <w:rFonts w:asciiTheme="majorHAnsi" w:hAnsiTheme="majorHAnsi" w:cstheme="majorHAnsi"/>
          <w:sz w:val="24"/>
          <w:szCs w:val="24"/>
          <w:lang w:val="ro-MD"/>
        </w:rPr>
        <w:t xml:space="preserve"> Conform statisticilor fiscale</w:t>
      </w:r>
      <w:r w:rsidR="000649B1">
        <w:rPr>
          <w:rFonts w:asciiTheme="majorHAnsi" w:hAnsiTheme="majorHAnsi" w:cstheme="majorHAnsi"/>
          <w:sz w:val="24"/>
          <w:szCs w:val="24"/>
          <w:lang w:val="ro-MD"/>
        </w:rPr>
        <w:t>,</w:t>
      </w:r>
      <w:r w:rsidR="008E1232" w:rsidRPr="00401691">
        <w:rPr>
          <w:rFonts w:asciiTheme="majorHAnsi" w:hAnsiTheme="majorHAnsi" w:cstheme="majorHAnsi"/>
          <w:sz w:val="24"/>
          <w:szCs w:val="24"/>
          <w:lang w:val="ro-MD"/>
        </w:rPr>
        <w:t xml:space="preserve"> î</w:t>
      </w:r>
      <w:r w:rsidR="009D76FD">
        <w:rPr>
          <w:rFonts w:asciiTheme="majorHAnsi" w:hAnsiTheme="majorHAnsi" w:cstheme="majorHAnsi"/>
          <w:sz w:val="24"/>
          <w:szCs w:val="24"/>
          <w:lang w:val="ro-MD"/>
        </w:rPr>
        <w:t xml:space="preserve">n anul 2019 contribuabilii </w:t>
      </w:r>
      <w:r w:rsidR="004C006C" w:rsidRPr="00401691">
        <w:rPr>
          <w:rFonts w:asciiTheme="majorHAnsi" w:hAnsiTheme="majorHAnsi" w:cstheme="majorHAnsi"/>
          <w:sz w:val="24"/>
          <w:szCs w:val="24"/>
          <w:lang w:val="ro-MD"/>
        </w:rPr>
        <w:t xml:space="preserve">au beneficiat de diferite facilități </w:t>
      </w:r>
      <w:r w:rsidR="004F68C1" w:rsidRPr="00401691">
        <w:rPr>
          <w:rFonts w:asciiTheme="majorHAnsi" w:hAnsiTheme="majorHAnsi" w:cstheme="majorHAnsi"/>
          <w:sz w:val="24"/>
          <w:szCs w:val="24"/>
          <w:lang w:val="ro-MD"/>
        </w:rPr>
        <w:t xml:space="preserve">fiscale </w:t>
      </w:r>
      <w:r w:rsidR="00781A7F" w:rsidRPr="00401691">
        <w:rPr>
          <w:rFonts w:asciiTheme="majorHAnsi" w:hAnsiTheme="majorHAnsi" w:cstheme="majorHAnsi"/>
          <w:sz w:val="24"/>
          <w:szCs w:val="24"/>
          <w:lang w:val="ro-MD"/>
        </w:rPr>
        <w:t xml:space="preserve">aferente </w:t>
      </w:r>
      <w:r w:rsidR="00A028CE" w:rsidRPr="00401691">
        <w:rPr>
          <w:rFonts w:asciiTheme="majorHAnsi" w:hAnsiTheme="majorHAnsi" w:cstheme="majorHAnsi"/>
          <w:sz w:val="24"/>
          <w:szCs w:val="24"/>
          <w:lang w:val="ro-MD"/>
        </w:rPr>
        <w:t>pl</w:t>
      </w:r>
      <w:r w:rsidR="000649B1">
        <w:rPr>
          <w:rFonts w:asciiTheme="majorHAnsi" w:hAnsiTheme="majorHAnsi" w:cstheme="majorHAnsi"/>
          <w:sz w:val="24"/>
          <w:szCs w:val="24"/>
          <w:lang w:val="ro-MD"/>
        </w:rPr>
        <w:t>ă</w:t>
      </w:r>
      <w:r w:rsidR="00A028CE" w:rsidRPr="00401691">
        <w:rPr>
          <w:rFonts w:asciiTheme="majorHAnsi" w:hAnsiTheme="majorHAnsi" w:cstheme="majorHAnsi"/>
          <w:sz w:val="24"/>
          <w:szCs w:val="24"/>
          <w:lang w:val="ro-MD"/>
        </w:rPr>
        <w:t xml:space="preserve">ții </w:t>
      </w:r>
      <w:r w:rsidR="004F68C1" w:rsidRPr="00401691">
        <w:rPr>
          <w:rFonts w:asciiTheme="majorHAnsi" w:hAnsiTheme="majorHAnsi" w:cstheme="majorHAnsi"/>
          <w:sz w:val="24"/>
          <w:szCs w:val="24"/>
          <w:lang w:val="ro-MD"/>
        </w:rPr>
        <w:t>TVA</w:t>
      </w:r>
      <w:r w:rsidR="000649B1">
        <w:rPr>
          <w:rFonts w:asciiTheme="majorHAnsi" w:hAnsiTheme="majorHAnsi" w:cstheme="majorHAnsi"/>
          <w:sz w:val="24"/>
          <w:szCs w:val="24"/>
          <w:lang w:val="ro-MD"/>
        </w:rPr>
        <w:t>,</w:t>
      </w:r>
      <w:r w:rsidR="00A028CE" w:rsidRPr="00401691">
        <w:rPr>
          <w:rFonts w:asciiTheme="majorHAnsi" w:hAnsiTheme="majorHAnsi" w:cstheme="majorHAnsi"/>
          <w:sz w:val="24"/>
          <w:szCs w:val="24"/>
          <w:lang w:val="ro-MD"/>
        </w:rPr>
        <w:t xml:space="preserve"> în </w:t>
      </w:r>
      <w:r w:rsidR="004F68C1" w:rsidRPr="00401691">
        <w:rPr>
          <w:rFonts w:asciiTheme="majorHAnsi" w:hAnsiTheme="majorHAnsi" w:cstheme="majorHAnsi"/>
          <w:sz w:val="24"/>
          <w:szCs w:val="24"/>
          <w:lang w:val="ro-MD"/>
        </w:rPr>
        <w:t xml:space="preserve">valoare totală de </w:t>
      </w:r>
      <w:r w:rsidR="00A028CE" w:rsidRPr="00401691">
        <w:rPr>
          <w:rFonts w:asciiTheme="majorHAnsi" w:hAnsiTheme="majorHAnsi" w:cstheme="majorHAnsi"/>
          <w:sz w:val="24"/>
          <w:szCs w:val="24"/>
          <w:lang w:val="ro-MD"/>
        </w:rPr>
        <w:t>19</w:t>
      </w:r>
      <w:r w:rsidR="004224F6" w:rsidRPr="00401691">
        <w:rPr>
          <w:rFonts w:asciiTheme="majorHAnsi" w:hAnsiTheme="majorHAnsi" w:cstheme="majorHAnsi"/>
          <w:sz w:val="24"/>
          <w:szCs w:val="24"/>
          <w:lang w:val="ro-MD"/>
        </w:rPr>
        <w:t>34,3</w:t>
      </w:r>
      <w:r w:rsidR="00A028CE" w:rsidRPr="00401691">
        <w:rPr>
          <w:rFonts w:asciiTheme="majorHAnsi" w:hAnsiTheme="majorHAnsi" w:cstheme="majorHAnsi"/>
          <w:sz w:val="24"/>
          <w:szCs w:val="24"/>
          <w:lang w:val="ro-MD"/>
        </w:rPr>
        <w:t xml:space="preserve"> mil</w:t>
      </w:r>
      <w:r w:rsidR="007635D5" w:rsidRPr="00401691">
        <w:rPr>
          <w:rFonts w:asciiTheme="majorHAnsi" w:hAnsiTheme="majorHAnsi" w:cstheme="majorHAnsi"/>
          <w:sz w:val="24"/>
          <w:szCs w:val="24"/>
          <w:lang w:val="ro-MD"/>
        </w:rPr>
        <w:t>.</w:t>
      </w:r>
      <w:r w:rsidR="00A028CE" w:rsidRPr="00401691">
        <w:rPr>
          <w:rFonts w:asciiTheme="majorHAnsi" w:hAnsiTheme="majorHAnsi" w:cstheme="majorHAnsi"/>
          <w:sz w:val="24"/>
          <w:szCs w:val="24"/>
          <w:lang w:val="ro-MD"/>
        </w:rPr>
        <w:t xml:space="preserve"> lei</w:t>
      </w:r>
      <w:r w:rsidR="00C32EC8" w:rsidRPr="00401691">
        <w:rPr>
          <w:rFonts w:asciiTheme="majorHAnsi" w:hAnsiTheme="majorHAnsi" w:cstheme="majorHAnsi"/>
          <w:sz w:val="24"/>
          <w:szCs w:val="24"/>
          <w:lang w:val="ro-MD"/>
        </w:rPr>
        <w:t>, iar c</w:t>
      </w:r>
      <w:r w:rsidR="00A028CE" w:rsidRPr="00401691">
        <w:rPr>
          <w:rFonts w:asciiTheme="majorHAnsi" w:hAnsiTheme="majorHAnsi" w:cstheme="majorHAnsi"/>
          <w:sz w:val="24"/>
          <w:szCs w:val="24"/>
          <w:lang w:val="ro-MD"/>
        </w:rPr>
        <w:t xml:space="preserve">onform </w:t>
      </w:r>
      <w:r w:rsidR="00C32EC8" w:rsidRPr="00401691">
        <w:rPr>
          <w:rFonts w:asciiTheme="majorHAnsi" w:hAnsiTheme="majorHAnsi" w:cstheme="majorHAnsi"/>
          <w:sz w:val="24"/>
          <w:szCs w:val="24"/>
          <w:lang w:val="ro-MD"/>
        </w:rPr>
        <w:t xml:space="preserve">deciziilor adoptate de SFS, </w:t>
      </w:r>
      <w:r w:rsidR="000649B1" w:rsidRPr="00401691">
        <w:rPr>
          <w:rFonts w:asciiTheme="majorHAnsi" w:hAnsiTheme="majorHAnsi" w:cstheme="majorHAnsi"/>
          <w:sz w:val="24"/>
          <w:szCs w:val="24"/>
          <w:lang w:val="ro-MD"/>
        </w:rPr>
        <w:t xml:space="preserve">TVA </w:t>
      </w:r>
      <w:r w:rsidR="00C32EC8" w:rsidRPr="00401691">
        <w:rPr>
          <w:rFonts w:asciiTheme="majorHAnsi" w:hAnsiTheme="majorHAnsi" w:cstheme="majorHAnsi"/>
          <w:sz w:val="24"/>
          <w:szCs w:val="24"/>
          <w:lang w:val="ro-MD"/>
        </w:rPr>
        <w:t>restitui</w:t>
      </w:r>
      <w:r w:rsidR="000649B1">
        <w:rPr>
          <w:rFonts w:asciiTheme="majorHAnsi" w:hAnsiTheme="majorHAnsi" w:cstheme="majorHAnsi"/>
          <w:sz w:val="24"/>
          <w:szCs w:val="24"/>
          <w:lang w:val="ro-MD"/>
        </w:rPr>
        <w:t>tă</w:t>
      </w:r>
      <w:r w:rsidR="00C32EC8" w:rsidRPr="00401691">
        <w:rPr>
          <w:rFonts w:asciiTheme="majorHAnsi" w:hAnsiTheme="majorHAnsi" w:cstheme="majorHAnsi"/>
          <w:sz w:val="24"/>
          <w:szCs w:val="24"/>
          <w:lang w:val="ro-MD"/>
        </w:rPr>
        <w:t xml:space="preserve"> </w:t>
      </w:r>
      <w:r w:rsidR="004224F6" w:rsidRPr="00401691">
        <w:rPr>
          <w:rFonts w:asciiTheme="majorHAnsi" w:hAnsiTheme="majorHAnsi" w:cstheme="majorHAnsi"/>
          <w:sz w:val="24"/>
          <w:szCs w:val="24"/>
          <w:lang w:val="ro-MD"/>
        </w:rPr>
        <w:t xml:space="preserve">a </w:t>
      </w:r>
      <w:r w:rsidR="008E1232" w:rsidRPr="00401691">
        <w:rPr>
          <w:rFonts w:asciiTheme="majorHAnsi" w:hAnsiTheme="majorHAnsi" w:cstheme="majorHAnsi"/>
          <w:sz w:val="24"/>
          <w:szCs w:val="24"/>
          <w:lang w:val="ro-MD"/>
        </w:rPr>
        <w:t xml:space="preserve">constituit </w:t>
      </w:r>
      <w:r w:rsidR="00C32EC8" w:rsidRPr="00401691">
        <w:rPr>
          <w:rFonts w:asciiTheme="majorHAnsi" w:hAnsiTheme="majorHAnsi" w:cstheme="majorHAnsi"/>
          <w:sz w:val="24"/>
          <w:szCs w:val="24"/>
          <w:lang w:val="ro-MD"/>
        </w:rPr>
        <w:t>sum</w:t>
      </w:r>
      <w:r w:rsidR="008E1232" w:rsidRPr="00401691">
        <w:rPr>
          <w:rFonts w:asciiTheme="majorHAnsi" w:hAnsiTheme="majorHAnsi" w:cstheme="majorHAnsi"/>
          <w:sz w:val="24"/>
          <w:szCs w:val="24"/>
          <w:lang w:val="ro-MD"/>
        </w:rPr>
        <w:t>a</w:t>
      </w:r>
      <w:r w:rsidR="00C32EC8" w:rsidRPr="00401691">
        <w:rPr>
          <w:rFonts w:asciiTheme="majorHAnsi" w:hAnsiTheme="majorHAnsi" w:cstheme="majorHAnsi"/>
          <w:sz w:val="24"/>
          <w:szCs w:val="24"/>
          <w:lang w:val="ro-MD"/>
        </w:rPr>
        <w:t xml:space="preserve"> de 2904,0 mil</w:t>
      </w:r>
      <w:r w:rsidR="00665E5A" w:rsidRPr="00401691">
        <w:rPr>
          <w:rFonts w:asciiTheme="majorHAnsi" w:hAnsiTheme="majorHAnsi" w:cstheme="majorHAnsi"/>
          <w:sz w:val="24"/>
          <w:szCs w:val="24"/>
          <w:lang w:val="ro-MD"/>
        </w:rPr>
        <w:t>.</w:t>
      </w:r>
      <w:r w:rsidR="00C32EC8" w:rsidRPr="00401691">
        <w:rPr>
          <w:rFonts w:asciiTheme="majorHAnsi" w:hAnsiTheme="majorHAnsi" w:cstheme="majorHAnsi"/>
          <w:sz w:val="24"/>
          <w:szCs w:val="24"/>
          <w:lang w:val="ro-MD"/>
        </w:rPr>
        <w:t xml:space="preserve"> lei. (De</w:t>
      </w:r>
      <w:r w:rsidR="000649B1">
        <w:rPr>
          <w:rFonts w:asciiTheme="majorHAnsi" w:hAnsiTheme="majorHAnsi" w:cstheme="majorHAnsi"/>
          <w:sz w:val="24"/>
          <w:szCs w:val="24"/>
          <w:lang w:val="ro-MD"/>
        </w:rPr>
        <w:t>s</w:t>
      </w:r>
      <w:r w:rsidR="00C32EC8" w:rsidRPr="00401691">
        <w:rPr>
          <w:rFonts w:asciiTheme="majorHAnsi" w:hAnsiTheme="majorHAnsi" w:cstheme="majorHAnsi"/>
          <w:sz w:val="24"/>
          <w:szCs w:val="24"/>
          <w:lang w:val="ro-MD"/>
        </w:rPr>
        <w:t xml:space="preserve">cifrarea facilităților la </w:t>
      </w:r>
      <w:r w:rsidR="00736CC0" w:rsidRPr="00401691">
        <w:rPr>
          <w:rFonts w:asciiTheme="majorHAnsi" w:hAnsiTheme="majorHAnsi" w:cstheme="majorHAnsi"/>
          <w:sz w:val="24"/>
          <w:szCs w:val="24"/>
          <w:lang w:val="ro-MD"/>
        </w:rPr>
        <w:t xml:space="preserve">TVA sunt expuse în tabelul din </w:t>
      </w:r>
      <w:r w:rsidR="000649B1">
        <w:rPr>
          <w:rFonts w:asciiTheme="majorHAnsi" w:hAnsiTheme="majorHAnsi" w:cstheme="majorHAnsi"/>
          <w:sz w:val="24"/>
          <w:szCs w:val="24"/>
          <w:lang w:val="ro-MD"/>
        </w:rPr>
        <w:t>A</w:t>
      </w:r>
      <w:r w:rsidR="00736CC0" w:rsidRPr="00401691">
        <w:rPr>
          <w:rFonts w:asciiTheme="majorHAnsi" w:hAnsiTheme="majorHAnsi" w:cstheme="majorHAnsi"/>
          <w:sz w:val="24"/>
          <w:szCs w:val="24"/>
          <w:lang w:val="ro-MD"/>
        </w:rPr>
        <w:t>nexa nr. 3)</w:t>
      </w:r>
      <w:r w:rsidR="001D6275" w:rsidRPr="00401691">
        <w:rPr>
          <w:rFonts w:asciiTheme="majorHAnsi" w:hAnsiTheme="majorHAnsi" w:cstheme="majorHAnsi"/>
          <w:sz w:val="24"/>
          <w:szCs w:val="24"/>
          <w:lang w:val="ro-MD"/>
        </w:rPr>
        <w:t>.</w:t>
      </w:r>
      <w:r w:rsidR="00A4511D" w:rsidRPr="00401691">
        <w:rPr>
          <w:rFonts w:asciiTheme="majorHAnsi" w:hAnsiTheme="majorHAnsi" w:cstheme="majorHAnsi"/>
          <w:sz w:val="24"/>
          <w:szCs w:val="24"/>
          <w:lang w:val="ro-MD"/>
        </w:rPr>
        <w:t xml:space="preserve"> </w:t>
      </w:r>
      <w:r>
        <w:rPr>
          <w:rFonts w:asciiTheme="majorHAnsi" w:hAnsiTheme="majorHAnsi" w:cstheme="majorHAnsi"/>
          <w:sz w:val="24"/>
          <w:szCs w:val="24"/>
          <w:lang w:val="ro-MD"/>
        </w:rPr>
        <w:t>A</w:t>
      </w:r>
      <w:r w:rsidR="003D561A" w:rsidRPr="00401691">
        <w:rPr>
          <w:rFonts w:asciiTheme="majorHAnsi" w:hAnsiTheme="majorHAnsi" w:cstheme="majorHAnsi"/>
          <w:sz w:val="24"/>
          <w:szCs w:val="24"/>
          <w:lang w:val="ro-MD"/>
        </w:rPr>
        <w:t>spect</w:t>
      </w:r>
      <w:r>
        <w:rPr>
          <w:rFonts w:asciiTheme="majorHAnsi" w:hAnsiTheme="majorHAnsi" w:cstheme="majorHAnsi"/>
          <w:sz w:val="24"/>
          <w:szCs w:val="24"/>
          <w:lang w:val="ro-MD"/>
        </w:rPr>
        <w:t>ul dat, deși</w:t>
      </w:r>
      <w:r w:rsidR="003D561A" w:rsidRPr="00401691">
        <w:rPr>
          <w:rFonts w:asciiTheme="majorHAnsi" w:hAnsiTheme="majorHAnsi" w:cstheme="majorHAnsi"/>
          <w:sz w:val="24"/>
          <w:szCs w:val="24"/>
          <w:lang w:val="ro-MD"/>
        </w:rPr>
        <w:t xml:space="preserve"> este unul </w:t>
      </w:r>
      <w:r w:rsidR="00A4511D" w:rsidRPr="00401691">
        <w:rPr>
          <w:rFonts w:asciiTheme="majorHAnsi" w:hAnsiTheme="majorHAnsi" w:cstheme="majorHAnsi"/>
          <w:sz w:val="24"/>
          <w:szCs w:val="24"/>
          <w:lang w:val="ro-MD"/>
        </w:rPr>
        <w:t>semnificativ</w:t>
      </w:r>
      <w:r w:rsidR="003D561A" w:rsidRPr="00401691">
        <w:rPr>
          <w:rFonts w:asciiTheme="majorHAnsi" w:hAnsiTheme="majorHAnsi" w:cstheme="majorHAnsi"/>
          <w:sz w:val="24"/>
          <w:szCs w:val="24"/>
          <w:lang w:val="ro-MD"/>
        </w:rPr>
        <w:t xml:space="preserve"> din punct</w:t>
      </w:r>
      <w:r w:rsidR="000649B1">
        <w:rPr>
          <w:rFonts w:asciiTheme="majorHAnsi" w:hAnsiTheme="majorHAnsi" w:cstheme="majorHAnsi"/>
          <w:sz w:val="24"/>
          <w:szCs w:val="24"/>
          <w:lang w:val="ro-MD"/>
        </w:rPr>
        <w:t>ul</w:t>
      </w:r>
      <w:r w:rsidR="003D561A" w:rsidRPr="00401691">
        <w:rPr>
          <w:rFonts w:asciiTheme="majorHAnsi" w:hAnsiTheme="majorHAnsi" w:cstheme="majorHAnsi"/>
          <w:sz w:val="24"/>
          <w:szCs w:val="24"/>
          <w:lang w:val="ro-MD"/>
        </w:rPr>
        <w:t xml:space="preserve"> de vedere a</w:t>
      </w:r>
      <w:r w:rsidR="000649B1">
        <w:rPr>
          <w:rFonts w:asciiTheme="majorHAnsi" w:hAnsiTheme="majorHAnsi" w:cstheme="majorHAnsi"/>
          <w:sz w:val="24"/>
          <w:szCs w:val="24"/>
          <w:lang w:val="ro-MD"/>
        </w:rPr>
        <w:t>l</w:t>
      </w:r>
      <w:r w:rsidR="003D561A" w:rsidRPr="00401691">
        <w:rPr>
          <w:rFonts w:asciiTheme="majorHAnsi" w:hAnsiTheme="majorHAnsi" w:cstheme="majorHAnsi"/>
          <w:sz w:val="24"/>
          <w:szCs w:val="24"/>
          <w:lang w:val="ro-MD"/>
        </w:rPr>
        <w:t xml:space="preserve"> materialității valorice</w:t>
      </w:r>
      <w:r>
        <w:rPr>
          <w:rFonts w:asciiTheme="majorHAnsi" w:hAnsiTheme="majorHAnsi" w:cstheme="majorHAnsi"/>
          <w:sz w:val="24"/>
          <w:szCs w:val="24"/>
          <w:lang w:val="ro-MD"/>
        </w:rPr>
        <w:t>,</w:t>
      </w:r>
      <w:r w:rsidR="003D561A" w:rsidRPr="00401691">
        <w:rPr>
          <w:rFonts w:asciiTheme="majorHAnsi" w:hAnsiTheme="majorHAnsi" w:cstheme="majorHAnsi"/>
          <w:sz w:val="24"/>
          <w:szCs w:val="24"/>
          <w:lang w:val="ro-MD"/>
        </w:rPr>
        <w:t xml:space="preserve"> dar și calitative</w:t>
      </w:r>
      <w:r w:rsidR="00A4511D" w:rsidRPr="00401691">
        <w:rPr>
          <w:rFonts w:asciiTheme="majorHAnsi" w:hAnsiTheme="majorHAnsi" w:cstheme="majorHAnsi"/>
          <w:sz w:val="24"/>
          <w:szCs w:val="24"/>
          <w:lang w:val="ro-MD"/>
        </w:rPr>
        <w:t>,</w:t>
      </w:r>
      <w:r w:rsidR="007635D5" w:rsidRPr="00401691">
        <w:rPr>
          <w:rFonts w:asciiTheme="majorHAnsi" w:hAnsiTheme="majorHAnsi" w:cstheme="majorHAnsi"/>
          <w:sz w:val="24"/>
          <w:szCs w:val="24"/>
          <w:lang w:val="ro-MD"/>
        </w:rPr>
        <w:t xml:space="preserve"> nu a fost auditat</w:t>
      </w:r>
      <w:r>
        <w:rPr>
          <w:rFonts w:asciiTheme="majorHAnsi" w:hAnsiTheme="majorHAnsi" w:cstheme="majorHAnsi"/>
          <w:sz w:val="24"/>
          <w:szCs w:val="24"/>
          <w:lang w:val="ro-MD"/>
        </w:rPr>
        <w:t>,</w:t>
      </w:r>
      <w:r w:rsidR="007635D5" w:rsidRPr="00401691">
        <w:rPr>
          <w:rFonts w:asciiTheme="majorHAnsi" w:hAnsiTheme="majorHAnsi" w:cstheme="majorHAnsi"/>
          <w:sz w:val="24"/>
          <w:szCs w:val="24"/>
          <w:lang w:val="ro-MD"/>
        </w:rPr>
        <w:t xml:space="preserve"> </w:t>
      </w:r>
      <w:r w:rsidR="00A4511D" w:rsidRPr="00401691">
        <w:rPr>
          <w:rFonts w:asciiTheme="majorHAnsi" w:hAnsiTheme="majorHAnsi" w:cstheme="majorHAnsi"/>
          <w:sz w:val="24"/>
          <w:szCs w:val="24"/>
          <w:lang w:val="ro-MD"/>
        </w:rPr>
        <w:t xml:space="preserve">din următoarele motive: </w:t>
      </w:r>
    </w:p>
    <w:p w:rsidR="00D275B5" w:rsidRPr="00401691" w:rsidRDefault="00A4511D" w:rsidP="00844145">
      <w:pPr>
        <w:pStyle w:val="ListParagraph"/>
        <w:numPr>
          <w:ilvl w:val="0"/>
          <w:numId w:val="14"/>
        </w:numPr>
        <w:tabs>
          <w:tab w:val="left" w:pos="540"/>
        </w:tabs>
        <w:spacing w:after="0" w:line="276" w:lineRule="auto"/>
        <w:ind w:left="540"/>
        <w:jc w:val="both"/>
        <w:rPr>
          <w:rFonts w:asciiTheme="majorHAnsi" w:hAnsiTheme="majorHAnsi" w:cstheme="majorHAnsi"/>
          <w:sz w:val="24"/>
          <w:szCs w:val="24"/>
          <w:lang w:val="ro-MD"/>
        </w:rPr>
      </w:pPr>
      <w:r w:rsidRPr="00401691">
        <w:rPr>
          <w:rFonts w:asciiTheme="majorHAnsi" w:hAnsiTheme="majorHAnsi" w:cstheme="majorHAnsi"/>
          <w:sz w:val="24"/>
          <w:szCs w:val="24"/>
          <w:lang w:val="ro-MD"/>
        </w:rPr>
        <w:t>aplicarea cotelor</w:t>
      </w:r>
      <w:r w:rsidR="00700FE6" w:rsidRPr="00401691">
        <w:rPr>
          <w:rFonts w:asciiTheme="majorHAnsi" w:hAnsiTheme="majorHAnsi" w:cstheme="majorHAnsi"/>
          <w:sz w:val="24"/>
          <w:szCs w:val="24"/>
          <w:lang w:val="ro-MD"/>
        </w:rPr>
        <w:t xml:space="preserve"> TVA</w:t>
      </w:r>
      <w:r w:rsidR="00F11214" w:rsidRPr="00401691">
        <w:rPr>
          <w:rFonts w:asciiTheme="majorHAnsi" w:hAnsiTheme="majorHAnsi" w:cstheme="majorHAnsi"/>
          <w:sz w:val="24"/>
          <w:szCs w:val="24"/>
          <w:lang w:val="ro-MD"/>
        </w:rPr>
        <w:t xml:space="preserve"> este diferențiată pentru</w:t>
      </w:r>
      <w:r w:rsidRPr="00401691">
        <w:rPr>
          <w:rFonts w:asciiTheme="majorHAnsi" w:hAnsiTheme="majorHAnsi" w:cstheme="majorHAnsi"/>
          <w:sz w:val="24"/>
          <w:szCs w:val="24"/>
          <w:lang w:val="ro-MD"/>
        </w:rPr>
        <w:t xml:space="preserve"> d</w:t>
      </w:r>
      <w:r w:rsidR="003939E3">
        <w:rPr>
          <w:rFonts w:asciiTheme="majorHAnsi" w:hAnsiTheme="majorHAnsi" w:cstheme="majorHAnsi"/>
          <w:sz w:val="24"/>
          <w:szCs w:val="24"/>
          <w:lang w:val="ro-MD"/>
        </w:rPr>
        <w:t>i</w:t>
      </w:r>
      <w:r w:rsidRPr="00401691">
        <w:rPr>
          <w:rFonts w:asciiTheme="majorHAnsi" w:hAnsiTheme="majorHAnsi" w:cstheme="majorHAnsi"/>
          <w:sz w:val="24"/>
          <w:szCs w:val="24"/>
          <w:lang w:val="ro-MD"/>
        </w:rPr>
        <w:t>ferite tipuri de mărfuri și servicii, acest segmen</w:t>
      </w:r>
      <w:r w:rsidR="00F11214" w:rsidRPr="00401691">
        <w:rPr>
          <w:rFonts w:asciiTheme="majorHAnsi" w:hAnsiTheme="majorHAnsi" w:cstheme="majorHAnsi"/>
          <w:sz w:val="24"/>
          <w:szCs w:val="24"/>
          <w:lang w:val="ro-MD"/>
        </w:rPr>
        <w:t>t de administrare fiscală fiind reglementat de un cadru</w:t>
      </w:r>
      <w:r w:rsidR="00700FE6" w:rsidRPr="00401691">
        <w:rPr>
          <w:rFonts w:asciiTheme="majorHAnsi" w:hAnsiTheme="majorHAnsi" w:cstheme="majorHAnsi"/>
          <w:sz w:val="24"/>
          <w:szCs w:val="24"/>
          <w:lang w:val="ro-MD"/>
        </w:rPr>
        <w:t xml:space="preserve"> normativ foarte complex</w:t>
      </w:r>
      <w:r w:rsidR="00CA2F86" w:rsidRPr="00401691">
        <w:rPr>
          <w:rFonts w:asciiTheme="majorHAnsi" w:hAnsiTheme="majorHAnsi" w:cstheme="majorHAnsi"/>
          <w:sz w:val="24"/>
          <w:szCs w:val="24"/>
          <w:lang w:val="ro-MD"/>
        </w:rPr>
        <w:t>;</w:t>
      </w:r>
      <w:r w:rsidR="003D561A" w:rsidRPr="00401691">
        <w:rPr>
          <w:rFonts w:asciiTheme="majorHAnsi" w:hAnsiTheme="majorHAnsi" w:cstheme="majorHAnsi"/>
          <w:sz w:val="24"/>
          <w:szCs w:val="24"/>
          <w:lang w:val="ro-MD"/>
        </w:rPr>
        <w:t xml:space="preserve"> </w:t>
      </w:r>
    </w:p>
    <w:p w:rsidR="00D275B5" w:rsidRPr="00401691" w:rsidRDefault="000A10B5" w:rsidP="00844145">
      <w:pPr>
        <w:pStyle w:val="ListParagraph"/>
        <w:numPr>
          <w:ilvl w:val="0"/>
          <w:numId w:val="14"/>
        </w:numPr>
        <w:tabs>
          <w:tab w:val="left" w:pos="540"/>
        </w:tabs>
        <w:spacing w:after="0" w:line="276" w:lineRule="auto"/>
        <w:ind w:left="540"/>
        <w:jc w:val="both"/>
        <w:rPr>
          <w:rFonts w:asciiTheme="majorHAnsi" w:hAnsiTheme="majorHAnsi" w:cstheme="majorHAnsi"/>
          <w:sz w:val="24"/>
          <w:szCs w:val="24"/>
          <w:lang w:val="ro-MD"/>
        </w:rPr>
      </w:pPr>
      <w:r w:rsidRPr="00401691">
        <w:rPr>
          <w:rFonts w:asciiTheme="majorHAnsi" w:hAnsiTheme="majorHAnsi" w:cstheme="majorHAnsi"/>
          <w:sz w:val="24"/>
          <w:szCs w:val="24"/>
          <w:lang w:val="ro-MD"/>
        </w:rPr>
        <w:lastRenderedPageBreak/>
        <w:t xml:space="preserve">în cadrul verificărilor </w:t>
      </w:r>
      <w:r w:rsidR="00250DD0">
        <w:rPr>
          <w:rFonts w:asciiTheme="majorHAnsi" w:hAnsiTheme="majorHAnsi" w:cstheme="majorHAnsi"/>
          <w:sz w:val="24"/>
          <w:szCs w:val="24"/>
          <w:lang w:val="ro-MD"/>
        </w:rPr>
        <w:t>este</w:t>
      </w:r>
      <w:r w:rsidRPr="00401691">
        <w:rPr>
          <w:rFonts w:asciiTheme="majorHAnsi" w:hAnsiTheme="majorHAnsi" w:cstheme="majorHAnsi"/>
          <w:sz w:val="24"/>
          <w:szCs w:val="24"/>
          <w:lang w:val="ro-MD"/>
        </w:rPr>
        <w:t xml:space="preserve"> </w:t>
      </w:r>
      <w:r w:rsidR="00F11214" w:rsidRPr="00401691">
        <w:rPr>
          <w:rFonts w:asciiTheme="majorHAnsi" w:hAnsiTheme="majorHAnsi" w:cstheme="majorHAnsi"/>
          <w:sz w:val="24"/>
          <w:szCs w:val="24"/>
          <w:lang w:val="ro-MD"/>
        </w:rPr>
        <w:t>neces</w:t>
      </w:r>
      <w:r w:rsidR="00250DD0">
        <w:rPr>
          <w:rFonts w:asciiTheme="majorHAnsi" w:hAnsiTheme="majorHAnsi" w:cstheme="majorHAnsi"/>
          <w:sz w:val="24"/>
          <w:szCs w:val="24"/>
          <w:lang w:val="ro-MD"/>
        </w:rPr>
        <w:t>ar</w:t>
      </w:r>
      <w:r w:rsidR="00F11214" w:rsidRPr="00401691">
        <w:rPr>
          <w:rFonts w:asciiTheme="majorHAnsi" w:hAnsiTheme="majorHAnsi" w:cstheme="majorHAnsi"/>
          <w:sz w:val="24"/>
          <w:szCs w:val="24"/>
          <w:lang w:val="ro-MD"/>
        </w:rPr>
        <w:t xml:space="preserve">ă confirmarea </w:t>
      </w:r>
      <w:r w:rsidR="00CA2F86" w:rsidRPr="00401691">
        <w:rPr>
          <w:rFonts w:asciiTheme="majorHAnsi" w:hAnsiTheme="majorHAnsi" w:cstheme="majorHAnsi"/>
          <w:sz w:val="24"/>
          <w:szCs w:val="24"/>
          <w:lang w:val="ro-MD"/>
        </w:rPr>
        <w:t xml:space="preserve">veridicității </w:t>
      </w:r>
      <w:r w:rsidR="009D76FD">
        <w:rPr>
          <w:rFonts w:asciiTheme="majorHAnsi" w:hAnsiTheme="majorHAnsi" w:cstheme="majorHAnsi"/>
          <w:sz w:val="24"/>
          <w:szCs w:val="24"/>
          <w:lang w:val="ro-MD"/>
        </w:rPr>
        <w:t>documentelor primare prin vizite și solicitări de informații de</w:t>
      </w:r>
      <w:r w:rsidR="003D561A" w:rsidRPr="00401691">
        <w:rPr>
          <w:rFonts w:asciiTheme="majorHAnsi" w:hAnsiTheme="majorHAnsi" w:cstheme="majorHAnsi"/>
          <w:sz w:val="24"/>
          <w:szCs w:val="24"/>
          <w:lang w:val="ro-MD"/>
        </w:rPr>
        <w:t xml:space="preserve"> la agenții economici</w:t>
      </w:r>
      <w:r w:rsidRPr="00401691">
        <w:rPr>
          <w:rFonts w:asciiTheme="majorHAnsi" w:hAnsiTheme="majorHAnsi" w:cstheme="majorHAnsi"/>
          <w:sz w:val="24"/>
          <w:szCs w:val="24"/>
          <w:lang w:val="ro-MD"/>
        </w:rPr>
        <w:t xml:space="preserve">, ceea ce nu era posibil de realizat în condițiile stării de urgentă </w:t>
      </w:r>
      <w:r w:rsidR="00250DD0">
        <w:rPr>
          <w:rFonts w:asciiTheme="majorHAnsi" w:hAnsiTheme="majorHAnsi" w:cstheme="majorHAnsi"/>
          <w:sz w:val="24"/>
          <w:szCs w:val="24"/>
          <w:lang w:val="ro-MD"/>
        </w:rPr>
        <w:t>di</w:t>
      </w:r>
      <w:r w:rsidRPr="00401691">
        <w:rPr>
          <w:rFonts w:asciiTheme="majorHAnsi" w:hAnsiTheme="majorHAnsi" w:cstheme="majorHAnsi"/>
          <w:sz w:val="24"/>
          <w:szCs w:val="24"/>
          <w:lang w:val="ro-MD"/>
        </w:rPr>
        <w:t>n țară;</w:t>
      </w:r>
    </w:p>
    <w:p w:rsidR="003D561A" w:rsidRPr="001E4A3A" w:rsidRDefault="00700FE6" w:rsidP="00844145">
      <w:pPr>
        <w:pStyle w:val="ListParagraph"/>
        <w:numPr>
          <w:ilvl w:val="0"/>
          <w:numId w:val="14"/>
        </w:numPr>
        <w:tabs>
          <w:tab w:val="left" w:pos="540"/>
        </w:tabs>
        <w:spacing w:after="120" w:line="276" w:lineRule="auto"/>
        <w:ind w:left="547"/>
        <w:contextualSpacing w:val="0"/>
        <w:jc w:val="both"/>
        <w:rPr>
          <w:rFonts w:asciiTheme="majorHAnsi" w:hAnsiTheme="majorHAnsi" w:cstheme="majorHAnsi"/>
          <w:sz w:val="24"/>
          <w:szCs w:val="24"/>
          <w:lang w:val="ro-MD"/>
        </w:rPr>
      </w:pPr>
      <w:r w:rsidRPr="001E4A3A">
        <w:rPr>
          <w:rFonts w:asciiTheme="majorHAnsi" w:hAnsiTheme="majorHAnsi" w:cstheme="majorHAnsi"/>
          <w:sz w:val="24"/>
          <w:szCs w:val="24"/>
          <w:lang w:val="ro-MD"/>
        </w:rPr>
        <w:t>echipa de audit</w:t>
      </w:r>
      <w:r w:rsidR="003D561A" w:rsidRPr="001E4A3A">
        <w:rPr>
          <w:rFonts w:asciiTheme="majorHAnsi" w:hAnsiTheme="majorHAnsi" w:cstheme="majorHAnsi"/>
          <w:sz w:val="24"/>
          <w:szCs w:val="24"/>
          <w:lang w:val="ro-MD"/>
        </w:rPr>
        <w:t xml:space="preserve"> a avut acces </w:t>
      </w:r>
      <w:r w:rsidR="000A10B5" w:rsidRPr="001E4A3A">
        <w:rPr>
          <w:rFonts w:asciiTheme="majorHAnsi" w:hAnsiTheme="majorHAnsi" w:cstheme="majorHAnsi"/>
          <w:sz w:val="24"/>
          <w:szCs w:val="24"/>
          <w:lang w:val="ro-MD"/>
        </w:rPr>
        <w:t xml:space="preserve">doar </w:t>
      </w:r>
      <w:r w:rsidR="003D561A" w:rsidRPr="001E4A3A">
        <w:rPr>
          <w:rFonts w:asciiTheme="majorHAnsi" w:hAnsiTheme="majorHAnsi" w:cstheme="majorHAnsi"/>
          <w:sz w:val="24"/>
          <w:szCs w:val="24"/>
          <w:lang w:val="ro-MD"/>
        </w:rPr>
        <w:t>la baze</w:t>
      </w:r>
      <w:r w:rsidR="000A10B5" w:rsidRPr="001E4A3A">
        <w:rPr>
          <w:rFonts w:asciiTheme="majorHAnsi" w:hAnsiTheme="majorHAnsi" w:cstheme="majorHAnsi"/>
          <w:sz w:val="24"/>
          <w:szCs w:val="24"/>
          <w:lang w:val="ro-MD"/>
        </w:rPr>
        <w:t>le</w:t>
      </w:r>
      <w:r w:rsidR="003D561A" w:rsidRPr="001E4A3A">
        <w:rPr>
          <w:rFonts w:asciiTheme="majorHAnsi" w:hAnsiTheme="majorHAnsi" w:cstheme="majorHAnsi"/>
          <w:sz w:val="24"/>
          <w:szCs w:val="24"/>
          <w:lang w:val="ro-MD"/>
        </w:rPr>
        <w:t xml:space="preserve"> de date </w:t>
      </w:r>
      <w:r w:rsidR="000A10B5" w:rsidRPr="001E4A3A">
        <w:rPr>
          <w:rFonts w:asciiTheme="majorHAnsi" w:hAnsiTheme="majorHAnsi" w:cstheme="majorHAnsi"/>
          <w:sz w:val="24"/>
          <w:szCs w:val="24"/>
          <w:lang w:val="ro-MD"/>
        </w:rPr>
        <w:t>agregate</w:t>
      </w:r>
      <w:r w:rsidR="008819C7" w:rsidRPr="001E4A3A">
        <w:rPr>
          <w:rFonts w:asciiTheme="majorHAnsi" w:hAnsiTheme="majorHAnsi" w:cstheme="majorHAnsi"/>
          <w:sz w:val="24"/>
          <w:szCs w:val="24"/>
          <w:lang w:val="ro-MD"/>
        </w:rPr>
        <w:t xml:space="preserve"> privind administrarea TVA</w:t>
      </w:r>
      <w:r w:rsidR="000A10B5" w:rsidRPr="001E4A3A">
        <w:rPr>
          <w:rFonts w:asciiTheme="majorHAnsi" w:hAnsiTheme="majorHAnsi" w:cstheme="majorHAnsi"/>
          <w:sz w:val="24"/>
          <w:szCs w:val="24"/>
          <w:lang w:val="ro-MD"/>
        </w:rPr>
        <w:t>.</w:t>
      </w:r>
    </w:p>
    <w:p w:rsidR="00700FE6" w:rsidRPr="00401691" w:rsidRDefault="000A10B5" w:rsidP="00844145">
      <w:pPr>
        <w:pStyle w:val="ListParagraph"/>
        <w:spacing w:after="120" w:line="276" w:lineRule="auto"/>
        <w:ind w:left="0"/>
        <w:contextualSpacing w:val="0"/>
        <w:jc w:val="both"/>
        <w:rPr>
          <w:rFonts w:asciiTheme="majorHAnsi" w:hAnsiTheme="majorHAnsi" w:cstheme="majorHAnsi"/>
          <w:sz w:val="24"/>
          <w:szCs w:val="24"/>
          <w:lang w:val="ro-MD"/>
        </w:rPr>
      </w:pPr>
      <w:r w:rsidRPr="00401691">
        <w:rPr>
          <w:rFonts w:asciiTheme="majorHAnsi" w:hAnsiTheme="majorHAnsi" w:cstheme="majorHAnsi"/>
          <w:sz w:val="24"/>
          <w:szCs w:val="24"/>
          <w:lang w:val="ro-MD"/>
        </w:rPr>
        <w:t>Reieșind din cele expuse</w:t>
      </w:r>
      <w:r w:rsidR="00250DD0">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w:t>
      </w:r>
      <w:r w:rsidR="00A4511D" w:rsidRPr="00401691">
        <w:rPr>
          <w:rFonts w:asciiTheme="majorHAnsi" w:hAnsiTheme="majorHAnsi" w:cstheme="majorHAnsi"/>
          <w:sz w:val="24"/>
          <w:szCs w:val="24"/>
          <w:lang w:val="ro-MD"/>
        </w:rPr>
        <w:t>echipa de audit consideră oportun ca această tematică să fie supusă verificărilor în cadrul unui aud</w:t>
      </w:r>
      <w:r w:rsidR="00700FE6" w:rsidRPr="00401691">
        <w:rPr>
          <w:rFonts w:asciiTheme="majorHAnsi" w:hAnsiTheme="majorHAnsi" w:cstheme="majorHAnsi"/>
          <w:sz w:val="24"/>
          <w:szCs w:val="24"/>
          <w:lang w:val="ro-MD"/>
        </w:rPr>
        <w:t>it separat</w:t>
      </w:r>
      <w:r w:rsidRPr="00401691">
        <w:rPr>
          <w:rFonts w:asciiTheme="majorHAnsi" w:hAnsiTheme="majorHAnsi" w:cstheme="majorHAnsi"/>
          <w:sz w:val="24"/>
          <w:szCs w:val="24"/>
          <w:lang w:val="ro-MD"/>
        </w:rPr>
        <w:t>, cu condiția accesului nelimitat la modulele SIA a</w:t>
      </w:r>
      <w:r w:rsidR="00464A5E">
        <w:rPr>
          <w:rFonts w:asciiTheme="majorHAnsi" w:hAnsiTheme="majorHAnsi" w:cstheme="majorHAnsi"/>
          <w:sz w:val="24"/>
          <w:szCs w:val="24"/>
          <w:lang w:val="ro-MD"/>
        </w:rPr>
        <w:t>l</w:t>
      </w:r>
      <w:r w:rsidRPr="00401691">
        <w:rPr>
          <w:rFonts w:asciiTheme="majorHAnsi" w:hAnsiTheme="majorHAnsi" w:cstheme="majorHAnsi"/>
          <w:sz w:val="24"/>
          <w:szCs w:val="24"/>
          <w:lang w:val="ro-MD"/>
        </w:rPr>
        <w:t xml:space="preserve"> SFS</w:t>
      </w:r>
      <w:r w:rsidR="00871304" w:rsidRPr="00401691">
        <w:rPr>
          <w:rFonts w:asciiTheme="majorHAnsi" w:hAnsiTheme="majorHAnsi" w:cstheme="majorHAnsi"/>
          <w:sz w:val="24"/>
          <w:szCs w:val="24"/>
          <w:lang w:val="ro-MD"/>
        </w:rPr>
        <w:t>,</w:t>
      </w:r>
      <w:r w:rsidR="00F11214" w:rsidRPr="00401691">
        <w:rPr>
          <w:rFonts w:asciiTheme="majorHAnsi" w:hAnsiTheme="majorHAnsi" w:cstheme="majorHAnsi"/>
          <w:sz w:val="24"/>
          <w:szCs w:val="24"/>
          <w:lang w:val="ro-MD"/>
        </w:rPr>
        <w:t xml:space="preserve"> sau</w:t>
      </w:r>
      <w:r w:rsidR="00871304" w:rsidRPr="00401691">
        <w:rPr>
          <w:rFonts w:asciiTheme="majorHAnsi" w:hAnsiTheme="majorHAnsi" w:cstheme="majorHAnsi"/>
          <w:sz w:val="24"/>
          <w:szCs w:val="24"/>
          <w:lang w:val="ro-MD"/>
        </w:rPr>
        <w:t xml:space="preserve"> în alte condiții auditul ar fi unul neeficient</w:t>
      </w:r>
      <w:r w:rsidR="00700FE6" w:rsidRPr="00401691">
        <w:rPr>
          <w:rFonts w:asciiTheme="majorHAnsi" w:hAnsiTheme="majorHAnsi" w:cstheme="majorHAnsi"/>
          <w:sz w:val="24"/>
          <w:szCs w:val="24"/>
          <w:lang w:val="ro-MD"/>
        </w:rPr>
        <w:t xml:space="preserve">. </w:t>
      </w:r>
    </w:p>
    <w:p w:rsidR="00D275B5" w:rsidRPr="00401691" w:rsidRDefault="00665E5A" w:rsidP="00844145">
      <w:pPr>
        <w:pStyle w:val="ListParagraph"/>
        <w:numPr>
          <w:ilvl w:val="0"/>
          <w:numId w:val="13"/>
        </w:numPr>
        <w:tabs>
          <w:tab w:val="left" w:pos="90"/>
          <w:tab w:val="left" w:pos="270"/>
        </w:tabs>
        <w:spacing w:after="120" w:line="276" w:lineRule="auto"/>
        <w:ind w:left="0" w:firstLine="0"/>
        <w:contextualSpacing w:val="0"/>
        <w:jc w:val="both"/>
        <w:rPr>
          <w:rFonts w:asciiTheme="majorHAnsi" w:hAnsiTheme="majorHAnsi" w:cstheme="majorHAnsi"/>
          <w:sz w:val="24"/>
          <w:szCs w:val="24"/>
          <w:lang w:val="ro-MD"/>
        </w:rPr>
      </w:pPr>
      <w:r w:rsidRPr="00401691">
        <w:rPr>
          <w:rFonts w:asciiTheme="majorHAnsi" w:hAnsiTheme="majorHAnsi" w:cstheme="majorHAnsi"/>
          <w:sz w:val="24"/>
          <w:szCs w:val="24"/>
          <w:lang w:val="ro-MD"/>
        </w:rPr>
        <w:t>Sub nivelul prognozat</w:t>
      </w:r>
      <w:r w:rsidRPr="00401691">
        <w:rPr>
          <w:rFonts w:asciiTheme="majorHAnsi" w:eastAsia="Times New Roman" w:hAnsiTheme="majorHAnsi" w:cstheme="majorHAnsi"/>
          <w:color w:val="000000"/>
          <w:sz w:val="24"/>
          <w:szCs w:val="24"/>
          <w:lang w:val="ro-MD"/>
        </w:rPr>
        <w:t xml:space="preserve"> au fost încasa</w:t>
      </w:r>
      <w:r w:rsidR="00F11214" w:rsidRPr="00401691">
        <w:rPr>
          <w:rFonts w:asciiTheme="majorHAnsi" w:eastAsia="Times New Roman" w:hAnsiTheme="majorHAnsi" w:cstheme="majorHAnsi"/>
          <w:color w:val="000000"/>
          <w:sz w:val="24"/>
          <w:szCs w:val="24"/>
          <w:lang w:val="ro-MD"/>
        </w:rPr>
        <w:t xml:space="preserve">te și veniturile provenite din </w:t>
      </w:r>
      <w:r w:rsidRPr="00401691">
        <w:rPr>
          <w:rFonts w:asciiTheme="majorHAnsi" w:hAnsiTheme="majorHAnsi" w:cstheme="majorHAnsi"/>
          <w:bCs/>
          <w:sz w:val="24"/>
          <w:szCs w:val="24"/>
          <w:lang w:val="ro-MD" w:eastAsia="ro-RO"/>
        </w:rPr>
        <w:t>impozitul pe venit, sau cu 38,7 mil. lei mai puțin decât s-a planificat. În</w:t>
      </w:r>
      <w:r w:rsidR="00523E8B" w:rsidRPr="00401691">
        <w:rPr>
          <w:rFonts w:asciiTheme="majorHAnsi" w:hAnsiTheme="majorHAnsi" w:cstheme="majorHAnsi"/>
          <w:bCs/>
          <w:sz w:val="24"/>
          <w:szCs w:val="24"/>
          <w:lang w:val="ro-MD" w:eastAsia="ro-RO"/>
        </w:rPr>
        <w:t xml:space="preserve"> scopul </w:t>
      </w:r>
      <w:r w:rsidR="002B05C9" w:rsidRPr="00401691">
        <w:rPr>
          <w:rFonts w:asciiTheme="majorHAnsi" w:hAnsiTheme="majorHAnsi" w:cstheme="majorHAnsi"/>
          <w:bCs/>
          <w:sz w:val="24"/>
          <w:szCs w:val="24"/>
          <w:lang w:val="ro-MD" w:eastAsia="ro-RO"/>
        </w:rPr>
        <w:t>eficientizării administrării fiscale prin monitorizarea respectării legislației fiscale privind onorarea obligației de prezentare a declarațiilor cu privire la impozitul pe venit</w:t>
      </w:r>
      <w:r w:rsidR="00523E8B" w:rsidRPr="00401691">
        <w:rPr>
          <w:rFonts w:asciiTheme="majorHAnsi" w:hAnsiTheme="majorHAnsi" w:cstheme="majorHAnsi"/>
          <w:bCs/>
          <w:sz w:val="24"/>
          <w:szCs w:val="24"/>
          <w:lang w:val="ro-MD" w:eastAsia="ro-RO"/>
        </w:rPr>
        <w:t xml:space="preserve">, </w:t>
      </w:r>
      <w:r w:rsidR="009D76FD">
        <w:rPr>
          <w:rFonts w:asciiTheme="majorHAnsi" w:hAnsiTheme="majorHAnsi" w:cstheme="majorHAnsi"/>
          <w:bCs/>
          <w:sz w:val="24"/>
          <w:szCs w:val="24"/>
          <w:lang w:val="ro-MD" w:eastAsia="ro-RO"/>
        </w:rPr>
        <w:t>organul fiscal</w:t>
      </w:r>
      <w:r w:rsidR="00464A5E">
        <w:rPr>
          <w:rFonts w:asciiTheme="majorHAnsi" w:hAnsiTheme="majorHAnsi" w:cstheme="majorHAnsi"/>
          <w:bCs/>
          <w:sz w:val="24"/>
          <w:szCs w:val="24"/>
          <w:lang w:val="ro-MD" w:eastAsia="ro-RO"/>
        </w:rPr>
        <w:t>,</w:t>
      </w:r>
      <w:r w:rsidR="009D76FD">
        <w:rPr>
          <w:rFonts w:asciiTheme="majorHAnsi" w:hAnsiTheme="majorHAnsi" w:cstheme="majorHAnsi"/>
          <w:bCs/>
          <w:sz w:val="24"/>
          <w:szCs w:val="24"/>
          <w:lang w:val="ro-MD" w:eastAsia="ro-RO"/>
        </w:rPr>
        <w:t xml:space="preserve"> </w:t>
      </w:r>
      <w:r w:rsidR="00523E8B" w:rsidRPr="00401691">
        <w:rPr>
          <w:rFonts w:asciiTheme="majorHAnsi" w:hAnsiTheme="majorHAnsi" w:cstheme="majorHAnsi"/>
          <w:bCs/>
          <w:sz w:val="24"/>
          <w:szCs w:val="24"/>
          <w:lang w:val="ro-MD" w:eastAsia="ro-RO"/>
        </w:rPr>
        <w:t xml:space="preserve">în baza indicației </w:t>
      </w:r>
      <w:r w:rsidR="009D76FD">
        <w:rPr>
          <w:rFonts w:asciiTheme="majorHAnsi" w:hAnsiTheme="majorHAnsi" w:cstheme="majorHAnsi"/>
          <w:bCs/>
          <w:sz w:val="24"/>
          <w:szCs w:val="24"/>
          <w:lang w:val="ro-MD" w:eastAsia="ro-RO"/>
        </w:rPr>
        <w:t xml:space="preserve">conducerii SFS </w:t>
      </w:r>
      <w:r w:rsidR="00523E8B" w:rsidRPr="00401691">
        <w:rPr>
          <w:rFonts w:asciiTheme="majorHAnsi" w:hAnsiTheme="majorHAnsi" w:cstheme="majorHAnsi"/>
          <w:bCs/>
          <w:sz w:val="24"/>
          <w:szCs w:val="24"/>
          <w:lang w:val="ro-MD" w:eastAsia="ro-RO"/>
        </w:rPr>
        <w:t>nr</w:t>
      </w:r>
      <w:r w:rsidR="00464A5E">
        <w:rPr>
          <w:rFonts w:asciiTheme="majorHAnsi" w:hAnsiTheme="majorHAnsi" w:cstheme="majorHAnsi"/>
          <w:bCs/>
          <w:sz w:val="24"/>
          <w:szCs w:val="24"/>
          <w:lang w:val="ro-MD" w:eastAsia="ro-RO"/>
        </w:rPr>
        <w:t>.</w:t>
      </w:r>
      <w:r w:rsidR="00523E8B" w:rsidRPr="00401691">
        <w:rPr>
          <w:rFonts w:asciiTheme="majorHAnsi" w:hAnsiTheme="majorHAnsi" w:cstheme="majorHAnsi"/>
          <w:bCs/>
          <w:sz w:val="24"/>
          <w:szCs w:val="24"/>
          <w:lang w:val="ro-MD" w:eastAsia="ro-RO"/>
        </w:rPr>
        <w:t xml:space="preserve"> 128 din 26.07.2019</w:t>
      </w:r>
      <w:r w:rsidR="00523E8B" w:rsidRPr="00401691">
        <w:rPr>
          <w:rStyle w:val="FootnoteReference"/>
          <w:rFonts w:asciiTheme="majorHAnsi" w:hAnsiTheme="majorHAnsi" w:cstheme="majorHAnsi"/>
          <w:bCs/>
          <w:sz w:val="24"/>
          <w:szCs w:val="24"/>
          <w:lang w:val="ro-MD" w:eastAsia="ro-RO"/>
        </w:rPr>
        <w:footnoteReference w:id="5"/>
      </w:r>
      <w:r w:rsidR="00464A5E">
        <w:rPr>
          <w:rFonts w:asciiTheme="majorHAnsi" w:hAnsiTheme="majorHAnsi" w:cstheme="majorHAnsi"/>
          <w:bCs/>
          <w:sz w:val="24"/>
          <w:szCs w:val="24"/>
          <w:lang w:val="ro-MD" w:eastAsia="ro-RO"/>
        </w:rPr>
        <w:t>,</w:t>
      </w:r>
      <w:r w:rsidR="00523E8B" w:rsidRPr="00401691">
        <w:rPr>
          <w:rFonts w:asciiTheme="majorHAnsi" w:hAnsiTheme="majorHAnsi" w:cstheme="majorHAnsi"/>
          <w:bCs/>
          <w:sz w:val="24"/>
          <w:szCs w:val="24"/>
          <w:lang w:val="ro-MD" w:eastAsia="ro-RO"/>
        </w:rPr>
        <w:t xml:space="preserve"> a dispus subdiviziunilor</w:t>
      </w:r>
      <w:r w:rsidR="00E53CDD" w:rsidRPr="00401691">
        <w:rPr>
          <w:rFonts w:asciiTheme="majorHAnsi" w:hAnsiTheme="majorHAnsi" w:cstheme="majorHAnsi"/>
          <w:bCs/>
          <w:sz w:val="24"/>
          <w:szCs w:val="24"/>
          <w:lang w:val="ro-MD" w:eastAsia="ro-RO"/>
        </w:rPr>
        <w:t xml:space="preserve"> să </w:t>
      </w:r>
      <w:r w:rsidR="00523E8B" w:rsidRPr="00401691">
        <w:rPr>
          <w:rFonts w:asciiTheme="majorHAnsi" w:hAnsiTheme="majorHAnsi" w:cstheme="majorHAnsi"/>
          <w:bCs/>
          <w:sz w:val="24"/>
          <w:szCs w:val="24"/>
          <w:lang w:val="ro-MD" w:eastAsia="ro-RO"/>
        </w:rPr>
        <w:t>întreprind</w:t>
      </w:r>
      <w:r w:rsidR="00E53CDD" w:rsidRPr="00401691">
        <w:rPr>
          <w:rFonts w:asciiTheme="majorHAnsi" w:hAnsiTheme="majorHAnsi" w:cstheme="majorHAnsi"/>
          <w:bCs/>
          <w:sz w:val="24"/>
          <w:szCs w:val="24"/>
          <w:lang w:val="ro-MD" w:eastAsia="ro-RO"/>
        </w:rPr>
        <w:t xml:space="preserve">ă acțiuni </w:t>
      </w:r>
      <w:r w:rsidR="00523E8B" w:rsidRPr="00401691">
        <w:rPr>
          <w:rFonts w:asciiTheme="majorHAnsi" w:hAnsiTheme="majorHAnsi" w:cstheme="majorHAnsi"/>
          <w:bCs/>
          <w:sz w:val="24"/>
          <w:szCs w:val="24"/>
          <w:lang w:val="ro-MD" w:eastAsia="ro-RO"/>
        </w:rPr>
        <w:t xml:space="preserve">de conformare </w:t>
      </w:r>
      <w:r w:rsidR="002B05C9" w:rsidRPr="00401691">
        <w:rPr>
          <w:rFonts w:asciiTheme="majorHAnsi" w:hAnsiTheme="majorHAnsi" w:cstheme="majorHAnsi"/>
          <w:bCs/>
          <w:sz w:val="24"/>
          <w:szCs w:val="24"/>
          <w:lang w:val="ro-MD" w:eastAsia="ro-RO"/>
        </w:rPr>
        <w:t>benevolă</w:t>
      </w:r>
      <w:r w:rsidR="00E53CDD" w:rsidRPr="00401691">
        <w:rPr>
          <w:rFonts w:asciiTheme="majorHAnsi" w:hAnsiTheme="majorHAnsi" w:cstheme="majorHAnsi"/>
          <w:bCs/>
          <w:sz w:val="24"/>
          <w:szCs w:val="24"/>
          <w:lang w:val="ro-MD" w:eastAsia="ro-RO"/>
        </w:rPr>
        <w:t xml:space="preserve"> a contribuabililor</w:t>
      </w:r>
      <w:r w:rsidR="002B05C9" w:rsidRPr="00401691">
        <w:rPr>
          <w:rFonts w:asciiTheme="majorHAnsi" w:hAnsiTheme="majorHAnsi" w:cstheme="majorHAnsi"/>
          <w:bCs/>
          <w:sz w:val="24"/>
          <w:szCs w:val="24"/>
          <w:lang w:val="ro-MD" w:eastAsia="ro-RO"/>
        </w:rPr>
        <w:t>.</w:t>
      </w:r>
      <w:r w:rsidR="00603CC7" w:rsidRPr="00401691">
        <w:rPr>
          <w:rFonts w:asciiTheme="majorHAnsi" w:hAnsiTheme="majorHAnsi" w:cstheme="majorHAnsi"/>
          <w:bCs/>
          <w:sz w:val="24"/>
          <w:szCs w:val="24"/>
          <w:lang w:val="ro-MD" w:eastAsia="ro-RO"/>
        </w:rPr>
        <w:t xml:space="preserve"> </w:t>
      </w:r>
      <w:r w:rsidR="002B05C9" w:rsidRPr="00401691">
        <w:rPr>
          <w:rFonts w:asciiTheme="majorHAnsi" w:hAnsiTheme="majorHAnsi" w:cstheme="majorHAnsi"/>
          <w:bCs/>
          <w:sz w:val="24"/>
          <w:szCs w:val="24"/>
          <w:lang w:val="ro-MD" w:eastAsia="ro-RO"/>
        </w:rPr>
        <w:t xml:space="preserve">În rezultatul aplicării instrumentelor de </w:t>
      </w:r>
      <w:r w:rsidR="00E53CDD" w:rsidRPr="00401691">
        <w:rPr>
          <w:rFonts w:asciiTheme="majorHAnsi" w:hAnsiTheme="majorHAnsi" w:cstheme="majorHAnsi"/>
          <w:bCs/>
          <w:sz w:val="24"/>
          <w:szCs w:val="24"/>
          <w:lang w:val="ro-MD" w:eastAsia="ro-RO"/>
        </w:rPr>
        <w:t>conformare</w:t>
      </w:r>
      <w:r w:rsidR="002D77B0" w:rsidRPr="00401691">
        <w:rPr>
          <w:rFonts w:asciiTheme="majorHAnsi" w:hAnsiTheme="majorHAnsi" w:cstheme="majorHAnsi"/>
          <w:bCs/>
          <w:sz w:val="24"/>
          <w:szCs w:val="24"/>
          <w:lang w:val="ro-MD" w:eastAsia="ro-RO"/>
        </w:rPr>
        <w:t xml:space="preserve"> a</w:t>
      </w:r>
      <w:r w:rsidR="002B05C9" w:rsidRPr="00401691">
        <w:rPr>
          <w:rFonts w:asciiTheme="majorHAnsi" w:hAnsiTheme="majorHAnsi" w:cstheme="majorHAnsi"/>
          <w:bCs/>
          <w:sz w:val="24"/>
          <w:szCs w:val="24"/>
          <w:lang w:val="ro-MD" w:eastAsia="ro-RO"/>
        </w:rPr>
        <w:t xml:space="preserve"> contribuabililor</w:t>
      </w:r>
      <w:r w:rsidR="00464A5E">
        <w:rPr>
          <w:rFonts w:asciiTheme="majorHAnsi" w:hAnsiTheme="majorHAnsi" w:cstheme="majorHAnsi"/>
          <w:bCs/>
          <w:sz w:val="24"/>
          <w:szCs w:val="24"/>
          <w:lang w:val="ro-MD" w:eastAsia="ro-RO"/>
        </w:rPr>
        <w:t>,</w:t>
      </w:r>
      <w:r w:rsidR="002B05C9" w:rsidRPr="00401691">
        <w:rPr>
          <w:rFonts w:asciiTheme="majorHAnsi" w:hAnsiTheme="majorHAnsi" w:cstheme="majorHAnsi"/>
          <w:bCs/>
          <w:sz w:val="24"/>
          <w:szCs w:val="24"/>
          <w:lang w:val="ro-MD" w:eastAsia="ro-RO"/>
        </w:rPr>
        <w:t xml:space="preserve"> au fost suplimentar prezentate 4802</w:t>
      </w:r>
      <w:r w:rsidR="00FD7097" w:rsidRPr="00401691">
        <w:rPr>
          <w:rFonts w:asciiTheme="majorHAnsi" w:hAnsiTheme="majorHAnsi" w:cstheme="majorHAnsi"/>
          <w:bCs/>
          <w:sz w:val="24"/>
          <w:szCs w:val="24"/>
          <w:lang w:val="ro-MD" w:eastAsia="ro-RO"/>
        </w:rPr>
        <w:t xml:space="preserve"> declarații, sau 5% din numărul celor c</w:t>
      </w:r>
      <w:r w:rsidR="00464A5E">
        <w:rPr>
          <w:rFonts w:asciiTheme="majorHAnsi" w:hAnsiTheme="majorHAnsi" w:cstheme="majorHAnsi"/>
          <w:bCs/>
          <w:sz w:val="24"/>
          <w:szCs w:val="24"/>
          <w:lang w:val="ro-MD" w:eastAsia="ro-RO"/>
        </w:rPr>
        <w:t>ar</w:t>
      </w:r>
      <w:r w:rsidR="00FD7097" w:rsidRPr="00401691">
        <w:rPr>
          <w:rFonts w:asciiTheme="majorHAnsi" w:hAnsiTheme="majorHAnsi" w:cstheme="majorHAnsi"/>
          <w:bCs/>
          <w:sz w:val="24"/>
          <w:szCs w:val="24"/>
          <w:lang w:val="ro-MD" w:eastAsia="ro-RO"/>
        </w:rPr>
        <w:t>e nu au prezentat declarația cu privire la impozitul pe venit pentru anul 2018</w:t>
      </w:r>
      <w:r w:rsidR="00603CC7" w:rsidRPr="00401691">
        <w:rPr>
          <w:rFonts w:asciiTheme="majorHAnsi" w:hAnsiTheme="majorHAnsi" w:cstheme="majorHAnsi"/>
          <w:bCs/>
          <w:sz w:val="24"/>
          <w:szCs w:val="24"/>
          <w:lang w:val="ro-MD" w:eastAsia="ro-RO"/>
        </w:rPr>
        <w:t>,</w:t>
      </w:r>
      <w:r w:rsidR="00FD7097" w:rsidRPr="00401691">
        <w:rPr>
          <w:rFonts w:asciiTheme="majorHAnsi" w:hAnsiTheme="majorHAnsi" w:cstheme="majorHAnsi"/>
          <w:bCs/>
          <w:sz w:val="24"/>
          <w:szCs w:val="24"/>
          <w:lang w:val="ro-MD" w:eastAsia="ro-RO"/>
        </w:rPr>
        <w:t xml:space="preserve"> identificați de </w:t>
      </w:r>
      <w:r w:rsidR="00FD7097" w:rsidRPr="003F67AE">
        <w:rPr>
          <w:rFonts w:asciiTheme="majorHAnsi" w:hAnsiTheme="majorHAnsi" w:cstheme="majorHAnsi"/>
          <w:bCs/>
          <w:sz w:val="24"/>
          <w:szCs w:val="24"/>
          <w:lang w:val="ro-MD" w:eastAsia="ro-RO"/>
        </w:rPr>
        <w:t>DEIF.</w:t>
      </w:r>
      <w:r w:rsidR="00FD7097" w:rsidRPr="00401691">
        <w:rPr>
          <w:rFonts w:asciiTheme="majorHAnsi" w:hAnsiTheme="majorHAnsi" w:cstheme="majorHAnsi"/>
          <w:bCs/>
          <w:sz w:val="24"/>
          <w:szCs w:val="24"/>
          <w:lang w:val="ro-MD" w:eastAsia="ro-RO"/>
        </w:rPr>
        <w:t xml:space="preserve"> </w:t>
      </w:r>
      <w:r w:rsidR="002B05C9" w:rsidRPr="00401691">
        <w:rPr>
          <w:rFonts w:asciiTheme="majorHAnsi" w:hAnsiTheme="majorHAnsi" w:cstheme="majorHAnsi"/>
          <w:bCs/>
          <w:sz w:val="24"/>
          <w:szCs w:val="24"/>
          <w:lang w:val="ro-MD" w:eastAsia="ro-RO"/>
        </w:rPr>
        <w:t>Auditul atestă abordări di</w:t>
      </w:r>
      <w:r w:rsidR="002B05C9" w:rsidRPr="00401691">
        <w:rPr>
          <w:rFonts w:asciiTheme="majorHAnsi" w:hAnsiTheme="majorHAnsi" w:cstheme="majorHAnsi"/>
          <w:bCs/>
          <w:sz w:val="24"/>
          <w:szCs w:val="24"/>
          <w:lang w:val="ro-MD" w:eastAsia="ro-RO"/>
        </w:rPr>
        <w:lastRenderedPageBreak/>
        <w:t>ferențiate de către subdiviziunile SFS</w:t>
      </w:r>
      <w:r w:rsidR="00CB5A68" w:rsidRPr="00401691">
        <w:rPr>
          <w:rFonts w:asciiTheme="majorHAnsi" w:hAnsiTheme="majorHAnsi" w:cstheme="majorHAnsi"/>
          <w:bCs/>
          <w:sz w:val="24"/>
          <w:szCs w:val="24"/>
          <w:lang w:val="ro-MD" w:eastAsia="ro-RO"/>
        </w:rPr>
        <w:t xml:space="preserve"> privind</w:t>
      </w:r>
      <w:r w:rsidR="002D77B0" w:rsidRPr="00401691">
        <w:rPr>
          <w:rFonts w:asciiTheme="majorHAnsi" w:hAnsiTheme="majorHAnsi" w:cstheme="majorHAnsi"/>
          <w:bCs/>
          <w:sz w:val="24"/>
          <w:szCs w:val="24"/>
          <w:lang w:val="ro-MD" w:eastAsia="ro-RO"/>
        </w:rPr>
        <w:t xml:space="preserve"> responsabilizarea persoanelor cu funcții de răspundere a</w:t>
      </w:r>
      <w:r w:rsidR="00464A5E">
        <w:rPr>
          <w:rFonts w:asciiTheme="majorHAnsi" w:hAnsiTheme="majorHAnsi" w:cstheme="majorHAnsi"/>
          <w:bCs/>
          <w:sz w:val="24"/>
          <w:szCs w:val="24"/>
          <w:lang w:val="ro-MD" w:eastAsia="ro-RO"/>
        </w:rPr>
        <w:t>le</w:t>
      </w:r>
      <w:r w:rsidR="002D77B0" w:rsidRPr="00401691">
        <w:rPr>
          <w:rFonts w:asciiTheme="majorHAnsi" w:hAnsiTheme="majorHAnsi" w:cstheme="majorHAnsi"/>
          <w:bCs/>
          <w:sz w:val="24"/>
          <w:szCs w:val="24"/>
          <w:lang w:val="ro-MD" w:eastAsia="ro-RO"/>
        </w:rPr>
        <w:t xml:space="preserve"> contribuabililor</w:t>
      </w:r>
      <w:r w:rsidR="00BC1C02">
        <w:rPr>
          <w:rFonts w:asciiTheme="majorHAnsi" w:hAnsiTheme="majorHAnsi" w:cstheme="majorHAnsi"/>
          <w:bCs/>
          <w:sz w:val="24"/>
          <w:szCs w:val="24"/>
          <w:lang w:val="ro-MD" w:eastAsia="ro-RO"/>
        </w:rPr>
        <w:t>,</w:t>
      </w:r>
      <w:r w:rsidR="002D77B0" w:rsidRPr="00401691">
        <w:rPr>
          <w:rFonts w:asciiTheme="majorHAnsi" w:hAnsiTheme="majorHAnsi" w:cstheme="majorHAnsi"/>
          <w:bCs/>
          <w:sz w:val="24"/>
          <w:szCs w:val="24"/>
          <w:lang w:val="ro-MD" w:eastAsia="ro-RO"/>
        </w:rPr>
        <w:t xml:space="preserve"> care nu au prezentat declarațiile fiscale.</w:t>
      </w:r>
      <w:r w:rsidR="002B05C9" w:rsidRPr="00401691">
        <w:rPr>
          <w:rFonts w:asciiTheme="majorHAnsi" w:hAnsiTheme="majorHAnsi" w:cstheme="majorHAnsi"/>
          <w:bCs/>
          <w:sz w:val="24"/>
          <w:szCs w:val="24"/>
          <w:lang w:val="ro-MD" w:eastAsia="ro-RO"/>
        </w:rPr>
        <w:t xml:space="preserve"> </w:t>
      </w:r>
      <w:r w:rsidR="002D77B0" w:rsidRPr="00401691">
        <w:rPr>
          <w:rFonts w:asciiTheme="majorHAnsi" w:hAnsiTheme="majorHAnsi" w:cstheme="majorHAnsi"/>
          <w:bCs/>
          <w:sz w:val="24"/>
          <w:szCs w:val="24"/>
          <w:lang w:val="ro-MD" w:eastAsia="ro-RO"/>
        </w:rPr>
        <w:t>A</w:t>
      </w:r>
      <w:r w:rsidR="002B05C9" w:rsidRPr="00401691">
        <w:rPr>
          <w:rFonts w:asciiTheme="majorHAnsi" w:hAnsiTheme="majorHAnsi" w:cstheme="majorHAnsi"/>
          <w:bCs/>
          <w:sz w:val="24"/>
          <w:szCs w:val="24"/>
          <w:lang w:val="ro-MD" w:eastAsia="ro-RO"/>
        </w:rPr>
        <w:t>stfel</w:t>
      </w:r>
      <w:r w:rsidR="00464A5E">
        <w:rPr>
          <w:rFonts w:asciiTheme="majorHAnsi" w:hAnsiTheme="majorHAnsi" w:cstheme="majorHAnsi"/>
          <w:bCs/>
          <w:sz w:val="24"/>
          <w:szCs w:val="24"/>
          <w:lang w:val="ro-MD" w:eastAsia="ro-RO"/>
        </w:rPr>
        <w:t>,</w:t>
      </w:r>
      <w:r w:rsidR="002B05C9" w:rsidRPr="00401691">
        <w:rPr>
          <w:rFonts w:asciiTheme="majorHAnsi" w:hAnsiTheme="majorHAnsi" w:cstheme="majorHAnsi"/>
          <w:bCs/>
          <w:sz w:val="24"/>
          <w:szCs w:val="24"/>
          <w:lang w:val="ro-MD" w:eastAsia="ro-RO"/>
        </w:rPr>
        <w:t xml:space="preserve"> dacă unele</w:t>
      </w:r>
      <w:r w:rsidR="00CB5A68" w:rsidRPr="00401691">
        <w:rPr>
          <w:rFonts w:asciiTheme="majorHAnsi" w:hAnsiTheme="majorHAnsi" w:cstheme="majorHAnsi"/>
          <w:bCs/>
          <w:sz w:val="24"/>
          <w:szCs w:val="24"/>
          <w:lang w:val="ro-MD" w:eastAsia="ro-RO"/>
        </w:rPr>
        <w:t xml:space="preserve"> subdiviziuni</w:t>
      </w:r>
      <w:r w:rsidR="002B05C9" w:rsidRPr="00401691">
        <w:rPr>
          <w:rFonts w:asciiTheme="majorHAnsi" w:hAnsiTheme="majorHAnsi" w:cstheme="majorHAnsi"/>
          <w:bCs/>
          <w:sz w:val="24"/>
          <w:szCs w:val="24"/>
          <w:lang w:val="ro-MD" w:eastAsia="ro-RO"/>
        </w:rPr>
        <w:t xml:space="preserve"> au aplicat sancțiuni contravenționale, altele</w:t>
      </w:r>
      <w:r w:rsidR="002D77B0" w:rsidRPr="00401691">
        <w:rPr>
          <w:rFonts w:asciiTheme="majorHAnsi" w:hAnsiTheme="majorHAnsi" w:cstheme="majorHAnsi"/>
          <w:bCs/>
          <w:sz w:val="24"/>
          <w:szCs w:val="24"/>
          <w:lang w:val="ro-MD" w:eastAsia="ro-RO"/>
        </w:rPr>
        <w:t xml:space="preserve"> s-au limitat la avertizări</w:t>
      </w:r>
      <w:r w:rsidR="00CB5A68" w:rsidRPr="00401691">
        <w:rPr>
          <w:rFonts w:asciiTheme="majorHAnsi" w:hAnsiTheme="majorHAnsi" w:cstheme="majorHAnsi"/>
          <w:bCs/>
          <w:sz w:val="24"/>
          <w:szCs w:val="24"/>
          <w:lang w:val="ro-MD" w:eastAsia="ro-RO"/>
        </w:rPr>
        <w:t xml:space="preserve"> față de contribuabili</w:t>
      </w:r>
      <w:r w:rsidR="00F11214" w:rsidRPr="00401691">
        <w:rPr>
          <w:rFonts w:asciiTheme="majorHAnsi" w:hAnsiTheme="majorHAnsi" w:cstheme="majorHAnsi"/>
          <w:bCs/>
          <w:sz w:val="24"/>
          <w:szCs w:val="24"/>
          <w:lang w:val="ro-MD" w:eastAsia="ro-RO"/>
        </w:rPr>
        <w:t>.</w:t>
      </w:r>
    </w:p>
    <w:p w:rsidR="00C36CF3" w:rsidRDefault="00C36B45" w:rsidP="00844145">
      <w:pPr>
        <w:spacing w:after="120" w:line="276" w:lineRule="auto"/>
        <w:jc w:val="both"/>
        <w:rPr>
          <w:rFonts w:asciiTheme="majorHAnsi" w:hAnsiTheme="majorHAnsi" w:cstheme="majorHAnsi"/>
          <w:sz w:val="24"/>
          <w:szCs w:val="24"/>
          <w:lang w:val="ro-MD"/>
        </w:rPr>
      </w:pPr>
      <w:r w:rsidRPr="00401691">
        <w:rPr>
          <w:rFonts w:asciiTheme="majorHAnsi" w:hAnsiTheme="majorHAnsi" w:cstheme="majorHAnsi"/>
          <w:sz w:val="24"/>
          <w:szCs w:val="24"/>
          <w:lang w:val="ro-MD"/>
        </w:rPr>
        <w:t>Deși</w:t>
      </w:r>
      <w:r w:rsidR="00E91898" w:rsidRPr="00401691">
        <w:rPr>
          <w:rFonts w:asciiTheme="majorHAnsi" w:hAnsiTheme="majorHAnsi" w:cstheme="majorHAnsi"/>
          <w:sz w:val="24"/>
          <w:szCs w:val="24"/>
          <w:lang w:val="ro-MD"/>
        </w:rPr>
        <w:t xml:space="preserve"> în </w:t>
      </w:r>
      <w:r w:rsidR="00BA1F90">
        <w:rPr>
          <w:rFonts w:asciiTheme="majorHAnsi" w:hAnsiTheme="majorHAnsi" w:cstheme="majorHAnsi"/>
          <w:sz w:val="24"/>
          <w:szCs w:val="24"/>
          <w:lang w:val="ro-MD"/>
        </w:rPr>
        <w:t>ultimii trei ani</w:t>
      </w:r>
      <w:r w:rsidR="00E91898" w:rsidRPr="00401691">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în termeni nominali</w:t>
      </w:r>
      <w:r w:rsidR="00464A5E">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se constată că veniturile colectate la BPN</w:t>
      </w:r>
      <w:r w:rsidR="00F12933">
        <w:rPr>
          <w:rFonts w:asciiTheme="majorHAnsi" w:hAnsiTheme="majorHAnsi" w:cstheme="majorHAnsi"/>
          <w:sz w:val="24"/>
          <w:szCs w:val="24"/>
          <w:lang w:val="ro-MD"/>
        </w:rPr>
        <w:t xml:space="preserve"> și BS</w:t>
      </w:r>
      <w:r w:rsidR="00E91898" w:rsidRPr="00401691">
        <w:rPr>
          <w:rFonts w:asciiTheme="majorHAnsi" w:hAnsiTheme="majorHAnsi" w:cstheme="majorHAnsi"/>
          <w:sz w:val="24"/>
          <w:szCs w:val="24"/>
          <w:lang w:val="ro-MD"/>
        </w:rPr>
        <w:t xml:space="preserve"> </w:t>
      </w:r>
      <w:r w:rsidRPr="00401691">
        <w:rPr>
          <w:rFonts w:asciiTheme="majorHAnsi" w:hAnsiTheme="majorHAnsi" w:cstheme="majorHAnsi"/>
          <w:sz w:val="24"/>
          <w:szCs w:val="24"/>
          <w:lang w:val="ro-MD"/>
        </w:rPr>
        <w:t>au înregistrat un trend ascendent</w:t>
      </w:r>
      <w:r w:rsidR="00E91898" w:rsidRPr="00401691">
        <w:rPr>
          <w:rFonts w:asciiTheme="majorHAnsi" w:hAnsiTheme="majorHAnsi" w:cstheme="majorHAnsi"/>
          <w:sz w:val="24"/>
          <w:szCs w:val="24"/>
          <w:lang w:val="ro-MD"/>
        </w:rPr>
        <w:t xml:space="preserve">, </w:t>
      </w:r>
      <w:r w:rsidRPr="00401691">
        <w:rPr>
          <w:rFonts w:asciiTheme="majorHAnsi" w:hAnsiTheme="majorHAnsi" w:cstheme="majorHAnsi"/>
          <w:sz w:val="24"/>
          <w:szCs w:val="24"/>
          <w:lang w:val="ro-MD"/>
        </w:rPr>
        <w:t>încasările veniturilor administrate de SFS s-au situat la un nivel descendent ca pondere în PIB</w:t>
      </w:r>
      <w:r w:rsidR="00E91898" w:rsidRPr="00401691">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Datele </w:t>
      </w:r>
      <w:r w:rsidR="004708CE">
        <w:rPr>
          <w:rFonts w:asciiTheme="majorHAnsi" w:hAnsiTheme="majorHAnsi" w:cstheme="majorHAnsi"/>
          <w:sz w:val="24"/>
          <w:szCs w:val="24"/>
          <w:lang w:val="ro-MD"/>
        </w:rPr>
        <w:t xml:space="preserve">în acest context </w:t>
      </w:r>
      <w:r w:rsidRPr="00401691">
        <w:rPr>
          <w:rFonts w:asciiTheme="majorHAnsi" w:hAnsiTheme="majorHAnsi" w:cstheme="majorHAnsi"/>
          <w:sz w:val="24"/>
          <w:szCs w:val="24"/>
          <w:lang w:val="ro-MD"/>
        </w:rPr>
        <w:t>sunt expuse</w:t>
      </w:r>
      <w:r w:rsidR="00C36CF3" w:rsidRPr="00401691">
        <w:rPr>
          <w:rFonts w:asciiTheme="majorHAnsi" w:hAnsiTheme="majorHAnsi" w:cstheme="majorHAnsi"/>
          <w:sz w:val="24"/>
          <w:szCs w:val="24"/>
          <w:lang w:val="ro-MD"/>
        </w:rPr>
        <w:t xml:space="preserve"> în </w:t>
      </w:r>
      <w:r w:rsidR="00464A5E">
        <w:rPr>
          <w:rFonts w:asciiTheme="majorHAnsi" w:hAnsiTheme="majorHAnsi" w:cstheme="majorHAnsi"/>
          <w:sz w:val="24"/>
          <w:szCs w:val="24"/>
          <w:lang w:val="ro-MD"/>
        </w:rPr>
        <w:t>D</w:t>
      </w:r>
      <w:r w:rsidR="00C36CF3" w:rsidRPr="00401691">
        <w:rPr>
          <w:rFonts w:asciiTheme="majorHAnsi" w:hAnsiTheme="majorHAnsi" w:cstheme="majorHAnsi"/>
          <w:sz w:val="24"/>
          <w:szCs w:val="24"/>
          <w:lang w:val="ro-MD"/>
        </w:rPr>
        <w:t>iagrama nr.</w:t>
      </w:r>
      <w:r w:rsidR="004D2F5C" w:rsidRPr="00401691">
        <w:rPr>
          <w:rFonts w:asciiTheme="majorHAnsi" w:hAnsiTheme="majorHAnsi" w:cstheme="majorHAnsi"/>
          <w:sz w:val="24"/>
          <w:szCs w:val="24"/>
          <w:lang w:val="ro-MD"/>
        </w:rPr>
        <w:t>1</w:t>
      </w:r>
      <w:r w:rsidR="00571A25">
        <w:rPr>
          <w:rFonts w:asciiTheme="majorHAnsi" w:hAnsiTheme="majorHAnsi" w:cstheme="majorHAnsi"/>
          <w:sz w:val="24"/>
          <w:szCs w:val="24"/>
          <w:lang w:val="ro-MD"/>
        </w:rPr>
        <w:t>.</w:t>
      </w:r>
    </w:p>
    <w:p w:rsidR="008E61DB" w:rsidRDefault="008E61DB" w:rsidP="008E61DB">
      <w:pPr>
        <w:spacing w:after="120" w:line="276" w:lineRule="auto"/>
        <w:jc w:val="right"/>
        <w:rPr>
          <w:rFonts w:asciiTheme="majorHAnsi" w:hAnsiTheme="majorHAnsi" w:cstheme="majorHAnsi"/>
          <w:i/>
          <w:sz w:val="24"/>
          <w:szCs w:val="24"/>
          <w:lang w:val="ro-MD"/>
        </w:rPr>
      </w:pPr>
      <w:r w:rsidRPr="008E61DB">
        <w:rPr>
          <w:rFonts w:asciiTheme="majorHAnsi" w:hAnsiTheme="majorHAnsi" w:cstheme="majorHAnsi"/>
          <w:i/>
          <w:sz w:val="24"/>
          <w:szCs w:val="24"/>
          <w:lang w:val="ro-MD"/>
        </w:rPr>
        <w:t xml:space="preserve">Diagrama nr.1 </w:t>
      </w:r>
    </w:p>
    <w:p w:rsidR="00C36CF3" w:rsidRPr="00401691" w:rsidRDefault="00C36CF3" w:rsidP="00F23036">
      <w:pPr>
        <w:spacing w:after="0" w:line="276" w:lineRule="auto"/>
        <w:jc w:val="center"/>
        <w:rPr>
          <w:rFonts w:asciiTheme="majorHAnsi" w:hAnsiTheme="majorHAnsi" w:cstheme="majorHAnsi"/>
          <w:sz w:val="24"/>
          <w:szCs w:val="24"/>
          <w:lang w:val="ro-MD"/>
        </w:rPr>
      </w:pPr>
      <w:r w:rsidRPr="00401691">
        <w:rPr>
          <w:rFonts w:asciiTheme="majorHAnsi" w:hAnsiTheme="majorHAnsi" w:cstheme="majorHAnsi"/>
          <w:noProof/>
        </w:rPr>
        <w:drawing>
          <wp:inline distT="0" distB="0" distL="0" distR="0" wp14:anchorId="7BF498EB" wp14:editId="719B78F0">
            <wp:extent cx="5098473" cy="2646218"/>
            <wp:effectExtent l="0" t="0" r="6985" b="190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961E7" w:rsidRPr="00502038" w:rsidRDefault="00C36CF3" w:rsidP="00F23036">
      <w:pPr>
        <w:tabs>
          <w:tab w:val="left" w:pos="5316"/>
          <w:tab w:val="left" w:pos="9450"/>
        </w:tabs>
        <w:spacing w:after="0" w:line="276" w:lineRule="auto"/>
        <w:ind w:left="1170" w:right="1076"/>
        <w:jc w:val="center"/>
        <w:rPr>
          <w:rFonts w:asciiTheme="majorHAnsi" w:hAnsiTheme="majorHAnsi" w:cstheme="majorHAnsi"/>
          <w:i/>
          <w:sz w:val="20"/>
          <w:szCs w:val="20"/>
          <w:lang w:val="ro-MD"/>
        </w:rPr>
      </w:pPr>
      <w:r w:rsidRPr="00502038">
        <w:rPr>
          <w:rFonts w:asciiTheme="majorHAnsi" w:hAnsiTheme="majorHAnsi" w:cstheme="majorHAnsi"/>
          <w:b/>
          <w:i/>
          <w:sz w:val="20"/>
          <w:szCs w:val="20"/>
          <w:lang w:val="ro-MD"/>
        </w:rPr>
        <w:t>Sursa:</w:t>
      </w:r>
      <w:r w:rsidRPr="00502038">
        <w:rPr>
          <w:rFonts w:asciiTheme="majorHAnsi" w:hAnsiTheme="majorHAnsi" w:cstheme="majorHAnsi"/>
          <w:i/>
          <w:sz w:val="20"/>
          <w:szCs w:val="20"/>
          <w:lang w:val="ro-MD"/>
        </w:rPr>
        <w:t xml:space="preserve"> </w:t>
      </w:r>
      <w:r w:rsidRPr="00502038">
        <w:rPr>
          <w:rFonts w:asciiTheme="majorHAnsi" w:eastAsia="Calibri" w:hAnsiTheme="majorHAnsi" w:cstheme="majorHAnsi"/>
          <w:i/>
          <w:sz w:val="20"/>
          <w:szCs w:val="20"/>
          <w:lang w:val="ro-MD"/>
        </w:rPr>
        <w:t>Date generalizate de către echipa de audit în baza informațiilor din dările de seamă privind încasările la</w:t>
      </w:r>
      <w:r w:rsidR="00F23036">
        <w:rPr>
          <w:rFonts w:asciiTheme="majorHAnsi" w:eastAsia="Calibri" w:hAnsiTheme="majorHAnsi" w:cstheme="majorHAnsi"/>
          <w:i/>
          <w:sz w:val="20"/>
          <w:szCs w:val="20"/>
          <w:lang w:val="ro-MD"/>
        </w:rPr>
        <w:t xml:space="preserve"> </w:t>
      </w:r>
      <w:r w:rsidRPr="00502038">
        <w:rPr>
          <w:rFonts w:asciiTheme="majorHAnsi" w:eastAsia="Calibri" w:hAnsiTheme="majorHAnsi" w:cstheme="majorHAnsi"/>
          <w:i/>
          <w:sz w:val="20"/>
          <w:szCs w:val="20"/>
          <w:lang w:val="ro-MD"/>
        </w:rPr>
        <w:t>BPN administrate de SFS și SV pe anii 2015-2017, precum și anuarul statistic</w:t>
      </w:r>
      <w:r w:rsidR="00502038" w:rsidRPr="00502038">
        <w:rPr>
          <w:rFonts w:asciiTheme="majorHAnsi" w:eastAsia="Calibri" w:hAnsiTheme="majorHAnsi" w:cstheme="majorHAnsi"/>
          <w:i/>
          <w:sz w:val="20"/>
          <w:szCs w:val="20"/>
          <w:lang w:val="ro-MD"/>
        </w:rPr>
        <w:t>.</w:t>
      </w:r>
    </w:p>
    <w:p w:rsidR="00087CA9" w:rsidRDefault="00EA47BC" w:rsidP="00844145">
      <w:pPr>
        <w:spacing w:before="120" w:after="0" w:line="276" w:lineRule="auto"/>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Potrivit </w:t>
      </w:r>
      <w:r w:rsidR="00005623" w:rsidRPr="00401691">
        <w:rPr>
          <w:rFonts w:asciiTheme="majorHAnsi" w:hAnsiTheme="majorHAnsi" w:cstheme="majorHAnsi"/>
          <w:sz w:val="24"/>
          <w:szCs w:val="24"/>
          <w:lang w:val="ro-MD"/>
        </w:rPr>
        <w:t>diagram</w:t>
      </w:r>
      <w:r>
        <w:rPr>
          <w:rFonts w:asciiTheme="majorHAnsi" w:hAnsiTheme="majorHAnsi" w:cstheme="majorHAnsi"/>
          <w:sz w:val="24"/>
          <w:szCs w:val="24"/>
          <w:lang w:val="ro-MD"/>
        </w:rPr>
        <w:t>ei</w:t>
      </w:r>
      <w:r w:rsidR="00005623" w:rsidRPr="00401691">
        <w:rPr>
          <w:rFonts w:asciiTheme="majorHAnsi" w:hAnsiTheme="majorHAnsi" w:cstheme="majorHAnsi"/>
          <w:sz w:val="24"/>
          <w:szCs w:val="24"/>
          <w:lang w:val="ro-MD"/>
        </w:rPr>
        <w:t xml:space="preserve"> de mai sus, </w:t>
      </w:r>
      <w:r w:rsidR="00723EB7">
        <w:rPr>
          <w:rFonts w:asciiTheme="majorHAnsi" w:hAnsiTheme="majorHAnsi" w:cstheme="majorHAnsi"/>
          <w:sz w:val="24"/>
          <w:szCs w:val="24"/>
          <w:lang w:val="ro-MD"/>
        </w:rPr>
        <w:t>pe parcursul ultimilor 3 ani</w:t>
      </w:r>
      <w:r w:rsidR="006B74D1" w:rsidRPr="006B74D1">
        <w:rPr>
          <w:rFonts w:asciiTheme="majorHAnsi" w:hAnsiTheme="majorHAnsi" w:cstheme="majorHAnsi"/>
          <w:sz w:val="24"/>
          <w:szCs w:val="24"/>
          <w:lang w:val="ro-MD"/>
        </w:rPr>
        <w:t xml:space="preserve"> </w:t>
      </w:r>
      <w:r w:rsidR="006B74D1" w:rsidRPr="00401691">
        <w:rPr>
          <w:rFonts w:asciiTheme="majorHAnsi" w:hAnsiTheme="majorHAnsi" w:cstheme="majorHAnsi"/>
          <w:sz w:val="24"/>
          <w:szCs w:val="24"/>
          <w:lang w:val="ro-MD"/>
        </w:rPr>
        <w:t>se înregistrează o dinamică ascendentă a PIB-ul</w:t>
      </w:r>
      <w:r w:rsidR="006B74D1">
        <w:rPr>
          <w:rFonts w:asciiTheme="majorHAnsi" w:hAnsiTheme="majorHAnsi" w:cstheme="majorHAnsi"/>
          <w:sz w:val="24"/>
          <w:szCs w:val="24"/>
          <w:lang w:val="ro-MD"/>
        </w:rPr>
        <w:t>ui</w:t>
      </w:r>
      <w:r w:rsidR="00723EB7">
        <w:rPr>
          <w:rFonts w:asciiTheme="majorHAnsi" w:hAnsiTheme="majorHAnsi" w:cstheme="majorHAnsi"/>
          <w:sz w:val="24"/>
          <w:szCs w:val="24"/>
          <w:lang w:val="ro-MD"/>
        </w:rPr>
        <w:t xml:space="preserve">, </w:t>
      </w:r>
      <w:r w:rsidR="00005623" w:rsidRPr="00401691">
        <w:rPr>
          <w:rFonts w:asciiTheme="majorHAnsi" w:hAnsiTheme="majorHAnsi" w:cstheme="majorHAnsi"/>
          <w:sz w:val="24"/>
          <w:szCs w:val="24"/>
          <w:lang w:val="ro-MD"/>
        </w:rPr>
        <w:t xml:space="preserve">în anul </w:t>
      </w:r>
      <w:r w:rsidR="00005623" w:rsidRPr="00401691">
        <w:rPr>
          <w:rFonts w:asciiTheme="majorHAnsi" w:hAnsiTheme="majorHAnsi" w:cstheme="majorHAnsi"/>
          <w:sz w:val="24"/>
          <w:szCs w:val="24"/>
          <w:lang w:val="ro-MD"/>
        </w:rPr>
        <w:lastRenderedPageBreak/>
        <w:t>2019 creștere</w:t>
      </w:r>
      <w:r w:rsidR="006B74D1">
        <w:rPr>
          <w:rFonts w:asciiTheme="majorHAnsi" w:hAnsiTheme="majorHAnsi" w:cstheme="majorHAnsi"/>
          <w:sz w:val="24"/>
          <w:szCs w:val="24"/>
          <w:lang w:val="ro-MD"/>
        </w:rPr>
        <w:t>a acestuia,</w:t>
      </w:r>
      <w:r w:rsidR="006B74D1" w:rsidRPr="006B74D1">
        <w:rPr>
          <w:rFonts w:asciiTheme="majorHAnsi" w:hAnsiTheme="majorHAnsi" w:cstheme="majorHAnsi"/>
          <w:sz w:val="24"/>
          <w:szCs w:val="24"/>
          <w:lang w:val="ro-MD"/>
        </w:rPr>
        <w:t xml:space="preserve"> </w:t>
      </w:r>
      <w:r w:rsidR="006B74D1" w:rsidRPr="00401691">
        <w:rPr>
          <w:rFonts w:asciiTheme="majorHAnsi" w:hAnsiTheme="majorHAnsi" w:cstheme="majorHAnsi"/>
          <w:sz w:val="24"/>
          <w:szCs w:val="24"/>
          <w:lang w:val="ro-MD"/>
        </w:rPr>
        <w:t>față de anul 2018</w:t>
      </w:r>
      <w:r w:rsidR="006B74D1" w:rsidRPr="00401691">
        <w:rPr>
          <w:rStyle w:val="FootnoteReference"/>
          <w:rFonts w:asciiTheme="majorHAnsi" w:hAnsiTheme="majorHAnsi" w:cstheme="majorHAnsi"/>
          <w:sz w:val="24"/>
          <w:szCs w:val="24"/>
          <w:lang w:val="ro-MD"/>
        </w:rPr>
        <w:footnoteReference w:id="6"/>
      </w:r>
      <w:r w:rsidR="006B74D1" w:rsidRPr="00401691">
        <w:rPr>
          <w:rFonts w:asciiTheme="majorHAnsi" w:hAnsiTheme="majorHAnsi" w:cstheme="majorHAnsi"/>
          <w:sz w:val="24"/>
          <w:szCs w:val="24"/>
          <w:lang w:val="ro-MD"/>
        </w:rPr>
        <w:t xml:space="preserve">, </w:t>
      </w:r>
      <w:r w:rsidR="00723EB7">
        <w:rPr>
          <w:rFonts w:asciiTheme="majorHAnsi" w:hAnsiTheme="majorHAnsi" w:cstheme="majorHAnsi"/>
          <w:sz w:val="24"/>
          <w:szCs w:val="24"/>
          <w:lang w:val="ro-MD"/>
        </w:rPr>
        <w:t xml:space="preserve">fiind </w:t>
      </w:r>
      <w:r w:rsidR="0017302F" w:rsidRPr="00401691">
        <w:rPr>
          <w:rFonts w:asciiTheme="majorHAnsi" w:hAnsiTheme="majorHAnsi" w:cstheme="majorHAnsi"/>
          <w:sz w:val="24"/>
          <w:szCs w:val="24"/>
          <w:lang w:val="ro-MD"/>
        </w:rPr>
        <w:t>de 3,6 %</w:t>
      </w:r>
      <w:r w:rsidR="006B74D1">
        <w:rPr>
          <w:rFonts w:asciiTheme="majorHAnsi" w:hAnsiTheme="majorHAnsi" w:cstheme="majorHAnsi"/>
          <w:sz w:val="24"/>
          <w:szCs w:val="24"/>
          <w:lang w:val="ro-MD"/>
        </w:rPr>
        <w:t>.</w:t>
      </w:r>
      <w:r w:rsidR="00005623" w:rsidRPr="00401691">
        <w:rPr>
          <w:rFonts w:asciiTheme="majorHAnsi" w:hAnsiTheme="majorHAnsi" w:cstheme="majorHAnsi"/>
          <w:sz w:val="24"/>
          <w:szCs w:val="24"/>
          <w:lang w:val="ro-MD"/>
        </w:rPr>
        <w:t xml:space="preserve"> Totodată, se denotă că, pe fundalul creșterii PIB, veniturile colectate de SFS la BPN au </w:t>
      </w:r>
      <w:r w:rsidR="00E91898" w:rsidRPr="00401691">
        <w:rPr>
          <w:rFonts w:asciiTheme="majorHAnsi" w:hAnsiTheme="majorHAnsi" w:cstheme="majorHAnsi"/>
          <w:sz w:val="24"/>
          <w:szCs w:val="24"/>
          <w:lang w:val="ro-MD"/>
        </w:rPr>
        <w:t>constituit 18</w:t>
      </w:r>
      <w:r w:rsidR="000F6067">
        <w:rPr>
          <w:rFonts w:asciiTheme="majorHAnsi" w:hAnsiTheme="majorHAnsi" w:cstheme="majorHAnsi"/>
          <w:sz w:val="24"/>
          <w:szCs w:val="24"/>
          <w:lang w:val="ro-MD"/>
        </w:rPr>
        <w:t>,</w:t>
      </w:r>
      <w:r w:rsidR="00E91898" w:rsidRPr="00401691">
        <w:rPr>
          <w:rFonts w:asciiTheme="majorHAnsi" w:hAnsiTheme="majorHAnsi" w:cstheme="majorHAnsi"/>
          <w:sz w:val="24"/>
          <w:szCs w:val="24"/>
          <w:lang w:val="ro-MD"/>
        </w:rPr>
        <w:t xml:space="preserve">6% din PIB, sau cu 0,6 </w:t>
      </w:r>
      <w:proofErr w:type="spellStart"/>
      <w:r w:rsidR="00E91898" w:rsidRPr="00401691">
        <w:rPr>
          <w:rFonts w:asciiTheme="majorHAnsi" w:hAnsiTheme="majorHAnsi" w:cstheme="majorHAnsi"/>
          <w:sz w:val="24"/>
          <w:szCs w:val="24"/>
          <w:lang w:val="ro-MD"/>
        </w:rPr>
        <w:t>p.p.</w:t>
      </w:r>
      <w:proofErr w:type="spellEnd"/>
      <w:r w:rsidR="00E91898" w:rsidRPr="00401691">
        <w:rPr>
          <w:rFonts w:asciiTheme="majorHAnsi" w:hAnsiTheme="majorHAnsi" w:cstheme="majorHAnsi"/>
          <w:sz w:val="24"/>
          <w:szCs w:val="24"/>
          <w:lang w:val="ro-MD"/>
        </w:rPr>
        <w:t xml:space="preserve"> mai puțin comparativ cu anul 2018.</w:t>
      </w:r>
      <w:r w:rsidR="00E91898" w:rsidRPr="00401691">
        <w:rPr>
          <w:rStyle w:val="FootnoteReference"/>
          <w:rFonts w:asciiTheme="majorHAnsi" w:hAnsiTheme="majorHAnsi" w:cstheme="majorHAnsi"/>
          <w:sz w:val="24"/>
          <w:szCs w:val="24"/>
          <w:lang w:val="ro-MD"/>
        </w:rPr>
        <w:footnoteReference w:id="7"/>
      </w:r>
      <w:r w:rsidR="00F11214" w:rsidRPr="00401691">
        <w:rPr>
          <w:rFonts w:asciiTheme="majorHAnsi" w:hAnsiTheme="majorHAnsi" w:cstheme="majorHAnsi"/>
          <w:sz w:val="24"/>
          <w:szCs w:val="24"/>
          <w:lang w:val="ro-MD"/>
        </w:rPr>
        <w:t xml:space="preserve"> </w:t>
      </w:r>
      <w:r w:rsidR="006961E7" w:rsidRPr="00401691">
        <w:rPr>
          <w:rFonts w:asciiTheme="majorHAnsi" w:hAnsiTheme="majorHAnsi" w:cstheme="majorHAnsi"/>
          <w:sz w:val="24"/>
          <w:szCs w:val="24"/>
          <w:lang w:val="ro-MD"/>
        </w:rPr>
        <w:t>Trendul descendent al ponderii veniturilor încasate la</w:t>
      </w:r>
      <w:r w:rsidR="00F11214" w:rsidRPr="00401691">
        <w:rPr>
          <w:rFonts w:asciiTheme="majorHAnsi" w:hAnsiTheme="majorHAnsi" w:cstheme="majorHAnsi"/>
          <w:sz w:val="24"/>
          <w:szCs w:val="24"/>
          <w:lang w:val="ro-MD"/>
        </w:rPr>
        <w:t xml:space="preserve"> BPN în PIB, </w:t>
      </w:r>
      <w:r w:rsidR="006961E7" w:rsidRPr="00401691">
        <w:rPr>
          <w:rFonts w:asciiTheme="majorHAnsi" w:hAnsiTheme="majorHAnsi" w:cstheme="majorHAnsi"/>
          <w:sz w:val="24"/>
          <w:szCs w:val="24"/>
          <w:lang w:val="ro-MD"/>
        </w:rPr>
        <w:t>în anul 2019</w:t>
      </w:r>
      <w:r w:rsidR="00005623" w:rsidRPr="00401691">
        <w:rPr>
          <w:rFonts w:asciiTheme="majorHAnsi" w:hAnsiTheme="majorHAnsi" w:cstheme="majorHAnsi"/>
          <w:sz w:val="24"/>
          <w:szCs w:val="24"/>
          <w:lang w:val="ro-MD"/>
        </w:rPr>
        <w:t>,</w:t>
      </w:r>
      <w:r w:rsidR="006961E7" w:rsidRPr="00401691">
        <w:rPr>
          <w:rFonts w:asciiTheme="majorHAnsi" w:hAnsiTheme="majorHAnsi" w:cstheme="majorHAnsi"/>
          <w:sz w:val="24"/>
          <w:szCs w:val="24"/>
          <w:lang w:val="ro-MD"/>
        </w:rPr>
        <w:t xml:space="preserve"> are similitudine și asupra ve</w:t>
      </w:r>
      <w:r w:rsidR="00F11214" w:rsidRPr="00401691">
        <w:rPr>
          <w:rFonts w:asciiTheme="majorHAnsi" w:hAnsiTheme="majorHAnsi" w:cstheme="majorHAnsi"/>
          <w:sz w:val="24"/>
          <w:szCs w:val="24"/>
          <w:lang w:val="ro-MD"/>
        </w:rPr>
        <w:t xml:space="preserve">niturilor BS, micșorându-se cu </w:t>
      </w:r>
      <w:r w:rsidR="006961E7" w:rsidRPr="00401691">
        <w:rPr>
          <w:rFonts w:asciiTheme="majorHAnsi" w:hAnsiTheme="majorHAnsi" w:cstheme="majorHAnsi"/>
          <w:sz w:val="24"/>
          <w:szCs w:val="24"/>
          <w:lang w:val="ro-MD"/>
        </w:rPr>
        <w:t>0</w:t>
      </w:r>
      <w:r w:rsidR="009664A6">
        <w:rPr>
          <w:rFonts w:asciiTheme="majorHAnsi" w:hAnsiTheme="majorHAnsi" w:cstheme="majorHAnsi"/>
          <w:sz w:val="24"/>
          <w:szCs w:val="24"/>
          <w:lang w:val="ro-MD"/>
        </w:rPr>
        <w:t>,</w:t>
      </w:r>
      <w:r w:rsidR="006961E7" w:rsidRPr="00401691">
        <w:rPr>
          <w:rFonts w:asciiTheme="majorHAnsi" w:hAnsiTheme="majorHAnsi" w:cstheme="majorHAnsi"/>
          <w:sz w:val="24"/>
          <w:szCs w:val="24"/>
          <w:lang w:val="ro-MD"/>
        </w:rPr>
        <w:t>4</w:t>
      </w:r>
      <w:r w:rsidR="000F6067">
        <w:rPr>
          <w:rFonts w:asciiTheme="majorHAnsi" w:hAnsiTheme="majorHAnsi" w:cstheme="majorHAnsi"/>
          <w:sz w:val="24"/>
          <w:szCs w:val="24"/>
          <w:lang w:val="ro-MD"/>
        </w:rPr>
        <w:t xml:space="preserve"> </w:t>
      </w:r>
      <w:proofErr w:type="spellStart"/>
      <w:r w:rsidR="006961E7" w:rsidRPr="00401691">
        <w:rPr>
          <w:rFonts w:asciiTheme="majorHAnsi" w:hAnsiTheme="majorHAnsi" w:cstheme="majorHAnsi"/>
          <w:sz w:val="24"/>
          <w:szCs w:val="24"/>
          <w:lang w:val="ro-MD"/>
        </w:rPr>
        <w:t>p.p.</w:t>
      </w:r>
      <w:proofErr w:type="spellEnd"/>
      <w:r w:rsidR="00723EB7">
        <w:rPr>
          <w:rFonts w:asciiTheme="majorHAnsi" w:hAnsiTheme="majorHAnsi" w:cstheme="majorHAnsi"/>
          <w:sz w:val="24"/>
          <w:szCs w:val="24"/>
          <w:lang w:val="ro-MD"/>
        </w:rPr>
        <w:t xml:space="preserve"> raportate la</w:t>
      </w:r>
      <w:r w:rsidR="006961E7" w:rsidRPr="00401691">
        <w:rPr>
          <w:rFonts w:asciiTheme="majorHAnsi" w:hAnsiTheme="majorHAnsi" w:cstheme="majorHAnsi"/>
          <w:sz w:val="24"/>
          <w:szCs w:val="24"/>
          <w:lang w:val="ro-MD"/>
        </w:rPr>
        <w:t xml:space="preserve"> PIB. </w:t>
      </w:r>
      <w:r w:rsidR="00005623" w:rsidRPr="00401691">
        <w:rPr>
          <w:rFonts w:asciiTheme="majorHAnsi" w:hAnsiTheme="majorHAnsi" w:cstheme="majorHAnsi"/>
          <w:sz w:val="24"/>
          <w:szCs w:val="24"/>
          <w:lang w:val="ro-MD"/>
        </w:rPr>
        <w:t>Da</w:t>
      </w:r>
      <w:r w:rsidR="00C93B1D" w:rsidRPr="00401691">
        <w:rPr>
          <w:rFonts w:asciiTheme="majorHAnsi" w:hAnsiTheme="majorHAnsi" w:cstheme="majorHAnsi"/>
          <w:sz w:val="24"/>
          <w:szCs w:val="24"/>
          <w:lang w:val="ro-MD"/>
        </w:rPr>
        <w:t xml:space="preserve">tele expuse atestă </w:t>
      </w:r>
      <w:r w:rsidR="001407BC">
        <w:rPr>
          <w:rFonts w:asciiTheme="majorHAnsi" w:hAnsiTheme="majorHAnsi" w:cstheme="majorHAnsi"/>
          <w:sz w:val="24"/>
          <w:szCs w:val="24"/>
          <w:lang w:val="ro-MD"/>
        </w:rPr>
        <w:t xml:space="preserve">faptul </w:t>
      </w:r>
      <w:r w:rsidR="00005623" w:rsidRPr="00401691">
        <w:rPr>
          <w:rFonts w:asciiTheme="majorHAnsi" w:hAnsiTheme="majorHAnsi" w:cstheme="majorHAnsi"/>
          <w:sz w:val="24"/>
          <w:szCs w:val="24"/>
          <w:lang w:val="ro-MD"/>
        </w:rPr>
        <w:t xml:space="preserve">că în anul 2019 </w:t>
      </w:r>
      <w:r w:rsidR="001407BC">
        <w:rPr>
          <w:rFonts w:asciiTheme="majorHAnsi" w:hAnsiTheme="majorHAnsi" w:cstheme="majorHAnsi"/>
          <w:sz w:val="24"/>
          <w:szCs w:val="24"/>
          <w:lang w:val="ro-MD"/>
        </w:rPr>
        <w:t>s-a înregistrat</w:t>
      </w:r>
      <w:r w:rsidR="00005623" w:rsidRPr="00401691">
        <w:rPr>
          <w:rFonts w:asciiTheme="majorHAnsi" w:hAnsiTheme="majorHAnsi" w:cstheme="majorHAnsi"/>
          <w:sz w:val="24"/>
          <w:szCs w:val="24"/>
          <w:lang w:val="ro-MD"/>
        </w:rPr>
        <w:t xml:space="preserve"> </w:t>
      </w:r>
      <w:r w:rsidR="00F11214" w:rsidRPr="00401691">
        <w:rPr>
          <w:rFonts w:asciiTheme="majorHAnsi" w:hAnsiTheme="majorHAnsi" w:cstheme="majorHAnsi"/>
          <w:sz w:val="24"/>
          <w:szCs w:val="24"/>
          <w:lang w:val="ro-MD"/>
        </w:rPr>
        <w:t xml:space="preserve">cel mai </w:t>
      </w:r>
      <w:r w:rsidR="001407BC">
        <w:rPr>
          <w:rFonts w:asciiTheme="majorHAnsi" w:hAnsiTheme="majorHAnsi" w:cstheme="majorHAnsi"/>
          <w:sz w:val="24"/>
          <w:szCs w:val="24"/>
          <w:lang w:val="ro-MD"/>
        </w:rPr>
        <w:t>redus</w:t>
      </w:r>
      <w:r w:rsidR="00C93B1D" w:rsidRPr="00401691">
        <w:rPr>
          <w:rFonts w:asciiTheme="majorHAnsi" w:hAnsiTheme="majorHAnsi" w:cstheme="majorHAnsi"/>
          <w:sz w:val="24"/>
          <w:szCs w:val="24"/>
          <w:lang w:val="ro-MD"/>
        </w:rPr>
        <w:t xml:space="preserve"> ritm de creștere a veniturilor </w:t>
      </w:r>
      <w:r w:rsidR="001407BC">
        <w:rPr>
          <w:rFonts w:asciiTheme="majorHAnsi" w:hAnsiTheme="majorHAnsi" w:cstheme="majorHAnsi"/>
          <w:sz w:val="24"/>
          <w:szCs w:val="24"/>
          <w:lang w:val="ro-MD"/>
        </w:rPr>
        <w:t>din</w:t>
      </w:r>
      <w:r w:rsidR="00C93B1D" w:rsidRPr="00401691">
        <w:rPr>
          <w:rFonts w:asciiTheme="majorHAnsi" w:hAnsiTheme="majorHAnsi" w:cstheme="majorHAnsi"/>
          <w:sz w:val="24"/>
          <w:szCs w:val="24"/>
          <w:lang w:val="ro-MD"/>
        </w:rPr>
        <w:t xml:space="preserve"> ultimii trei ani.</w:t>
      </w:r>
      <w:r w:rsidR="00F11214" w:rsidRPr="00401691">
        <w:rPr>
          <w:rFonts w:asciiTheme="majorHAnsi" w:hAnsiTheme="majorHAnsi" w:cstheme="majorHAnsi"/>
          <w:sz w:val="24"/>
          <w:szCs w:val="24"/>
          <w:lang w:val="ro-MD"/>
        </w:rPr>
        <w:t xml:space="preserve"> Concomitent, se</w:t>
      </w:r>
      <w:r w:rsidR="00005623" w:rsidRPr="00401691">
        <w:rPr>
          <w:rFonts w:asciiTheme="majorHAnsi" w:hAnsiTheme="majorHAnsi" w:cstheme="majorHAnsi"/>
          <w:sz w:val="24"/>
          <w:szCs w:val="24"/>
          <w:lang w:val="ro-MD"/>
        </w:rPr>
        <w:t xml:space="preserve"> menționează </w:t>
      </w:r>
      <w:r w:rsidR="00B900C4" w:rsidRPr="00401691">
        <w:rPr>
          <w:rFonts w:asciiTheme="majorHAnsi" w:hAnsiTheme="majorHAnsi" w:cstheme="majorHAnsi"/>
          <w:sz w:val="24"/>
          <w:szCs w:val="24"/>
          <w:lang w:val="ro-MD"/>
        </w:rPr>
        <w:t>că această diminuare are loc pe fundalul major</w:t>
      </w:r>
      <w:r w:rsidR="00BD4C6F">
        <w:rPr>
          <w:rFonts w:asciiTheme="majorHAnsi" w:hAnsiTheme="majorHAnsi" w:cstheme="majorHAnsi"/>
          <w:sz w:val="24"/>
          <w:szCs w:val="24"/>
          <w:lang w:val="ro-MD"/>
        </w:rPr>
        <w:t>ării</w:t>
      </w:r>
      <w:r w:rsidR="00B900C4" w:rsidRPr="00401691">
        <w:rPr>
          <w:rFonts w:asciiTheme="majorHAnsi" w:hAnsiTheme="majorHAnsi" w:cstheme="majorHAnsi"/>
          <w:sz w:val="24"/>
          <w:szCs w:val="24"/>
          <w:lang w:val="ro-MD"/>
        </w:rPr>
        <w:t xml:space="preserve"> ratei inflației. </w:t>
      </w:r>
      <w:r w:rsidR="00C93B1D" w:rsidRPr="00401691">
        <w:rPr>
          <w:rFonts w:asciiTheme="majorHAnsi" w:hAnsiTheme="majorHAnsi" w:cstheme="majorHAnsi"/>
          <w:sz w:val="24"/>
          <w:szCs w:val="24"/>
          <w:lang w:val="ro-MD"/>
        </w:rPr>
        <w:t xml:space="preserve">Indicatorii </w:t>
      </w:r>
      <w:r w:rsidR="00B900C4" w:rsidRPr="00401691">
        <w:rPr>
          <w:rFonts w:asciiTheme="majorHAnsi" w:hAnsiTheme="majorHAnsi" w:cstheme="majorHAnsi"/>
          <w:sz w:val="24"/>
          <w:szCs w:val="24"/>
          <w:lang w:val="ro-MD"/>
        </w:rPr>
        <w:t>re</w:t>
      </w:r>
      <w:r w:rsidR="00F11214" w:rsidRPr="00401691">
        <w:rPr>
          <w:rFonts w:asciiTheme="majorHAnsi" w:hAnsiTheme="majorHAnsi" w:cstheme="majorHAnsi"/>
          <w:sz w:val="24"/>
          <w:szCs w:val="24"/>
          <w:lang w:val="ro-MD"/>
        </w:rPr>
        <w:t>feritor la ritmul de creștere a</w:t>
      </w:r>
      <w:r w:rsidR="00B900C4" w:rsidRPr="00401691">
        <w:rPr>
          <w:rFonts w:asciiTheme="majorHAnsi" w:hAnsiTheme="majorHAnsi" w:cstheme="majorHAnsi"/>
          <w:sz w:val="24"/>
          <w:szCs w:val="24"/>
          <w:lang w:val="ro-MD"/>
        </w:rPr>
        <w:t xml:space="preserve"> veniturilor în perioada anilor 2017-2019, precum și a </w:t>
      </w:r>
      <w:r w:rsidR="00F11214" w:rsidRPr="00401691">
        <w:rPr>
          <w:rFonts w:asciiTheme="majorHAnsi" w:hAnsiTheme="majorHAnsi" w:cstheme="majorHAnsi"/>
          <w:sz w:val="24"/>
          <w:szCs w:val="24"/>
          <w:lang w:val="ro-MD"/>
        </w:rPr>
        <w:t xml:space="preserve">ratei inflației sunt </w:t>
      </w:r>
      <w:r w:rsidR="00BD4C6F">
        <w:rPr>
          <w:rFonts w:asciiTheme="majorHAnsi" w:hAnsiTheme="majorHAnsi" w:cstheme="majorHAnsi"/>
          <w:sz w:val="24"/>
          <w:szCs w:val="24"/>
          <w:lang w:val="ro-MD"/>
        </w:rPr>
        <w:t>reflectați</w:t>
      </w:r>
      <w:r w:rsidR="00F11214" w:rsidRPr="00401691">
        <w:rPr>
          <w:rFonts w:asciiTheme="majorHAnsi" w:hAnsiTheme="majorHAnsi" w:cstheme="majorHAnsi"/>
          <w:sz w:val="24"/>
          <w:szCs w:val="24"/>
          <w:lang w:val="ro-MD"/>
        </w:rPr>
        <w:t xml:space="preserve"> </w:t>
      </w:r>
      <w:r w:rsidR="00BD4C6F">
        <w:rPr>
          <w:rFonts w:asciiTheme="majorHAnsi" w:hAnsiTheme="majorHAnsi" w:cstheme="majorHAnsi"/>
          <w:sz w:val="24"/>
          <w:szCs w:val="24"/>
          <w:lang w:val="ro-MD"/>
        </w:rPr>
        <w:t>î</w:t>
      </w:r>
      <w:r w:rsidR="00F11214" w:rsidRPr="00401691">
        <w:rPr>
          <w:rFonts w:asciiTheme="majorHAnsi" w:hAnsiTheme="majorHAnsi" w:cstheme="majorHAnsi"/>
          <w:sz w:val="24"/>
          <w:szCs w:val="24"/>
          <w:lang w:val="ro-MD"/>
        </w:rPr>
        <w:t xml:space="preserve">n </w:t>
      </w:r>
      <w:r w:rsidR="00BD4C6F">
        <w:rPr>
          <w:rFonts w:asciiTheme="majorHAnsi" w:hAnsiTheme="majorHAnsi" w:cstheme="majorHAnsi"/>
          <w:sz w:val="24"/>
          <w:szCs w:val="24"/>
          <w:lang w:val="ro-MD"/>
        </w:rPr>
        <w:t>D</w:t>
      </w:r>
      <w:r w:rsidR="007B42B5" w:rsidRPr="00401691">
        <w:rPr>
          <w:rFonts w:asciiTheme="majorHAnsi" w:hAnsiTheme="majorHAnsi" w:cstheme="majorHAnsi"/>
          <w:sz w:val="24"/>
          <w:szCs w:val="24"/>
          <w:lang w:val="ro-MD"/>
        </w:rPr>
        <w:t>iagrama</w:t>
      </w:r>
      <w:r w:rsidR="00B900C4" w:rsidRPr="00401691">
        <w:rPr>
          <w:rFonts w:asciiTheme="majorHAnsi" w:hAnsiTheme="majorHAnsi" w:cstheme="majorHAnsi"/>
          <w:sz w:val="24"/>
          <w:szCs w:val="24"/>
          <w:lang w:val="ro-MD"/>
        </w:rPr>
        <w:t xml:space="preserve"> nr. </w:t>
      </w:r>
      <w:r w:rsidR="00C93B1D" w:rsidRPr="00401691">
        <w:rPr>
          <w:rFonts w:asciiTheme="majorHAnsi" w:hAnsiTheme="majorHAnsi" w:cstheme="majorHAnsi"/>
          <w:sz w:val="24"/>
          <w:szCs w:val="24"/>
          <w:lang w:val="ro-MD"/>
        </w:rPr>
        <w:t>2.</w:t>
      </w:r>
    </w:p>
    <w:p w:rsidR="0085189D" w:rsidRPr="0085189D" w:rsidRDefault="0085189D" w:rsidP="0085189D">
      <w:pPr>
        <w:spacing w:before="120" w:after="0" w:line="276" w:lineRule="auto"/>
        <w:jc w:val="right"/>
        <w:rPr>
          <w:rFonts w:asciiTheme="majorHAnsi" w:hAnsiTheme="majorHAnsi" w:cstheme="majorHAnsi"/>
          <w:i/>
          <w:sz w:val="24"/>
          <w:szCs w:val="24"/>
          <w:lang w:val="ro-MD"/>
        </w:rPr>
      </w:pPr>
      <w:r w:rsidRPr="0085189D">
        <w:rPr>
          <w:rFonts w:asciiTheme="majorHAnsi" w:hAnsiTheme="majorHAnsi" w:cstheme="majorHAnsi"/>
          <w:i/>
          <w:sz w:val="24"/>
          <w:szCs w:val="24"/>
          <w:lang w:val="ro-MD"/>
        </w:rPr>
        <w:t>Diagrama nr.2</w:t>
      </w:r>
    </w:p>
    <w:p w:rsidR="004075B4" w:rsidRPr="00401691" w:rsidRDefault="004075B4" w:rsidP="00844145">
      <w:pPr>
        <w:spacing w:after="0" w:line="276" w:lineRule="auto"/>
        <w:jc w:val="both"/>
        <w:rPr>
          <w:rFonts w:asciiTheme="majorHAnsi" w:hAnsiTheme="majorHAnsi" w:cstheme="majorHAnsi"/>
          <w:sz w:val="24"/>
          <w:szCs w:val="24"/>
          <w:lang w:val="ro-MD"/>
        </w:rPr>
      </w:pPr>
    </w:p>
    <w:p w:rsidR="00B900C4" w:rsidRPr="00401691" w:rsidRDefault="00B900C4" w:rsidP="00263014">
      <w:pPr>
        <w:spacing w:after="0" w:line="276" w:lineRule="auto"/>
        <w:jc w:val="center"/>
        <w:rPr>
          <w:rFonts w:asciiTheme="majorHAnsi" w:hAnsiTheme="majorHAnsi" w:cstheme="majorHAnsi"/>
          <w:sz w:val="24"/>
          <w:szCs w:val="24"/>
          <w:lang w:val="ro-MD"/>
        </w:rPr>
      </w:pPr>
      <w:r w:rsidRPr="00401691">
        <w:rPr>
          <w:rFonts w:asciiTheme="majorHAnsi" w:hAnsiTheme="majorHAnsi" w:cstheme="majorHAnsi"/>
          <w:noProof/>
        </w:rPr>
        <w:drawing>
          <wp:inline distT="0" distB="0" distL="0" distR="0" wp14:anchorId="22620AD7" wp14:editId="2646A616">
            <wp:extent cx="5264727" cy="2722418"/>
            <wp:effectExtent l="0" t="0" r="12700" b="190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900C4" w:rsidRPr="00502038" w:rsidRDefault="00B900C4" w:rsidP="004802B9">
      <w:pPr>
        <w:tabs>
          <w:tab w:val="left" w:pos="5316"/>
          <w:tab w:val="left" w:pos="9090"/>
        </w:tabs>
        <w:spacing w:after="0" w:line="276" w:lineRule="auto"/>
        <w:ind w:left="900" w:right="986"/>
        <w:jc w:val="center"/>
        <w:rPr>
          <w:rFonts w:asciiTheme="majorHAnsi" w:hAnsiTheme="majorHAnsi" w:cstheme="majorHAnsi"/>
          <w:i/>
          <w:lang w:val="ro-MD"/>
        </w:rPr>
      </w:pPr>
      <w:r w:rsidRPr="00502038">
        <w:rPr>
          <w:rFonts w:asciiTheme="majorHAnsi" w:hAnsiTheme="majorHAnsi" w:cstheme="majorHAnsi"/>
          <w:b/>
          <w:i/>
          <w:sz w:val="20"/>
          <w:szCs w:val="20"/>
          <w:lang w:val="ro-MD"/>
        </w:rPr>
        <w:t>Sursa:</w:t>
      </w:r>
      <w:r w:rsidRPr="00502038">
        <w:rPr>
          <w:rFonts w:asciiTheme="majorHAnsi" w:eastAsia="Calibri" w:hAnsiTheme="majorHAnsi" w:cstheme="majorHAnsi"/>
          <w:i/>
          <w:sz w:val="20"/>
          <w:szCs w:val="20"/>
          <w:lang w:val="ro-MD"/>
        </w:rPr>
        <w:t xml:space="preserve"> Date generalizate de către echipa de audit în baza informațiilor din dările de seamă privind încasările la BS</w:t>
      </w:r>
      <w:r w:rsidR="00373014">
        <w:rPr>
          <w:rFonts w:asciiTheme="majorHAnsi" w:eastAsia="Calibri" w:hAnsiTheme="majorHAnsi" w:cstheme="majorHAnsi"/>
          <w:i/>
          <w:sz w:val="20"/>
          <w:szCs w:val="20"/>
          <w:lang w:val="ro-MD"/>
        </w:rPr>
        <w:t xml:space="preserve"> </w:t>
      </w:r>
      <w:r w:rsidRPr="00502038">
        <w:rPr>
          <w:rFonts w:asciiTheme="majorHAnsi" w:eastAsia="Calibri" w:hAnsiTheme="majorHAnsi" w:cstheme="majorHAnsi"/>
          <w:i/>
          <w:sz w:val="20"/>
          <w:szCs w:val="20"/>
          <w:lang w:val="ro-MD"/>
        </w:rPr>
        <w:t xml:space="preserve">administrate de </w:t>
      </w:r>
      <w:r w:rsidRPr="00502038">
        <w:rPr>
          <w:rFonts w:asciiTheme="majorHAnsi" w:eastAsia="Calibri" w:hAnsiTheme="majorHAnsi" w:cstheme="majorHAnsi"/>
          <w:i/>
          <w:sz w:val="20"/>
          <w:szCs w:val="20"/>
          <w:lang w:val="ro-MD"/>
        </w:rPr>
        <w:lastRenderedPageBreak/>
        <w:t>SFS și datele statistice ale BNS privind rata inflației</w:t>
      </w:r>
      <w:r w:rsidR="00502038" w:rsidRPr="00502038">
        <w:rPr>
          <w:rFonts w:asciiTheme="majorHAnsi" w:eastAsia="Calibri" w:hAnsiTheme="majorHAnsi" w:cstheme="majorHAnsi"/>
          <w:i/>
          <w:sz w:val="20"/>
          <w:szCs w:val="20"/>
          <w:lang w:val="ro-MD"/>
        </w:rPr>
        <w:t>.</w:t>
      </w:r>
    </w:p>
    <w:p w:rsidR="00B900C4" w:rsidRPr="00401691" w:rsidRDefault="00B900C4" w:rsidP="005E0F2C">
      <w:pPr>
        <w:spacing w:before="120" w:after="120" w:line="276" w:lineRule="auto"/>
        <w:jc w:val="both"/>
        <w:rPr>
          <w:rFonts w:asciiTheme="majorHAnsi" w:hAnsiTheme="majorHAnsi" w:cstheme="majorHAnsi"/>
          <w:sz w:val="24"/>
          <w:szCs w:val="24"/>
          <w:lang w:val="ro-MD"/>
        </w:rPr>
      </w:pPr>
      <w:r w:rsidRPr="00401691">
        <w:rPr>
          <w:rFonts w:asciiTheme="majorHAnsi" w:hAnsiTheme="majorHAnsi" w:cstheme="majorHAnsi"/>
          <w:sz w:val="24"/>
          <w:szCs w:val="24"/>
          <w:lang w:val="ro-MD"/>
        </w:rPr>
        <w:t xml:space="preserve">Datele graficului demonstrează </w:t>
      </w:r>
      <w:r w:rsidR="004364A4">
        <w:rPr>
          <w:rFonts w:asciiTheme="majorHAnsi" w:hAnsiTheme="majorHAnsi" w:cstheme="majorHAnsi"/>
          <w:sz w:val="24"/>
          <w:szCs w:val="24"/>
          <w:lang w:val="ro-MD"/>
        </w:rPr>
        <w:t>că</w:t>
      </w:r>
      <w:r w:rsidRPr="00401691">
        <w:rPr>
          <w:rFonts w:asciiTheme="majorHAnsi" w:hAnsiTheme="majorHAnsi" w:cstheme="majorHAnsi"/>
          <w:sz w:val="24"/>
          <w:szCs w:val="24"/>
          <w:lang w:val="ro-MD"/>
        </w:rPr>
        <w:t xml:space="preserve"> în anul 2019 veniturile la bugetul de stat au înregistrat o creștere de </w:t>
      </w:r>
      <w:r w:rsidR="00F11214" w:rsidRPr="00401691">
        <w:rPr>
          <w:rFonts w:asciiTheme="majorHAnsi" w:hAnsiTheme="majorHAnsi" w:cstheme="majorHAnsi"/>
          <w:sz w:val="24"/>
          <w:szCs w:val="24"/>
          <w:lang w:val="ro-MD"/>
        </w:rPr>
        <w:t>4,6 %, comparativ cu anul 2018,</w:t>
      </w:r>
      <w:r w:rsidRPr="00401691">
        <w:rPr>
          <w:rFonts w:asciiTheme="majorHAnsi" w:hAnsiTheme="majorHAnsi" w:cstheme="majorHAnsi"/>
          <w:sz w:val="24"/>
          <w:szCs w:val="24"/>
          <w:lang w:val="ro-MD"/>
        </w:rPr>
        <w:t xml:space="preserve"> în timp ce ra</w:t>
      </w:r>
      <w:r w:rsidR="007F4396">
        <w:rPr>
          <w:rFonts w:asciiTheme="majorHAnsi" w:hAnsiTheme="majorHAnsi" w:cstheme="majorHAnsi"/>
          <w:sz w:val="24"/>
          <w:szCs w:val="24"/>
          <w:lang w:val="ro-MD"/>
        </w:rPr>
        <w:t>ta inflației a constituit 7</w:t>
      </w:r>
      <w:r w:rsidR="00BD4C6F">
        <w:rPr>
          <w:rFonts w:asciiTheme="majorHAnsi" w:hAnsiTheme="majorHAnsi" w:cstheme="majorHAnsi"/>
          <w:sz w:val="24"/>
          <w:szCs w:val="24"/>
          <w:lang w:val="ro-MD"/>
        </w:rPr>
        <w:t>,</w:t>
      </w:r>
      <w:r w:rsidR="007F4396">
        <w:rPr>
          <w:rFonts w:asciiTheme="majorHAnsi" w:hAnsiTheme="majorHAnsi" w:cstheme="majorHAnsi"/>
          <w:sz w:val="24"/>
          <w:szCs w:val="24"/>
          <w:lang w:val="ro-MD"/>
        </w:rPr>
        <w:t>54%</w:t>
      </w:r>
      <w:r w:rsidRPr="00401691">
        <w:rPr>
          <w:rFonts w:asciiTheme="majorHAnsi" w:hAnsiTheme="majorHAnsi" w:cstheme="majorHAnsi"/>
          <w:sz w:val="24"/>
          <w:szCs w:val="24"/>
          <w:lang w:val="ro-MD"/>
        </w:rPr>
        <w:t>.</w:t>
      </w:r>
      <w:r w:rsidR="00C3010B">
        <w:rPr>
          <w:rFonts w:asciiTheme="majorHAnsi" w:hAnsiTheme="majorHAnsi" w:cstheme="majorHAnsi"/>
          <w:sz w:val="24"/>
          <w:szCs w:val="24"/>
          <w:lang w:val="ro-MD"/>
        </w:rPr>
        <w:t xml:space="preserve"> </w:t>
      </w:r>
      <w:r w:rsidR="00C3010B" w:rsidRPr="00222BED">
        <w:rPr>
          <w:rFonts w:asciiTheme="majorHAnsi" w:hAnsiTheme="majorHAnsi" w:cstheme="majorHAnsi"/>
          <w:sz w:val="24"/>
          <w:szCs w:val="24"/>
          <w:lang w:val="ro-MD"/>
        </w:rPr>
        <w:t>Pentru comparare</w:t>
      </w:r>
      <w:r w:rsidR="00BD4C6F">
        <w:rPr>
          <w:rFonts w:asciiTheme="majorHAnsi" w:hAnsiTheme="majorHAnsi" w:cstheme="majorHAnsi"/>
          <w:sz w:val="24"/>
          <w:szCs w:val="24"/>
          <w:lang w:val="ro-MD"/>
        </w:rPr>
        <w:t>,</w:t>
      </w:r>
      <w:r w:rsidR="00C3010B" w:rsidRPr="00222BED">
        <w:rPr>
          <w:rFonts w:asciiTheme="majorHAnsi" w:hAnsiTheme="majorHAnsi" w:cstheme="majorHAnsi"/>
          <w:sz w:val="24"/>
          <w:szCs w:val="24"/>
          <w:lang w:val="ro-MD"/>
        </w:rPr>
        <w:t xml:space="preserve"> se exemplifică</w:t>
      </w:r>
      <w:r w:rsidRPr="00222BED">
        <w:rPr>
          <w:rFonts w:asciiTheme="majorHAnsi" w:hAnsiTheme="majorHAnsi" w:cstheme="majorHAnsi"/>
          <w:sz w:val="24"/>
          <w:szCs w:val="24"/>
          <w:lang w:val="ro-MD"/>
        </w:rPr>
        <w:t xml:space="preserve"> </w:t>
      </w:r>
      <w:r w:rsidR="00BD4C6F">
        <w:rPr>
          <w:rFonts w:asciiTheme="majorHAnsi" w:hAnsiTheme="majorHAnsi" w:cstheme="majorHAnsi"/>
          <w:sz w:val="24"/>
          <w:szCs w:val="24"/>
          <w:lang w:val="ro-MD"/>
        </w:rPr>
        <w:t xml:space="preserve">faptul </w:t>
      </w:r>
      <w:r w:rsidRPr="00222BED">
        <w:rPr>
          <w:rFonts w:asciiTheme="majorHAnsi" w:hAnsiTheme="majorHAnsi" w:cstheme="majorHAnsi"/>
          <w:sz w:val="24"/>
          <w:szCs w:val="24"/>
          <w:lang w:val="ro-MD"/>
        </w:rPr>
        <w:t>că în anul 2017</w:t>
      </w:r>
      <w:r w:rsidR="00354F54">
        <w:rPr>
          <w:rFonts w:asciiTheme="majorHAnsi" w:hAnsiTheme="majorHAnsi" w:cstheme="majorHAnsi"/>
          <w:sz w:val="24"/>
          <w:szCs w:val="24"/>
          <w:lang w:val="ro-MD"/>
        </w:rPr>
        <w:t xml:space="preserve"> nivelul</w:t>
      </w:r>
      <w:r w:rsidR="00F11214" w:rsidRPr="00222BED">
        <w:rPr>
          <w:rFonts w:asciiTheme="majorHAnsi" w:hAnsiTheme="majorHAnsi" w:cstheme="majorHAnsi"/>
          <w:sz w:val="24"/>
          <w:szCs w:val="24"/>
          <w:lang w:val="ro-MD"/>
        </w:rPr>
        <w:t xml:space="preserve"> de creștere a</w:t>
      </w:r>
      <w:r w:rsidRPr="00222BED">
        <w:rPr>
          <w:rFonts w:asciiTheme="majorHAnsi" w:hAnsiTheme="majorHAnsi" w:cstheme="majorHAnsi"/>
          <w:sz w:val="24"/>
          <w:szCs w:val="24"/>
          <w:lang w:val="ro-MD"/>
        </w:rPr>
        <w:t xml:space="preserve"> veniturilor a depășit rata inflației c</w:t>
      </w:r>
      <w:r w:rsidR="00F11214" w:rsidRPr="00222BED">
        <w:rPr>
          <w:rFonts w:asciiTheme="majorHAnsi" w:hAnsiTheme="majorHAnsi" w:cstheme="majorHAnsi"/>
          <w:sz w:val="24"/>
          <w:szCs w:val="24"/>
          <w:lang w:val="ro-MD"/>
        </w:rPr>
        <w:t>u 16</w:t>
      </w:r>
      <w:r w:rsidR="00BD4C6F">
        <w:rPr>
          <w:rFonts w:asciiTheme="majorHAnsi" w:hAnsiTheme="majorHAnsi" w:cstheme="majorHAnsi"/>
          <w:sz w:val="24"/>
          <w:szCs w:val="24"/>
          <w:lang w:val="ro-MD"/>
        </w:rPr>
        <w:t>,</w:t>
      </w:r>
      <w:r w:rsidR="00F11214" w:rsidRPr="00222BED">
        <w:rPr>
          <w:rFonts w:asciiTheme="majorHAnsi" w:hAnsiTheme="majorHAnsi" w:cstheme="majorHAnsi"/>
          <w:sz w:val="24"/>
          <w:szCs w:val="24"/>
          <w:lang w:val="ro-MD"/>
        </w:rPr>
        <w:t>59</w:t>
      </w:r>
      <w:r w:rsidR="00C3010B" w:rsidRPr="00222BED">
        <w:rPr>
          <w:rFonts w:asciiTheme="majorHAnsi" w:hAnsiTheme="majorHAnsi" w:cstheme="majorHAnsi"/>
          <w:sz w:val="24"/>
          <w:szCs w:val="24"/>
          <w:lang w:val="ro-MD"/>
        </w:rPr>
        <w:t xml:space="preserve"> </w:t>
      </w:r>
      <w:proofErr w:type="spellStart"/>
      <w:r w:rsidR="00F11214" w:rsidRPr="00222BED">
        <w:rPr>
          <w:rFonts w:asciiTheme="majorHAnsi" w:hAnsiTheme="majorHAnsi" w:cstheme="majorHAnsi"/>
          <w:sz w:val="24"/>
          <w:szCs w:val="24"/>
          <w:lang w:val="ro-MD"/>
        </w:rPr>
        <w:t>p.p</w:t>
      </w:r>
      <w:proofErr w:type="spellEnd"/>
      <w:r w:rsidR="00F11214" w:rsidRPr="00222BED">
        <w:rPr>
          <w:rFonts w:asciiTheme="majorHAnsi" w:hAnsiTheme="majorHAnsi" w:cstheme="majorHAnsi"/>
          <w:sz w:val="24"/>
          <w:szCs w:val="24"/>
          <w:lang w:val="ro-MD"/>
        </w:rPr>
        <w:t xml:space="preserve">, iar </w:t>
      </w:r>
      <w:r w:rsidR="00BD4C6F">
        <w:rPr>
          <w:rFonts w:asciiTheme="majorHAnsi" w:hAnsiTheme="majorHAnsi" w:cstheme="majorHAnsi"/>
          <w:sz w:val="24"/>
          <w:szCs w:val="24"/>
          <w:lang w:val="ro-MD"/>
        </w:rPr>
        <w:t>î</w:t>
      </w:r>
      <w:r w:rsidR="00F11214" w:rsidRPr="00222BED">
        <w:rPr>
          <w:rFonts w:asciiTheme="majorHAnsi" w:hAnsiTheme="majorHAnsi" w:cstheme="majorHAnsi"/>
          <w:sz w:val="24"/>
          <w:szCs w:val="24"/>
          <w:lang w:val="ro-MD"/>
        </w:rPr>
        <w:t xml:space="preserve">n anul 2018 – </w:t>
      </w:r>
      <w:r w:rsidR="00BD4C6F">
        <w:rPr>
          <w:rFonts w:asciiTheme="majorHAnsi" w:hAnsiTheme="majorHAnsi" w:cstheme="majorHAnsi"/>
          <w:sz w:val="24"/>
          <w:szCs w:val="24"/>
          <w:lang w:val="ro-MD"/>
        </w:rPr>
        <w:t xml:space="preserve">cu </w:t>
      </w:r>
      <w:r w:rsidRPr="00222BED">
        <w:rPr>
          <w:rFonts w:asciiTheme="majorHAnsi" w:hAnsiTheme="majorHAnsi" w:cstheme="majorHAnsi"/>
          <w:sz w:val="24"/>
          <w:szCs w:val="24"/>
          <w:lang w:val="ro-MD"/>
        </w:rPr>
        <w:t>4</w:t>
      </w:r>
      <w:r w:rsidR="00BD4C6F">
        <w:rPr>
          <w:rFonts w:asciiTheme="majorHAnsi" w:hAnsiTheme="majorHAnsi" w:cstheme="majorHAnsi"/>
          <w:sz w:val="24"/>
          <w:szCs w:val="24"/>
          <w:lang w:val="ro-MD"/>
        </w:rPr>
        <w:t>,</w:t>
      </w:r>
      <w:r w:rsidRPr="00222BED">
        <w:rPr>
          <w:rFonts w:asciiTheme="majorHAnsi" w:hAnsiTheme="majorHAnsi" w:cstheme="majorHAnsi"/>
          <w:sz w:val="24"/>
          <w:szCs w:val="24"/>
          <w:lang w:val="ro-MD"/>
        </w:rPr>
        <w:t>22p.p.</w:t>
      </w:r>
      <w:r w:rsidRPr="00401691">
        <w:rPr>
          <w:rFonts w:asciiTheme="majorHAnsi" w:hAnsiTheme="majorHAnsi" w:cstheme="majorHAnsi"/>
          <w:sz w:val="24"/>
          <w:szCs w:val="24"/>
          <w:lang w:val="ro-MD"/>
        </w:rPr>
        <w:t xml:space="preserve"> </w:t>
      </w:r>
    </w:p>
    <w:p w:rsidR="00EA4DD2" w:rsidRPr="00401691" w:rsidRDefault="00A353BB" w:rsidP="00844145">
      <w:pPr>
        <w:spacing w:after="0" w:line="276" w:lineRule="auto"/>
        <w:jc w:val="both"/>
        <w:rPr>
          <w:rFonts w:asciiTheme="majorHAnsi" w:hAnsiTheme="majorHAnsi" w:cstheme="majorHAnsi"/>
          <w:sz w:val="24"/>
          <w:szCs w:val="24"/>
          <w:lang w:val="ro-MD"/>
        </w:rPr>
      </w:pPr>
      <w:r w:rsidRPr="00401691">
        <w:rPr>
          <w:rFonts w:asciiTheme="majorHAnsi" w:hAnsiTheme="majorHAnsi" w:cstheme="majorHAnsi"/>
          <w:sz w:val="24"/>
          <w:szCs w:val="24"/>
          <w:lang w:val="ro-MD"/>
        </w:rPr>
        <w:t>Cele menționate denotă necesitatea unei evaluări prudente a factorilor care determină diminuarea ponderii veniturilor adminis</w:t>
      </w:r>
      <w:r w:rsidR="001563EA" w:rsidRPr="00401691">
        <w:rPr>
          <w:rFonts w:asciiTheme="majorHAnsi" w:hAnsiTheme="majorHAnsi" w:cstheme="majorHAnsi"/>
          <w:sz w:val="24"/>
          <w:szCs w:val="24"/>
          <w:lang w:val="ro-MD"/>
        </w:rPr>
        <w:t>trate de SFS la bugetul de stat</w:t>
      </w:r>
      <w:r w:rsidR="00354F54">
        <w:rPr>
          <w:rFonts w:asciiTheme="majorHAnsi" w:hAnsiTheme="majorHAnsi" w:cstheme="majorHAnsi"/>
          <w:sz w:val="24"/>
          <w:szCs w:val="24"/>
          <w:lang w:val="ro-MD"/>
        </w:rPr>
        <w:t>,</w:t>
      </w:r>
      <w:r w:rsidR="001563EA" w:rsidRPr="00401691">
        <w:rPr>
          <w:rFonts w:asciiTheme="majorHAnsi" w:hAnsiTheme="majorHAnsi" w:cstheme="majorHAnsi"/>
          <w:sz w:val="24"/>
          <w:szCs w:val="24"/>
          <w:lang w:val="ro-MD"/>
        </w:rPr>
        <w:t xml:space="preserve"> raportate la PIB,</w:t>
      </w:r>
      <w:r w:rsidRPr="00401691">
        <w:rPr>
          <w:rFonts w:asciiTheme="majorHAnsi" w:hAnsiTheme="majorHAnsi" w:cstheme="majorHAnsi"/>
          <w:sz w:val="24"/>
          <w:szCs w:val="24"/>
          <w:lang w:val="ro-MD"/>
        </w:rPr>
        <w:t xml:space="preserve"> inclusiv </w:t>
      </w:r>
      <w:r w:rsidR="00354F54">
        <w:rPr>
          <w:rFonts w:asciiTheme="majorHAnsi" w:hAnsiTheme="majorHAnsi" w:cstheme="majorHAnsi"/>
          <w:sz w:val="24"/>
          <w:szCs w:val="24"/>
          <w:lang w:val="ro-MD"/>
        </w:rPr>
        <w:t xml:space="preserve">a </w:t>
      </w:r>
      <w:r w:rsidRPr="00401691">
        <w:rPr>
          <w:rFonts w:asciiTheme="majorHAnsi" w:hAnsiTheme="majorHAnsi" w:cstheme="majorHAnsi"/>
          <w:sz w:val="24"/>
          <w:szCs w:val="24"/>
          <w:lang w:val="ro-MD"/>
        </w:rPr>
        <w:t>evalu</w:t>
      </w:r>
      <w:r w:rsidR="00354F54">
        <w:rPr>
          <w:rFonts w:asciiTheme="majorHAnsi" w:hAnsiTheme="majorHAnsi" w:cstheme="majorHAnsi"/>
          <w:sz w:val="24"/>
          <w:szCs w:val="24"/>
          <w:lang w:val="ro-MD"/>
        </w:rPr>
        <w:t>ării</w:t>
      </w:r>
      <w:r w:rsidR="001563EA" w:rsidRPr="00401691">
        <w:rPr>
          <w:rFonts w:asciiTheme="majorHAnsi" w:hAnsiTheme="majorHAnsi" w:cstheme="majorHAnsi"/>
          <w:sz w:val="24"/>
          <w:szCs w:val="24"/>
          <w:lang w:val="ro-MD"/>
        </w:rPr>
        <w:t xml:space="preserve"> indicatorului </w:t>
      </w:r>
      <w:r w:rsidRPr="00401691">
        <w:rPr>
          <w:rFonts w:asciiTheme="majorHAnsi" w:hAnsiTheme="majorHAnsi" w:cstheme="majorHAnsi"/>
          <w:sz w:val="24"/>
          <w:szCs w:val="24"/>
          <w:lang w:val="ro-MD"/>
        </w:rPr>
        <w:t>decalajului fiscal</w:t>
      </w:r>
      <w:r w:rsidRPr="00401691">
        <w:rPr>
          <w:rStyle w:val="FootnoteReference"/>
          <w:rFonts w:asciiTheme="majorHAnsi" w:hAnsiTheme="majorHAnsi" w:cstheme="majorHAnsi"/>
          <w:sz w:val="24"/>
          <w:szCs w:val="24"/>
          <w:lang w:val="ro-MD"/>
        </w:rPr>
        <w:footnoteReference w:id="8"/>
      </w:r>
      <w:r w:rsidRPr="00401691">
        <w:rPr>
          <w:rFonts w:asciiTheme="majorHAnsi" w:hAnsiTheme="majorHAnsi" w:cstheme="majorHAnsi"/>
          <w:sz w:val="24"/>
          <w:szCs w:val="24"/>
          <w:lang w:val="ro-MD"/>
        </w:rPr>
        <w:t xml:space="preserve">, instrument pus în aplicare începând cu anul 2019, în scopul identificării riscurilor </w:t>
      </w:r>
      <w:r w:rsidRPr="004836DA">
        <w:rPr>
          <w:rFonts w:asciiTheme="majorHAnsi" w:hAnsiTheme="majorHAnsi" w:cstheme="majorHAnsi"/>
          <w:sz w:val="24"/>
          <w:szCs w:val="24"/>
          <w:lang w:val="ro-MD"/>
        </w:rPr>
        <w:t>emergente</w:t>
      </w:r>
      <w:r w:rsidR="00354F54" w:rsidRPr="004836DA">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care afectează durabilitatea procesului de colectare a impozitelor și taxelor la buget.</w:t>
      </w:r>
      <w:r w:rsidR="0080562F" w:rsidRPr="00401691">
        <w:rPr>
          <w:rFonts w:asciiTheme="majorHAnsi" w:hAnsiTheme="majorHAnsi" w:cstheme="majorHAnsi"/>
          <w:sz w:val="24"/>
          <w:szCs w:val="24"/>
          <w:lang w:val="ro-MD"/>
        </w:rPr>
        <w:t xml:space="preserve"> </w:t>
      </w:r>
    </w:p>
    <w:p w:rsidR="00EA4DD2" w:rsidRPr="007D38DE" w:rsidRDefault="00E30851" w:rsidP="00844145">
      <w:pPr>
        <w:pStyle w:val="Heading3"/>
        <w:numPr>
          <w:ilvl w:val="1"/>
          <w:numId w:val="33"/>
        </w:numPr>
        <w:spacing w:before="120" w:line="276" w:lineRule="auto"/>
        <w:rPr>
          <w:rFonts w:cstheme="majorHAnsi"/>
          <w:b/>
        </w:rPr>
      </w:pPr>
      <w:bookmarkStart w:id="9" w:name="_Toc48732721"/>
      <w:r>
        <w:rPr>
          <w:rFonts w:cstheme="majorHAnsi"/>
          <w:b/>
        </w:rPr>
        <w:t xml:space="preserve">. </w:t>
      </w:r>
      <w:r w:rsidR="00904077">
        <w:rPr>
          <w:rFonts w:cstheme="majorHAnsi"/>
          <w:b/>
        </w:rPr>
        <w:t xml:space="preserve">SFS nu utilizează </w:t>
      </w:r>
      <w:r w:rsidR="00B21F9F">
        <w:rPr>
          <w:rFonts w:cstheme="majorHAnsi"/>
          <w:b/>
        </w:rPr>
        <w:t xml:space="preserve">metodele de prognozare </w:t>
      </w:r>
      <w:r w:rsidR="00A94708">
        <w:rPr>
          <w:rFonts w:cstheme="majorHAnsi"/>
          <w:b/>
        </w:rPr>
        <w:t>bugetară prestabilit</w:t>
      </w:r>
      <w:r w:rsidR="00B21F9F">
        <w:rPr>
          <w:rFonts w:cstheme="majorHAnsi"/>
          <w:b/>
        </w:rPr>
        <w:t>e</w:t>
      </w:r>
      <w:bookmarkEnd w:id="9"/>
      <w:r w:rsidR="00A0307C">
        <w:rPr>
          <w:rFonts w:cstheme="majorHAnsi"/>
          <w:b/>
        </w:rPr>
        <w:t>.</w:t>
      </w:r>
    </w:p>
    <w:p w:rsidR="00EA4DD2" w:rsidRPr="00401691" w:rsidRDefault="00EA4DD2" w:rsidP="00844145">
      <w:pPr>
        <w:spacing w:after="0" w:line="276" w:lineRule="auto"/>
        <w:jc w:val="both"/>
        <w:rPr>
          <w:rFonts w:asciiTheme="majorHAnsi" w:hAnsiTheme="majorHAnsi" w:cstheme="majorHAnsi"/>
          <w:sz w:val="24"/>
          <w:szCs w:val="24"/>
          <w:lang w:val="ro-MD"/>
        </w:rPr>
      </w:pPr>
      <w:r w:rsidRPr="00401691">
        <w:rPr>
          <w:rFonts w:asciiTheme="majorHAnsi" w:hAnsiTheme="majorHAnsi" w:cstheme="majorHAnsi"/>
          <w:sz w:val="24"/>
          <w:szCs w:val="24"/>
          <w:lang w:val="ro-MD"/>
        </w:rPr>
        <w:t xml:space="preserve">Procedura </w:t>
      </w:r>
      <w:r w:rsidRPr="004836DA">
        <w:rPr>
          <w:rFonts w:asciiTheme="majorHAnsi" w:hAnsiTheme="majorHAnsi" w:cstheme="majorHAnsi"/>
          <w:sz w:val="24"/>
          <w:szCs w:val="24"/>
          <w:lang w:val="ro-MD"/>
        </w:rPr>
        <w:t>de prognozare a veniturilor bugetare de către SFS la B</w:t>
      </w:r>
      <w:r w:rsidR="0030776C" w:rsidRPr="004836DA">
        <w:rPr>
          <w:rFonts w:asciiTheme="majorHAnsi" w:hAnsiTheme="majorHAnsi" w:cstheme="majorHAnsi"/>
          <w:sz w:val="24"/>
          <w:szCs w:val="24"/>
          <w:lang w:val="ro-MD"/>
        </w:rPr>
        <w:t>PN</w:t>
      </w:r>
      <w:r w:rsidRPr="004836DA">
        <w:rPr>
          <w:rFonts w:asciiTheme="majorHAnsi" w:hAnsiTheme="majorHAnsi" w:cstheme="majorHAnsi"/>
          <w:sz w:val="24"/>
          <w:szCs w:val="24"/>
          <w:lang w:val="ro-MD"/>
        </w:rPr>
        <w:t>,</w:t>
      </w:r>
      <w:r w:rsidRPr="00583F45">
        <w:rPr>
          <w:rFonts w:asciiTheme="majorHAnsi" w:hAnsiTheme="majorHAnsi" w:cstheme="majorHAnsi"/>
          <w:sz w:val="24"/>
          <w:szCs w:val="24"/>
          <w:lang w:val="ro-MD"/>
        </w:rPr>
        <w:t xml:space="preserve"> inclusi</w:t>
      </w:r>
      <w:r w:rsidRPr="00401691">
        <w:rPr>
          <w:rFonts w:asciiTheme="majorHAnsi" w:hAnsiTheme="majorHAnsi" w:cstheme="majorHAnsi"/>
          <w:sz w:val="24"/>
          <w:szCs w:val="24"/>
          <w:lang w:val="ro-MD"/>
        </w:rPr>
        <w:t xml:space="preserve">v la </w:t>
      </w:r>
      <w:r w:rsidR="00222839">
        <w:rPr>
          <w:rFonts w:asciiTheme="majorHAnsi" w:hAnsiTheme="majorHAnsi" w:cstheme="majorHAnsi"/>
          <w:sz w:val="24"/>
          <w:szCs w:val="24"/>
          <w:lang w:val="ro-MD"/>
        </w:rPr>
        <w:t>BS</w:t>
      </w:r>
      <w:r w:rsidRPr="00401691">
        <w:rPr>
          <w:rFonts w:asciiTheme="majorHAnsi" w:hAnsiTheme="majorHAnsi" w:cstheme="majorHAnsi"/>
          <w:sz w:val="24"/>
          <w:szCs w:val="24"/>
          <w:lang w:val="ro-MD"/>
        </w:rPr>
        <w:t xml:space="preserve"> este reglementată de Recomandările metodice privind prognozarea veniturilor și stabili</w:t>
      </w:r>
      <w:r w:rsidR="00222839">
        <w:rPr>
          <w:rFonts w:asciiTheme="majorHAnsi" w:hAnsiTheme="majorHAnsi" w:cstheme="majorHAnsi"/>
          <w:sz w:val="24"/>
          <w:szCs w:val="24"/>
          <w:lang w:val="ro-MD"/>
        </w:rPr>
        <w:t>rea sarcinilor de venituri la BPN</w:t>
      </w:r>
      <w:r w:rsidRPr="00401691">
        <w:rPr>
          <w:rStyle w:val="FootnoteReference"/>
          <w:rFonts w:asciiTheme="majorHAnsi" w:hAnsiTheme="majorHAnsi" w:cstheme="majorHAnsi"/>
          <w:sz w:val="24"/>
          <w:szCs w:val="24"/>
          <w:lang w:val="ro-MD"/>
        </w:rPr>
        <w:footnoteReference w:id="9"/>
      </w:r>
      <w:r w:rsidR="00F11214" w:rsidRPr="00401691">
        <w:rPr>
          <w:rFonts w:asciiTheme="majorHAnsi" w:hAnsiTheme="majorHAnsi" w:cstheme="majorHAnsi"/>
          <w:sz w:val="24"/>
          <w:szCs w:val="24"/>
          <w:lang w:val="ro-MD"/>
        </w:rPr>
        <w:t>. Potrivit</w:t>
      </w:r>
      <w:r w:rsidRPr="00401691">
        <w:rPr>
          <w:rFonts w:asciiTheme="majorHAnsi" w:hAnsiTheme="majorHAnsi" w:cstheme="majorHAnsi"/>
          <w:sz w:val="24"/>
          <w:szCs w:val="24"/>
          <w:lang w:val="ro-MD"/>
        </w:rPr>
        <w:t xml:space="preserve"> explicațiilor prezentate de SFS</w:t>
      </w:r>
      <w:r w:rsidR="00354F54">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fundamentarea și prognoza veniturilor pentru anul 2019 s-a</w:t>
      </w:r>
      <w:r w:rsidR="00354F54">
        <w:rPr>
          <w:rFonts w:asciiTheme="majorHAnsi" w:hAnsiTheme="majorHAnsi" w:cstheme="majorHAnsi"/>
          <w:sz w:val="24"/>
          <w:szCs w:val="24"/>
          <w:lang w:val="ro-MD"/>
        </w:rPr>
        <w:t>u</w:t>
      </w:r>
      <w:r w:rsidRPr="00401691">
        <w:rPr>
          <w:rFonts w:asciiTheme="majorHAnsi" w:hAnsiTheme="majorHAnsi" w:cstheme="majorHAnsi"/>
          <w:sz w:val="24"/>
          <w:szCs w:val="24"/>
          <w:lang w:val="ro-MD"/>
        </w:rPr>
        <w:t xml:space="preserve"> realizat de </w:t>
      </w:r>
      <w:r w:rsidR="00354F54">
        <w:rPr>
          <w:rFonts w:asciiTheme="majorHAnsi" w:hAnsiTheme="majorHAnsi" w:cstheme="majorHAnsi"/>
          <w:sz w:val="24"/>
          <w:szCs w:val="24"/>
          <w:lang w:val="ro-MD"/>
        </w:rPr>
        <w:t xml:space="preserve">către </w:t>
      </w:r>
      <w:r w:rsidR="00056A82">
        <w:rPr>
          <w:rFonts w:asciiTheme="majorHAnsi" w:hAnsiTheme="majorHAnsi" w:cstheme="majorHAnsi"/>
          <w:sz w:val="24"/>
          <w:szCs w:val="24"/>
          <w:lang w:val="ro-MD"/>
        </w:rPr>
        <w:t>MF</w:t>
      </w:r>
      <w:r w:rsidRPr="00401691">
        <w:rPr>
          <w:rFonts w:asciiTheme="majorHAnsi" w:hAnsiTheme="majorHAnsi" w:cstheme="majorHAnsi"/>
          <w:sz w:val="24"/>
          <w:szCs w:val="24"/>
          <w:lang w:val="ro-MD"/>
        </w:rPr>
        <w:t xml:space="preserve">, </w:t>
      </w:r>
      <w:r w:rsidR="00354F54">
        <w:rPr>
          <w:rFonts w:asciiTheme="majorHAnsi" w:hAnsiTheme="majorHAnsi" w:cstheme="majorHAnsi"/>
          <w:sz w:val="24"/>
          <w:szCs w:val="24"/>
          <w:lang w:val="ro-MD"/>
        </w:rPr>
        <w:t xml:space="preserve">cu </w:t>
      </w:r>
      <w:r w:rsidRPr="00401691">
        <w:rPr>
          <w:rFonts w:asciiTheme="majorHAnsi" w:hAnsiTheme="majorHAnsi" w:cstheme="majorHAnsi"/>
          <w:sz w:val="24"/>
          <w:szCs w:val="24"/>
          <w:lang w:val="ro-MD"/>
        </w:rPr>
        <w:t>remi</w:t>
      </w:r>
      <w:r w:rsidR="00354F54">
        <w:rPr>
          <w:rFonts w:asciiTheme="majorHAnsi" w:hAnsiTheme="majorHAnsi" w:cstheme="majorHAnsi"/>
          <w:sz w:val="24"/>
          <w:szCs w:val="24"/>
          <w:lang w:val="ro-MD"/>
        </w:rPr>
        <w:t>terea</w:t>
      </w:r>
      <w:r w:rsidRPr="00401691">
        <w:rPr>
          <w:rFonts w:asciiTheme="majorHAnsi" w:hAnsiTheme="majorHAnsi" w:cstheme="majorHAnsi"/>
          <w:sz w:val="24"/>
          <w:szCs w:val="24"/>
          <w:lang w:val="ro-MD"/>
        </w:rPr>
        <w:t xml:space="preserve"> spre coordonare organului fiscal. SFS</w:t>
      </w:r>
      <w:r w:rsidR="00354F54">
        <w:rPr>
          <w:rFonts w:asciiTheme="majorHAnsi" w:hAnsiTheme="majorHAnsi" w:cstheme="majorHAnsi"/>
          <w:sz w:val="24"/>
          <w:szCs w:val="24"/>
          <w:lang w:val="ro-MD"/>
        </w:rPr>
        <w:t>, deși</w:t>
      </w:r>
      <w:r w:rsidRPr="00401691">
        <w:rPr>
          <w:rFonts w:asciiTheme="majorHAnsi" w:hAnsiTheme="majorHAnsi" w:cstheme="majorHAnsi"/>
          <w:sz w:val="24"/>
          <w:szCs w:val="24"/>
          <w:lang w:val="ro-MD"/>
        </w:rPr>
        <w:t xml:space="preserve"> are atribuții de </w:t>
      </w:r>
      <w:r w:rsidRPr="00401691">
        <w:rPr>
          <w:rFonts w:asciiTheme="majorHAnsi" w:hAnsiTheme="majorHAnsi" w:cstheme="majorHAnsi"/>
          <w:sz w:val="24"/>
          <w:szCs w:val="24"/>
          <w:lang w:val="ro-MD"/>
        </w:rPr>
        <w:lastRenderedPageBreak/>
        <w:t xml:space="preserve">planificare, nu a fost nemijlocit antrenat în fundamentarea veniturilor bugetare și la </w:t>
      </w:r>
      <w:r w:rsidR="00F11214" w:rsidRPr="00401691">
        <w:rPr>
          <w:rFonts w:asciiTheme="majorHAnsi" w:hAnsiTheme="majorHAnsi" w:cstheme="majorHAnsi"/>
          <w:sz w:val="24"/>
          <w:szCs w:val="24"/>
          <w:lang w:val="ro-MD"/>
        </w:rPr>
        <w:t>elaborarea prognozelor bugetare</w:t>
      </w:r>
      <w:r w:rsidRPr="00401691">
        <w:rPr>
          <w:rFonts w:asciiTheme="majorHAnsi" w:hAnsiTheme="majorHAnsi" w:cstheme="majorHAnsi"/>
          <w:sz w:val="24"/>
          <w:szCs w:val="24"/>
          <w:lang w:val="ro-MD"/>
        </w:rPr>
        <w:t xml:space="preserve"> prin aplicarea metodelor reglementate de Recomandările</w:t>
      </w:r>
      <w:r w:rsidR="00762C86">
        <w:rPr>
          <w:rFonts w:asciiTheme="majorHAnsi" w:hAnsiTheme="majorHAnsi" w:cstheme="majorHAnsi"/>
          <w:sz w:val="24"/>
          <w:szCs w:val="24"/>
          <w:lang w:val="ro-MD"/>
        </w:rPr>
        <w:t xml:space="preserve"> menționate</w:t>
      </w:r>
      <w:r w:rsidRPr="00401691">
        <w:rPr>
          <w:rStyle w:val="FootnoteReference"/>
          <w:rFonts w:asciiTheme="majorHAnsi" w:hAnsiTheme="majorHAnsi" w:cstheme="majorHAnsi"/>
          <w:sz w:val="24"/>
          <w:szCs w:val="24"/>
          <w:lang w:val="ro-MD"/>
        </w:rPr>
        <w:footnoteReference w:id="10"/>
      </w:r>
      <w:r w:rsidRPr="00401691">
        <w:rPr>
          <w:rFonts w:asciiTheme="majorHAnsi" w:hAnsiTheme="majorHAnsi" w:cstheme="majorHAnsi"/>
          <w:sz w:val="24"/>
          <w:szCs w:val="24"/>
          <w:lang w:val="ro-MD"/>
        </w:rPr>
        <w:t>, inclusiv:</w:t>
      </w:r>
    </w:p>
    <w:p w:rsidR="00EA4DD2" w:rsidRPr="00401691" w:rsidRDefault="00EA4DD2" w:rsidP="00844145">
      <w:pPr>
        <w:pStyle w:val="ListParagraph"/>
        <w:numPr>
          <w:ilvl w:val="0"/>
          <w:numId w:val="16"/>
        </w:numPr>
        <w:spacing w:line="276" w:lineRule="auto"/>
        <w:jc w:val="both"/>
        <w:rPr>
          <w:rFonts w:asciiTheme="majorHAnsi" w:hAnsiTheme="majorHAnsi" w:cstheme="majorHAnsi"/>
          <w:sz w:val="24"/>
          <w:szCs w:val="24"/>
          <w:lang w:val="ro-MD"/>
        </w:rPr>
      </w:pPr>
      <w:r w:rsidRPr="00401691">
        <w:rPr>
          <w:rFonts w:asciiTheme="majorHAnsi" w:hAnsiTheme="majorHAnsi" w:cstheme="majorHAnsi"/>
          <w:sz w:val="24"/>
          <w:szCs w:val="24"/>
          <w:lang w:val="ro-MD"/>
        </w:rPr>
        <w:t>Metoda cotei efective de impozitare;</w:t>
      </w:r>
    </w:p>
    <w:p w:rsidR="00EA4DD2" w:rsidRPr="00401691" w:rsidRDefault="00EA4DD2" w:rsidP="00844145">
      <w:pPr>
        <w:pStyle w:val="ListParagraph"/>
        <w:numPr>
          <w:ilvl w:val="0"/>
          <w:numId w:val="16"/>
        </w:numPr>
        <w:spacing w:line="276" w:lineRule="auto"/>
        <w:jc w:val="both"/>
        <w:rPr>
          <w:rFonts w:asciiTheme="majorHAnsi" w:hAnsiTheme="majorHAnsi" w:cstheme="majorHAnsi"/>
          <w:sz w:val="24"/>
          <w:szCs w:val="24"/>
          <w:lang w:val="ro-MD"/>
        </w:rPr>
      </w:pPr>
      <w:r w:rsidRPr="00401691">
        <w:rPr>
          <w:rFonts w:asciiTheme="majorHAnsi" w:hAnsiTheme="majorHAnsi" w:cstheme="majorHAnsi"/>
          <w:sz w:val="24"/>
          <w:szCs w:val="24"/>
          <w:lang w:val="ro-MD"/>
        </w:rPr>
        <w:t>Metoda automată;</w:t>
      </w:r>
    </w:p>
    <w:p w:rsidR="00EA4DD2" w:rsidRPr="00401691" w:rsidRDefault="00EC2138" w:rsidP="00844145">
      <w:pPr>
        <w:pStyle w:val="ListParagraph"/>
        <w:numPr>
          <w:ilvl w:val="0"/>
          <w:numId w:val="16"/>
        </w:numPr>
        <w:spacing w:line="276" w:lineRule="auto"/>
        <w:jc w:val="both"/>
        <w:rPr>
          <w:rFonts w:asciiTheme="majorHAnsi" w:hAnsiTheme="majorHAnsi" w:cstheme="majorHAnsi"/>
          <w:sz w:val="24"/>
          <w:szCs w:val="24"/>
          <w:lang w:val="ro-MD"/>
        </w:rPr>
      </w:pPr>
      <w:r>
        <w:rPr>
          <w:rFonts w:asciiTheme="majorHAnsi" w:hAnsiTheme="majorHAnsi" w:cstheme="majorHAnsi"/>
          <w:sz w:val="24"/>
          <w:szCs w:val="24"/>
          <w:lang w:val="ro-MD"/>
        </w:rPr>
        <w:t>Metoda majorării</w:t>
      </w:r>
      <w:r w:rsidR="00EA4DD2" w:rsidRPr="00401691">
        <w:rPr>
          <w:rFonts w:asciiTheme="majorHAnsi" w:hAnsiTheme="majorHAnsi" w:cstheme="majorHAnsi"/>
          <w:sz w:val="24"/>
          <w:szCs w:val="24"/>
          <w:lang w:val="ro-MD"/>
        </w:rPr>
        <w:t xml:space="preserve"> sau metoda trendurilor</w:t>
      </w:r>
      <w:r w:rsidR="00762C86">
        <w:rPr>
          <w:rFonts w:asciiTheme="majorHAnsi" w:hAnsiTheme="majorHAnsi" w:cstheme="majorHAnsi"/>
          <w:sz w:val="24"/>
          <w:szCs w:val="24"/>
          <w:lang w:val="ro-MD"/>
        </w:rPr>
        <w:t>;</w:t>
      </w:r>
    </w:p>
    <w:p w:rsidR="00EA4DD2" w:rsidRPr="00401691" w:rsidRDefault="00056A82" w:rsidP="00844145">
      <w:pPr>
        <w:pStyle w:val="ListParagraph"/>
        <w:numPr>
          <w:ilvl w:val="0"/>
          <w:numId w:val="16"/>
        </w:numPr>
        <w:spacing w:after="0" w:line="276" w:lineRule="auto"/>
        <w:jc w:val="both"/>
        <w:rPr>
          <w:rFonts w:asciiTheme="majorHAnsi" w:hAnsiTheme="majorHAnsi" w:cstheme="majorHAnsi"/>
          <w:sz w:val="24"/>
          <w:szCs w:val="24"/>
          <w:lang w:val="ro-MD"/>
        </w:rPr>
      </w:pPr>
      <w:r>
        <w:rPr>
          <w:rFonts w:asciiTheme="majorHAnsi" w:hAnsiTheme="majorHAnsi" w:cstheme="majorHAnsi"/>
          <w:sz w:val="24"/>
          <w:szCs w:val="24"/>
          <w:lang w:val="ro-MD"/>
        </w:rPr>
        <w:t>Metoda</w:t>
      </w:r>
      <w:r w:rsidR="00EA4DD2" w:rsidRPr="00401691">
        <w:rPr>
          <w:rFonts w:asciiTheme="majorHAnsi" w:hAnsiTheme="majorHAnsi" w:cstheme="majorHAnsi"/>
          <w:sz w:val="24"/>
          <w:szCs w:val="24"/>
          <w:lang w:val="ro-MD"/>
        </w:rPr>
        <w:t xml:space="preserve"> opiniei de expert.</w:t>
      </w:r>
    </w:p>
    <w:p w:rsidR="008753FD" w:rsidRPr="00401691" w:rsidRDefault="00EA4DD2" w:rsidP="00844145">
      <w:pPr>
        <w:spacing w:line="276" w:lineRule="auto"/>
        <w:jc w:val="both"/>
        <w:rPr>
          <w:rFonts w:asciiTheme="majorHAnsi" w:hAnsiTheme="majorHAnsi" w:cstheme="majorHAnsi"/>
          <w:sz w:val="24"/>
          <w:szCs w:val="24"/>
          <w:lang w:val="ro-MD"/>
        </w:rPr>
      </w:pPr>
      <w:r w:rsidRPr="00401691">
        <w:rPr>
          <w:rFonts w:asciiTheme="majorHAnsi" w:hAnsiTheme="majorHAnsi" w:cstheme="majorHAnsi"/>
          <w:sz w:val="24"/>
          <w:szCs w:val="24"/>
          <w:lang w:val="ro-MD"/>
        </w:rPr>
        <w:t xml:space="preserve">Un instrument eficient </w:t>
      </w:r>
      <w:r w:rsidR="006C26FD" w:rsidRPr="00401691">
        <w:rPr>
          <w:rFonts w:asciiTheme="majorHAnsi" w:hAnsiTheme="majorHAnsi" w:cstheme="majorHAnsi"/>
          <w:sz w:val="24"/>
          <w:szCs w:val="24"/>
          <w:lang w:val="ro-MD"/>
        </w:rPr>
        <w:t xml:space="preserve">de </w:t>
      </w:r>
      <w:r w:rsidR="008753FD" w:rsidRPr="00401691">
        <w:rPr>
          <w:rFonts w:asciiTheme="majorHAnsi" w:hAnsiTheme="majorHAnsi" w:cstheme="majorHAnsi"/>
          <w:sz w:val="24"/>
          <w:szCs w:val="24"/>
          <w:lang w:val="ro-MD"/>
        </w:rPr>
        <w:t>asigura</w:t>
      </w:r>
      <w:r w:rsidR="006C26FD" w:rsidRPr="00401691">
        <w:rPr>
          <w:rFonts w:asciiTheme="majorHAnsi" w:hAnsiTheme="majorHAnsi" w:cstheme="majorHAnsi"/>
          <w:sz w:val="24"/>
          <w:szCs w:val="24"/>
          <w:lang w:val="ro-MD"/>
        </w:rPr>
        <w:t xml:space="preserve">re a </w:t>
      </w:r>
      <w:r w:rsidR="008753FD" w:rsidRPr="00401691">
        <w:rPr>
          <w:rFonts w:asciiTheme="majorHAnsi" w:hAnsiTheme="majorHAnsi" w:cstheme="majorHAnsi"/>
          <w:sz w:val="24"/>
          <w:szCs w:val="24"/>
          <w:lang w:val="ro-MD"/>
        </w:rPr>
        <w:t>exactit</w:t>
      </w:r>
      <w:r w:rsidR="006C26FD" w:rsidRPr="00401691">
        <w:rPr>
          <w:rFonts w:asciiTheme="majorHAnsi" w:hAnsiTheme="majorHAnsi" w:cstheme="majorHAnsi"/>
          <w:sz w:val="24"/>
          <w:szCs w:val="24"/>
          <w:lang w:val="ro-MD"/>
        </w:rPr>
        <w:t>ății</w:t>
      </w:r>
      <w:r w:rsidR="008753FD" w:rsidRPr="00401691">
        <w:rPr>
          <w:rFonts w:asciiTheme="majorHAnsi" w:hAnsiTheme="majorHAnsi" w:cstheme="majorHAnsi"/>
          <w:sz w:val="24"/>
          <w:szCs w:val="24"/>
          <w:lang w:val="ro-MD"/>
        </w:rPr>
        <w:t xml:space="preserve"> prognozei anuale a veniturilor și </w:t>
      </w:r>
      <w:r w:rsidR="00762C86">
        <w:rPr>
          <w:rFonts w:asciiTheme="majorHAnsi" w:hAnsiTheme="majorHAnsi" w:cstheme="majorHAnsi"/>
          <w:sz w:val="24"/>
          <w:szCs w:val="24"/>
          <w:lang w:val="ro-MD"/>
        </w:rPr>
        <w:t xml:space="preserve">a </w:t>
      </w:r>
      <w:r w:rsidR="003C1FA0" w:rsidRPr="00401691">
        <w:rPr>
          <w:rFonts w:asciiTheme="majorHAnsi" w:hAnsiTheme="majorHAnsi" w:cstheme="majorHAnsi"/>
          <w:sz w:val="24"/>
          <w:szCs w:val="24"/>
          <w:lang w:val="ro-MD"/>
        </w:rPr>
        <w:t>fortific</w:t>
      </w:r>
      <w:r w:rsidR="00762C86">
        <w:rPr>
          <w:rFonts w:asciiTheme="majorHAnsi" w:hAnsiTheme="majorHAnsi" w:cstheme="majorHAnsi"/>
          <w:sz w:val="24"/>
          <w:szCs w:val="24"/>
          <w:lang w:val="ro-MD"/>
        </w:rPr>
        <w:t>ării</w:t>
      </w:r>
      <w:r w:rsidR="003C1FA0" w:rsidRPr="00401691">
        <w:rPr>
          <w:rFonts w:asciiTheme="majorHAnsi" w:hAnsiTheme="majorHAnsi" w:cstheme="majorHAnsi"/>
          <w:sz w:val="24"/>
          <w:szCs w:val="24"/>
          <w:lang w:val="ro-MD"/>
        </w:rPr>
        <w:t xml:space="preserve"> capacităților</w:t>
      </w:r>
      <w:r w:rsidR="008753FD" w:rsidRPr="00401691">
        <w:rPr>
          <w:rFonts w:asciiTheme="majorHAnsi" w:hAnsiTheme="majorHAnsi" w:cstheme="majorHAnsi"/>
          <w:sz w:val="24"/>
          <w:szCs w:val="24"/>
          <w:lang w:val="ro-MD"/>
        </w:rPr>
        <w:t xml:space="preserve"> instituționale </w:t>
      </w:r>
      <w:r w:rsidR="006C26FD" w:rsidRPr="00401691">
        <w:rPr>
          <w:rFonts w:asciiTheme="majorHAnsi" w:hAnsiTheme="majorHAnsi" w:cstheme="majorHAnsi"/>
          <w:sz w:val="24"/>
          <w:szCs w:val="24"/>
          <w:lang w:val="ro-MD"/>
        </w:rPr>
        <w:t xml:space="preserve">ale SFS </w:t>
      </w:r>
      <w:r w:rsidR="008753FD" w:rsidRPr="00401691">
        <w:rPr>
          <w:rFonts w:asciiTheme="majorHAnsi" w:hAnsiTheme="majorHAnsi" w:cstheme="majorHAnsi"/>
          <w:sz w:val="24"/>
          <w:szCs w:val="24"/>
          <w:lang w:val="ro-MD"/>
        </w:rPr>
        <w:t xml:space="preserve">ar </w:t>
      </w:r>
      <w:r w:rsidR="00EC2138">
        <w:rPr>
          <w:rFonts w:asciiTheme="majorHAnsi" w:hAnsiTheme="majorHAnsi" w:cstheme="majorHAnsi"/>
          <w:sz w:val="24"/>
          <w:szCs w:val="24"/>
          <w:lang w:val="ro-MD"/>
        </w:rPr>
        <w:t>constitui</w:t>
      </w:r>
      <w:r w:rsidR="008753FD" w:rsidRPr="00401691">
        <w:rPr>
          <w:rFonts w:asciiTheme="majorHAnsi" w:hAnsiTheme="majorHAnsi" w:cstheme="majorHAnsi"/>
          <w:sz w:val="24"/>
          <w:szCs w:val="24"/>
          <w:lang w:val="ro-MD"/>
        </w:rPr>
        <w:t xml:space="preserve"> implicarea autorităților de specialitate ale statului în estimarea economiei tenebre</w:t>
      </w:r>
      <w:r w:rsidR="00EC2138">
        <w:rPr>
          <w:rFonts w:asciiTheme="majorHAnsi" w:hAnsiTheme="majorHAnsi" w:cstheme="majorHAnsi"/>
          <w:sz w:val="24"/>
          <w:szCs w:val="24"/>
          <w:lang w:val="ro-MD"/>
        </w:rPr>
        <w:t>, din perspectiva</w:t>
      </w:r>
      <w:r w:rsidR="006C26FD" w:rsidRPr="00401691">
        <w:rPr>
          <w:rFonts w:asciiTheme="majorHAnsi" w:hAnsiTheme="majorHAnsi" w:cstheme="majorHAnsi"/>
          <w:sz w:val="24"/>
          <w:szCs w:val="24"/>
          <w:lang w:val="ro-MD"/>
        </w:rPr>
        <w:t xml:space="preserve"> macroeconomică</w:t>
      </w:r>
      <w:r w:rsidR="00EC2138">
        <w:rPr>
          <w:rFonts w:asciiTheme="majorHAnsi" w:hAnsiTheme="majorHAnsi" w:cstheme="majorHAnsi"/>
          <w:sz w:val="24"/>
          <w:szCs w:val="24"/>
          <w:lang w:val="ro-MD"/>
        </w:rPr>
        <w:t>.</w:t>
      </w:r>
      <w:r w:rsidR="008753FD" w:rsidRPr="00401691">
        <w:rPr>
          <w:rFonts w:asciiTheme="majorHAnsi" w:hAnsiTheme="majorHAnsi" w:cstheme="majorHAnsi"/>
          <w:sz w:val="24"/>
          <w:szCs w:val="24"/>
          <w:lang w:val="ro-MD"/>
        </w:rPr>
        <w:t xml:space="preserve"> </w:t>
      </w:r>
      <w:r w:rsidR="00C15038" w:rsidRPr="00401691">
        <w:rPr>
          <w:rFonts w:asciiTheme="majorHAnsi" w:hAnsiTheme="majorHAnsi" w:cstheme="majorHAnsi"/>
          <w:sz w:val="24"/>
          <w:szCs w:val="24"/>
          <w:lang w:val="ro-MD"/>
        </w:rPr>
        <w:t>În ultim</w:t>
      </w:r>
      <w:r w:rsidR="009F7388">
        <w:rPr>
          <w:rFonts w:asciiTheme="majorHAnsi" w:hAnsiTheme="majorHAnsi" w:cstheme="majorHAnsi"/>
          <w:sz w:val="24"/>
          <w:szCs w:val="24"/>
          <w:lang w:val="ro-MD"/>
        </w:rPr>
        <w:t>ii</w:t>
      </w:r>
      <w:r w:rsidR="00C15038" w:rsidRPr="00401691">
        <w:rPr>
          <w:rFonts w:asciiTheme="majorHAnsi" w:hAnsiTheme="majorHAnsi" w:cstheme="majorHAnsi"/>
          <w:sz w:val="24"/>
          <w:szCs w:val="24"/>
          <w:lang w:val="ro-MD"/>
        </w:rPr>
        <w:t xml:space="preserve"> ani</w:t>
      </w:r>
      <w:r w:rsidR="00762C86">
        <w:rPr>
          <w:rFonts w:asciiTheme="majorHAnsi" w:hAnsiTheme="majorHAnsi" w:cstheme="majorHAnsi"/>
          <w:sz w:val="24"/>
          <w:szCs w:val="24"/>
          <w:lang w:val="ro-MD"/>
        </w:rPr>
        <w:t>,</w:t>
      </w:r>
      <w:r w:rsidR="00C15038" w:rsidRPr="00401691">
        <w:rPr>
          <w:rFonts w:asciiTheme="majorHAnsi" w:hAnsiTheme="majorHAnsi" w:cstheme="majorHAnsi"/>
          <w:sz w:val="24"/>
          <w:szCs w:val="24"/>
          <w:lang w:val="ro-MD"/>
        </w:rPr>
        <w:t xml:space="preserve"> în Republica Moldova nicio autoritate a statului nu a fost preocupată de subiectul dat, în acest context </w:t>
      </w:r>
      <w:r w:rsidR="00021521" w:rsidRPr="00401691">
        <w:rPr>
          <w:rFonts w:asciiTheme="majorHAnsi" w:hAnsiTheme="majorHAnsi" w:cstheme="majorHAnsi"/>
          <w:sz w:val="24"/>
          <w:szCs w:val="24"/>
          <w:lang w:val="ro-MD"/>
        </w:rPr>
        <w:t>neexistând</w:t>
      </w:r>
      <w:r w:rsidR="00C15038" w:rsidRPr="00401691">
        <w:rPr>
          <w:rFonts w:asciiTheme="majorHAnsi" w:hAnsiTheme="majorHAnsi" w:cstheme="majorHAnsi"/>
          <w:sz w:val="24"/>
          <w:szCs w:val="24"/>
          <w:lang w:val="ro-MD"/>
        </w:rPr>
        <w:t xml:space="preserve"> date oficiale. </w:t>
      </w:r>
    </w:p>
    <w:p w:rsidR="006C26FD" w:rsidRPr="00401691" w:rsidRDefault="006C26FD" w:rsidP="00844145">
      <w:pPr>
        <w:spacing w:line="276" w:lineRule="auto"/>
        <w:jc w:val="both"/>
        <w:rPr>
          <w:rFonts w:asciiTheme="majorHAnsi" w:eastAsia="Times New Roman" w:hAnsiTheme="majorHAnsi" w:cstheme="majorHAnsi"/>
          <w:sz w:val="20"/>
          <w:szCs w:val="20"/>
          <w:lang w:val="ro-MD"/>
        </w:rPr>
      </w:pPr>
      <w:r w:rsidRPr="00401691">
        <w:rPr>
          <w:rFonts w:asciiTheme="majorHAnsi" w:hAnsiTheme="majorHAnsi" w:cstheme="majorHAnsi"/>
          <w:sz w:val="24"/>
          <w:szCs w:val="24"/>
          <w:lang w:val="ro-MD"/>
        </w:rPr>
        <w:t xml:space="preserve">La fel, punerea în aplicare de către SFS a metodologiei de estimare a decalajului fiscal, inclusiv prin utilizarea datelor agregate la nivelul economiei naționale, estimarea datelor statistice privind riscul de necolectare a impozitelor și taxelor la buget, cuantificarea pieței negre și a pieței gri ar fi instrumente </w:t>
      </w:r>
      <w:r w:rsidR="009F7388">
        <w:rPr>
          <w:rFonts w:asciiTheme="majorHAnsi" w:hAnsiTheme="majorHAnsi" w:cstheme="majorHAnsi"/>
          <w:sz w:val="24"/>
          <w:szCs w:val="24"/>
          <w:lang w:val="ro-MD"/>
        </w:rPr>
        <w:t>utile</w:t>
      </w:r>
      <w:r w:rsidRPr="00401691">
        <w:rPr>
          <w:rFonts w:asciiTheme="majorHAnsi" w:hAnsiTheme="majorHAnsi" w:cstheme="majorHAnsi"/>
          <w:sz w:val="24"/>
          <w:szCs w:val="24"/>
          <w:lang w:val="ro-MD"/>
        </w:rPr>
        <w:t xml:space="preserve"> pentru</w:t>
      </w:r>
      <w:r w:rsidR="009F7388">
        <w:rPr>
          <w:rFonts w:asciiTheme="majorHAnsi" w:hAnsiTheme="majorHAnsi" w:cstheme="majorHAnsi"/>
          <w:sz w:val="24"/>
          <w:szCs w:val="24"/>
          <w:lang w:val="ro-MD"/>
        </w:rPr>
        <w:t xml:space="preserve"> exactitatea</w:t>
      </w:r>
      <w:r w:rsidRPr="00401691">
        <w:rPr>
          <w:rFonts w:asciiTheme="majorHAnsi" w:hAnsiTheme="majorHAnsi" w:cstheme="majorHAnsi"/>
          <w:sz w:val="24"/>
          <w:szCs w:val="24"/>
          <w:lang w:val="ro-MD"/>
        </w:rPr>
        <w:t xml:space="preserve"> prognoz</w:t>
      </w:r>
      <w:r w:rsidR="009F7388">
        <w:rPr>
          <w:rFonts w:asciiTheme="majorHAnsi" w:hAnsiTheme="majorHAnsi" w:cstheme="majorHAnsi"/>
          <w:sz w:val="24"/>
          <w:szCs w:val="24"/>
          <w:lang w:val="ro-MD"/>
        </w:rPr>
        <w:t>ei</w:t>
      </w:r>
      <w:r w:rsidRPr="00401691">
        <w:rPr>
          <w:rFonts w:asciiTheme="majorHAnsi" w:hAnsiTheme="majorHAnsi" w:cstheme="majorHAnsi"/>
          <w:sz w:val="24"/>
          <w:szCs w:val="24"/>
          <w:lang w:val="ro-MD"/>
        </w:rPr>
        <w:t xml:space="preserve"> bugetar</w:t>
      </w:r>
      <w:r w:rsidR="00492A34">
        <w:rPr>
          <w:rFonts w:asciiTheme="majorHAnsi" w:hAnsiTheme="majorHAnsi" w:cstheme="majorHAnsi"/>
          <w:sz w:val="24"/>
          <w:szCs w:val="24"/>
          <w:lang w:val="ro-MD"/>
        </w:rPr>
        <w:t>e</w:t>
      </w:r>
      <w:r w:rsidRPr="00401691">
        <w:rPr>
          <w:rFonts w:asciiTheme="majorHAnsi" w:hAnsiTheme="majorHAnsi" w:cstheme="majorHAnsi"/>
          <w:sz w:val="24"/>
          <w:szCs w:val="24"/>
          <w:lang w:val="ro-MD"/>
        </w:rPr>
        <w:t xml:space="preserve">. </w:t>
      </w:r>
    </w:p>
    <w:p w:rsidR="002F61F3" w:rsidRPr="0060679C" w:rsidRDefault="006011EE" w:rsidP="00844145">
      <w:pPr>
        <w:pStyle w:val="Heading3"/>
        <w:numPr>
          <w:ilvl w:val="1"/>
          <w:numId w:val="33"/>
        </w:numPr>
        <w:spacing w:before="120" w:after="120" w:line="276" w:lineRule="auto"/>
        <w:jc w:val="both"/>
        <w:rPr>
          <w:b/>
        </w:rPr>
      </w:pPr>
      <w:bookmarkStart w:id="10" w:name="_Toc48732722"/>
      <w:r>
        <w:rPr>
          <w:b/>
        </w:rPr>
        <w:lastRenderedPageBreak/>
        <w:t xml:space="preserve">. </w:t>
      </w:r>
      <w:r w:rsidR="00BB334D">
        <w:rPr>
          <w:b/>
        </w:rPr>
        <w:t xml:space="preserve">Organul fiscal </w:t>
      </w:r>
      <w:r w:rsidR="00A94708">
        <w:rPr>
          <w:b/>
        </w:rPr>
        <w:t xml:space="preserve">nu </w:t>
      </w:r>
      <w:r w:rsidR="00BB334D">
        <w:rPr>
          <w:b/>
        </w:rPr>
        <w:t xml:space="preserve">și-a </w:t>
      </w:r>
      <w:r w:rsidR="00A94708">
        <w:rPr>
          <w:b/>
        </w:rPr>
        <w:t>exercit</w:t>
      </w:r>
      <w:r w:rsidR="00BB334D">
        <w:rPr>
          <w:b/>
        </w:rPr>
        <w:t xml:space="preserve">at </w:t>
      </w:r>
      <w:r w:rsidR="00A94708">
        <w:rPr>
          <w:b/>
        </w:rPr>
        <w:t xml:space="preserve">pe deplin </w:t>
      </w:r>
      <w:r w:rsidR="002F61F3" w:rsidRPr="0060679C">
        <w:rPr>
          <w:b/>
        </w:rPr>
        <w:t>rolul de administrator a</w:t>
      </w:r>
      <w:r>
        <w:rPr>
          <w:b/>
        </w:rPr>
        <w:t>l</w:t>
      </w:r>
      <w:r w:rsidR="002F61F3" w:rsidRPr="0060679C">
        <w:rPr>
          <w:b/>
        </w:rPr>
        <w:t xml:space="preserve"> unor venituri gestionate de autorități ale statului</w:t>
      </w:r>
      <w:bookmarkEnd w:id="10"/>
      <w:r w:rsidR="00A0307C">
        <w:rPr>
          <w:b/>
        </w:rPr>
        <w:t>.</w:t>
      </w:r>
      <w:r w:rsidR="002F61F3" w:rsidRPr="0060679C">
        <w:rPr>
          <w:b/>
        </w:rPr>
        <w:t xml:space="preserve"> </w:t>
      </w:r>
    </w:p>
    <w:p w:rsidR="00514ECB" w:rsidRDefault="002F61F3" w:rsidP="00844145">
      <w:pPr>
        <w:spacing w:after="120" w:line="276" w:lineRule="auto"/>
        <w:jc w:val="both"/>
        <w:rPr>
          <w:rFonts w:asciiTheme="majorHAnsi" w:hAnsiTheme="majorHAnsi" w:cstheme="majorHAnsi"/>
          <w:sz w:val="24"/>
          <w:szCs w:val="24"/>
          <w:lang w:val="ro-MD"/>
        </w:rPr>
      </w:pPr>
      <w:r w:rsidRPr="00401691">
        <w:rPr>
          <w:rFonts w:asciiTheme="majorHAnsi" w:hAnsiTheme="majorHAnsi" w:cstheme="majorHAnsi"/>
          <w:sz w:val="24"/>
          <w:szCs w:val="24"/>
          <w:lang w:val="ro-MD"/>
        </w:rPr>
        <w:t>În condițiile statuate de art.3 din Legea nr.181 din</w:t>
      </w:r>
      <w:r w:rsidR="00514ECB">
        <w:rPr>
          <w:rFonts w:asciiTheme="majorHAnsi" w:hAnsiTheme="majorHAnsi" w:cstheme="majorHAnsi"/>
          <w:sz w:val="24"/>
          <w:szCs w:val="24"/>
          <w:lang w:val="ro-MD"/>
        </w:rPr>
        <w:t xml:space="preserve"> </w:t>
      </w:r>
      <w:r w:rsidRPr="00401691">
        <w:rPr>
          <w:rFonts w:asciiTheme="majorHAnsi" w:hAnsiTheme="majorHAnsi" w:cstheme="majorHAnsi"/>
          <w:sz w:val="24"/>
          <w:szCs w:val="24"/>
          <w:lang w:val="ro-MD"/>
        </w:rPr>
        <w:t>25.05.2014</w:t>
      </w:r>
      <w:r w:rsidR="006011EE">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w:t>
      </w:r>
      <w:r w:rsidR="006011EE">
        <w:rPr>
          <w:rFonts w:asciiTheme="majorHAnsi" w:hAnsiTheme="majorHAnsi" w:cstheme="majorHAnsi"/>
          <w:sz w:val="24"/>
          <w:szCs w:val="24"/>
          <w:lang w:val="ro-MD"/>
        </w:rPr>
        <w:t>„</w:t>
      </w:r>
      <w:r w:rsidRPr="00401691">
        <w:rPr>
          <w:rFonts w:asciiTheme="majorHAnsi" w:hAnsiTheme="majorHAnsi" w:cstheme="majorHAnsi"/>
          <w:sz w:val="24"/>
          <w:szCs w:val="24"/>
          <w:lang w:val="ro-MD"/>
        </w:rPr>
        <w:t>administrator de venituri este o autoritate/instituție bugetară care este împuternicită cu dreptul de colectare/restituire, eviden</w:t>
      </w:r>
      <w:r w:rsidR="006011EE">
        <w:rPr>
          <w:rFonts w:asciiTheme="majorHAnsi" w:hAnsiTheme="majorHAnsi" w:cstheme="majorHAnsi"/>
          <w:sz w:val="24"/>
          <w:szCs w:val="24"/>
          <w:lang w:val="ro-MD"/>
        </w:rPr>
        <w:t>ț</w:t>
      </w:r>
      <w:r w:rsidRPr="00401691">
        <w:rPr>
          <w:rFonts w:asciiTheme="majorHAnsi" w:hAnsiTheme="majorHAnsi" w:cstheme="majorHAnsi"/>
          <w:sz w:val="24"/>
          <w:szCs w:val="24"/>
          <w:lang w:val="ro-MD"/>
        </w:rPr>
        <w:t xml:space="preserve">ă </w:t>
      </w:r>
      <w:proofErr w:type="spellStart"/>
      <w:r w:rsidRPr="00401691">
        <w:rPr>
          <w:rFonts w:asciiTheme="majorHAnsi" w:hAnsiTheme="majorHAnsi" w:cstheme="majorHAnsi"/>
          <w:sz w:val="24"/>
          <w:szCs w:val="24"/>
          <w:lang w:val="ro-MD"/>
        </w:rPr>
        <w:t>şi</w:t>
      </w:r>
      <w:proofErr w:type="spellEnd"/>
      <w:r w:rsidRPr="00401691">
        <w:rPr>
          <w:rFonts w:asciiTheme="majorHAnsi" w:hAnsiTheme="majorHAnsi" w:cstheme="majorHAnsi"/>
          <w:sz w:val="24"/>
          <w:szCs w:val="24"/>
          <w:lang w:val="ro-MD"/>
        </w:rPr>
        <w:t xml:space="preserve"> control al încasărilor la bugetele componente ale bugetului public național și care poartă responsabilitate pentru </w:t>
      </w:r>
      <w:r w:rsidRPr="00401691">
        <w:rPr>
          <w:rFonts w:asciiTheme="majorHAnsi" w:hAnsiTheme="majorHAnsi" w:cstheme="majorHAnsi"/>
          <w:i/>
          <w:sz w:val="24"/>
          <w:szCs w:val="24"/>
          <w:lang w:val="ro-MD"/>
        </w:rPr>
        <w:t>corectitudinea calculării și încasării acestora</w:t>
      </w:r>
      <w:r w:rsidRPr="00401691">
        <w:rPr>
          <w:rFonts w:asciiTheme="majorHAnsi" w:hAnsiTheme="majorHAnsi" w:cstheme="majorHAnsi"/>
          <w:sz w:val="24"/>
          <w:szCs w:val="24"/>
          <w:lang w:val="ro-MD"/>
        </w:rPr>
        <w:t>”.</w:t>
      </w:r>
    </w:p>
    <w:p w:rsidR="002F61F3" w:rsidRPr="00401691" w:rsidRDefault="002F61F3" w:rsidP="00844145">
      <w:pPr>
        <w:spacing w:after="120" w:line="276" w:lineRule="auto"/>
        <w:jc w:val="both"/>
        <w:rPr>
          <w:rFonts w:asciiTheme="majorHAnsi" w:hAnsiTheme="majorHAnsi" w:cstheme="majorHAnsi"/>
          <w:sz w:val="24"/>
          <w:szCs w:val="24"/>
          <w:lang w:val="ro-MD"/>
        </w:rPr>
      </w:pPr>
      <w:r w:rsidRPr="00401691">
        <w:rPr>
          <w:rFonts w:asciiTheme="majorHAnsi" w:hAnsiTheme="majorHAnsi" w:cstheme="majorHAnsi"/>
          <w:sz w:val="24"/>
          <w:szCs w:val="24"/>
          <w:lang w:val="ro-MD"/>
        </w:rPr>
        <w:t>Concomitent, în conformita</w:t>
      </w:r>
      <w:r w:rsidR="00514ECB">
        <w:rPr>
          <w:rFonts w:asciiTheme="majorHAnsi" w:hAnsiTheme="majorHAnsi" w:cstheme="majorHAnsi"/>
          <w:sz w:val="24"/>
          <w:szCs w:val="24"/>
          <w:lang w:val="ro-MD"/>
        </w:rPr>
        <w:t>te cu art.133 pct.(2) alin. (2)</w:t>
      </w:r>
      <w:r w:rsidRPr="00401691">
        <w:rPr>
          <w:rFonts w:asciiTheme="majorHAnsi" w:hAnsiTheme="majorHAnsi" w:cstheme="majorHAnsi"/>
          <w:sz w:val="24"/>
          <w:szCs w:val="24"/>
          <w:lang w:val="ro-MD"/>
        </w:rPr>
        <w:t xml:space="preserve"> din Codul </w:t>
      </w:r>
      <w:r w:rsidR="000960A4">
        <w:rPr>
          <w:rFonts w:asciiTheme="majorHAnsi" w:hAnsiTheme="majorHAnsi" w:cstheme="majorHAnsi"/>
          <w:sz w:val="24"/>
          <w:szCs w:val="24"/>
          <w:lang w:val="ro-MD"/>
        </w:rPr>
        <w:t>f</w:t>
      </w:r>
      <w:r w:rsidRPr="00401691">
        <w:rPr>
          <w:rFonts w:asciiTheme="majorHAnsi" w:hAnsiTheme="majorHAnsi" w:cstheme="majorHAnsi"/>
          <w:sz w:val="24"/>
          <w:szCs w:val="24"/>
          <w:lang w:val="ro-MD"/>
        </w:rPr>
        <w:t>iscal</w:t>
      </w:r>
      <w:r w:rsidR="006011EE">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w:t>
      </w:r>
      <w:r w:rsidR="006011EE">
        <w:rPr>
          <w:rFonts w:asciiTheme="majorHAnsi" w:hAnsiTheme="majorHAnsi" w:cstheme="majorHAnsi"/>
          <w:sz w:val="24"/>
          <w:szCs w:val="24"/>
          <w:lang w:val="ro-MD"/>
        </w:rPr>
        <w:t>pentru</w:t>
      </w:r>
      <w:r w:rsidRPr="00401691">
        <w:rPr>
          <w:rFonts w:asciiTheme="majorHAnsi" w:hAnsiTheme="majorHAnsi" w:cstheme="majorHAnsi"/>
          <w:sz w:val="24"/>
          <w:szCs w:val="24"/>
          <w:lang w:val="ro-MD"/>
        </w:rPr>
        <w:t xml:space="preserve"> realizarea funcțiilor sale</w:t>
      </w:r>
      <w:r w:rsidR="006011EE">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SFS organizează și administrează eviden</w:t>
      </w:r>
      <w:r w:rsidR="006011EE">
        <w:rPr>
          <w:rFonts w:asciiTheme="majorHAnsi" w:hAnsiTheme="majorHAnsi" w:cstheme="majorHAnsi"/>
          <w:sz w:val="24"/>
          <w:szCs w:val="24"/>
          <w:lang w:val="ro-MD"/>
        </w:rPr>
        <w:t>ț</w:t>
      </w:r>
      <w:r w:rsidRPr="00401691">
        <w:rPr>
          <w:rFonts w:asciiTheme="majorHAnsi" w:hAnsiTheme="majorHAnsi" w:cstheme="majorHAnsi"/>
          <w:sz w:val="24"/>
          <w:szCs w:val="24"/>
          <w:lang w:val="ro-MD"/>
        </w:rPr>
        <w:t>a impozitelor, taxelor și a altor venituri la bugetul public național</w:t>
      </w:r>
      <w:r w:rsidR="006011EE">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date în competența sa.</w:t>
      </w:r>
    </w:p>
    <w:p w:rsidR="002F61F3" w:rsidRPr="00401691" w:rsidRDefault="002F61F3" w:rsidP="00844145">
      <w:pPr>
        <w:spacing w:after="120" w:line="276" w:lineRule="auto"/>
        <w:jc w:val="both"/>
        <w:rPr>
          <w:rFonts w:asciiTheme="majorHAnsi" w:hAnsiTheme="majorHAnsi" w:cstheme="majorHAnsi"/>
          <w:sz w:val="24"/>
          <w:szCs w:val="24"/>
          <w:lang w:val="ro-MD"/>
        </w:rPr>
      </w:pPr>
      <w:r w:rsidRPr="00401691">
        <w:rPr>
          <w:rFonts w:asciiTheme="majorHAnsi" w:hAnsiTheme="majorHAnsi" w:cstheme="majorHAnsi"/>
          <w:sz w:val="24"/>
          <w:szCs w:val="24"/>
          <w:lang w:val="ro-MD"/>
        </w:rPr>
        <w:t>Potrivit prevederilor normative</w:t>
      </w:r>
      <w:r w:rsidRPr="00401691">
        <w:rPr>
          <w:rStyle w:val="FootnoteReference"/>
          <w:rFonts w:asciiTheme="majorHAnsi" w:hAnsiTheme="majorHAnsi" w:cstheme="majorHAnsi"/>
          <w:sz w:val="24"/>
          <w:szCs w:val="24"/>
          <w:lang w:val="ro-MD"/>
        </w:rPr>
        <w:footnoteReference w:id="11"/>
      </w:r>
      <w:r w:rsidR="006011EE">
        <w:rPr>
          <w:rFonts w:asciiTheme="majorHAnsi" w:hAnsiTheme="majorHAnsi" w:cstheme="majorHAnsi"/>
          <w:sz w:val="24"/>
          <w:szCs w:val="24"/>
          <w:lang w:val="ro-MD"/>
        </w:rPr>
        <w:t xml:space="preserve">, </w:t>
      </w:r>
      <w:r w:rsidRPr="00401691">
        <w:rPr>
          <w:rFonts w:asciiTheme="majorHAnsi" w:hAnsiTheme="majorHAnsi" w:cstheme="majorHAnsi"/>
          <w:sz w:val="24"/>
          <w:szCs w:val="24"/>
          <w:lang w:val="ro-MD"/>
        </w:rPr>
        <w:t>SFS a fost desemnat administrator la unele tipuri de plăți, care</w:t>
      </w:r>
      <w:r w:rsidR="006011EE">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în condițiile reglementate de legislația în vigoare</w:t>
      </w:r>
      <w:r w:rsidR="006011EE">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w:t>
      </w:r>
      <w:r w:rsidR="00021521" w:rsidRPr="00401691">
        <w:rPr>
          <w:rFonts w:asciiTheme="majorHAnsi" w:hAnsiTheme="majorHAnsi" w:cstheme="majorHAnsi"/>
          <w:sz w:val="24"/>
          <w:szCs w:val="24"/>
          <w:lang w:val="ro-MD"/>
        </w:rPr>
        <w:t>sunt</w:t>
      </w:r>
      <w:r w:rsidRPr="00401691">
        <w:rPr>
          <w:rFonts w:asciiTheme="majorHAnsi" w:hAnsiTheme="majorHAnsi" w:cstheme="majorHAnsi"/>
          <w:sz w:val="24"/>
          <w:szCs w:val="24"/>
          <w:lang w:val="ro-MD"/>
        </w:rPr>
        <w:t xml:space="preserve"> încasate în bugetul statului din prestarea serviciilor publice și aplicarea amenzi</w:t>
      </w:r>
      <w:r w:rsidR="00492A34">
        <w:rPr>
          <w:rFonts w:asciiTheme="majorHAnsi" w:hAnsiTheme="majorHAnsi" w:cstheme="majorHAnsi"/>
          <w:sz w:val="24"/>
          <w:szCs w:val="24"/>
          <w:lang w:val="ro-MD"/>
        </w:rPr>
        <w:t>lor</w:t>
      </w:r>
      <w:r w:rsidRPr="00401691">
        <w:rPr>
          <w:rFonts w:asciiTheme="majorHAnsi" w:hAnsiTheme="majorHAnsi" w:cstheme="majorHAnsi"/>
          <w:sz w:val="24"/>
          <w:szCs w:val="24"/>
          <w:lang w:val="ro-MD"/>
        </w:rPr>
        <w:t xml:space="preserve"> de către alte autorități ale statului, cum ar f</w:t>
      </w:r>
      <w:r w:rsidR="00366AE8">
        <w:rPr>
          <w:rFonts w:asciiTheme="majorHAnsi" w:hAnsiTheme="majorHAnsi" w:cstheme="majorHAnsi"/>
          <w:sz w:val="24"/>
          <w:szCs w:val="24"/>
          <w:lang w:val="ro-MD"/>
        </w:rPr>
        <w:t>i</w:t>
      </w:r>
      <w:r w:rsidRPr="00401691">
        <w:rPr>
          <w:rFonts w:asciiTheme="majorHAnsi" w:hAnsiTheme="majorHAnsi" w:cstheme="majorHAnsi"/>
          <w:sz w:val="24"/>
          <w:szCs w:val="24"/>
          <w:lang w:val="ro-MD"/>
        </w:rPr>
        <w:t xml:space="preserve"> ANTA,</w:t>
      </w:r>
      <w:r w:rsidRPr="00401691">
        <w:rPr>
          <w:rFonts w:asciiTheme="majorHAnsi" w:eastAsia="Times New Roman" w:hAnsiTheme="majorHAnsi" w:cstheme="majorHAnsi"/>
          <w:color w:val="000000"/>
          <w:sz w:val="24"/>
          <w:szCs w:val="24"/>
          <w:lang w:val="ro-MD"/>
        </w:rPr>
        <w:t xml:space="preserve"> </w:t>
      </w:r>
      <w:r w:rsidRPr="00401691">
        <w:rPr>
          <w:rFonts w:asciiTheme="majorHAnsi" w:eastAsia="Times New Roman" w:hAnsiTheme="majorHAnsi" w:cstheme="majorHAnsi"/>
          <w:color w:val="000000"/>
          <w:lang w:val="ro-MD"/>
        </w:rPr>
        <w:t>Inspectoratul pentru Protecția Mediului</w:t>
      </w:r>
      <w:r w:rsidRPr="00401691">
        <w:rPr>
          <w:rFonts w:asciiTheme="majorHAnsi" w:eastAsia="Times New Roman" w:hAnsiTheme="majorHAnsi" w:cstheme="majorHAnsi"/>
          <w:color w:val="000000"/>
          <w:sz w:val="24"/>
          <w:szCs w:val="24"/>
          <w:lang w:val="ro-MD"/>
        </w:rPr>
        <w:t xml:space="preserve">, subdiviziunile Inspectoratului General al Politiei </w:t>
      </w:r>
      <w:r w:rsidR="006011EE">
        <w:rPr>
          <w:rFonts w:asciiTheme="majorHAnsi" w:eastAsia="Times New Roman" w:hAnsiTheme="majorHAnsi" w:cstheme="majorHAnsi"/>
          <w:color w:val="000000"/>
          <w:sz w:val="24"/>
          <w:szCs w:val="24"/>
          <w:lang w:val="ro-MD"/>
        </w:rPr>
        <w:t xml:space="preserve">- </w:t>
      </w:r>
      <w:r w:rsidRPr="00401691">
        <w:rPr>
          <w:rFonts w:asciiTheme="majorHAnsi" w:eastAsia="Times New Roman" w:hAnsiTheme="majorHAnsi" w:cstheme="majorHAnsi"/>
          <w:color w:val="000000"/>
          <w:sz w:val="24"/>
          <w:szCs w:val="24"/>
          <w:lang w:val="ro-MD"/>
        </w:rPr>
        <w:t xml:space="preserve">pentru încălcarea traficului rutier, Poliția de Frontieră, Inspecția Financiară și </w:t>
      </w:r>
      <w:r w:rsidR="00872C24" w:rsidRPr="00401691">
        <w:rPr>
          <w:rFonts w:asciiTheme="majorHAnsi" w:eastAsia="Times New Roman" w:hAnsiTheme="majorHAnsi" w:cstheme="majorHAnsi"/>
          <w:color w:val="000000"/>
          <w:sz w:val="24"/>
          <w:szCs w:val="24"/>
          <w:lang w:val="ro-MD"/>
        </w:rPr>
        <w:t>altele</w:t>
      </w:r>
      <w:r w:rsidR="006011EE">
        <w:rPr>
          <w:rFonts w:asciiTheme="majorHAnsi" w:eastAsia="Times New Roman" w:hAnsiTheme="majorHAnsi" w:cstheme="majorHAnsi"/>
          <w:color w:val="000000"/>
          <w:sz w:val="24"/>
          <w:szCs w:val="24"/>
          <w:lang w:val="ro-MD"/>
        </w:rPr>
        <w:t>,</w:t>
      </w:r>
      <w:r w:rsidR="00872C24" w:rsidRPr="00401691">
        <w:rPr>
          <w:rFonts w:asciiTheme="majorHAnsi" w:eastAsia="Times New Roman" w:hAnsiTheme="majorHAnsi" w:cstheme="majorHAnsi"/>
          <w:color w:val="000000"/>
          <w:sz w:val="24"/>
          <w:szCs w:val="24"/>
          <w:lang w:val="ro-MD"/>
        </w:rPr>
        <w:t xml:space="preserve"> reflectate în Anexa nr. 4</w:t>
      </w:r>
      <w:r w:rsidRPr="00401691">
        <w:rPr>
          <w:rFonts w:asciiTheme="majorHAnsi" w:eastAsia="Times New Roman" w:hAnsiTheme="majorHAnsi" w:cstheme="majorHAnsi"/>
          <w:color w:val="000000"/>
          <w:sz w:val="24"/>
          <w:szCs w:val="24"/>
          <w:lang w:val="ro-MD"/>
        </w:rPr>
        <w:t xml:space="preserve"> la Raportul de audit.</w:t>
      </w:r>
    </w:p>
    <w:p w:rsidR="00804EF5" w:rsidRDefault="002F61F3" w:rsidP="00844145">
      <w:pPr>
        <w:spacing w:after="120" w:line="276" w:lineRule="auto"/>
        <w:jc w:val="both"/>
        <w:rPr>
          <w:rFonts w:asciiTheme="majorHAnsi" w:hAnsiTheme="majorHAnsi" w:cstheme="majorHAnsi"/>
          <w:sz w:val="24"/>
          <w:szCs w:val="24"/>
          <w:lang w:val="ro-MD"/>
        </w:rPr>
      </w:pPr>
      <w:r w:rsidRPr="00401691">
        <w:rPr>
          <w:rFonts w:asciiTheme="majorHAnsi" w:hAnsiTheme="majorHAnsi" w:cstheme="majorHAnsi"/>
          <w:sz w:val="24"/>
          <w:szCs w:val="24"/>
          <w:lang w:val="ro-MD"/>
        </w:rPr>
        <w:lastRenderedPageBreak/>
        <w:t>În vederea evaluării procesului de exercitare de către SFS a atribuției de administrator de venituri</w:t>
      </w:r>
      <w:r w:rsidR="006011EE">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se menționează următoarele. </w:t>
      </w:r>
    </w:p>
    <w:p w:rsidR="002F61F3" w:rsidRPr="00804EF5" w:rsidRDefault="002F61F3" w:rsidP="00800D05">
      <w:pPr>
        <w:pStyle w:val="ListParagraph"/>
        <w:numPr>
          <w:ilvl w:val="0"/>
          <w:numId w:val="31"/>
        </w:numPr>
        <w:tabs>
          <w:tab w:val="left" w:pos="270"/>
        </w:tabs>
        <w:spacing w:after="120" w:line="276" w:lineRule="auto"/>
        <w:ind w:left="0" w:firstLine="0"/>
        <w:contextualSpacing w:val="0"/>
        <w:jc w:val="both"/>
        <w:rPr>
          <w:rFonts w:asciiTheme="majorHAnsi" w:hAnsiTheme="majorHAnsi" w:cstheme="majorHAnsi"/>
          <w:i/>
          <w:sz w:val="24"/>
          <w:szCs w:val="24"/>
          <w:lang w:val="ro-MD"/>
        </w:rPr>
      </w:pPr>
      <w:r w:rsidRPr="00804EF5">
        <w:rPr>
          <w:rFonts w:asciiTheme="majorHAnsi" w:hAnsiTheme="majorHAnsi" w:cstheme="majorHAnsi"/>
          <w:i/>
          <w:sz w:val="24"/>
          <w:szCs w:val="24"/>
          <w:lang w:val="ro-MD"/>
        </w:rPr>
        <w:t>Evidența de către SFS a plăților și taxelor calculate și achitate pentru serviciile publice prestate de ANTA</w:t>
      </w:r>
    </w:p>
    <w:p w:rsidR="001D08F4" w:rsidRDefault="002F61F3" w:rsidP="00844145">
      <w:pPr>
        <w:pStyle w:val="ListParagraph"/>
        <w:tabs>
          <w:tab w:val="left" w:pos="270"/>
        </w:tabs>
        <w:spacing w:after="120" w:line="276" w:lineRule="auto"/>
        <w:ind w:left="0"/>
        <w:contextualSpacing w:val="0"/>
        <w:jc w:val="both"/>
        <w:rPr>
          <w:rFonts w:asciiTheme="majorHAnsi" w:hAnsiTheme="majorHAnsi" w:cstheme="majorHAnsi"/>
          <w:sz w:val="24"/>
          <w:szCs w:val="24"/>
          <w:lang w:val="ro-MD"/>
        </w:rPr>
      </w:pPr>
      <w:r w:rsidRPr="00401691">
        <w:rPr>
          <w:rFonts w:asciiTheme="majorHAnsi" w:hAnsiTheme="majorHAnsi" w:cstheme="majorHAnsi"/>
          <w:sz w:val="24"/>
          <w:szCs w:val="24"/>
          <w:lang w:val="ro-MD"/>
        </w:rPr>
        <w:t>În conformitate cu Legea privind reglementarea prin autorizare a activității de întreprinzător</w:t>
      </w:r>
      <w:r w:rsidRPr="00401691">
        <w:rPr>
          <w:rStyle w:val="FootnoteReference"/>
          <w:rFonts w:asciiTheme="majorHAnsi" w:hAnsiTheme="majorHAnsi" w:cstheme="majorHAnsi"/>
          <w:sz w:val="24"/>
          <w:szCs w:val="24"/>
          <w:lang w:val="ro-MD"/>
        </w:rPr>
        <w:footnoteReference w:id="12"/>
      </w:r>
      <w:r w:rsidR="00D570EA">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Legea fondului rutier</w:t>
      </w:r>
      <w:r w:rsidRPr="00401691">
        <w:rPr>
          <w:rStyle w:val="FootnoteReference"/>
          <w:rFonts w:asciiTheme="majorHAnsi" w:hAnsiTheme="majorHAnsi" w:cstheme="majorHAnsi"/>
          <w:sz w:val="24"/>
          <w:szCs w:val="24"/>
          <w:lang w:val="ro-MD"/>
        </w:rPr>
        <w:footnoteReference w:id="13"/>
      </w:r>
      <w:r w:rsidRPr="00401691">
        <w:rPr>
          <w:rFonts w:asciiTheme="majorHAnsi" w:hAnsiTheme="majorHAnsi" w:cstheme="majorHAnsi"/>
          <w:sz w:val="24"/>
          <w:szCs w:val="24"/>
          <w:lang w:val="ro-MD"/>
        </w:rPr>
        <w:t xml:space="preserve">, alte acte normative, ANTA este responsabilă </w:t>
      </w:r>
      <w:r w:rsidR="00E21FB3">
        <w:rPr>
          <w:rFonts w:asciiTheme="majorHAnsi" w:hAnsiTheme="majorHAnsi" w:cstheme="majorHAnsi"/>
          <w:sz w:val="24"/>
          <w:szCs w:val="24"/>
          <w:lang w:val="ro-MD"/>
        </w:rPr>
        <w:t>de</w:t>
      </w:r>
      <w:r w:rsidRPr="00401691">
        <w:rPr>
          <w:rFonts w:asciiTheme="majorHAnsi" w:hAnsiTheme="majorHAnsi" w:cstheme="majorHAnsi"/>
          <w:sz w:val="24"/>
          <w:szCs w:val="24"/>
          <w:lang w:val="ro-MD"/>
        </w:rPr>
        <w:t xml:space="preserve"> eliberarea unor acte permise pentru </w:t>
      </w:r>
      <w:r w:rsidRPr="00B01092">
        <w:rPr>
          <w:rFonts w:asciiTheme="majorHAnsi" w:hAnsiTheme="majorHAnsi" w:cstheme="majorHAnsi"/>
          <w:sz w:val="24"/>
          <w:szCs w:val="24"/>
          <w:lang w:val="ro-MD"/>
        </w:rPr>
        <w:t>transporturi rutiere internaționale</w:t>
      </w:r>
      <w:r w:rsidRPr="00B01092">
        <w:rPr>
          <w:rStyle w:val="FootnoteReference"/>
          <w:rFonts w:asciiTheme="majorHAnsi" w:hAnsiTheme="majorHAnsi" w:cstheme="majorHAnsi"/>
          <w:sz w:val="24"/>
          <w:szCs w:val="24"/>
          <w:lang w:val="ro-MD"/>
        </w:rPr>
        <w:footnoteReference w:id="14"/>
      </w:r>
      <w:r w:rsidRPr="00B01092">
        <w:rPr>
          <w:rFonts w:asciiTheme="majorHAnsi" w:hAnsiTheme="majorHAnsi" w:cstheme="majorHAnsi"/>
          <w:sz w:val="24"/>
          <w:szCs w:val="24"/>
          <w:lang w:val="ro-MD"/>
        </w:rPr>
        <w:t>, eliberarea autorizațiilor speciale de transport</w:t>
      </w:r>
      <w:r w:rsidRPr="00B01092">
        <w:rPr>
          <w:rStyle w:val="FootnoteReference"/>
          <w:rFonts w:asciiTheme="majorHAnsi" w:hAnsiTheme="majorHAnsi" w:cstheme="majorHAnsi"/>
          <w:sz w:val="24"/>
          <w:szCs w:val="24"/>
          <w:lang w:val="ro-MD"/>
        </w:rPr>
        <w:footnoteReference w:id="15"/>
      </w:r>
      <w:r w:rsidRPr="00B01092">
        <w:rPr>
          <w:rFonts w:asciiTheme="majorHAnsi" w:hAnsiTheme="majorHAnsi" w:cstheme="majorHAnsi"/>
          <w:sz w:val="24"/>
          <w:szCs w:val="24"/>
          <w:lang w:val="ro-MD"/>
        </w:rPr>
        <w:t>, cu încasarea taxelor</w:t>
      </w:r>
      <w:r w:rsidRPr="00401691">
        <w:rPr>
          <w:rFonts w:asciiTheme="majorHAnsi" w:hAnsiTheme="majorHAnsi" w:cstheme="majorHAnsi"/>
          <w:sz w:val="24"/>
          <w:szCs w:val="24"/>
          <w:lang w:val="ro-MD"/>
        </w:rPr>
        <w:t xml:space="preserve"> aferente în fondul rutier. La fel</w:t>
      </w:r>
      <w:r w:rsidR="00B01092">
        <w:rPr>
          <w:rFonts w:asciiTheme="majorHAnsi" w:hAnsiTheme="majorHAnsi" w:cstheme="majorHAnsi"/>
          <w:sz w:val="24"/>
          <w:szCs w:val="24"/>
          <w:lang w:val="ro-MD"/>
        </w:rPr>
        <w:t>,</w:t>
      </w:r>
      <w:r w:rsidR="00D570EA">
        <w:rPr>
          <w:rFonts w:asciiTheme="majorHAnsi" w:hAnsiTheme="majorHAnsi" w:cstheme="majorHAnsi"/>
          <w:sz w:val="24"/>
          <w:szCs w:val="24"/>
          <w:lang w:val="ro-MD"/>
        </w:rPr>
        <w:t xml:space="preserve"> în temeiul </w:t>
      </w:r>
      <w:r w:rsidRPr="00401691">
        <w:rPr>
          <w:rFonts w:asciiTheme="majorHAnsi" w:hAnsiTheme="majorHAnsi" w:cstheme="majorHAnsi"/>
          <w:sz w:val="24"/>
          <w:szCs w:val="24"/>
          <w:lang w:val="ro-MD"/>
        </w:rPr>
        <w:t>Regulamentul</w:t>
      </w:r>
      <w:r w:rsidR="00E21FB3">
        <w:rPr>
          <w:rFonts w:asciiTheme="majorHAnsi" w:hAnsiTheme="majorHAnsi" w:cstheme="majorHAnsi"/>
          <w:sz w:val="24"/>
          <w:szCs w:val="24"/>
          <w:lang w:val="ro-MD"/>
        </w:rPr>
        <w:t>ui</w:t>
      </w:r>
      <w:r w:rsidRPr="00401691">
        <w:rPr>
          <w:rFonts w:asciiTheme="majorHAnsi" w:hAnsiTheme="majorHAnsi" w:cstheme="majorHAnsi"/>
          <w:sz w:val="24"/>
          <w:szCs w:val="24"/>
          <w:lang w:val="ro-MD"/>
        </w:rPr>
        <w:t xml:space="preserve"> ANTA,</w:t>
      </w:r>
      <w:r w:rsidRPr="00401691">
        <w:rPr>
          <w:rStyle w:val="FootnoteReference"/>
          <w:rFonts w:asciiTheme="majorHAnsi" w:hAnsiTheme="majorHAnsi" w:cstheme="majorHAnsi"/>
          <w:sz w:val="24"/>
          <w:szCs w:val="24"/>
          <w:lang w:val="ro-MD"/>
        </w:rPr>
        <w:footnoteReference w:id="16"/>
      </w:r>
      <w:r w:rsidR="00D570EA">
        <w:rPr>
          <w:rFonts w:asciiTheme="majorHAnsi" w:hAnsiTheme="majorHAnsi" w:cstheme="majorHAnsi"/>
          <w:sz w:val="24"/>
          <w:szCs w:val="24"/>
          <w:lang w:val="ro-MD"/>
        </w:rPr>
        <w:t xml:space="preserve"> instituția</w:t>
      </w:r>
      <w:r w:rsidRPr="00401691">
        <w:rPr>
          <w:rFonts w:asciiTheme="majorHAnsi" w:hAnsiTheme="majorHAnsi" w:cstheme="majorHAnsi"/>
          <w:sz w:val="24"/>
          <w:szCs w:val="24"/>
          <w:lang w:val="ro-MD"/>
        </w:rPr>
        <w:t xml:space="preserve"> poate aplica amenzi contravenționale în conformitate cu prevederile legislației în vigoare</w:t>
      </w:r>
      <w:r w:rsidRPr="00401691">
        <w:rPr>
          <w:rStyle w:val="FootnoteReference"/>
          <w:rFonts w:asciiTheme="majorHAnsi" w:hAnsiTheme="majorHAnsi" w:cstheme="majorHAnsi"/>
          <w:sz w:val="24"/>
          <w:szCs w:val="24"/>
          <w:lang w:val="ro-MD"/>
        </w:rPr>
        <w:footnoteReference w:id="17"/>
      </w:r>
      <w:r w:rsidRPr="00401691">
        <w:rPr>
          <w:rFonts w:asciiTheme="majorHAnsi" w:hAnsiTheme="majorHAnsi" w:cstheme="majorHAnsi"/>
          <w:sz w:val="24"/>
          <w:szCs w:val="24"/>
          <w:lang w:val="ro-MD"/>
        </w:rPr>
        <w:t>.</w:t>
      </w:r>
    </w:p>
    <w:p w:rsidR="001D08F4" w:rsidRDefault="00E21FB3" w:rsidP="00844145">
      <w:pPr>
        <w:pStyle w:val="ListParagraph"/>
        <w:tabs>
          <w:tab w:val="left" w:pos="270"/>
        </w:tabs>
        <w:spacing w:after="120" w:line="276" w:lineRule="auto"/>
        <w:ind w:left="0"/>
        <w:contextualSpacing w:val="0"/>
        <w:jc w:val="both"/>
        <w:rPr>
          <w:rFonts w:asciiTheme="majorHAnsi" w:hAnsiTheme="majorHAnsi" w:cstheme="majorHAnsi"/>
          <w:sz w:val="24"/>
          <w:szCs w:val="24"/>
          <w:lang w:val="ro-MD"/>
        </w:rPr>
      </w:pPr>
      <w:r>
        <w:rPr>
          <w:rFonts w:asciiTheme="majorHAnsi" w:hAnsiTheme="majorHAnsi" w:cstheme="majorHAnsi"/>
          <w:sz w:val="24"/>
          <w:szCs w:val="24"/>
          <w:lang w:val="ro-MD"/>
        </w:rPr>
        <w:t>Potrivit</w:t>
      </w:r>
      <w:r w:rsidR="002F61F3" w:rsidRPr="00401691">
        <w:rPr>
          <w:rFonts w:asciiTheme="majorHAnsi" w:hAnsiTheme="majorHAnsi" w:cstheme="majorHAnsi"/>
          <w:sz w:val="24"/>
          <w:szCs w:val="24"/>
          <w:lang w:val="ro-MD"/>
        </w:rPr>
        <w:t xml:space="preserve"> prevederilor </w:t>
      </w:r>
      <w:r w:rsidR="00B01092" w:rsidRPr="00B01092">
        <w:rPr>
          <w:rFonts w:asciiTheme="majorHAnsi" w:hAnsiTheme="majorHAnsi" w:cstheme="majorHAnsi"/>
          <w:sz w:val="24"/>
          <w:szCs w:val="24"/>
          <w:lang w:val="ro-MD"/>
        </w:rPr>
        <w:t>art.2 alin. (4) din Legea</w:t>
      </w:r>
      <w:r w:rsidR="00B01092" w:rsidRPr="00401691">
        <w:rPr>
          <w:rFonts w:asciiTheme="majorHAnsi" w:hAnsiTheme="majorHAnsi" w:cstheme="majorHAnsi"/>
          <w:sz w:val="24"/>
          <w:szCs w:val="24"/>
          <w:lang w:val="ro-MD"/>
        </w:rPr>
        <w:t xml:space="preserve"> </w:t>
      </w:r>
      <w:r w:rsidR="002F61F3" w:rsidRPr="00401691">
        <w:rPr>
          <w:rFonts w:asciiTheme="majorHAnsi" w:hAnsiTheme="majorHAnsi" w:cstheme="majorHAnsi"/>
          <w:sz w:val="24"/>
          <w:szCs w:val="24"/>
          <w:lang w:val="ro-MD"/>
        </w:rPr>
        <w:t>fondului rutier</w:t>
      </w:r>
      <w:r w:rsidR="002F61F3" w:rsidRPr="00401691">
        <w:rPr>
          <w:rStyle w:val="FootnoteReference"/>
          <w:rFonts w:asciiTheme="majorHAnsi" w:hAnsiTheme="majorHAnsi" w:cstheme="majorHAnsi"/>
          <w:sz w:val="24"/>
          <w:szCs w:val="24"/>
          <w:lang w:val="ro-MD"/>
        </w:rPr>
        <w:footnoteReference w:id="18"/>
      </w:r>
      <w:r w:rsidR="002F61F3" w:rsidRPr="00401691">
        <w:rPr>
          <w:rFonts w:asciiTheme="majorHAnsi" w:hAnsiTheme="majorHAnsi" w:cstheme="majorHAnsi"/>
          <w:sz w:val="24"/>
          <w:szCs w:val="24"/>
          <w:lang w:val="ro-MD"/>
        </w:rPr>
        <w:t>, începând cu 01.01.2019, toate taxele pentru elibe</w:t>
      </w:r>
      <w:r w:rsidR="002F61F3" w:rsidRPr="00401691">
        <w:rPr>
          <w:rFonts w:asciiTheme="majorHAnsi" w:hAnsiTheme="majorHAnsi" w:cstheme="majorHAnsi"/>
          <w:sz w:val="24"/>
          <w:szCs w:val="24"/>
          <w:lang w:val="ro-MD"/>
        </w:rPr>
        <w:lastRenderedPageBreak/>
        <w:t>rarea autorizațiilor menționate mai sus se încasează la bugetul de stat, conform modului de achitare și eviden</w:t>
      </w:r>
      <w:r>
        <w:rPr>
          <w:rFonts w:asciiTheme="majorHAnsi" w:hAnsiTheme="majorHAnsi" w:cstheme="majorHAnsi"/>
          <w:sz w:val="24"/>
          <w:szCs w:val="24"/>
          <w:lang w:val="ro-MD"/>
        </w:rPr>
        <w:t>ț</w:t>
      </w:r>
      <w:r w:rsidR="002F61F3" w:rsidRPr="00401691">
        <w:rPr>
          <w:rFonts w:asciiTheme="majorHAnsi" w:hAnsiTheme="majorHAnsi" w:cstheme="majorHAnsi"/>
          <w:sz w:val="24"/>
          <w:szCs w:val="24"/>
          <w:lang w:val="ro-MD"/>
        </w:rPr>
        <w:t xml:space="preserve">ă a plăților la bugetul public național, prin sistemul </w:t>
      </w:r>
      <w:proofErr w:type="spellStart"/>
      <w:r w:rsidR="002F61F3" w:rsidRPr="00401691">
        <w:rPr>
          <w:rFonts w:asciiTheme="majorHAnsi" w:hAnsiTheme="majorHAnsi" w:cstheme="majorHAnsi"/>
          <w:sz w:val="24"/>
          <w:szCs w:val="24"/>
          <w:lang w:val="ro-MD"/>
        </w:rPr>
        <w:t>trezorerial</w:t>
      </w:r>
      <w:proofErr w:type="spellEnd"/>
      <w:r w:rsidR="002F61F3" w:rsidRPr="00401691">
        <w:rPr>
          <w:rFonts w:asciiTheme="majorHAnsi" w:hAnsiTheme="majorHAnsi" w:cstheme="majorHAnsi"/>
          <w:sz w:val="24"/>
          <w:szCs w:val="24"/>
          <w:lang w:val="ro-MD"/>
        </w:rPr>
        <w:t xml:space="preserve"> al Ministerului Finanțelor, iar administrator a</w:t>
      </w:r>
      <w:r w:rsidR="00D570EA">
        <w:rPr>
          <w:rFonts w:asciiTheme="majorHAnsi" w:hAnsiTheme="majorHAnsi" w:cstheme="majorHAnsi"/>
          <w:sz w:val="24"/>
          <w:szCs w:val="24"/>
          <w:lang w:val="ro-MD"/>
        </w:rPr>
        <w:t xml:space="preserve">l acestor venituri fiind desemnat </w:t>
      </w:r>
      <w:r w:rsidR="002F61F3" w:rsidRPr="00401691">
        <w:rPr>
          <w:rFonts w:asciiTheme="majorHAnsi" w:hAnsiTheme="majorHAnsi" w:cstheme="majorHAnsi"/>
          <w:sz w:val="24"/>
          <w:szCs w:val="24"/>
          <w:lang w:val="ro-MD"/>
        </w:rPr>
        <w:t xml:space="preserve">SFS. La fel, art.8 din Legea </w:t>
      </w:r>
      <w:r>
        <w:rPr>
          <w:rFonts w:asciiTheme="majorHAnsi" w:hAnsiTheme="majorHAnsi" w:cstheme="majorHAnsi"/>
          <w:sz w:val="24"/>
          <w:szCs w:val="24"/>
          <w:lang w:val="ro-MD"/>
        </w:rPr>
        <w:t>f</w:t>
      </w:r>
      <w:r w:rsidR="002F61F3" w:rsidRPr="00401691">
        <w:rPr>
          <w:rFonts w:asciiTheme="majorHAnsi" w:hAnsiTheme="majorHAnsi" w:cstheme="majorHAnsi"/>
          <w:sz w:val="24"/>
          <w:szCs w:val="24"/>
          <w:lang w:val="ro-MD"/>
        </w:rPr>
        <w:t xml:space="preserve">ondului rutier statuează că controlul „în cazul nerespectării modului de calculare, declarare </w:t>
      </w:r>
      <w:proofErr w:type="spellStart"/>
      <w:r w:rsidR="002F61F3" w:rsidRPr="00401691">
        <w:rPr>
          <w:rFonts w:asciiTheme="majorHAnsi" w:hAnsiTheme="majorHAnsi" w:cstheme="majorHAnsi"/>
          <w:sz w:val="24"/>
          <w:szCs w:val="24"/>
          <w:lang w:val="ro-MD"/>
        </w:rPr>
        <w:t>şi</w:t>
      </w:r>
      <w:proofErr w:type="spellEnd"/>
      <w:r w:rsidR="002F61F3" w:rsidRPr="00401691">
        <w:rPr>
          <w:rFonts w:asciiTheme="majorHAnsi" w:hAnsiTheme="majorHAnsi" w:cstheme="majorHAnsi"/>
          <w:sz w:val="24"/>
          <w:szCs w:val="24"/>
          <w:lang w:val="ro-MD"/>
        </w:rPr>
        <w:t xml:space="preserve">/sau achitare a taxelor aferente fondului rutier, Serviciul Fiscal de Stat va aplica măsurile de asigurare a stingerii, de răspundere și de executare silită aferente obligațiilor fiscale conform </w:t>
      </w:r>
      <w:hyperlink r:id="rId14" w:history="1">
        <w:r w:rsidR="002F61F3" w:rsidRPr="00401691">
          <w:rPr>
            <w:rStyle w:val="Hyperlink"/>
            <w:rFonts w:asciiTheme="majorHAnsi" w:hAnsiTheme="majorHAnsi" w:cstheme="majorHAnsi"/>
            <w:color w:val="auto"/>
            <w:sz w:val="24"/>
            <w:szCs w:val="24"/>
            <w:u w:val="none"/>
            <w:lang w:val="ro-MD"/>
          </w:rPr>
          <w:t>Codului fiscal</w:t>
        </w:r>
      </w:hyperlink>
      <w:r w:rsidR="002F61F3" w:rsidRPr="00401691">
        <w:rPr>
          <w:rFonts w:asciiTheme="majorHAnsi" w:hAnsiTheme="majorHAnsi" w:cstheme="majorHAnsi"/>
          <w:sz w:val="24"/>
          <w:szCs w:val="24"/>
          <w:lang w:val="ro-MD"/>
        </w:rPr>
        <w:t xml:space="preserve">”. </w:t>
      </w:r>
    </w:p>
    <w:p w:rsidR="002F61F3" w:rsidRPr="00401691" w:rsidRDefault="002F61F3" w:rsidP="00844145">
      <w:pPr>
        <w:pStyle w:val="ListParagraph"/>
        <w:tabs>
          <w:tab w:val="left" w:pos="270"/>
        </w:tabs>
        <w:spacing w:after="120" w:line="276" w:lineRule="auto"/>
        <w:ind w:left="0"/>
        <w:contextualSpacing w:val="0"/>
        <w:jc w:val="both"/>
        <w:rPr>
          <w:rFonts w:asciiTheme="majorHAnsi" w:hAnsiTheme="majorHAnsi" w:cstheme="majorHAnsi"/>
          <w:sz w:val="24"/>
          <w:szCs w:val="24"/>
          <w:lang w:val="ro-MD"/>
        </w:rPr>
      </w:pPr>
      <w:r w:rsidRPr="00401691">
        <w:rPr>
          <w:rFonts w:asciiTheme="majorHAnsi" w:hAnsiTheme="majorHAnsi" w:cstheme="majorHAnsi"/>
          <w:sz w:val="24"/>
          <w:szCs w:val="24"/>
          <w:lang w:val="ro-MD"/>
        </w:rPr>
        <w:t xml:space="preserve">În scopul asigurării controlului asupra virării integrale </w:t>
      </w:r>
      <w:r w:rsidRPr="005774CD">
        <w:rPr>
          <w:rFonts w:asciiTheme="majorHAnsi" w:hAnsiTheme="majorHAnsi" w:cstheme="majorHAnsi"/>
          <w:sz w:val="24"/>
          <w:szCs w:val="24"/>
          <w:lang w:val="ro-MD"/>
        </w:rPr>
        <w:t>și la timp</w:t>
      </w:r>
      <w:r w:rsidRPr="00401691">
        <w:rPr>
          <w:rFonts w:asciiTheme="majorHAnsi" w:hAnsiTheme="majorHAnsi" w:cstheme="majorHAnsi"/>
          <w:sz w:val="24"/>
          <w:szCs w:val="24"/>
          <w:lang w:val="ro-MD"/>
        </w:rPr>
        <w:t xml:space="preserve"> a taxelor pentru autorizațiile eliberate de ANTA, SFS a propus asigurarea furnizării de către aceasta, prin platforma de interoperabilitate (M-</w:t>
      </w:r>
      <w:proofErr w:type="spellStart"/>
      <w:r w:rsidRPr="00401691">
        <w:rPr>
          <w:rFonts w:asciiTheme="majorHAnsi" w:hAnsiTheme="majorHAnsi" w:cstheme="majorHAnsi"/>
          <w:sz w:val="24"/>
          <w:szCs w:val="24"/>
          <w:lang w:val="ro-MD"/>
        </w:rPr>
        <w:t>Connect</w:t>
      </w:r>
      <w:proofErr w:type="spellEnd"/>
      <w:r w:rsidRPr="00401691">
        <w:rPr>
          <w:rFonts w:asciiTheme="majorHAnsi" w:hAnsiTheme="majorHAnsi" w:cstheme="majorHAnsi"/>
          <w:sz w:val="24"/>
          <w:szCs w:val="24"/>
          <w:lang w:val="ro-MD"/>
        </w:rPr>
        <w:t>)</w:t>
      </w:r>
      <w:r w:rsidR="00E21FB3">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a informațiilor aferente costului autorizațiilor eliberate, altei informații relevante necesare </w:t>
      </w:r>
      <w:r w:rsidR="00E21FB3">
        <w:rPr>
          <w:rFonts w:asciiTheme="majorHAnsi" w:hAnsiTheme="majorHAnsi" w:cstheme="majorHAnsi"/>
          <w:sz w:val="24"/>
          <w:szCs w:val="24"/>
          <w:lang w:val="ro-MD"/>
        </w:rPr>
        <w:t xml:space="preserve">pentru </w:t>
      </w:r>
      <w:r w:rsidRPr="00401691">
        <w:rPr>
          <w:rFonts w:asciiTheme="majorHAnsi" w:hAnsiTheme="majorHAnsi" w:cstheme="majorHAnsi"/>
          <w:sz w:val="24"/>
          <w:szCs w:val="24"/>
          <w:lang w:val="ro-MD"/>
        </w:rPr>
        <w:t>efectu</w:t>
      </w:r>
      <w:r w:rsidR="00E21FB3">
        <w:rPr>
          <w:rFonts w:asciiTheme="majorHAnsi" w:hAnsiTheme="majorHAnsi" w:cstheme="majorHAnsi"/>
          <w:sz w:val="24"/>
          <w:szCs w:val="24"/>
          <w:lang w:val="ro-MD"/>
        </w:rPr>
        <w:t>area</w:t>
      </w:r>
      <w:r w:rsidRPr="00401691">
        <w:rPr>
          <w:rFonts w:asciiTheme="majorHAnsi" w:hAnsiTheme="majorHAnsi" w:cstheme="majorHAnsi"/>
          <w:sz w:val="24"/>
          <w:szCs w:val="24"/>
          <w:lang w:val="ro-MD"/>
        </w:rPr>
        <w:t xml:space="preserve"> înscrierilor în conturile personale ale contribuabililor din SIA CCC. Însă, colaborarea între entități</w:t>
      </w:r>
      <w:r w:rsidR="00B01092">
        <w:rPr>
          <w:rFonts w:asciiTheme="majorHAnsi" w:hAnsiTheme="majorHAnsi" w:cstheme="majorHAnsi"/>
          <w:sz w:val="24"/>
          <w:szCs w:val="24"/>
          <w:lang w:val="ro-MD"/>
        </w:rPr>
        <w:t xml:space="preserve"> pe acest segment de activitate</w:t>
      </w:r>
      <w:r w:rsidRPr="00401691">
        <w:rPr>
          <w:rFonts w:asciiTheme="majorHAnsi" w:hAnsiTheme="majorHAnsi" w:cstheme="majorHAnsi"/>
          <w:sz w:val="24"/>
          <w:szCs w:val="24"/>
          <w:lang w:val="ro-MD"/>
        </w:rPr>
        <w:t xml:space="preserve"> nu a asigurat finalitatea implementării mecanismului schimbului de date, ceea ce a condiționat </w:t>
      </w:r>
      <w:proofErr w:type="spellStart"/>
      <w:r w:rsidR="00E21FB3">
        <w:rPr>
          <w:rFonts w:asciiTheme="majorHAnsi" w:hAnsiTheme="majorHAnsi" w:cstheme="majorHAnsi"/>
          <w:sz w:val="24"/>
          <w:szCs w:val="24"/>
          <w:lang w:val="ro-MD"/>
        </w:rPr>
        <w:t>nexercitarea</w:t>
      </w:r>
      <w:proofErr w:type="spellEnd"/>
      <w:r w:rsidR="00E21FB3">
        <w:rPr>
          <w:rFonts w:asciiTheme="majorHAnsi" w:hAnsiTheme="majorHAnsi" w:cstheme="majorHAnsi"/>
          <w:sz w:val="24"/>
          <w:szCs w:val="24"/>
          <w:lang w:val="ro-MD"/>
        </w:rPr>
        <w:t xml:space="preserve"> pe deplin de către </w:t>
      </w:r>
      <w:r w:rsidR="00D570EA">
        <w:rPr>
          <w:rFonts w:asciiTheme="majorHAnsi" w:hAnsiTheme="majorHAnsi" w:cstheme="majorHAnsi"/>
          <w:sz w:val="24"/>
          <w:szCs w:val="24"/>
          <w:lang w:val="ro-MD"/>
        </w:rPr>
        <w:t xml:space="preserve">SFS </w:t>
      </w:r>
      <w:r w:rsidR="00E21FB3">
        <w:rPr>
          <w:rFonts w:asciiTheme="majorHAnsi" w:hAnsiTheme="majorHAnsi" w:cstheme="majorHAnsi"/>
          <w:sz w:val="24"/>
          <w:szCs w:val="24"/>
          <w:lang w:val="ro-MD"/>
        </w:rPr>
        <w:t>a</w:t>
      </w:r>
      <w:r w:rsidR="00D570EA">
        <w:rPr>
          <w:rFonts w:asciiTheme="majorHAnsi" w:hAnsiTheme="majorHAnsi" w:cstheme="majorHAnsi"/>
          <w:sz w:val="24"/>
          <w:szCs w:val="24"/>
          <w:lang w:val="ro-MD"/>
        </w:rPr>
        <w:t xml:space="preserve"> </w:t>
      </w:r>
      <w:r w:rsidRPr="00401691">
        <w:rPr>
          <w:rFonts w:asciiTheme="majorHAnsi" w:hAnsiTheme="majorHAnsi" w:cstheme="majorHAnsi"/>
          <w:sz w:val="24"/>
          <w:szCs w:val="24"/>
          <w:lang w:val="ro-MD"/>
        </w:rPr>
        <w:t>atribuți</w:t>
      </w:r>
      <w:r w:rsidR="00E21FB3">
        <w:rPr>
          <w:rFonts w:asciiTheme="majorHAnsi" w:hAnsiTheme="majorHAnsi" w:cstheme="majorHAnsi"/>
          <w:sz w:val="24"/>
          <w:szCs w:val="24"/>
          <w:lang w:val="ro-MD"/>
        </w:rPr>
        <w:t>ei</w:t>
      </w:r>
      <w:r w:rsidRPr="00401691">
        <w:rPr>
          <w:rFonts w:asciiTheme="majorHAnsi" w:hAnsiTheme="majorHAnsi" w:cstheme="majorHAnsi"/>
          <w:sz w:val="24"/>
          <w:szCs w:val="24"/>
          <w:lang w:val="ro-MD"/>
        </w:rPr>
        <w:t xml:space="preserve"> de administrator de venituri. </w:t>
      </w:r>
    </w:p>
    <w:p w:rsidR="002F61F3" w:rsidRPr="00401691" w:rsidRDefault="002F61F3" w:rsidP="00844145">
      <w:pPr>
        <w:pStyle w:val="ListParagraph"/>
        <w:numPr>
          <w:ilvl w:val="0"/>
          <w:numId w:val="7"/>
        </w:numPr>
        <w:tabs>
          <w:tab w:val="left" w:pos="270"/>
        </w:tabs>
        <w:spacing w:after="120" w:line="276" w:lineRule="auto"/>
        <w:ind w:left="0" w:firstLine="0"/>
        <w:contextualSpacing w:val="0"/>
        <w:jc w:val="both"/>
        <w:rPr>
          <w:rFonts w:asciiTheme="majorHAnsi" w:hAnsiTheme="majorHAnsi" w:cstheme="majorHAnsi"/>
          <w:sz w:val="24"/>
          <w:szCs w:val="24"/>
          <w:lang w:val="ro-MD"/>
        </w:rPr>
      </w:pPr>
      <w:r w:rsidRPr="00401691">
        <w:rPr>
          <w:rFonts w:asciiTheme="majorHAnsi" w:hAnsiTheme="majorHAnsi" w:cstheme="majorHAnsi"/>
          <w:sz w:val="24"/>
          <w:szCs w:val="24"/>
          <w:lang w:val="ro-MD"/>
        </w:rPr>
        <w:t>În contextul expus</w:t>
      </w:r>
      <w:r w:rsidR="00E21FB3">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auditul a constatat că</w:t>
      </w:r>
      <w:r w:rsidR="00E21FB3">
        <w:rPr>
          <w:rFonts w:asciiTheme="majorHAnsi" w:hAnsiTheme="majorHAnsi" w:cstheme="majorHAnsi"/>
          <w:sz w:val="24"/>
          <w:szCs w:val="24"/>
          <w:lang w:val="ro-MD"/>
        </w:rPr>
        <w:t xml:space="preserve">, </w:t>
      </w:r>
      <w:r w:rsidRPr="00401691">
        <w:rPr>
          <w:rFonts w:asciiTheme="majorHAnsi" w:hAnsiTheme="majorHAnsi" w:cstheme="majorHAnsi"/>
          <w:sz w:val="24"/>
          <w:szCs w:val="24"/>
          <w:lang w:val="ro-MD"/>
        </w:rPr>
        <w:t xml:space="preserve">pe parcursul anului 2019, contribuabilii au achitat mijloace financiare în buget în sumă totală de </w:t>
      </w:r>
      <w:r w:rsidRPr="00401691">
        <w:rPr>
          <w:rFonts w:asciiTheme="majorHAnsi" w:hAnsiTheme="majorHAnsi" w:cstheme="majorHAnsi"/>
          <w:color w:val="000000"/>
          <w:sz w:val="24"/>
          <w:szCs w:val="24"/>
          <w:lang w:val="ro-MD"/>
        </w:rPr>
        <w:t xml:space="preserve">58642,8 mii lei, fiindu-le </w:t>
      </w:r>
      <w:r w:rsidR="00D570EA">
        <w:rPr>
          <w:rFonts w:asciiTheme="majorHAnsi" w:hAnsiTheme="majorHAnsi" w:cstheme="majorHAnsi"/>
          <w:sz w:val="24"/>
          <w:szCs w:val="24"/>
          <w:lang w:val="ro-MD"/>
        </w:rPr>
        <w:t>eliberate acte permisive în</w:t>
      </w:r>
      <w:r w:rsidRPr="00401691">
        <w:rPr>
          <w:rFonts w:asciiTheme="majorHAnsi" w:hAnsiTheme="majorHAnsi" w:cstheme="majorHAnsi"/>
          <w:sz w:val="24"/>
          <w:szCs w:val="24"/>
          <w:lang w:val="ro-MD"/>
        </w:rPr>
        <w:t xml:space="preserve"> domeniul transportului internațional în valoare totală de 46491</w:t>
      </w:r>
      <w:r w:rsidR="00D570EA">
        <w:rPr>
          <w:rFonts w:asciiTheme="majorHAnsi" w:hAnsiTheme="majorHAnsi" w:cstheme="majorHAnsi"/>
          <w:sz w:val="24"/>
          <w:szCs w:val="24"/>
          <w:lang w:val="ro-MD"/>
        </w:rPr>
        <w:t>,7 mii lei. Dat fiind faptul că</w:t>
      </w:r>
      <w:r w:rsidRPr="00401691">
        <w:rPr>
          <w:rFonts w:asciiTheme="majorHAnsi" w:hAnsiTheme="majorHAnsi" w:cstheme="majorHAnsi"/>
          <w:sz w:val="24"/>
          <w:szCs w:val="24"/>
          <w:lang w:val="ro-MD"/>
        </w:rPr>
        <w:t xml:space="preserve"> SFS nu a dispus de calculele valorii autorizațiilor eliberate de ANTA agenților economici, suma de 46491,7 mii lei nu a </w:t>
      </w:r>
      <w:r w:rsidRPr="00401691">
        <w:rPr>
          <w:rFonts w:asciiTheme="majorHAnsi" w:hAnsiTheme="majorHAnsi" w:cstheme="majorHAnsi"/>
          <w:sz w:val="24"/>
          <w:szCs w:val="24"/>
          <w:lang w:val="ro-MD"/>
        </w:rPr>
        <w:lastRenderedPageBreak/>
        <w:t>fost reflectată în dările de seamă anuale ale SFS. Astfel, în raportul SFS</w:t>
      </w:r>
      <w:r w:rsidRPr="00401691">
        <w:rPr>
          <w:rStyle w:val="FootnoteReference"/>
          <w:rFonts w:asciiTheme="majorHAnsi" w:hAnsiTheme="majorHAnsi" w:cstheme="majorHAnsi"/>
          <w:sz w:val="24"/>
          <w:szCs w:val="24"/>
          <w:lang w:val="ro-MD"/>
        </w:rPr>
        <w:footnoteReference w:id="19"/>
      </w:r>
      <w:r w:rsidRPr="00401691">
        <w:rPr>
          <w:rFonts w:asciiTheme="majorHAnsi" w:hAnsiTheme="majorHAnsi" w:cstheme="majorHAnsi"/>
          <w:sz w:val="24"/>
          <w:szCs w:val="24"/>
          <w:lang w:val="ro-MD"/>
        </w:rPr>
        <w:t>, la codul ECO</w:t>
      </w:r>
      <w:r w:rsidR="00872C24" w:rsidRPr="00401691">
        <w:rPr>
          <w:rFonts w:asciiTheme="majorHAnsi" w:hAnsiTheme="majorHAnsi" w:cstheme="majorHAnsi"/>
          <w:sz w:val="24"/>
          <w:szCs w:val="24"/>
          <w:lang w:val="ro-MD"/>
        </w:rPr>
        <w:t xml:space="preserve"> </w:t>
      </w:r>
      <w:r w:rsidRPr="00401691">
        <w:rPr>
          <w:rFonts w:asciiTheme="majorHAnsi" w:hAnsiTheme="majorHAnsi" w:cstheme="majorHAnsi"/>
          <w:sz w:val="24"/>
          <w:szCs w:val="24"/>
          <w:lang w:val="ro-MD"/>
        </w:rPr>
        <w:t>114525</w:t>
      </w:r>
      <w:r w:rsidRPr="00401691">
        <w:rPr>
          <w:rFonts w:asciiTheme="majorHAnsi" w:eastAsia="Times New Roman" w:hAnsiTheme="majorHAnsi" w:cstheme="majorHAnsi"/>
          <w:color w:val="000000"/>
          <w:sz w:val="24"/>
          <w:szCs w:val="24"/>
          <w:lang w:val="ro-MD"/>
        </w:rPr>
        <w:t xml:space="preserve"> „Taxa de eliberare pentru transporturi rutiere internaționale”</w:t>
      </w:r>
      <w:r w:rsidR="00E21FB3">
        <w:rPr>
          <w:rFonts w:asciiTheme="majorHAnsi" w:eastAsia="Times New Roman" w:hAnsiTheme="majorHAnsi" w:cstheme="majorHAnsi"/>
          <w:color w:val="000000"/>
          <w:sz w:val="24"/>
          <w:szCs w:val="24"/>
          <w:lang w:val="ro-MD"/>
        </w:rPr>
        <w:t>,</w:t>
      </w:r>
      <w:r w:rsidR="00D570EA">
        <w:rPr>
          <w:rFonts w:asciiTheme="majorHAnsi" w:hAnsiTheme="majorHAnsi" w:cstheme="majorHAnsi"/>
          <w:sz w:val="24"/>
          <w:szCs w:val="24"/>
          <w:lang w:val="ro-MD"/>
        </w:rPr>
        <w:t xml:space="preserve"> suma înregistrată la calcul</w:t>
      </w:r>
      <w:r w:rsidRPr="00401691">
        <w:rPr>
          <w:rFonts w:asciiTheme="majorHAnsi" w:hAnsiTheme="majorHAnsi" w:cstheme="majorHAnsi"/>
          <w:sz w:val="24"/>
          <w:szCs w:val="24"/>
          <w:lang w:val="ro-MD"/>
        </w:rPr>
        <w:t xml:space="preserve"> a constitu</w:t>
      </w:r>
      <w:r w:rsidR="00E21FB3">
        <w:rPr>
          <w:rFonts w:asciiTheme="majorHAnsi" w:hAnsiTheme="majorHAnsi" w:cstheme="majorHAnsi"/>
          <w:sz w:val="24"/>
          <w:szCs w:val="24"/>
          <w:lang w:val="ro-MD"/>
        </w:rPr>
        <w:t>i</w:t>
      </w:r>
      <w:r w:rsidRPr="00401691">
        <w:rPr>
          <w:rFonts w:asciiTheme="majorHAnsi" w:hAnsiTheme="majorHAnsi" w:cstheme="majorHAnsi"/>
          <w:sz w:val="24"/>
          <w:szCs w:val="24"/>
          <w:lang w:val="ro-MD"/>
        </w:rPr>
        <w:t>t doar 287, 9 mii lei, sau 0,6 % din suma tota</w:t>
      </w:r>
      <w:r w:rsidR="00D570EA">
        <w:rPr>
          <w:rFonts w:asciiTheme="majorHAnsi" w:hAnsiTheme="majorHAnsi" w:cstheme="majorHAnsi"/>
          <w:sz w:val="24"/>
          <w:szCs w:val="24"/>
          <w:lang w:val="ro-MD"/>
        </w:rPr>
        <w:t xml:space="preserve">lă calculată de ANTA ( 46491,7 </w:t>
      </w:r>
      <w:r w:rsidRPr="00401691">
        <w:rPr>
          <w:rFonts w:asciiTheme="majorHAnsi" w:hAnsiTheme="majorHAnsi" w:cstheme="majorHAnsi"/>
          <w:sz w:val="24"/>
          <w:szCs w:val="24"/>
          <w:lang w:val="ro-MD"/>
        </w:rPr>
        <w:t>mii lei), fapt c</w:t>
      </w:r>
      <w:r w:rsidR="00E21FB3">
        <w:rPr>
          <w:rFonts w:asciiTheme="majorHAnsi" w:hAnsiTheme="majorHAnsi" w:cstheme="majorHAnsi"/>
          <w:sz w:val="24"/>
          <w:szCs w:val="24"/>
          <w:lang w:val="ro-MD"/>
        </w:rPr>
        <w:t>ar</w:t>
      </w:r>
      <w:r w:rsidRPr="00401691">
        <w:rPr>
          <w:rFonts w:asciiTheme="majorHAnsi" w:hAnsiTheme="majorHAnsi" w:cstheme="majorHAnsi"/>
          <w:sz w:val="24"/>
          <w:szCs w:val="24"/>
          <w:lang w:val="ro-MD"/>
        </w:rPr>
        <w:t>e a determinat apariția eronată a sup</w:t>
      </w:r>
      <w:r w:rsidR="00D570EA">
        <w:rPr>
          <w:rFonts w:asciiTheme="majorHAnsi" w:hAnsiTheme="majorHAnsi" w:cstheme="majorHAnsi"/>
          <w:sz w:val="24"/>
          <w:szCs w:val="24"/>
          <w:lang w:val="ro-MD"/>
        </w:rPr>
        <w:t>raplăților per contribuabil</w:t>
      </w:r>
      <w:r w:rsidRPr="00401691">
        <w:rPr>
          <w:rFonts w:asciiTheme="majorHAnsi" w:hAnsiTheme="majorHAnsi" w:cstheme="majorHAnsi"/>
          <w:sz w:val="24"/>
          <w:szCs w:val="24"/>
          <w:lang w:val="ro-MD"/>
        </w:rPr>
        <w:t xml:space="preserve"> în „Conturile curente a</w:t>
      </w:r>
      <w:r w:rsidR="00E21FB3">
        <w:rPr>
          <w:rFonts w:asciiTheme="majorHAnsi" w:hAnsiTheme="majorHAnsi" w:cstheme="majorHAnsi"/>
          <w:sz w:val="24"/>
          <w:szCs w:val="24"/>
          <w:lang w:val="ro-MD"/>
        </w:rPr>
        <w:t>le</w:t>
      </w:r>
      <w:r w:rsidRPr="00401691">
        <w:rPr>
          <w:rFonts w:asciiTheme="majorHAnsi" w:hAnsiTheme="majorHAnsi" w:cstheme="majorHAnsi"/>
          <w:sz w:val="24"/>
          <w:szCs w:val="24"/>
          <w:lang w:val="ro-MD"/>
        </w:rPr>
        <w:t xml:space="preserve"> contribuabililor” din SIA CCC.</w:t>
      </w:r>
    </w:p>
    <w:p w:rsidR="002F61F3" w:rsidRPr="00401691" w:rsidRDefault="002F61F3" w:rsidP="00844145">
      <w:pPr>
        <w:pStyle w:val="ListParagraph"/>
        <w:numPr>
          <w:ilvl w:val="0"/>
          <w:numId w:val="7"/>
        </w:numPr>
        <w:tabs>
          <w:tab w:val="left" w:pos="270"/>
        </w:tabs>
        <w:spacing w:after="120" w:line="276" w:lineRule="auto"/>
        <w:ind w:left="0" w:firstLine="0"/>
        <w:contextualSpacing w:val="0"/>
        <w:jc w:val="both"/>
        <w:rPr>
          <w:rFonts w:asciiTheme="majorHAnsi" w:hAnsiTheme="majorHAnsi" w:cstheme="majorHAnsi"/>
          <w:sz w:val="24"/>
          <w:szCs w:val="24"/>
          <w:lang w:val="ro-MD"/>
        </w:rPr>
      </w:pPr>
      <w:r w:rsidRPr="00401691">
        <w:rPr>
          <w:rFonts w:asciiTheme="majorHAnsi" w:eastAsia="Times New Roman" w:hAnsiTheme="majorHAnsi" w:cstheme="majorHAnsi"/>
          <w:color w:val="000000"/>
          <w:sz w:val="24"/>
          <w:szCs w:val="24"/>
          <w:lang w:val="ro-MD"/>
        </w:rPr>
        <w:t>În anii 2016-2018, ANTA</w:t>
      </w:r>
      <w:r w:rsidR="00A6261A">
        <w:rPr>
          <w:rFonts w:asciiTheme="majorHAnsi" w:eastAsia="Times New Roman" w:hAnsiTheme="majorHAnsi" w:cstheme="majorHAnsi"/>
          <w:color w:val="000000"/>
          <w:sz w:val="24"/>
          <w:szCs w:val="24"/>
          <w:lang w:val="ro-MD"/>
        </w:rPr>
        <w:t>, conform</w:t>
      </w:r>
      <w:r w:rsidRPr="00401691">
        <w:rPr>
          <w:rFonts w:asciiTheme="majorHAnsi" w:eastAsia="Times New Roman" w:hAnsiTheme="majorHAnsi" w:cstheme="majorHAnsi"/>
          <w:color w:val="000000"/>
          <w:sz w:val="24"/>
          <w:szCs w:val="24"/>
          <w:lang w:val="ro-MD"/>
        </w:rPr>
        <w:t xml:space="preserve"> cadrului normativ</w:t>
      </w:r>
      <w:r w:rsidRPr="00401691">
        <w:rPr>
          <w:rStyle w:val="FootnoteReference"/>
          <w:rFonts w:asciiTheme="majorHAnsi" w:eastAsia="Times New Roman" w:hAnsiTheme="majorHAnsi" w:cstheme="majorHAnsi"/>
          <w:color w:val="000000"/>
          <w:sz w:val="24"/>
          <w:szCs w:val="24"/>
          <w:lang w:val="ro-MD"/>
        </w:rPr>
        <w:footnoteReference w:id="20"/>
      </w:r>
      <w:r w:rsidR="00A6261A">
        <w:rPr>
          <w:rFonts w:asciiTheme="majorHAnsi" w:eastAsia="Times New Roman" w:hAnsiTheme="majorHAnsi" w:cstheme="majorHAnsi"/>
          <w:color w:val="000000"/>
          <w:sz w:val="24"/>
          <w:szCs w:val="24"/>
          <w:lang w:val="ro-MD"/>
        </w:rPr>
        <w:t>,</w:t>
      </w:r>
      <w:r w:rsidRPr="00401691">
        <w:rPr>
          <w:rFonts w:asciiTheme="majorHAnsi" w:eastAsia="Times New Roman" w:hAnsiTheme="majorHAnsi" w:cstheme="majorHAnsi"/>
          <w:color w:val="000000"/>
          <w:sz w:val="24"/>
          <w:szCs w:val="24"/>
          <w:lang w:val="ro-MD"/>
        </w:rPr>
        <w:t xml:space="preserve"> a transferat în</w:t>
      </w:r>
      <w:r w:rsidR="00226053">
        <w:rPr>
          <w:rFonts w:asciiTheme="majorHAnsi" w:eastAsia="Times New Roman" w:hAnsiTheme="majorHAnsi" w:cstheme="majorHAnsi"/>
          <w:color w:val="000000"/>
          <w:sz w:val="24"/>
          <w:szCs w:val="24"/>
          <w:lang w:val="ro-MD"/>
        </w:rPr>
        <w:t xml:space="preserve"> buget</w:t>
      </w:r>
      <w:r w:rsidR="00A6261A">
        <w:rPr>
          <w:rFonts w:asciiTheme="majorHAnsi" w:eastAsia="Times New Roman" w:hAnsiTheme="majorHAnsi" w:cstheme="majorHAnsi"/>
          <w:color w:val="000000"/>
          <w:sz w:val="24"/>
          <w:szCs w:val="24"/>
          <w:lang w:val="ro-MD"/>
        </w:rPr>
        <w:t>,</w:t>
      </w:r>
      <w:r w:rsidR="00226053">
        <w:rPr>
          <w:rFonts w:asciiTheme="majorHAnsi" w:eastAsia="Times New Roman" w:hAnsiTheme="majorHAnsi" w:cstheme="majorHAnsi"/>
          <w:color w:val="000000"/>
          <w:sz w:val="24"/>
          <w:szCs w:val="24"/>
          <w:lang w:val="ro-MD"/>
        </w:rPr>
        <w:t xml:space="preserve"> la codul economic 114525</w:t>
      </w:r>
      <w:r w:rsidR="00A6261A">
        <w:rPr>
          <w:rFonts w:asciiTheme="majorHAnsi" w:eastAsia="Times New Roman" w:hAnsiTheme="majorHAnsi" w:cstheme="majorHAnsi"/>
          <w:color w:val="000000"/>
          <w:sz w:val="24"/>
          <w:szCs w:val="24"/>
          <w:lang w:val="ro-MD"/>
        </w:rPr>
        <w:t>,</w:t>
      </w:r>
      <w:r w:rsidRPr="00401691">
        <w:rPr>
          <w:rFonts w:asciiTheme="majorHAnsi" w:eastAsia="Times New Roman" w:hAnsiTheme="majorHAnsi" w:cstheme="majorHAnsi"/>
          <w:color w:val="000000"/>
          <w:sz w:val="24"/>
          <w:szCs w:val="24"/>
          <w:lang w:val="ro-MD"/>
        </w:rPr>
        <w:t xml:space="preserve"> venituri din eliberarea autorizațiilor</w:t>
      </w:r>
      <w:r w:rsidR="00A6261A">
        <w:rPr>
          <w:rFonts w:asciiTheme="majorHAnsi" w:eastAsia="Times New Roman" w:hAnsiTheme="majorHAnsi" w:cstheme="majorHAnsi"/>
          <w:color w:val="000000"/>
          <w:sz w:val="24"/>
          <w:szCs w:val="24"/>
          <w:lang w:val="ro-MD"/>
        </w:rPr>
        <w:t>,</w:t>
      </w:r>
      <w:r w:rsidRPr="00401691">
        <w:rPr>
          <w:rFonts w:asciiTheme="majorHAnsi" w:eastAsia="Times New Roman" w:hAnsiTheme="majorHAnsi" w:cstheme="majorHAnsi"/>
          <w:color w:val="000000"/>
          <w:sz w:val="24"/>
          <w:szCs w:val="24"/>
          <w:lang w:val="ro-MD"/>
        </w:rPr>
        <w:t xml:space="preserve"> în sumă de </w:t>
      </w:r>
      <w:r w:rsidRPr="00401691">
        <w:rPr>
          <w:rFonts w:asciiTheme="majorHAnsi" w:hAnsiTheme="majorHAnsi" w:cstheme="majorHAnsi"/>
          <w:color w:val="000000"/>
          <w:sz w:val="24"/>
          <w:szCs w:val="24"/>
          <w:lang w:val="ro-MD"/>
        </w:rPr>
        <w:t xml:space="preserve">56465,0 mii lei. Examinările de audit </w:t>
      </w:r>
      <w:r w:rsidR="00B01092">
        <w:rPr>
          <w:rFonts w:asciiTheme="majorHAnsi" w:hAnsiTheme="majorHAnsi" w:cstheme="majorHAnsi"/>
          <w:color w:val="000000"/>
          <w:sz w:val="24"/>
          <w:szCs w:val="24"/>
          <w:lang w:val="ro-MD"/>
        </w:rPr>
        <w:t xml:space="preserve">denotă </w:t>
      </w:r>
      <w:r w:rsidR="003918CE">
        <w:rPr>
          <w:rFonts w:asciiTheme="majorHAnsi" w:hAnsiTheme="majorHAnsi" w:cstheme="majorHAnsi"/>
          <w:color w:val="000000"/>
          <w:sz w:val="24"/>
          <w:szCs w:val="24"/>
          <w:lang w:val="ro-MD"/>
        </w:rPr>
        <w:t>că la SFS</w:t>
      </w:r>
      <w:r w:rsidR="00A6261A">
        <w:rPr>
          <w:rFonts w:asciiTheme="majorHAnsi" w:hAnsiTheme="majorHAnsi" w:cstheme="majorHAnsi"/>
          <w:color w:val="000000"/>
          <w:sz w:val="24"/>
          <w:szCs w:val="24"/>
          <w:lang w:val="ro-MD"/>
        </w:rPr>
        <w:t>,</w:t>
      </w:r>
      <w:r w:rsidR="003918CE">
        <w:rPr>
          <w:rFonts w:asciiTheme="majorHAnsi" w:hAnsiTheme="majorHAnsi" w:cstheme="majorHAnsi"/>
          <w:color w:val="000000"/>
          <w:sz w:val="24"/>
          <w:szCs w:val="24"/>
          <w:lang w:val="ro-MD"/>
        </w:rPr>
        <w:t xml:space="preserve"> </w:t>
      </w:r>
      <w:r w:rsidRPr="00401691">
        <w:rPr>
          <w:rFonts w:asciiTheme="majorHAnsi" w:hAnsiTheme="majorHAnsi" w:cstheme="majorHAnsi"/>
          <w:color w:val="000000"/>
          <w:sz w:val="24"/>
          <w:szCs w:val="24"/>
          <w:lang w:val="ro-MD"/>
        </w:rPr>
        <w:t>în „</w:t>
      </w:r>
      <w:r w:rsidRPr="00401691">
        <w:rPr>
          <w:rFonts w:asciiTheme="majorHAnsi" w:hAnsiTheme="majorHAnsi" w:cstheme="majorHAnsi"/>
          <w:sz w:val="24"/>
          <w:szCs w:val="24"/>
          <w:lang w:val="ro-MD"/>
        </w:rPr>
        <w:t>Contul curent a</w:t>
      </w:r>
      <w:r w:rsidR="00A6261A">
        <w:rPr>
          <w:rFonts w:asciiTheme="majorHAnsi" w:hAnsiTheme="majorHAnsi" w:cstheme="majorHAnsi"/>
          <w:sz w:val="24"/>
          <w:szCs w:val="24"/>
          <w:lang w:val="ro-MD"/>
        </w:rPr>
        <w:t>l</w:t>
      </w:r>
      <w:r w:rsidRPr="00401691">
        <w:rPr>
          <w:rFonts w:asciiTheme="majorHAnsi" w:hAnsiTheme="majorHAnsi" w:cstheme="majorHAnsi"/>
          <w:sz w:val="24"/>
          <w:szCs w:val="24"/>
          <w:lang w:val="ro-MD"/>
        </w:rPr>
        <w:t xml:space="preserve"> </w:t>
      </w:r>
      <w:r w:rsidRPr="00401691">
        <w:rPr>
          <w:rFonts w:asciiTheme="majorHAnsi" w:hAnsiTheme="majorHAnsi" w:cstheme="majorHAnsi"/>
          <w:color w:val="000000"/>
          <w:sz w:val="24"/>
          <w:szCs w:val="24"/>
          <w:lang w:val="ro-MD"/>
        </w:rPr>
        <w:t>ANTA”</w:t>
      </w:r>
      <w:r w:rsidR="00A6261A">
        <w:rPr>
          <w:rFonts w:asciiTheme="majorHAnsi" w:hAnsiTheme="majorHAnsi" w:cstheme="majorHAnsi"/>
          <w:color w:val="000000"/>
          <w:sz w:val="24"/>
          <w:szCs w:val="24"/>
          <w:lang w:val="ro-MD"/>
        </w:rPr>
        <w:t>,</w:t>
      </w:r>
      <w:r w:rsidRPr="00401691">
        <w:rPr>
          <w:rFonts w:asciiTheme="majorHAnsi" w:hAnsiTheme="majorHAnsi" w:cstheme="majorHAnsi"/>
          <w:color w:val="000000"/>
          <w:sz w:val="24"/>
          <w:szCs w:val="24"/>
          <w:lang w:val="ro-MD"/>
        </w:rPr>
        <w:t xml:space="preserve"> </w:t>
      </w:r>
      <w:r w:rsidR="00A6261A">
        <w:rPr>
          <w:rFonts w:asciiTheme="majorHAnsi" w:hAnsiTheme="majorHAnsi" w:cstheme="majorHAnsi"/>
          <w:color w:val="000000"/>
          <w:sz w:val="24"/>
          <w:szCs w:val="24"/>
          <w:lang w:val="ro-MD"/>
        </w:rPr>
        <w:t>suma respectivă</w:t>
      </w:r>
      <w:r w:rsidR="00A6261A" w:rsidRPr="00401691">
        <w:rPr>
          <w:rFonts w:asciiTheme="majorHAnsi" w:hAnsiTheme="majorHAnsi" w:cstheme="majorHAnsi"/>
          <w:color w:val="000000"/>
          <w:sz w:val="24"/>
          <w:szCs w:val="24"/>
          <w:lang w:val="ro-MD"/>
        </w:rPr>
        <w:t xml:space="preserve"> </w:t>
      </w:r>
      <w:r w:rsidRPr="00401691">
        <w:rPr>
          <w:rFonts w:asciiTheme="majorHAnsi" w:hAnsiTheme="majorHAnsi" w:cstheme="majorHAnsi"/>
          <w:color w:val="000000"/>
          <w:sz w:val="24"/>
          <w:szCs w:val="24"/>
          <w:lang w:val="ro-MD"/>
        </w:rPr>
        <w:t>figurează incorect</w:t>
      </w:r>
      <w:r w:rsidR="003918CE">
        <w:rPr>
          <w:rFonts w:asciiTheme="majorHAnsi" w:hAnsiTheme="majorHAnsi" w:cstheme="majorHAnsi"/>
          <w:color w:val="000000"/>
          <w:sz w:val="24"/>
          <w:szCs w:val="24"/>
          <w:lang w:val="ro-MD"/>
        </w:rPr>
        <w:t xml:space="preserve"> ca supraplată,</w:t>
      </w:r>
      <w:r w:rsidRPr="00401691">
        <w:rPr>
          <w:rFonts w:asciiTheme="majorHAnsi" w:hAnsiTheme="majorHAnsi" w:cstheme="majorHAnsi"/>
          <w:color w:val="000000"/>
          <w:sz w:val="24"/>
          <w:szCs w:val="24"/>
          <w:lang w:val="ro-MD"/>
        </w:rPr>
        <w:t xml:space="preserve"> deși ANTA, pentru perioada </w:t>
      </w:r>
      <w:r w:rsidR="00A6261A">
        <w:rPr>
          <w:rFonts w:asciiTheme="majorHAnsi" w:hAnsiTheme="majorHAnsi" w:cstheme="majorHAnsi"/>
          <w:color w:val="000000"/>
          <w:sz w:val="24"/>
          <w:szCs w:val="24"/>
          <w:lang w:val="ro-MD"/>
        </w:rPr>
        <w:t>indicată</w:t>
      </w:r>
      <w:r w:rsidRPr="00401691">
        <w:rPr>
          <w:rFonts w:asciiTheme="majorHAnsi" w:hAnsiTheme="majorHAnsi" w:cstheme="majorHAnsi"/>
          <w:color w:val="000000"/>
          <w:sz w:val="24"/>
          <w:szCs w:val="24"/>
          <w:lang w:val="ro-MD"/>
        </w:rPr>
        <w:t>, a prezentat anual calculele de închidere a sumelor. În total, potrivit Raportului privind sumele calculate, stinse (achitate) și restante aferente clasif</w:t>
      </w:r>
      <w:r w:rsidR="003918CE">
        <w:rPr>
          <w:rFonts w:asciiTheme="majorHAnsi" w:hAnsiTheme="majorHAnsi" w:cstheme="majorHAnsi"/>
          <w:color w:val="000000"/>
          <w:sz w:val="24"/>
          <w:szCs w:val="24"/>
          <w:lang w:val="ro-MD"/>
        </w:rPr>
        <w:t>icației veniturilor bugetare</w:t>
      </w:r>
      <w:r w:rsidR="00A6261A">
        <w:rPr>
          <w:rFonts w:asciiTheme="majorHAnsi" w:hAnsiTheme="majorHAnsi" w:cstheme="majorHAnsi"/>
          <w:color w:val="000000"/>
          <w:sz w:val="24"/>
          <w:szCs w:val="24"/>
          <w:lang w:val="ro-MD"/>
        </w:rPr>
        <w:t>,</w:t>
      </w:r>
      <w:r w:rsidR="003918CE">
        <w:rPr>
          <w:rFonts w:asciiTheme="majorHAnsi" w:hAnsiTheme="majorHAnsi" w:cstheme="majorHAnsi"/>
          <w:color w:val="000000"/>
          <w:sz w:val="24"/>
          <w:szCs w:val="24"/>
          <w:lang w:val="ro-MD"/>
        </w:rPr>
        <w:t xml:space="preserve"> la contul</w:t>
      </w:r>
      <w:r w:rsidRPr="00401691">
        <w:rPr>
          <w:rFonts w:asciiTheme="majorHAnsi" w:eastAsia="Times New Roman" w:hAnsiTheme="majorHAnsi" w:cstheme="majorHAnsi"/>
          <w:color w:val="000000"/>
          <w:sz w:val="24"/>
          <w:szCs w:val="24"/>
          <w:lang w:val="ro-MD"/>
        </w:rPr>
        <w:t xml:space="preserve"> economic 114525,</w:t>
      </w:r>
      <w:r w:rsidRPr="00401691">
        <w:rPr>
          <w:rFonts w:asciiTheme="majorHAnsi" w:hAnsiTheme="majorHAnsi" w:cstheme="majorHAnsi"/>
          <w:sz w:val="24"/>
          <w:szCs w:val="24"/>
          <w:lang w:val="ro-MD"/>
        </w:rPr>
        <w:t xml:space="preserve"> administrat de către SFS, </w:t>
      </w:r>
      <w:r w:rsidR="00A6261A">
        <w:rPr>
          <w:rFonts w:asciiTheme="majorHAnsi" w:hAnsiTheme="majorHAnsi" w:cstheme="majorHAnsi"/>
          <w:sz w:val="24"/>
          <w:szCs w:val="24"/>
          <w:lang w:val="ro-MD"/>
        </w:rPr>
        <w:t>este înregistrată</w:t>
      </w:r>
      <w:r w:rsidRPr="00401691">
        <w:rPr>
          <w:rFonts w:asciiTheme="majorHAnsi" w:hAnsiTheme="majorHAnsi" w:cstheme="majorHAnsi"/>
          <w:sz w:val="24"/>
          <w:szCs w:val="24"/>
          <w:lang w:val="ro-MD"/>
        </w:rPr>
        <w:t xml:space="preserve"> eronat o supraplată în </w:t>
      </w:r>
      <w:r w:rsidR="00A6261A">
        <w:rPr>
          <w:rFonts w:asciiTheme="majorHAnsi" w:hAnsiTheme="majorHAnsi" w:cstheme="majorHAnsi"/>
          <w:sz w:val="24"/>
          <w:szCs w:val="24"/>
          <w:lang w:val="ro-MD"/>
        </w:rPr>
        <w:t>sumă</w:t>
      </w:r>
      <w:r w:rsidRPr="00401691">
        <w:rPr>
          <w:rFonts w:asciiTheme="majorHAnsi" w:hAnsiTheme="majorHAnsi" w:cstheme="majorHAnsi"/>
          <w:sz w:val="24"/>
          <w:szCs w:val="24"/>
          <w:lang w:val="ro-MD"/>
        </w:rPr>
        <w:t xml:space="preserve"> de 117006,2 mii lei (</w:t>
      </w:r>
      <w:r w:rsidRPr="00401691">
        <w:rPr>
          <w:rFonts w:asciiTheme="majorHAnsi" w:hAnsiTheme="majorHAnsi" w:cstheme="majorHAnsi"/>
          <w:color w:val="000000"/>
          <w:sz w:val="24"/>
          <w:szCs w:val="24"/>
          <w:lang w:val="ro-MD"/>
        </w:rPr>
        <w:t>56465,9 mii lei+</w:t>
      </w:r>
      <w:r w:rsidRPr="00401691">
        <w:rPr>
          <w:rFonts w:asciiTheme="majorHAnsi" w:hAnsiTheme="majorHAnsi" w:cstheme="majorHAnsi"/>
          <w:sz w:val="24"/>
          <w:szCs w:val="24"/>
          <w:lang w:val="ro-MD"/>
        </w:rPr>
        <w:t>58642,8 mii lei).</w:t>
      </w:r>
    </w:p>
    <w:p w:rsidR="002F61F3" w:rsidRPr="00401691" w:rsidRDefault="002F61F3" w:rsidP="00844145">
      <w:pPr>
        <w:pStyle w:val="ListParagraph"/>
        <w:numPr>
          <w:ilvl w:val="0"/>
          <w:numId w:val="7"/>
        </w:numPr>
        <w:tabs>
          <w:tab w:val="left" w:pos="270"/>
        </w:tabs>
        <w:spacing w:after="120" w:line="276" w:lineRule="auto"/>
        <w:ind w:left="0" w:firstLine="0"/>
        <w:contextualSpacing w:val="0"/>
        <w:jc w:val="both"/>
        <w:rPr>
          <w:rFonts w:asciiTheme="majorHAnsi" w:eastAsia="Times New Roman" w:hAnsiTheme="majorHAnsi" w:cstheme="majorHAnsi"/>
          <w:color w:val="000000"/>
          <w:sz w:val="24"/>
          <w:szCs w:val="24"/>
          <w:lang w:val="ro-MD"/>
        </w:rPr>
      </w:pPr>
      <w:r w:rsidRPr="00401691">
        <w:rPr>
          <w:rFonts w:asciiTheme="majorHAnsi" w:hAnsiTheme="majorHAnsi" w:cstheme="majorHAnsi"/>
          <w:sz w:val="24"/>
          <w:szCs w:val="24"/>
          <w:lang w:val="ro-MD"/>
        </w:rPr>
        <w:t>Similar</w:t>
      </w:r>
      <w:r w:rsidR="00A6261A">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nu s-a asigurat evidența calculului la</w:t>
      </w:r>
      <w:r w:rsidRPr="00401691">
        <w:rPr>
          <w:rFonts w:asciiTheme="majorHAnsi" w:eastAsia="Times New Roman" w:hAnsiTheme="majorHAnsi" w:cstheme="majorHAnsi"/>
          <w:color w:val="000000"/>
          <w:sz w:val="24"/>
          <w:szCs w:val="24"/>
          <w:lang w:val="ro-MD"/>
        </w:rPr>
        <w:t xml:space="preserve"> codul ECO 114634</w:t>
      </w:r>
      <w:r w:rsidRPr="00401691">
        <w:rPr>
          <w:rFonts w:asciiTheme="majorHAnsi" w:hAnsiTheme="majorHAnsi" w:cstheme="majorHAnsi"/>
          <w:sz w:val="24"/>
          <w:szCs w:val="24"/>
          <w:lang w:val="ro-MD"/>
        </w:rPr>
        <w:t xml:space="preserve"> „Plați </w:t>
      </w:r>
      <w:r w:rsidRPr="00401691">
        <w:rPr>
          <w:rFonts w:asciiTheme="majorHAnsi" w:eastAsia="Times New Roman" w:hAnsiTheme="majorHAnsi" w:cstheme="majorHAnsi"/>
          <w:color w:val="000000"/>
          <w:sz w:val="24"/>
          <w:szCs w:val="24"/>
          <w:lang w:val="ro-MD"/>
        </w:rPr>
        <w:t>p</w:t>
      </w:r>
      <w:r w:rsidR="004F5B29" w:rsidRPr="00401691">
        <w:rPr>
          <w:rFonts w:asciiTheme="majorHAnsi" w:eastAsia="Times New Roman" w:hAnsiTheme="majorHAnsi" w:cstheme="majorHAnsi"/>
          <w:color w:val="000000"/>
          <w:sz w:val="24"/>
          <w:szCs w:val="24"/>
          <w:lang w:val="ro-MD"/>
        </w:rPr>
        <w:t>entru folosirea drumurilor de către</w:t>
      </w:r>
      <w:r w:rsidRPr="00401691">
        <w:rPr>
          <w:rFonts w:asciiTheme="majorHAnsi" w:eastAsia="Times New Roman" w:hAnsiTheme="majorHAnsi" w:cstheme="majorHAnsi"/>
          <w:color w:val="000000"/>
          <w:sz w:val="24"/>
          <w:szCs w:val="24"/>
          <w:lang w:val="ro-MD"/>
        </w:rPr>
        <w:t xml:space="preserve"> autovehiculele înmatriculate în Republica Moldova a căror </w:t>
      </w:r>
      <w:r w:rsidRPr="00401691">
        <w:rPr>
          <w:rFonts w:asciiTheme="majorHAnsi" w:eastAsia="Times New Roman" w:hAnsiTheme="majorHAnsi" w:cstheme="majorHAnsi"/>
          <w:color w:val="000000"/>
          <w:sz w:val="24"/>
          <w:szCs w:val="24"/>
          <w:lang w:val="ro-MD"/>
        </w:rPr>
        <w:lastRenderedPageBreak/>
        <w:t xml:space="preserve">masă totală, </w:t>
      </w:r>
      <w:r w:rsidRPr="005774CD">
        <w:rPr>
          <w:rFonts w:asciiTheme="majorHAnsi" w:eastAsia="Times New Roman" w:hAnsiTheme="majorHAnsi" w:cstheme="majorHAnsi"/>
          <w:color w:val="000000"/>
          <w:sz w:val="24"/>
          <w:szCs w:val="24"/>
          <w:lang w:val="ro-MD"/>
        </w:rPr>
        <w:t xml:space="preserve">sarcină </w:t>
      </w:r>
      <w:proofErr w:type="spellStart"/>
      <w:r w:rsidRPr="005774CD">
        <w:rPr>
          <w:rFonts w:asciiTheme="majorHAnsi" w:eastAsia="Times New Roman" w:hAnsiTheme="majorHAnsi" w:cstheme="majorHAnsi"/>
          <w:color w:val="000000"/>
          <w:sz w:val="24"/>
          <w:szCs w:val="24"/>
          <w:lang w:val="ro-MD"/>
        </w:rPr>
        <w:t>masică</w:t>
      </w:r>
      <w:proofErr w:type="spellEnd"/>
      <w:r w:rsidRPr="005774CD">
        <w:rPr>
          <w:rFonts w:asciiTheme="majorHAnsi" w:eastAsia="Times New Roman" w:hAnsiTheme="majorHAnsi" w:cstheme="majorHAnsi"/>
          <w:color w:val="000000"/>
          <w:sz w:val="24"/>
          <w:szCs w:val="24"/>
          <w:lang w:val="ro-MD"/>
        </w:rPr>
        <w:t xml:space="preserve"> pe ax</w:t>
      </w:r>
      <w:r w:rsidR="00A6261A" w:rsidRPr="005774CD">
        <w:rPr>
          <w:rFonts w:asciiTheme="majorHAnsi" w:eastAsia="Times New Roman" w:hAnsiTheme="majorHAnsi" w:cstheme="majorHAnsi"/>
          <w:color w:val="000000"/>
          <w:sz w:val="24"/>
          <w:szCs w:val="24"/>
          <w:lang w:val="ro-MD"/>
        </w:rPr>
        <w:t>ă</w:t>
      </w:r>
      <w:r w:rsidRPr="005774CD">
        <w:rPr>
          <w:rFonts w:asciiTheme="majorHAnsi" w:eastAsia="Times New Roman" w:hAnsiTheme="majorHAnsi" w:cstheme="majorHAnsi"/>
          <w:color w:val="000000"/>
          <w:sz w:val="24"/>
          <w:szCs w:val="24"/>
          <w:lang w:val="ro-MD"/>
        </w:rPr>
        <w:t xml:space="preserve"> sau ale</w:t>
      </w:r>
      <w:r w:rsidRPr="00401691">
        <w:rPr>
          <w:rFonts w:asciiTheme="majorHAnsi" w:eastAsia="Times New Roman" w:hAnsiTheme="majorHAnsi" w:cstheme="majorHAnsi"/>
          <w:color w:val="000000"/>
          <w:sz w:val="24"/>
          <w:szCs w:val="24"/>
          <w:lang w:val="ro-MD"/>
        </w:rPr>
        <w:t xml:space="preserve"> căror dimensiuni depășesc limitele admise”.</w:t>
      </w:r>
    </w:p>
    <w:p w:rsidR="002F61F3" w:rsidRPr="00401691" w:rsidRDefault="002F61F3" w:rsidP="00844145">
      <w:pPr>
        <w:pStyle w:val="ListParagraph"/>
        <w:numPr>
          <w:ilvl w:val="0"/>
          <w:numId w:val="7"/>
        </w:numPr>
        <w:tabs>
          <w:tab w:val="left" w:pos="270"/>
        </w:tabs>
        <w:spacing w:before="120" w:after="120" w:line="276" w:lineRule="auto"/>
        <w:ind w:left="0" w:firstLine="0"/>
        <w:contextualSpacing w:val="0"/>
        <w:jc w:val="both"/>
        <w:rPr>
          <w:rFonts w:asciiTheme="majorHAnsi" w:eastAsia="Times New Roman" w:hAnsiTheme="majorHAnsi" w:cstheme="majorHAnsi"/>
          <w:color w:val="000000"/>
          <w:sz w:val="24"/>
          <w:szCs w:val="24"/>
          <w:lang w:val="ro-MD"/>
        </w:rPr>
      </w:pPr>
      <w:r w:rsidRPr="00401691">
        <w:rPr>
          <w:rFonts w:asciiTheme="majorHAnsi" w:hAnsiTheme="majorHAnsi" w:cstheme="majorHAnsi"/>
          <w:sz w:val="24"/>
          <w:szCs w:val="24"/>
          <w:lang w:val="ro-MD"/>
        </w:rPr>
        <w:t>Există unele divergențe</w:t>
      </w:r>
      <w:r w:rsidR="00B01092">
        <w:rPr>
          <w:rFonts w:asciiTheme="majorHAnsi" w:hAnsiTheme="majorHAnsi" w:cstheme="majorHAnsi"/>
          <w:sz w:val="24"/>
          <w:szCs w:val="24"/>
          <w:lang w:val="ro-MD"/>
        </w:rPr>
        <w:t xml:space="preserve"> (</w:t>
      </w:r>
      <w:r w:rsidRPr="00401691">
        <w:rPr>
          <w:rFonts w:asciiTheme="majorHAnsi" w:hAnsiTheme="majorHAnsi" w:cstheme="majorHAnsi"/>
          <w:sz w:val="24"/>
          <w:szCs w:val="24"/>
          <w:lang w:val="ro-MD"/>
        </w:rPr>
        <w:t xml:space="preserve"> în sumă de 121,8 mii lei</w:t>
      </w:r>
      <w:r w:rsidR="003918CE">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între datele A</w:t>
      </w:r>
      <w:r w:rsidR="003918CE">
        <w:rPr>
          <w:rFonts w:asciiTheme="majorHAnsi" w:hAnsiTheme="majorHAnsi" w:cstheme="majorHAnsi"/>
          <w:sz w:val="24"/>
          <w:szCs w:val="24"/>
          <w:lang w:val="ro-MD"/>
        </w:rPr>
        <w:t xml:space="preserve">NTA și datele raportate de SFS </w:t>
      </w:r>
      <w:r w:rsidRPr="00401691">
        <w:rPr>
          <w:rFonts w:asciiTheme="majorHAnsi" w:hAnsiTheme="majorHAnsi" w:cstheme="majorHAnsi"/>
          <w:sz w:val="24"/>
          <w:szCs w:val="24"/>
          <w:lang w:val="ro-MD"/>
        </w:rPr>
        <w:t xml:space="preserve">referitor la încasările la </w:t>
      </w:r>
      <w:r w:rsidR="00A6261A">
        <w:rPr>
          <w:rFonts w:asciiTheme="majorHAnsi" w:hAnsiTheme="majorHAnsi" w:cstheme="majorHAnsi"/>
          <w:sz w:val="24"/>
          <w:szCs w:val="24"/>
          <w:lang w:val="ro-MD"/>
        </w:rPr>
        <w:t>c</w:t>
      </w:r>
      <w:r w:rsidRPr="00401691">
        <w:rPr>
          <w:rFonts w:asciiTheme="majorHAnsi" w:hAnsiTheme="majorHAnsi" w:cstheme="majorHAnsi"/>
          <w:sz w:val="24"/>
          <w:szCs w:val="24"/>
          <w:lang w:val="ro-MD"/>
        </w:rPr>
        <w:t>odul ECO-143114. Lipsa reglementărilor privind modul de înregistrare și</w:t>
      </w:r>
      <w:r w:rsidR="003918CE">
        <w:rPr>
          <w:rFonts w:asciiTheme="majorHAnsi" w:hAnsiTheme="majorHAnsi" w:cstheme="majorHAnsi"/>
          <w:sz w:val="24"/>
          <w:szCs w:val="24"/>
          <w:lang w:val="ro-MD"/>
        </w:rPr>
        <w:t xml:space="preserve"> calculare a sumelor amenzilor</w:t>
      </w:r>
      <w:r w:rsidRPr="00401691">
        <w:rPr>
          <w:rFonts w:asciiTheme="majorHAnsi" w:hAnsiTheme="majorHAnsi" w:cstheme="majorHAnsi"/>
          <w:sz w:val="24"/>
          <w:szCs w:val="24"/>
          <w:lang w:val="ro-MD"/>
        </w:rPr>
        <w:t xml:space="preserve"> condiționează incorect</w:t>
      </w:r>
      <w:r w:rsidR="00A6261A">
        <w:rPr>
          <w:rFonts w:asciiTheme="majorHAnsi" w:hAnsiTheme="majorHAnsi" w:cstheme="majorHAnsi"/>
          <w:sz w:val="24"/>
          <w:szCs w:val="24"/>
          <w:lang w:val="ro-MD"/>
        </w:rPr>
        <w:t>itudinea</w:t>
      </w:r>
      <w:r w:rsidRPr="00401691">
        <w:rPr>
          <w:rFonts w:asciiTheme="majorHAnsi" w:hAnsiTheme="majorHAnsi" w:cstheme="majorHAnsi"/>
          <w:sz w:val="24"/>
          <w:szCs w:val="24"/>
          <w:lang w:val="ro-MD"/>
        </w:rPr>
        <w:t xml:space="preserve"> </w:t>
      </w:r>
      <w:r w:rsidR="00A6261A" w:rsidRPr="00401691">
        <w:rPr>
          <w:rFonts w:asciiTheme="majorHAnsi" w:hAnsiTheme="majorHAnsi" w:cstheme="majorHAnsi"/>
          <w:sz w:val="24"/>
          <w:szCs w:val="24"/>
          <w:lang w:val="ro-MD"/>
        </w:rPr>
        <w:t>date</w:t>
      </w:r>
      <w:r w:rsidR="00A6261A">
        <w:rPr>
          <w:rFonts w:asciiTheme="majorHAnsi" w:hAnsiTheme="majorHAnsi" w:cstheme="majorHAnsi"/>
          <w:sz w:val="24"/>
          <w:szCs w:val="24"/>
          <w:lang w:val="ro-MD"/>
        </w:rPr>
        <w:t>lor</w:t>
      </w:r>
      <w:r w:rsidR="00A6261A" w:rsidRPr="00401691">
        <w:rPr>
          <w:rFonts w:asciiTheme="majorHAnsi" w:hAnsiTheme="majorHAnsi" w:cstheme="majorHAnsi"/>
          <w:sz w:val="24"/>
          <w:szCs w:val="24"/>
          <w:lang w:val="ro-MD"/>
        </w:rPr>
        <w:t xml:space="preserve"> </w:t>
      </w:r>
      <w:r w:rsidRPr="00401691">
        <w:rPr>
          <w:rFonts w:asciiTheme="majorHAnsi" w:hAnsiTheme="majorHAnsi" w:cstheme="majorHAnsi"/>
          <w:sz w:val="24"/>
          <w:szCs w:val="24"/>
          <w:lang w:val="ro-MD"/>
        </w:rPr>
        <w:t>privind suma restanței înregistrate la amenzile aplicate de ANTA în valoare de 2763,0 mii lei. Potrivit explicațiilor prezentate de SFS, instituția este în proces de semnare</w:t>
      </w:r>
      <w:r w:rsidR="00A6261A">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prin intermediul Agenției de Guvernare Electronică</w:t>
      </w:r>
      <w:r w:rsidR="00A6261A">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a Acordului de furnizare a datelor de către Ministerul Afacerilor Interne, inclusiv cu integrarea datelor altor instituții care aplică amenzi contravenționale. </w:t>
      </w:r>
    </w:p>
    <w:p w:rsidR="002F61F3" w:rsidRPr="00401691" w:rsidRDefault="00514ECB" w:rsidP="00844145">
      <w:pPr>
        <w:pStyle w:val="ListParagraph"/>
        <w:numPr>
          <w:ilvl w:val="0"/>
          <w:numId w:val="31"/>
        </w:numPr>
        <w:tabs>
          <w:tab w:val="left" w:pos="270"/>
        </w:tabs>
        <w:spacing w:after="120" w:line="276" w:lineRule="auto"/>
        <w:ind w:left="0" w:firstLine="0"/>
        <w:jc w:val="both"/>
        <w:rPr>
          <w:rFonts w:asciiTheme="majorHAnsi" w:eastAsia="Times New Roman" w:hAnsiTheme="majorHAnsi" w:cstheme="majorHAnsi"/>
          <w:i/>
          <w:color w:val="000000"/>
          <w:sz w:val="24"/>
          <w:szCs w:val="24"/>
          <w:lang w:val="ro-MD"/>
        </w:rPr>
      </w:pPr>
      <w:r>
        <w:rPr>
          <w:rFonts w:asciiTheme="majorHAnsi" w:eastAsia="Times New Roman" w:hAnsiTheme="majorHAnsi" w:cstheme="majorHAnsi"/>
          <w:i/>
          <w:color w:val="000000"/>
          <w:sz w:val="24"/>
          <w:szCs w:val="24"/>
          <w:lang w:val="ro-MD"/>
        </w:rPr>
        <w:t xml:space="preserve">Erori în achitarea și </w:t>
      </w:r>
      <w:r w:rsidR="002F61F3" w:rsidRPr="00401691">
        <w:rPr>
          <w:rFonts w:asciiTheme="majorHAnsi" w:eastAsia="Times New Roman" w:hAnsiTheme="majorHAnsi" w:cstheme="majorHAnsi"/>
          <w:i/>
          <w:color w:val="000000"/>
          <w:sz w:val="24"/>
          <w:szCs w:val="24"/>
          <w:lang w:val="ro-MD"/>
        </w:rPr>
        <w:t>evidența plăților încasate de la transportatorii auto</w:t>
      </w:r>
    </w:p>
    <w:p w:rsidR="001D08F4" w:rsidRDefault="002F61F3" w:rsidP="00844145">
      <w:pPr>
        <w:spacing w:line="276" w:lineRule="auto"/>
        <w:jc w:val="both"/>
        <w:rPr>
          <w:rFonts w:asciiTheme="majorHAnsi" w:eastAsia="Times New Roman" w:hAnsiTheme="majorHAnsi" w:cstheme="majorHAnsi"/>
          <w:color w:val="000000"/>
          <w:sz w:val="24"/>
          <w:szCs w:val="24"/>
          <w:lang w:val="ro-MD"/>
        </w:rPr>
      </w:pPr>
      <w:r w:rsidRPr="00401691">
        <w:rPr>
          <w:rFonts w:asciiTheme="majorHAnsi" w:eastAsia="Times New Roman" w:hAnsiTheme="majorHAnsi" w:cstheme="majorHAnsi"/>
          <w:color w:val="000000"/>
          <w:sz w:val="24"/>
          <w:szCs w:val="24"/>
          <w:lang w:val="ro-MD"/>
        </w:rPr>
        <w:t>O altă problemă identificată de audit pe parcursul anului 2019 se atestă la direcționarea și înregistrarea greșită la contul de pl</w:t>
      </w:r>
      <w:r w:rsidR="00A6261A">
        <w:rPr>
          <w:rFonts w:asciiTheme="majorHAnsi" w:eastAsia="Times New Roman" w:hAnsiTheme="majorHAnsi" w:cstheme="majorHAnsi"/>
          <w:color w:val="000000"/>
          <w:sz w:val="24"/>
          <w:szCs w:val="24"/>
          <w:lang w:val="ro-MD"/>
        </w:rPr>
        <w:t>ă</w:t>
      </w:r>
      <w:r w:rsidRPr="00401691">
        <w:rPr>
          <w:rFonts w:asciiTheme="majorHAnsi" w:eastAsia="Times New Roman" w:hAnsiTheme="majorHAnsi" w:cstheme="majorHAnsi"/>
          <w:color w:val="000000"/>
          <w:sz w:val="24"/>
          <w:szCs w:val="24"/>
          <w:lang w:val="ro-MD"/>
        </w:rPr>
        <w:t>ți neidentificate a taxelor în sumă</w:t>
      </w:r>
      <w:r w:rsidR="003918CE">
        <w:rPr>
          <w:rFonts w:asciiTheme="majorHAnsi" w:eastAsia="Times New Roman" w:hAnsiTheme="majorHAnsi" w:cstheme="majorHAnsi"/>
          <w:color w:val="000000"/>
          <w:sz w:val="24"/>
          <w:szCs w:val="24"/>
          <w:lang w:val="ro-MD"/>
        </w:rPr>
        <w:t xml:space="preserve"> totală de 910,7 mii lei, deși </w:t>
      </w:r>
      <w:r w:rsidR="00A6261A">
        <w:rPr>
          <w:rFonts w:asciiTheme="majorHAnsi" w:eastAsia="Times New Roman" w:hAnsiTheme="majorHAnsi" w:cstheme="majorHAnsi"/>
          <w:color w:val="000000"/>
          <w:sz w:val="24"/>
          <w:szCs w:val="24"/>
          <w:lang w:val="ro-MD"/>
        </w:rPr>
        <w:t xml:space="preserve">acestea </w:t>
      </w:r>
      <w:r w:rsidRPr="00401691">
        <w:rPr>
          <w:rFonts w:asciiTheme="majorHAnsi" w:eastAsia="Times New Roman" w:hAnsiTheme="majorHAnsi" w:cstheme="majorHAnsi"/>
          <w:color w:val="000000"/>
          <w:sz w:val="24"/>
          <w:szCs w:val="24"/>
          <w:lang w:val="ro-MD"/>
        </w:rPr>
        <w:t>urmau a fi</w:t>
      </w:r>
      <w:r w:rsidR="000960A4">
        <w:rPr>
          <w:rFonts w:asciiTheme="majorHAnsi" w:eastAsia="Times New Roman" w:hAnsiTheme="majorHAnsi" w:cstheme="majorHAnsi"/>
          <w:color w:val="000000"/>
          <w:sz w:val="24"/>
          <w:szCs w:val="24"/>
          <w:lang w:val="ro-MD"/>
        </w:rPr>
        <w:t xml:space="preserve"> transferate </w:t>
      </w:r>
      <w:r w:rsidRPr="00401691">
        <w:rPr>
          <w:rFonts w:asciiTheme="majorHAnsi" w:eastAsia="Times New Roman" w:hAnsiTheme="majorHAnsi" w:cstheme="majorHAnsi"/>
          <w:color w:val="000000"/>
          <w:sz w:val="24"/>
          <w:szCs w:val="24"/>
          <w:lang w:val="ro-MD"/>
        </w:rPr>
        <w:t xml:space="preserve">la conturile contribuabililor (codul ECO -114525). </w:t>
      </w:r>
      <w:r w:rsidR="00A6261A">
        <w:rPr>
          <w:rFonts w:asciiTheme="majorHAnsi" w:eastAsia="Times New Roman" w:hAnsiTheme="majorHAnsi" w:cstheme="majorHAnsi"/>
          <w:color w:val="000000"/>
          <w:sz w:val="24"/>
          <w:szCs w:val="24"/>
          <w:lang w:val="ro-MD"/>
        </w:rPr>
        <w:t>S</w:t>
      </w:r>
      <w:r w:rsidRPr="00401691">
        <w:rPr>
          <w:rFonts w:asciiTheme="majorHAnsi" w:eastAsia="Times New Roman" w:hAnsiTheme="majorHAnsi" w:cstheme="majorHAnsi"/>
          <w:color w:val="000000"/>
          <w:sz w:val="24"/>
          <w:szCs w:val="24"/>
          <w:lang w:val="ro-MD"/>
        </w:rPr>
        <w:t>ituați</w:t>
      </w:r>
      <w:r w:rsidR="00A6261A">
        <w:rPr>
          <w:rFonts w:asciiTheme="majorHAnsi" w:eastAsia="Times New Roman" w:hAnsiTheme="majorHAnsi" w:cstheme="majorHAnsi"/>
          <w:color w:val="000000"/>
          <w:sz w:val="24"/>
          <w:szCs w:val="24"/>
          <w:lang w:val="ro-MD"/>
        </w:rPr>
        <w:t>a dată</w:t>
      </w:r>
      <w:r w:rsidRPr="00401691">
        <w:rPr>
          <w:rFonts w:asciiTheme="majorHAnsi" w:eastAsia="Times New Roman" w:hAnsiTheme="majorHAnsi" w:cstheme="majorHAnsi"/>
          <w:color w:val="000000"/>
          <w:sz w:val="24"/>
          <w:szCs w:val="24"/>
          <w:lang w:val="ro-MD"/>
        </w:rPr>
        <w:t xml:space="preserve"> a fost cauzată de </w:t>
      </w:r>
      <w:r w:rsidR="00A6261A">
        <w:rPr>
          <w:rFonts w:asciiTheme="majorHAnsi" w:eastAsia="Times New Roman" w:hAnsiTheme="majorHAnsi" w:cstheme="majorHAnsi"/>
          <w:color w:val="000000"/>
          <w:sz w:val="24"/>
          <w:szCs w:val="24"/>
          <w:lang w:val="ro-MD"/>
        </w:rPr>
        <w:t>ne</w:t>
      </w:r>
      <w:r w:rsidRPr="00401691">
        <w:rPr>
          <w:rFonts w:asciiTheme="majorHAnsi" w:eastAsia="Times New Roman" w:hAnsiTheme="majorHAnsi" w:cstheme="majorHAnsi"/>
          <w:color w:val="000000"/>
          <w:sz w:val="24"/>
          <w:szCs w:val="24"/>
          <w:lang w:val="ro-MD"/>
        </w:rPr>
        <w:t>indic</w:t>
      </w:r>
      <w:r w:rsidR="00A6261A">
        <w:rPr>
          <w:rFonts w:asciiTheme="majorHAnsi" w:eastAsia="Times New Roman" w:hAnsiTheme="majorHAnsi" w:cstheme="majorHAnsi"/>
          <w:color w:val="000000"/>
          <w:sz w:val="24"/>
          <w:szCs w:val="24"/>
          <w:lang w:val="ro-MD"/>
        </w:rPr>
        <w:t>area</w:t>
      </w:r>
      <w:r w:rsidRPr="00401691">
        <w:rPr>
          <w:rFonts w:asciiTheme="majorHAnsi" w:eastAsia="Times New Roman" w:hAnsiTheme="majorHAnsi" w:cstheme="majorHAnsi"/>
          <w:color w:val="000000"/>
          <w:sz w:val="24"/>
          <w:szCs w:val="24"/>
          <w:lang w:val="ro-MD"/>
        </w:rPr>
        <w:t xml:space="preserve"> de către banca comercială a denumirii și codului fiscal al plătitorului, sau </w:t>
      </w:r>
      <w:r w:rsidR="00513003">
        <w:rPr>
          <w:rFonts w:asciiTheme="majorHAnsi" w:eastAsia="Times New Roman" w:hAnsiTheme="majorHAnsi" w:cstheme="majorHAnsi"/>
          <w:color w:val="000000"/>
          <w:sz w:val="24"/>
          <w:szCs w:val="24"/>
          <w:lang w:val="ro-MD"/>
        </w:rPr>
        <w:t xml:space="preserve">de </w:t>
      </w:r>
      <w:r w:rsidRPr="00401691">
        <w:rPr>
          <w:rFonts w:asciiTheme="majorHAnsi" w:eastAsia="Times New Roman" w:hAnsiTheme="majorHAnsi" w:cstheme="majorHAnsi"/>
          <w:color w:val="000000"/>
          <w:sz w:val="24"/>
          <w:szCs w:val="24"/>
          <w:lang w:val="ro-MD"/>
        </w:rPr>
        <w:t>erori</w:t>
      </w:r>
      <w:r w:rsidR="00513003">
        <w:rPr>
          <w:rFonts w:asciiTheme="majorHAnsi" w:eastAsia="Times New Roman" w:hAnsiTheme="majorHAnsi" w:cstheme="majorHAnsi"/>
          <w:color w:val="000000"/>
          <w:sz w:val="24"/>
          <w:szCs w:val="24"/>
          <w:lang w:val="ro-MD"/>
        </w:rPr>
        <w:t>le generate</w:t>
      </w:r>
      <w:r w:rsidRPr="00401691">
        <w:rPr>
          <w:rFonts w:asciiTheme="majorHAnsi" w:eastAsia="Times New Roman" w:hAnsiTheme="majorHAnsi" w:cstheme="majorHAnsi"/>
          <w:color w:val="000000"/>
          <w:sz w:val="24"/>
          <w:szCs w:val="24"/>
          <w:lang w:val="ro-MD"/>
        </w:rPr>
        <w:t xml:space="preserve"> prin intermediul sistemelor electronice de pl</w:t>
      </w:r>
      <w:r w:rsidR="00513003">
        <w:rPr>
          <w:rFonts w:asciiTheme="majorHAnsi" w:eastAsia="Times New Roman" w:hAnsiTheme="majorHAnsi" w:cstheme="majorHAnsi"/>
          <w:color w:val="000000"/>
          <w:sz w:val="24"/>
          <w:szCs w:val="24"/>
          <w:lang w:val="ro-MD"/>
        </w:rPr>
        <w:t>ă</w:t>
      </w:r>
      <w:r w:rsidRPr="00401691">
        <w:rPr>
          <w:rFonts w:asciiTheme="majorHAnsi" w:eastAsia="Times New Roman" w:hAnsiTheme="majorHAnsi" w:cstheme="majorHAnsi"/>
          <w:color w:val="000000"/>
          <w:sz w:val="24"/>
          <w:szCs w:val="24"/>
          <w:lang w:val="ro-MD"/>
        </w:rPr>
        <w:t>ți, ca rezultat</w:t>
      </w:r>
      <w:r w:rsidR="00513003">
        <w:rPr>
          <w:rFonts w:asciiTheme="majorHAnsi" w:eastAsia="Times New Roman" w:hAnsiTheme="majorHAnsi" w:cstheme="majorHAnsi"/>
          <w:color w:val="000000"/>
          <w:sz w:val="24"/>
          <w:szCs w:val="24"/>
          <w:lang w:val="ro-MD"/>
        </w:rPr>
        <w:t>,</w:t>
      </w:r>
      <w:r w:rsidRPr="00401691">
        <w:rPr>
          <w:rFonts w:asciiTheme="majorHAnsi" w:eastAsia="Times New Roman" w:hAnsiTheme="majorHAnsi" w:cstheme="majorHAnsi"/>
          <w:color w:val="000000"/>
          <w:sz w:val="24"/>
          <w:szCs w:val="24"/>
          <w:lang w:val="ro-MD"/>
        </w:rPr>
        <w:t xml:space="preserve"> sumele fiind înregistrate de </w:t>
      </w:r>
      <w:r w:rsidR="00513003">
        <w:rPr>
          <w:rFonts w:asciiTheme="majorHAnsi" w:eastAsia="Times New Roman" w:hAnsiTheme="majorHAnsi" w:cstheme="majorHAnsi"/>
          <w:color w:val="000000"/>
          <w:sz w:val="24"/>
          <w:szCs w:val="24"/>
          <w:lang w:val="ro-MD"/>
        </w:rPr>
        <w:t xml:space="preserve">către </w:t>
      </w:r>
      <w:r w:rsidRPr="00401691">
        <w:rPr>
          <w:rFonts w:asciiTheme="majorHAnsi" w:eastAsia="Times New Roman" w:hAnsiTheme="majorHAnsi" w:cstheme="majorHAnsi"/>
          <w:color w:val="000000"/>
          <w:sz w:val="24"/>
          <w:szCs w:val="24"/>
          <w:lang w:val="ro-MD"/>
        </w:rPr>
        <w:t>SFS ca plăți neidentificate. Echipa de audit relevă că</w:t>
      </w:r>
      <w:r w:rsidR="00513003">
        <w:rPr>
          <w:rFonts w:asciiTheme="majorHAnsi" w:eastAsia="Times New Roman" w:hAnsiTheme="majorHAnsi" w:cstheme="majorHAnsi"/>
          <w:color w:val="000000"/>
          <w:sz w:val="24"/>
          <w:szCs w:val="24"/>
          <w:lang w:val="ro-MD"/>
        </w:rPr>
        <w:t>,</w:t>
      </w:r>
      <w:r w:rsidRPr="00401691">
        <w:rPr>
          <w:rFonts w:asciiTheme="majorHAnsi" w:eastAsia="Times New Roman" w:hAnsiTheme="majorHAnsi" w:cstheme="majorHAnsi"/>
          <w:color w:val="000000"/>
          <w:sz w:val="24"/>
          <w:szCs w:val="24"/>
          <w:lang w:val="ro-MD"/>
        </w:rPr>
        <w:t xml:space="preserve"> deși, în urma conlucrării între DGAF Chișinău și ANTA</w:t>
      </w:r>
      <w:r w:rsidR="00513003">
        <w:rPr>
          <w:rFonts w:asciiTheme="majorHAnsi" w:eastAsia="Times New Roman" w:hAnsiTheme="majorHAnsi" w:cstheme="majorHAnsi"/>
          <w:color w:val="000000"/>
          <w:sz w:val="24"/>
          <w:szCs w:val="24"/>
          <w:lang w:val="ro-MD"/>
        </w:rPr>
        <w:t xml:space="preserve">, </w:t>
      </w:r>
      <w:r w:rsidRPr="00401691">
        <w:rPr>
          <w:rFonts w:asciiTheme="majorHAnsi" w:eastAsia="Times New Roman" w:hAnsiTheme="majorHAnsi" w:cstheme="majorHAnsi"/>
          <w:color w:val="000000"/>
          <w:sz w:val="24"/>
          <w:szCs w:val="24"/>
          <w:lang w:val="ro-MD"/>
        </w:rPr>
        <w:t>au fost identificați plătitorii unor plăți, problema po</w:t>
      </w:r>
      <w:r w:rsidR="00513003">
        <w:rPr>
          <w:rFonts w:asciiTheme="majorHAnsi" w:eastAsia="Times New Roman" w:hAnsiTheme="majorHAnsi" w:cstheme="majorHAnsi"/>
          <w:color w:val="000000"/>
          <w:sz w:val="24"/>
          <w:szCs w:val="24"/>
          <w:lang w:val="ro-MD"/>
        </w:rPr>
        <w:t>a</w:t>
      </w:r>
      <w:r w:rsidRPr="00401691">
        <w:rPr>
          <w:rFonts w:asciiTheme="majorHAnsi" w:eastAsia="Times New Roman" w:hAnsiTheme="majorHAnsi" w:cstheme="majorHAnsi"/>
          <w:color w:val="000000"/>
          <w:sz w:val="24"/>
          <w:szCs w:val="24"/>
          <w:lang w:val="ro-MD"/>
        </w:rPr>
        <w:t xml:space="preserve">rtă un caracter sistemic </w:t>
      </w:r>
      <w:r w:rsidRPr="00401691">
        <w:rPr>
          <w:rFonts w:asciiTheme="majorHAnsi" w:eastAsia="Times New Roman" w:hAnsiTheme="majorHAnsi" w:cstheme="majorHAnsi"/>
          <w:color w:val="000000"/>
          <w:sz w:val="24"/>
          <w:szCs w:val="24"/>
          <w:lang w:val="ro-MD"/>
        </w:rPr>
        <w:lastRenderedPageBreak/>
        <w:t>și continu</w:t>
      </w:r>
      <w:r w:rsidR="00513003">
        <w:rPr>
          <w:rFonts w:asciiTheme="majorHAnsi" w:eastAsia="Times New Roman" w:hAnsiTheme="majorHAnsi" w:cstheme="majorHAnsi"/>
          <w:color w:val="000000"/>
          <w:sz w:val="24"/>
          <w:szCs w:val="24"/>
          <w:lang w:val="ro-MD"/>
        </w:rPr>
        <w:t>ă</w:t>
      </w:r>
      <w:r w:rsidRPr="00401691">
        <w:rPr>
          <w:rFonts w:asciiTheme="majorHAnsi" w:eastAsia="Times New Roman" w:hAnsiTheme="majorHAnsi" w:cstheme="majorHAnsi"/>
          <w:color w:val="000000"/>
          <w:sz w:val="24"/>
          <w:szCs w:val="24"/>
          <w:lang w:val="ro-MD"/>
        </w:rPr>
        <w:t xml:space="preserve"> să persiste. </w:t>
      </w:r>
      <w:r w:rsidR="00513003">
        <w:rPr>
          <w:rFonts w:asciiTheme="majorHAnsi" w:eastAsia="Times New Roman" w:hAnsiTheme="majorHAnsi" w:cstheme="majorHAnsi"/>
          <w:color w:val="000000"/>
          <w:sz w:val="24"/>
          <w:szCs w:val="24"/>
          <w:lang w:val="ro-MD"/>
        </w:rPr>
        <w:t>În consecință</w:t>
      </w:r>
      <w:r w:rsidRPr="00401691">
        <w:rPr>
          <w:rFonts w:asciiTheme="majorHAnsi" w:eastAsia="Times New Roman" w:hAnsiTheme="majorHAnsi" w:cstheme="majorHAnsi"/>
          <w:color w:val="000000"/>
          <w:sz w:val="24"/>
          <w:szCs w:val="24"/>
          <w:lang w:val="ro-MD"/>
        </w:rPr>
        <w:t xml:space="preserve">, au fost diminuate achitările la codul economic 114525 per contribuabil, ceea ce a dus la </w:t>
      </w:r>
      <w:r w:rsidRPr="00401691">
        <w:rPr>
          <w:rFonts w:asciiTheme="majorHAnsi" w:hAnsiTheme="majorHAnsi" w:cstheme="majorHAnsi"/>
          <w:sz w:val="24"/>
          <w:szCs w:val="24"/>
          <w:lang w:val="ro-MD"/>
        </w:rPr>
        <w:t>tergiversarea procesului de eliberare a autorizațiilor</w:t>
      </w:r>
      <w:r w:rsidRPr="00401691">
        <w:rPr>
          <w:rFonts w:asciiTheme="majorHAnsi" w:eastAsia="Times New Roman" w:hAnsiTheme="majorHAnsi" w:cstheme="majorHAnsi"/>
          <w:color w:val="000000"/>
          <w:sz w:val="24"/>
          <w:szCs w:val="24"/>
          <w:lang w:val="ro-MD"/>
        </w:rPr>
        <w:t xml:space="preserve"> și a creat </w:t>
      </w:r>
      <w:r w:rsidRPr="00401691">
        <w:rPr>
          <w:rFonts w:asciiTheme="majorHAnsi" w:hAnsiTheme="majorHAnsi" w:cstheme="majorHAnsi"/>
          <w:sz w:val="24"/>
          <w:szCs w:val="24"/>
          <w:lang w:val="ro-MD"/>
        </w:rPr>
        <w:t xml:space="preserve">nemulțumiri din partea </w:t>
      </w:r>
      <w:r w:rsidRPr="00401691">
        <w:rPr>
          <w:rFonts w:asciiTheme="majorHAnsi" w:eastAsia="Times New Roman" w:hAnsiTheme="majorHAnsi" w:cstheme="majorHAnsi"/>
          <w:color w:val="000000"/>
          <w:sz w:val="24"/>
          <w:szCs w:val="24"/>
          <w:lang w:val="ro-MD"/>
        </w:rPr>
        <w:t xml:space="preserve">agenților economici. </w:t>
      </w:r>
    </w:p>
    <w:p w:rsidR="002F61F3" w:rsidRPr="00401691" w:rsidRDefault="002F61F3" w:rsidP="00844145">
      <w:pPr>
        <w:spacing w:line="276" w:lineRule="auto"/>
        <w:jc w:val="both"/>
        <w:rPr>
          <w:rFonts w:asciiTheme="majorHAnsi" w:eastAsia="Times New Roman" w:hAnsiTheme="majorHAnsi" w:cstheme="majorHAnsi"/>
          <w:color w:val="000000"/>
          <w:sz w:val="24"/>
          <w:szCs w:val="24"/>
          <w:lang w:val="ro-MD"/>
        </w:rPr>
      </w:pPr>
      <w:r w:rsidRPr="00401691">
        <w:rPr>
          <w:rFonts w:asciiTheme="majorHAnsi" w:eastAsia="Times New Roman" w:hAnsiTheme="majorHAnsi" w:cstheme="majorHAnsi"/>
          <w:color w:val="000000"/>
          <w:sz w:val="24"/>
          <w:szCs w:val="24"/>
          <w:lang w:val="ro-MD"/>
        </w:rPr>
        <w:t>Lipsa controlului din partea SFS asupra corectitudinii pl</w:t>
      </w:r>
      <w:r w:rsidR="00513003">
        <w:rPr>
          <w:rFonts w:asciiTheme="majorHAnsi" w:eastAsia="Times New Roman" w:hAnsiTheme="majorHAnsi" w:cstheme="majorHAnsi"/>
          <w:color w:val="000000"/>
          <w:sz w:val="24"/>
          <w:szCs w:val="24"/>
          <w:lang w:val="ro-MD"/>
        </w:rPr>
        <w:t>ă</w:t>
      </w:r>
      <w:r w:rsidRPr="00401691">
        <w:rPr>
          <w:rFonts w:asciiTheme="majorHAnsi" w:eastAsia="Times New Roman" w:hAnsiTheme="majorHAnsi" w:cstheme="majorHAnsi"/>
          <w:color w:val="000000"/>
          <w:sz w:val="24"/>
          <w:szCs w:val="24"/>
          <w:lang w:val="ro-MD"/>
        </w:rPr>
        <w:t xml:space="preserve">ților încasate la </w:t>
      </w:r>
      <w:r w:rsidR="00513003">
        <w:rPr>
          <w:rFonts w:asciiTheme="majorHAnsi" w:eastAsia="Times New Roman" w:hAnsiTheme="majorHAnsi" w:cstheme="majorHAnsi"/>
          <w:color w:val="000000"/>
          <w:sz w:val="24"/>
          <w:szCs w:val="24"/>
          <w:lang w:val="ro-MD"/>
        </w:rPr>
        <w:t>c</w:t>
      </w:r>
      <w:r w:rsidRPr="00401691">
        <w:rPr>
          <w:rFonts w:asciiTheme="majorHAnsi" w:eastAsia="Times New Roman" w:hAnsiTheme="majorHAnsi" w:cstheme="majorHAnsi"/>
          <w:color w:val="000000"/>
          <w:sz w:val="24"/>
          <w:szCs w:val="24"/>
          <w:lang w:val="ro-MD"/>
        </w:rPr>
        <w:t xml:space="preserve">odurile ECO a </w:t>
      </w:r>
      <w:r w:rsidR="00513003">
        <w:rPr>
          <w:rFonts w:asciiTheme="majorHAnsi" w:eastAsia="Times New Roman" w:hAnsiTheme="majorHAnsi" w:cstheme="majorHAnsi"/>
          <w:color w:val="000000"/>
          <w:sz w:val="24"/>
          <w:szCs w:val="24"/>
          <w:lang w:val="ro-MD"/>
        </w:rPr>
        <w:t>cauzat</w:t>
      </w:r>
      <w:r w:rsidRPr="00401691">
        <w:rPr>
          <w:rFonts w:asciiTheme="majorHAnsi" w:eastAsia="Times New Roman" w:hAnsiTheme="majorHAnsi" w:cstheme="majorHAnsi"/>
          <w:color w:val="000000"/>
          <w:sz w:val="24"/>
          <w:szCs w:val="24"/>
          <w:lang w:val="ro-MD"/>
        </w:rPr>
        <w:t xml:space="preserve"> achitarea greșită a unor plăți de către transportatorii auto</w:t>
      </w:r>
      <w:r w:rsidR="00513003">
        <w:rPr>
          <w:rFonts w:asciiTheme="majorHAnsi" w:eastAsia="Times New Roman" w:hAnsiTheme="majorHAnsi" w:cstheme="majorHAnsi"/>
          <w:color w:val="000000"/>
          <w:sz w:val="24"/>
          <w:szCs w:val="24"/>
          <w:lang w:val="ro-MD"/>
        </w:rPr>
        <w:t>.</w:t>
      </w:r>
      <w:r w:rsidRPr="00401691">
        <w:rPr>
          <w:rFonts w:asciiTheme="majorHAnsi" w:eastAsia="Times New Roman" w:hAnsiTheme="majorHAnsi" w:cstheme="majorHAnsi"/>
          <w:color w:val="000000"/>
          <w:sz w:val="24"/>
          <w:szCs w:val="24"/>
          <w:lang w:val="ro-MD"/>
        </w:rPr>
        <w:t xml:space="preserve"> Cele invocate denotă </w:t>
      </w:r>
      <w:r w:rsidR="00513003">
        <w:rPr>
          <w:rFonts w:asciiTheme="majorHAnsi" w:eastAsia="Times New Roman" w:hAnsiTheme="majorHAnsi" w:cstheme="majorHAnsi"/>
          <w:color w:val="000000"/>
          <w:sz w:val="24"/>
          <w:szCs w:val="24"/>
          <w:lang w:val="ro-MD"/>
        </w:rPr>
        <w:t>ne</w:t>
      </w:r>
      <w:r w:rsidRPr="00401691">
        <w:rPr>
          <w:rFonts w:asciiTheme="majorHAnsi" w:eastAsia="Times New Roman" w:hAnsiTheme="majorHAnsi" w:cstheme="majorHAnsi"/>
          <w:color w:val="000000"/>
          <w:sz w:val="24"/>
          <w:szCs w:val="24"/>
          <w:lang w:val="ro-MD"/>
        </w:rPr>
        <w:t>conlucrare</w:t>
      </w:r>
      <w:r w:rsidR="00513003">
        <w:rPr>
          <w:rFonts w:asciiTheme="majorHAnsi" w:eastAsia="Times New Roman" w:hAnsiTheme="majorHAnsi" w:cstheme="majorHAnsi"/>
          <w:color w:val="000000"/>
          <w:sz w:val="24"/>
          <w:szCs w:val="24"/>
          <w:lang w:val="ro-MD"/>
        </w:rPr>
        <w:t>a</w:t>
      </w:r>
      <w:r w:rsidRPr="00401691">
        <w:rPr>
          <w:rFonts w:asciiTheme="majorHAnsi" w:eastAsia="Times New Roman" w:hAnsiTheme="majorHAnsi" w:cstheme="majorHAnsi"/>
          <w:color w:val="000000"/>
          <w:sz w:val="24"/>
          <w:szCs w:val="24"/>
          <w:lang w:val="ro-MD"/>
        </w:rPr>
        <w:t xml:space="preserve"> dintre SFS </w:t>
      </w:r>
      <w:r w:rsidR="00513003">
        <w:rPr>
          <w:rFonts w:asciiTheme="majorHAnsi" w:eastAsia="Times New Roman" w:hAnsiTheme="majorHAnsi" w:cstheme="majorHAnsi"/>
          <w:color w:val="000000"/>
          <w:sz w:val="24"/>
          <w:szCs w:val="24"/>
          <w:lang w:val="ro-MD"/>
        </w:rPr>
        <w:t>și</w:t>
      </w:r>
      <w:r w:rsidRPr="00401691">
        <w:rPr>
          <w:rFonts w:asciiTheme="majorHAnsi" w:eastAsia="Times New Roman" w:hAnsiTheme="majorHAnsi" w:cstheme="majorHAnsi"/>
          <w:color w:val="000000"/>
          <w:sz w:val="24"/>
          <w:szCs w:val="24"/>
          <w:lang w:val="ro-MD"/>
        </w:rPr>
        <w:t xml:space="preserve"> ANTA, </w:t>
      </w:r>
      <w:r w:rsidR="005C338A" w:rsidRPr="00401691">
        <w:rPr>
          <w:rFonts w:asciiTheme="majorHAnsi" w:eastAsia="Times New Roman" w:hAnsiTheme="majorHAnsi" w:cstheme="majorHAnsi"/>
          <w:color w:val="000000"/>
          <w:sz w:val="24"/>
          <w:szCs w:val="24"/>
          <w:lang w:val="ro-MD"/>
        </w:rPr>
        <w:t>având</w:t>
      </w:r>
      <w:r w:rsidRPr="00401691">
        <w:rPr>
          <w:rFonts w:asciiTheme="majorHAnsi" w:eastAsia="Times New Roman" w:hAnsiTheme="majorHAnsi" w:cstheme="majorHAnsi"/>
          <w:color w:val="000000"/>
          <w:sz w:val="24"/>
          <w:szCs w:val="24"/>
          <w:lang w:val="ro-MD"/>
        </w:rPr>
        <w:t xml:space="preserve"> ca impact raportarea incorectă a datelor pe coduri</w:t>
      </w:r>
      <w:r w:rsidR="00513003">
        <w:rPr>
          <w:rFonts w:asciiTheme="majorHAnsi" w:eastAsia="Times New Roman" w:hAnsiTheme="majorHAnsi" w:cstheme="majorHAnsi"/>
          <w:color w:val="000000"/>
          <w:sz w:val="24"/>
          <w:szCs w:val="24"/>
          <w:lang w:val="ro-MD"/>
        </w:rPr>
        <w:t>le</w:t>
      </w:r>
      <w:r w:rsidRPr="00401691">
        <w:rPr>
          <w:rFonts w:asciiTheme="majorHAnsi" w:eastAsia="Times New Roman" w:hAnsiTheme="majorHAnsi" w:cstheme="majorHAnsi"/>
          <w:color w:val="000000"/>
          <w:sz w:val="24"/>
          <w:szCs w:val="24"/>
          <w:lang w:val="ro-MD"/>
        </w:rPr>
        <w:t xml:space="preserve"> economice. Astfel, în anul 2019, atât SFS</w:t>
      </w:r>
      <w:r w:rsidR="00513003">
        <w:rPr>
          <w:rFonts w:asciiTheme="majorHAnsi" w:eastAsia="Times New Roman" w:hAnsiTheme="majorHAnsi" w:cstheme="majorHAnsi"/>
          <w:color w:val="000000"/>
          <w:sz w:val="24"/>
          <w:szCs w:val="24"/>
          <w:lang w:val="ro-MD"/>
        </w:rPr>
        <w:t>,</w:t>
      </w:r>
      <w:r w:rsidRPr="00401691">
        <w:rPr>
          <w:rFonts w:asciiTheme="majorHAnsi" w:eastAsia="Times New Roman" w:hAnsiTheme="majorHAnsi" w:cstheme="majorHAnsi"/>
          <w:color w:val="000000"/>
          <w:sz w:val="24"/>
          <w:szCs w:val="24"/>
          <w:lang w:val="ro-MD"/>
        </w:rPr>
        <w:t xml:space="preserve"> cât și ANTA a</w:t>
      </w:r>
      <w:r w:rsidR="00513003">
        <w:rPr>
          <w:rFonts w:asciiTheme="majorHAnsi" w:eastAsia="Times New Roman" w:hAnsiTheme="majorHAnsi" w:cstheme="majorHAnsi"/>
          <w:color w:val="000000"/>
          <w:sz w:val="24"/>
          <w:szCs w:val="24"/>
          <w:lang w:val="ro-MD"/>
        </w:rPr>
        <w:t>u</w:t>
      </w:r>
      <w:r w:rsidRPr="00401691">
        <w:rPr>
          <w:rFonts w:asciiTheme="majorHAnsi" w:eastAsia="Times New Roman" w:hAnsiTheme="majorHAnsi" w:cstheme="majorHAnsi"/>
          <w:color w:val="000000"/>
          <w:sz w:val="24"/>
          <w:szCs w:val="24"/>
          <w:lang w:val="ro-MD"/>
        </w:rPr>
        <w:t xml:space="preserve"> creat opțiunea achitării plăților la buget prin intermediul serviciului guvernamen</w:t>
      </w:r>
      <w:r w:rsidR="007C5163" w:rsidRPr="00401691">
        <w:rPr>
          <w:rFonts w:asciiTheme="majorHAnsi" w:eastAsia="Times New Roman" w:hAnsiTheme="majorHAnsi" w:cstheme="majorHAnsi"/>
          <w:color w:val="000000"/>
          <w:sz w:val="24"/>
          <w:szCs w:val="24"/>
          <w:lang w:val="ro-MD"/>
        </w:rPr>
        <w:t>tal de pl</w:t>
      </w:r>
      <w:r w:rsidR="00513003">
        <w:rPr>
          <w:rFonts w:asciiTheme="majorHAnsi" w:eastAsia="Times New Roman" w:hAnsiTheme="majorHAnsi" w:cstheme="majorHAnsi"/>
          <w:color w:val="000000"/>
          <w:sz w:val="24"/>
          <w:szCs w:val="24"/>
          <w:lang w:val="ro-MD"/>
        </w:rPr>
        <w:t>ă</w:t>
      </w:r>
      <w:r w:rsidR="007C5163" w:rsidRPr="00401691">
        <w:rPr>
          <w:rFonts w:asciiTheme="majorHAnsi" w:eastAsia="Times New Roman" w:hAnsiTheme="majorHAnsi" w:cstheme="majorHAnsi"/>
          <w:color w:val="000000"/>
          <w:sz w:val="24"/>
          <w:szCs w:val="24"/>
          <w:lang w:val="ro-MD"/>
        </w:rPr>
        <w:t xml:space="preserve">ți electronice </w:t>
      </w:r>
      <w:proofErr w:type="spellStart"/>
      <w:r w:rsidR="007C5163" w:rsidRPr="00401691">
        <w:rPr>
          <w:rFonts w:asciiTheme="majorHAnsi" w:eastAsia="Times New Roman" w:hAnsiTheme="majorHAnsi" w:cstheme="majorHAnsi"/>
          <w:color w:val="000000"/>
          <w:sz w:val="24"/>
          <w:szCs w:val="24"/>
          <w:lang w:val="ro-MD"/>
        </w:rPr>
        <w:t>Mpay</w:t>
      </w:r>
      <w:proofErr w:type="spellEnd"/>
      <w:r w:rsidR="007C5163" w:rsidRPr="00401691">
        <w:rPr>
          <w:rFonts w:asciiTheme="majorHAnsi" w:eastAsia="Times New Roman" w:hAnsiTheme="majorHAnsi" w:cstheme="majorHAnsi"/>
          <w:color w:val="000000"/>
          <w:sz w:val="24"/>
          <w:szCs w:val="24"/>
          <w:lang w:val="ro-MD"/>
        </w:rPr>
        <w:t xml:space="preserve">. </w:t>
      </w:r>
      <w:r w:rsidRPr="00401691">
        <w:rPr>
          <w:rFonts w:asciiTheme="majorHAnsi" w:eastAsia="Times New Roman" w:hAnsiTheme="majorHAnsi" w:cstheme="majorHAnsi"/>
          <w:color w:val="000000"/>
          <w:sz w:val="24"/>
          <w:szCs w:val="24"/>
          <w:lang w:val="ro-MD"/>
        </w:rPr>
        <w:t xml:space="preserve">Unii agenți economici, în scopul achitării taxei pentru autorizațiile la autovehiculele înmatriculate în Republica Moldova, au utilizat soluția oferită de sistemul de plată </w:t>
      </w:r>
      <w:proofErr w:type="spellStart"/>
      <w:r w:rsidRPr="00401691">
        <w:rPr>
          <w:rFonts w:asciiTheme="majorHAnsi" w:eastAsia="Times New Roman" w:hAnsiTheme="majorHAnsi" w:cstheme="majorHAnsi"/>
          <w:color w:val="000000"/>
          <w:sz w:val="24"/>
          <w:szCs w:val="24"/>
          <w:lang w:val="ro-MD"/>
        </w:rPr>
        <w:t>Mpay</w:t>
      </w:r>
      <w:proofErr w:type="spellEnd"/>
      <w:r w:rsidRPr="00401691">
        <w:rPr>
          <w:rFonts w:asciiTheme="majorHAnsi" w:eastAsia="Times New Roman" w:hAnsiTheme="majorHAnsi" w:cstheme="majorHAnsi"/>
          <w:color w:val="000000"/>
          <w:sz w:val="24"/>
          <w:szCs w:val="24"/>
          <w:lang w:val="ro-MD"/>
        </w:rPr>
        <w:t xml:space="preserve">, astfel </w:t>
      </w:r>
      <w:r w:rsidR="007C5163" w:rsidRPr="00401691">
        <w:rPr>
          <w:rFonts w:asciiTheme="majorHAnsi" w:eastAsia="Times New Roman" w:hAnsiTheme="majorHAnsi" w:cstheme="majorHAnsi"/>
          <w:color w:val="000000"/>
          <w:sz w:val="24"/>
          <w:szCs w:val="24"/>
          <w:lang w:val="ro-MD"/>
        </w:rPr>
        <w:t>transferând</w:t>
      </w:r>
      <w:r w:rsidRPr="00401691">
        <w:rPr>
          <w:rFonts w:asciiTheme="majorHAnsi" w:eastAsia="Times New Roman" w:hAnsiTheme="majorHAnsi" w:cstheme="majorHAnsi"/>
          <w:color w:val="000000"/>
          <w:sz w:val="24"/>
          <w:szCs w:val="24"/>
          <w:lang w:val="ro-MD"/>
        </w:rPr>
        <w:t xml:space="preserve"> greșit su</w:t>
      </w:r>
      <w:r w:rsidR="003918CE">
        <w:rPr>
          <w:rFonts w:asciiTheme="majorHAnsi" w:eastAsia="Times New Roman" w:hAnsiTheme="majorHAnsi" w:cstheme="majorHAnsi"/>
          <w:color w:val="000000"/>
          <w:sz w:val="24"/>
          <w:szCs w:val="24"/>
          <w:lang w:val="ro-MD"/>
        </w:rPr>
        <w:t xml:space="preserve">ma de 270, 3 mii </w:t>
      </w:r>
      <w:r w:rsidRPr="00401691">
        <w:rPr>
          <w:rFonts w:asciiTheme="majorHAnsi" w:eastAsia="Times New Roman" w:hAnsiTheme="majorHAnsi" w:cstheme="majorHAnsi"/>
          <w:color w:val="000000"/>
          <w:sz w:val="24"/>
          <w:szCs w:val="24"/>
          <w:lang w:val="ro-MD"/>
        </w:rPr>
        <w:t>l</w:t>
      </w:r>
      <w:r w:rsidR="00513003">
        <w:rPr>
          <w:rFonts w:asciiTheme="majorHAnsi" w:eastAsia="Times New Roman" w:hAnsiTheme="majorHAnsi" w:cstheme="majorHAnsi"/>
          <w:color w:val="000000"/>
          <w:sz w:val="24"/>
          <w:szCs w:val="24"/>
          <w:lang w:val="ro-MD"/>
        </w:rPr>
        <w:t>ei</w:t>
      </w:r>
      <w:r w:rsidRPr="00401691">
        <w:rPr>
          <w:rFonts w:asciiTheme="majorHAnsi" w:eastAsia="Times New Roman" w:hAnsiTheme="majorHAnsi" w:cstheme="majorHAnsi"/>
          <w:color w:val="000000"/>
          <w:sz w:val="24"/>
          <w:szCs w:val="24"/>
          <w:lang w:val="ro-MD"/>
        </w:rPr>
        <w:t xml:space="preserve"> pentru autovehiculele neînmatriculate în țară, plăți care sunt administrate de MF. </w:t>
      </w:r>
    </w:p>
    <w:p w:rsidR="002F61F3" w:rsidRPr="00401691" w:rsidRDefault="008F545C" w:rsidP="00844145">
      <w:pPr>
        <w:pStyle w:val="ListParagraph"/>
        <w:numPr>
          <w:ilvl w:val="0"/>
          <w:numId w:val="31"/>
        </w:numPr>
        <w:tabs>
          <w:tab w:val="left" w:pos="270"/>
        </w:tabs>
        <w:spacing w:after="120" w:line="276" w:lineRule="auto"/>
        <w:ind w:left="0" w:firstLine="0"/>
        <w:jc w:val="both"/>
        <w:rPr>
          <w:rFonts w:asciiTheme="majorHAnsi" w:hAnsiTheme="majorHAnsi" w:cstheme="majorHAnsi"/>
          <w:i/>
          <w:sz w:val="24"/>
          <w:szCs w:val="24"/>
          <w:lang w:val="ro-MD"/>
        </w:rPr>
      </w:pPr>
      <w:r w:rsidRPr="00401691">
        <w:rPr>
          <w:rFonts w:asciiTheme="majorHAnsi" w:hAnsiTheme="majorHAnsi" w:cstheme="majorHAnsi"/>
          <w:i/>
          <w:sz w:val="24"/>
          <w:szCs w:val="24"/>
          <w:lang w:val="ro-MD"/>
        </w:rPr>
        <w:t xml:space="preserve">Deficiențe în </w:t>
      </w:r>
      <w:r w:rsidR="002F61F3" w:rsidRPr="00401691">
        <w:rPr>
          <w:rFonts w:asciiTheme="majorHAnsi" w:hAnsiTheme="majorHAnsi" w:cstheme="majorHAnsi"/>
          <w:i/>
          <w:sz w:val="24"/>
          <w:szCs w:val="24"/>
          <w:lang w:val="ro-MD"/>
        </w:rPr>
        <w:t>administrarea altor plăți</w:t>
      </w:r>
      <w:r w:rsidRPr="00401691">
        <w:rPr>
          <w:rFonts w:asciiTheme="majorHAnsi" w:hAnsiTheme="majorHAnsi" w:cstheme="majorHAnsi"/>
          <w:i/>
          <w:sz w:val="24"/>
          <w:szCs w:val="24"/>
          <w:lang w:val="ro-MD"/>
        </w:rPr>
        <w:t xml:space="preserve"> la </w:t>
      </w:r>
      <w:r w:rsidR="002F61F3" w:rsidRPr="00401691">
        <w:rPr>
          <w:rFonts w:asciiTheme="majorHAnsi" w:hAnsiTheme="majorHAnsi" w:cstheme="majorHAnsi"/>
          <w:i/>
          <w:sz w:val="24"/>
          <w:szCs w:val="24"/>
          <w:lang w:val="ro-MD"/>
        </w:rPr>
        <w:t xml:space="preserve">buget </w:t>
      </w:r>
    </w:p>
    <w:p w:rsidR="002F61F3" w:rsidRDefault="002F61F3" w:rsidP="00844145">
      <w:pPr>
        <w:spacing w:line="276" w:lineRule="auto"/>
        <w:jc w:val="both"/>
        <w:rPr>
          <w:rFonts w:asciiTheme="majorHAnsi" w:eastAsia="Times New Roman" w:hAnsiTheme="majorHAnsi" w:cstheme="majorHAnsi"/>
          <w:color w:val="000000"/>
          <w:sz w:val="24"/>
          <w:szCs w:val="24"/>
          <w:lang w:val="ro-MD"/>
        </w:rPr>
      </w:pPr>
      <w:r w:rsidRPr="00401691">
        <w:rPr>
          <w:rFonts w:asciiTheme="majorHAnsi" w:hAnsiTheme="majorHAnsi" w:cstheme="majorHAnsi"/>
          <w:sz w:val="24"/>
          <w:szCs w:val="24"/>
          <w:lang w:val="ro-MD"/>
        </w:rPr>
        <w:t>În cadrul auditului au fost solicitate informații de la alte instituții care aplică amenzi administrate de SFS la codurile economice:</w:t>
      </w:r>
      <w:r w:rsidRPr="00401691">
        <w:rPr>
          <w:rFonts w:asciiTheme="majorHAnsi" w:eastAsia="Times New Roman" w:hAnsiTheme="majorHAnsi" w:cstheme="majorHAnsi"/>
          <w:color w:val="000000"/>
          <w:lang w:val="ro-MD"/>
        </w:rPr>
        <w:t xml:space="preserve"> </w:t>
      </w:r>
      <w:r w:rsidRPr="00401691">
        <w:rPr>
          <w:rFonts w:asciiTheme="majorHAnsi" w:eastAsia="Times New Roman" w:hAnsiTheme="majorHAnsi" w:cstheme="majorHAnsi"/>
          <w:color w:val="000000"/>
          <w:sz w:val="24"/>
          <w:szCs w:val="24"/>
          <w:lang w:val="ro-MD"/>
        </w:rPr>
        <w:t>143311</w:t>
      </w:r>
      <w:r w:rsidRPr="00401691">
        <w:rPr>
          <w:rFonts w:asciiTheme="majorHAnsi" w:hAnsiTheme="majorHAnsi" w:cstheme="majorHAnsi"/>
          <w:sz w:val="24"/>
          <w:szCs w:val="24"/>
          <w:lang w:val="ro-MD"/>
        </w:rPr>
        <w:t xml:space="preserve"> „</w:t>
      </w:r>
      <w:r w:rsidRPr="00401691">
        <w:rPr>
          <w:rFonts w:asciiTheme="majorHAnsi" w:eastAsia="Times New Roman" w:hAnsiTheme="majorHAnsi" w:cstheme="majorHAnsi"/>
          <w:color w:val="000000"/>
          <w:sz w:val="24"/>
          <w:szCs w:val="24"/>
          <w:lang w:val="ro-MD"/>
        </w:rPr>
        <w:t xml:space="preserve">Amenzi aplicate de Inspecția Financiara încasate </w:t>
      </w:r>
      <w:r w:rsidR="00A0307C">
        <w:rPr>
          <w:rFonts w:asciiTheme="majorHAnsi" w:eastAsia="Times New Roman" w:hAnsiTheme="majorHAnsi" w:cstheme="majorHAnsi"/>
          <w:color w:val="000000"/>
          <w:sz w:val="24"/>
          <w:szCs w:val="24"/>
          <w:lang w:val="ro-MD"/>
        </w:rPr>
        <w:t>î</w:t>
      </w:r>
      <w:r w:rsidRPr="00401691">
        <w:rPr>
          <w:rFonts w:asciiTheme="majorHAnsi" w:eastAsia="Times New Roman" w:hAnsiTheme="majorHAnsi" w:cstheme="majorHAnsi"/>
          <w:color w:val="000000"/>
          <w:sz w:val="24"/>
          <w:szCs w:val="24"/>
          <w:lang w:val="ro-MD"/>
        </w:rPr>
        <w:t>n bugetul de stat;</w:t>
      </w:r>
      <w:r w:rsidRPr="00401691">
        <w:rPr>
          <w:rFonts w:asciiTheme="majorHAnsi" w:hAnsiTheme="majorHAnsi" w:cstheme="majorHAnsi"/>
          <w:lang w:val="ro-MD"/>
        </w:rPr>
        <w:t xml:space="preserve"> </w:t>
      </w:r>
      <w:r w:rsidRPr="00401691">
        <w:rPr>
          <w:rFonts w:asciiTheme="majorHAnsi" w:eastAsia="Times New Roman" w:hAnsiTheme="majorHAnsi" w:cstheme="majorHAnsi"/>
          <w:color w:val="000000"/>
          <w:sz w:val="24"/>
          <w:szCs w:val="24"/>
          <w:lang w:val="ro-MD"/>
        </w:rPr>
        <w:t xml:space="preserve">143116 „Amenzi aplicate de Inspectoratul pentru Protecția Mediului”. Similar cazurilor constatate la ANTA, </w:t>
      </w:r>
      <w:r w:rsidRPr="00A94E2C">
        <w:rPr>
          <w:rFonts w:asciiTheme="majorHAnsi" w:eastAsia="Times New Roman" w:hAnsiTheme="majorHAnsi" w:cstheme="majorHAnsi"/>
          <w:color w:val="000000"/>
          <w:sz w:val="24"/>
          <w:szCs w:val="24"/>
          <w:lang w:val="ro-MD"/>
        </w:rPr>
        <w:t xml:space="preserve">auditul </w:t>
      </w:r>
      <w:r w:rsidR="00A0307C">
        <w:rPr>
          <w:rFonts w:asciiTheme="majorHAnsi" w:eastAsia="Times New Roman" w:hAnsiTheme="majorHAnsi" w:cstheme="majorHAnsi"/>
          <w:color w:val="000000"/>
          <w:sz w:val="24"/>
          <w:szCs w:val="24"/>
          <w:lang w:val="ro-MD"/>
        </w:rPr>
        <w:t>relevă</w:t>
      </w:r>
      <w:r w:rsidRPr="00401691">
        <w:rPr>
          <w:rFonts w:asciiTheme="majorHAnsi" w:eastAsia="Times New Roman" w:hAnsiTheme="majorHAnsi" w:cstheme="majorHAnsi"/>
          <w:color w:val="000000"/>
          <w:sz w:val="24"/>
          <w:szCs w:val="24"/>
          <w:lang w:val="ro-MD"/>
        </w:rPr>
        <w:t xml:space="preserve"> că executarea rolului de administrator de venituri de către SFS se focusează doar pe procesul de încasare și raportare a veniturilor la </w:t>
      </w:r>
      <w:r w:rsidRPr="00401691">
        <w:rPr>
          <w:rFonts w:asciiTheme="majorHAnsi" w:eastAsia="Times New Roman" w:hAnsiTheme="majorHAnsi" w:cstheme="majorHAnsi"/>
          <w:color w:val="000000"/>
          <w:sz w:val="24"/>
          <w:szCs w:val="24"/>
          <w:lang w:val="ro-MD"/>
        </w:rPr>
        <w:lastRenderedPageBreak/>
        <w:t>bugetul de stat. În urma aplicării procedurilor analitice</w:t>
      </w:r>
      <w:r w:rsidR="00A0307C">
        <w:rPr>
          <w:rFonts w:asciiTheme="majorHAnsi" w:eastAsia="Times New Roman" w:hAnsiTheme="majorHAnsi" w:cstheme="majorHAnsi"/>
          <w:color w:val="000000"/>
          <w:sz w:val="24"/>
          <w:szCs w:val="24"/>
          <w:lang w:val="ro-MD"/>
        </w:rPr>
        <w:t>,</w:t>
      </w:r>
      <w:r w:rsidRPr="00401691">
        <w:rPr>
          <w:rFonts w:asciiTheme="majorHAnsi" w:eastAsia="Times New Roman" w:hAnsiTheme="majorHAnsi" w:cstheme="majorHAnsi"/>
          <w:color w:val="000000"/>
          <w:sz w:val="24"/>
          <w:szCs w:val="24"/>
          <w:lang w:val="ro-MD"/>
        </w:rPr>
        <w:t xml:space="preserve"> se constată divergențe în sumă de 17017,5 mii lei între datele raportate de SFS privind încasarea amenzilor și datele </w:t>
      </w:r>
      <w:r w:rsidR="00A0307C">
        <w:rPr>
          <w:rFonts w:asciiTheme="majorHAnsi" w:eastAsia="Times New Roman" w:hAnsiTheme="majorHAnsi" w:cstheme="majorHAnsi"/>
          <w:color w:val="000000"/>
          <w:sz w:val="24"/>
          <w:szCs w:val="24"/>
          <w:lang w:val="ro-MD"/>
        </w:rPr>
        <w:t xml:space="preserve">pe </w:t>
      </w:r>
      <w:r w:rsidRPr="00401691">
        <w:rPr>
          <w:rFonts w:asciiTheme="majorHAnsi" w:eastAsia="Times New Roman" w:hAnsiTheme="majorHAnsi" w:cstheme="majorHAnsi"/>
          <w:color w:val="000000"/>
          <w:sz w:val="24"/>
          <w:szCs w:val="24"/>
          <w:lang w:val="ro-MD"/>
        </w:rPr>
        <w:t>care le dețin instituțiile constatatoare, admise ca rezultat al neefectuării verificărilor reciproce, după cum urmează în Tabelul nr.2</w:t>
      </w:r>
    </w:p>
    <w:p w:rsidR="00800D05" w:rsidRPr="00800D05" w:rsidRDefault="00800D05" w:rsidP="00800D05">
      <w:pPr>
        <w:spacing w:after="0" w:line="276" w:lineRule="auto"/>
        <w:jc w:val="right"/>
        <w:rPr>
          <w:rFonts w:asciiTheme="majorHAnsi" w:eastAsia="Times New Roman" w:hAnsiTheme="majorHAnsi" w:cstheme="majorHAnsi"/>
          <w:i/>
          <w:color w:val="000000"/>
          <w:sz w:val="24"/>
          <w:szCs w:val="24"/>
          <w:lang w:val="ro-MD"/>
        </w:rPr>
      </w:pPr>
      <w:r w:rsidRPr="00800D05">
        <w:rPr>
          <w:rFonts w:asciiTheme="majorHAnsi" w:eastAsia="Times New Roman" w:hAnsiTheme="majorHAnsi" w:cstheme="majorHAnsi"/>
          <w:i/>
          <w:color w:val="000000"/>
          <w:sz w:val="24"/>
          <w:szCs w:val="24"/>
          <w:lang w:val="ro-MD"/>
        </w:rPr>
        <w:t>Tabelul nr.2</w:t>
      </w:r>
    </w:p>
    <w:p w:rsidR="002F61F3" w:rsidRPr="0085189D" w:rsidRDefault="002F61F3" w:rsidP="0085189D">
      <w:pPr>
        <w:spacing w:after="0" w:line="276" w:lineRule="auto"/>
        <w:ind w:firstLine="187"/>
        <w:jc w:val="center"/>
        <w:rPr>
          <w:rFonts w:asciiTheme="majorHAnsi" w:eastAsia="Times New Roman" w:hAnsiTheme="majorHAnsi" w:cstheme="majorHAnsi"/>
          <w:b/>
          <w:color w:val="000000"/>
          <w:sz w:val="24"/>
          <w:szCs w:val="24"/>
          <w:lang w:val="ro-MD"/>
        </w:rPr>
      </w:pPr>
      <w:r w:rsidRPr="0085189D">
        <w:rPr>
          <w:rFonts w:asciiTheme="majorHAnsi" w:eastAsia="Times New Roman" w:hAnsiTheme="majorHAnsi" w:cstheme="majorHAnsi"/>
          <w:b/>
          <w:color w:val="000000"/>
          <w:sz w:val="24"/>
          <w:szCs w:val="24"/>
          <w:lang w:val="ro-MD"/>
        </w:rPr>
        <w:t>Analiza auditului privind determinarea divergenț</w:t>
      </w:r>
      <w:r w:rsidR="00A0307C">
        <w:rPr>
          <w:rFonts w:asciiTheme="majorHAnsi" w:eastAsia="Times New Roman" w:hAnsiTheme="majorHAnsi" w:cstheme="majorHAnsi"/>
          <w:b/>
          <w:color w:val="000000"/>
          <w:sz w:val="24"/>
          <w:szCs w:val="24"/>
          <w:lang w:val="ro-MD"/>
        </w:rPr>
        <w:t>e</w:t>
      </w:r>
      <w:r w:rsidRPr="0085189D">
        <w:rPr>
          <w:rFonts w:asciiTheme="majorHAnsi" w:eastAsia="Times New Roman" w:hAnsiTheme="majorHAnsi" w:cstheme="majorHAnsi"/>
          <w:b/>
          <w:color w:val="000000"/>
          <w:sz w:val="24"/>
          <w:szCs w:val="24"/>
          <w:lang w:val="ro-MD"/>
        </w:rPr>
        <w:t xml:space="preserve">lor </w:t>
      </w:r>
      <w:r w:rsidR="00A0307C">
        <w:rPr>
          <w:rFonts w:asciiTheme="majorHAnsi" w:eastAsia="Times New Roman" w:hAnsiTheme="majorHAnsi" w:cstheme="majorHAnsi"/>
          <w:b/>
          <w:color w:val="000000"/>
          <w:sz w:val="24"/>
          <w:szCs w:val="24"/>
          <w:lang w:val="ro-MD"/>
        </w:rPr>
        <w:t xml:space="preserve">între </w:t>
      </w:r>
      <w:r w:rsidRPr="0085189D">
        <w:rPr>
          <w:rFonts w:asciiTheme="majorHAnsi" w:eastAsia="Times New Roman" w:hAnsiTheme="majorHAnsi" w:cstheme="majorHAnsi"/>
          <w:b/>
          <w:color w:val="000000"/>
          <w:sz w:val="24"/>
          <w:szCs w:val="24"/>
          <w:lang w:val="ro-MD"/>
        </w:rPr>
        <w:t>sumel</w:t>
      </w:r>
      <w:r w:rsidR="00A0307C">
        <w:rPr>
          <w:rFonts w:asciiTheme="majorHAnsi" w:eastAsia="Times New Roman" w:hAnsiTheme="majorHAnsi" w:cstheme="majorHAnsi"/>
          <w:b/>
          <w:color w:val="000000"/>
          <w:sz w:val="24"/>
          <w:szCs w:val="24"/>
          <w:lang w:val="ro-MD"/>
        </w:rPr>
        <w:t>e</w:t>
      </w:r>
      <w:r w:rsidRPr="0085189D">
        <w:rPr>
          <w:rFonts w:asciiTheme="majorHAnsi" w:eastAsia="Times New Roman" w:hAnsiTheme="majorHAnsi" w:cstheme="majorHAnsi"/>
          <w:b/>
          <w:color w:val="000000"/>
          <w:sz w:val="24"/>
          <w:szCs w:val="24"/>
          <w:lang w:val="ro-MD"/>
        </w:rPr>
        <w:t xml:space="preserve"> amenzilor încasate de SFS </w:t>
      </w:r>
      <w:r w:rsidR="00A0307C">
        <w:rPr>
          <w:rFonts w:asciiTheme="majorHAnsi" w:eastAsia="Times New Roman" w:hAnsiTheme="majorHAnsi" w:cstheme="majorHAnsi"/>
          <w:b/>
          <w:color w:val="000000"/>
          <w:sz w:val="24"/>
          <w:szCs w:val="24"/>
          <w:lang w:val="ro-MD"/>
        </w:rPr>
        <w:t>și</w:t>
      </w:r>
      <w:r w:rsidRPr="0085189D">
        <w:rPr>
          <w:rFonts w:asciiTheme="majorHAnsi" w:eastAsia="Times New Roman" w:hAnsiTheme="majorHAnsi" w:cstheme="majorHAnsi"/>
          <w:b/>
          <w:color w:val="000000"/>
          <w:sz w:val="24"/>
          <w:szCs w:val="24"/>
          <w:lang w:val="ro-MD"/>
        </w:rPr>
        <w:t xml:space="preserve"> datele instituțiilor constatatoare</w:t>
      </w:r>
    </w:p>
    <w:p w:rsidR="002F61F3" w:rsidRPr="005E0F2C" w:rsidRDefault="00C84D3A" w:rsidP="00844145">
      <w:pPr>
        <w:spacing w:after="0" w:line="276" w:lineRule="auto"/>
        <w:ind w:firstLine="180"/>
        <w:jc w:val="right"/>
        <w:rPr>
          <w:rFonts w:asciiTheme="majorHAnsi" w:eastAsia="Times New Roman" w:hAnsiTheme="majorHAnsi" w:cstheme="majorHAnsi"/>
          <w:b/>
          <w:color w:val="000000"/>
          <w:sz w:val="24"/>
          <w:szCs w:val="24"/>
          <w:lang w:val="ro-MD"/>
        </w:rPr>
      </w:pPr>
      <w:r w:rsidRPr="005E0F2C">
        <w:rPr>
          <w:rFonts w:asciiTheme="majorHAnsi" w:eastAsia="Times New Roman" w:hAnsiTheme="majorHAnsi" w:cstheme="majorHAnsi"/>
          <w:b/>
          <w:color w:val="000000"/>
          <w:sz w:val="24"/>
          <w:szCs w:val="24"/>
          <w:lang w:val="ro-MD"/>
        </w:rPr>
        <w:t xml:space="preserve">    </w:t>
      </w:r>
      <w:r w:rsidR="00CF6CD6" w:rsidRPr="005E0F2C">
        <w:rPr>
          <w:rFonts w:asciiTheme="majorHAnsi" w:eastAsia="Times New Roman" w:hAnsiTheme="majorHAnsi" w:cstheme="majorHAnsi"/>
          <w:b/>
          <w:color w:val="000000"/>
          <w:sz w:val="24"/>
          <w:szCs w:val="24"/>
          <w:lang w:val="ro-MD"/>
        </w:rPr>
        <w:t>(</w:t>
      </w:r>
      <w:r w:rsidR="002F61F3" w:rsidRPr="005E0F2C">
        <w:rPr>
          <w:rFonts w:asciiTheme="majorHAnsi" w:eastAsia="Times New Roman" w:hAnsiTheme="majorHAnsi" w:cstheme="majorHAnsi"/>
          <w:b/>
          <w:color w:val="000000"/>
          <w:sz w:val="24"/>
          <w:szCs w:val="24"/>
          <w:lang w:val="ro-MD"/>
        </w:rPr>
        <w:t>mii lei</w:t>
      </w:r>
      <w:r w:rsidR="00CF6CD6" w:rsidRPr="005E0F2C">
        <w:rPr>
          <w:rFonts w:asciiTheme="majorHAnsi" w:eastAsia="Times New Roman" w:hAnsiTheme="majorHAnsi" w:cstheme="majorHAnsi"/>
          <w:b/>
          <w:color w:val="000000"/>
          <w:sz w:val="24"/>
          <w:szCs w:val="24"/>
          <w:lang w:val="ro-MD"/>
        </w:rPr>
        <w:t>)</w:t>
      </w:r>
    </w:p>
    <w:tbl>
      <w:tblPr>
        <w:tblStyle w:val="PlainTable5"/>
        <w:tblW w:w="10170" w:type="dxa"/>
        <w:tblLayout w:type="fixed"/>
        <w:tblLook w:val="04A0" w:firstRow="1" w:lastRow="0" w:firstColumn="1" w:lastColumn="0" w:noHBand="0" w:noVBand="1"/>
      </w:tblPr>
      <w:tblGrid>
        <w:gridCol w:w="669"/>
        <w:gridCol w:w="951"/>
        <w:gridCol w:w="4590"/>
        <w:gridCol w:w="1530"/>
        <w:gridCol w:w="1440"/>
        <w:gridCol w:w="990"/>
      </w:tblGrid>
      <w:tr w:rsidR="002F61F3" w:rsidRPr="00401691" w:rsidTr="00800D05">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669" w:type="dxa"/>
            <w:tcBorders>
              <w:top w:val="single" w:sz="4" w:space="0" w:color="auto"/>
              <w:left w:val="single" w:sz="4" w:space="0" w:color="auto"/>
            </w:tcBorders>
          </w:tcPr>
          <w:p w:rsidR="002F61F3" w:rsidRPr="00764721" w:rsidRDefault="002F61F3" w:rsidP="00764721">
            <w:pPr>
              <w:spacing w:line="276" w:lineRule="auto"/>
              <w:jc w:val="center"/>
              <w:rPr>
                <w:rFonts w:eastAsia="Times New Roman" w:cstheme="majorHAnsi"/>
                <w:i w:val="0"/>
                <w:color w:val="000000"/>
                <w:sz w:val="20"/>
                <w:szCs w:val="20"/>
                <w:lang w:val="ro-MD"/>
              </w:rPr>
            </w:pPr>
            <w:r w:rsidRPr="00764721">
              <w:rPr>
                <w:rFonts w:eastAsia="Times New Roman" w:cstheme="majorHAnsi"/>
                <w:i w:val="0"/>
                <w:color w:val="000000"/>
                <w:sz w:val="20"/>
                <w:szCs w:val="20"/>
                <w:lang w:val="ro-MD"/>
              </w:rPr>
              <w:t>N</w:t>
            </w:r>
            <w:r w:rsidR="00A0307C">
              <w:rPr>
                <w:rFonts w:eastAsia="Times New Roman" w:cstheme="majorHAnsi"/>
                <w:i w:val="0"/>
                <w:color w:val="000000"/>
                <w:sz w:val="20"/>
                <w:szCs w:val="20"/>
                <w:lang w:val="ro-MD"/>
              </w:rPr>
              <w:t>r. d</w:t>
            </w:r>
            <w:r w:rsidRPr="00764721">
              <w:rPr>
                <w:rFonts w:eastAsia="Times New Roman" w:cstheme="majorHAnsi"/>
                <w:i w:val="0"/>
                <w:color w:val="000000"/>
                <w:sz w:val="20"/>
                <w:szCs w:val="20"/>
                <w:lang w:val="ro-MD"/>
              </w:rPr>
              <w:t>/o</w:t>
            </w:r>
          </w:p>
        </w:tc>
        <w:tc>
          <w:tcPr>
            <w:tcW w:w="951" w:type="dxa"/>
            <w:tcBorders>
              <w:top w:val="single" w:sz="4" w:space="0" w:color="auto"/>
            </w:tcBorders>
          </w:tcPr>
          <w:p w:rsidR="002F61F3" w:rsidRPr="00764721" w:rsidRDefault="00764721" w:rsidP="00764721">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ajorHAnsi"/>
                <w:i w:val="0"/>
                <w:color w:val="000000"/>
                <w:sz w:val="20"/>
                <w:szCs w:val="20"/>
                <w:lang w:val="ro-MD"/>
              </w:rPr>
            </w:pPr>
            <w:r w:rsidRPr="00764721">
              <w:rPr>
                <w:rFonts w:eastAsia="Times New Roman" w:cstheme="majorHAnsi"/>
                <w:i w:val="0"/>
                <w:color w:val="000000"/>
                <w:sz w:val="20"/>
                <w:szCs w:val="20"/>
                <w:lang w:val="ro-MD"/>
              </w:rPr>
              <w:t>Cod ECO</w:t>
            </w:r>
          </w:p>
        </w:tc>
        <w:tc>
          <w:tcPr>
            <w:tcW w:w="4590" w:type="dxa"/>
            <w:tcBorders>
              <w:top w:val="single" w:sz="4" w:space="0" w:color="auto"/>
            </w:tcBorders>
          </w:tcPr>
          <w:p w:rsidR="002F61F3" w:rsidRPr="00764721" w:rsidRDefault="002F61F3" w:rsidP="00764721">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ajorHAnsi"/>
                <w:i w:val="0"/>
                <w:color w:val="000000"/>
                <w:sz w:val="20"/>
                <w:szCs w:val="20"/>
                <w:lang w:val="ro-MD"/>
              </w:rPr>
            </w:pPr>
            <w:r w:rsidRPr="00764721">
              <w:rPr>
                <w:rFonts w:eastAsia="Times New Roman" w:cstheme="majorHAnsi"/>
                <w:i w:val="0"/>
                <w:color w:val="000000"/>
                <w:sz w:val="20"/>
                <w:szCs w:val="20"/>
                <w:lang w:val="ro-MD"/>
              </w:rPr>
              <w:t>Denumirea plății</w:t>
            </w:r>
          </w:p>
        </w:tc>
        <w:tc>
          <w:tcPr>
            <w:tcW w:w="1530" w:type="dxa"/>
            <w:tcBorders>
              <w:top w:val="single" w:sz="4" w:space="0" w:color="auto"/>
            </w:tcBorders>
          </w:tcPr>
          <w:p w:rsidR="002F61F3" w:rsidRPr="00764721" w:rsidRDefault="002F61F3" w:rsidP="00764721">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ajorHAnsi"/>
                <w:i w:val="0"/>
                <w:color w:val="000000"/>
                <w:sz w:val="20"/>
                <w:szCs w:val="20"/>
                <w:lang w:val="ro-MD"/>
              </w:rPr>
            </w:pPr>
            <w:r w:rsidRPr="00764721">
              <w:rPr>
                <w:rFonts w:eastAsia="Times New Roman" w:cstheme="majorHAnsi"/>
                <w:i w:val="0"/>
                <w:color w:val="000000"/>
                <w:sz w:val="20"/>
                <w:szCs w:val="20"/>
                <w:lang w:val="ro-MD"/>
              </w:rPr>
              <w:t>Încasat potrivit datelor SFS</w:t>
            </w:r>
          </w:p>
        </w:tc>
        <w:tc>
          <w:tcPr>
            <w:tcW w:w="1440" w:type="dxa"/>
            <w:tcBorders>
              <w:top w:val="single" w:sz="4" w:space="0" w:color="auto"/>
            </w:tcBorders>
          </w:tcPr>
          <w:p w:rsidR="002F61F3" w:rsidRPr="00764721" w:rsidRDefault="002F61F3" w:rsidP="00764721">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ajorHAnsi"/>
                <w:i w:val="0"/>
                <w:color w:val="000000"/>
                <w:sz w:val="20"/>
                <w:szCs w:val="20"/>
                <w:lang w:val="ro-MD"/>
              </w:rPr>
            </w:pPr>
            <w:r w:rsidRPr="00764721">
              <w:rPr>
                <w:rFonts w:eastAsia="Times New Roman" w:cstheme="majorHAnsi"/>
                <w:i w:val="0"/>
                <w:color w:val="000000"/>
                <w:sz w:val="20"/>
                <w:szCs w:val="20"/>
                <w:lang w:val="ro-MD"/>
              </w:rPr>
              <w:t>Încasat potrivit datelor instituțiilor</w:t>
            </w:r>
          </w:p>
        </w:tc>
        <w:tc>
          <w:tcPr>
            <w:tcW w:w="990" w:type="dxa"/>
            <w:tcBorders>
              <w:top w:val="single" w:sz="4" w:space="0" w:color="auto"/>
              <w:right w:val="single" w:sz="4" w:space="0" w:color="auto"/>
            </w:tcBorders>
          </w:tcPr>
          <w:p w:rsidR="002F61F3" w:rsidRPr="00764721" w:rsidRDefault="002F61F3" w:rsidP="00764721">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ajorHAnsi"/>
                <w:i w:val="0"/>
                <w:color w:val="000000"/>
                <w:sz w:val="20"/>
                <w:szCs w:val="20"/>
                <w:lang w:val="ro-MD"/>
              </w:rPr>
            </w:pPr>
            <w:r w:rsidRPr="00764721">
              <w:rPr>
                <w:rFonts w:eastAsia="Times New Roman" w:cstheme="majorHAnsi"/>
                <w:i w:val="0"/>
                <w:color w:val="000000"/>
                <w:sz w:val="20"/>
                <w:szCs w:val="20"/>
                <w:lang w:val="ro-MD"/>
              </w:rPr>
              <w:t>Diferențe</w:t>
            </w:r>
          </w:p>
        </w:tc>
      </w:tr>
      <w:tr w:rsidR="002F61F3" w:rsidRPr="00401691" w:rsidTr="00800D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69" w:type="dxa"/>
            <w:tcBorders>
              <w:left w:val="single" w:sz="4" w:space="0" w:color="auto"/>
            </w:tcBorders>
          </w:tcPr>
          <w:p w:rsidR="002F61F3" w:rsidRPr="00401691" w:rsidRDefault="002F61F3" w:rsidP="00844145">
            <w:pPr>
              <w:spacing w:line="276" w:lineRule="auto"/>
              <w:rPr>
                <w:rFonts w:eastAsia="Times New Roman" w:cstheme="majorHAnsi"/>
                <w:color w:val="000000"/>
                <w:lang w:val="ro-MD"/>
              </w:rPr>
            </w:pPr>
            <w:r w:rsidRPr="00401691">
              <w:rPr>
                <w:rFonts w:eastAsia="Times New Roman" w:cstheme="majorHAnsi"/>
                <w:color w:val="000000"/>
                <w:lang w:val="ro-MD"/>
              </w:rPr>
              <w:t>1.</w:t>
            </w:r>
          </w:p>
        </w:tc>
        <w:tc>
          <w:tcPr>
            <w:tcW w:w="951" w:type="dxa"/>
            <w:hideMark/>
          </w:tcPr>
          <w:p w:rsidR="002F61F3" w:rsidRPr="00401691" w:rsidRDefault="002F61F3" w:rsidP="00844145">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143116</w:t>
            </w:r>
          </w:p>
        </w:tc>
        <w:tc>
          <w:tcPr>
            <w:tcW w:w="4590" w:type="dxa"/>
            <w:hideMark/>
          </w:tcPr>
          <w:p w:rsidR="002F61F3" w:rsidRPr="00401691" w:rsidRDefault="003918CE" w:rsidP="00844145">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ro-MD"/>
              </w:rPr>
            </w:pPr>
            <w:r>
              <w:rPr>
                <w:rFonts w:asciiTheme="majorHAnsi" w:eastAsia="Times New Roman" w:hAnsiTheme="majorHAnsi" w:cstheme="majorHAnsi"/>
                <w:color w:val="000000"/>
                <w:lang w:val="ro-MD"/>
              </w:rPr>
              <w:t xml:space="preserve">Amenzi aplicate de </w:t>
            </w:r>
            <w:r w:rsidR="002F61F3" w:rsidRPr="00401691">
              <w:rPr>
                <w:rFonts w:asciiTheme="majorHAnsi" w:eastAsia="Times New Roman" w:hAnsiTheme="majorHAnsi" w:cstheme="majorHAnsi"/>
                <w:color w:val="000000"/>
                <w:lang w:val="ro-MD"/>
              </w:rPr>
              <w:t>Inspectoratul pentru Protecția Mediului</w:t>
            </w:r>
          </w:p>
        </w:tc>
        <w:tc>
          <w:tcPr>
            <w:tcW w:w="1530" w:type="dxa"/>
            <w:hideMark/>
          </w:tcPr>
          <w:p w:rsidR="002F61F3" w:rsidRPr="00401691" w:rsidRDefault="002F61F3" w:rsidP="00844145">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4785.7</w:t>
            </w:r>
          </w:p>
        </w:tc>
        <w:tc>
          <w:tcPr>
            <w:tcW w:w="1440" w:type="dxa"/>
            <w:hideMark/>
          </w:tcPr>
          <w:p w:rsidR="002F61F3" w:rsidRPr="00401691" w:rsidRDefault="002F61F3" w:rsidP="00844145">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3185,6</w:t>
            </w:r>
          </w:p>
        </w:tc>
        <w:tc>
          <w:tcPr>
            <w:tcW w:w="990" w:type="dxa"/>
            <w:tcBorders>
              <w:right w:val="single" w:sz="4" w:space="0" w:color="auto"/>
            </w:tcBorders>
            <w:hideMark/>
          </w:tcPr>
          <w:p w:rsidR="002F61F3" w:rsidRPr="00401691" w:rsidRDefault="002F61F3" w:rsidP="00844145">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1600,1</w:t>
            </w:r>
          </w:p>
        </w:tc>
      </w:tr>
      <w:tr w:rsidR="002F61F3" w:rsidRPr="00401691" w:rsidTr="00800D05">
        <w:trPr>
          <w:trHeight w:val="288"/>
        </w:trPr>
        <w:tc>
          <w:tcPr>
            <w:cnfStyle w:val="001000000000" w:firstRow="0" w:lastRow="0" w:firstColumn="1" w:lastColumn="0" w:oddVBand="0" w:evenVBand="0" w:oddHBand="0" w:evenHBand="0" w:firstRowFirstColumn="0" w:firstRowLastColumn="0" w:lastRowFirstColumn="0" w:lastRowLastColumn="0"/>
            <w:tcW w:w="669" w:type="dxa"/>
            <w:tcBorders>
              <w:left w:val="single" w:sz="4" w:space="0" w:color="auto"/>
            </w:tcBorders>
          </w:tcPr>
          <w:p w:rsidR="002F61F3" w:rsidRPr="00401691" w:rsidRDefault="002F61F3" w:rsidP="00844145">
            <w:pPr>
              <w:spacing w:line="276" w:lineRule="auto"/>
              <w:rPr>
                <w:rFonts w:eastAsia="Times New Roman" w:cstheme="majorHAnsi"/>
                <w:color w:val="000000"/>
                <w:lang w:val="ro-MD"/>
              </w:rPr>
            </w:pPr>
            <w:r w:rsidRPr="00401691">
              <w:rPr>
                <w:rFonts w:eastAsia="Times New Roman" w:cstheme="majorHAnsi"/>
                <w:color w:val="000000"/>
                <w:lang w:val="ro-MD"/>
              </w:rPr>
              <w:t>2.</w:t>
            </w:r>
          </w:p>
        </w:tc>
        <w:tc>
          <w:tcPr>
            <w:tcW w:w="951" w:type="dxa"/>
          </w:tcPr>
          <w:p w:rsidR="002F61F3" w:rsidRPr="00401691" w:rsidRDefault="002F61F3" w:rsidP="00844145">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143311</w:t>
            </w:r>
          </w:p>
        </w:tc>
        <w:tc>
          <w:tcPr>
            <w:tcW w:w="4590" w:type="dxa"/>
          </w:tcPr>
          <w:p w:rsidR="002F61F3" w:rsidRPr="00401691" w:rsidRDefault="002F61F3" w:rsidP="00844145">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Amenzi aplicate de Inspecția Financiara</w:t>
            </w:r>
            <w:r w:rsidR="00A0307C">
              <w:rPr>
                <w:rFonts w:asciiTheme="majorHAnsi" w:eastAsia="Times New Roman" w:hAnsiTheme="majorHAnsi" w:cstheme="majorHAnsi"/>
                <w:color w:val="000000"/>
                <w:lang w:val="ro-MD"/>
              </w:rPr>
              <w:t>,</w:t>
            </w:r>
            <w:r w:rsidRPr="00401691">
              <w:rPr>
                <w:rFonts w:asciiTheme="majorHAnsi" w:eastAsia="Times New Roman" w:hAnsiTheme="majorHAnsi" w:cstheme="majorHAnsi"/>
                <w:color w:val="000000"/>
                <w:lang w:val="ro-MD"/>
              </w:rPr>
              <w:t xml:space="preserve"> încasate </w:t>
            </w:r>
            <w:r w:rsidR="00A0307C">
              <w:rPr>
                <w:rFonts w:asciiTheme="majorHAnsi" w:eastAsia="Times New Roman" w:hAnsiTheme="majorHAnsi" w:cstheme="majorHAnsi"/>
                <w:color w:val="000000"/>
                <w:lang w:val="ro-MD"/>
              </w:rPr>
              <w:t>î</w:t>
            </w:r>
            <w:r w:rsidRPr="00401691">
              <w:rPr>
                <w:rFonts w:asciiTheme="majorHAnsi" w:eastAsia="Times New Roman" w:hAnsiTheme="majorHAnsi" w:cstheme="majorHAnsi"/>
                <w:color w:val="000000"/>
                <w:lang w:val="ro-MD"/>
              </w:rPr>
              <w:t>n bugetul de stat</w:t>
            </w:r>
          </w:p>
        </w:tc>
        <w:tc>
          <w:tcPr>
            <w:tcW w:w="1530" w:type="dxa"/>
          </w:tcPr>
          <w:p w:rsidR="002F61F3" w:rsidRPr="00401691" w:rsidRDefault="002F61F3" w:rsidP="00844145">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43279.3</w:t>
            </w:r>
          </w:p>
        </w:tc>
        <w:tc>
          <w:tcPr>
            <w:tcW w:w="1440" w:type="dxa"/>
          </w:tcPr>
          <w:p w:rsidR="002F61F3" w:rsidRPr="00401691" w:rsidRDefault="002F61F3" w:rsidP="00844145">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27861,9</w:t>
            </w:r>
          </w:p>
        </w:tc>
        <w:tc>
          <w:tcPr>
            <w:tcW w:w="990" w:type="dxa"/>
            <w:tcBorders>
              <w:right w:val="single" w:sz="4" w:space="0" w:color="auto"/>
            </w:tcBorders>
          </w:tcPr>
          <w:p w:rsidR="002F61F3" w:rsidRPr="00401691" w:rsidRDefault="002F61F3" w:rsidP="00844145">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15417,4</w:t>
            </w:r>
          </w:p>
        </w:tc>
      </w:tr>
      <w:tr w:rsidR="002F61F3" w:rsidRPr="00401691" w:rsidTr="00800D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210" w:type="dxa"/>
            <w:gridSpan w:val="3"/>
            <w:tcBorders>
              <w:left w:val="single" w:sz="4" w:space="0" w:color="auto"/>
              <w:bottom w:val="single" w:sz="4" w:space="0" w:color="auto"/>
            </w:tcBorders>
          </w:tcPr>
          <w:p w:rsidR="002F61F3" w:rsidRPr="00401691" w:rsidRDefault="00EC0FCC" w:rsidP="00844145">
            <w:pPr>
              <w:spacing w:line="276" w:lineRule="auto"/>
              <w:rPr>
                <w:rFonts w:eastAsia="Times New Roman" w:cstheme="majorHAnsi"/>
                <w:b/>
                <w:color w:val="000000"/>
                <w:sz w:val="24"/>
                <w:szCs w:val="24"/>
                <w:lang w:val="ro-MD"/>
              </w:rPr>
            </w:pPr>
            <w:r w:rsidRPr="00401691">
              <w:rPr>
                <w:rFonts w:eastAsia="Times New Roman" w:cstheme="majorHAnsi"/>
                <w:b/>
                <w:color w:val="000000"/>
                <w:sz w:val="24"/>
                <w:szCs w:val="24"/>
                <w:lang w:val="ro-MD"/>
              </w:rPr>
              <w:t>T</w:t>
            </w:r>
            <w:r w:rsidR="002F61F3" w:rsidRPr="00401691">
              <w:rPr>
                <w:rFonts w:eastAsia="Times New Roman" w:cstheme="majorHAnsi"/>
                <w:b/>
                <w:color w:val="000000"/>
                <w:sz w:val="24"/>
                <w:szCs w:val="24"/>
                <w:lang w:val="ro-MD"/>
              </w:rPr>
              <w:t>otal</w:t>
            </w:r>
          </w:p>
        </w:tc>
        <w:tc>
          <w:tcPr>
            <w:tcW w:w="1530" w:type="dxa"/>
            <w:tcBorders>
              <w:bottom w:val="single" w:sz="4" w:space="0" w:color="auto"/>
            </w:tcBorders>
          </w:tcPr>
          <w:p w:rsidR="002F61F3" w:rsidRPr="00401691" w:rsidRDefault="002F61F3" w:rsidP="00844145">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48065,0</w:t>
            </w:r>
          </w:p>
        </w:tc>
        <w:tc>
          <w:tcPr>
            <w:tcW w:w="1440" w:type="dxa"/>
            <w:tcBorders>
              <w:bottom w:val="single" w:sz="4" w:space="0" w:color="auto"/>
            </w:tcBorders>
          </w:tcPr>
          <w:p w:rsidR="002F61F3" w:rsidRPr="00401691" w:rsidRDefault="002F61F3" w:rsidP="00844145">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31047,5</w:t>
            </w:r>
          </w:p>
        </w:tc>
        <w:tc>
          <w:tcPr>
            <w:tcW w:w="990" w:type="dxa"/>
            <w:tcBorders>
              <w:bottom w:val="single" w:sz="4" w:space="0" w:color="auto"/>
              <w:right w:val="single" w:sz="4" w:space="0" w:color="auto"/>
            </w:tcBorders>
          </w:tcPr>
          <w:p w:rsidR="002F61F3" w:rsidRPr="00401691" w:rsidRDefault="002F61F3" w:rsidP="00844145">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17017,5</w:t>
            </w:r>
          </w:p>
        </w:tc>
      </w:tr>
    </w:tbl>
    <w:p w:rsidR="002F61F3" w:rsidRPr="00401691" w:rsidRDefault="005A63E5" w:rsidP="00844145">
      <w:pPr>
        <w:spacing w:line="276" w:lineRule="auto"/>
        <w:jc w:val="both"/>
        <w:rPr>
          <w:rFonts w:asciiTheme="majorHAnsi" w:eastAsia="Times New Roman" w:hAnsiTheme="majorHAnsi" w:cstheme="majorHAnsi"/>
          <w:color w:val="000000"/>
          <w:sz w:val="24"/>
          <w:szCs w:val="24"/>
          <w:lang w:val="ro-MD"/>
        </w:rPr>
      </w:pPr>
      <w:r>
        <w:rPr>
          <w:rFonts w:asciiTheme="majorHAnsi" w:hAnsiTheme="majorHAnsi" w:cstheme="majorHAnsi"/>
          <w:b/>
          <w:i/>
          <w:sz w:val="20"/>
          <w:szCs w:val="20"/>
          <w:lang w:val="ro-MD"/>
        </w:rPr>
        <w:t xml:space="preserve">              </w:t>
      </w:r>
      <w:r w:rsidRPr="00502038">
        <w:rPr>
          <w:rFonts w:asciiTheme="majorHAnsi" w:hAnsiTheme="majorHAnsi" w:cstheme="majorHAnsi"/>
          <w:b/>
          <w:i/>
          <w:sz w:val="20"/>
          <w:szCs w:val="20"/>
          <w:lang w:val="ro-MD"/>
        </w:rPr>
        <w:t>Sursa:</w:t>
      </w:r>
      <w:r w:rsidRPr="00502038">
        <w:rPr>
          <w:rFonts w:asciiTheme="majorHAnsi" w:eastAsia="Calibri" w:hAnsiTheme="majorHAnsi" w:cstheme="majorHAnsi"/>
          <w:i/>
          <w:sz w:val="20"/>
          <w:szCs w:val="20"/>
          <w:lang w:val="ro-MD"/>
        </w:rPr>
        <w:t xml:space="preserve"> </w:t>
      </w:r>
      <w:r>
        <w:rPr>
          <w:rFonts w:asciiTheme="majorHAnsi" w:eastAsia="Calibri" w:hAnsiTheme="majorHAnsi" w:cstheme="majorHAnsi"/>
          <w:i/>
          <w:sz w:val="20"/>
          <w:szCs w:val="20"/>
          <w:lang w:val="ro-MD"/>
        </w:rPr>
        <w:t>Datele au fost generalizate în baza informațiilor oficiale remise de instituții la solicitările echipei de audit</w:t>
      </w:r>
      <w:r w:rsidR="00A0307C">
        <w:rPr>
          <w:rFonts w:asciiTheme="majorHAnsi" w:eastAsia="Calibri" w:hAnsiTheme="majorHAnsi" w:cstheme="majorHAnsi"/>
          <w:i/>
          <w:sz w:val="20"/>
          <w:szCs w:val="20"/>
          <w:lang w:val="ro-MD"/>
        </w:rPr>
        <w:t>.</w:t>
      </w:r>
    </w:p>
    <w:p w:rsidR="002F61F3" w:rsidRPr="00401691" w:rsidRDefault="002F61F3" w:rsidP="00263014">
      <w:pPr>
        <w:spacing w:before="120" w:after="0" w:line="276" w:lineRule="auto"/>
        <w:jc w:val="both"/>
        <w:rPr>
          <w:rFonts w:asciiTheme="majorHAnsi" w:eastAsia="Times New Roman" w:hAnsiTheme="majorHAnsi" w:cstheme="majorHAnsi"/>
          <w:color w:val="000000"/>
          <w:sz w:val="24"/>
          <w:szCs w:val="24"/>
          <w:lang w:val="ro-MD"/>
        </w:rPr>
      </w:pPr>
      <w:r w:rsidRPr="00401691">
        <w:rPr>
          <w:rFonts w:asciiTheme="majorHAnsi" w:eastAsia="Times New Roman" w:hAnsiTheme="majorHAnsi" w:cstheme="majorHAnsi"/>
          <w:color w:val="000000"/>
          <w:sz w:val="24"/>
          <w:szCs w:val="24"/>
          <w:lang w:val="ro-MD"/>
        </w:rPr>
        <w:t>Analogic</w:t>
      </w:r>
      <w:r w:rsidR="00A0307C">
        <w:rPr>
          <w:rFonts w:asciiTheme="majorHAnsi" w:eastAsia="Times New Roman" w:hAnsiTheme="majorHAnsi" w:cstheme="majorHAnsi"/>
          <w:color w:val="000000"/>
          <w:sz w:val="24"/>
          <w:szCs w:val="24"/>
          <w:lang w:val="ro-MD"/>
        </w:rPr>
        <w:t>,</w:t>
      </w:r>
      <w:r w:rsidRPr="00401691">
        <w:rPr>
          <w:rFonts w:asciiTheme="majorHAnsi" w:eastAsia="Times New Roman" w:hAnsiTheme="majorHAnsi" w:cstheme="majorHAnsi"/>
          <w:color w:val="000000"/>
          <w:sz w:val="24"/>
          <w:szCs w:val="24"/>
          <w:lang w:val="ro-MD"/>
        </w:rPr>
        <w:t xml:space="preserve"> s-a constatat că SFS nu dispune de calcule aferente acestor plăți</w:t>
      </w:r>
      <w:r w:rsidR="00A0307C">
        <w:rPr>
          <w:rFonts w:asciiTheme="majorHAnsi" w:eastAsia="Times New Roman" w:hAnsiTheme="majorHAnsi" w:cstheme="majorHAnsi"/>
          <w:color w:val="000000"/>
          <w:sz w:val="24"/>
          <w:szCs w:val="24"/>
          <w:lang w:val="ro-MD"/>
        </w:rPr>
        <w:t>,</w:t>
      </w:r>
      <w:r w:rsidRPr="00401691">
        <w:rPr>
          <w:rFonts w:asciiTheme="majorHAnsi" w:eastAsia="Times New Roman" w:hAnsiTheme="majorHAnsi" w:cstheme="majorHAnsi"/>
          <w:color w:val="000000"/>
          <w:sz w:val="24"/>
          <w:szCs w:val="24"/>
          <w:lang w:val="ro-MD"/>
        </w:rPr>
        <w:t xml:space="preserve"> pentru a fi incluse în procesul de raportare și, respectiv, nu deține informația privind restan</w:t>
      </w:r>
      <w:r w:rsidR="003918CE">
        <w:rPr>
          <w:rFonts w:asciiTheme="majorHAnsi" w:eastAsia="Times New Roman" w:hAnsiTheme="majorHAnsi" w:cstheme="majorHAnsi"/>
          <w:color w:val="000000"/>
          <w:sz w:val="24"/>
          <w:szCs w:val="24"/>
          <w:lang w:val="ro-MD"/>
        </w:rPr>
        <w:t>țele reale ale contribuabililor</w:t>
      </w:r>
      <w:r w:rsidRPr="00401691">
        <w:rPr>
          <w:rFonts w:asciiTheme="majorHAnsi" w:eastAsia="Times New Roman" w:hAnsiTheme="majorHAnsi" w:cstheme="majorHAnsi"/>
          <w:color w:val="000000"/>
          <w:sz w:val="24"/>
          <w:szCs w:val="24"/>
          <w:lang w:val="ro-MD"/>
        </w:rPr>
        <w:t xml:space="preserve"> pe tipurile respective de venituri.</w:t>
      </w:r>
    </w:p>
    <w:p w:rsidR="002F61F3" w:rsidRDefault="005C338A" w:rsidP="00844145">
      <w:pPr>
        <w:spacing w:line="276" w:lineRule="auto"/>
        <w:jc w:val="both"/>
        <w:rPr>
          <w:rFonts w:asciiTheme="majorHAnsi" w:hAnsiTheme="majorHAnsi" w:cstheme="majorHAnsi"/>
          <w:sz w:val="24"/>
          <w:szCs w:val="24"/>
          <w:lang w:val="ro-MD"/>
        </w:rPr>
      </w:pPr>
      <w:r w:rsidRPr="00401691">
        <w:rPr>
          <w:rFonts w:asciiTheme="majorHAnsi" w:eastAsia="Times New Roman" w:hAnsiTheme="majorHAnsi" w:cstheme="majorHAnsi"/>
          <w:color w:val="000000"/>
          <w:sz w:val="24"/>
          <w:szCs w:val="24"/>
          <w:lang w:val="ro-MD"/>
        </w:rPr>
        <w:t>Generalizând</w:t>
      </w:r>
      <w:r w:rsidR="002F61F3" w:rsidRPr="00401691">
        <w:rPr>
          <w:rFonts w:asciiTheme="majorHAnsi" w:eastAsia="Times New Roman" w:hAnsiTheme="majorHAnsi" w:cstheme="majorHAnsi"/>
          <w:color w:val="000000"/>
          <w:sz w:val="24"/>
          <w:szCs w:val="24"/>
          <w:lang w:val="ro-MD"/>
        </w:rPr>
        <w:t xml:space="preserve"> datele expuse</w:t>
      </w:r>
      <w:r w:rsidR="00A0307C">
        <w:rPr>
          <w:rFonts w:asciiTheme="majorHAnsi" w:eastAsia="Times New Roman" w:hAnsiTheme="majorHAnsi" w:cstheme="majorHAnsi"/>
          <w:color w:val="000000"/>
          <w:sz w:val="24"/>
          <w:szCs w:val="24"/>
          <w:lang w:val="ro-MD"/>
        </w:rPr>
        <w:t>,</w:t>
      </w:r>
      <w:r w:rsidR="002F61F3" w:rsidRPr="00401691">
        <w:rPr>
          <w:rFonts w:asciiTheme="majorHAnsi" w:eastAsia="Times New Roman" w:hAnsiTheme="majorHAnsi" w:cstheme="majorHAnsi"/>
          <w:color w:val="000000"/>
          <w:sz w:val="24"/>
          <w:szCs w:val="24"/>
          <w:lang w:val="ro-MD"/>
        </w:rPr>
        <w:t xml:space="preserve"> </w:t>
      </w:r>
      <w:r w:rsidR="002F61F3" w:rsidRPr="00401691">
        <w:rPr>
          <w:rFonts w:asciiTheme="majorHAnsi" w:hAnsiTheme="majorHAnsi" w:cstheme="majorHAnsi"/>
          <w:sz w:val="24"/>
          <w:szCs w:val="24"/>
          <w:lang w:val="ro-MD"/>
        </w:rPr>
        <w:t xml:space="preserve">auditul constată lipsa unui mecanism privind definirea </w:t>
      </w:r>
      <w:r w:rsidR="00A0307C">
        <w:rPr>
          <w:rFonts w:asciiTheme="majorHAnsi" w:hAnsiTheme="majorHAnsi" w:cstheme="majorHAnsi"/>
          <w:sz w:val="24"/>
          <w:szCs w:val="24"/>
          <w:lang w:val="ro-MD"/>
        </w:rPr>
        <w:t xml:space="preserve">clară a </w:t>
      </w:r>
      <w:r w:rsidR="002F61F3" w:rsidRPr="00401691">
        <w:rPr>
          <w:rFonts w:asciiTheme="majorHAnsi" w:hAnsiTheme="majorHAnsi" w:cstheme="majorHAnsi"/>
          <w:sz w:val="24"/>
          <w:szCs w:val="24"/>
          <w:lang w:val="ro-MD"/>
        </w:rPr>
        <w:t>regulilor de exercitare de către SFS a rolul</w:t>
      </w:r>
      <w:r w:rsidR="003918CE">
        <w:rPr>
          <w:rFonts w:asciiTheme="majorHAnsi" w:hAnsiTheme="majorHAnsi" w:cstheme="majorHAnsi"/>
          <w:sz w:val="24"/>
          <w:szCs w:val="24"/>
          <w:lang w:val="ro-MD"/>
        </w:rPr>
        <w:t>ui de administrator de venituri la</w:t>
      </w:r>
      <w:r w:rsidR="002F61F3" w:rsidRPr="00401691">
        <w:rPr>
          <w:rFonts w:asciiTheme="majorHAnsi" w:hAnsiTheme="majorHAnsi" w:cstheme="majorHAnsi"/>
          <w:sz w:val="24"/>
          <w:szCs w:val="24"/>
          <w:lang w:val="ro-MD"/>
        </w:rPr>
        <w:t xml:space="preserve"> plățile și amenzile aplicate de unele instituții ale statului. </w:t>
      </w:r>
    </w:p>
    <w:p w:rsidR="00E868CE" w:rsidRPr="00E868CE" w:rsidRDefault="00E868CE" w:rsidP="00E868CE">
      <w:pPr>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cstheme="majorHAnsi"/>
          <w:sz w:val="24"/>
          <w:szCs w:val="24"/>
          <w:lang w:val="ro-MD"/>
        </w:rPr>
      </w:pPr>
      <w:r w:rsidRPr="00E062D3">
        <w:rPr>
          <w:rFonts w:asciiTheme="majorHAnsi" w:hAnsiTheme="majorHAnsi" w:cstheme="majorHAnsi"/>
          <w:b/>
          <w:i/>
          <w:sz w:val="24"/>
          <w:szCs w:val="24"/>
          <w:lang w:val="ro-MD"/>
        </w:rPr>
        <w:t>Se ia act:</w:t>
      </w:r>
      <w:r w:rsidRPr="00E062D3">
        <w:rPr>
          <w:rFonts w:asciiTheme="majorHAnsi" w:hAnsiTheme="majorHAnsi" w:cstheme="majorHAnsi"/>
          <w:b/>
          <w:sz w:val="24"/>
          <w:szCs w:val="24"/>
          <w:lang w:val="ro-MD"/>
        </w:rPr>
        <w:t xml:space="preserve"> </w:t>
      </w:r>
      <w:r w:rsidRPr="00E868CE">
        <w:rPr>
          <w:rFonts w:asciiTheme="majorHAnsi" w:hAnsiTheme="majorHAnsi" w:cstheme="majorHAnsi"/>
          <w:sz w:val="24"/>
          <w:szCs w:val="24"/>
          <w:lang w:val="ro-MD"/>
        </w:rPr>
        <w:t xml:space="preserve">Serviciul Fiscal de Stat a elaborat </w:t>
      </w:r>
      <w:r>
        <w:rPr>
          <w:rFonts w:asciiTheme="majorHAnsi" w:hAnsiTheme="majorHAnsi" w:cstheme="majorHAnsi"/>
          <w:sz w:val="24"/>
          <w:szCs w:val="24"/>
          <w:lang w:val="ro-MD"/>
        </w:rPr>
        <w:t xml:space="preserve">și </w:t>
      </w:r>
      <w:r w:rsidR="00A0307C">
        <w:rPr>
          <w:rFonts w:asciiTheme="majorHAnsi" w:hAnsiTheme="majorHAnsi" w:cstheme="majorHAnsi"/>
          <w:sz w:val="24"/>
          <w:szCs w:val="24"/>
          <w:lang w:val="ro-MD"/>
        </w:rPr>
        <w:t xml:space="preserve">a </w:t>
      </w:r>
      <w:r>
        <w:rPr>
          <w:rFonts w:asciiTheme="majorHAnsi" w:hAnsiTheme="majorHAnsi" w:cstheme="majorHAnsi"/>
          <w:sz w:val="24"/>
          <w:szCs w:val="24"/>
          <w:lang w:val="ro-MD"/>
        </w:rPr>
        <w:t xml:space="preserve">prezentat MF </w:t>
      </w:r>
      <w:r w:rsidRPr="00E868CE">
        <w:rPr>
          <w:rFonts w:asciiTheme="majorHAnsi" w:hAnsiTheme="majorHAnsi" w:cstheme="majorHAnsi"/>
          <w:sz w:val="24"/>
          <w:szCs w:val="24"/>
          <w:lang w:val="ro-MD"/>
        </w:rPr>
        <w:t xml:space="preserve">proiectul Hotărârii Guvernului cu privire la procedura </w:t>
      </w:r>
      <w:r w:rsidRPr="00E868CE">
        <w:rPr>
          <w:rFonts w:asciiTheme="majorHAnsi" w:hAnsiTheme="majorHAnsi" w:cstheme="majorHAnsi"/>
          <w:sz w:val="24"/>
          <w:szCs w:val="24"/>
          <w:lang w:val="ro-MD"/>
        </w:rPr>
        <w:lastRenderedPageBreak/>
        <w:t>de raportare a informației privind amenzile contravenționale aplicate, care prevede ca instituțiile care au statut de agent constatator</w:t>
      </w:r>
      <w:r w:rsidR="00A0307C">
        <w:rPr>
          <w:rFonts w:asciiTheme="majorHAnsi" w:hAnsiTheme="majorHAnsi" w:cstheme="majorHAnsi"/>
          <w:sz w:val="24"/>
          <w:szCs w:val="24"/>
          <w:lang w:val="ro-MD"/>
        </w:rPr>
        <w:t>,</w:t>
      </w:r>
      <w:r w:rsidRPr="00E868CE">
        <w:rPr>
          <w:rFonts w:asciiTheme="majorHAnsi" w:hAnsiTheme="majorHAnsi" w:cstheme="majorHAnsi"/>
          <w:sz w:val="24"/>
          <w:szCs w:val="24"/>
          <w:lang w:val="ro-MD"/>
        </w:rPr>
        <w:t xml:space="preserve"> conform Codului contravențional al Republicii Moldova nr.218/2008, să raporteze informația cu privire la amenzile contravenționale aplicate, precum și </w:t>
      </w:r>
      <w:r w:rsidR="00A0307C">
        <w:rPr>
          <w:rFonts w:asciiTheme="majorHAnsi" w:hAnsiTheme="majorHAnsi" w:cstheme="majorHAnsi"/>
          <w:sz w:val="24"/>
          <w:szCs w:val="24"/>
          <w:lang w:val="ro-MD"/>
        </w:rPr>
        <w:t xml:space="preserve">la </w:t>
      </w:r>
      <w:r w:rsidRPr="00E868CE">
        <w:rPr>
          <w:rFonts w:asciiTheme="majorHAnsi" w:hAnsiTheme="majorHAnsi" w:cstheme="majorHAnsi"/>
          <w:sz w:val="24"/>
          <w:szCs w:val="24"/>
          <w:lang w:val="ro-MD"/>
        </w:rPr>
        <w:t xml:space="preserve">mecanismul de prezentare a informațiilor. </w:t>
      </w:r>
    </w:p>
    <w:p w:rsidR="00A51725" w:rsidRPr="007D38DE" w:rsidRDefault="00A0307C" w:rsidP="00844145">
      <w:pPr>
        <w:pStyle w:val="Heading3"/>
        <w:numPr>
          <w:ilvl w:val="1"/>
          <w:numId w:val="33"/>
        </w:numPr>
        <w:spacing w:before="120" w:after="120" w:line="276" w:lineRule="auto"/>
        <w:jc w:val="both"/>
        <w:rPr>
          <w:rStyle w:val="Heading3Char"/>
          <w:rFonts w:cstheme="majorHAnsi"/>
          <w:b/>
        </w:rPr>
      </w:pPr>
      <w:bookmarkStart w:id="11" w:name="_Toc48732723"/>
      <w:r>
        <w:rPr>
          <w:rStyle w:val="Heading3Char"/>
          <w:rFonts w:cstheme="majorHAnsi"/>
          <w:b/>
        </w:rPr>
        <w:t xml:space="preserve">. </w:t>
      </w:r>
      <w:r w:rsidR="00A94708">
        <w:rPr>
          <w:rStyle w:val="Heading3Char"/>
          <w:rFonts w:cstheme="majorHAnsi"/>
          <w:b/>
        </w:rPr>
        <w:t xml:space="preserve">Există goluri de reglementare în raportarea </w:t>
      </w:r>
      <w:r w:rsidR="00FB3191" w:rsidRPr="007D38DE">
        <w:rPr>
          <w:rStyle w:val="Heading3Char"/>
          <w:rFonts w:cstheme="majorHAnsi"/>
          <w:b/>
        </w:rPr>
        <w:t>veniturilor fiscale</w:t>
      </w:r>
      <w:bookmarkEnd w:id="11"/>
      <w:r w:rsidR="002B5BEF">
        <w:rPr>
          <w:rStyle w:val="Heading3Char"/>
          <w:rFonts w:cstheme="majorHAnsi"/>
          <w:b/>
        </w:rPr>
        <w:t>.</w:t>
      </w:r>
    </w:p>
    <w:p w:rsidR="00AE4B52" w:rsidRPr="00401691" w:rsidRDefault="00FB3191" w:rsidP="00844145">
      <w:pPr>
        <w:spacing w:line="276" w:lineRule="auto"/>
        <w:jc w:val="both"/>
        <w:rPr>
          <w:rFonts w:asciiTheme="majorHAnsi" w:hAnsiTheme="majorHAnsi" w:cstheme="majorHAnsi"/>
          <w:sz w:val="24"/>
          <w:szCs w:val="24"/>
          <w:lang w:val="ro-MD"/>
        </w:rPr>
      </w:pPr>
      <w:r w:rsidRPr="00401691">
        <w:rPr>
          <w:rFonts w:asciiTheme="majorHAnsi" w:hAnsiTheme="majorHAnsi" w:cstheme="majorHAnsi"/>
          <w:sz w:val="24"/>
          <w:szCs w:val="24"/>
          <w:lang w:val="ro-MD"/>
        </w:rPr>
        <w:t>Potrivit Codului fiscal</w:t>
      </w:r>
      <w:r w:rsidR="00AE4B52" w:rsidRPr="00401691">
        <w:rPr>
          <w:rFonts w:asciiTheme="majorHAnsi" w:hAnsiTheme="majorHAnsi" w:cstheme="majorHAnsi"/>
          <w:sz w:val="24"/>
          <w:szCs w:val="24"/>
          <w:lang w:val="ro-MD"/>
        </w:rPr>
        <w:t>, M</w:t>
      </w:r>
      <w:r w:rsidRPr="00401691">
        <w:rPr>
          <w:rFonts w:asciiTheme="majorHAnsi" w:hAnsiTheme="majorHAnsi" w:cstheme="majorHAnsi"/>
          <w:sz w:val="24"/>
          <w:szCs w:val="24"/>
          <w:lang w:val="ro-MD"/>
        </w:rPr>
        <w:t>F</w:t>
      </w:r>
      <w:r w:rsidR="00AE4B52" w:rsidRPr="00401691">
        <w:rPr>
          <w:rFonts w:asciiTheme="majorHAnsi" w:hAnsiTheme="majorHAnsi" w:cstheme="majorHAnsi"/>
          <w:sz w:val="24"/>
          <w:szCs w:val="24"/>
          <w:lang w:val="ro-MD"/>
        </w:rPr>
        <w:t xml:space="preserve"> exercită dirijarea metodologică a </w:t>
      </w:r>
      <w:r w:rsidRPr="00401691">
        <w:rPr>
          <w:rFonts w:asciiTheme="majorHAnsi" w:hAnsiTheme="majorHAnsi" w:cstheme="majorHAnsi"/>
          <w:sz w:val="24"/>
          <w:szCs w:val="24"/>
          <w:lang w:val="ro-MD"/>
        </w:rPr>
        <w:t>organului fiscal</w:t>
      </w:r>
      <w:r w:rsidR="00AE4B52" w:rsidRPr="00401691">
        <w:rPr>
          <w:rFonts w:asciiTheme="majorHAnsi" w:hAnsiTheme="majorHAnsi" w:cstheme="majorHAnsi"/>
          <w:sz w:val="24"/>
          <w:szCs w:val="24"/>
          <w:lang w:val="ro-MD"/>
        </w:rPr>
        <w:t xml:space="preserve">. </w:t>
      </w:r>
      <w:r w:rsidR="002B5BEF">
        <w:rPr>
          <w:rFonts w:asciiTheme="majorHAnsi" w:hAnsiTheme="majorHAnsi" w:cstheme="majorHAnsi"/>
          <w:sz w:val="24"/>
          <w:szCs w:val="24"/>
          <w:lang w:val="ro-MD"/>
        </w:rPr>
        <w:t>Pe</w:t>
      </w:r>
      <w:r w:rsidR="00AE4B52" w:rsidRPr="00401691">
        <w:rPr>
          <w:rFonts w:asciiTheme="majorHAnsi" w:hAnsiTheme="majorHAnsi" w:cstheme="majorHAnsi"/>
          <w:sz w:val="24"/>
          <w:szCs w:val="24"/>
          <w:lang w:val="ro-MD"/>
        </w:rPr>
        <w:t>ntru executarea acestei prevederi legale, una din</w:t>
      </w:r>
      <w:r w:rsidR="002B5BEF">
        <w:rPr>
          <w:rFonts w:asciiTheme="majorHAnsi" w:hAnsiTheme="majorHAnsi" w:cstheme="majorHAnsi"/>
          <w:sz w:val="24"/>
          <w:szCs w:val="24"/>
          <w:lang w:val="ro-MD"/>
        </w:rPr>
        <w:t>tre</w:t>
      </w:r>
      <w:r w:rsidR="00AE4B52" w:rsidRPr="00401691">
        <w:rPr>
          <w:rFonts w:asciiTheme="majorHAnsi" w:hAnsiTheme="majorHAnsi" w:cstheme="majorHAnsi"/>
          <w:sz w:val="24"/>
          <w:szCs w:val="24"/>
          <w:lang w:val="ro-MD"/>
        </w:rPr>
        <w:t xml:space="preserve"> atribuțiile ministerului este de a solicita informația relevantă privind monitorizarea administrării fiscale, inclusiv rapoarte</w:t>
      </w:r>
      <w:r w:rsidR="002B5BEF">
        <w:rPr>
          <w:rFonts w:asciiTheme="majorHAnsi" w:hAnsiTheme="majorHAnsi" w:cstheme="majorHAnsi"/>
          <w:sz w:val="24"/>
          <w:szCs w:val="24"/>
          <w:lang w:val="ro-MD"/>
        </w:rPr>
        <w:t>le</w:t>
      </w:r>
      <w:r w:rsidR="00AE4B52" w:rsidRPr="00401691">
        <w:rPr>
          <w:rFonts w:asciiTheme="majorHAnsi" w:hAnsiTheme="majorHAnsi" w:cstheme="majorHAnsi"/>
          <w:sz w:val="24"/>
          <w:szCs w:val="24"/>
          <w:lang w:val="ro-MD"/>
        </w:rPr>
        <w:t xml:space="preserve"> privind impozitarea și administrarea fiscală, rapoarte</w:t>
      </w:r>
      <w:r w:rsidR="002B5BEF">
        <w:rPr>
          <w:rFonts w:asciiTheme="majorHAnsi" w:hAnsiTheme="majorHAnsi" w:cstheme="majorHAnsi"/>
          <w:sz w:val="24"/>
          <w:szCs w:val="24"/>
          <w:lang w:val="ro-MD"/>
        </w:rPr>
        <w:t>le</w:t>
      </w:r>
      <w:r w:rsidR="00AE4B52" w:rsidRPr="00401691">
        <w:rPr>
          <w:rFonts w:asciiTheme="majorHAnsi" w:hAnsiTheme="majorHAnsi" w:cstheme="majorHAnsi"/>
          <w:sz w:val="24"/>
          <w:szCs w:val="24"/>
          <w:lang w:val="ro-MD"/>
        </w:rPr>
        <w:t xml:space="preserve"> trimestriale și anuale privind suma obligațiilor fiscale luate </w:t>
      </w:r>
      <w:r w:rsidR="002B5BEF">
        <w:rPr>
          <w:rFonts w:asciiTheme="majorHAnsi" w:hAnsiTheme="majorHAnsi" w:cstheme="majorHAnsi"/>
          <w:sz w:val="24"/>
          <w:szCs w:val="24"/>
          <w:lang w:val="ro-MD"/>
        </w:rPr>
        <w:t>la</w:t>
      </w:r>
      <w:r w:rsidR="00AE4B52" w:rsidRPr="00401691">
        <w:rPr>
          <w:rFonts w:asciiTheme="majorHAnsi" w:hAnsiTheme="majorHAnsi" w:cstheme="majorHAnsi"/>
          <w:sz w:val="24"/>
          <w:szCs w:val="24"/>
          <w:lang w:val="ro-MD"/>
        </w:rPr>
        <w:t xml:space="preserve"> eviden</w:t>
      </w:r>
      <w:r w:rsidR="002B5BEF">
        <w:rPr>
          <w:rFonts w:asciiTheme="majorHAnsi" w:hAnsiTheme="majorHAnsi" w:cstheme="majorHAnsi"/>
          <w:sz w:val="24"/>
          <w:szCs w:val="24"/>
          <w:lang w:val="ro-MD"/>
        </w:rPr>
        <w:t>ța</w:t>
      </w:r>
      <w:r w:rsidR="00AE4B52" w:rsidRPr="00401691">
        <w:rPr>
          <w:rFonts w:asciiTheme="majorHAnsi" w:hAnsiTheme="majorHAnsi" w:cstheme="majorHAnsi"/>
          <w:sz w:val="24"/>
          <w:szCs w:val="24"/>
          <w:lang w:val="ro-MD"/>
        </w:rPr>
        <w:t xml:space="preserve"> specială.</w:t>
      </w:r>
    </w:p>
    <w:p w:rsidR="00E062D3" w:rsidRDefault="00AE4B52" w:rsidP="00E062D3">
      <w:pPr>
        <w:spacing w:after="120" w:line="276" w:lineRule="auto"/>
        <w:jc w:val="both"/>
        <w:rPr>
          <w:rFonts w:asciiTheme="majorHAnsi" w:hAnsiTheme="majorHAnsi" w:cstheme="majorHAnsi"/>
          <w:sz w:val="24"/>
          <w:szCs w:val="24"/>
          <w:lang w:val="ro-MD"/>
        </w:rPr>
      </w:pPr>
      <w:r w:rsidRPr="00401691">
        <w:rPr>
          <w:rFonts w:asciiTheme="majorHAnsi" w:hAnsiTheme="majorHAnsi" w:cstheme="majorHAnsi"/>
          <w:sz w:val="24"/>
          <w:szCs w:val="24"/>
          <w:lang w:val="ro-MD"/>
        </w:rPr>
        <w:t>Urmare analizei cadrului normativ intern aferent raportării rezultatelor administrării fiscale, auditul constată că</w:t>
      </w:r>
      <w:r w:rsidR="002B5BEF">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prin Regulamentul aprobat prin Ordinul MF nr.103 din 09.12.2005</w:t>
      </w:r>
      <w:r w:rsidR="002B5BEF">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s-au nominalizat rapoartele privind veniturile la BPN administrate de SFS</w:t>
      </w:r>
      <w:r w:rsidR="002B5BEF">
        <w:rPr>
          <w:rFonts w:asciiTheme="majorHAnsi" w:hAnsiTheme="majorHAnsi" w:cstheme="majorHAnsi"/>
          <w:sz w:val="24"/>
          <w:szCs w:val="24"/>
          <w:lang w:val="ro-MD"/>
        </w:rPr>
        <w:t>. T</w:t>
      </w:r>
      <w:r w:rsidRPr="00401691">
        <w:rPr>
          <w:rFonts w:asciiTheme="majorHAnsi" w:hAnsiTheme="majorHAnsi" w:cstheme="majorHAnsi"/>
          <w:sz w:val="24"/>
          <w:szCs w:val="24"/>
          <w:lang w:val="ro-MD"/>
        </w:rPr>
        <w:t>otuși</w:t>
      </w:r>
      <w:r w:rsidR="002B5BEF">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acest ordin nu este actualizat și nu reglementează exhaustiv cerințele de raportare ș</w:t>
      </w:r>
      <w:r w:rsidR="00F50B95">
        <w:rPr>
          <w:rFonts w:asciiTheme="majorHAnsi" w:hAnsiTheme="majorHAnsi" w:cstheme="majorHAnsi"/>
          <w:sz w:val="24"/>
          <w:szCs w:val="24"/>
          <w:lang w:val="ro-MD"/>
        </w:rPr>
        <w:t xml:space="preserve">i întocmire a dărilor de seamă </w:t>
      </w:r>
      <w:r w:rsidRPr="00401691">
        <w:rPr>
          <w:rFonts w:asciiTheme="majorHAnsi" w:hAnsiTheme="majorHAnsi" w:cstheme="majorHAnsi"/>
          <w:sz w:val="24"/>
          <w:szCs w:val="24"/>
          <w:lang w:val="ro-MD"/>
        </w:rPr>
        <w:t>privind impozitarea și administrarea fiscală.</w:t>
      </w:r>
      <w:r w:rsidR="00E062D3">
        <w:rPr>
          <w:rFonts w:asciiTheme="majorHAnsi" w:hAnsiTheme="majorHAnsi" w:cstheme="majorHAnsi"/>
          <w:sz w:val="24"/>
          <w:szCs w:val="24"/>
          <w:lang w:val="ro-MD"/>
        </w:rPr>
        <w:t xml:space="preserve"> </w:t>
      </w:r>
    </w:p>
    <w:p w:rsidR="00AE4B52" w:rsidRPr="00401691" w:rsidRDefault="00AE4B52" w:rsidP="00E062D3">
      <w:pPr>
        <w:spacing w:after="120" w:line="276" w:lineRule="auto"/>
        <w:jc w:val="both"/>
        <w:rPr>
          <w:rFonts w:asciiTheme="majorHAnsi" w:hAnsiTheme="majorHAnsi" w:cstheme="majorHAnsi"/>
          <w:sz w:val="24"/>
          <w:szCs w:val="24"/>
          <w:lang w:val="ro-MD"/>
        </w:rPr>
      </w:pPr>
      <w:r w:rsidRPr="00401691">
        <w:rPr>
          <w:rFonts w:asciiTheme="majorHAnsi" w:hAnsiTheme="majorHAnsi" w:cstheme="majorHAnsi"/>
          <w:sz w:val="24"/>
          <w:szCs w:val="24"/>
          <w:lang w:val="ro-MD"/>
        </w:rPr>
        <w:t>Deși SFS a aprobat unele acte interne privind raportarea veniturilor admin</w:t>
      </w:r>
      <w:r w:rsidR="00F50B95">
        <w:rPr>
          <w:rFonts w:asciiTheme="majorHAnsi" w:hAnsiTheme="majorHAnsi" w:cstheme="majorHAnsi"/>
          <w:sz w:val="24"/>
          <w:szCs w:val="24"/>
          <w:lang w:val="ro-MD"/>
        </w:rPr>
        <w:t>istrate, acestea au un conținut</w:t>
      </w:r>
      <w:r w:rsidRPr="00401691">
        <w:rPr>
          <w:rFonts w:asciiTheme="majorHAnsi" w:hAnsiTheme="majorHAnsi" w:cstheme="majorHAnsi"/>
          <w:sz w:val="24"/>
          <w:szCs w:val="24"/>
          <w:lang w:val="ro-MD"/>
        </w:rPr>
        <w:t xml:space="preserve"> gene</w:t>
      </w:r>
      <w:r w:rsidR="00E062D3">
        <w:rPr>
          <w:rFonts w:asciiTheme="majorHAnsi" w:hAnsiTheme="majorHAnsi" w:cstheme="majorHAnsi"/>
          <w:sz w:val="24"/>
          <w:szCs w:val="24"/>
          <w:lang w:val="ro-MD"/>
        </w:rPr>
        <w:t>ral</w:t>
      </w:r>
      <w:r w:rsidR="002B5BEF">
        <w:rPr>
          <w:rFonts w:asciiTheme="majorHAnsi" w:hAnsiTheme="majorHAnsi" w:cstheme="majorHAnsi"/>
          <w:sz w:val="24"/>
          <w:szCs w:val="24"/>
          <w:lang w:val="ro-MD"/>
        </w:rPr>
        <w:t>,</w:t>
      </w:r>
      <w:r w:rsidR="00E062D3">
        <w:rPr>
          <w:rFonts w:asciiTheme="majorHAnsi" w:hAnsiTheme="majorHAnsi" w:cstheme="majorHAnsi"/>
          <w:sz w:val="24"/>
          <w:szCs w:val="24"/>
          <w:lang w:val="ro-MD"/>
        </w:rPr>
        <w:t xml:space="preserve"> fără a reglementa</w:t>
      </w:r>
      <w:r w:rsidRPr="00401691">
        <w:rPr>
          <w:rFonts w:asciiTheme="majorHAnsi" w:hAnsiTheme="majorHAnsi" w:cstheme="majorHAnsi"/>
          <w:sz w:val="24"/>
          <w:szCs w:val="24"/>
          <w:lang w:val="ro-MD"/>
        </w:rPr>
        <w:t xml:space="preserve">: a)modalitatea de întocmire a rapoartelor privind veniturile administrate de SFS, b)indicatorii aferenți acestora; c)instrumentele nemijlocit utilizate din SI </w:t>
      </w:r>
      <w:r w:rsidR="00F50B95">
        <w:rPr>
          <w:rFonts w:asciiTheme="majorHAnsi" w:hAnsiTheme="majorHAnsi" w:cstheme="majorHAnsi"/>
          <w:sz w:val="24"/>
          <w:szCs w:val="24"/>
          <w:lang w:val="ro-MD"/>
        </w:rPr>
        <w:lastRenderedPageBreak/>
        <w:t xml:space="preserve">pentru generarea informațiilor </w:t>
      </w:r>
      <w:r w:rsidRPr="00401691">
        <w:rPr>
          <w:rFonts w:asciiTheme="majorHAnsi" w:hAnsiTheme="majorHAnsi" w:cstheme="majorHAnsi"/>
          <w:sz w:val="24"/>
          <w:szCs w:val="24"/>
          <w:lang w:val="ro-MD"/>
        </w:rPr>
        <w:t>necesare raportării; d) modalitatea de corectare a erorilor, inclusiv reglementarea cazurilor de corectare manuală a erorilor</w:t>
      </w:r>
      <w:r w:rsidR="00F50B95">
        <w:rPr>
          <w:rFonts w:asciiTheme="majorHAnsi" w:hAnsiTheme="majorHAnsi" w:cstheme="majorHAnsi"/>
          <w:sz w:val="24"/>
          <w:szCs w:val="24"/>
          <w:lang w:val="ro-MD"/>
        </w:rPr>
        <w:t>, alte</w:t>
      </w:r>
      <w:r w:rsidR="00E720C3">
        <w:rPr>
          <w:rFonts w:asciiTheme="majorHAnsi" w:hAnsiTheme="majorHAnsi" w:cstheme="majorHAnsi"/>
          <w:sz w:val="24"/>
          <w:szCs w:val="24"/>
          <w:lang w:val="ro-MD"/>
        </w:rPr>
        <w:t xml:space="preserve"> aspecte</w:t>
      </w:r>
      <w:r w:rsidRPr="00401691">
        <w:rPr>
          <w:rFonts w:asciiTheme="majorHAnsi" w:hAnsiTheme="majorHAnsi" w:cstheme="majorHAnsi"/>
          <w:sz w:val="24"/>
          <w:szCs w:val="24"/>
          <w:lang w:val="ro-MD"/>
        </w:rPr>
        <w:t xml:space="preserve">. </w:t>
      </w:r>
    </w:p>
    <w:p w:rsidR="002F61F3" w:rsidRPr="007D38DE" w:rsidRDefault="003918CE" w:rsidP="00844145">
      <w:pPr>
        <w:pStyle w:val="Heading2"/>
        <w:spacing w:before="240" w:line="276" w:lineRule="auto"/>
        <w:jc w:val="both"/>
        <w:rPr>
          <w:b/>
          <w:color w:val="002060"/>
          <w:lang w:val="ro-MD"/>
        </w:rPr>
      </w:pPr>
      <w:bookmarkStart w:id="12" w:name="_Toc48732724"/>
      <w:r>
        <w:rPr>
          <w:b/>
          <w:color w:val="002060"/>
          <w:lang w:val="ro-MD"/>
        </w:rPr>
        <w:t xml:space="preserve">Obiectivul </w:t>
      </w:r>
      <w:r w:rsidR="0080462A" w:rsidRPr="007D38DE">
        <w:rPr>
          <w:b/>
          <w:color w:val="002060"/>
          <w:lang w:val="ro-MD"/>
        </w:rPr>
        <w:t xml:space="preserve">specific nr.2: </w:t>
      </w:r>
      <w:r w:rsidR="00F038CC" w:rsidRPr="007D38DE">
        <w:rPr>
          <w:b/>
          <w:color w:val="002060"/>
          <w:lang w:val="ro-MD"/>
        </w:rPr>
        <w:t>Organul fiscal a asigurat confo</w:t>
      </w:r>
      <w:r w:rsidR="00000101" w:rsidRPr="007D38DE">
        <w:rPr>
          <w:b/>
          <w:color w:val="002060"/>
          <w:lang w:val="ro-MD"/>
        </w:rPr>
        <w:t>r</w:t>
      </w:r>
      <w:r w:rsidR="00F038CC" w:rsidRPr="007D38DE">
        <w:rPr>
          <w:b/>
          <w:color w:val="002060"/>
          <w:lang w:val="ro-MD"/>
        </w:rPr>
        <w:t>mitatea procesului de evide</w:t>
      </w:r>
      <w:r w:rsidR="00000101" w:rsidRPr="007D38DE">
        <w:rPr>
          <w:b/>
          <w:color w:val="002060"/>
          <w:lang w:val="ro-MD"/>
        </w:rPr>
        <w:t>n</w:t>
      </w:r>
      <w:r w:rsidR="00D81A57" w:rsidRPr="007D38DE">
        <w:rPr>
          <w:b/>
          <w:color w:val="002060"/>
          <w:lang w:val="ro-MD"/>
        </w:rPr>
        <w:t>ță și raportare a restanțelor</w:t>
      </w:r>
      <w:r w:rsidR="0080462A" w:rsidRPr="007D38DE">
        <w:rPr>
          <w:b/>
          <w:color w:val="002060"/>
          <w:lang w:val="ro-MD"/>
        </w:rPr>
        <w:t>?</w:t>
      </w:r>
      <w:bookmarkEnd w:id="12"/>
    </w:p>
    <w:p w:rsidR="004536BE" w:rsidRPr="00401691" w:rsidRDefault="004536BE" w:rsidP="00844145">
      <w:pPr>
        <w:pBdr>
          <w:top w:val="wave" w:sz="6" w:space="1" w:color="auto"/>
          <w:left w:val="wave" w:sz="6" w:space="4" w:color="auto"/>
          <w:bottom w:val="wave" w:sz="6" w:space="0" w:color="auto"/>
          <w:right w:val="wave" w:sz="6" w:space="4" w:color="auto"/>
        </w:pBdr>
        <w:spacing w:after="0" w:line="276" w:lineRule="auto"/>
        <w:jc w:val="both"/>
        <w:rPr>
          <w:rFonts w:asciiTheme="majorHAnsi" w:eastAsia="Calibri" w:hAnsiTheme="majorHAnsi" w:cstheme="majorHAnsi"/>
          <w:i/>
          <w:sz w:val="24"/>
          <w:szCs w:val="24"/>
          <w:lang w:val="ro-MD"/>
        </w:rPr>
      </w:pPr>
      <w:r w:rsidRPr="00401691">
        <w:rPr>
          <w:rFonts w:asciiTheme="majorHAnsi" w:eastAsia="Calibri" w:hAnsiTheme="majorHAnsi" w:cstheme="majorHAnsi"/>
          <w:i/>
          <w:sz w:val="24"/>
          <w:szCs w:val="24"/>
          <w:lang w:val="ro-MD"/>
        </w:rPr>
        <w:t xml:space="preserve">Nivelul restanțelor administrate de către SFS </w:t>
      </w:r>
      <w:r w:rsidR="005C6CCE">
        <w:rPr>
          <w:rFonts w:asciiTheme="majorHAnsi" w:eastAsia="Calibri" w:hAnsiTheme="majorHAnsi" w:cstheme="majorHAnsi"/>
          <w:i/>
          <w:sz w:val="24"/>
          <w:szCs w:val="24"/>
          <w:lang w:val="ro-MD"/>
        </w:rPr>
        <w:t>indică</w:t>
      </w:r>
      <w:r w:rsidRPr="00401691">
        <w:rPr>
          <w:rFonts w:asciiTheme="majorHAnsi" w:eastAsia="Calibri" w:hAnsiTheme="majorHAnsi" w:cstheme="majorHAnsi"/>
          <w:i/>
          <w:sz w:val="24"/>
          <w:szCs w:val="24"/>
          <w:lang w:val="ro-MD"/>
        </w:rPr>
        <w:t>, per ansamb</w:t>
      </w:r>
      <w:r w:rsidR="00A277BC">
        <w:rPr>
          <w:rFonts w:asciiTheme="majorHAnsi" w:eastAsia="Calibri" w:hAnsiTheme="majorHAnsi" w:cstheme="majorHAnsi"/>
          <w:i/>
          <w:sz w:val="24"/>
          <w:szCs w:val="24"/>
          <w:lang w:val="ro-MD"/>
        </w:rPr>
        <w:t xml:space="preserve">lu, o tendință de </w:t>
      </w:r>
      <w:r w:rsidR="00A277BC" w:rsidRPr="0031358F">
        <w:rPr>
          <w:rFonts w:asciiTheme="majorHAnsi" w:eastAsia="Calibri" w:hAnsiTheme="majorHAnsi" w:cstheme="majorHAnsi"/>
          <w:i/>
          <w:sz w:val="24"/>
          <w:szCs w:val="24"/>
          <w:lang w:val="ro-MD"/>
        </w:rPr>
        <w:t>descreștere,</w:t>
      </w:r>
      <w:r w:rsidRPr="00401691">
        <w:rPr>
          <w:rFonts w:asciiTheme="majorHAnsi" w:eastAsia="Calibri" w:hAnsiTheme="majorHAnsi" w:cstheme="majorHAnsi"/>
          <w:i/>
          <w:sz w:val="24"/>
          <w:szCs w:val="24"/>
          <w:lang w:val="ro-MD"/>
        </w:rPr>
        <w:t xml:space="preserve"> dator</w:t>
      </w:r>
      <w:r w:rsidR="00AF3D3A">
        <w:rPr>
          <w:rFonts w:asciiTheme="majorHAnsi" w:eastAsia="Calibri" w:hAnsiTheme="majorHAnsi" w:cstheme="majorHAnsi"/>
          <w:i/>
          <w:sz w:val="24"/>
          <w:szCs w:val="24"/>
          <w:lang w:val="ro-MD"/>
        </w:rPr>
        <w:t xml:space="preserve">ită </w:t>
      </w:r>
      <w:r w:rsidRPr="00401691">
        <w:rPr>
          <w:rFonts w:asciiTheme="majorHAnsi" w:eastAsia="Calibri" w:hAnsiTheme="majorHAnsi" w:cstheme="majorHAnsi"/>
          <w:i/>
          <w:sz w:val="24"/>
          <w:szCs w:val="24"/>
          <w:lang w:val="ro-MD"/>
        </w:rPr>
        <w:t xml:space="preserve"> stingerii restanțelor din evidența de bază și trecerii obligațiilor fiscale în evidența specială, care</w:t>
      </w:r>
      <w:r w:rsidR="002B5BEF">
        <w:rPr>
          <w:rFonts w:asciiTheme="majorHAnsi" w:eastAsia="Calibri" w:hAnsiTheme="majorHAnsi" w:cstheme="majorHAnsi"/>
          <w:i/>
          <w:sz w:val="24"/>
          <w:szCs w:val="24"/>
          <w:lang w:val="ro-MD"/>
        </w:rPr>
        <w:t>,</w:t>
      </w:r>
      <w:r w:rsidRPr="00401691">
        <w:rPr>
          <w:rFonts w:asciiTheme="majorHAnsi" w:eastAsia="Calibri" w:hAnsiTheme="majorHAnsi" w:cstheme="majorHAnsi"/>
          <w:i/>
          <w:sz w:val="24"/>
          <w:szCs w:val="24"/>
          <w:lang w:val="ro-MD"/>
        </w:rPr>
        <w:t xml:space="preserve"> în condițiile cadrului legal</w:t>
      </w:r>
      <w:r w:rsidR="002B5BEF">
        <w:rPr>
          <w:rFonts w:asciiTheme="majorHAnsi" w:eastAsia="Calibri" w:hAnsiTheme="majorHAnsi" w:cstheme="majorHAnsi"/>
          <w:i/>
          <w:sz w:val="24"/>
          <w:szCs w:val="24"/>
          <w:lang w:val="ro-MD"/>
        </w:rPr>
        <w:t>,</w:t>
      </w:r>
      <w:r w:rsidRPr="00401691">
        <w:rPr>
          <w:rFonts w:asciiTheme="majorHAnsi" w:eastAsia="Calibri" w:hAnsiTheme="majorHAnsi" w:cstheme="majorHAnsi"/>
          <w:i/>
          <w:sz w:val="24"/>
          <w:szCs w:val="24"/>
          <w:lang w:val="ro-MD"/>
        </w:rPr>
        <w:t xml:space="preserve"> nu se consideră restanțe. La situația din 31.12.2019</w:t>
      </w:r>
      <w:r w:rsidR="002B5BEF">
        <w:rPr>
          <w:rFonts w:asciiTheme="majorHAnsi" w:eastAsia="Calibri" w:hAnsiTheme="majorHAnsi" w:cstheme="majorHAnsi"/>
          <w:i/>
          <w:sz w:val="24"/>
          <w:szCs w:val="24"/>
          <w:lang w:val="ro-MD"/>
        </w:rPr>
        <w:t>,</w:t>
      </w:r>
      <w:r w:rsidRPr="00401691">
        <w:rPr>
          <w:rFonts w:asciiTheme="majorHAnsi" w:eastAsia="Calibri" w:hAnsiTheme="majorHAnsi" w:cstheme="majorHAnsi"/>
          <w:i/>
          <w:sz w:val="24"/>
          <w:szCs w:val="24"/>
          <w:lang w:val="ro-MD"/>
        </w:rPr>
        <w:t xml:space="preserve"> obligațiile fiscale care figurau în evidența specială au însumat 12034,4 mil.le</w:t>
      </w:r>
      <w:r w:rsidR="00A277BC">
        <w:rPr>
          <w:rFonts w:asciiTheme="majorHAnsi" w:eastAsia="Calibri" w:hAnsiTheme="majorHAnsi" w:cstheme="majorHAnsi"/>
          <w:i/>
          <w:sz w:val="24"/>
          <w:szCs w:val="24"/>
          <w:lang w:val="ro-MD"/>
        </w:rPr>
        <w:t xml:space="preserve">i, </w:t>
      </w:r>
      <w:r w:rsidR="00A277BC" w:rsidRPr="005774CD">
        <w:rPr>
          <w:rFonts w:asciiTheme="majorHAnsi" w:eastAsia="Calibri" w:hAnsiTheme="majorHAnsi" w:cstheme="majorHAnsi"/>
          <w:i/>
          <w:sz w:val="24"/>
          <w:szCs w:val="24"/>
          <w:lang w:val="ro-MD"/>
        </w:rPr>
        <w:t xml:space="preserve">sau majorându-se </w:t>
      </w:r>
      <w:r w:rsidR="005774CD" w:rsidRPr="005774CD">
        <w:rPr>
          <w:rFonts w:asciiTheme="majorHAnsi" w:eastAsia="Calibri" w:hAnsiTheme="majorHAnsi" w:cstheme="majorHAnsi"/>
          <w:i/>
          <w:sz w:val="24"/>
          <w:szCs w:val="24"/>
          <w:lang w:val="ro-MD"/>
        </w:rPr>
        <w:t>cu 541,0 mil. lei,</w:t>
      </w:r>
      <w:r w:rsidR="005774CD" w:rsidRPr="00573060">
        <w:rPr>
          <w:rFonts w:asciiTheme="majorHAnsi" w:eastAsia="Calibri" w:hAnsiTheme="majorHAnsi" w:cstheme="majorHAnsi"/>
          <w:i/>
          <w:sz w:val="24"/>
          <w:szCs w:val="24"/>
          <w:lang w:val="ro-MD"/>
        </w:rPr>
        <w:t xml:space="preserve"> </w:t>
      </w:r>
      <w:r w:rsidR="00A277BC" w:rsidRPr="005774CD">
        <w:rPr>
          <w:rFonts w:asciiTheme="majorHAnsi" w:eastAsia="Calibri" w:hAnsiTheme="majorHAnsi" w:cstheme="majorHAnsi"/>
          <w:i/>
          <w:sz w:val="24"/>
          <w:szCs w:val="24"/>
          <w:lang w:val="ro-MD"/>
        </w:rPr>
        <w:t xml:space="preserve">comparativ </w:t>
      </w:r>
      <w:r w:rsidRPr="005774CD">
        <w:rPr>
          <w:rFonts w:asciiTheme="majorHAnsi" w:eastAsia="Calibri" w:hAnsiTheme="majorHAnsi" w:cstheme="majorHAnsi"/>
          <w:i/>
          <w:sz w:val="24"/>
          <w:szCs w:val="24"/>
          <w:lang w:val="ro-MD"/>
        </w:rPr>
        <w:t>cu anul 2018</w:t>
      </w:r>
      <w:r w:rsidR="00A277BC">
        <w:rPr>
          <w:rFonts w:asciiTheme="majorHAnsi" w:eastAsia="Calibri" w:hAnsiTheme="majorHAnsi" w:cstheme="majorHAnsi"/>
          <w:i/>
          <w:sz w:val="24"/>
          <w:szCs w:val="24"/>
          <w:lang w:val="ro-MD"/>
        </w:rPr>
        <w:t xml:space="preserve">. </w:t>
      </w:r>
    </w:p>
    <w:p w:rsidR="004536BE" w:rsidRPr="00401691" w:rsidRDefault="005A062D" w:rsidP="00844145">
      <w:pPr>
        <w:pBdr>
          <w:top w:val="wave" w:sz="6" w:space="1" w:color="auto"/>
          <w:left w:val="wave" w:sz="6" w:space="4" w:color="auto"/>
          <w:bottom w:val="wave" w:sz="6" w:space="0" w:color="auto"/>
          <w:right w:val="wave" w:sz="6" w:space="4" w:color="auto"/>
        </w:pBdr>
        <w:spacing w:after="0" w:line="276" w:lineRule="auto"/>
        <w:jc w:val="both"/>
        <w:rPr>
          <w:rFonts w:asciiTheme="majorHAnsi" w:eastAsia="Calibri" w:hAnsiTheme="majorHAnsi" w:cstheme="majorHAnsi"/>
          <w:i/>
          <w:sz w:val="24"/>
          <w:szCs w:val="24"/>
          <w:lang w:val="ro-MD"/>
        </w:rPr>
      </w:pPr>
      <w:r w:rsidRPr="002D6368">
        <w:rPr>
          <w:rFonts w:asciiTheme="majorHAnsi" w:eastAsia="Calibri" w:hAnsiTheme="majorHAnsi" w:cstheme="majorHAnsi"/>
          <w:i/>
          <w:sz w:val="24"/>
          <w:szCs w:val="24"/>
          <w:lang w:val="ro-MD"/>
        </w:rPr>
        <w:t>L</w:t>
      </w:r>
      <w:r w:rsidR="004536BE" w:rsidRPr="002D6368">
        <w:rPr>
          <w:rFonts w:asciiTheme="majorHAnsi" w:eastAsia="Calibri" w:hAnsiTheme="majorHAnsi" w:cstheme="majorHAnsi"/>
          <w:i/>
          <w:sz w:val="24"/>
          <w:szCs w:val="24"/>
          <w:lang w:val="ro-MD"/>
        </w:rPr>
        <w:t xml:space="preserve">ipsa unui cadru metodologic </w:t>
      </w:r>
      <w:r w:rsidR="002D6368" w:rsidRPr="002D6368">
        <w:rPr>
          <w:rFonts w:asciiTheme="majorHAnsi" w:eastAsia="Calibri" w:hAnsiTheme="majorHAnsi" w:cstheme="majorHAnsi"/>
          <w:i/>
          <w:sz w:val="24"/>
          <w:szCs w:val="24"/>
          <w:lang w:val="ro-MD"/>
        </w:rPr>
        <w:t xml:space="preserve">intern </w:t>
      </w:r>
      <w:r w:rsidR="004536BE" w:rsidRPr="002D6368">
        <w:rPr>
          <w:rFonts w:asciiTheme="majorHAnsi" w:eastAsia="Calibri" w:hAnsiTheme="majorHAnsi" w:cstheme="majorHAnsi"/>
          <w:i/>
          <w:sz w:val="24"/>
          <w:szCs w:val="24"/>
          <w:lang w:val="ro-MD"/>
        </w:rPr>
        <w:t xml:space="preserve">aferent procesului de raportare a restanțelor a determinat </w:t>
      </w:r>
      <w:r w:rsidR="00A277BC" w:rsidRPr="002D6368">
        <w:rPr>
          <w:rFonts w:asciiTheme="majorHAnsi" w:eastAsia="Calibri" w:hAnsiTheme="majorHAnsi" w:cstheme="majorHAnsi"/>
          <w:i/>
          <w:sz w:val="24"/>
          <w:szCs w:val="24"/>
          <w:lang w:val="ro-MD"/>
        </w:rPr>
        <w:t xml:space="preserve"> neincluderea</w:t>
      </w:r>
      <w:r w:rsidR="00C3000D">
        <w:rPr>
          <w:rFonts w:asciiTheme="majorHAnsi" w:eastAsia="Calibri" w:hAnsiTheme="majorHAnsi" w:cstheme="majorHAnsi"/>
          <w:i/>
          <w:sz w:val="24"/>
          <w:szCs w:val="24"/>
          <w:lang w:val="ro-MD"/>
        </w:rPr>
        <w:t xml:space="preserve"> și neraportarea </w:t>
      </w:r>
      <w:r w:rsidR="005C6CCE">
        <w:rPr>
          <w:rFonts w:asciiTheme="majorHAnsi" w:eastAsia="Calibri" w:hAnsiTheme="majorHAnsi" w:cstheme="majorHAnsi"/>
          <w:i/>
          <w:sz w:val="24"/>
          <w:szCs w:val="24"/>
          <w:lang w:val="ro-MD"/>
        </w:rPr>
        <w:t xml:space="preserve">de către SFS a </w:t>
      </w:r>
      <w:r w:rsidR="00C3000D">
        <w:rPr>
          <w:rFonts w:asciiTheme="majorHAnsi" w:eastAsia="Calibri" w:hAnsiTheme="majorHAnsi" w:cstheme="majorHAnsi"/>
          <w:i/>
          <w:sz w:val="24"/>
          <w:szCs w:val="24"/>
          <w:lang w:val="ro-MD"/>
        </w:rPr>
        <w:t xml:space="preserve">sumei de </w:t>
      </w:r>
      <w:r w:rsidR="00C3000D">
        <w:rPr>
          <w:rFonts w:asciiTheme="majorHAnsi" w:hAnsiTheme="majorHAnsi" w:cstheme="majorHAnsi"/>
          <w:color w:val="000000" w:themeColor="text1"/>
          <w:sz w:val="24"/>
          <w:szCs w:val="24"/>
          <w:lang w:val="ro-MD"/>
        </w:rPr>
        <w:t>6733,6</w:t>
      </w:r>
      <w:r w:rsidR="00A277BC" w:rsidRPr="002D6368">
        <w:rPr>
          <w:rFonts w:asciiTheme="majorHAnsi" w:eastAsia="Calibri" w:hAnsiTheme="majorHAnsi" w:cstheme="majorHAnsi"/>
          <w:i/>
          <w:sz w:val="24"/>
          <w:szCs w:val="24"/>
          <w:lang w:val="ro-MD"/>
        </w:rPr>
        <w:t xml:space="preserve"> mil. lei </w:t>
      </w:r>
      <w:r w:rsidR="004536BE" w:rsidRPr="002D6368">
        <w:rPr>
          <w:rFonts w:asciiTheme="majorHAnsi" w:eastAsia="Calibri" w:hAnsiTheme="majorHAnsi" w:cstheme="majorHAnsi"/>
          <w:i/>
          <w:sz w:val="24"/>
          <w:szCs w:val="24"/>
          <w:lang w:val="ro-MD"/>
        </w:rPr>
        <w:t xml:space="preserve">ca „restanță”, </w:t>
      </w:r>
      <w:r w:rsidR="005C6CCE">
        <w:rPr>
          <w:rFonts w:asciiTheme="majorHAnsi" w:eastAsia="Calibri" w:hAnsiTheme="majorHAnsi" w:cstheme="majorHAnsi"/>
          <w:i/>
          <w:sz w:val="24"/>
          <w:szCs w:val="24"/>
          <w:lang w:val="ro-MD"/>
        </w:rPr>
        <w:t>aceasta fiind</w:t>
      </w:r>
      <w:r w:rsidR="004536BE" w:rsidRPr="002D6368">
        <w:rPr>
          <w:rFonts w:asciiTheme="majorHAnsi" w:eastAsia="Calibri" w:hAnsiTheme="majorHAnsi" w:cstheme="majorHAnsi"/>
          <w:i/>
          <w:sz w:val="24"/>
          <w:szCs w:val="24"/>
          <w:lang w:val="ro-MD"/>
        </w:rPr>
        <w:t xml:space="preserve"> atribuită obligațiilor fiscale din evidența specială.</w:t>
      </w:r>
    </w:p>
    <w:p w:rsidR="00C15038" w:rsidRPr="00401691" w:rsidRDefault="004536BE" w:rsidP="00844145">
      <w:pPr>
        <w:pBdr>
          <w:top w:val="wave" w:sz="6" w:space="1" w:color="auto"/>
          <w:left w:val="wave" w:sz="6" w:space="4" w:color="auto"/>
          <w:bottom w:val="wave" w:sz="6" w:space="0" w:color="auto"/>
          <w:right w:val="wave" w:sz="6" w:space="4" w:color="auto"/>
        </w:pBdr>
        <w:spacing w:after="0" w:line="276" w:lineRule="auto"/>
        <w:jc w:val="both"/>
        <w:rPr>
          <w:rFonts w:asciiTheme="majorHAnsi" w:eastAsia="Calibri" w:hAnsiTheme="majorHAnsi" w:cstheme="majorHAnsi"/>
          <w:sz w:val="24"/>
          <w:szCs w:val="24"/>
          <w:lang w:val="ro-MD"/>
        </w:rPr>
      </w:pPr>
      <w:r w:rsidRPr="00401691">
        <w:rPr>
          <w:rFonts w:asciiTheme="majorHAnsi" w:eastAsia="Calibri" w:hAnsiTheme="majorHAnsi" w:cstheme="majorHAnsi"/>
          <w:i/>
          <w:sz w:val="24"/>
          <w:szCs w:val="24"/>
          <w:lang w:val="ro-MD"/>
        </w:rPr>
        <w:t>SFS a exclus neîntemeiat din evidența fiscală restanțele unor contribuabili în sum</w:t>
      </w:r>
      <w:r w:rsidR="005C6CCE">
        <w:rPr>
          <w:rFonts w:asciiTheme="majorHAnsi" w:eastAsia="Calibri" w:hAnsiTheme="majorHAnsi" w:cstheme="majorHAnsi"/>
          <w:i/>
          <w:sz w:val="24"/>
          <w:szCs w:val="24"/>
          <w:lang w:val="ro-MD"/>
        </w:rPr>
        <w:t>ă</w:t>
      </w:r>
      <w:r w:rsidRPr="00401691">
        <w:rPr>
          <w:rFonts w:asciiTheme="majorHAnsi" w:eastAsia="Calibri" w:hAnsiTheme="majorHAnsi" w:cstheme="majorHAnsi"/>
          <w:i/>
          <w:sz w:val="24"/>
          <w:szCs w:val="24"/>
          <w:lang w:val="ro-MD"/>
        </w:rPr>
        <w:t xml:space="preserve"> de </w:t>
      </w:r>
      <w:r w:rsidRPr="00401691">
        <w:rPr>
          <w:rFonts w:asciiTheme="majorHAnsi" w:eastAsia="Calibri" w:hAnsiTheme="majorHAnsi" w:cstheme="majorHAnsi"/>
          <w:bCs/>
          <w:i/>
          <w:sz w:val="24"/>
          <w:szCs w:val="24"/>
          <w:lang w:val="ro-MD"/>
        </w:rPr>
        <w:t>8,4 mil</w:t>
      </w:r>
      <w:r w:rsidR="00AE7ABC">
        <w:rPr>
          <w:rFonts w:asciiTheme="majorHAnsi" w:eastAsia="Calibri" w:hAnsiTheme="majorHAnsi" w:cstheme="majorHAnsi"/>
          <w:bCs/>
          <w:i/>
          <w:sz w:val="24"/>
          <w:szCs w:val="24"/>
          <w:lang w:val="ro-MD"/>
        </w:rPr>
        <w:t>.</w:t>
      </w:r>
      <w:r w:rsidRPr="00401691">
        <w:rPr>
          <w:rFonts w:asciiTheme="majorHAnsi" w:eastAsia="Calibri" w:hAnsiTheme="majorHAnsi" w:cstheme="majorHAnsi"/>
          <w:bCs/>
          <w:i/>
          <w:sz w:val="24"/>
          <w:szCs w:val="24"/>
          <w:lang w:val="ro-MD"/>
        </w:rPr>
        <w:t xml:space="preserve"> lei, </w:t>
      </w:r>
      <w:r w:rsidRPr="00401691">
        <w:rPr>
          <w:rFonts w:asciiTheme="majorHAnsi" w:eastAsia="Calibri" w:hAnsiTheme="majorHAnsi" w:cstheme="majorHAnsi"/>
          <w:i/>
          <w:sz w:val="24"/>
          <w:szCs w:val="24"/>
          <w:lang w:val="ro-MD"/>
        </w:rPr>
        <w:t xml:space="preserve">cu toate că </w:t>
      </w:r>
      <w:r w:rsidR="00AE7ABC">
        <w:rPr>
          <w:rFonts w:asciiTheme="majorHAnsi" w:eastAsia="Calibri" w:hAnsiTheme="majorHAnsi" w:cstheme="majorHAnsi"/>
          <w:i/>
          <w:sz w:val="24"/>
          <w:szCs w:val="24"/>
          <w:lang w:val="ro-MD"/>
        </w:rPr>
        <w:t>aceștia</w:t>
      </w:r>
      <w:r w:rsidRPr="00401691">
        <w:rPr>
          <w:rFonts w:asciiTheme="majorHAnsi" w:eastAsia="Calibri" w:hAnsiTheme="majorHAnsi" w:cstheme="majorHAnsi"/>
          <w:i/>
          <w:sz w:val="24"/>
          <w:szCs w:val="24"/>
          <w:lang w:val="ro-MD"/>
        </w:rPr>
        <w:t xml:space="preserve"> nu le-au achitat și </w:t>
      </w:r>
      <w:r w:rsidR="005C6CCE">
        <w:rPr>
          <w:rFonts w:asciiTheme="majorHAnsi" w:eastAsia="Calibri" w:hAnsiTheme="majorHAnsi" w:cstheme="majorHAnsi"/>
          <w:i/>
          <w:sz w:val="24"/>
          <w:szCs w:val="24"/>
          <w:lang w:val="ro-MD"/>
        </w:rPr>
        <w:t xml:space="preserve">nici </w:t>
      </w:r>
      <w:r w:rsidRPr="00401691">
        <w:rPr>
          <w:rFonts w:asciiTheme="majorHAnsi" w:eastAsia="Calibri" w:hAnsiTheme="majorHAnsi" w:cstheme="majorHAnsi"/>
          <w:i/>
          <w:sz w:val="24"/>
          <w:szCs w:val="24"/>
          <w:lang w:val="ro-MD"/>
        </w:rPr>
        <w:t>nu au fost scăzute din datorii prin alte metode legale</w:t>
      </w:r>
      <w:r w:rsidR="00AE7ABC">
        <w:rPr>
          <w:rFonts w:asciiTheme="majorHAnsi" w:eastAsia="Calibri" w:hAnsiTheme="majorHAnsi" w:cstheme="majorHAnsi"/>
          <w:i/>
          <w:sz w:val="24"/>
          <w:szCs w:val="24"/>
          <w:lang w:val="ro-MD"/>
        </w:rPr>
        <w:t xml:space="preserve">. </w:t>
      </w:r>
      <w:r w:rsidR="005A062D">
        <w:rPr>
          <w:rFonts w:asciiTheme="majorHAnsi" w:eastAsia="Calibri" w:hAnsiTheme="majorHAnsi" w:cstheme="majorHAnsi"/>
          <w:i/>
          <w:sz w:val="24"/>
          <w:szCs w:val="24"/>
          <w:lang w:val="ro-MD"/>
        </w:rPr>
        <w:t>P</w:t>
      </w:r>
      <w:r w:rsidR="00AE7ABC">
        <w:rPr>
          <w:rFonts w:asciiTheme="majorHAnsi" w:eastAsia="Calibri" w:hAnsiTheme="majorHAnsi" w:cstheme="majorHAnsi"/>
          <w:i/>
          <w:sz w:val="24"/>
          <w:szCs w:val="24"/>
          <w:lang w:val="ro-MD"/>
        </w:rPr>
        <w:t>e parcursul auditului,</w:t>
      </w:r>
      <w:r w:rsidRPr="00401691">
        <w:rPr>
          <w:rFonts w:asciiTheme="majorHAnsi" w:eastAsia="Calibri" w:hAnsiTheme="majorHAnsi" w:cstheme="majorHAnsi"/>
          <w:i/>
          <w:sz w:val="24"/>
          <w:szCs w:val="24"/>
          <w:lang w:val="ro-MD"/>
        </w:rPr>
        <w:t xml:space="preserve"> SFS a restabilit</w:t>
      </w:r>
      <w:r w:rsidR="005A062D">
        <w:rPr>
          <w:rFonts w:asciiTheme="majorHAnsi" w:eastAsia="Calibri" w:hAnsiTheme="majorHAnsi" w:cstheme="majorHAnsi"/>
          <w:i/>
          <w:sz w:val="24"/>
          <w:szCs w:val="24"/>
          <w:lang w:val="ro-MD"/>
        </w:rPr>
        <w:t xml:space="preserve"> în evidență</w:t>
      </w:r>
      <w:r w:rsidRPr="00401691">
        <w:rPr>
          <w:rFonts w:asciiTheme="majorHAnsi" w:eastAsia="Calibri" w:hAnsiTheme="majorHAnsi" w:cstheme="majorHAnsi"/>
          <w:i/>
          <w:sz w:val="24"/>
          <w:szCs w:val="24"/>
          <w:lang w:val="ro-MD"/>
        </w:rPr>
        <w:t xml:space="preserve"> </w:t>
      </w:r>
      <w:r w:rsidR="005A062D">
        <w:rPr>
          <w:rFonts w:asciiTheme="majorHAnsi" w:eastAsia="Calibri" w:hAnsiTheme="majorHAnsi" w:cstheme="majorHAnsi"/>
          <w:i/>
          <w:sz w:val="24"/>
          <w:szCs w:val="24"/>
          <w:lang w:val="ro-MD"/>
        </w:rPr>
        <w:t xml:space="preserve">și a raportat suplimentar MF </w:t>
      </w:r>
      <w:r w:rsidRPr="00401691">
        <w:rPr>
          <w:rFonts w:asciiTheme="majorHAnsi" w:eastAsia="Calibri" w:hAnsiTheme="majorHAnsi" w:cstheme="majorHAnsi"/>
          <w:i/>
          <w:sz w:val="24"/>
          <w:szCs w:val="24"/>
          <w:lang w:val="ro-MD"/>
        </w:rPr>
        <w:t>suma</w:t>
      </w:r>
      <w:r w:rsidR="00AE7ABC">
        <w:rPr>
          <w:rFonts w:asciiTheme="majorHAnsi" w:eastAsia="Calibri" w:hAnsiTheme="majorHAnsi" w:cstheme="majorHAnsi"/>
          <w:i/>
          <w:sz w:val="24"/>
          <w:szCs w:val="24"/>
          <w:lang w:val="ro-MD"/>
        </w:rPr>
        <w:t xml:space="preserve"> respectivă</w:t>
      </w:r>
      <w:r w:rsidR="005A062D">
        <w:rPr>
          <w:rFonts w:asciiTheme="majorHAnsi" w:eastAsia="Calibri" w:hAnsiTheme="majorHAnsi" w:cstheme="majorHAnsi"/>
          <w:i/>
          <w:sz w:val="24"/>
          <w:szCs w:val="24"/>
          <w:lang w:val="ro-MD"/>
        </w:rPr>
        <w:t>, fiind corectate dările de seamă.</w:t>
      </w:r>
      <w:r w:rsidRPr="00401691">
        <w:rPr>
          <w:rFonts w:asciiTheme="majorHAnsi" w:eastAsia="Calibri" w:hAnsiTheme="majorHAnsi" w:cstheme="majorHAnsi"/>
          <w:i/>
          <w:sz w:val="24"/>
          <w:szCs w:val="24"/>
          <w:lang w:val="ro-MD"/>
        </w:rPr>
        <w:t xml:space="preserve"> Auditul menționează</w:t>
      </w:r>
      <w:r w:rsidR="005A062D">
        <w:rPr>
          <w:rFonts w:asciiTheme="majorHAnsi" w:eastAsia="Calibri" w:hAnsiTheme="majorHAnsi" w:cstheme="majorHAnsi"/>
          <w:i/>
          <w:sz w:val="24"/>
          <w:szCs w:val="24"/>
          <w:lang w:val="ro-MD"/>
        </w:rPr>
        <w:t xml:space="preserve"> diminuarea </w:t>
      </w:r>
      <w:r w:rsidR="005A062D" w:rsidRPr="00401691">
        <w:rPr>
          <w:rFonts w:asciiTheme="majorHAnsi" w:eastAsia="Calibri" w:hAnsiTheme="majorHAnsi" w:cstheme="majorHAnsi"/>
          <w:i/>
          <w:sz w:val="24"/>
          <w:szCs w:val="24"/>
          <w:lang w:val="ro-MD"/>
        </w:rPr>
        <w:t>cu 2,1 mil</w:t>
      </w:r>
      <w:r w:rsidR="005A062D">
        <w:rPr>
          <w:rFonts w:asciiTheme="majorHAnsi" w:eastAsia="Calibri" w:hAnsiTheme="majorHAnsi" w:cstheme="majorHAnsi"/>
          <w:i/>
          <w:sz w:val="24"/>
          <w:szCs w:val="24"/>
          <w:lang w:val="ro-MD"/>
        </w:rPr>
        <w:t>.</w:t>
      </w:r>
      <w:r w:rsidR="005A062D" w:rsidRPr="00401691">
        <w:rPr>
          <w:rFonts w:asciiTheme="majorHAnsi" w:eastAsia="Calibri" w:hAnsiTheme="majorHAnsi" w:cstheme="majorHAnsi"/>
          <w:i/>
          <w:sz w:val="24"/>
          <w:szCs w:val="24"/>
          <w:lang w:val="ro-MD"/>
        </w:rPr>
        <w:t xml:space="preserve"> lei</w:t>
      </w:r>
      <w:r w:rsidR="005A062D">
        <w:rPr>
          <w:rFonts w:asciiTheme="majorHAnsi" w:eastAsia="Calibri" w:hAnsiTheme="majorHAnsi" w:cstheme="majorHAnsi"/>
          <w:i/>
          <w:sz w:val="24"/>
          <w:szCs w:val="24"/>
          <w:lang w:val="ro-MD"/>
        </w:rPr>
        <w:t xml:space="preserve"> a sumei raportate privind rezultatele</w:t>
      </w:r>
      <w:r w:rsidRPr="00401691">
        <w:rPr>
          <w:rFonts w:asciiTheme="majorHAnsi" w:eastAsia="Calibri" w:hAnsiTheme="majorHAnsi" w:cstheme="majorHAnsi"/>
          <w:i/>
          <w:sz w:val="24"/>
          <w:szCs w:val="24"/>
          <w:lang w:val="ro-MD"/>
        </w:rPr>
        <w:t xml:space="preserve"> procesului de stimulare fiscală</w:t>
      </w:r>
      <w:r w:rsidR="00AE7ABC">
        <w:rPr>
          <w:rFonts w:asciiTheme="majorHAnsi" w:eastAsia="Calibri" w:hAnsiTheme="majorHAnsi" w:cstheme="majorHAnsi"/>
          <w:i/>
          <w:sz w:val="24"/>
          <w:szCs w:val="24"/>
          <w:lang w:val="ro-MD"/>
        </w:rPr>
        <w:t>,</w:t>
      </w:r>
      <w:r w:rsidRPr="00401691">
        <w:rPr>
          <w:rFonts w:asciiTheme="majorHAnsi" w:eastAsia="Calibri" w:hAnsiTheme="majorHAnsi" w:cstheme="majorHAnsi"/>
          <w:i/>
          <w:sz w:val="24"/>
          <w:szCs w:val="24"/>
          <w:lang w:val="ro-MD"/>
        </w:rPr>
        <w:t xml:space="preserve"> cauzat</w:t>
      </w:r>
      <w:r w:rsidR="005C6CCE">
        <w:rPr>
          <w:rFonts w:asciiTheme="majorHAnsi" w:eastAsia="Calibri" w:hAnsiTheme="majorHAnsi" w:cstheme="majorHAnsi"/>
          <w:i/>
          <w:sz w:val="24"/>
          <w:szCs w:val="24"/>
          <w:lang w:val="ro-MD"/>
        </w:rPr>
        <w:t>ă</w:t>
      </w:r>
      <w:r w:rsidRPr="00401691">
        <w:rPr>
          <w:rFonts w:asciiTheme="majorHAnsi" w:eastAsia="Calibri" w:hAnsiTheme="majorHAnsi" w:cstheme="majorHAnsi"/>
          <w:i/>
          <w:sz w:val="24"/>
          <w:szCs w:val="24"/>
          <w:lang w:val="ro-MD"/>
        </w:rPr>
        <w:t xml:space="preserve"> de acordarea acestora</w:t>
      </w:r>
      <w:r w:rsidR="005A062D">
        <w:rPr>
          <w:rFonts w:asciiTheme="majorHAnsi" w:eastAsia="Calibri" w:hAnsiTheme="majorHAnsi" w:cstheme="majorHAnsi"/>
          <w:i/>
          <w:sz w:val="24"/>
          <w:szCs w:val="24"/>
          <w:lang w:val="ro-MD"/>
        </w:rPr>
        <w:t xml:space="preserve"> </w:t>
      </w:r>
      <w:r w:rsidRPr="00401691">
        <w:rPr>
          <w:rFonts w:asciiTheme="majorHAnsi" w:eastAsia="Calibri" w:hAnsiTheme="majorHAnsi" w:cstheme="majorHAnsi"/>
          <w:i/>
          <w:sz w:val="24"/>
          <w:szCs w:val="24"/>
          <w:lang w:val="ro-MD"/>
        </w:rPr>
        <w:t>ulterior termenului</w:t>
      </w:r>
      <w:r w:rsidR="005C6CCE">
        <w:rPr>
          <w:rFonts w:asciiTheme="majorHAnsi" w:eastAsia="Calibri" w:hAnsiTheme="majorHAnsi" w:cstheme="majorHAnsi"/>
          <w:i/>
          <w:sz w:val="24"/>
          <w:szCs w:val="24"/>
          <w:lang w:val="ro-MD"/>
        </w:rPr>
        <w:t>-</w:t>
      </w:r>
      <w:r w:rsidRPr="00401691">
        <w:rPr>
          <w:rFonts w:asciiTheme="majorHAnsi" w:eastAsia="Calibri" w:hAnsiTheme="majorHAnsi" w:cstheme="majorHAnsi"/>
          <w:i/>
          <w:sz w:val="24"/>
          <w:szCs w:val="24"/>
          <w:lang w:val="ro-MD"/>
        </w:rPr>
        <w:t xml:space="preserve">limită prestabilit. Cele menționate </w:t>
      </w:r>
      <w:r w:rsidRPr="00401691">
        <w:rPr>
          <w:rFonts w:asciiTheme="majorHAnsi" w:eastAsia="Calibri" w:hAnsiTheme="majorHAnsi" w:cstheme="majorHAnsi"/>
          <w:i/>
          <w:sz w:val="24"/>
          <w:szCs w:val="24"/>
          <w:lang w:val="ro-MD"/>
        </w:rPr>
        <w:lastRenderedPageBreak/>
        <w:t>denotă existența unor controale interne de prevenire slabe, care nu au depistat în termen</w:t>
      </w:r>
      <w:r w:rsidR="005C6CCE">
        <w:rPr>
          <w:rFonts w:asciiTheme="majorHAnsi" w:eastAsia="Calibri" w:hAnsiTheme="majorHAnsi" w:cstheme="majorHAnsi"/>
          <w:i/>
          <w:sz w:val="24"/>
          <w:szCs w:val="24"/>
          <w:lang w:val="ro-MD"/>
        </w:rPr>
        <w:t>e</w:t>
      </w:r>
      <w:r w:rsidRPr="00401691">
        <w:rPr>
          <w:rFonts w:asciiTheme="majorHAnsi" w:eastAsia="Calibri" w:hAnsiTheme="majorHAnsi" w:cstheme="majorHAnsi"/>
          <w:i/>
          <w:sz w:val="24"/>
          <w:szCs w:val="24"/>
          <w:lang w:val="ro-MD"/>
        </w:rPr>
        <w:t xml:space="preserve"> oportun</w:t>
      </w:r>
      <w:r w:rsidR="005C6CCE">
        <w:rPr>
          <w:rFonts w:asciiTheme="majorHAnsi" w:eastAsia="Calibri" w:hAnsiTheme="majorHAnsi" w:cstheme="majorHAnsi"/>
          <w:i/>
          <w:sz w:val="24"/>
          <w:szCs w:val="24"/>
          <w:lang w:val="ro-MD"/>
        </w:rPr>
        <w:t>e</w:t>
      </w:r>
      <w:r w:rsidRPr="00401691">
        <w:rPr>
          <w:rFonts w:asciiTheme="majorHAnsi" w:eastAsia="Calibri" w:hAnsiTheme="majorHAnsi" w:cstheme="majorHAnsi"/>
          <w:i/>
          <w:sz w:val="24"/>
          <w:szCs w:val="24"/>
          <w:lang w:val="ro-MD"/>
        </w:rPr>
        <w:t xml:space="preserve"> erorile cu privire la restanța contribuabililor.</w:t>
      </w:r>
    </w:p>
    <w:p w:rsidR="00000101" w:rsidRPr="007D38DE" w:rsidRDefault="00583F45" w:rsidP="00844145">
      <w:pPr>
        <w:pStyle w:val="Heading3"/>
        <w:numPr>
          <w:ilvl w:val="1"/>
          <w:numId w:val="34"/>
        </w:numPr>
        <w:spacing w:before="240" w:after="120" w:line="276" w:lineRule="auto"/>
        <w:jc w:val="both"/>
        <w:rPr>
          <w:rFonts w:cstheme="majorHAnsi"/>
          <w:b/>
        </w:rPr>
      </w:pPr>
      <w:bookmarkStart w:id="13" w:name="_Toc48732725"/>
      <w:r>
        <w:rPr>
          <w:rFonts w:cstheme="majorHAnsi"/>
          <w:b/>
          <w:lang w:val="ro-MD"/>
        </w:rPr>
        <w:t xml:space="preserve">. </w:t>
      </w:r>
      <w:r w:rsidR="009B2C26">
        <w:rPr>
          <w:rFonts w:cstheme="majorHAnsi"/>
          <w:b/>
          <w:lang w:val="ro-MD"/>
        </w:rPr>
        <w:t xml:space="preserve">Auditul atestă </w:t>
      </w:r>
      <w:r w:rsidR="009B2C26" w:rsidRPr="00BB334D">
        <w:rPr>
          <w:rFonts w:cstheme="majorHAnsi"/>
          <w:b/>
          <w:lang w:val="ro-MD"/>
        </w:rPr>
        <w:t xml:space="preserve">unele </w:t>
      </w:r>
      <w:r w:rsidR="00CB6BC1" w:rsidRPr="00BB334D">
        <w:rPr>
          <w:rFonts w:cstheme="majorHAnsi"/>
          <w:b/>
          <w:lang w:val="ro-MD"/>
        </w:rPr>
        <w:t>d</w:t>
      </w:r>
      <w:r w:rsidR="00BB334D">
        <w:rPr>
          <w:rFonts w:cstheme="majorHAnsi"/>
          <w:b/>
          <w:lang w:val="ro-MD"/>
        </w:rPr>
        <w:t>e</w:t>
      </w:r>
      <w:r w:rsidR="00CB6BC1" w:rsidRPr="00BB334D">
        <w:rPr>
          <w:rFonts w:cstheme="majorHAnsi"/>
          <w:b/>
          <w:lang w:val="ro-MD"/>
        </w:rPr>
        <w:t>ficiențe</w:t>
      </w:r>
      <w:r w:rsidR="009B2C26" w:rsidRPr="00CB6BC1">
        <w:rPr>
          <w:rFonts w:cstheme="majorHAnsi"/>
          <w:b/>
        </w:rPr>
        <w:t xml:space="preserve"> în r</w:t>
      </w:r>
      <w:r w:rsidR="002A4E32" w:rsidRPr="00CB6BC1">
        <w:rPr>
          <w:rFonts w:cstheme="majorHAnsi"/>
          <w:b/>
        </w:rPr>
        <w:t>aportarea</w:t>
      </w:r>
      <w:r w:rsidR="002A4E32">
        <w:rPr>
          <w:rFonts w:cstheme="majorHAnsi"/>
          <w:b/>
        </w:rPr>
        <w:t xml:space="preserve"> </w:t>
      </w:r>
      <w:r w:rsidR="00A94708">
        <w:rPr>
          <w:rFonts w:cstheme="majorHAnsi"/>
          <w:b/>
        </w:rPr>
        <w:t>restanțelor</w:t>
      </w:r>
      <w:r w:rsidR="00E831B9">
        <w:rPr>
          <w:rFonts w:cstheme="majorHAnsi"/>
          <w:b/>
        </w:rPr>
        <w:t xml:space="preserve"> din evidența de bază</w:t>
      </w:r>
      <w:bookmarkEnd w:id="13"/>
      <w:r>
        <w:rPr>
          <w:rFonts w:cstheme="majorHAnsi"/>
          <w:b/>
        </w:rPr>
        <w:t>.</w:t>
      </w:r>
      <w:r w:rsidR="00000101" w:rsidRPr="007D38DE">
        <w:rPr>
          <w:rFonts w:cstheme="majorHAnsi"/>
          <w:b/>
        </w:rPr>
        <w:t xml:space="preserve"> </w:t>
      </w:r>
    </w:p>
    <w:p w:rsidR="004F7964" w:rsidRPr="00401691" w:rsidRDefault="00527118" w:rsidP="00844145">
      <w:pPr>
        <w:tabs>
          <w:tab w:val="left" w:pos="0"/>
          <w:tab w:val="left" w:pos="142"/>
        </w:tabs>
        <w:spacing w:after="120" w:line="276" w:lineRule="auto"/>
        <w:jc w:val="both"/>
        <w:rPr>
          <w:rFonts w:asciiTheme="majorHAnsi" w:eastAsia="Calibri" w:hAnsiTheme="majorHAnsi" w:cstheme="majorHAnsi"/>
          <w:sz w:val="24"/>
          <w:szCs w:val="24"/>
          <w:lang w:val="ro-MD"/>
        </w:rPr>
      </w:pPr>
      <w:r w:rsidRPr="00401691">
        <w:rPr>
          <w:rFonts w:asciiTheme="majorHAnsi" w:hAnsiTheme="majorHAnsi" w:cstheme="majorHAnsi"/>
          <w:sz w:val="24"/>
          <w:szCs w:val="24"/>
          <w:lang w:val="ro-MD"/>
        </w:rPr>
        <w:t>Una din</w:t>
      </w:r>
      <w:r w:rsidR="003F67AE">
        <w:rPr>
          <w:rFonts w:asciiTheme="majorHAnsi" w:hAnsiTheme="majorHAnsi" w:cstheme="majorHAnsi"/>
          <w:sz w:val="24"/>
          <w:szCs w:val="24"/>
          <w:lang w:val="ro-MD"/>
        </w:rPr>
        <w:t>tre</w:t>
      </w:r>
      <w:r w:rsidRPr="00401691">
        <w:rPr>
          <w:rFonts w:asciiTheme="majorHAnsi" w:hAnsiTheme="majorHAnsi" w:cstheme="majorHAnsi"/>
          <w:sz w:val="24"/>
          <w:szCs w:val="24"/>
          <w:lang w:val="ro-MD"/>
        </w:rPr>
        <w:t xml:space="preserve"> funcțiile și </w:t>
      </w:r>
      <w:r w:rsidR="004F7964" w:rsidRPr="00401691">
        <w:rPr>
          <w:rFonts w:asciiTheme="majorHAnsi" w:hAnsiTheme="majorHAnsi" w:cstheme="majorHAnsi"/>
          <w:sz w:val="24"/>
          <w:szCs w:val="24"/>
          <w:lang w:val="ro-MD"/>
        </w:rPr>
        <w:t>atribuțiil</w:t>
      </w:r>
      <w:r w:rsidRPr="00401691">
        <w:rPr>
          <w:rFonts w:asciiTheme="majorHAnsi" w:hAnsiTheme="majorHAnsi" w:cstheme="majorHAnsi"/>
          <w:sz w:val="24"/>
          <w:szCs w:val="24"/>
          <w:lang w:val="ro-MD"/>
        </w:rPr>
        <w:t xml:space="preserve">e principale ale SFS </w:t>
      </w:r>
      <w:r w:rsidR="004F7964" w:rsidRPr="00401691">
        <w:rPr>
          <w:rFonts w:asciiTheme="majorHAnsi" w:hAnsiTheme="majorHAnsi" w:cstheme="majorHAnsi"/>
          <w:sz w:val="24"/>
          <w:szCs w:val="24"/>
          <w:lang w:val="ro-MD"/>
        </w:rPr>
        <w:t xml:space="preserve">în domeniul administrării impozitelor și taxelor </w:t>
      </w:r>
      <w:r w:rsidR="003F67AE">
        <w:rPr>
          <w:rFonts w:asciiTheme="majorHAnsi" w:hAnsiTheme="majorHAnsi" w:cstheme="majorHAnsi"/>
          <w:sz w:val="24"/>
          <w:szCs w:val="24"/>
          <w:lang w:val="ro-MD"/>
        </w:rPr>
        <w:t xml:space="preserve">este </w:t>
      </w:r>
      <w:r w:rsidRPr="00401691">
        <w:rPr>
          <w:rFonts w:asciiTheme="majorHAnsi" w:hAnsiTheme="majorHAnsi" w:cstheme="majorHAnsi"/>
          <w:sz w:val="24"/>
          <w:szCs w:val="24"/>
          <w:lang w:val="ro-MD"/>
        </w:rPr>
        <w:t xml:space="preserve"> </w:t>
      </w:r>
      <w:r w:rsidR="004F7964" w:rsidRPr="00401691">
        <w:rPr>
          <w:rFonts w:asciiTheme="majorHAnsi" w:hAnsiTheme="majorHAnsi" w:cstheme="majorHAnsi"/>
          <w:sz w:val="24"/>
          <w:szCs w:val="24"/>
          <w:lang w:val="ro-MD"/>
        </w:rPr>
        <w:t>asigu</w:t>
      </w:r>
      <w:r w:rsidRPr="00401691">
        <w:rPr>
          <w:rFonts w:asciiTheme="majorHAnsi" w:hAnsiTheme="majorHAnsi" w:cstheme="majorHAnsi"/>
          <w:sz w:val="24"/>
          <w:szCs w:val="24"/>
          <w:lang w:val="ro-MD"/>
        </w:rPr>
        <w:t xml:space="preserve">rarea </w:t>
      </w:r>
      <w:r w:rsidR="004F7964" w:rsidRPr="00401691">
        <w:rPr>
          <w:rFonts w:asciiTheme="majorHAnsi" w:hAnsiTheme="majorHAnsi" w:cstheme="majorHAnsi"/>
          <w:sz w:val="24"/>
          <w:szCs w:val="24"/>
          <w:lang w:val="ro-MD"/>
        </w:rPr>
        <w:t>colect</w:t>
      </w:r>
      <w:r w:rsidRPr="00401691">
        <w:rPr>
          <w:rFonts w:asciiTheme="majorHAnsi" w:hAnsiTheme="majorHAnsi" w:cstheme="majorHAnsi"/>
          <w:sz w:val="24"/>
          <w:szCs w:val="24"/>
          <w:lang w:val="ro-MD"/>
        </w:rPr>
        <w:t xml:space="preserve">ării </w:t>
      </w:r>
      <w:r w:rsidR="004F7964" w:rsidRPr="00401691">
        <w:rPr>
          <w:rFonts w:asciiTheme="majorHAnsi" w:hAnsiTheme="majorHAnsi" w:cstheme="majorHAnsi"/>
          <w:sz w:val="24"/>
          <w:szCs w:val="24"/>
          <w:lang w:val="ro-MD"/>
        </w:rPr>
        <w:t xml:space="preserve">restanțelor la </w:t>
      </w:r>
      <w:r w:rsidRPr="00401691">
        <w:rPr>
          <w:rFonts w:asciiTheme="majorHAnsi" w:hAnsiTheme="majorHAnsi" w:cstheme="majorHAnsi"/>
          <w:sz w:val="24"/>
          <w:szCs w:val="24"/>
          <w:lang w:val="ro-MD"/>
        </w:rPr>
        <w:t>buget</w:t>
      </w:r>
      <w:r w:rsidR="004F7964" w:rsidRPr="00401691">
        <w:rPr>
          <w:rFonts w:asciiTheme="majorHAnsi" w:hAnsiTheme="majorHAnsi" w:cstheme="majorHAnsi"/>
          <w:sz w:val="24"/>
          <w:szCs w:val="24"/>
          <w:lang w:val="ro-MD"/>
        </w:rPr>
        <w:t>.</w:t>
      </w:r>
    </w:p>
    <w:p w:rsidR="00263014" w:rsidRDefault="00204B5D" w:rsidP="00731AE9">
      <w:pPr>
        <w:tabs>
          <w:tab w:val="left" w:pos="0"/>
          <w:tab w:val="left" w:pos="142"/>
        </w:tabs>
        <w:spacing w:after="120" w:line="276" w:lineRule="auto"/>
        <w:jc w:val="both"/>
        <w:rPr>
          <w:rFonts w:asciiTheme="majorHAnsi" w:hAnsiTheme="majorHAnsi" w:cstheme="majorHAnsi"/>
          <w:sz w:val="24"/>
          <w:szCs w:val="24"/>
          <w:lang w:val="ro-MD"/>
        </w:rPr>
      </w:pPr>
      <w:r w:rsidRPr="00401691">
        <w:rPr>
          <w:rFonts w:asciiTheme="majorHAnsi" w:eastAsia="Calibri" w:hAnsiTheme="majorHAnsi" w:cstheme="majorHAnsi"/>
          <w:sz w:val="24"/>
          <w:szCs w:val="24"/>
          <w:lang w:val="ro-MD"/>
        </w:rPr>
        <w:t xml:space="preserve">Potrivit datelor raportate de SFS, la situația </w:t>
      </w:r>
      <w:r w:rsidR="003F67AE">
        <w:rPr>
          <w:rFonts w:asciiTheme="majorHAnsi" w:eastAsia="Calibri" w:hAnsiTheme="majorHAnsi" w:cstheme="majorHAnsi"/>
          <w:sz w:val="24"/>
          <w:szCs w:val="24"/>
          <w:lang w:val="ro-MD"/>
        </w:rPr>
        <w:t xml:space="preserve">din </w:t>
      </w:r>
      <w:r w:rsidRPr="00401691">
        <w:rPr>
          <w:rFonts w:asciiTheme="majorHAnsi" w:eastAsia="Calibri" w:hAnsiTheme="majorHAnsi" w:cstheme="majorHAnsi"/>
          <w:sz w:val="24"/>
          <w:szCs w:val="24"/>
          <w:lang w:val="ro-MD"/>
        </w:rPr>
        <w:t>31.12.2019, restanța contribuabililor la BP</w:t>
      </w:r>
      <w:r w:rsidR="007C0496">
        <w:rPr>
          <w:rFonts w:asciiTheme="majorHAnsi" w:eastAsia="Calibri" w:hAnsiTheme="majorHAnsi" w:cstheme="majorHAnsi"/>
          <w:sz w:val="24"/>
          <w:szCs w:val="24"/>
          <w:lang w:val="ro-MD"/>
        </w:rPr>
        <w:t xml:space="preserve">N a constituit 1399,7 mil. lei, </w:t>
      </w:r>
      <w:r w:rsidR="003F67AE">
        <w:rPr>
          <w:rFonts w:asciiTheme="majorHAnsi" w:eastAsia="Calibri" w:hAnsiTheme="majorHAnsi" w:cstheme="majorHAnsi"/>
          <w:sz w:val="24"/>
          <w:szCs w:val="24"/>
          <w:lang w:val="ro-MD"/>
        </w:rPr>
        <w:t>din care</w:t>
      </w:r>
      <w:r w:rsidR="007C0496">
        <w:rPr>
          <w:rFonts w:asciiTheme="majorHAnsi" w:eastAsia="Calibri" w:hAnsiTheme="majorHAnsi" w:cstheme="majorHAnsi"/>
          <w:sz w:val="24"/>
          <w:szCs w:val="24"/>
          <w:lang w:val="ro-MD"/>
        </w:rPr>
        <w:t xml:space="preserve"> restanța la </w:t>
      </w:r>
      <w:r w:rsidR="002B2298" w:rsidRPr="00401691">
        <w:rPr>
          <w:rFonts w:asciiTheme="majorHAnsi" w:eastAsia="Calibri" w:hAnsiTheme="majorHAnsi" w:cstheme="majorHAnsi"/>
          <w:sz w:val="24"/>
          <w:szCs w:val="24"/>
          <w:lang w:val="ro-MD"/>
        </w:rPr>
        <w:t xml:space="preserve">bugetul de stat </w:t>
      </w:r>
      <w:r w:rsidR="00A158DD" w:rsidRPr="00401691">
        <w:rPr>
          <w:rFonts w:asciiTheme="majorHAnsi" w:eastAsia="Calibri" w:hAnsiTheme="majorHAnsi" w:cstheme="majorHAnsi"/>
          <w:sz w:val="24"/>
          <w:szCs w:val="24"/>
          <w:lang w:val="ro-MD"/>
        </w:rPr>
        <w:t xml:space="preserve">- </w:t>
      </w:r>
      <w:r w:rsidRPr="00401691">
        <w:rPr>
          <w:rFonts w:asciiTheme="majorHAnsi" w:eastAsia="Calibri" w:hAnsiTheme="majorHAnsi" w:cstheme="majorHAnsi"/>
          <w:sz w:val="24"/>
          <w:szCs w:val="24"/>
          <w:lang w:val="ro-MD"/>
        </w:rPr>
        <w:t>802,2 mil. lei</w:t>
      </w:r>
      <w:r w:rsidR="007C0496">
        <w:rPr>
          <w:rFonts w:asciiTheme="majorHAnsi" w:eastAsia="Calibri" w:hAnsiTheme="majorHAnsi" w:cstheme="majorHAnsi"/>
          <w:sz w:val="24"/>
          <w:szCs w:val="24"/>
          <w:lang w:val="ro-MD"/>
        </w:rPr>
        <w:t>. Descifrarea restanțe</w:t>
      </w:r>
      <w:r w:rsidR="003F67AE">
        <w:rPr>
          <w:rFonts w:asciiTheme="majorHAnsi" w:eastAsia="Calibri" w:hAnsiTheme="majorHAnsi" w:cstheme="majorHAnsi"/>
          <w:sz w:val="24"/>
          <w:szCs w:val="24"/>
          <w:lang w:val="ro-MD"/>
        </w:rPr>
        <w:t>i</w:t>
      </w:r>
      <w:r w:rsidR="007C0496">
        <w:rPr>
          <w:rFonts w:asciiTheme="majorHAnsi" w:eastAsia="Calibri" w:hAnsiTheme="majorHAnsi" w:cstheme="majorHAnsi"/>
          <w:sz w:val="24"/>
          <w:szCs w:val="24"/>
          <w:lang w:val="ro-MD"/>
        </w:rPr>
        <w:t xml:space="preserve"> </w:t>
      </w:r>
      <w:r w:rsidR="002B2298" w:rsidRPr="00401691">
        <w:rPr>
          <w:rFonts w:asciiTheme="majorHAnsi" w:eastAsia="Calibri" w:hAnsiTheme="majorHAnsi" w:cstheme="majorHAnsi"/>
          <w:sz w:val="24"/>
          <w:szCs w:val="24"/>
          <w:lang w:val="ro-MD"/>
        </w:rPr>
        <w:t xml:space="preserve">la BPN și </w:t>
      </w:r>
      <w:r w:rsidR="003F67AE">
        <w:rPr>
          <w:rFonts w:asciiTheme="majorHAnsi" w:eastAsia="Calibri" w:hAnsiTheme="majorHAnsi" w:cstheme="majorHAnsi"/>
          <w:sz w:val="24"/>
          <w:szCs w:val="24"/>
          <w:lang w:val="ro-MD"/>
        </w:rPr>
        <w:t xml:space="preserve">la </w:t>
      </w:r>
      <w:r w:rsidR="002B2298" w:rsidRPr="00401691">
        <w:rPr>
          <w:rFonts w:asciiTheme="majorHAnsi" w:eastAsia="Calibri" w:hAnsiTheme="majorHAnsi" w:cstheme="majorHAnsi"/>
          <w:sz w:val="24"/>
          <w:szCs w:val="24"/>
          <w:lang w:val="ro-MD"/>
        </w:rPr>
        <w:t>bugetul de stat</w:t>
      </w:r>
      <w:r w:rsidR="007C0496">
        <w:rPr>
          <w:rFonts w:asciiTheme="majorHAnsi" w:hAnsiTheme="majorHAnsi" w:cstheme="majorHAnsi"/>
          <w:sz w:val="24"/>
          <w:szCs w:val="24"/>
          <w:lang w:val="ro-MD"/>
        </w:rPr>
        <w:t xml:space="preserve">, comparativ cu perioada </w:t>
      </w:r>
      <w:r w:rsidRPr="00401691">
        <w:rPr>
          <w:rFonts w:asciiTheme="majorHAnsi" w:hAnsiTheme="majorHAnsi" w:cstheme="majorHAnsi"/>
          <w:sz w:val="24"/>
          <w:szCs w:val="24"/>
          <w:lang w:val="ro-MD"/>
        </w:rPr>
        <w:t>similară a anului 2018</w:t>
      </w:r>
      <w:r w:rsidR="003F67AE">
        <w:rPr>
          <w:rFonts w:asciiTheme="majorHAnsi" w:hAnsiTheme="majorHAnsi" w:cstheme="majorHAnsi"/>
          <w:sz w:val="24"/>
          <w:szCs w:val="24"/>
          <w:lang w:val="ro-MD"/>
        </w:rPr>
        <w:t>,</w:t>
      </w:r>
      <w:r w:rsidR="00C876AD" w:rsidRPr="00401691">
        <w:rPr>
          <w:rFonts w:asciiTheme="majorHAnsi" w:hAnsiTheme="majorHAnsi" w:cstheme="majorHAnsi"/>
          <w:sz w:val="24"/>
          <w:szCs w:val="24"/>
          <w:lang w:val="ro-MD"/>
        </w:rPr>
        <w:t xml:space="preserve"> este </w:t>
      </w:r>
      <w:r w:rsidR="003F67AE">
        <w:rPr>
          <w:rFonts w:asciiTheme="majorHAnsi" w:hAnsiTheme="majorHAnsi" w:cstheme="majorHAnsi"/>
          <w:sz w:val="24"/>
          <w:szCs w:val="24"/>
          <w:lang w:val="ro-MD"/>
        </w:rPr>
        <w:t>expusă</w:t>
      </w:r>
      <w:r w:rsidR="00C876AD" w:rsidRPr="00401691">
        <w:rPr>
          <w:rFonts w:asciiTheme="majorHAnsi" w:hAnsiTheme="majorHAnsi" w:cstheme="majorHAnsi"/>
          <w:sz w:val="24"/>
          <w:szCs w:val="24"/>
          <w:lang w:val="ro-MD"/>
        </w:rPr>
        <w:t xml:space="preserve"> în </w:t>
      </w:r>
      <w:r w:rsidR="003F67AE">
        <w:rPr>
          <w:rFonts w:asciiTheme="majorHAnsi" w:hAnsiTheme="majorHAnsi" w:cstheme="majorHAnsi"/>
          <w:sz w:val="24"/>
          <w:szCs w:val="24"/>
          <w:lang w:val="ro-MD"/>
        </w:rPr>
        <w:t>D</w:t>
      </w:r>
      <w:r w:rsidR="00C876AD" w:rsidRPr="00401691">
        <w:rPr>
          <w:rFonts w:asciiTheme="majorHAnsi" w:hAnsiTheme="majorHAnsi" w:cstheme="majorHAnsi"/>
          <w:sz w:val="24"/>
          <w:szCs w:val="24"/>
          <w:lang w:val="ro-MD"/>
        </w:rPr>
        <w:t>iagrama nr.3</w:t>
      </w:r>
      <w:r w:rsidRPr="00401691">
        <w:rPr>
          <w:rFonts w:asciiTheme="majorHAnsi" w:hAnsiTheme="majorHAnsi" w:cstheme="majorHAnsi"/>
          <w:sz w:val="24"/>
          <w:szCs w:val="24"/>
          <w:lang w:val="ro-MD"/>
        </w:rPr>
        <w:t xml:space="preserve">. </w:t>
      </w:r>
    </w:p>
    <w:p w:rsidR="005E0F2C" w:rsidRDefault="005E0F2C" w:rsidP="00731AE9">
      <w:pPr>
        <w:tabs>
          <w:tab w:val="left" w:pos="0"/>
          <w:tab w:val="left" w:pos="142"/>
        </w:tabs>
        <w:spacing w:after="120" w:line="276" w:lineRule="auto"/>
        <w:jc w:val="both"/>
        <w:rPr>
          <w:rFonts w:asciiTheme="majorHAnsi" w:hAnsiTheme="majorHAnsi" w:cstheme="majorHAnsi"/>
          <w:sz w:val="24"/>
          <w:szCs w:val="24"/>
          <w:lang w:val="ro-MD"/>
        </w:rPr>
      </w:pPr>
    </w:p>
    <w:p w:rsidR="005E0F2C" w:rsidRDefault="005E0F2C" w:rsidP="00731AE9">
      <w:pPr>
        <w:tabs>
          <w:tab w:val="left" w:pos="0"/>
          <w:tab w:val="left" w:pos="142"/>
        </w:tabs>
        <w:spacing w:after="120" w:line="276" w:lineRule="auto"/>
        <w:jc w:val="both"/>
        <w:rPr>
          <w:rFonts w:asciiTheme="majorHAnsi" w:hAnsiTheme="majorHAnsi" w:cstheme="majorHAnsi"/>
          <w:sz w:val="24"/>
          <w:szCs w:val="24"/>
          <w:lang w:val="ro-MD"/>
        </w:rPr>
      </w:pPr>
    </w:p>
    <w:p w:rsidR="005E0F2C" w:rsidRDefault="005E0F2C" w:rsidP="00731AE9">
      <w:pPr>
        <w:tabs>
          <w:tab w:val="left" w:pos="0"/>
          <w:tab w:val="left" w:pos="142"/>
        </w:tabs>
        <w:spacing w:after="120" w:line="276" w:lineRule="auto"/>
        <w:jc w:val="both"/>
        <w:rPr>
          <w:rFonts w:asciiTheme="majorHAnsi" w:hAnsiTheme="majorHAnsi" w:cstheme="majorHAnsi"/>
          <w:i/>
          <w:sz w:val="24"/>
          <w:szCs w:val="24"/>
          <w:lang w:val="ro-MD"/>
        </w:rPr>
      </w:pPr>
    </w:p>
    <w:p w:rsidR="0085189D" w:rsidRPr="0085189D" w:rsidRDefault="0085189D" w:rsidP="0085189D">
      <w:pPr>
        <w:tabs>
          <w:tab w:val="left" w:pos="0"/>
          <w:tab w:val="left" w:pos="142"/>
        </w:tabs>
        <w:spacing w:after="120" w:line="276" w:lineRule="auto"/>
        <w:jc w:val="right"/>
        <w:rPr>
          <w:rFonts w:asciiTheme="majorHAnsi" w:eastAsia="Calibri" w:hAnsiTheme="majorHAnsi" w:cstheme="majorHAnsi"/>
          <w:i/>
          <w:sz w:val="24"/>
          <w:szCs w:val="24"/>
          <w:lang w:val="ro-MD"/>
        </w:rPr>
      </w:pPr>
      <w:r w:rsidRPr="000B204E">
        <w:rPr>
          <w:rFonts w:asciiTheme="majorHAnsi" w:hAnsiTheme="majorHAnsi" w:cstheme="majorHAnsi"/>
          <w:i/>
          <w:sz w:val="24"/>
          <w:szCs w:val="24"/>
          <w:lang w:val="ro-MD"/>
        </w:rPr>
        <w:t>Diagrama nr. 3</w:t>
      </w:r>
    </w:p>
    <w:p w:rsidR="009D63B5" w:rsidRPr="00401691" w:rsidRDefault="009D63B5" w:rsidP="00731AE9">
      <w:pPr>
        <w:tabs>
          <w:tab w:val="left" w:pos="0"/>
          <w:tab w:val="left" w:pos="142"/>
        </w:tabs>
        <w:spacing w:after="0" w:line="276" w:lineRule="auto"/>
        <w:jc w:val="center"/>
        <w:rPr>
          <w:rFonts w:asciiTheme="majorHAnsi" w:eastAsia="Calibri" w:hAnsiTheme="majorHAnsi" w:cstheme="majorHAnsi"/>
          <w:sz w:val="24"/>
          <w:szCs w:val="24"/>
          <w:lang w:val="ro-MD"/>
        </w:rPr>
      </w:pPr>
      <w:r w:rsidRPr="00401691">
        <w:rPr>
          <w:rFonts w:asciiTheme="majorHAnsi" w:hAnsiTheme="majorHAnsi" w:cstheme="majorHAnsi"/>
          <w:noProof/>
        </w:rPr>
        <w:lastRenderedPageBreak/>
        <w:drawing>
          <wp:inline distT="0" distB="0" distL="0" distR="0" wp14:anchorId="0FA2770A" wp14:editId="66BD6E68">
            <wp:extent cx="5424054" cy="2957945"/>
            <wp:effectExtent l="0" t="0" r="5715" b="1397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D63B5" w:rsidRPr="006D5B2B" w:rsidRDefault="00731AE9" w:rsidP="00731AE9">
      <w:pPr>
        <w:tabs>
          <w:tab w:val="left" w:pos="270"/>
          <w:tab w:val="left" w:pos="720"/>
        </w:tabs>
        <w:spacing w:after="120" w:line="276" w:lineRule="auto"/>
        <w:rPr>
          <w:rFonts w:asciiTheme="majorHAnsi" w:eastAsia="Calibri" w:hAnsiTheme="majorHAnsi" w:cstheme="majorHAnsi"/>
          <w:i/>
          <w:sz w:val="20"/>
          <w:szCs w:val="20"/>
          <w:lang w:val="ro-MD"/>
        </w:rPr>
      </w:pPr>
      <w:r>
        <w:rPr>
          <w:rFonts w:asciiTheme="majorHAnsi" w:eastAsia="Calibri" w:hAnsiTheme="majorHAnsi" w:cstheme="majorHAnsi"/>
          <w:b/>
          <w:i/>
          <w:sz w:val="20"/>
          <w:szCs w:val="20"/>
          <w:lang w:val="ro-MD"/>
        </w:rPr>
        <w:t xml:space="preserve">                 </w:t>
      </w:r>
      <w:r w:rsidR="00C774A7" w:rsidRPr="006D5B2B">
        <w:rPr>
          <w:rFonts w:asciiTheme="majorHAnsi" w:eastAsia="Calibri" w:hAnsiTheme="majorHAnsi" w:cstheme="majorHAnsi"/>
          <w:b/>
          <w:i/>
          <w:sz w:val="20"/>
          <w:szCs w:val="20"/>
          <w:lang w:val="ro-MD"/>
        </w:rPr>
        <w:t>Sursa:</w:t>
      </w:r>
      <w:r w:rsidR="00C774A7" w:rsidRPr="006D5B2B">
        <w:rPr>
          <w:rFonts w:asciiTheme="majorHAnsi" w:eastAsia="Calibri" w:hAnsiTheme="majorHAnsi" w:cstheme="majorHAnsi"/>
          <w:i/>
          <w:sz w:val="20"/>
          <w:szCs w:val="20"/>
          <w:lang w:val="ro-MD"/>
        </w:rPr>
        <w:t xml:space="preserve"> Dările de seamă a</w:t>
      </w:r>
      <w:r w:rsidR="00E720C3" w:rsidRPr="006D5B2B">
        <w:rPr>
          <w:rFonts w:asciiTheme="majorHAnsi" w:eastAsia="Calibri" w:hAnsiTheme="majorHAnsi" w:cstheme="majorHAnsi"/>
          <w:i/>
          <w:sz w:val="20"/>
          <w:szCs w:val="20"/>
          <w:lang w:val="ro-MD"/>
        </w:rPr>
        <w:t>le</w:t>
      </w:r>
      <w:r w:rsidR="00C774A7" w:rsidRPr="006D5B2B">
        <w:rPr>
          <w:rFonts w:asciiTheme="majorHAnsi" w:eastAsia="Calibri" w:hAnsiTheme="majorHAnsi" w:cstheme="majorHAnsi"/>
          <w:i/>
          <w:sz w:val="20"/>
          <w:szCs w:val="20"/>
          <w:lang w:val="ro-MD"/>
        </w:rPr>
        <w:t xml:space="preserve"> SFS pentru anii 2018-2019</w:t>
      </w:r>
      <w:r w:rsidR="006D5B2B">
        <w:rPr>
          <w:rFonts w:asciiTheme="majorHAnsi" w:eastAsia="Calibri" w:hAnsiTheme="majorHAnsi" w:cstheme="majorHAnsi"/>
          <w:i/>
          <w:sz w:val="20"/>
          <w:szCs w:val="20"/>
          <w:lang w:val="ro-MD"/>
        </w:rPr>
        <w:t>.</w:t>
      </w:r>
    </w:p>
    <w:p w:rsidR="00B00DB5" w:rsidRPr="00401691" w:rsidRDefault="002B2298" w:rsidP="00844145">
      <w:pPr>
        <w:tabs>
          <w:tab w:val="left" w:pos="0"/>
          <w:tab w:val="left" w:pos="142"/>
        </w:tabs>
        <w:spacing w:after="120" w:line="276" w:lineRule="auto"/>
        <w:jc w:val="both"/>
        <w:rPr>
          <w:rFonts w:asciiTheme="majorHAnsi" w:eastAsia="Calibri" w:hAnsiTheme="majorHAnsi" w:cstheme="majorHAnsi"/>
          <w:sz w:val="24"/>
          <w:szCs w:val="24"/>
          <w:lang w:val="ro-MD"/>
        </w:rPr>
      </w:pPr>
      <w:r w:rsidRPr="00401691">
        <w:rPr>
          <w:rFonts w:asciiTheme="majorHAnsi" w:eastAsia="Calibri" w:hAnsiTheme="majorHAnsi" w:cstheme="majorHAnsi"/>
          <w:sz w:val="24"/>
          <w:szCs w:val="24"/>
          <w:lang w:val="ro-MD"/>
        </w:rPr>
        <w:t xml:space="preserve">Datele raportate de SFS evidențiază </w:t>
      </w:r>
      <w:r w:rsidR="00204B5D" w:rsidRPr="00401691">
        <w:rPr>
          <w:rFonts w:asciiTheme="majorHAnsi" w:eastAsia="Calibri" w:hAnsiTheme="majorHAnsi" w:cstheme="majorHAnsi"/>
          <w:sz w:val="24"/>
          <w:szCs w:val="24"/>
          <w:lang w:val="ro-MD"/>
        </w:rPr>
        <w:t>o tendință de descreștere</w:t>
      </w:r>
      <w:r w:rsidR="00D61DCA">
        <w:rPr>
          <w:rFonts w:asciiTheme="majorHAnsi" w:eastAsia="Calibri" w:hAnsiTheme="majorHAnsi" w:cstheme="majorHAnsi"/>
          <w:sz w:val="24"/>
          <w:szCs w:val="24"/>
          <w:lang w:val="ro-MD"/>
        </w:rPr>
        <w:t>,</w:t>
      </w:r>
      <w:r w:rsidR="00204B5D" w:rsidRPr="00401691">
        <w:rPr>
          <w:rFonts w:asciiTheme="majorHAnsi" w:eastAsia="Calibri" w:hAnsiTheme="majorHAnsi" w:cstheme="majorHAnsi"/>
          <w:sz w:val="24"/>
          <w:szCs w:val="24"/>
          <w:lang w:val="ro-MD"/>
        </w:rPr>
        <w:t xml:space="preserve"> </w:t>
      </w:r>
      <w:r w:rsidR="00D61DCA" w:rsidRPr="00401691">
        <w:rPr>
          <w:rFonts w:asciiTheme="majorHAnsi" w:eastAsia="Calibri" w:hAnsiTheme="majorHAnsi" w:cstheme="majorHAnsi"/>
          <w:sz w:val="24"/>
          <w:szCs w:val="24"/>
          <w:lang w:val="ro-MD"/>
        </w:rPr>
        <w:t>față de anul 2018</w:t>
      </w:r>
      <w:r w:rsidR="00D61DCA">
        <w:rPr>
          <w:rFonts w:asciiTheme="majorHAnsi" w:eastAsia="Calibri" w:hAnsiTheme="majorHAnsi" w:cstheme="majorHAnsi"/>
          <w:sz w:val="24"/>
          <w:szCs w:val="24"/>
          <w:lang w:val="ro-MD"/>
        </w:rPr>
        <w:t xml:space="preserve">, </w:t>
      </w:r>
      <w:r w:rsidR="00204B5D" w:rsidRPr="00401691">
        <w:rPr>
          <w:rFonts w:asciiTheme="majorHAnsi" w:eastAsia="Calibri" w:hAnsiTheme="majorHAnsi" w:cstheme="majorHAnsi"/>
          <w:sz w:val="24"/>
          <w:szCs w:val="24"/>
          <w:lang w:val="ro-MD"/>
        </w:rPr>
        <w:t>a volumului restanțelor administrate</w:t>
      </w:r>
      <w:r w:rsidR="00947D48" w:rsidRPr="00401691">
        <w:rPr>
          <w:rFonts w:asciiTheme="majorHAnsi" w:eastAsia="Calibri" w:hAnsiTheme="majorHAnsi" w:cstheme="majorHAnsi"/>
          <w:sz w:val="24"/>
          <w:szCs w:val="24"/>
          <w:lang w:val="ro-MD"/>
        </w:rPr>
        <w:t xml:space="preserve"> de SFS</w:t>
      </w:r>
      <w:r w:rsidR="00204B5D" w:rsidRPr="00401691">
        <w:rPr>
          <w:rFonts w:asciiTheme="majorHAnsi" w:eastAsia="Calibri" w:hAnsiTheme="majorHAnsi" w:cstheme="majorHAnsi"/>
          <w:sz w:val="24"/>
          <w:szCs w:val="24"/>
          <w:lang w:val="ro-MD"/>
        </w:rPr>
        <w:t xml:space="preserve"> atât la BPN</w:t>
      </w:r>
      <w:r w:rsidR="003F67AE">
        <w:rPr>
          <w:rFonts w:asciiTheme="majorHAnsi" w:eastAsia="Calibri" w:hAnsiTheme="majorHAnsi" w:cstheme="majorHAnsi"/>
          <w:sz w:val="24"/>
          <w:szCs w:val="24"/>
          <w:lang w:val="ro-MD"/>
        </w:rPr>
        <w:t>,</w:t>
      </w:r>
      <w:r w:rsidR="00204B5D" w:rsidRPr="00401691">
        <w:rPr>
          <w:rFonts w:asciiTheme="majorHAnsi" w:eastAsia="Calibri" w:hAnsiTheme="majorHAnsi" w:cstheme="majorHAnsi"/>
          <w:sz w:val="24"/>
          <w:szCs w:val="24"/>
          <w:lang w:val="ro-MD"/>
        </w:rPr>
        <w:t xml:space="preserve"> cât și la </w:t>
      </w:r>
      <w:r w:rsidR="007C0496">
        <w:rPr>
          <w:rFonts w:asciiTheme="majorHAnsi" w:eastAsia="Calibri" w:hAnsiTheme="majorHAnsi" w:cstheme="majorHAnsi"/>
          <w:sz w:val="24"/>
          <w:szCs w:val="24"/>
          <w:lang w:val="ro-MD"/>
        </w:rPr>
        <w:t>BS</w:t>
      </w:r>
      <w:r w:rsidR="00204B5D" w:rsidRPr="00401691">
        <w:rPr>
          <w:rFonts w:asciiTheme="majorHAnsi" w:eastAsia="Calibri" w:hAnsiTheme="majorHAnsi" w:cstheme="majorHAnsi"/>
          <w:sz w:val="24"/>
          <w:szCs w:val="24"/>
          <w:lang w:val="ro-MD"/>
        </w:rPr>
        <w:t>.</w:t>
      </w:r>
      <w:r w:rsidR="003F67AE" w:rsidRPr="003F67AE">
        <w:rPr>
          <w:rFonts w:asciiTheme="majorHAnsi" w:eastAsia="Calibri" w:hAnsiTheme="majorHAnsi" w:cstheme="majorHAnsi"/>
          <w:sz w:val="24"/>
          <w:szCs w:val="24"/>
          <w:lang w:val="ro-MD"/>
        </w:rPr>
        <w:t xml:space="preserve"> </w:t>
      </w:r>
    </w:p>
    <w:p w:rsidR="00947D48" w:rsidRPr="00401691" w:rsidRDefault="003545D8" w:rsidP="00844145">
      <w:pPr>
        <w:tabs>
          <w:tab w:val="left" w:pos="0"/>
          <w:tab w:val="left" w:pos="142"/>
        </w:tabs>
        <w:spacing w:after="120" w:line="276" w:lineRule="auto"/>
        <w:jc w:val="both"/>
        <w:rPr>
          <w:rFonts w:asciiTheme="majorHAnsi" w:hAnsiTheme="majorHAnsi" w:cstheme="majorHAnsi"/>
          <w:sz w:val="24"/>
          <w:szCs w:val="24"/>
          <w:lang w:val="ro-MD"/>
        </w:rPr>
      </w:pPr>
      <w:r w:rsidRPr="00401691">
        <w:rPr>
          <w:rFonts w:asciiTheme="majorHAnsi" w:eastAsia="Calibri" w:hAnsiTheme="majorHAnsi" w:cstheme="majorHAnsi"/>
          <w:sz w:val="24"/>
          <w:szCs w:val="24"/>
          <w:lang w:val="ro-MD"/>
        </w:rPr>
        <w:t>Din suma totală a restanței la</w:t>
      </w:r>
      <w:r w:rsidR="00A158DD" w:rsidRPr="00401691">
        <w:rPr>
          <w:rFonts w:asciiTheme="majorHAnsi" w:eastAsia="Calibri" w:hAnsiTheme="majorHAnsi" w:cstheme="majorHAnsi"/>
          <w:sz w:val="24"/>
          <w:szCs w:val="24"/>
          <w:lang w:val="ro-MD"/>
        </w:rPr>
        <w:t xml:space="preserve"> BPN, pl</w:t>
      </w:r>
      <w:r w:rsidR="00D61DCA">
        <w:rPr>
          <w:rFonts w:asciiTheme="majorHAnsi" w:eastAsia="Calibri" w:hAnsiTheme="majorHAnsi" w:cstheme="majorHAnsi"/>
          <w:sz w:val="24"/>
          <w:szCs w:val="24"/>
          <w:lang w:val="ro-MD"/>
        </w:rPr>
        <w:t>ă</w:t>
      </w:r>
      <w:r w:rsidR="00A158DD" w:rsidRPr="00401691">
        <w:rPr>
          <w:rFonts w:asciiTheme="majorHAnsi" w:eastAsia="Calibri" w:hAnsiTheme="majorHAnsi" w:cstheme="majorHAnsi"/>
          <w:sz w:val="24"/>
          <w:szCs w:val="24"/>
          <w:lang w:val="ro-MD"/>
        </w:rPr>
        <w:t>ților de bază le revine o pondere de 5</w:t>
      </w:r>
      <w:r w:rsidR="007C0496">
        <w:rPr>
          <w:rFonts w:asciiTheme="majorHAnsi" w:eastAsia="Calibri" w:hAnsiTheme="majorHAnsi" w:cstheme="majorHAnsi"/>
          <w:sz w:val="24"/>
          <w:szCs w:val="24"/>
          <w:lang w:val="ro-MD"/>
        </w:rPr>
        <w:t>7,5 %, iar 42,5%  constitui</w:t>
      </w:r>
      <w:r w:rsidR="00D61DCA">
        <w:rPr>
          <w:rFonts w:asciiTheme="majorHAnsi" w:eastAsia="Calibri" w:hAnsiTheme="majorHAnsi" w:cstheme="majorHAnsi"/>
          <w:sz w:val="24"/>
          <w:szCs w:val="24"/>
          <w:lang w:val="ro-MD"/>
        </w:rPr>
        <w:t xml:space="preserve">e </w:t>
      </w:r>
      <w:r w:rsidR="00A158DD" w:rsidRPr="00401691">
        <w:rPr>
          <w:rFonts w:asciiTheme="majorHAnsi" w:hAnsiTheme="majorHAnsi" w:cstheme="majorHAnsi"/>
          <w:sz w:val="24"/>
          <w:szCs w:val="24"/>
          <w:lang w:val="ro-MD"/>
        </w:rPr>
        <w:t>penalitățile și amenzile aplic</w:t>
      </w:r>
      <w:r w:rsidR="007C0496">
        <w:rPr>
          <w:rFonts w:asciiTheme="majorHAnsi" w:hAnsiTheme="majorHAnsi" w:cstheme="majorHAnsi"/>
          <w:sz w:val="24"/>
          <w:szCs w:val="24"/>
          <w:lang w:val="ro-MD"/>
        </w:rPr>
        <w:t>ate contribuabililor de către</w:t>
      </w:r>
      <w:r w:rsidR="00A158DD" w:rsidRPr="00401691">
        <w:rPr>
          <w:rFonts w:asciiTheme="majorHAnsi" w:hAnsiTheme="majorHAnsi" w:cstheme="majorHAnsi"/>
          <w:sz w:val="24"/>
          <w:szCs w:val="24"/>
          <w:lang w:val="ro-MD"/>
        </w:rPr>
        <w:t xml:space="preserve"> SFS. </w:t>
      </w:r>
      <w:r w:rsidR="00D61DCA">
        <w:rPr>
          <w:rFonts w:asciiTheme="majorHAnsi" w:hAnsiTheme="majorHAnsi" w:cstheme="majorHAnsi"/>
          <w:sz w:val="24"/>
          <w:szCs w:val="24"/>
          <w:lang w:val="ro-MD"/>
        </w:rPr>
        <w:t>Din restanța l</w:t>
      </w:r>
      <w:r w:rsidR="00A158DD" w:rsidRPr="00401691">
        <w:rPr>
          <w:rFonts w:asciiTheme="majorHAnsi" w:hAnsiTheme="majorHAnsi" w:cstheme="majorHAnsi"/>
          <w:sz w:val="24"/>
          <w:szCs w:val="24"/>
          <w:lang w:val="ro-MD"/>
        </w:rPr>
        <w:t xml:space="preserve">a </w:t>
      </w:r>
      <w:r w:rsidRPr="00401691">
        <w:rPr>
          <w:rFonts w:asciiTheme="majorHAnsi" w:eastAsia="Calibri" w:hAnsiTheme="majorHAnsi" w:cstheme="majorHAnsi"/>
          <w:sz w:val="24"/>
          <w:szCs w:val="24"/>
          <w:lang w:val="ro-MD"/>
        </w:rPr>
        <w:t>BS</w:t>
      </w:r>
      <w:r w:rsidR="00D61DCA">
        <w:rPr>
          <w:rFonts w:asciiTheme="majorHAnsi" w:eastAsia="Calibri" w:hAnsiTheme="majorHAnsi" w:cstheme="majorHAnsi"/>
          <w:sz w:val="24"/>
          <w:szCs w:val="24"/>
          <w:lang w:val="ro-MD"/>
        </w:rPr>
        <w:t xml:space="preserve">, </w:t>
      </w:r>
      <w:r w:rsidR="00947D48" w:rsidRPr="00401691">
        <w:rPr>
          <w:rFonts w:asciiTheme="majorHAnsi" w:hAnsiTheme="majorHAnsi" w:cstheme="majorHAnsi"/>
          <w:sz w:val="24"/>
          <w:szCs w:val="24"/>
          <w:lang w:val="ro-MD"/>
        </w:rPr>
        <w:t>425,8 mil</w:t>
      </w:r>
      <w:r w:rsidR="007C0496">
        <w:rPr>
          <w:rFonts w:asciiTheme="majorHAnsi" w:hAnsiTheme="majorHAnsi" w:cstheme="majorHAnsi"/>
          <w:sz w:val="24"/>
          <w:szCs w:val="24"/>
          <w:lang w:val="ro-MD"/>
        </w:rPr>
        <w:t>.</w:t>
      </w:r>
      <w:r w:rsidR="00947D48" w:rsidRPr="00401691">
        <w:rPr>
          <w:rFonts w:asciiTheme="majorHAnsi" w:hAnsiTheme="majorHAnsi" w:cstheme="majorHAnsi"/>
          <w:sz w:val="24"/>
          <w:szCs w:val="24"/>
          <w:lang w:val="ro-MD"/>
        </w:rPr>
        <w:t xml:space="preserve"> lei</w:t>
      </w:r>
      <w:r w:rsidRPr="00401691">
        <w:rPr>
          <w:rFonts w:asciiTheme="majorHAnsi" w:hAnsiTheme="majorHAnsi" w:cstheme="majorHAnsi"/>
          <w:sz w:val="24"/>
          <w:szCs w:val="24"/>
          <w:lang w:val="ro-MD"/>
        </w:rPr>
        <w:t>, s</w:t>
      </w:r>
      <w:r w:rsidR="00947D48" w:rsidRPr="00401691">
        <w:rPr>
          <w:rFonts w:asciiTheme="majorHAnsi" w:hAnsiTheme="majorHAnsi" w:cstheme="majorHAnsi"/>
          <w:sz w:val="24"/>
          <w:szCs w:val="24"/>
          <w:lang w:val="ro-MD"/>
        </w:rPr>
        <w:t>au 53 %</w:t>
      </w:r>
      <w:r w:rsidR="00D61DCA">
        <w:rPr>
          <w:rFonts w:asciiTheme="majorHAnsi" w:hAnsiTheme="majorHAnsi" w:cstheme="majorHAnsi"/>
          <w:sz w:val="24"/>
          <w:szCs w:val="24"/>
          <w:lang w:val="ro-MD"/>
        </w:rPr>
        <w:t>,</w:t>
      </w:r>
      <w:r w:rsidR="00947D48" w:rsidRPr="00401691">
        <w:rPr>
          <w:rFonts w:asciiTheme="majorHAnsi" w:hAnsiTheme="majorHAnsi" w:cstheme="majorHAnsi"/>
          <w:sz w:val="24"/>
          <w:szCs w:val="24"/>
          <w:lang w:val="ro-MD"/>
        </w:rPr>
        <w:t xml:space="preserve"> </w:t>
      </w:r>
      <w:r w:rsidRPr="00401691">
        <w:rPr>
          <w:rFonts w:asciiTheme="majorHAnsi" w:hAnsiTheme="majorHAnsi" w:cstheme="majorHAnsi"/>
          <w:sz w:val="24"/>
          <w:szCs w:val="24"/>
          <w:lang w:val="ro-MD"/>
        </w:rPr>
        <w:t>revin</w:t>
      </w:r>
      <w:r w:rsidR="00947D48" w:rsidRPr="00401691">
        <w:rPr>
          <w:rFonts w:asciiTheme="majorHAnsi" w:hAnsiTheme="majorHAnsi" w:cstheme="majorHAnsi"/>
          <w:sz w:val="24"/>
          <w:szCs w:val="24"/>
          <w:lang w:val="ro-MD"/>
        </w:rPr>
        <w:t xml:space="preserve"> plățil</w:t>
      </w:r>
      <w:r w:rsidRPr="00401691">
        <w:rPr>
          <w:rFonts w:asciiTheme="majorHAnsi" w:hAnsiTheme="majorHAnsi" w:cstheme="majorHAnsi"/>
          <w:sz w:val="24"/>
          <w:szCs w:val="24"/>
          <w:lang w:val="ro-MD"/>
        </w:rPr>
        <w:t>or</w:t>
      </w:r>
      <w:r w:rsidR="00947D48" w:rsidRPr="00401691">
        <w:rPr>
          <w:rFonts w:asciiTheme="majorHAnsi" w:hAnsiTheme="majorHAnsi" w:cstheme="majorHAnsi"/>
          <w:sz w:val="24"/>
          <w:szCs w:val="24"/>
          <w:lang w:val="ro-MD"/>
        </w:rPr>
        <w:t xml:space="preserve"> de bază, </w:t>
      </w:r>
      <w:r w:rsidR="00D61DCA">
        <w:rPr>
          <w:rFonts w:asciiTheme="majorHAnsi" w:hAnsiTheme="majorHAnsi" w:cstheme="majorHAnsi"/>
          <w:sz w:val="24"/>
          <w:szCs w:val="24"/>
          <w:lang w:val="ro-MD"/>
        </w:rPr>
        <w:t xml:space="preserve">iar </w:t>
      </w:r>
      <w:r w:rsidR="00947D48" w:rsidRPr="00401691">
        <w:rPr>
          <w:rFonts w:asciiTheme="majorHAnsi" w:hAnsiTheme="majorHAnsi" w:cstheme="majorHAnsi"/>
          <w:sz w:val="24"/>
          <w:szCs w:val="24"/>
          <w:lang w:val="ro-MD"/>
        </w:rPr>
        <w:t>rest</w:t>
      </w:r>
      <w:r w:rsidR="00D61DCA">
        <w:rPr>
          <w:rFonts w:asciiTheme="majorHAnsi" w:hAnsiTheme="majorHAnsi" w:cstheme="majorHAnsi"/>
          <w:sz w:val="24"/>
          <w:szCs w:val="24"/>
          <w:lang w:val="ro-MD"/>
        </w:rPr>
        <w:t>ul</w:t>
      </w:r>
      <w:r w:rsidR="00947D48" w:rsidRPr="00401691">
        <w:rPr>
          <w:rFonts w:asciiTheme="majorHAnsi" w:hAnsiTheme="majorHAnsi" w:cstheme="majorHAnsi"/>
          <w:sz w:val="24"/>
          <w:szCs w:val="24"/>
          <w:lang w:val="ro-MD"/>
        </w:rPr>
        <w:t>, 376,4 mil</w:t>
      </w:r>
      <w:r w:rsidR="007C0496">
        <w:rPr>
          <w:rFonts w:asciiTheme="majorHAnsi" w:hAnsiTheme="majorHAnsi" w:cstheme="majorHAnsi"/>
          <w:sz w:val="24"/>
          <w:szCs w:val="24"/>
          <w:lang w:val="ro-MD"/>
        </w:rPr>
        <w:t>.</w:t>
      </w:r>
      <w:r w:rsidR="00947D48" w:rsidRPr="00401691">
        <w:rPr>
          <w:rFonts w:asciiTheme="majorHAnsi" w:hAnsiTheme="majorHAnsi" w:cstheme="majorHAnsi"/>
          <w:sz w:val="24"/>
          <w:szCs w:val="24"/>
          <w:lang w:val="ro-MD"/>
        </w:rPr>
        <w:t xml:space="preserve"> lei</w:t>
      </w:r>
      <w:r w:rsidR="00D61DCA">
        <w:rPr>
          <w:rFonts w:asciiTheme="majorHAnsi" w:hAnsiTheme="majorHAnsi" w:cstheme="majorHAnsi"/>
          <w:sz w:val="24"/>
          <w:szCs w:val="24"/>
          <w:lang w:val="ro-MD"/>
        </w:rPr>
        <w:t xml:space="preserve">, sau </w:t>
      </w:r>
      <w:r w:rsidR="00947D48" w:rsidRPr="00401691">
        <w:rPr>
          <w:rFonts w:asciiTheme="majorHAnsi" w:hAnsiTheme="majorHAnsi" w:cstheme="majorHAnsi"/>
          <w:sz w:val="24"/>
          <w:szCs w:val="24"/>
          <w:lang w:val="ro-MD"/>
        </w:rPr>
        <w:t>47%</w:t>
      </w:r>
      <w:r w:rsidR="00D26179" w:rsidRPr="00401691">
        <w:rPr>
          <w:rFonts w:asciiTheme="majorHAnsi" w:hAnsiTheme="majorHAnsi" w:cstheme="majorHAnsi"/>
          <w:sz w:val="24"/>
          <w:szCs w:val="24"/>
          <w:lang w:val="ro-MD"/>
        </w:rPr>
        <w:t xml:space="preserve"> </w:t>
      </w:r>
      <w:r w:rsidR="00947D48" w:rsidRPr="00401691">
        <w:rPr>
          <w:rFonts w:asciiTheme="majorHAnsi" w:hAnsiTheme="majorHAnsi" w:cstheme="majorHAnsi"/>
          <w:sz w:val="24"/>
          <w:szCs w:val="24"/>
          <w:lang w:val="ro-MD"/>
        </w:rPr>
        <w:t>-</w:t>
      </w:r>
      <w:r w:rsidR="00B00DB5" w:rsidRPr="00401691">
        <w:rPr>
          <w:rFonts w:asciiTheme="majorHAnsi" w:hAnsiTheme="majorHAnsi" w:cstheme="majorHAnsi"/>
          <w:sz w:val="24"/>
          <w:szCs w:val="24"/>
          <w:lang w:val="ro-MD"/>
        </w:rPr>
        <w:t xml:space="preserve"> </w:t>
      </w:r>
      <w:r w:rsidR="00947D48" w:rsidRPr="00401691">
        <w:rPr>
          <w:rFonts w:asciiTheme="majorHAnsi" w:hAnsiTheme="majorHAnsi" w:cstheme="majorHAnsi"/>
          <w:sz w:val="24"/>
          <w:szCs w:val="24"/>
          <w:lang w:val="ro-MD"/>
        </w:rPr>
        <w:t>penalități</w:t>
      </w:r>
      <w:r w:rsidR="00D61DCA">
        <w:rPr>
          <w:rFonts w:asciiTheme="majorHAnsi" w:hAnsiTheme="majorHAnsi" w:cstheme="majorHAnsi"/>
          <w:sz w:val="24"/>
          <w:szCs w:val="24"/>
          <w:lang w:val="ro-MD"/>
        </w:rPr>
        <w:t>lor</w:t>
      </w:r>
      <w:r w:rsidR="00B00DB5" w:rsidRPr="00401691">
        <w:rPr>
          <w:rFonts w:asciiTheme="majorHAnsi" w:hAnsiTheme="majorHAnsi" w:cstheme="majorHAnsi"/>
          <w:sz w:val="24"/>
          <w:szCs w:val="24"/>
          <w:lang w:val="ro-MD"/>
        </w:rPr>
        <w:t xml:space="preserve"> </w:t>
      </w:r>
      <w:r w:rsidR="00947D48" w:rsidRPr="00401691">
        <w:rPr>
          <w:rFonts w:asciiTheme="majorHAnsi" w:hAnsiTheme="majorHAnsi" w:cstheme="majorHAnsi"/>
          <w:sz w:val="24"/>
          <w:szCs w:val="24"/>
          <w:lang w:val="ro-MD"/>
        </w:rPr>
        <w:t>și amenzi</w:t>
      </w:r>
      <w:r w:rsidR="00D61DCA">
        <w:rPr>
          <w:rFonts w:asciiTheme="majorHAnsi" w:hAnsiTheme="majorHAnsi" w:cstheme="majorHAnsi"/>
          <w:sz w:val="24"/>
          <w:szCs w:val="24"/>
          <w:lang w:val="ro-MD"/>
        </w:rPr>
        <w:t>lor</w:t>
      </w:r>
      <w:r w:rsidR="00B00DB5" w:rsidRPr="00401691">
        <w:rPr>
          <w:rFonts w:asciiTheme="majorHAnsi" w:hAnsiTheme="majorHAnsi" w:cstheme="majorHAnsi"/>
          <w:sz w:val="24"/>
          <w:szCs w:val="24"/>
          <w:lang w:val="ro-MD"/>
        </w:rPr>
        <w:t>.</w:t>
      </w:r>
    </w:p>
    <w:p w:rsidR="003545D8" w:rsidRPr="00401691" w:rsidRDefault="003545D8" w:rsidP="00844145">
      <w:pPr>
        <w:tabs>
          <w:tab w:val="left" w:pos="0"/>
          <w:tab w:val="left" w:pos="142"/>
        </w:tabs>
        <w:spacing w:after="120" w:line="276" w:lineRule="auto"/>
        <w:jc w:val="both"/>
        <w:rPr>
          <w:rFonts w:asciiTheme="majorHAnsi" w:hAnsiTheme="majorHAnsi" w:cstheme="majorHAnsi"/>
          <w:color w:val="000000"/>
          <w:sz w:val="24"/>
          <w:szCs w:val="24"/>
          <w:lang w:val="ro-MD"/>
        </w:rPr>
      </w:pPr>
      <w:r w:rsidRPr="00401691">
        <w:rPr>
          <w:rFonts w:asciiTheme="majorHAnsi" w:hAnsiTheme="majorHAnsi" w:cstheme="majorHAnsi"/>
          <w:sz w:val="24"/>
          <w:szCs w:val="24"/>
          <w:lang w:val="ro-MD"/>
        </w:rPr>
        <w:t>Analiza restanțelor</w:t>
      </w:r>
      <w:r w:rsidR="002B2298" w:rsidRPr="00401691">
        <w:rPr>
          <w:rFonts w:asciiTheme="majorHAnsi" w:hAnsiTheme="majorHAnsi" w:cstheme="majorHAnsi"/>
          <w:sz w:val="24"/>
          <w:szCs w:val="24"/>
          <w:lang w:val="ro-MD"/>
        </w:rPr>
        <w:t xml:space="preserve"> înregistrate</w:t>
      </w:r>
      <w:r w:rsidR="00947D48" w:rsidRPr="00401691">
        <w:rPr>
          <w:rFonts w:asciiTheme="majorHAnsi" w:hAnsiTheme="majorHAnsi" w:cstheme="majorHAnsi"/>
          <w:sz w:val="24"/>
          <w:szCs w:val="24"/>
          <w:lang w:val="ro-MD"/>
        </w:rPr>
        <w:t xml:space="preserve"> la bugetul de stat </w:t>
      </w:r>
      <w:r w:rsidR="002B2298" w:rsidRPr="00401691">
        <w:rPr>
          <w:rFonts w:asciiTheme="majorHAnsi" w:hAnsiTheme="majorHAnsi" w:cstheme="majorHAnsi"/>
          <w:sz w:val="24"/>
          <w:szCs w:val="24"/>
          <w:lang w:val="ro-MD"/>
        </w:rPr>
        <w:t xml:space="preserve">pe tipuri de venituri </w:t>
      </w:r>
      <w:r w:rsidR="008B41DB" w:rsidRPr="00401691">
        <w:rPr>
          <w:rFonts w:asciiTheme="majorHAnsi" w:hAnsiTheme="majorHAnsi" w:cstheme="majorHAnsi"/>
          <w:sz w:val="24"/>
          <w:szCs w:val="24"/>
          <w:lang w:val="ro-MD"/>
        </w:rPr>
        <w:t xml:space="preserve">denotă </w:t>
      </w:r>
      <w:r w:rsidR="00947D48" w:rsidRPr="00401691">
        <w:rPr>
          <w:rFonts w:asciiTheme="majorHAnsi" w:hAnsiTheme="majorHAnsi" w:cstheme="majorHAnsi"/>
          <w:sz w:val="24"/>
          <w:szCs w:val="24"/>
          <w:lang w:val="ro-MD"/>
        </w:rPr>
        <w:t xml:space="preserve">că partea </w:t>
      </w:r>
      <w:r w:rsidR="002B2298" w:rsidRPr="00401691">
        <w:rPr>
          <w:rFonts w:asciiTheme="majorHAnsi" w:hAnsiTheme="majorHAnsi" w:cstheme="majorHAnsi"/>
          <w:sz w:val="24"/>
          <w:szCs w:val="24"/>
          <w:lang w:val="ro-MD"/>
        </w:rPr>
        <w:t>preponderantă</w:t>
      </w:r>
      <w:r w:rsidR="00D61DCA">
        <w:rPr>
          <w:rFonts w:asciiTheme="majorHAnsi" w:hAnsiTheme="majorHAnsi" w:cstheme="majorHAnsi"/>
          <w:sz w:val="24"/>
          <w:szCs w:val="24"/>
          <w:lang w:val="ro-MD"/>
        </w:rPr>
        <w:t xml:space="preserve"> - </w:t>
      </w:r>
      <w:r w:rsidR="002B2298" w:rsidRPr="00401691">
        <w:rPr>
          <w:rFonts w:asciiTheme="majorHAnsi" w:hAnsiTheme="majorHAnsi" w:cstheme="majorHAnsi"/>
          <w:sz w:val="24"/>
          <w:szCs w:val="24"/>
          <w:lang w:val="ro-MD"/>
        </w:rPr>
        <w:t xml:space="preserve"> 44,7% (358,2 mil</w:t>
      </w:r>
      <w:r w:rsidR="00C21FCE">
        <w:rPr>
          <w:rFonts w:asciiTheme="majorHAnsi" w:hAnsiTheme="majorHAnsi" w:cstheme="majorHAnsi"/>
          <w:sz w:val="24"/>
          <w:szCs w:val="24"/>
          <w:lang w:val="ro-MD"/>
        </w:rPr>
        <w:t>.</w:t>
      </w:r>
      <w:r w:rsidR="002B2298" w:rsidRPr="00401691">
        <w:rPr>
          <w:rFonts w:asciiTheme="majorHAnsi" w:hAnsiTheme="majorHAnsi" w:cstheme="majorHAnsi"/>
          <w:sz w:val="24"/>
          <w:szCs w:val="24"/>
          <w:lang w:val="ro-MD"/>
        </w:rPr>
        <w:t xml:space="preserve"> lei)</w:t>
      </w:r>
      <w:r w:rsidR="00D61DCA">
        <w:rPr>
          <w:rFonts w:asciiTheme="majorHAnsi" w:hAnsiTheme="majorHAnsi" w:cstheme="majorHAnsi"/>
          <w:sz w:val="24"/>
          <w:szCs w:val="24"/>
          <w:lang w:val="ro-MD"/>
        </w:rPr>
        <w:t>,</w:t>
      </w:r>
      <w:r w:rsidR="002B2298" w:rsidRPr="00401691">
        <w:rPr>
          <w:rFonts w:asciiTheme="majorHAnsi" w:hAnsiTheme="majorHAnsi" w:cstheme="majorHAnsi"/>
          <w:sz w:val="24"/>
          <w:szCs w:val="24"/>
          <w:lang w:val="ro-MD"/>
        </w:rPr>
        <w:t xml:space="preserve"> </w:t>
      </w:r>
      <w:r w:rsidR="00D61DCA">
        <w:rPr>
          <w:rFonts w:asciiTheme="majorHAnsi" w:hAnsiTheme="majorHAnsi" w:cstheme="majorHAnsi"/>
          <w:sz w:val="24"/>
          <w:szCs w:val="24"/>
          <w:lang w:val="ro-MD"/>
        </w:rPr>
        <w:t>o constituie</w:t>
      </w:r>
      <w:r w:rsidR="002B2298" w:rsidRPr="00401691">
        <w:rPr>
          <w:rFonts w:asciiTheme="majorHAnsi" w:hAnsiTheme="majorHAnsi" w:cstheme="majorHAnsi"/>
          <w:sz w:val="24"/>
          <w:szCs w:val="24"/>
          <w:lang w:val="ro-MD"/>
        </w:rPr>
        <w:t xml:space="preserve"> </w:t>
      </w:r>
      <w:r w:rsidR="002B2298" w:rsidRPr="00401691">
        <w:rPr>
          <w:rFonts w:asciiTheme="majorHAnsi" w:hAnsiTheme="majorHAnsi" w:cstheme="majorHAnsi"/>
          <w:color w:val="000000"/>
          <w:sz w:val="24"/>
          <w:szCs w:val="24"/>
          <w:lang w:val="ro-MD"/>
        </w:rPr>
        <w:t>restanțel</w:t>
      </w:r>
      <w:r w:rsidR="00D61DCA">
        <w:rPr>
          <w:rFonts w:asciiTheme="majorHAnsi" w:hAnsiTheme="majorHAnsi" w:cstheme="majorHAnsi"/>
          <w:color w:val="000000"/>
          <w:sz w:val="24"/>
          <w:szCs w:val="24"/>
          <w:lang w:val="ro-MD"/>
        </w:rPr>
        <w:t>e</w:t>
      </w:r>
      <w:r w:rsidR="002B2298" w:rsidRPr="00401691">
        <w:rPr>
          <w:rFonts w:asciiTheme="majorHAnsi" w:hAnsiTheme="majorHAnsi" w:cstheme="majorHAnsi"/>
          <w:color w:val="000000"/>
          <w:sz w:val="24"/>
          <w:szCs w:val="24"/>
          <w:lang w:val="ro-MD"/>
        </w:rPr>
        <w:t xml:space="preserve"> fiscale la capitolul TVA, fiind urmate de impozitul pe venit din activitatea de întreprinzător - 16,6 % (133,3 mil</w:t>
      </w:r>
      <w:r w:rsidR="00C21FCE">
        <w:rPr>
          <w:rFonts w:asciiTheme="majorHAnsi" w:hAnsiTheme="majorHAnsi" w:cstheme="majorHAnsi"/>
          <w:color w:val="000000"/>
          <w:sz w:val="24"/>
          <w:szCs w:val="24"/>
          <w:lang w:val="ro-MD"/>
        </w:rPr>
        <w:t>.</w:t>
      </w:r>
      <w:r w:rsidR="002B2298" w:rsidRPr="00401691">
        <w:rPr>
          <w:rFonts w:asciiTheme="majorHAnsi" w:hAnsiTheme="majorHAnsi" w:cstheme="majorHAnsi"/>
          <w:color w:val="000000"/>
          <w:sz w:val="24"/>
          <w:szCs w:val="24"/>
          <w:lang w:val="ro-MD"/>
        </w:rPr>
        <w:t xml:space="preserve"> lei), impozitul pe venit la sursa de plată - 4,2% (33,9 mil. lei), impozitul persoanelor fizice spre plată -4,0%</w:t>
      </w:r>
      <w:r w:rsidR="00947D48" w:rsidRPr="00401691">
        <w:rPr>
          <w:rFonts w:asciiTheme="majorHAnsi" w:hAnsiTheme="majorHAnsi" w:cstheme="majorHAnsi"/>
          <w:color w:val="000000"/>
          <w:sz w:val="24"/>
          <w:szCs w:val="24"/>
          <w:lang w:val="ro-MD"/>
        </w:rPr>
        <w:t xml:space="preserve"> </w:t>
      </w:r>
      <w:r w:rsidR="002B2298" w:rsidRPr="00401691">
        <w:rPr>
          <w:rFonts w:asciiTheme="majorHAnsi" w:hAnsiTheme="majorHAnsi" w:cstheme="majorHAnsi"/>
          <w:color w:val="000000"/>
          <w:sz w:val="24"/>
          <w:szCs w:val="24"/>
          <w:lang w:val="ro-MD"/>
        </w:rPr>
        <w:t>(32,0 mil</w:t>
      </w:r>
      <w:r w:rsidR="007C0496">
        <w:rPr>
          <w:rFonts w:asciiTheme="majorHAnsi" w:hAnsiTheme="majorHAnsi" w:cstheme="majorHAnsi"/>
          <w:color w:val="000000"/>
          <w:sz w:val="24"/>
          <w:szCs w:val="24"/>
          <w:lang w:val="ro-MD"/>
        </w:rPr>
        <w:t xml:space="preserve">. </w:t>
      </w:r>
      <w:r w:rsidR="002B2298" w:rsidRPr="00401691">
        <w:rPr>
          <w:rFonts w:asciiTheme="majorHAnsi" w:hAnsiTheme="majorHAnsi" w:cstheme="majorHAnsi"/>
          <w:color w:val="000000"/>
          <w:sz w:val="24"/>
          <w:szCs w:val="24"/>
          <w:lang w:val="ro-MD"/>
        </w:rPr>
        <w:t>lei) și altele.</w:t>
      </w:r>
      <w:r w:rsidR="00904C8B" w:rsidRPr="00401691">
        <w:rPr>
          <w:rFonts w:asciiTheme="majorHAnsi" w:hAnsiTheme="majorHAnsi" w:cstheme="majorHAnsi"/>
          <w:color w:val="000000"/>
          <w:sz w:val="24"/>
          <w:szCs w:val="24"/>
          <w:lang w:val="ro-MD"/>
        </w:rPr>
        <w:t xml:space="preserve"> Datele </w:t>
      </w:r>
      <w:r w:rsidR="00B73501" w:rsidRPr="00401691">
        <w:rPr>
          <w:rFonts w:asciiTheme="majorHAnsi" w:hAnsiTheme="majorHAnsi" w:cstheme="majorHAnsi"/>
          <w:color w:val="000000"/>
          <w:sz w:val="24"/>
          <w:szCs w:val="24"/>
          <w:lang w:val="ro-MD"/>
        </w:rPr>
        <w:t>integrale privind restanța la BS pe coduri ECO sunt expuse în Anexa nr.</w:t>
      </w:r>
      <w:r w:rsidR="001E7A1D" w:rsidRPr="00401691">
        <w:rPr>
          <w:rFonts w:asciiTheme="majorHAnsi" w:hAnsiTheme="majorHAnsi" w:cstheme="majorHAnsi"/>
          <w:color w:val="000000"/>
          <w:sz w:val="24"/>
          <w:szCs w:val="24"/>
          <w:lang w:val="ro-MD"/>
        </w:rPr>
        <w:t xml:space="preserve"> 5.</w:t>
      </w:r>
    </w:p>
    <w:p w:rsidR="00204B5D" w:rsidRDefault="00967912" w:rsidP="00844145">
      <w:pPr>
        <w:tabs>
          <w:tab w:val="left" w:pos="0"/>
          <w:tab w:val="left" w:pos="142"/>
        </w:tabs>
        <w:spacing w:after="120" w:line="276" w:lineRule="auto"/>
        <w:jc w:val="both"/>
        <w:rPr>
          <w:rFonts w:asciiTheme="majorHAnsi" w:hAnsiTheme="majorHAnsi" w:cstheme="majorHAnsi"/>
          <w:color w:val="000000"/>
          <w:sz w:val="24"/>
          <w:szCs w:val="24"/>
          <w:lang w:val="ro-MD"/>
        </w:rPr>
      </w:pPr>
      <w:r w:rsidRPr="00401691">
        <w:rPr>
          <w:rFonts w:asciiTheme="majorHAnsi" w:eastAsia="Calibri" w:hAnsiTheme="majorHAnsi" w:cstheme="majorHAnsi"/>
          <w:color w:val="000000" w:themeColor="text1"/>
          <w:sz w:val="24"/>
          <w:szCs w:val="24"/>
          <w:lang w:val="ro-MD"/>
        </w:rPr>
        <w:lastRenderedPageBreak/>
        <w:t>C</w:t>
      </w:r>
      <w:r w:rsidR="00D61DCA">
        <w:rPr>
          <w:rFonts w:asciiTheme="majorHAnsi" w:eastAsia="Calibri" w:hAnsiTheme="majorHAnsi" w:cstheme="majorHAnsi"/>
          <w:color w:val="000000" w:themeColor="text1"/>
          <w:sz w:val="24"/>
          <w:szCs w:val="24"/>
          <w:lang w:val="ro-MD"/>
        </w:rPr>
        <w:t>ât privește</w:t>
      </w:r>
      <w:r w:rsidRPr="00401691">
        <w:rPr>
          <w:rFonts w:asciiTheme="majorHAnsi" w:eastAsia="Calibri" w:hAnsiTheme="majorHAnsi" w:cstheme="majorHAnsi"/>
          <w:color w:val="000000" w:themeColor="text1"/>
          <w:sz w:val="24"/>
          <w:szCs w:val="24"/>
          <w:lang w:val="ro-MD"/>
        </w:rPr>
        <w:t xml:space="preserve"> corectitudinea raportării de către SFS a restanțelor</w:t>
      </w:r>
      <w:r w:rsidR="00D61DCA">
        <w:rPr>
          <w:rFonts w:asciiTheme="majorHAnsi" w:eastAsia="Calibri" w:hAnsiTheme="majorHAnsi" w:cstheme="majorHAnsi"/>
          <w:color w:val="000000" w:themeColor="text1"/>
          <w:sz w:val="24"/>
          <w:szCs w:val="24"/>
          <w:lang w:val="ro-MD"/>
        </w:rPr>
        <w:t>,</w:t>
      </w:r>
      <w:r w:rsidRPr="00401691">
        <w:rPr>
          <w:rFonts w:asciiTheme="majorHAnsi" w:eastAsia="Calibri" w:hAnsiTheme="majorHAnsi" w:cstheme="majorHAnsi"/>
          <w:color w:val="000000" w:themeColor="text1"/>
          <w:sz w:val="24"/>
          <w:szCs w:val="24"/>
          <w:lang w:val="ro-MD"/>
        </w:rPr>
        <w:t xml:space="preserve"> se menționează că datele raportate </w:t>
      </w:r>
      <w:r w:rsidR="005A062D">
        <w:rPr>
          <w:rFonts w:asciiTheme="majorHAnsi" w:eastAsia="Calibri" w:hAnsiTheme="majorHAnsi" w:cstheme="majorHAnsi"/>
          <w:color w:val="000000" w:themeColor="text1"/>
          <w:sz w:val="24"/>
          <w:szCs w:val="24"/>
          <w:lang w:val="ro-MD"/>
        </w:rPr>
        <w:t xml:space="preserve">au fost </w:t>
      </w:r>
      <w:r w:rsidRPr="00401691">
        <w:rPr>
          <w:rFonts w:asciiTheme="majorHAnsi" w:eastAsia="Calibri" w:hAnsiTheme="majorHAnsi" w:cstheme="majorHAnsi"/>
          <w:color w:val="000000" w:themeColor="text1"/>
          <w:sz w:val="24"/>
          <w:szCs w:val="24"/>
          <w:lang w:val="ro-MD"/>
        </w:rPr>
        <w:t xml:space="preserve">diminuate </w:t>
      </w:r>
      <w:r w:rsidR="00D61DCA" w:rsidRPr="00401691">
        <w:rPr>
          <w:rFonts w:asciiTheme="majorHAnsi" w:eastAsia="Calibri" w:hAnsiTheme="majorHAnsi" w:cstheme="majorHAnsi"/>
          <w:color w:val="000000" w:themeColor="text1"/>
          <w:sz w:val="24"/>
          <w:szCs w:val="24"/>
          <w:lang w:val="ro-MD"/>
        </w:rPr>
        <w:t xml:space="preserve">eronat </w:t>
      </w:r>
      <w:r w:rsidR="00B00DB5" w:rsidRPr="00401691">
        <w:rPr>
          <w:rFonts w:asciiTheme="majorHAnsi" w:eastAsia="Calibri" w:hAnsiTheme="majorHAnsi" w:cstheme="majorHAnsi"/>
          <w:color w:val="000000" w:themeColor="text1"/>
          <w:sz w:val="24"/>
          <w:szCs w:val="24"/>
          <w:lang w:val="ro-MD"/>
        </w:rPr>
        <w:t>cu 8,4 mil</w:t>
      </w:r>
      <w:r w:rsidR="00C21FCE">
        <w:rPr>
          <w:rFonts w:asciiTheme="majorHAnsi" w:eastAsia="Calibri" w:hAnsiTheme="majorHAnsi" w:cstheme="majorHAnsi"/>
          <w:color w:val="000000" w:themeColor="text1"/>
          <w:sz w:val="24"/>
          <w:szCs w:val="24"/>
          <w:lang w:val="ro-MD"/>
        </w:rPr>
        <w:t>.</w:t>
      </w:r>
      <w:r w:rsidR="00B00DB5" w:rsidRPr="00401691">
        <w:rPr>
          <w:rFonts w:asciiTheme="majorHAnsi" w:eastAsia="Calibri" w:hAnsiTheme="majorHAnsi" w:cstheme="majorHAnsi"/>
          <w:color w:val="000000" w:themeColor="text1"/>
          <w:sz w:val="24"/>
          <w:szCs w:val="24"/>
          <w:lang w:val="ro-MD"/>
        </w:rPr>
        <w:t xml:space="preserve"> lei. </w:t>
      </w:r>
      <w:r w:rsidRPr="00401691">
        <w:rPr>
          <w:rFonts w:asciiTheme="majorHAnsi" w:eastAsia="Calibri" w:hAnsiTheme="majorHAnsi" w:cstheme="majorHAnsi"/>
          <w:color w:val="000000" w:themeColor="text1"/>
          <w:sz w:val="24"/>
          <w:szCs w:val="24"/>
          <w:lang w:val="ro-MD"/>
        </w:rPr>
        <w:t>Astfel, c</w:t>
      </w:r>
      <w:r w:rsidR="00204B5D" w:rsidRPr="00401691">
        <w:rPr>
          <w:rFonts w:asciiTheme="majorHAnsi" w:hAnsiTheme="majorHAnsi" w:cstheme="majorHAnsi"/>
          <w:color w:val="000000" w:themeColor="text1"/>
          <w:sz w:val="24"/>
          <w:szCs w:val="24"/>
          <w:shd w:val="clear" w:color="auto" w:fill="FFFFFF"/>
          <w:lang w:val="ro-MD"/>
        </w:rPr>
        <w:t xml:space="preserve">ontrar prevederilor </w:t>
      </w:r>
      <w:r w:rsidR="00204B5D" w:rsidRPr="00401691">
        <w:rPr>
          <w:rFonts w:asciiTheme="majorHAnsi" w:hAnsiTheme="majorHAnsi" w:cstheme="majorHAnsi"/>
          <w:color w:val="000000" w:themeColor="text1"/>
          <w:sz w:val="24"/>
          <w:szCs w:val="24"/>
          <w:lang w:val="ro-MD"/>
        </w:rPr>
        <w:t>Regulamentului aprobat prin Ordinul MF nr.103 din 09.12.2005 privind regulile înscrierilor soldurilor în conturile personale ale contribuabililor, SFS</w:t>
      </w:r>
      <w:r w:rsidR="00204B5D" w:rsidRPr="00401691">
        <w:rPr>
          <w:rFonts w:asciiTheme="majorHAnsi" w:hAnsiTheme="majorHAnsi" w:cstheme="majorHAnsi"/>
          <w:color w:val="000000" w:themeColor="text1"/>
          <w:sz w:val="24"/>
          <w:szCs w:val="24"/>
          <w:shd w:val="clear" w:color="auto" w:fill="FFFFFF"/>
          <w:lang w:val="ro-MD"/>
        </w:rPr>
        <w:t xml:space="preserve"> a exclus</w:t>
      </w:r>
      <w:r w:rsidR="00204B5D" w:rsidRPr="00401691">
        <w:rPr>
          <w:rFonts w:asciiTheme="majorHAnsi" w:hAnsiTheme="majorHAnsi" w:cstheme="majorHAnsi"/>
          <w:color w:val="000000" w:themeColor="text1"/>
          <w:sz w:val="24"/>
          <w:szCs w:val="24"/>
          <w:lang w:val="ro-MD"/>
        </w:rPr>
        <w:t xml:space="preserve"> neîntemeiat de la </w:t>
      </w:r>
      <w:r w:rsidR="00D61DCA">
        <w:rPr>
          <w:rFonts w:asciiTheme="majorHAnsi" w:hAnsiTheme="majorHAnsi" w:cstheme="majorHAnsi"/>
          <w:color w:val="000000" w:themeColor="text1"/>
          <w:sz w:val="24"/>
          <w:szCs w:val="24"/>
          <w:lang w:val="ro-MD"/>
        </w:rPr>
        <w:t>c</w:t>
      </w:r>
      <w:r w:rsidR="00204B5D" w:rsidRPr="00401691">
        <w:rPr>
          <w:rFonts w:asciiTheme="majorHAnsi" w:hAnsiTheme="majorHAnsi" w:cstheme="majorHAnsi"/>
          <w:color w:val="000000" w:themeColor="text1"/>
          <w:sz w:val="24"/>
          <w:szCs w:val="24"/>
          <w:lang w:val="ro-MD"/>
        </w:rPr>
        <w:t xml:space="preserve">odul ECO </w:t>
      </w:r>
      <w:r w:rsidR="00204B5D" w:rsidRPr="00401691">
        <w:rPr>
          <w:rFonts w:asciiTheme="majorHAnsi" w:hAnsiTheme="majorHAnsi" w:cstheme="majorHAnsi"/>
          <w:color w:val="000000" w:themeColor="text1"/>
          <w:sz w:val="24"/>
          <w:szCs w:val="24"/>
          <w:shd w:val="clear" w:color="auto" w:fill="FFFFFF"/>
          <w:lang w:val="ro-MD"/>
        </w:rPr>
        <w:t xml:space="preserve">114261 </w:t>
      </w:r>
      <w:r w:rsidR="00D61DCA" w:rsidRPr="00401691">
        <w:rPr>
          <w:rFonts w:asciiTheme="majorHAnsi" w:hAnsiTheme="majorHAnsi" w:cstheme="majorHAnsi"/>
          <w:color w:val="000000" w:themeColor="text1"/>
          <w:sz w:val="24"/>
          <w:szCs w:val="24"/>
          <w:lang w:val="ro-MD"/>
        </w:rPr>
        <w:t>restanțele</w:t>
      </w:r>
      <w:r w:rsidR="00D61DCA" w:rsidRPr="00401691">
        <w:rPr>
          <w:rFonts w:asciiTheme="majorHAnsi" w:hAnsiTheme="majorHAnsi" w:cstheme="majorHAnsi"/>
          <w:color w:val="000000" w:themeColor="text1"/>
          <w:sz w:val="24"/>
          <w:szCs w:val="24"/>
          <w:shd w:val="clear" w:color="auto" w:fill="FFFFFF"/>
          <w:lang w:val="ro-MD"/>
        </w:rPr>
        <w:t xml:space="preserve"> </w:t>
      </w:r>
      <w:r w:rsidR="00204B5D" w:rsidRPr="00401691">
        <w:rPr>
          <w:rFonts w:asciiTheme="majorHAnsi" w:hAnsiTheme="majorHAnsi" w:cstheme="majorHAnsi"/>
          <w:color w:val="000000" w:themeColor="text1"/>
          <w:sz w:val="24"/>
          <w:szCs w:val="24"/>
          <w:shd w:val="clear" w:color="auto" w:fill="FFFFFF"/>
          <w:lang w:val="ro-MD"/>
        </w:rPr>
        <w:t xml:space="preserve">în </w:t>
      </w:r>
      <w:r w:rsidR="00204B5D" w:rsidRPr="00401691">
        <w:rPr>
          <w:rFonts w:asciiTheme="majorHAnsi" w:hAnsiTheme="majorHAnsi" w:cstheme="majorHAnsi"/>
          <w:color w:val="000000" w:themeColor="text1"/>
          <w:sz w:val="24"/>
          <w:szCs w:val="24"/>
          <w:lang w:val="ro-MD"/>
        </w:rPr>
        <w:t>sum</w:t>
      </w:r>
      <w:r w:rsidR="00D61DCA">
        <w:rPr>
          <w:rFonts w:asciiTheme="majorHAnsi" w:hAnsiTheme="majorHAnsi" w:cstheme="majorHAnsi"/>
          <w:color w:val="000000" w:themeColor="text1"/>
          <w:sz w:val="24"/>
          <w:szCs w:val="24"/>
          <w:lang w:val="ro-MD"/>
        </w:rPr>
        <w:t>ă</w:t>
      </w:r>
      <w:r w:rsidR="00204B5D" w:rsidRPr="00401691">
        <w:rPr>
          <w:rFonts w:asciiTheme="majorHAnsi" w:hAnsiTheme="majorHAnsi" w:cstheme="majorHAnsi"/>
          <w:color w:val="000000" w:themeColor="text1"/>
          <w:sz w:val="24"/>
          <w:szCs w:val="24"/>
          <w:lang w:val="ro-MD"/>
        </w:rPr>
        <w:t xml:space="preserve"> de </w:t>
      </w:r>
      <w:r w:rsidR="00204B5D" w:rsidRPr="00401691">
        <w:rPr>
          <w:rFonts w:asciiTheme="majorHAnsi" w:hAnsiTheme="majorHAnsi" w:cstheme="majorHAnsi"/>
          <w:bCs/>
          <w:color w:val="000000" w:themeColor="text1"/>
          <w:sz w:val="24"/>
          <w:szCs w:val="24"/>
          <w:lang w:val="ro-MD"/>
        </w:rPr>
        <w:t>8,4 mil</w:t>
      </w:r>
      <w:r w:rsidR="00C21FCE">
        <w:rPr>
          <w:rFonts w:asciiTheme="majorHAnsi" w:hAnsiTheme="majorHAnsi" w:cstheme="majorHAnsi"/>
          <w:bCs/>
          <w:color w:val="000000" w:themeColor="text1"/>
          <w:sz w:val="24"/>
          <w:szCs w:val="24"/>
          <w:lang w:val="ro-MD"/>
        </w:rPr>
        <w:t>.</w:t>
      </w:r>
      <w:r w:rsidR="00204B5D" w:rsidRPr="00401691">
        <w:rPr>
          <w:rFonts w:asciiTheme="majorHAnsi" w:hAnsiTheme="majorHAnsi" w:cstheme="majorHAnsi"/>
          <w:bCs/>
          <w:color w:val="000000" w:themeColor="text1"/>
          <w:sz w:val="24"/>
          <w:szCs w:val="24"/>
          <w:lang w:val="ro-MD"/>
        </w:rPr>
        <w:t xml:space="preserve"> lei, </w:t>
      </w:r>
      <w:r w:rsidR="003918CE">
        <w:rPr>
          <w:rFonts w:asciiTheme="majorHAnsi" w:hAnsiTheme="majorHAnsi" w:cstheme="majorHAnsi"/>
          <w:color w:val="000000" w:themeColor="text1"/>
          <w:sz w:val="24"/>
          <w:szCs w:val="24"/>
          <w:lang w:val="ro-MD"/>
        </w:rPr>
        <w:t xml:space="preserve">cu toate că </w:t>
      </w:r>
      <w:r w:rsidR="00204B5D" w:rsidRPr="00401691">
        <w:rPr>
          <w:rFonts w:asciiTheme="majorHAnsi" w:hAnsiTheme="majorHAnsi" w:cstheme="majorHAnsi"/>
          <w:color w:val="000000" w:themeColor="text1"/>
          <w:sz w:val="24"/>
          <w:szCs w:val="24"/>
          <w:lang w:val="ro-MD"/>
        </w:rPr>
        <w:t xml:space="preserve">contribuabilii nu le-au achitat și </w:t>
      </w:r>
      <w:r w:rsidR="00D61DCA">
        <w:rPr>
          <w:rFonts w:asciiTheme="majorHAnsi" w:hAnsiTheme="majorHAnsi" w:cstheme="majorHAnsi"/>
          <w:color w:val="000000" w:themeColor="text1"/>
          <w:sz w:val="24"/>
          <w:szCs w:val="24"/>
          <w:lang w:val="ro-MD"/>
        </w:rPr>
        <w:t xml:space="preserve">nici </w:t>
      </w:r>
      <w:r w:rsidR="003918CE">
        <w:rPr>
          <w:rFonts w:asciiTheme="majorHAnsi" w:hAnsiTheme="majorHAnsi" w:cstheme="majorHAnsi"/>
          <w:color w:val="000000" w:themeColor="text1"/>
          <w:sz w:val="24"/>
          <w:szCs w:val="24"/>
          <w:lang w:val="ro-MD"/>
        </w:rPr>
        <w:t xml:space="preserve">nu au fost scăzute din datorii </w:t>
      </w:r>
      <w:r w:rsidR="00204B5D" w:rsidRPr="00401691">
        <w:rPr>
          <w:rFonts w:asciiTheme="majorHAnsi" w:hAnsiTheme="majorHAnsi" w:cstheme="majorHAnsi"/>
          <w:color w:val="000000" w:themeColor="text1"/>
          <w:sz w:val="24"/>
          <w:szCs w:val="24"/>
          <w:lang w:val="ro-MD"/>
        </w:rPr>
        <w:t xml:space="preserve">prin alte metode legale. </w:t>
      </w:r>
      <w:r w:rsidR="00204B5D" w:rsidRPr="00401691">
        <w:rPr>
          <w:rFonts w:asciiTheme="majorHAnsi" w:hAnsiTheme="majorHAnsi" w:cstheme="majorHAnsi"/>
          <w:color w:val="000000"/>
          <w:sz w:val="24"/>
          <w:szCs w:val="24"/>
          <w:lang w:val="ro-MD"/>
        </w:rPr>
        <w:t>Deși, pe parcursul auditu</w:t>
      </w:r>
      <w:r w:rsidR="003918CE">
        <w:rPr>
          <w:rFonts w:asciiTheme="majorHAnsi" w:hAnsiTheme="majorHAnsi" w:cstheme="majorHAnsi"/>
          <w:color w:val="000000"/>
          <w:sz w:val="24"/>
          <w:szCs w:val="24"/>
          <w:lang w:val="ro-MD"/>
        </w:rPr>
        <w:t>lui,</w:t>
      </w:r>
      <w:r w:rsidR="00204B5D" w:rsidRPr="00401691">
        <w:rPr>
          <w:rFonts w:asciiTheme="majorHAnsi" w:hAnsiTheme="majorHAnsi" w:cstheme="majorHAnsi"/>
          <w:color w:val="000000"/>
          <w:sz w:val="24"/>
          <w:szCs w:val="24"/>
          <w:lang w:val="ro-MD"/>
        </w:rPr>
        <w:t xml:space="preserve"> SFS a restabilit suma respe</w:t>
      </w:r>
      <w:r w:rsidR="003918CE">
        <w:rPr>
          <w:rFonts w:asciiTheme="majorHAnsi" w:hAnsiTheme="majorHAnsi" w:cstheme="majorHAnsi"/>
          <w:color w:val="000000"/>
          <w:sz w:val="24"/>
          <w:szCs w:val="24"/>
          <w:lang w:val="ro-MD"/>
        </w:rPr>
        <w:t>ctivă în evidență</w:t>
      </w:r>
      <w:r w:rsidR="00C80281">
        <w:rPr>
          <w:rFonts w:asciiTheme="majorHAnsi" w:hAnsiTheme="majorHAnsi" w:cstheme="majorHAnsi"/>
          <w:color w:val="000000"/>
          <w:sz w:val="24"/>
          <w:szCs w:val="24"/>
          <w:lang w:val="ro-MD"/>
        </w:rPr>
        <w:t xml:space="preserve"> la </w:t>
      </w:r>
      <w:r w:rsidR="00D61DCA">
        <w:rPr>
          <w:rFonts w:asciiTheme="majorHAnsi" w:hAnsiTheme="majorHAnsi" w:cstheme="majorHAnsi"/>
          <w:color w:val="000000"/>
          <w:sz w:val="24"/>
          <w:szCs w:val="24"/>
          <w:lang w:val="ro-MD"/>
        </w:rPr>
        <w:t>c</w:t>
      </w:r>
      <w:r w:rsidR="00C80281">
        <w:rPr>
          <w:rFonts w:asciiTheme="majorHAnsi" w:hAnsiTheme="majorHAnsi" w:cstheme="majorHAnsi"/>
          <w:color w:val="000000"/>
          <w:sz w:val="24"/>
          <w:szCs w:val="24"/>
          <w:lang w:val="ro-MD"/>
        </w:rPr>
        <w:t>odul ECO</w:t>
      </w:r>
      <w:r w:rsidR="00204B5D" w:rsidRPr="00401691">
        <w:rPr>
          <w:rFonts w:asciiTheme="majorHAnsi" w:hAnsiTheme="majorHAnsi" w:cstheme="majorHAnsi"/>
          <w:color w:val="000000"/>
          <w:sz w:val="24"/>
          <w:szCs w:val="24"/>
          <w:lang w:val="ro-MD"/>
        </w:rPr>
        <w:t xml:space="preserve"> 114271 „Accize la alte mărfuri produse pe teritoriul RM”, această restanță nu a fost reflectată în rapoartele SFS prezentate MF la situația din 31.12.2019. Astfel, potrivit dărilor de seamă</w:t>
      </w:r>
      <w:r w:rsidR="00D61DCA">
        <w:rPr>
          <w:rFonts w:asciiTheme="majorHAnsi" w:hAnsiTheme="majorHAnsi" w:cstheme="majorHAnsi"/>
          <w:color w:val="000000"/>
          <w:sz w:val="24"/>
          <w:szCs w:val="24"/>
          <w:lang w:val="ro-MD"/>
        </w:rPr>
        <w:t>,</w:t>
      </w:r>
      <w:r w:rsidR="00204B5D" w:rsidRPr="00401691">
        <w:rPr>
          <w:rFonts w:asciiTheme="majorHAnsi" w:hAnsiTheme="majorHAnsi" w:cstheme="majorHAnsi"/>
          <w:color w:val="000000"/>
          <w:sz w:val="24"/>
          <w:szCs w:val="24"/>
          <w:lang w:val="ro-MD"/>
        </w:rPr>
        <w:t xml:space="preserve"> </w:t>
      </w:r>
      <w:r w:rsidR="00EA6384" w:rsidRPr="00401691">
        <w:rPr>
          <w:rFonts w:asciiTheme="majorHAnsi" w:hAnsiTheme="majorHAnsi" w:cstheme="majorHAnsi"/>
          <w:color w:val="000000"/>
          <w:sz w:val="24"/>
          <w:szCs w:val="24"/>
          <w:lang w:val="ro-MD"/>
        </w:rPr>
        <w:t xml:space="preserve">la </w:t>
      </w:r>
      <w:r w:rsidR="00D61DCA">
        <w:rPr>
          <w:rFonts w:asciiTheme="majorHAnsi" w:hAnsiTheme="majorHAnsi" w:cstheme="majorHAnsi"/>
          <w:color w:val="000000"/>
          <w:sz w:val="24"/>
          <w:szCs w:val="24"/>
          <w:lang w:val="ro-MD"/>
        </w:rPr>
        <w:t>c</w:t>
      </w:r>
      <w:r w:rsidR="00204B5D" w:rsidRPr="00401691">
        <w:rPr>
          <w:rFonts w:asciiTheme="majorHAnsi" w:hAnsiTheme="majorHAnsi" w:cstheme="majorHAnsi"/>
          <w:color w:val="000000"/>
          <w:sz w:val="24"/>
          <w:szCs w:val="24"/>
          <w:lang w:val="ro-MD"/>
        </w:rPr>
        <w:t xml:space="preserve">odul ECO 114271 „Accize la alte mărfuri produse pe teritoriul RM” a fost raportată restanța de 1,9 mil.lei, care </w:t>
      </w:r>
      <w:r w:rsidR="00D61DCA">
        <w:rPr>
          <w:rFonts w:asciiTheme="majorHAnsi" w:hAnsiTheme="majorHAnsi" w:cstheme="majorHAnsi"/>
          <w:color w:val="000000"/>
          <w:sz w:val="24"/>
          <w:szCs w:val="24"/>
          <w:lang w:val="ro-MD"/>
        </w:rPr>
        <w:t>de fapt</w:t>
      </w:r>
      <w:r w:rsidR="00204B5D" w:rsidRPr="00401691">
        <w:rPr>
          <w:rFonts w:asciiTheme="majorHAnsi" w:hAnsiTheme="majorHAnsi" w:cstheme="majorHAnsi"/>
          <w:color w:val="000000"/>
          <w:sz w:val="24"/>
          <w:szCs w:val="24"/>
          <w:lang w:val="ro-MD"/>
        </w:rPr>
        <w:t xml:space="preserve"> constituie</w:t>
      </w:r>
      <w:r w:rsidR="00D61DCA">
        <w:rPr>
          <w:rFonts w:asciiTheme="majorHAnsi" w:hAnsiTheme="majorHAnsi" w:cstheme="majorHAnsi"/>
          <w:color w:val="000000"/>
          <w:sz w:val="24"/>
          <w:szCs w:val="24"/>
          <w:lang w:val="ro-MD"/>
        </w:rPr>
        <w:t xml:space="preserve"> </w:t>
      </w:r>
      <w:r w:rsidR="00204B5D" w:rsidRPr="00401691">
        <w:rPr>
          <w:rFonts w:asciiTheme="majorHAnsi" w:hAnsiTheme="majorHAnsi" w:cstheme="majorHAnsi"/>
          <w:color w:val="000000"/>
          <w:sz w:val="24"/>
          <w:szCs w:val="24"/>
          <w:lang w:val="ro-MD"/>
        </w:rPr>
        <w:t>10,7 mil. lei.</w:t>
      </w:r>
    </w:p>
    <w:p w:rsidR="005A062D" w:rsidRPr="00401691" w:rsidRDefault="005A062D" w:rsidP="00A817B6">
      <w:pPr>
        <w:pBdr>
          <w:top w:val="single" w:sz="4" w:space="1" w:color="auto"/>
          <w:left w:val="single" w:sz="4" w:space="4" w:color="auto"/>
          <w:bottom w:val="single" w:sz="4" w:space="1" w:color="auto"/>
          <w:right w:val="single" w:sz="4" w:space="4" w:color="auto"/>
        </w:pBdr>
        <w:tabs>
          <w:tab w:val="left" w:pos="0"/>
          <w:tab w:val="left" w:pos="142"/>
        </w:tabs>
        <w:spacing w:after="120" w:line="276" w:lineRule="auto"/>
        <w:jc w:val="both"/>
        <w:rPr>
          <w:rFonts w:asciiTheme="majorHAnsi" w:hAnsiTheme="majorHAnsi" w:cstheme="majorHAnsi"/>
          <w:color w:val="000000"/>
          <w:sz w:val="24"/>
          <w:szCs w:val="24"/>
          <w:lang w:val="ro-MD"/>
        </w:rPr>
      </w:pPr>
      <w:r w:rsidRPr="00A817B6">
        <w:rPr>
          <w:rFonts w:asciiTheme="majorHAnsi" w:hAnsiTheme="majorHAnsi" w:cstheme="majorHAnsi"/>
          <w:b/>
          <w:i/>
          <w:color w:val="000000"/>
          <w:sz w:val="24"/>
          <w:szCs w:val="24"/>
          <w:lang w:val="ro-MD"/>
        </w:rPr>
        <w:t>Se ia act</w:t>
      </w:r>
      <w:r w:rsidR="00A817B6">
        <w:rPr>
          <w:rFonts w:asciiTheme="majorHAnsi" w:hAnsiTheme="majorHAnsi" w:cstheme="majorHAnsi"/>
          <w:b/>
          <w:i/>
          <w:color w:val="000000"/>
          <w:sz w:val="24"/>
          <w:szCs w:val="24"/>
          <w:lang w:val="ro-MD"/>
        </w:rPr>
        <w:t>:</w:t>
      </w:r>
      <w:r>
        <w:rPr>
          <w:rFonts w:asciiTheme="majorHAnsi" w:hAnsiTheme="majorHAnsi" w:cstheme="majorHAnsi"/>
          <w:color w:val="000000"/>
          <w:sz w:val="24"/>
          <w:szCs w:val="24"/>
          <w:lang w:val="ro-MD"/>
        </w:rPr>
        <w:t xml:space="preserve"> </w:t>
      </w:r>
      <w:r w:rsidRPr="005A062D">
        <w:rPr>
          <w:rFonts w:asciiTheme="majorHAnsi" w:hAnsiTheme="majorHAnsi" w:cstheme="majorHAnsi"/>
          <w:color w:val="000000"/>
          <w:sz w:val="24"/>
          <w:szCs w:val="24"/>
          <w:lang w:val="ro-MD"/>
        </w:rPr>
        <w:t>SFS a prezentat repetat darea de seamă privind restanța la situația din 31.12.2019</w:t>
      </w:r>
      <w:r w:rsidR="00A817B6">
        <w:rPr>
          <w:rFonts w:asciiTheme="majorHAnsi" w:hAnsiTheme="majorHAnsi" w:cstheme="majorHAnsi"/>
          <w:color w:val="000000"/>
          <w:sz w:val="24"/>
          <w:szCs w:val="24"/>
          <w:lang w:val="ro-MD"/>
        </w:rPr>
        <w:t xml:space="preserve">, </w:t>
      </w:r>
      <w:r w:rsidRPr="005A062D">
        <w:rPr>
          <w:rFonts w:asciiTheme="majorHAnsi" w:hAnsiTheme="majorHAnsi" w:cstheme="majorHAnsi"/>
          <w:color w:val="000000"/>
          <w:sz w:val="24"/>
          <w:szCs w:val="24"/>
          <w:lang w:val="ro-MD"/>
        </w:rPr>
        <w:t>în care a fost inclusă și suma omisă.</w:t>
      </w:r>
    </w:p>
    <w:p w:rsidR="00C84D3A" w:rsidRPr="00401691" w:rsidRDefault="003545D8" w:rsidP="00844145">
      <w:pPr>
        <w:tabs>
          <w:tab w:val="left" w:pos="0"/>
          <w:tab w:val="left" w:pos="142"/>
        </w:tabs>
        <w:spacing w:after="120" w:line="276" w:lineRule="auto"/>
        <w:jc w:val="both"/>
        <w:rPr>
          <w:rFonts w:asciiTheme="majorHAnsi" w:eastAsia="Calibri" w:hAnsiTheme="majorHAnsi" w:cstheme="majorHAnsi"/>
          <w:sz w:val="24"/>
          <w:szCs w:val="24"/>
          <w:lang w:val="ro-MD" w:eastAsia="ru-RU"/>
        </w:rPr>
      </w:pPr>
      <w:r w:rsidRPr="00401691">
        <w:rPr>
          <w:rFonts w:asciiTheme="majorHAnsi" w:hAnsiTheme="majorHAnsi" w:cstheme="majorHAnsi"/>
          <w:sz w:val="24"/>
          <w:szCs w:val="24"/>
          <w:lang w:val="ro-MD"/>
        </w:rPr>
        <w:t>Deși</w:t>
      </w:r>
      <w:r w:rsidR="005D1513">
        <w:rPr>
          <w:rFonts w:asciiTheme="majorHAnsi" w:hAnsiTheme="majorHAnsi" w:cstheme="majorHAnsi"/>
          <w:sz w:val="24"/>
          <w:szCs w:val="24"/>
          <w:lang w:val="ro-MD"/>
        </w:rPr>
        <w:t xml:space="preserve"> din</w:t>
      </w:r>
      <w:r w:rsidR="00EA6384" w:rsidRPr="00401691">
        <w:rPr>
          <w:rFonts w:asciiTheme="majorHAnsi" w:hAnsiTheme="majorHAnsi" w:cstheme="majorHAnsi"/>
          <w:sz w:val="24"/>
          <w:szCs w:val="24"/>
          <w:lang w:val="ro-MD"/>
        </w:rPr>
        <w:t xml:space="preserve"> </w:t>
      </w:r>
      <w:r w:rsidRPr="00401691">
        <w:rPr>
          <w:rFonts w:asciiTheme="majorHAnsi" w:hAnsiTheme="majorHAnsi" w:cstheme="majorHAnsi"/>
          <w:sz w:val="24"/>
          <w:szCs w:val="24"/>
          <w:lang w:val="ro-MD"/>
        </w:rPr>
        <w:t>datel</w:t>
      </w:r>
      <w:r w:rsidR="005D1513">
        <w:rPr>
          <w:rFonts w:asciiTheme="majorHAnsi" w:hAnsiTheme="majorHAnsi" w:cstheme="majorHAnsi"/>
          <w:sz w:val="24"/>
          <w:szCs w:val="24"/>
          <w:lang w:val="ro-MD"/>
        </w:rPr>
        <w:t>e</w:t>
      </w:r>
      <w:r w:rsidRPr="00401691">
        <w:rPr>
          <w:rFonts w:asciiTheme="majorHAnsi" w:hAnsiTheme="majorHAnsi" w:cstheme="majorHAnsi"/>
          <w:sz w:val="24"/>
          <w:szCs w:val="24"/>
          <w:lang w:val="ro-MD"/>
        </w:rPr>
        <w:t xml:space="preserve"> raportate de SFS rezultă că</w:t>
      </w:r>
      <w:r w:rsidR="00C80281">
        <w:rPr>
          <w:rFonts w:asciiTheme="majorHAnsi" w:hAnsiTheme="majorHAnsi" w:cstheme="majorHAnsi"/>
          <w:sz w:val="24"/>
          <w:szCs w:val="24"/>
          <w:lang w:val="ro-MD"/>
        </w:rPr>
        <w:t xml:space="preserve"> la finele anului 2019</w:t>
      </w:r>
      <w:r w:rsidRPr="00401691">
        <w:rPr>
          <w:rFonts w:asciiTheme="majorHAnsi" w:hAnsiTheme="majorHAnsi" w:cstheme="majorHAnsi"/>
          <w:sz w:val="24"/>
          <w:szCs w:val="24"/>
          <w:lang w:val="ro-MD"/>
        </w:rPr>
        <w:t xml:space="preserve"> </w:t>
      </w:r>
      <w:r w:rsidR="00C80281">
        <w:rPr>
          <w:rFonts w:asciiTheme="majorHAnsi" w:hAnsiTheme="majorHAnsi" w:cstheme="majorHAnsi"/>
          <w:sz w:val="24"/>
          <w:szCs w:val="24"/>
          <w:lang w:val="ro-MD"/>
        </w:rPr>
        <w:t>restanța la bugetul de stat s-a</w:t>
      </w:r>
      <w:r w:rsidRPr="00401691">
        <w:rPr>
          <w:rFonts w:asciiTheme="majorHAnsi" w:hAnsiTheme="majorHAnsi" w:cstheme="majorHAnsi"/>
          <w:sz w:val="24"/>
          <w:szCs w:val="24"/>
          <w:lang w:val="ro-MD"/>
        </w:rPr>
        <w:t xml:space="preserve"> micșorat cu 341,1 mil</w:t>
      </w:r>
      <w:r w:rsidR="00EA6384" w:rsidRPr="00401691">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lei, comparativ cu situația similară </w:t>
      </w:r>
      <w:r w:rsidR="005D1513">
        <w:rPr>
          <w:rFonts w:asciiTheme="majorHAnsi" w:hAnsiTheme="majorHAnsi" w:cstheme="majorHAnsi"/>
          <w:sz w:val="24"/>
          <w:szCs w:val="24"/>
          <w:lang w:val="ro-MD"/>
        </w:rPr>
        <w:t xml:space="preserve">din </w:t>
      </w:r>
      <w:r w:rsidRPr="00401691">
        <w:rPr>
          <w:rFonts w:asciiTheme="majorHAnsi" w:hAnsiTheme="majorHAnsi" w:cstheme="majorHAnsi"/>
          <w:sz w:val="24"/>
          <w:szCs w:val="24"/>
          <w:lang w:val="ro-MD"/>
        </w:rPr>
        <w:t>anul anterior</w:t>
      </w:r>
      <w:r w:rsidR="00EA6384" w:rsidRPr="00401691">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a</w:t>
      </w:r>
      <w:r w:rsidR="00496C91" w:rsidRPr="00401691">
        <w:rPr>
          <w:rFonts w:asciiTheme="majorHAnsi" w:hAnsiTheme="majorHAnsi" w:cstheme="majorHAnsi"/>
          <w:sz w:val="24"/>
          <w:szCs w:val="24"/>
          <w:lang w:val="ro-MD"/>
        </w:rPr>
        <w:t xml:space="preserve">uditul </w:t>
      </w:r>
      <w:r w:rsidR="00C84D3A" w:rsidRPr="00401691">
        <w:rPr>
          <w:rFonts w:asciiTheme="majorHAnsi" w:hAnsiTheme="majorHAnsi" w:cstheme="majorHAnsi"/>
          <w:sz w:val="24"/>
          <w:szCs w:val="24"/>
          <w:lang w:val="ro-MD"/>
        </w:rPr>
        <w:t xml:space="preserve">a constatat </w:t>
      </w:r>
      <w:r w:rsidR="00496C91" w:rsidRPr="00401691">
        <w:rPr>
          <w:rFonts w:asciiTheme="majorHAnsi" w:hAnsiTheme="majorHAnsi" w:cstheme="majorHAnsi"/>
          <w:sz w:val="24"/>
          <w:szCs w:val="24"/>
          <w:lang w:val="ro-MD"/>
        </w:rPr>
        <w:t xml:space="preserve">că </w:t>
      </w:r>
      <w:r w:rsidRPr="00401691">
        <w:rPr>
          <w:rFonts w:asciiTheme="majorHAnsi" w:hAnsiTheme="majorHAnsi" w:cstheme="majorHAnsi"/>
          <w:sz w:val="24"/>
          <w:szCs w:val="24"/>
          <w:lang w:val="ro-MD"/>
        </w:rPr>
        <w:t xml:space="preserve">această diminuare </w:t>
      </w:r>
      <w:r w:rsidR="00EA6384" w:rsidRPr="00401691">
        <w:rPr>
          <w:rFonts w:asciiTheme="majorHAnsi" w:hAnsiTheme="majorHAnsi" w:cstheme="majorHAnsi"/>
          <w:sz w:val="24"/>
          <w:szCs w:val="24"/>
          <w:lang w:val="ro-MD"/>
        </w:rPr>
        <w:t xml:space="preserve">nu s-a datorat încasării restanțelor, dar </w:t>
      </w:r>
      <w:r w:rsidR="00496C91" w:rsidRPr="00401691">
        <w:rPr>
          <w:rFonts w:asciiTheme="majorHAnsi" w:hAnsiTheme="majorHAnsi" w:cstheme="majorHAnsi"/>
          <w:sz w:val="24"/>
          <w:szCs w:val="24"/>
          <w:lang w:val="ro-MD"/>
        </w:rPr>
        <w:t>stinger</w:t>
      </w:r>
      <w:r w:rsidR="00C84D3A" w:rsidRPr="00401691">
        <w:rPr>
          <w:rFonts w:asciiTheme="majorHAnsi" w:hAnsiTheme="majorHAnsi" w:cstheme="majorHAnsi"/>
          <w:sz w:val="24"/>
          <w:szCs w:val="24"/>
          <w:lang w:val="ro-MD"/>
        </w:rPr>
        <w:t>ii</w:t>
      </w:r>
      <w:r w:rsidR="00496C91" w:rsidRPr="00401691">
        <w:rPr>
          <w:rFonts w:asciiTheme="majorHAnsi" w:hAnsiTheme="majorHAnsi" w:cstheme="majorHAnsi"/>
          <w:sz w:val="24"/>
          <w:szCs w:val="24"/>
          <w:lang w:val="ro-MD"/>
        </w:rPr>
        <w:t xml:space="preserve"> prin scădere </w:t>
      </w:r>
      <w:r w:rsidR="00EA6384" w:rsidRPr="00401691">
        <w:rPr>
          <w:rFonts w:asciiTheme="majorHAnsi" w:hAnsiTheme="majorHAnsi" w:cstheme="majorHAnsi"/>
          <w:sz w:val="24"/>
          <w:szCs w:val="24"/>
          <w:lang w:val="ro-MD"/>
        </w:rPr>
        <w:t xml:space="preserve">a </w:t>
      </w:r>
      <w:r w:rsidR="00B00DB5" w:rsidRPr="00401691">
        <w:rPr>
          <w:rFonts w:asciiTheme="majorHAnsi" w:hAnsiTheme="majorHAnsi" w:cstheme="majorHAnsi"/>
          <w:sz w:val="24"/>
          <w:szCs w:val="24"/>
          <w:lang w:val="ro-MD"/>
        </w:rPr>
        <w:t xml:space="preserve">obligației fiscale </w:t>
      </w:r>
      <w:r w:rsidR="00496C91" w:rsidRPr="00401691">
        <w:rPr>
          <w:rFonts w:asciiTheme="majorHAnsi" w:hAnsiTheme="majorHAnsi" w:cstheme="majorHAnsi"/>
          <w:sz w:val="24"/>
          <w:szCs w:val="24"/>
          <w:lang w:val="ro-MD"/>
        </w:rPr>
        <w:t>și înregistr</w:t>
      </w:r>
      <w:r w:rsidR="005D1513">
        <w:rPr>
          <w:rFonts w:asciiTheme="majorHAnsi" w:hAnsiTheme="majorHAnsi" w:cstheme="majorHAnsi"/>
          <w:sz w:val="24"/>
          <w:szCs w:val="24"/>
          <w:lang w:val="ro-MD"/>
        </w:rPr>
        <w:t>ării</w:t>
      </w:r>
      <w:r w:rsidR="00496C91" w:rsidRPr="00401691">
        <w:rPr>
          <w:rFonts w:asciiTheme="majorHAnsi" w:hAnsiTheme="majorHAnsi" w:cstheme="majorHAnsi"/>
          <w:sz w:val="24"/>
          <w:szCs w:val="24"/>
          <w:lang w:val="ro-MD"/>
        </w:rPr>
        <w:t xml:space="preserve"> </w:t>
      </w:r>
      <w:r w:rsidR="00B00DB5" w:rsidRPr="00401691">
        <w:rPr>
          <w:rFonts w:asciiTheme="majorHAnsi" w:hAnsiTheme="majorHAnsi" w:cstheme="majorHAnsi"/>
          <w:sz w:val="24"/>
          <w:szCs w:val="24"/>
          <w:lang w:val="ro-MD"/>
        </w:rPr>
        <w:t xml:space="preserve">acestora </w:t>
      </w:r>
      <w:r w:rsidR="00496C91" w:rsidRPr="00401691">
        <w:rPr>
          <w:rFonts w:asciiTheme="majorHAnsi" w:hAnsiTheme="majorHAnsi" w:cstheme="majorHAnsi"/>
          <w:sz w:val="24"/>
          <w:szCs w:val="24"/>
          <w:lang w:val="ro-MD"/>
        </w:rPr>
        <w:t>în evidența specială, în conformitate cu a</w:t>
      </w:r>
      <w:r w:rsidR="00C80281">
        <w:rPr>
          <w:rFonts w:asciiTheme="majorHAnsi" w:hAnsiTheme="majorHAnsi" w:cstheme="majorHAnsi"/>
          <w:sz w:val="24"/>
          <w:szCs w:val="24"/>
          <w:lang w:val="ro-MD"/>
        </w:rPr>
        <w:t xml:space="preserve">rt.174 și </w:t>
      </w:r>
      <w:r w:rsidR="00D41AF5">
        <w:rPr>
          <w:rFonts w:asciiTheme="majorHAnsi" w:hAnsiTheme="majorHAnsi" w:cstheme="majorHAnsi"/>
          <w:sz w:val="24"/>
          <w:szCs w:val="24"/>
          <w:lang w:val="ro-MD"/>
        </w:rPr>
        <w:t>art.</w:t>
      </w:r>
      <w:r w:rsidR="00C80281">
        <w:rPr>
          <w:rFonts w:asciiTheme="majorHAnsi" w:hAnsiTheme="majorHAnsi" w:cstheme="majorHAnsi"/>
          <w:sz w:val="24"/>
          <w:szCs w:val="24"/>
          <w:lang w:val="ro-MD"/>
        </w:rPr>
        <w:t xml:space="preserve">206 din Codul </w:t>
      </w:r>
      <w:r w:rsidR="00D41AF5">
        <w:rPr>
          <w:rFonts w:asciiTheme="majorHAnsi" w:hAnsiTheme="majorHAnsi" w:cstheme="majorHAnsi"/>
          <w:sz w:val="24"/>
          <w:szCs w:val="24"/>
          <w:lang w:val="ro-MD"/>
        </w:rPr>
        <w:t>f</w:t>
      </w:r>
      <w:r w:rsidR="00C80281">
        <w:rPr>
          <w:rFonts w:asciiTheme="majorHAnsi" w:hAnsiTheme="majorHAnsi" w:cstheme="majorHAnsi"/>
          <w:sz w:val="24"/>
          <w:szCs w:val="24"/>
          <w:lang w:val="ro-MD"/>
        </w:rPr>
        <w:t>iscal.</w:t>
      </w:r>
      <w:r w:rsidR="00EA6384" w:rsidRPr="00401691">
        <w:rPr>
          <w:rFonts w:asciiTheme="majorHAnsi" w:hAnsiTheme="majorHAnsi" w:cstheme="majorHAnsi"/>
          <w:sz w:val="24"/>
          <w:szCs w:val="24"/>
          <w:lang w:val="ro-MD"/>
        </w:rPr>
        <w:t xml:space="preserve"> </w:t>
      </w:r>
      <w:r w:rsidR="00496C91" w:rsidRPr="00401691">
        <w:rPr>
          <w:rFonts w:asciiTheme="majorHAnsi" w:hAnsiTheme="majorHAnsi" w:cstheme="majorHAnsi"/>
          <w:sz w:val="24"/>
          <w:szCs w:val="24"/>
          <w:lang w:val="ro-MD"/>
        </w:rPr>
        <w:t xml:space="preserve">Prin contextul </w:t>
      </w:r>
      <w:r w:rsidR="005D1513">
        <w:rPr>
          <w:rFonts w:asciiTheme="majorHAnsi" w:hAnsiTheme="majorHAnsi" w:cstheme="majorHAnsi"/>
          <w:sz w:val="24"/>
          <w:szCs w:val="24"/>
          <w:lang w:val="ro-MD"/>
        </w:rPr>
        <w:t>lor</w:t>
      </w:r>
      <w:r w:rsidR="00B00DB5" w:rsidRPr="00401691">
        <w:rPr>
          <w:rFonts w:asciiTheme="majorHAnsi" w:hAnsiTheme="majorHAnsi" w:cstheme="majorHAnsi"/>
          <w:sz w:val="24"/>
          <w:szCs w:val="24"/>
          <w:lang w:val="ro-MD"/>
        </w:rPr>
        <w:t>,</w:t>
      </w:r>
      <w:r w:rsidR="00496C91" w:rsidRPr="00401691">
        <w:rPr>
          <w:rFonts w:asciiTheme="majorHAnsi" w:hAnsiTheme="majorHAnsi" w:cstheme="majorHAnsi"/>
          <w:sz w:val="24"/>
          <w:szCs w:val="24"/>
          <w:lang w:val="ro-MD"/>
        </w:rPr>
        <w:t xml:space="preserve"> o</w:t>
      </w:r>
      <w:r w:rsidR="00496C91" w:rsidRPr="00401691">
        <w:rPr>
          <w:rFonts w:asciiTheme="majorHAnsi" w:eastAsia="Calibri" w:hAnsiTheme="majorHAnsi" w:cstheme="majorHAnsi"/>
          <w:sz w:val="24"/>
          <w:szCs w:val="24"/>
          <w:lang w:val="ro-MD"/>
        </w:rPr>
        <w:t>bligațiile fiscale</w:t>
      </w:r>
      <w:r w:rsidR="00EA6384" w:rsidRPr="00401691">
        <w:rPr>
          <w:rFonts w:asciiTheme="majorHAnsi" w:eastAsia="Calibri" w:hAnsiTheme="majorHAnsi" w:cstheme="majorHAnsi"/>
          <w:sz w:val="24"/>
          <w:szCs w:val="24"/>
          <w:lang w:val="ro-MD"/>
        </w:rPr>
        <w:t xml:space="preserve"> înregistrate în evidența specială</w:t>
      </w:r>
      <w:r w:rsidR="00496C91" w:rsidRPr="00401691">
        <w:rPr>
          <w:rFonts w:asciiTheme="majorHAnsi" w:eastAsia="Calibri" w:hAnsiTheme="majorHAnsi" w:cstheme="majorHAnsi"/>
          <w:sz w:val="24"/>
          <w:szCs w:val="24"/>
          <w:lang w:val="ro-MD"/>
        </w:rPr>
        <w:t xml:space="preserve"> sunt </w:t>
      </w:r>
      <w:r w:rsidR="00496C91" w:rsidRPr="00401691">
        <w:rPr>
          <w:rFonts w:asciiTheme="majorHAnsi" w:eastAsia="Calibri" w:hAnsiTheme="majorHAnsi" w:cstheme="majorHAnsi"/>
          <w:sz w:val="24"/>
          <w:szCs w:val="24"/>
          <w:lang w:val="ro-MD"/>
        </w:rPr>
        <w:lastRenderedPageBreak/>
        <w:t>cu</w:t>
      </w:r>
      <w:r w:rsidR="00BE0B54" w:rsidRPr="00401691">
        <w:rPr>
          <w:rFonts w:asciiTheme="majorHAnsi" w:eastAsia="Calibri" w:hAnsiTheme="majorHAnsi" w:cstheme="majorHAnsi"/>
          <w:sz w:val="24"/>
          <w:szCs w:val="24"/>
          <w:lang w:val="ro-MD"/>
        </w:rPr>
        <w:t xml:space="preserve"> grad redus de recuperare, sau </w:t>
      </w:r>
      <w:r w:rsidR="00496C91" w:rsidRPr="00401691">
        <w:rPr>
          <w:rFonts w:asciiTheme="majorHAnsi" w:eastAsia="Calibri" w:hAnsiTheme="majorHAnsi" w:cstheme="majorHAnsi"/>
          <w:sz w:val="24"/>
          <w:szCs w:val="24"/>
          <w:lang w:val="ro-MD"/>
        </w:rPr>
        <w:t>nerecuperabile</w:t>
      </w:r>
      <w:r w:rsidR="00496C91" w:rsidRPr="00401691">
        <w:rPr>
          <w:rFonts w:asciiTheme="majorHAnsi" w:eastAsia="Calibri" w:hAnsiTheme="majorHAnsi" w:cstheme="majorHAnsi"/>
          <w:i/>
          <w:sz w:val="24"/>
          <w:szCs w:val="24"/>
          <w:lang w:val="ro-MD"/>
        </w:rPr>
        <w:t>.</w:t>
      </w:r>
      <w:r w:rsidR="00C84D3A" w:rsidRPr="00401691">
        <w:rPr>
          <w:rFonts w:asciiTheme="majorHAnsi" w:eastAsia="Calibri" w:hAnsiTheme="majorHAnsi" w:cstheme="majorHAnsi"/>
          <w:sz w:val="24"/>
          <w:szCs w:val="24"/>
          <w:lang w:val="ro-MD"/>
        </w:rPr>
        <w:t xml:space="preserve"> </w:t>
      </w:r>
      <w:r w:rsidR="00C84D3A" w:rsidRPr="00401691">
        <w:rPr>
          <w:rFonts w:asciiTheme="majorHAnsi" w:eastAsia="Calibri" w:hAnsiTheme="majorHAnsi" w:cstheme="majorHAnsi"/>
          <w:sz w:val="24"/>
          <w:szCs w:val="24"/>
          <w:lang w:val="ro-MD" w:eastAsia="ru-RU"/>
        </w:rPr>
        <w:t>Analiza datelor atestă că pe parcursul ultim</w:t>
      </w:r>
      <w:r w:rsidR="005D1513">
        <w:rPr>
          <w:rFonts w:asciiTheme="majorHAnsi" w:eastAsia="Calibri" w:hAnsiTheme="majorHAnsi" w:cstheme="majorHAnsi"/>
          <w:sz w:val="24"/>
          <w:szCs w:val="24"/>
          <w:lang w:val="ro-MD" w:eastAsia="ru-RU"/>
        </w:rPr>
        <w:t>i</w:t>
      </w:r>
      <w:r w:rsidR="00C84D3A" w:rsidRPr="00401691">
        <w:rPr>
          <w:rFonts w:asciiTheme="majorHAnsi" w:eastAsia="Calibri" w:hAnsiTheme="majorHAnsi" w:cstheme="majorHAnsi"/>
          <w:sz w:val="24"/>
          <w:szCs w:val="24"/>
          <w:lang w:val="ro-MD" w:eastAsia="ru-RU"/>
        </w:rPr>
        <w:t>lor ani volumul obligațiilor fiscale restante înscrise în evidența specială înregistrează o creștere continuă, favorizând diminuarea restanței la obligațiile din evidența de bază</w:t>
      </w:r>
      <w:r w:rsidR="002E67D5">
        <w:rPr>
          <w:rFonts w:asciiTheme="majorHAnsi" w:eastAsia="Calibri" w:hAnsiTheme="majorHAnsi" w:cstheme="majorHAnsi"/>
          <w:sz w:val="24"/>
          <w:szCs w:val="24"/>
          <w:lang w:val="ro-MD" w:eastAsia="ru-RU"/>
        </w:rPr>
        <w:t xml:space="preserve"> a SFS.</w:t>
      </w:r>
      <w:r w:rsidRPr="00401691">
        <w:rPr>
          <w:rFonts w:asciiTheme="majorHAnsi" w:eastAsia="Calibri" w:hAnsiTheme="majorHAnsi" w:cstheme="majorHAnsi"/>
          <w:sz w:val="24"/>
          <w:szCs w:val="24"/>
          <w:lang w:val="ro-MD" w:eastAsia="ru-RU"/>
        </w:rPr>
        <w:t xml:space="preserve"> În ace</w:t>
      </w:r>
      <w:r w:rsidR="001E7A1D" w:rsidRPr="00401691">
        <w:rPr>
          <w:rFonts w:asciiTheme="majorHAnsi" w:eastAsia="Calibri" w:hAnsiTheme="majorHAnsi" w:cstheme="majorHAnsi"/>
          <w:sz w:val="24"/>
          <w:szCs w:val="24"/>
          <w:lang w:val="ro-MD" w:eastAsia="ru-RU"/>
        </w:rPr>
        <w:t>a</w:t>
      </w:r>
      <w:r w:rsidRPr="00401691">
        <w:rPr>
          <w:rFonts w:asciiTheme="majorHAnsi" w:eastAsia="Calibri" w:hAnsiTheme="majorHAnsi" w:cstheme="majorHAnsi"/>
          <w:sz w:val="24"/>
          <w:szCs w:val="24"/>
          <w:lang w:val="ro-MD" w:eastAsia="ru-RU"/>
        </w:rPr>
        <w:t>stă ordine de idei</w:t>
      </w:r>
      <w:r w:rsidR="005D1513">
        <w:rPr>
          <w:rFonts w:asciiTheme="majorHAnsi" w:eastAsia="Calibri" w:hAnsiTheme="majorHAnsi" w:cstheme="majorHAnsi"/>
          <w:sz w:val="24"/>
          <w:szCs w:val="24"/>
          <w:lang w:val="ro-MD" w:eastAsia="ru-RU"/>
        </w:rPr>
        <w:t>,</w:t>
      </w:r>
      <w:r w:rsidRPr="00401691">
        <w:rPr>
          <w:rFonts w:asciiTheme="majorHAnsi" w:eastAsia="Calibri" w:hAnsiTheme="majorHAnsi" w:cstheme="majorHAnsi"/>
          <w:sz w:val="24"/>
          <w:szCs w:val="24"/>
          <w:lang w:val="ro-MD" w:eastAsia="ru-RU"/>
        </w:rPr>
        <w:t xml:space="preserve"> se menționează că</w:t>
      </w:r>
      <w:r w:rsidR="00D90F7A" w:rsidRPr="00401691">
        <w:rPr>
          <w:rFonts w:asciiTheme="majorHAnsi" w:eastAsia="Calibri" w:hAnsiTheme="majorHAnsi" w:cstheme="majorHAnsi"/>
          <w:sz w:val="24"/>
          <w:szCs w:val="24"/>
          <w:lang w:val="ro-MD" w:eastAsia="ru-RU"/>
        </w:rPr>
        <w:t>, dacă în anul 2019 restanțele din evidența de bază s-au micșorat cu 341,1 mil</w:t>
      </w:r>
      <w:r w:rsidR="0057491B" w:rsidRPr="00401691">
        <w:rPr>
          <w:rFonts w:asciiTheme="majorHAnsi" w:eastAsia="Calibri" w:hAnsiTheme="majorHAnsi" w:cstheme="majorHAnsi"/>
          <w:sz w:val="24"/>
          <w:szCs w:val="24"/>
          <w:lang w:val="ro-MD" w:eastAsia="ru-RU"/>
        </w:rPr>
        <w:t>.</w:t>
      </w:r>
      <w:r w:rsidR="00C80281">
        <w:rPr>
          <w:rFonts w:asciiTheme="majorHAnsi" w:eastAsia="Calibri" w:hAnsiTheme="majorHAnsi" w:cstheme="majorHAnsi"/>
          <w:sz w:val="24"/>
          <w:szCs w:val="24"/>
          <w:lang w:val="ro-MD" w:eastAsia="ru-RU"/>
        </w:rPr>
        <w:t xml:space="preserve"> lei, atunci cele înscrise </w:t>
      </w:r>
      <w:r w:rsidR="00D90F7A" w:rsidRPr="00401691">
        <w:rPr>
          <w:rFonts w:asciiTheme="majorHAnsi" w:eastAsia="Calibri" w:hAnsiTheme="majorHAnsi" w:cstheme="majorHAnsi"/>
          <w:sz w:val="24"/>
          <w:szCs w:val="24"/>
          <w:lang w:val="ro-MD" w:eastAsia="ru-RU"/>
        </w:rPr>
        <w:t>în evidența specială s-au majorat cu 541,0 mil. lei, sau cu 199,9 mil</w:t>
      </w:r>
      <w:r w:rsidR="0057491B" w:rsidRPr="00401691">
        <w:rPr>
          <w:rFonts w:asciiTheme="majorHAnsi" w:eastAsia="Calibri" w:hAnsiTheme="majorHAnsi" w:cstheme="majorHAnsi"/>
          <w:sz w:val="24"/>
          <w:szCs w:val="24"/>
          <w:lang w:val="ro-MD" w:eastAsia="ru-RU"/>
        </w:rPr>
        <w:t>.</w:t>
      </w:r>
      <w:r w:rsidR="00D90F7A" w:rsidRPr="00401691">
        <w:rPr>
          <w:rFonts w:asciiTheme="majorHAnsi" w:eastAsia="Calibri" w:hAnsiTheme="majorHAnsi" w:cstheme="majorHAnsi"/>
          <w:sz w:val="24"/>
          <w:szCs w:val="24"/>
          <w:lang w:val="ro-MD" w:eastAsia="ru-RU"/>
        </w:rPr>
        <w:t xml:space="preserve"> lei mai mult.</w:t>
      </w:r>
    </w:p>
    <w:p w:rsidR="00F448F4" w:rsidRPr="00401691" w:rsidRDefault="00F448F4" w:rsidP="00844145">
      <w:pPr>
        <w:tabs>
          <w:tab w:val="left" w:pos="0"/>
        </w:tabs>
        <w:spacing w:after="0" w:line="276" w:lineRule="auto"/>
        <w:jc w:val="both"/>
        <w:rPr>
          <w:rFonts w:asciiTheme="majorHAnsi" w:eastAsia="Calibri" w:hAnsiTheme="majorHAnsi" w:cstheme="majorHAnsi"/>
          <w:sz w:val="24"/>
          <w:szCs w:val="24"/>
          <w:lang w:val="ro-MD" w:eastAsia="ru-RU"/>
        </w:rPr>
      </w:pPr>
      <w:r w:rsidRPr="00401691">
        <w:rPr>
          <w:rFonts w:asciiTheme="majorHAnsi" w:eastAsia="Calibri" w:hAnsiTheme="majorHAnsi" w:cstheme="majorHAnsi"/>
          <w:sz w:val="24"/>
          <w:szCs w:val="24"/>
          <w:lang w:val="ro-MD" w:eastAsia="ru-RU"/>
        </w:rPr>
        <w:t xml:space="preserve">Per total, fluctuația numărului contribuabililor și suma </w:t>
      </w:r>
      <w:r w:rsidRPr="00C80281">
        <w:rPr>
          <w:rFonts w:asciiTheme="majorHAnsi" w:eastAsia="Calibri" w:hAnsiTheme="majorHAnsi" w:cstheme="majorHAnsi"/>
          <w:sz w:val="24"/>
          <w:szCs w:val="24"/>
          <w:lang w:val="ro-MD" w:eastAsia="ru-RU"/>
        </w:rPr>
        <w:t>obligațiilor fiscale înregistrate în evidența specială</w:t>
      </w:r>
      <w:r w:rsidRPr="00401691">
        <w:rPr>
          <w:rFonts w:asciiTheme="majorHAnsi" w:eastAsia="Calibri" w:hAnsiTheme="majorHAnsi" w:cstheme="majorHAnsi"/>
          <w:i/>
          <w:sz w:val="24"/>
          <w:szCs w:val="24"/>
          <w:lang w:val="ro-MD" w:eastAsia="ru-RU"/>
        </w:rPr>
        <w:t xml:space="preserve"> </w:t>
      </w:r>
      <w:r w:rsidRPr="00401691">
        <w:rPr>
          <w:rFonts w:asciiTheme="majorHAnsi" w:eastAsia="Calibri" w:hAnsiTheme="majorHAnsi" w:cstheme="majorHAnsi"/>
          <w:sz w:val="24"/>
          <w:szCs w:val="24"/>
          <w:lang w:val="ro-MD" w:eastAsia="ru-RU"/>
        </w:rPr>
        <w:t>pe parcursul ultimilor 3 ani ( 2017- 2019) s</w:t>
      </w:r>
      <w:r w:rsidR="005D1513">
        <w:rPr>
          <w:rFonts w:asciiTheme="majorHAnsi" w:eastAsia="Calibri" w:hAnsiTheme="majorHAnsi" w:cstheme="majorHAnsi"/>
          <w:sz w:val="24"/>
          <w:szCs w:val="24"/>
          <w:lang w:val="ro-MD" w:eastAsia="ru-RU"/>
        </w:rPr>
        <w:t>unt</w:t>
      </w:r>
      <w:r w:rsidRPr="00401691">
        <w:rPr>
          <w:rFonts w:asciiTheme="majorHAnsi" w:eastAsia="Calibri" w:hAnsiTheme="majorHAnsi" w:cstheme="majorHAnsi"/>
          <w:sz w:val="24"/>
          <w:szCs w:val="24"/>
          <w:lang w:val="ro-MD" w:eastAsia="ru-RU"/>
        </w:rPr>
        <w:t xml:space="preserve"> prez</w:t>
      </w:r>
      <w:r w:rsidR="005D1513">
        <w:rPr>
          <w:rFonts w:asciiTheme="majorHAnsi" w:eastAsia="Calibri" w:hAnsiTheme="majorHAnsi" w:cstheme="majorHAnsi"/>
          <w:sz w:val="24"/>
          <w:szCs w:val="24"/>
          <w:lang w:val="ro-MD" w:eastAsia="ru-RU"/>
        </w:rPr>
        <w:t>entate</w:t>
      </w:r>
      <w:r w:rsidRPr="00401691">
        <w:rPr>
          <w:rFonts w:asciiTheme="majorHAnsi" w:eastAsia="Calibri" w:hAnsiTheme="majorHAnsi" w:cstheme="majorHAnsi"/>
          <w:sz w:val="24"/>
          <w:szCs w:val="24"/>
          <w:lang w:val="ro-MD" w:eastAsia="ru-RU"/>
        </w:rPr>
        <w:t xml:space="preserve"> în </w:t>
      </w:r>
      <w:r w:rsidR="005D1513" w:rsidRPr="00401691">
        <w:rPr>
          <w:rFonts w:asciiTheme="majorHAnsi" w:eastAsia="Calibri" w:hAnsiTheme="majorHAnsi" w:cstheme="majorHAnsi"/>
          <w:sz w:val="24"/>
          <w:szCs w:val="24"/>
          <w:lang w:val="ro-MD" w:eastAsia="ru-RU"/>
        </w:rPr>
        <w:t>tabel</w:t>
      </w:r>
      <w:r w:rsidR="005D1513">
        <w:rPr>
          <w:rFonts w:asciiTheme="majorHAnsi" w:eastAsia="Calibri" w:hAnsiTheme="majorHAnsi" w:cstheme="majorHAnsi"/>
          <w:sz w:val="24"/>
          <w:szCs w:val="24"/>
          <w:lang w:val="ro-MD" w:eastAsia="ru-RU"/>
        </w:rPr>
        <w:t>ul</w:t>
      </w:r>
      <w:r w:rsidR="005D1513" w:rsidRPr="00401691">
        <w:rPr>
          <w:rFonts w:asciiTheme="majorHAnsi" w:eastAsia="Calibri" w:hAnsiTheme="majorHAnsi" w:cstheme="majorHAnsi"/>
          <w:sz w:val="24"/>
          <w:szCs w:val="24"/>
          <w:lang w:val="ro-MD" w:eastAsia="ru-RU"/>
        </w:rPr>
        <w:t xml:space="preserve"> </w:t>
      </w:r>
      <w:r w:rsidRPr="00401691">
        <w:rPr>
          <w:rFonts w:asciiTheme="majorHAnsi" w:eastAsia="Calibri" w:hAnsiTheme="majorHAnsi" w:cstheme="majorHAnsi"/>
          <w:sz w:val="24"/>
          <w:szCs w:val="24"/>
          <w:lang w:val="ro-MD" w:eastAsia="ru-RU"/>
        </w:rPr>
        <w:t>următor</w:t>
      </w:r>
      <w:r w:rsidR="005D1513">
        <w:rPr>
          <w:rFonts w:asciiTheme="majorHAnsi" w:eastAsia="Calibri" w:hAnsiTheme="majorHAnsi" w:cstheme="majorHAnsi"/>
          <w:sz w:val="24"/>
          <w:szCs w:val="24"/>
          <w:lang w:val="ro-MD" w:eastAsia="ru-RU"/>
        </w:rPr>
        <w:t>.</w:t>
      </w:r>
      <w:r w:rsidRPr="00401691">
        <w:rPr>
          <w:rFonts w:asciiTheme="majorHAnsi" w:eastAsia="Calibri" w:hAnsiTheme="majorHAnsi" w:cstheme="majorHAnsi"/>
          <w:sz w:val="24"/>
          <w:szCs w:val="24"/>
          <w:lang w:val="ro-MD" w:eastAsia="ru-RU"/>
        </w:rPr>
        <w:t xml:space="preserve"> </w:t>
      </w:r>
    </w:p>
    <w:p w:rsidR="00CF6CD6" w:rsidRPr="00401691" w:rsidRDefault="00CF6CD6" w:rsidP="00844145">
      <w:pPr>
        <w:tabs>
          <w:tab w:val="left" w:pos="0"/>
        </w:tabs>
        <w:spacing w:after="0" w:line="276" w:lineRule="auto"/>
        <w:jc w:val="right"/>
        <w:rPr>
          <w:rFonts w:asciiTheme="majorHAnsi" w:eastAsia="Calibri" w:hAnsiTheme="majorHAnsi" w:cstheme="majorHAnsi"/>
          <w:i/>
          <w:sz w:val="24"/>
          <w:szCs w:val="24"/>
          <w:lang w:val="ro-MD" w:eastAsia="ru-RU"/>
        </w:rPr>
      </w:pPr>
      <w:r w:rsidRPr="00401691">
        <w:rPr>
          <w:rFonts w:asciiTheme="majorHAnsi" w:eastAsia="Calibri" w:hAnsiTheme="majorHAnsi" w:cstheme="majorHAnsi"/>
          <w:i/>
          <w:sz w:val="24"/>
          <w:szCs w:val="24"/>
          <w:lang w:val="ro-MD" w:eastAsia="ru-RU"/>
        </w:rPr>
        <w:t>Tabelul nr. 3</w:t>
      </w:r>
    </w:p>
    <w:p w:rsidR="00F448F4" w:rsidRPr="00573060" w:rsidRDefault="00843F2F" w:rsidP="00844145">
      <w:pPr>
        <w:tabs>
          <w:tab w:val="left" w:pos="0"/>
        </w:tabs>
        <w:spacing w:after="0" w:line="276" w:lineRule="auto"/>
        <w:jc w:val="right"/>
        <w:rPr>
          <w:rFonts w:asciiTheme="majorHAnsi" w:eastAsia="Calibri" w:hAnsiTheme="majorHAnsi" w:cstheme="majorHAnsi"/>
          <w:b/>
          <w:sz w:val="24"/>
          <w:szCs w:val="24"/>
          <w:lang w:val="ro-MD" w:eastAsia="ru-RU"/>
        </w:rPr>
      </w:pPr>
      <w:r w:rsidRPr="00573060">
        <w:rPr>
          <w:rFonts w:asciiTheme="majorHAnsi" w:eastAsia="Calibri" w:hAnsiTheme="majorHAnsi" w:cstheme="majorHAnsi"/>
          <w:b/>
          <w:sz w:val="24"/>
          <w:szCs w:val="24"/>
          <w:lang w:val="ro-MD" w:eastAsia="ru-RU"/>
        </w:rPr>
        <w:t>(m</w:t>
      </w:r>
      <w:r w:rsidR="00F448F4" w:rsidRPr="00573060">
        <w:rPr>
          <w:rFonts w:asciiTheme="majorHAnsi" w:eastAsia="Calibri" w:hAnsiTheme="majorHAnsi" w:cstheme="majorHAnsi"/>
          <w:b/>
          <w:sz w:val="24"/>
          <w:szCs w:val="24"/>
          <w:lang w:val="ro-MD" w:eastAsia="ru-RU"/>
        </w:rPr>
        <w:t>il</w:t>
      </w:r>
      <w:r w:rsidR="0057491B" w:rsidRPr="00573060">
        <w:rPr>
          <w:rFonts w:asciiTheme="majorHAnsi" w:eastAsia="Calibri" w:hAnsiTheme="majorHAnsi" w:cstheme="majorHAnsi"/>
          <w:b/>
          <w:sz w:val="24"/>
          <w:szCs w:val="24"/>
          <w:lang w:val="ro-MD" w:eastAsia="ru-RU"/>
        </w:rPr>
        <w:t>.</w:t>
      </w:r>
      <w:r w:rsidR="00F448F4" w:rsidRPr="00573060">
        <w:rPr>
          <w:rFonts w:asciiTheme="majorHAnsi" w:eastAsia="Calibri" w:hAnsiTheme="majorHAnsi" w:cstheme="majorHAnsi"/>
          <w:b/>
          <w:sz w:val="24"/>
          <w:szCs w:val="24"/>
          <w:lang w:val="ro-MD" w:eastAsia="ru-RU"/>
        </w:rPr>
        <w:t xml:space="preserve"> lei)</w:t>
      </w:r>
    </w:p>
    <w:tbl>
      <w:tblPr>
        <w:tblStyle w:val="PlainTable1"/>
        <w:tblW w:w="9895" w:type="dxa"/>
        <w:tblLayout w:type="fixed"/>
        <w:tblLook w:val="04A0" w:firstRow="1" w:lastRow="0" w:firstColumn="1" w:lastColumn="0" w:noHBand="0" w:noVBand="1"/>
      </w:tblPr>
      <w:tblGrid>
        <w:gridCol w:w="1255"/>
        <w:gridCol w:w="2340"/>
        <w:gridCol w:w="2520"/>
        <w:gridCol w:w="1440"/>
        <w:gridCol w:w="1080"/>
        <w:gridCol w:w="1260"/>
      </w:tblGrid>
      <w:tr w:rsidR="00381CA3" w:rsidRPr="00401691" w:rsidTr="00605F32">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255" w:type="dxa"/>
            <w:vMerge w:val="restart"/>
          </w:tcPr>
          <w:p w:rsidR="00381CA3" w:rsidRPr="00401691" w:rsidRDefault="00CF04C9" w:rsidP="00844145">
            <w:pPr>
              <w:tabs>
                <w:tab w:val="left" w:pos="0"/>
              </w:tabs>
              <w:spacing w:line="276" w:lineRule="auto"/>
              <w:jc w:val="both"/>
              <w:rPr>
                <w:rFonts w:asciiTheme="majorHAnsi" w:eastAsia="Calibri" w:hAnsiTheme="majorHAnsi" w:cstheme="majorHAnsi"/>
                <w:sz w:val="20"/>
                <w:szCs w:val="20"/>
                <w:lang w:val="ro-MD" w:eastAsia="ru-RU"/>
              </w:rPr>
            </w:pPr>
            <w:r>
              <w:rPr>
                <w:rFonts w:asciiTheme="majorHAnsi" w:eastAsia="Calibri" w:hAnsiTheme="majorHAnsi" w:cstheme="majorHAnsi"/>
                <w:sz w:val="20"/>
                <w:szCs w:val="20"/>
                <w:lang w:val="ro-MD" w:eastAsia="ru-RU"/>
              </w:rPr>
              <w:t>Anul</w:t>
            </w:r>
          </w:p>
        </w:tc>
        <w:tc>
          <w:tcPr>
            <w:tcW w:w="2340" w:type="dxa"/>
            <w:vMerge w:val="restart"/>
          </w:tcPr>
          <w:p w:rsidR="00381CA3" w:rsidRPr="00401691" w:rsidRDefault="00381CA3" w:rsidP="00844145">
            <w:pPr>
              <w:tabs>
                <w:tab w:val="left" w:pos="0"/>
              </w:tabs>
              <w:spacing w:line="276" w:lineRule="auto"/>
              <w:ind w:right="78"/>
              <w:jc w:val="both"/>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MD" w:eastAsia="ru-RU"/>
              </w:rPr>
            </w:pPr>
            <w:r w:rsidRPr="00401691">
              <w:rPr>
                <w:rFonts w:asciiTheme="majorHAnsi" w:eastAsia="Calibri" w:hAnsiTheme="majorHAnsi" w:cstheme="majorHAnsi"/>
                <w:sz w:val="20"/>
                <w:szCs w:val="20"/>
                <w:lang w:val="ro-MD" w:eastAsia="ru-RU"/>
              </w:rPr>
              <w:t>N</w:t>
            </w:r>
            <w:r w:rsidR="005D1513">
              <w:rPr>
                <w:rFonts w:asciiTheme="majorHAnsi" w:eastAsia="Calibri" w:hAnsiTheme="majorHAnsi" w:cstheme="majorHAnsi"/>
                <w:sz w:val="20"/>
                <w:szCs w:val="20"/>
                <w:lang w:val="ro-MD" w:eastAsia="ru-RU"/>
              </w:rPr>
              <w:t>umărul</w:t>
            </w:r>
            <w:r w:rsidRPr="00401691">
              <w:rPr>
                <w:rFonts w:asciiTheme="majorHAnsi" w:eastAsia="Calibri" w:hAnsiTheme="majorHAnsi" w:cstheme="majorHAnsi"/>
                <w:sz w:val="20"/>
                <w:szCs w:val="20"/>
                <w:lang w:val="ro-MD" w:eastAsia="ru-RU"/>
              </w:rPr>
              <w:t xml:space="preserve"> contribuabililor </w:t>
            </w:r>
          </w:p>
        </w:tc>
        <w:tc>
          <w:tcPr>
            <w:tcW w:w="2520" w:type="dxa"/>
            <w:vMerge w:val="restart"/>
          </w:tcPr>
          <w:p w:rsidR="00381CA3" w:rsidRPr="00401691" w:rsidRDefault="00CF04C9" w:rsidP="00844145">
            <w:pPr>
              <w:tabs>
                <w:tab w:val="left" w:pos="0"/>
              </w:tabs>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MD" w:eastAsia="ru-RU"/>
              </w:rPr>
            </w:pPr>
            <w:r>
              <w:rPr>
                <w:rFonts w:asciiTheme="majorHAnsi" w:eastAsia="Calibri" w:hAnsiTheme="majorHAnsi" w:cstheme="majorHAnsi"/>
                <w:sz w:val="20"/>
                <w:szCs w:val="20"/>
                <w:lang w:val="ro-MD" w:eastAsia="ru-RU"/>
              </w:rPr>
              <w:t xml:space="preserve">Soldul sumei totale a obligațiilor </w:t>
            </w:r>
            <w:r w:rsidR="00381CA3" w:rsidRPr="00401691">
              <w:rPr>
                <w:rFonts w:asciiTheme="majorHAnsi" w:eastAsia="Calibri" w:hAnsiTheme="majorHAnsi" w:cstheme="majorHAnsi"/>
                <w:sz w:val="20"/>
                <w:szCs w:val="20"/>
                <w:lang w:val="ro-MD" w:eastAsia="ru-RU"/>
              </w:rPr>
              <w:t>fiscale</w:t>
            </w:r>
            <w:r>
              <w:rPr>
                <w:rFonts w:asciiTheme="majorHAnsi" w:eastAsia="Calibri" w:hAnsiTheme="majorHAnsi" w:cstheme="majorHAnsi"/>
                <w:sz w:val="20"/>
                <w:szCs w:val="20"/>
                <w:lang w:val="ro-MD" w:eastAsia="ru-RU"/>
              </w:rPr>
              <w:t xml:space="preserve"> din evidența specială</w:t>
            </w:r>
            <w:r w:rsidR="00381CA3" w:rsidRPr="00401691">
              <w:rPr>
                <w:rFonts w:asciiTheme="majorHAnsi" w:eastAsia="Calibri" w:hAnsiTheme="majorHAnsi" w:cstheme="majorHAnsi"/>
                <w:sz w:val="20"/>
                <w:szCs w:val="20"/>
                <w:lang w:val="ro-MD" w:eastAsia="ru-RU"/>
              </w:rPr>
              <w:t xml:space="preserve"> </w:t>
            </w:r>
          </w:p>
        </w:tc>
        <w:tc>
          <w:tcPr>
            <w:tcW w:w="3780" w:type="dxa"/>
            <w:gridSpan w:val="3"/>
          </w:tcPr>
          <w:p w:rsidR="00381CA3" w:rsidRPr="00401691" w:rsidRDefault="00381CA3" w:rsidP="00844145">
            <w:pPr>
              <w:tabs>
                <w:tab w:val="left" w:pos="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MD" w:eastAsia="ru-RU"/>
              </w:rPr>
            </w:pPr>
            <w:r w:rsidRPr="00401691">
              <w:rPr>
                <w:rFonts w:asciiTheme="majorHAnsi" w:eastAsia="Calibri" w:hAnsiTheme="majorHAnsi" w:cstheme="majorHAnsi"/>
                <w:sz w:val="20"/>
                <w:szCs w:val="20"/>
                <w:lang w:val="ro-MD" w:eastAsia="ru-RU"/>
              </w:rPr>
              <w:t>Inclusiv:</w:t>
            </w:r>
          </w:p>
        </w:tc>
      </w:tr>
      <w:tr w:rsidR="00381CA3" w:rsidRPr="00401691" w:rsidTr="00605F32">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255" w:type="dxa"/>
            <w:vMerge/>
          </w:tcPr>
          <w:p w:rsidR="00381CA3" w:rsidRPr="00401691" w:rsidRDefault="00381CA3" w:rsidP="00844145">
            <w:pPr>
              <w:tabs>
                <w:tab w:val="left" w:pos="0"/>
              </w:tabs>
              <w:spacing w:line="276" w:lineRule="auto"/>
              <w:jc w:val="both"/>
              <w:rPr>
                <w:rFonts w:asciiTheme="majorHAnsi" w:eastAsia="Calibri" w:hAnsiTheme="majorHAnsi" w:cstheme="majorHAnsi"/>
                <w:sz w:val="20"/>
                <w:szCs w:val="20"/>
                <w:lang w:val="ro-MD" w:eastAsia="ru-RU"/>
              </w:rPr>
            </w:pPr>
          </w:p>
        </w:tc>
        <w:tc>
          <w:tcPr>
            <w:tcW w:w="2340" w:type="dxa"/>
            <w:vMerge/>
          </w:tcPr>
          <w:p w:rsidR="00381CA3" w:rsidRPr="00401691" w:rsidRDefault="00381CA3" w:rsidP="00844145">
            <w:pPr>
              <w:tabs>
                <w:tab w:val="left" w:pos="0"/>
              </w:tabs>
              <w:spacing w:line="276" w:lineRule="auto"/>
              <w:ind w:right="78"/>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ro-MD" w:eastAsia="ru-RU"/>
              </w:rPr>
            </w:pPr>
          </w:p>
        </w:tc>
        <w:tc>
          <w:tcPr>
            <w:tcW w:w="2520" w:type="dxa"/>
            <w:vMerge/>
          </w:tcPr>
          <w:p w:rsidR="00381CA3" w:rsidRPr="00401691" w:rsidRDefault="00381CA3" w:rsidP="00844145">
            <w:pPr>
              <w:tabs>
                <w:tab w:val="left" w:pos="0"/>
              </w:tabs>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ro-MD" w:eastAsia="ru-RU"/>
              </w:rPr>
            </w:pPr>
          </w:p>
        </w:tc>
        <w:tc>
          <w:tcPr>
            <w:tcW w:w="1440" w:type="dxa"/>
          </w:tcPr>
          <w:p w:rsidR="00381CA3" w:rsidRPr="00401691" w:rsidRDefault="00381CA3" w:rsidP="00844145">
            <w:pPr>
              <w:tabs>
                <w:tab w:val="left" w:pos="0"/>
              </w:tabs>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i/>
                <w:sz w:val="20"/>
                <w:szCs w:val="20"/>
                <w:lang w:val="ro-MD" w:eastAsia="ru-RU"/>
              </w:rPr>
            </w:pPr>
            <w:r w:rsidRPr="00401691">
              <w:rPr>
                <w:rFonts w:asciiTheme="majorHAnsi" w:eastAsia="Calibri" w:hAnsiTheme="majorHAnsi" w:cstheme="majorHAnsi"/>
                <w:i/>
                <w:sz w:val="20"/>
                <w:szCs w:val="20"/>
                <w:lang w:val="ro-MD" w:eastAsia="ru-RU"/>
              </w:rPr>
              <w:t>Pl</w:t>
            </w:r>
            <w:r w:rsidR="005D1513">
              <w:rPr>
                <w:rFonts w:asciiTheme="majorHAnsi" w:eastAsia="Calibri" w:hAnsiTheme="majorHAnsi" w:cstheme="majorHAnsi"/>
                <w:i/>
                <w:sz w:val="20"/>
                <w:szCs w:val="20"/>
                <w:lang w:val="ro-MD" w:eastAsia="ru-RU"/>
              </w:rPr>
              <w:t>ă</w:t>
            </w:r>
            <w:r w:rsidRPr="00401691">
              <w:rPr>
                <w:rFonts w:asciiTheme="majorHAnsi" w:eastAsia="Calibri" w:hAnsiTheme="majorHAnsi" w:cstheme="majorHAnsi"/>
                <w:i/>
                <w:sz w:val="20"/>
                <w:szCs w:val="20"/>
                <w:lang w:val="ro-MD" w:eastAsia="ru-RU"/>
              </w:rPr>
              <w:t>ți de bază</w:t>
            </w:r>
          </w:p>
        </w:tc>
        <w:tc>
          <w:tcPr>
            <w:tcW w:w="1080" w:type="dxa"/>
          </w:tcPr>
          <w:p w:rsidR="00381CA3" w:rsidRPr="00401691" w:rsidRDefault="00381CA3" w:rsidP="00844145">
            <w:pPr>
              <w:tabs>
                <w:tab w:val="left" w:pos="0"/>
              </w:tabs>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i/>
                <w:sz w:val="20"/>
                <w:szCs w:val="20"/>
                <w:lang w:val="ro-MD" w:eastAsia="ru-RU"/>
              </w:rPr>
            </w:pPr>
            <w:r w:rsidRPr="00401691">
              <w:rPr>
                <w:rFonts w:asciiTheme="majorHAnsi" w:eastAsia="Calibri" w:hAnsiTheme="majorHAnsi" w:cstheme="majorHAnsi"/>
                <w:i/>
                <w:sz w:val="20"/>
                <w:szCs w:val="20"/>
                <w:lang w:val="ro-MD" w:eastAsia="ru-RU"/>
              </w:rPr>
              <w:t xml:space="preserve"> Penalități</w:t>
            </w:r>
          </w:p>
        </w:tc>
        <w:tc>
          <w:tcPr>
            <w:tcW w:w="1260" w:type="dxa"/>
          </w:tcPr>
          <w:p w:rsidR="00381CA3" w:rsidRPr="00401691" w:rsidRDefault="00381CA3" w:rsidP="00844145">
            <w:pPr>
              <w:tabs>
                <w:tab w:val="left" w:pos="0"/>
              </w:tabs>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i/>
                <w:sz w:val="20"/>
                <w:szCs w:val="20"/>
                <w:lang w:val="ro-MD" w:eastAsia="ru-RU"/>
              </w:rPr>
            </w:pPr>
            <w:r w:rsidRPr="00401691">
              <w:rPr>
                <w:rFonts w:asciiTheme="majorHAnsi" w:eastAsia="Calibri" w:hAnsiTheme="majorHAnsi" w:cstheme="majorHAnsi"/>
                <w:i/>
                <w:sz w:val="20"/>
                <w:szCs w:val="20"/>
                <w:lang w:val="ro-MD" w:eastAsia="ru-RU"/>
              </w:rPr>
              <w:t>Amenzi</w:t>
            </w:r>
          </w:p>
        </w:tc>
      </w:tr>
      <w:tr w:rsidR="00F448F4" w:rsidRPr="00401691" w:rsidTr="00605F32">
        <w:trPr>
          <w:trHeight w:val="359"/>
        </w:trPr>
        <w:tc>
          <w:tcPr>
            <w:cnfStyle w:val="001000000000" w:firstRow="0" w:lastRow="0" w:firstColumn="1" w:lastColumn="0" w:oddVBand="0" w:evenVBand="0" w:oddHBand="0" w:evenHBand="0" w:firstRowFirstColumn="0" w:firstRowLastColumn="0" w:lastRowFirstColumn="0" w:lastRowLastColumn="0"/>
            <w:tcW w:w="1255" w:type="dxa"/>
          </w:tcPr>
          <w:p w:rsidR="00F448F4" w:rsidRPr="00401691" w:rsidRDefault="00F448F4" w:rsidP="00844145">
            <w:pPr>
              <w:tabs>
                <w:tab w:val="left" w:pos="0"/>
              </w:tabs>
              <w:spacing w:line="276" w:lineRule="auto"/>
              <w:jc w:val="both"/>
              <w:rPr>
                <w:rFonts w:asciiTheme="majorHAnsi" w:eastAsia="Calibri" w:hAnsiTheme="majorHAnsi" w:cstheme="majorHAnsi"/>
                <w:sz w:val="20"/>
                <w:szCs w:val="20"/>
                <w:lang w:val="ro-MD" w:eastAsia="ru-RU"/>
              </w:rPr>
            </w:pPr>
            <w:r w:rsidRPr="00401691">
              <w:rPr>
                <w:rFonts w:asciiTheme="majorHAnsi" w:eastAsia="Calibri" w:hAnsiTheme="majorHAnsi" w:cstheme="majorHAnsi"/>
                <w:sz w:val="20"/>
                <w:szCs w:val="20"/>
                <w:lang w:val="ro-MD" w:eastAsia="ru-RU"/>
              </w:rPr>
              <w:t>2017</w:t>
            </w:r>
          </w:p>
        </w:tc>
        <w:tc>
          <w:tcPr>
            <w:tcW w:w="2340" w:type="dxa"/>
          </w:tcPr>
          <w:p w:rsidR="00F448F4" w:rsidRPr="00401691" w:rsidRDefault="00F448F4" w:rsidP="00844145">
            <w:pPr>
              <w:tabs>
                <w:tab w:val="left" w:pos="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MD" w:eastAsia="ru-RU"/>
              </w:rPr>
            </w:pPr>
            <w:r w:rsidRPr="00401691">
              <w:rPr>
                <w:rFonts w:asciiTheme="majorHAnsi" w:eastAsia="Calibri" w:hAnsiTheme="majorHAnsi" w:cstheme="majorHAnsi"/>
                <w:sz w:val="20"/>
                <w:szCs w:val="20"/>
                <w:lang w:val="ro-MD" w:eastAsia="ru-RU"/>
              </w:rPr>
              <w:t>2578</w:t>
            </w:r>
          </w:p>
        </w:tc>
        <w:tc>
          <w:tcPr>
            <w:tcW w:w="2520" w:type="dxa"/>
          </w:tcPr>
          <w:p w:rsidR="00F448F4" w:rsidRPr="00401691" w:rsidRDefault="00F448F4" w:rsidP="00844145">
            <w:pPr>
              <w:tabs>
                <w:tab w:val="left" w:pos="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MD" w:eastAsia="ru-RU"/>
              </w:rPr>
            </w:pPr>
            <w:r w:rsidRPr="00401691">
              <w:rPr>
                <w:rFonts w:asciiTheme="majorHAnsi" w:eastAsia="Calibri" w:hAnsiTheme="majorHAnsi" w:cstheme="majorHAnsi"/>
                <w:sz w:val="20"/>
                <w:szCs w:val="20"/>
                <w:lang w:val="ro-MD" w:eastAsia="ru-RU"/>
              </w:rPr>
              <w:t>9</w:t>
            </w:r>
            <w:r w:rsidR="00C2643F">
              <w:rPr>
                <w:rFonts w:asciiTheme="majorHAnsi" w:eastAsia="Calibri" w:hAnsiTheme="majorHAnsi" w:cstheme="majorHAnsi"/>
                <w:sz w:val="20"/>
                <w:szCs w:val="20"/>
                <w:lang w:val="ro-MD" w:eastAsia="ru-RU"/>
              </w:rPr>
              <w:t xml:space="preserve"> </w:t>
            </w:r>
            <w:r w:rsidRPr="00401691">
              <w:rPr>
                <w:rFonts w:asciiTheme="majorHAnsi" w:eastAsia="Calibri" w:hAnsiTheme="majorHAnsi" w:cstheme="majorHAnsi"/>
                <w:sz w:val="20"/>
                <w:szCs w:val="20"/>
                <w:lang w:val="ro-MD" w:eastAsia="ru-RU"/>
              </w:rPr>
              <w:t>034,3</w:t>
            </w:r>
          </w:p>
        </w:tc>
        <w:tc>
          <w:tcPr>
            <w:tcW w:w="1440" w:type="dxa"/>
          </w:tcPr>
          <w:p w:rsidR="00F448F4" w:rsidRPr="00401691" w:rsidRDefault="00F448F4" w:rsidP="008441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401691">
              <w:rPr>
                <w:rFonts w:asciiTheme="majorHAnsi" w:eastAsia="Times New Roman" w:hAnsiTheme="majorHAnsi" w:cstheme="majorHAnsi"/>
                <w:sz w:val="20"/>
                <w:szCs w:val="20"/>
                <w:lang w:val="ro-MD" w:eastAsia="ru-RU"/>
              </w:rPr>
              <w:t>4</w:t>
            </w:r>
            <w:r w:rsidR="00C2643F">
              <w:rPr>
                <w:rFonts w:asciiTheme="majorHAnsi" w:eastAsia="Times New Roman" w:hAnsiTheme="majorHAnsi" w:cstheme="majorHAnsi"/>
                <w:sz w:val="20"/>
                <w:szCs w:val="20"/>
                <w:lang w:val="ro-MD" w:eastAsia="ru-RU"/>
              </w:rPr>
              <w:t xml:space="preserve"> </w:t>
            </w:r>
            <w:r w:rsidRPr="00401691">
              <w:rPr>
                <w:rFonts w:asciiTheme="majorHAnsi" w:eastAsia="Times New Roman" w:hAnsiTheme="majorHAnsi" w:cstheme="majorHAnsi"/>
                <w:sz w:val="20"/>
                <w:szCs w:val="20"/>
                <w:lang w:val="ro-MD" w:eastAsia="ru-RU"/>
              </w:rPr>
              <w:t>711,08</w:t>
            </w:r>
          </w:p>
        </w:tc>
        <w:tc>
          <w:tcPr>
            <w:tcW w:w="1080" w:type="dxa"/>
          </w:tcPr>
          <w:p w:rsidR="00F448F4" w:rsidRPr="00401691" w:rsidRDefault="00F448F4" w:rsidP="008441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401691">
              <w:rPr>
                <w:rFonts w:asciiTheme="majorHAnsi" w:eastAsia="Times New Roman" w:hAnsiTheme="majorHAnsi" w:cstheme="majorHAnsi"/>
                <w:sz w:val="20"/>
                <w:szCs w:val="20"/>
                <w:lang w:val="ro-MD" w:eastAsia="ru-RU"/>
              </w:rPr>
              <w:t>1</w:t>
            </w:r>
            <w:r w:rsidR="00C2643F">
              <w:rPr>
                <w:rFonts w:asciiTheme="majorHAnsi" w:eastAsia="Times New Roman" w:hAnsiTheme="majorHAnsi" w:cstheme="majorHAnsi"/>
                <w:sz w:val="20"/>
                <w:szCs w:val="20"/>
                <w:lang w:val="ro-MD" w:eastAsia="ru-RU"/>
              </w:rPr>
              <w:t xml:space="preserve"> </w:t>
            </w:r>
            <w:r w:rsidRPr="00401691">
              <w:rPr>
                <w:rFonts w:asciiTheme="majorHAnsi" w:eastAsia="Times New Roman" w:hAnsiTheme="majorHAnsi" w:cstheme="majorHAnsi"/>
                <w:sz w:val="20"/>
                <w:szCs w:val="20"/>
                <w:lang w:val="ro-MD" w:eastAsia="ru-RU"/>
              </w:rPr>
              <w:t>548,4</w:t>
            </w:r>
          </w:p>
        </w:tc>
        <w:tc>
          <w:tcPr>
            <w:tcW w:w="1260" w:type="dxa"/>
          </w:tcPr>
          <w:p w:rsidR="00F448F4" w:rsidRPr="00401691" w:rsidRDefault="00F448F4" w:rsidP="008441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401691">
              <w:rPr>
                <w:rFonts w:asciiTheme="majorHAnsi" w:eastAsia="Times New Roman" w:hAnsiTheme="majorHAnsi" w:cstheme="majorHAnsi"/>
                <w:sz w:val="20"/>
                <w:szCs w:val="20"/>
                <w:lang w:val="ro-MD" w:eastAsia="ru-RU"/>
              </w:rPr>
              <w:t>2</w:t>
            </w:r>
            <w:r w:rsidR="00C2643F">
              <w:rPr>
                <w:rFonts w:asciiTheme="majorHAnsi" w:eastAsia="Times New Roman" w:hAnsiTheme="majorHAnsi" w:cstheme="majorHAnsi"/>
                <w:sz w:val="20"/>
                <w:szCs w:val="20"/>
                <w:lang w:val="ro-MD" w:eastAsia="ru-RU"/>
              </w:rPr>
              <w:t xml:space="preserve"> </w:t>
            </w:r>
            <w:r w:rsidRPr="00401691">
              <w:rPr>
                <w:rFonts w:asciiTheme="majorHAnsi" w:eastAsia="Times New Roman" w:hAnsiTheme="majorHAnsi" w:cstheme="majorHAnsi"/>
                <w:sz w:val="20"/>
                <w:szCs w:val="20"/>
                <w:lang w:val="ro-MD" w:eastAsia="ru-RU"/>
              </w:rPr>
              <w:t>774,8</w:t>
            </w:r>
          </w:p>
        </w:tc>
      </w:tr>
      <w:tr w:rsidR="00F448F4" w:rsidRPr="00401691" w:rsidTr="00605F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rsidR="00F448F4" w:rsidRPr="00401691" w:rsidRDefault="00F448F4" w:rsidP="00844145">
            <w:pPr>
              <w:tabs>
                <w:tab w:val="left" w:pos="0"/>
              </w:tabs>
              <w:spacing w:line="276" w:lineRule="auto"/>
              <w:jc w:val="both"/>
              <w:rPr>
                <w:rFonts w:asciiTheme="majorHAnsi" w:eastAsia="Calibri" w:hAnsiTheme="majorHAnsi" w:cstheme="majorHAnsi"/>
                <w:sz w:val="20"/>
                <w:szCs w:val="20"/>
                <w:lang w:val="ro-MD" w:eastAsia="ru-RU"/>
              </w:rPr>
            </w:pPr>
            <w:r w:rsidRPr="00401691">
              <w:rPr>
                <w:rFonts w:asciiTheme="majorHAnsi" w:eastAsia="Calibri" w:hAnsiTheme="majorHAnsi" w:cstheme="majorHAnsi"/>
                <w:sz w:val="20"/>
                <w:szCs w:val="20"/>
                <w:lang w:val="ro-MD" w:eastAsia="ru-RU"/>
              </w:rPr>
              <w:t>2018</w:t>
            </w:r>
          </w:p>
        </w:tc>
        <w:tc>
          <w:tcPr>
            <w:tcW w:w="2340" w:type="dxa"/>
          </w:tcPr>
          <w:p w:rsidR="00F448F4" w:rsidRPr="00401691" w:rsidRDefault="00F448F4" w:rsidP="00844145">
            <w:pPr>
              <w:tabs>
                <w:tab w:val="left" w:pos="0"/>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ro-MD" w:eastAsia="ru-RU"/>
              </w:rPr>
            </w:pPr>
            <w:r w:rsidRPr="00401691">
              <w:rPr>
                <w:rFonts w:asciiTheme="majorHAnsi" w:eastAsia="Calibri" w:hAnsiTheme="majorHAnsi" w:cstheme="majorHAnsi"/>
                <w:sz w:val="20"/>
                <w:szCs w:val="20"/>
                <w:lang w:val="ro-MD" w:eastAsia="ru-RU"/>
              </w:rPr>
              <w:t>2298</w:t>
            </w:r>
          </w:p>
        </w:tc>
        <w:tc>
          <w:tcPr>
            <w:tcW w:w="2520" w:type="dxa"/>
          </w:tcPr>
          <w:p w:rsidR="00F448F4" w:rsidRPr="00401691" w:rsidRDefault="00F448F4" w:rsidP="00844145">
            <w:pPr>
              <w:tabs>
                <w:tab w:val="left" w:pos="0"/>
                <w:tab w:val="left" w:pos="624"/>
                <w:tab w:val="center" w:pos="1152"/>
              </w:tabs>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ro-MD" w:eastAsia="ru-RU"/>
              </w:rPr>
            </w:pPr>
            <w:r w:rsidRPr="00401691">
              <w:rPr>
                <w:rFonts w:asciiTheme="majorHAnsi" w:eastAsia="Calibri" w:hAnsiTheme="majorHAnsi" w:cstheme="majorHAnsi"/>
                <w:sz w:val="20"/>
                <w:szCs w:val="20"/>
                <w:lang w:val="ro-MD" w:eastAsia="ru-RU"/>
              </w:rPr>
              <w:tab/>
            </w:r>
            <w:r w:rsidRPr="00401691">
              <w:rPr>
                <w:rFonts w:asciiTheme="majorHAnsi" w:eastAsia="Calibri" w:hAnsiTheme="majorHAnsi" w:cstheme="majorHAnsi"/>
                <w:sz w:val="20"/>
                <w:szCs w:val="20"/>
                <w:lang w:val="ro-MD" w:eastAsia="ru-RU"/>
              </w:rPr>
              <w:tab/>
              <w:t>11</w:t>
            </w:r>
            <w:r w:rsidR="00C2643F">
              <w:rPr>
                <w:rFonts w:asciiTheme="majorHAnsi" w:eastAsia="Calibri" w:hAnsiTheme="majorHAnsi" w:cstheme="majorHAnsi"/>
                <w:sz w:val="20"/>
                <w:szCs w:val="20"/>
                <w:lang w:val="ro-MD" w:eastAsia="ru-RU"/>
              </w:rPr>
              <w:t xml:space="preserve"> </w:t>
            </w:r>
            <w:r w:rsidRPr="00401691">
              <w:rPr>
                <w:rFonts w:asciiTheme="majorHAnsi" w:eastAsia="Calibri" w:hAnsiTheme="majorHAnsi" w:cstheme="majorHAnsi"/>
                <w:sz w:val="20"/>
                <w:szCs w:val="20"/>
                <w:lang w:val="ro-MD" w:eastAsia="ru-RU"/>
              </w:rPr>
              <w:t>493,4</w:t>
            </w:r>
          </w:p>
        </w:tc>
        <w:tc>
          <w:tcPr>
            <w:tcW w:w="1440" w:type="dxa"/>
          </w:tcPr>
          <w:p w:rsidR="00F448F4" w:rsidRPr="00401691" w:rsidRDefault="00F448F4" w:rsidP="00844145">
            <w:pPr>
              <w:tabs>
                <w:tab w:val="left" w:pos="0"/>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ro-MD" w:eastAsia="ru-RU"/>
              </w:rPr>
            </w:pPr>
            <w:r w:rsidRPr="00401691">
              <w:rPr>
                <w:rFonts w:asciiTheme="majorHAnsi" w:eastAsia="Calibri" w:hAnsiTheme="majorHAnsi" w:cstheme="majorHAnsi"/>
                <w:sz w:val="20"/>
                <w:szCs w:val="20"/>
                <w:lang w:val="ro-MD" w:eastAsia="ru-RU"/>
              </w:rPr>
              <w:t>5</w:t>
            </w:r>
            <w:r w:rsidR="00C2643F">
              <w:rPr>
                <w:rFonts w:asciiTheme="majorHAnsi" w:eastAsia="Calibri" w:hAnsiTheme="majorHAnsi" w:cstheme="majorHAnsi"/>
                <w:sz w:val="20"/>
                <w:szCs w:val="20"/>
                <w:lang w:val="ro-MD" w:eastAsia="ru-RU"/>
              </w:rPr>
              <w:t xml:space="preserve"> </w:t>
            </w:r>
            <w:r w:rsidRPr="00401691">
              <w:rPr>
                <w:rFonts w:asciiTheme="majorHAnsi" w:eastAsia="Calibri" w:hAnsiTheme="majorHAnsi" w:cstheme="majorHAnsi"/>
                <w:sz w:val="20"/>
                <w:szCs w:val="20"/>
                <w:lang w:val="ro-MD" w:eastAsia="ru-RU"/>
              </w:rPr>
              <w:t>791,6</w:t>
            </w:r>
          </w:p>
        </w:tc>
        <w:tc>
          <w:tcPr>
            <w:tcW w:w="1080" w:type="dxa"/>
          </w:tcPr>
          <w:p w:rsidR="00F448F4" w:rsidRPr="00401691" w:rsidRDefault="00F448F4" w:rsidP="00844145">
            <w:pPr>
              <w:tabs>
                <w:tab w:val="left" w:pos="0"/>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ro-MD" w:eastAsia="ru-RU"/>
              </w:rPr>
            </w:pPr>
            <w:r w:rsidRPr="00401691">
              <w:rPr>
                <w:rFonts w:asciiTheme="majorHAnsi" w:eastAsia="Calibri" w:hAnsiTheme="majorHAnsi" w:cstheme="majorHAnsi"/>
                <w:sz w:val="20"/>
                <w:szCs w:val="20"/>
                <w:lang w:val="ro-MD" w:eastAsia="ru-RU"/>
              </w:rPr>
              <w:t>2</w:t>
            </w:r>
            <w:r w:rsidR="00C2643F">
              <w:rPr>
                <w:rFonts w:asciiTheme="majorHAnsi" w:eastAsia="Calibri" w:hAnsiTheme="majorHAnsi" w:cstheme="majorHAnsi"/>
                <w:sz w:val="20"/>
                <w:szCs w:val="20"/>
                <w:lang w:val="ro-MD" w:eastAsia="ru-RU"/>
              </w:rPr>
              <w:t xml:space="preserve"> </w:t>
            </w:r>
            <w:r w:rsidRPr="00401691">
              <w:rPr>
                <w:rFonts w:asciiTheme="majorHAnsi" w:eastAsia="Calibri" w:hAnsiTheme="majorHAnsi" w:cstheme="majorHAnsi"/>
                <w:sz w:val="20"/>
                <w:szCs w:val="20"/>
                <w:lang w:val="ro-MD" w:eastAsia="ru-RU"/>
              </w:rPr>
              <w:t>714,1</w:t>
            </w:r>
          </w:p>
        </w:tc>
        <w:tc>
          <w:tcPr>
            <w:tcW w:w="1260" w:type="dxa"/>
          </w:tcPr>
          <w:p w:rsidR="00F448F4" w:rsidRPr="00401691" w:rsidRDefault="00F448F4" w:rsidP="00844145">
            <w:pPr>
              <w:tabs>
                <w:tab w:val="left" w:pos="0"/>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ro-MD" w:eastAsia="ru-RU"/>
              </w:rPr>
            </w:pPr>
            <w:r w:rsidRPr="00401691">
              <w:rPr>
                <w:rFonts w:asciiTheme="majorHAnsi" w:eastAsia="Calibri" w:hAnsiTheme="majorHAnsi" w:cstheme="majorHAnsi"/>
                <w:sz w:val="20"/>
                <w:szCs w:val="20"/>
                <w:lang w:val="ro-MD" w:eastAsia="ru-RU"/>
              </w:rPr>
              <w:t>3</w:t>
            </w:r>
            <w:r w:rsidR="00C2643F">
              <w:rPr>
                <w:rFonts w:asciiTheme="majorHAnsi" w:eastAsia="Calibri" w:hAnsiTheme="majorHAnsi" w:cstheme="majorHAnsi"/>
                <w:sz w:val="20"/>
                <w:szCs w:val="20"/>
                <w:lang w:val="ro-MD" w:eastAsia="ru-RU"/>
              </w:rPr>
              <w:t xml:space="preserve"> </w:t>
            </w:r>
            <w:r w:rsidRPr="00401691">
              <w:rPr>
                <w:rFonts w:asciiTheme="majorHAnsi" w:eastAsia="Calibri" w:hAnsiTheme="majorHAnsi" w:cstheme="majorHAnsi"/>
                <w:sz w:val="20"/>
                <w:szCs w:val="20"/>
                <w:lang w:val="ro-MD" w:eastAsia="ru-RU"/>
              </w:rPr>
              <w:t>527,7</w:t>
            </w:r>
          </w:p>
        </w:tc>
      </w:tr>
      <w:tr w:rsidR="00F448F4" w:rsidRPr="00401691" w:rsidTr="00605F32">
        <w:tc>
          <w:tcPr>
            <w:cnfStyle w:val="001000000000" w:firstRow="0" w:lastRow="0" w:firstColumn="1" w:lastColumn="0" w:oddVBand="0" w:evenVBand="0" w:oddHBand="0" w:evenHBand="0" w:firstRowFirstColumn="0" w:firstRowLastColumn="0" w:lastRowFirstColumn="0" w:lastRowLastColumn="0"/>
            <w:tcW w:w="1255" w:type="dxa"/>
          </w:tcPr>
          <w:p w:rsidR="00F448F4" w:rsidRPr="00401691" w:rsidRDefault="00F448F4" w:rsidP="00844145">
            <w:pPr>
              <w:tabs>
                <w:tab w:val="left" w:pos="0"/>
              </w:tabs>
              <w:spacing w:line="276" w:lineRule="auto"/>
              <w:jc w:val="both"/>
              <w:rPr>
                <w:rFonts w:asciiTheme="majorHAnsi" w:eastAsia="Calibri" w:hAnsiTheme="majorHAnsi" w:cstheme="majorHAnsi"/>
                <w:sz w:val="20"/>
                <w:szCs w:val="20"/>
                <w:lang w:val="ro-MD" w:eastAsia="ru-RU"/>
              </w:rPr>
            </w:pPr>
            <w:r w:rsidRPr="00401691">
              <w:rPr>
                <w:rFonts w:asciiTheme="majorHAnsi" w:eastAsia="Calibri" w:hAnsiTheme="majorHAnsi" w:cstheme="majorHAnsi"/>
                <w:sz w:val="20"/>
                <w:szCs w:val="20"/>
                <w:lang w:val="ro-MD" w:eastAsia="ru-RU"/>
              </w:rPr>
              <w:t>2019</w:t>
            </w:r>
          </w:p>
        </w:tc>
        <w:tc>
          <w:tcPr>
            <w:tcW w:w="2340" w:type="dxa"/>
          </w:tcPr>
          <w:p w:rsidR="00F448F4" w:rsidRPr="00401691" w:rsidRDefault="00F448F4" w:rsidP="00844145">
            <w:pPr>
              <w:tabs>
                <w:tab w:val="left" w:pos="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MD" w:eastAsia="ru-RU"/>
              </w:rPr>
            </w:pPr>
            <w:r w:rsidRPr="00401691">
              <w:rPr>
                <w:rFonts w:asciiTheme="majorHAnsi" w:eastAsia="Calibri" w:hAnsiTheme="majorHAnsi" w:cstheme="majorHAnsi"/>
                <w:sz w:val="20"/>
                <w:szCs w:val="20"/>
                <w:lang w:val="ro-MD" w:eastAsia="ru-RU"/>
              </w:rPr>
              <w:t>2368</w:t>
            </w:r>
          </w:p>
        </w:tc>
        <w:tc>
          <w:tcPr>
            <w:tcW w:w="2520" w:type="dxa"/>
          </w:tcPr>
          <w:p w:rsidR="00F448F4" w:rsidRPr="00401691" w:rsidRDefault="00F448F4" w:rsidP="00844145">
            <w:pPr>
              <w:tabs>
                <w:tab w:val="left" w:pos="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MD" w:eastAsia="ru-RU"/>
              </w:rPr>
            </w:pPr>
            <w:r w:rsidRPr="00401691">
              <w:rPr>
                <w:rFonts w:asciiTheme="majorHAnsi" w:eastAsia="Calibri" w:hAnsiTheme="majorHAnsi" w:cstheme="majorHAnsi"/>
                <w:sz w:val="20"/>
                <w:szCs w:val="20"/>
                <w:lang w:val="ro-MD" w:eastAsia="ru-RU"/>
              </w:rPr>
              <w:t>12</w:t>
            </w:r>
            <w:r w:rsidR="00C2643F">
              <w:rPr>
                <w:rFonts w:asciiTheme="majorHAnsi" w:eastAsia="Calibri" w:hAnsiTheme="majorHAnsi" w:cstheme="majorHAnsi"/>
                <w:sz w:val="20"/>
                <w:szCs w:val="20"/>
                <w:lang w:val="ro-MD" w:eastAsia="ru-RU"/>
              </w:rPr>
              <w:t xml:space="preserve"> </w:t>
            </w:r>
            <w:r w:rsidRPr="00401691">
              <w:rPr>
                <w:rFonts w:asciiTheme="majorHAnsi" w:eastAsia="Calibri" w:hAnsiTheme="majorHAnsi" w:cstheme="majorHAnsi"/>
                <w:sz w:val="20"/>
                <w:szCs w:val="20"/>
                <w:lang w:val="ro-MD" w:eastAsia="ru-RU"/>
              </w:rPr>
              <w:t>034,4</w:t>
            </w:r>
          </w:p>
        </w:tc>
        <w:tc>
          <w:tcPr>
            <w:tcW w:w="1440" w:type="dxa"/>
          </w:tcPr>
          <w:p w:rsidR="00F448F4" w:rsidRPr="00401691" w:rsidRDefault="00F448F4" w:rsidP="00844145">
            <w:pPr>
              <w:tabs>
                <w:tab w:val="left" w:pos="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MD" w:eastAsia="ru-RU"/>
              </w:rPr>
            </w:pPr>
            <w:r w:rsidRPr="00401691">
              <w:rPr>
                <w:rFonts w:asciiTheme="majorHAnsi" w:eastAsia="Calibri" w:hAnsiTheme="majorHAnsi" w:cstheme="majorHAnsi"/>
                <w:sz w:val="20"/>
                <w:szCs w:val="20"/>
                <w:lang w:val="ro-MD" w:eastAsia="ru-RU"/>
              </w:rPr>
              <w:t>6</w:t>
            </w:r>
            <w:r w:rsidR="00C2643F">
              <w:rPr>
                <w:rFonts w:asciiTheme="majorHAnsi" w:eastAsia="Calibri" w:hAnsiTheme="majorHAnsi" w:cstheme="majorHAnsi"/>
                <w:sz w:val="20"/>
                <w:szCs w:val="20"/>
                <w:lang w:val="ro-MD" w:eastAsia="ru-RU"/>
              </w:rPr>
              <w:t xml:space="preserve"> </w:t>
            </w:r>
            <w:r w:rsidRPr="00401691">
              <w:rPr>
                <w:rFonts w:asciiTheme="majorHAnsi" w:eastAsia="Calibri" w:hAnsiTheme="majorHAnsi" w:cstheme="majorHAnsi"/>
                <w:sz w:val="20"/>
                <w:szCs w:val="20"/>
                <w:lang w:val="ro-MD" w:eastAsia="ru-RU"/>
              </w:rPr>
              <w:t>031,3</w:t>
            </w:r>
          </w:p>
        </w:tc>
        <w:tc>
          <w:tcPr>
            <w:tcW w:w="1080" w:type="dxa"/>
          </w:tcPr>
          <w:p w:rsidR="00F448F4" w:rsidRPr="00401691" w:rsidRDefault="00F448F4" w:rsidP="00844145">
            <w:pPr>
              <w:tabs>
                <w:tab w:val="left" w:pos="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MD" w:eastAsia="ru-RU"/>
              </w:rPr>
            </w:pPr>
            <w:r w:rsidRPr="00401691">
              <w:rPr>
                <w:rFonts w:asciiTheme="majorHAnsi" w:eastAsia="Calibri" w:hAnsiTheme="majorHAnsi" w:cstheme="majorHAnsi"/>
                <w:sz w:val="20"/>
                <w:szCs w:val="20"/>
                <w:lang w:val="ro-MD" w:eastAsia="ru-RU"/>
              </w:rPr>
              <w:t>2</w:t>
            </w:r>
            <w:r w:rsidR="00C2643F">
              <w:rPr>
                <w:rFonts w:asciiTheme="majorHAnsi" w:eastAsia="Calibri" w:hAnsiTheme="majorHAnsi" w:cstheme="majorHAnsi"/>
                <w:sz w:val="20"/>
                <w:szCs w:val="20"/>
                <w:lang w:val="ro-MD" w:eastAsia="ru-RU"/>
              </w:rPr>
              <w:t xml:space="preserve"> </w:t>
            </w:r>
            <w:r w:rsidRPr="00401691">
              <w:rPr>
                <w:rFonts w:asciiTheme="majorHAnsi" w:eastAsia="Calibri" w:hAnsiTheme="majorHAnsi" w:cstheme="majorHAnsi"/>
                <w:sz w:val="20"/>
                <w:szCs w:val="20"/>
                <w:lang w:val="ro-MD" w:eastAsia="ru-RU"/>
              </w:rPr>
              <w:t>531,1</w:t>
            </w:r>
          </w:p>
        </w:tc>
        <w:tc>
          <w:tcPr>
            <w:tcW w:w="1260" w:type="dxa"/>
          </w:tcPr>
          <w:p w:rsidR="00F448F4" w:rsidRPr="00401691" w:rsidRDefault="00F448F4" w:rsidP="00844145">
            <w:pPr>
              <w:tabs>
                <w:tab w:val="left" w:pos="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MD" w:eastAsia="ru-RU"/>
              </w:rPr>
            </w:pPr>
            <w:r w:rsidRPr="00401691">
              <w:rPr>
                <w:rFonts w:asciiTheme="majorHAnsi" w:eastAsia="Calibri" w:hAnsiTheme="majorHAnsi" w:cstheme="majorHAnsi"/>
                <w:sz w:val="20"/>
                <w:szCs w:val="20"/>
                <w:lang w:val="ro-MD" w:eastAsia="ru-RU"/>
              </w:rPr>
              <w:t>3</w:t>
            </w:r>
            <w:r w:rsidR="00C2643F">
              <w:rPr>
                <w:rFonts w:asciiTheme="majorHAnsi" w:eastAsia="Calibri" w:hAnsiTheme="majorHAnsi" w:cstheme="majorHAnsi"/>
                <w:sz w:val="20"/>
                <w:szCs w:val="20"/>
                <w:lang w:val="ro-MD" w:eastAsia="ru-RU"/>
              </w:rPr>
              <w:t xml:space="preserve"> </w:t>
            </w:r>
            <w:r w:rsidRPr="00401691">
              <w:rPr>
                <w:rFonts w:asciiTheme="majorHAnsi" w:eastAsia="Calibri" w:hAnsiTheme="majorHAnsi" w:cstheme="majorHAnsi"/>
                <w:sz w:val="20"/>
                <w:szCs w:val="20"/>
                <w:lang w:val="ro-MD" w:eastAsia="ru-RU"/>
              </w:rPr>
              <w:t>651,7</w:t>
            </w:r>
          </w:p>
        </w:tc>
      </w:tr>
    </w:tbl>
    <w:p w:rsidR="00C2643F" w:rsidRPr="006D5B2B" w:rsidRDefault="00C2643F" w:rsidP="00844145">
      <w:pPr>
        <w:spacing w:line="276" w:lineRule="auto"/>
        <w:jc w:val="both"/>
        <w:rPr>
          <w:rFonts w:asciiTheme="majorHAnsi" w:hAnsiTheme="majorHAnsi" w:cstheme="majorHAnsi"/>
          <w:i/>
          <w:sz w:val="18"/>
          <w:szCs w:val="18"/>
          <w:lang w:val="ro-MD"/>
        </w:rPr>
      </w:pPr>
      <w:r w:rsidRPr="006D5B2B">
        <w:rPr>
          <w:rFonts w:asciiTheme="majorHAnsi" w:hAnsiTheme="majorHAnsi" w:cstheme="majorHAnsi"/>
          <w:b/>
          <w:i/>
          <w:sz w:val="18"/>
          <w:szCs w:val="18"/>
          <w:lang w:val="ro-MD"/>
        </w:rPr>
        <w:t>Sursa:</w:t>
      </w:r>
      <w:r w:rsidRPr="006D5B2B">
        <w:rPr>
          <w:rFonts w:asciiTheme="majorHAnsi" w:hAnsiTheme="majorHAnsi" w:cstheme="majorHAnsi"/>
          <w:i/>
          <w:sz w:val="18"/>
          <w:szCs w:val="18"/>
          <w:lang w:val="ro-MD"/>
        </w:rPr>
        <w:t xml:space="preserve"> Dările de seamă prezentate de SFS către MF în anii 20</w:t>
      </w:r>
      <w:r w:rsidR="005D1513">
        <w:rPr>
          <w:rFonts w:asciiTheme="majorHAnsi" w:hAnsiTheme="majorHAnsi" w:cstheme="majorHAnsi"/>
          <w:i/>
          <w:sz w:val="18"/>
          <w:szCs w:val="18"/>
          <w:lang w:val="ro-MD"/>
        </w:rPr>
        <w:t>1</w:t>
      </w:r>
      <w:r w:rsidRPr="006D5B2B">
        <w:rPr>
          <w:rFonts w:asciiTheme="majorHAnsi" w:hAnsiTheme="majorHAnsi" w:cstheme="majorHAnsi"/>
          <w:i/>
          <w:sz w:val="18"/>
          <w:szCs w:val="18"/>
          <w:lang w:val="ro-MD"/>
        </w:rPr>
        <w:t>7-2019</w:t>
      </w:r>
      <w:r w:rsidR="006D5B2B">
        <w:rPr>
          <w:rFonts w:asciiTheme="majorHAnsi" w:hAnsiTheme="majorHAnsi" w:cstheme="majorHAnsi"/>
          <w:i/>
          <w:sz w:val="18"/>
          <w:szCs w:val="18"/>
          <w:lang w:val="ro-MD"/>
        </w:rPr>
        <w:t>.</w:t>
      </w:r>
    </w:p>
    <w:p w:rsidR="00C2643F" w:rsidRDefault="00B97245" w:rsidP="00844145">
      <w:pPr>
        <w:spacing w:before="120" w:after="0" w:line="276" w:lineRule="auto"/>
        <w:jc w:val="both"/>
        <w:rPr>
          <w:rFonts w:asciiTheme="majorHAnsi" w:hAnsiTheme="majorHAnsi" w:cstheme="majorHAnsi"/>
          <w:sz w:val="24"/>
          <w:szCs w:val="24"/>
          <w:lang w:val="ro-MD"/>
        </w:rPr>
      </w:pPr>
      <w:r w:rsidRPr="00401691">
        <w:rPr>
          <w:rFonts w:asciiTheme="majorHAnsi" w:hAnsiTheme="majorHAnsi" w:cstheme="majorHAnsi"/>
          <w:sz w:val="24"/>
          <w:szCs w:val="24"/>
          <w:lang w:val="ro-MD"/>
        </w:rPr>
        <w:t>Astfel, potrivit datelor evidenței generale a SFS</w:t>
      </w:r>
      <w:r w:rsidR="005D1513">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w:t>
      </w:r>
      <w:r w:rsidR="00D90F7A" w:rsidRPr="00401691">
        <w:rPr>
          <w:rFonts w:asciiTheme="majorHAnsi" w:hAnsiTheme="majorHAnsi" w:cstheme="majorHAnsi"/>
          <w:sz w:val="24"/>
          <w:szCs w:val="24"/>
          <w:lang w:val="ro-MD"/>
        </w:rPr>
        <w:t>la situația din 31.12.2019</w:t>
      </w:r>
      <w:r w:rsidR="005D1513">
        <w:rPr>
          <w:rFonts w:asciiTheme="majorHAnsi" w:hAnsiTheme="majorHAnsi" w:cstheme="majorHAnsi"/>
          <w:sz w:val="24"/>
          <w:szCs w:val="24"/>
          <w:lang w:val="ro-MD"/>
        </w:rPr>
        <w:t>,</w:t>
      </w:r>
      <w:r w:rsidR="00D90F7A" w:rsidRPr="00401691">
        <w:rPr>
          <w:rFonts w:asciiTheme="majorHAnsi" w:hAnsiTheme="majorHAnsi" w:cstheme="majorHAnsi"/>
          <w:sz w:val="24"/>
          <w:szCs w:val="24"/>
          <w:lang w:val="ro-MD"/>
        </w:rPr>
        <w:t xml:space="preserve"> obligațiile fiscale care figurau în evidența specială au însumat 12034,4 mil</w:t>
      </w:r>
      <w:r w:rsidR="00A16002">
        <w:rPr>
          <w:rFonts w:asciiTheme="majorHAnsi" w:hAnsiTheme="majorHAnsi" w:cstheme="majorHAnsi"/>
          <w:sz w:val="24"/>
          <w:szCs w:val="24"/>
          <w:lang w:val="ro-MD"/>
        </w:rPr>
        <w:t>.</w:t>
      </w:r>
      <w:r w:rsidR="00D90F7A" w:rsidRPr="00401691">
        <w:rPr>
          <w:rFonts w:asciiTheme="majorHAnsi" w:hAnsiTheme="majorHAnsi" w:cstheme="majorHAnsi"/>
          <w:sz w:val="24"/>
          <w:szCs w:val="24"/>
          <w:lang w:val="ro-MD"/>
        </w:rPr>
        <w:t xml:space="preserve"> lei</w:t>
      </w:r>
      <w:r w:rsidR="00C84D3A" w:rsidRPr="00401691">
        <w:rPr>
          <w:rFonts w:asciiTheme="majorHAnsi" w:hAnsiTheme="majorHAnsi" w:cstheme="majorHAnsi"/>
          <w:sz w:val="24"/>
          <w:szCs w:val="24"/>
          <w:lang w:val="ro-MD"/>
        </w:rPr>
        <w:t xml:space="preserve"> </w:t>
      </w:r>
      <w:r w:rsidR="00D90F7A" w:rsidRPr="00401691">
        <w:rPr>
          <w:rFonts w:asciiTheme="majorHAnsi" w:hAnsiTheme="majorHAnsi" w:cstheme="majorHAnsi"/>
          <w:sz w:val="24"/>
          <w:szCs w:val="24"/>
          <w:lang w:val="ro-MD"/>
        </w:rPr>
        <w:t xml:space="preserve">, </w:t>
      </w:r>
      <w:r w:rsidR="00D90F7A" w:rsidRPr="0031358F">
        <w:rPr>
          <w:rFonts w:asciiTheme="majorHAnsi" w:hAnsiTheme="majorHAnsi" w:cstheme="majorHAnsi"/>
          <w:sz w:val="24"/>
          <w:szCs w:val="24"/>
          <w:lang w:val="ro-MD"/>
        </w:rPr>
        <w:t>sau majorându-se</w:t>
      </w:r>
      <w:r w:rsidR="004E413A" w:rsidRPr="0031358F">
        <w:rPr>
          <w:rFonts w:asciiTheme="majorHAnsi" w:hAnsiTheme="majorHAnsi" w:cstheme="majorHAnsi"/>
          <w:sz w:val="24"/>
          <w:szCs w:val="24"/>
          <w:lang w:val="ro-MD"/>
        </w:rPr>
        <w:t xml:space="preserve"> </w:t>
      </w:r>
      <w:r w:rsidR="0031358F" w:rsidRPr="00831C19">
        <w:rPr>
          <w:rFonts w:asciiTheme="majorHAnsi" w:hAnsiTheme="majorHAnsi" w:cstheme="majorHAnsi"/>
          <w:sz w:val="24"/>
          <w:szCs w:val="24"/>
          <w:lang w:val="ro-MD"/>
        </w:rPr>
        <w:t>cu 541,0 mil. lei</w:t>
      </w:r>
      <w:r w:rsidR="0031358F">
        <w:rPr>
          <w:rFonts w:asciiTheme="majorHAnsi" w:hAnsiTheme="majorHAnsi" w:cstheme="majorHAnsi"/>
          <w:sz w:val="24"/>
          <w:szCs w:val="24"/>
          <w:lang w:val="ro-MD"/>
        </w:rPr>
        <w:t>,</w:t>
      </w:r>
      <w:r w:rsidR="0031358F" w:rsidRPr="0031358F">
        <w:rPr>
          <w:rFonts w:asciiTheme="majorHAnsi" w:hAnsiTheme="majorHAnsi" w:cstheme="majorHAnsi"/>
          <w:sz w:val="24"/>
          <w:szCs w:val="24"/>
          <w:lang w:val="ro-MD"/>
        </w:rPr>
        <w:t xml:space="preserve"> </w:t>
      </w:r>
      <w:r w:rsidR="004E413A" w:rsidRPr="0031358F">
        <w:rPr>
          <w:rFonts w:asciiTheme="majorHAnsi" w:hAnsiTheme="majorHAnsi" w:cstheme="majorHAnsi"/>
          <w:sz w:val="24"/>
          <w:szCs w:val="24"/>
          <w:lang w:val="ro-MD"/>
        </w:rPr>
        <w:t>comparativ</w:t>
      </w:r>
      <w:r w:rsidR="00D90F7A" w:rsidRPr="0031358F">
        <w:rPr>
          <w:rFonts w:asciiTheme="majorHAnsi" w:hAnsiTheme="majorHAnsi" w:cstheme="majorHAnsi"/>
          <w:sz w:val="24"/>
          <w:szCs w:val="24"/>
          <w:lang w:val="ro-MD"/>
        </w:rPr>
        <w:t xml:space="preserve"> cu </w:t>
      </w:r>
      <w:r w:rsidR="004950EC" w:rsidRPr="0031358F">
        <w:rPr>
          <w:rFonts w:asciiTheme="majorHAnsi" w:hAnsiTheme="majorHAnsi" w:cstheme="majorHAnsi"/>
          <w:sz w:val="24"/>
          <w:szCs w:val="24"/>
          <w:lang w:val="ro-MD"/>
        </w:rPr>
        <w:t>anul 2018, și</w:t>
      </w:r>
      <w:r w:rsidR="00EA6384" w:rsidRPr="0031358F">
        <w:rPr>
          <w:rFonts w:asciiTheme="majorHAnsi" w:hAnsiTheme="majorHAnsi" w:cstheme="majorHAnsi"/>
          <w:sz w:val="24"/>
          <w:szCs w:val="24"/>
          <w:lang w:val="ro-MD"/>
        </w:rPr>
        <w:t>, respectiv,</w:t>
      </w:r>
      <w:r w:rsidR="004950EC" w:rsidRPr="0031358F">
        <w:rPr>
          <w:rFonts w:asciiTheme="majorHAnsi" w:hAnsiTheme="majorHAnsi" w:cstheme="majorHAnsi"/>
          <w:sz w:val="24"/>
          <w:szCs w:val="24"/>
          <w:lang w:val="ro-MD"/>
        </w:rPr>
        <w:t xml:space="preserve"> cu suma de </w:t>
      </w:r>
      <w:r w:rsidR="00D90F7A" w:rsidRPr="0031358F">
        <w:rPr>
          <w:rFonts w:asciiTheme="majorHAnsi" w:hAnsiTheme="majorHAnsi" w:cstheme="majorHAnsi"/>
          <w:sz w:val="24"/>
          <w:szCs w:val="24"/>
          <w:lang w:val="ro-MD"/>
        </w:rPr>
        <w:t>3000,1 mil</w:t>
      </w:r>
      <w:r w:rsidR="00044354" w:rsidRPr="0031358F">
        <w:rPr>
          <w:rFonts w:asciiTheme="majorHAnsi" w:hAnsiTheme="majorHAnsi" w:cstheme="majorHAnsi"/>
          <w:sz w:val="24"/>
          <w:szCs w:val="24"/>
          <w:lang w:val="ro-MD"/>
        </w:rPr>
        <w:t>.</w:t>
      </w:r>
      <w:r w:rsidR="00D90F7A" w:rsidRPr="0031358F">
        <w:rPr>
          <w:rFonts w:asciiTheme="majorHAnsi" w:hAnsiTheme="majorHAnsi" w:cstheme="majorHAnsi"/>
          <w:sz w:val="24"/>
          <w:szCs w:val="24"/>
          <w:lang w:val="ro-MD"/>
        </w:rPr>
        <w:t xml:space="preserve"> lei </w:t>
      </w:r>
      <w:r w:rsidR="005D1513" w:rsidRPr="0031358F">
        <w:rPr>
          <w:rFonts w:asciiTheme="majorHAnsi" w:hAnsiTheme="majorHAnsi" w:cstheme="majorHAnsi"/>
          <w:sz w:val="24"/>
          <w:szCs w:val="24"/>
          <w:lang w:val="ro-MD"/>
        </w:rPr>
        <w:t xml:space="preserve">- </w:t>
      </w:r>
      <w:r w:rsidR="00D90F7A" w:rsidRPr="0031358F">
        <w:rPr>
          <w:rFonts w:asciiTheme="majorHAnsi" w:hAnsiTheme="majorHAnsi" w:cstheme="majorHAnsi"/>
          <w:sz w:val="24"/>
          <w:szCs w:val="24"/>
          <w:lang w:val="ro-MD"/>
        </w:rPr>
        <w:t>comparativ cu anul 2017.</w:t>
      </w:r>
      <w:r w:rsidR="0095462E">
        <w:rPr>
          <w:rFonts w:asciiTheme="majorHAnsi" w:hAnsiTheme="majorHAnsi" w:cstheme="majorHAnsi"/>
          <w:sz w:val="24"/>
          <w:szCs w:val="24"/>
          <w:lang w:val="ro-MD"/>
        </w:rPr>
        <w:t xml:space="preserve"> </w:t>
      </w:r>
    </w:p>
    <w:p w:rsidR="00835504" w:rsidRDefault="00C2643F" w:rsidP="00844145">
      <w:pPr>
        <w:spacing w:before="120" w:after="120" w:line="276" w:lineRule="auto"/>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Conform informației prezentate de </w:t>
      </w:r>
      <w:r w:rsidR="005D1513">
        <w:rPr>
          <w:rFonts w:asciiTheme="majorHAnsi" w:hAnsiTheme="majorHAnsi" w:cstheme="majorHAnsi"/>
          <w:sz w:val="24"/>
          <w:szCs w:val="24"/>
          <w:lang w:val="ro-MD"/>
        </w:rPr>
        <w:t xml:space="preserve">către </w:t>
      </w:r>
      <w:r>
        <w:rPr>
          <w:rFonts w:asciiTheme="majorHAnsi" w:hAnsiTheme="majorHAnsi" w:cstheme="majorHAnsi"/>
          <w:sz w:val="24"/>
          <w:szCs w:val="24"/>
          <w:lang w:val="ro-MD"/>
        </w:rPr>
        <w:t xml:space="preserve">SFS echipei de audit, </w:t>
      </w:r>
      <w:r w:rsidR="008072C7" w:rsidRPr="00C2643F">
        <w:rPr>
          <w:rFonts w:asciiTheme="majorHAnsi" w:hAnsiTheme="majorHAnsi" w:cstheme="majorHAnsi"/>
          <w:sz w:val="24"/>
          <w:szCs w:val="24"/>
          <w:lang w:val="ro-MD"/>
        </w:rPr>
        <w:t xml:space="preserve">soldul obligațiilor fiscale </w:t>
      </w:r>
      <w:r w:rsidR="00835504">
        <w:rPr>
          <w:rFonts w:asciiTheme="majorHAnsi" w:hAnsiTheme="majorHAnsi" w:cstheme="majorHAnsi"/>
          <w:sz w:val="24"/>
          <w:szCs w:val="24"/>
          <w:lang w:val="ro-MD"/>
        </w:rPr>
        <w:t xml:space="preserve">datorate </w:t>
      </w:r>
      <w:r w:rsidR="00835504" w:rsidRPr="00C2643F">
        <w:rPr>
          <w:rFonts w:asciiTheme="majorHAnsi" w:hAnsiTheme="majorHAnsi" w:cstheme="majorHAnsi"/>
          <w:sz w:val="24"/>
          <w:szCs w:val="24"/>
          <w:lang w:val="ro-MD"/>
        </w:rPr>
        <w:t xml:space="preserve">la BS </w:t>
      </w:r>
      <w:r w:rsidR="008072C7" w:rsidRPr="00C2643F">
        <w:rPr>
          <w:rFonts w:asciiTheme="majorHAnsi" w:hAnsiTheme="majorHAnsi" w:cstheme="majorHAnsi"/>
          <w:sz w:val="24"/>
          <w:szCs w:val="24"/>
          <w:lang w:val="ro-MD"/>
        </w:rPr>
        <w:t>luate la evidența specială în temeiul art. 206 din C</w:t>
      </w:r>
      <w:r w:rsidR="00835504">
        <w:rPr>
          <w:rFonts w:asciiTheme="majorHAnsi" w:hAnsiTheme="majorHAnsi" w:cstheme="majorHAnsi"/>
          <w:sz w:val="24"/>
          <w:szCs w:val="24"/>
          <w:lang w:val="ro-MD"/>
        </w:rPr>
        <w:t>odul fiscal,</w:t>
      </w:r>
      <w:r w:rsidR="008072C7" w:rsidRPr="00C2643F">
        <w:rPr>
          <w:rFonts w:asciiTheme="majorHAnsi" w:hAnsiTheme="majorHAnsi" w:cstheme="majorHAnsi"/>
          <w:sz w:val="24"/>
          <w:szCs w:val="24"/>
          <w:lang w:val="ro-MD"/>
        </w:rPr>
        <w:t xml:space="preserve"> la situația </w:t>
      </w:r>
      <w:r w:rsidR="005D1513">
        <w:rPr>
          <w:rFonts w:asciiTheme="majorHAnsi" w:hAnsiTheme="majorHAnsi" w:cstheme="majorHAnsi"/>
          <w:sz w:val="24"/>
          <w:szCs w:val="24"/>
          <w:lang w:val="ro-MD"/>
        </w:rPr>
        <w:t xml:space="preserve">din </w:t>
      </w:r>
      <w:r w:rsidR="008072C7" w:rsidRPr="00C2643F">
        <w:rPr>
          <w:rFonts w:asciiTheme="majorHAnsi" w:hAnsiTheme="majorHAnsi" w:cstheme="majorHAnsi"/>
          <w:sz w:val="24"/>
          <w:szCs w:val="24"/>
          <w:lang w:val="ro-MD"/>
        </w:rPr>
        <w:t>31.12.2019</w:t>
      </w:r>
      <w:r>
        <w:rPr>
          <w:rFonts w:asciiTheme="majorHAnsi" w:hAnsiTheme="majorHAnsi" w:cstheme="majorHAnsi"/>
          <w:sz w:val="24"/>
          <w:szCs w:val="24"/>
          <w:lang w:val="ro-MD"/>
        </w:rPr>
        <w:t xml:space="preserve">, în funcție de cauza imposibilității recuperării acestora, se prezintă în tabelul </w:t>
      </w:r>
      <w:r w:rsidR="005D1513">
        <w:rPr>
          <w:rFonts w:asciiTheme="majorHAnsi" w:hAnsiTheme="majorHAnsi" w:cstheme="majorHAnsi"/>
          <w:sz w:val="24"/>
          <w:szCs w:val="24"/>
          <w:lang w:val="ro-MD"/>
        </w:rPr>
        <w:t>care urmează</w:t>
      </w:r>
      <w:r>
        <w:rPr>
          <w:rFonts w:asciiTheme="majorHAnsi" w:hAnsiTheme="majorHAnsi" w:cstheme="majorHAnsi"/>
          <w:sz w:val="24"/>
          <w:szCs w:val="24"/>
          <w:lang w:val="ro-MD"/>
        </w:rPr>
        <w:t>.</w:t>
      </w:r>
    </w:p>
    <w:p w:rsidR="00C2643F" w:rsidRPr="00401691" w:rsidRDefault="00C2643F" w:rsidP="00844145">
      <w:pPr>
        <w:tabs>
          <w:tab w:val="left" w:pos="0"/>
        </w:tabs>
        <w:spacing w:after="0" w:line="276" w:lineRule="auto"/>
        <w:jc w:val="right"/>
        <w:rPr>
          <w:rFonts w:asciiTheme="majorHAnsi" w:eastAsia="Calibri" w:hAnsiTheme="majorHAnsi" w:cstheme="majorHAnsi"/>
          <w:i/>
          <w:sz w:val="24"/>
          <w:szCs w:val="24"/>
          <w:lang w:val="ro-MD" w:eastAsia="ru-RU"/>
        </w:rPr>
      </w:pPr>
      <w:r w:rsidRPr="00401691">
        <w:rPr>
          <w:rFonts w:asciiTheme="majorHAnsi" w:eastAsia="Calibri" w:hAnsiTheme="majorHAnsi" w:cstheme="majorHAnsi"/>
          <w:i/>
          <w:sz w:val="24"/>
          <w:szCs w:val="24"/>
          <w:lang w:val="ro-MD" w:eastAsia="ru-RU"/>
        </w:rPr>
        <w:lastRenderedPageBreak/>
        <w:t xml:space="preserve">Tabelul nr. </w:t>
      </w:r>
      <w:r>
        <w:rPr>
          <w:rFonts w:asciiTheme="majorHAnsi" w:eastAsia="Calibri" w:hAnsiTheme="majorHAnsi" w:cstheme="majorHAnsi"/>
          <w:i/>
          <w:sz w:val="24"/>
          <w:szCs w:val="24"/>
          <w:lang w:val="ro-MD" w:eastAsia="ru-RU"/>
        </w:rPr>
        <w:t>4</w:t>
      </w:r>
    </w:p>
    <w:p w:rsidR="00C2643F" w:rsidRPr="00573060" w:rsidRDefault="00C2643F" w:rsidP="00844145">
      <w:pPr>
        <w:tabs>
          <w:tab w:val="left" w:pos="0"/>
        </w:tabs>
        <w:spacing w:after="0" w:line="276" w:lineRule="auto"/>
        <w:jc w:val="right"/>
        <w:rPr>
          <w:rFonts w:asciiTheme="majorHAnsi" w:eastAsia="Calibri" w:hAnsiTheme="majorHAnsi" w:cstheme="majorHAnsi"/>
          <w:b/>
          <w:sz w:val="24"/>
          <w:szCs w:val="24"/>
          <w:lang w:val="ro-MD" w:eastAsia="ru-RU"/>
        </w:rPr>
      </w:pPr>
      <w:r w:rsidRPr="00573060">
        <w:rPr>
          <w:rFonts w:asciiTheme="majorHAnsi" w:eastAsia="Calibri" w:hAnsiTheme="majorHAnsi" w:cstheme="majorHAnsi"/>
          <w:b/>
          <w:sz w:val="24"/>
          <w:szCs w:val="24"/>
          <w:lang w:val="ro-MD" w:eastAsia="ru-RU"/>
        </w:rPr>
        <w:t>(mil. lei)</w:t>
      </w:r>
    </w:p>
    <w:tbl>
      <w:tblPr>
        <w:tblStyle w:val="GridTable6Colorful-Accent1"/>
        <w:tblW w:w="10065" w:type="dxa"/>
        <w:tblLook w:val="04A0" w:firstRow="1" w:lastRow="0" w:firstColumn="1" w:lastColumn="0" w:noHBand="0" w:noVBand="1"/>
      </w:tblPr>
      <w:tblGrid>
        <w:gridCol w:w="1435"/>
        <w:gridCol w:w="7290"/>
        <w:gridCol w:w="1340"/>
      </w:tblGrid>
      <w:tr w:rsidR="008072C7" w:rsidRPr="001965C4" w:rsidTr="00B8096C">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1435" w:type="dxa"/>
            <w:vAlign w:val="center"/>
          </w:tcPr>
          <w:p w:rsidR="008072C7" w:rsidRPr="008072C7" w:rsidRDefault="00B8096C" w:rsidP="00844145">
            <w:pPr>
              <w:tabs>
                <w:tab w:val="left" w:pos="0"/>
                <w:tab w:val="left" w:pos="142"/>
              </w:tabs>
              <w:spacing w:after="120" w:line="276" w:lineRule="auto"/>
              <w:jc w:val="center"/>
              <w:rPr>
                <w:rFonts w:eastAsia="Calibri" w:cstheme="minorHAnsi"/>
                <w:color w:val="002060"/>
                <w:sz w:val="20"/>
                <w:szCs w:val="20"/>
                <w:lang w:val="ro-MD"/>
              </w:rPr>
            </w:pPr>
            <w:r>
              <w:rPr>
                <w:rFonts w:eastAsia="Calibri" w:cstheme="minorHAnsi"/>
                <w:color w:val="002060"/>
                <w:sz w:val="20"/>
                <w:szCs w:val="20"/>
                <w:lang w:val="ro-MD"/>
              </w:rPr>
              <w:t>Prevederile art. 206 din Codul f</w:t>
            </w:r>
            <w:r w:rsidR="008072C7" w:rsidRPr="008072C7">
              <w:rPr>
                <w:rFonts w:eastAsia="Calibri" w:cstheme="minorHAnsi"/>
                <w:color w:val="002060"/>
                <w:sz w:val="20"/>
                <w:szCs w:val="20"/>
                <w:lang w:val="ro-MD"/>
              </w:rPr>
              <w:t>iscal</w:t>
            </w:r>
          </w:p>
        </w:tc>
        <w:tc>
          <w:tcPr>
            <w:tcW w:w="7290" w:type="dxa"/>
            <w:vAlign w:val="center"/>
          </w:tcPr>
          <w:p w:rsidR="008072C7" w:rsidRPr="008072C7" w:rsidRDefault="008072C7" w:rsidP="00844145">
            <w:pPr>
              <w:tabs>
                <w:tab w:val="left" w:pos="0"/>
                <w:tab w:val="left" w:pos="142"/>
              </w:tabs>
              <w:spacing w:after="120" w:line="276" w:lineRule="auto"/>
              <w:jc w:val="center"/>
              <w:cnfStyle w:val="100000000000" w:firstRow="1" w:lastRow="0" w:firstColumn="0" w:lastColumn="0" w:oddVBand="0" w:evenVBand="0" w:oddHBand="0" w:evenHBand="0" w:firstRowFirstColumn="0" w:firstRowLastColumn="0" w:lastRowFirstColumn="0" w:lastRowLastColumn="0"/>
              <w:rPr>
                <w:rFonts w:eastAsia="Calibri" w:cstheme="minorHAnsi"/>
                <w:color w:val="002060"/>
                <w:sz w:val="20"/>
                <w:szCs w:val="20"/>
              </w:rPr>
            </w:pPr>
            <w:r w:rsidRPr="008072C7">
              <w:rPr>
                <w:rFonts w:eastAsia="Calibri" w:cstheme="minorHAnsi"/>
                <w:color w:val="002060"/>
                <w:sz w:val="20"/>
                <w:szCs w:val="20"/>
                <w:lang w:val="ro-MD"/>
              </w:rPr>
              <w:t>Condițiile de atribuire</w:t>
            </w:r>
          </w:p>
        </w:tc>
        <w:tc>
          <w:tcPr>
            <w:tcW w:w="1340" w:type="dxa"/>
            <w:vAlign w:val="center"/>
          </w:tcPr>
          <w:p w:rsidR="008072C7" w:rsidRPr="008072C7" w:rsidRDefault="00B8096C" w:rsidP="00B8096C">
            <w:pPr>
              <w:tabs>
                <w:tab w:val="left" w:pos="0"/>
                <w:tab w:val="left" w:pos="142"/>
              </w:tabs>
              <w:spacing w:after="120" w:line="276" w:lineRule="auto"/>
              <w:jc w:val="center"/>
              <w:cnfStyle w:val="100000000000" w:firstRow="1" w:lastRow="0" w:firstColumn="0" w:lastColumn="0" w:oddVBand="0" w:evenVBand="0" w:oddHBand="0" w:evenHBand="0" w:firstRowFirstColumn="0" w:firstRowLastColumn="0" w:lastRowFirstColumn="0" w:lastRowLastColumn="0"/>
              <w:rPr>
                <w:rFonts w:eastAsia="Calibri" w:cstheme="minorHAnsi"/>
                <w:color w:val="002060"/>
                <w:sz w:val="20"/>
                <w:szCs w:val="20"/>
                <w:lang w:val="ro-MD"/>
              </w:rPr>
            </w:pPr>
            <w:r>
              <w:rPr>
                <w:rFonts w:eastAsia="Calibri" w:cstheme="minorHAnsi"/>
                <w:color w:val="002060"/>
                <w:sz w:val="20"/>
                <w:szCs w:val="20"/>
                <w:lang w:val="ro-MD"/>
              </w:rPr>
              <w:t>Suma</w:t>
            </w:r>
          </w:p>
        </w:tc>
      </w:tr>
      <w:tr w:rsidR="008072C7" w:rsidRPr="001965C4" w:rsidTr="0080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8072C7" w:rsidRPr="001965C4" w:rsidRDefault="008072C7" w:rsidP="00844145">
            <w:pPr>
              <w:tabs>
                <w:tab w:val="left" w:pos="0"/>
                <w:tab w:val="left" w:pos="142"/>
              </w:tabs>
              <w:spacing w:after="120" w:line="276" w:lineRule="auto"/>
              <w:jc w:val="both"/>
              <w:rPr>
                <w:rFonts w:eastAsia="Calibri" w:cstheme="minorHAnsi"/>
                <w:color w:val="auto"/>
                <w:sz w:val="18"/>
                <w:szCs w:val="18"/>
                <w:lang w:val="ro-MD"/>
              </w:rPr>
            </w:pPr>
            <w:proofErr w:type="spellStart"/>
            <w:r w:rsidRPr="001965C4">
              <w:rPr>
                <w:rFonts w:eastAsia="Calibri" w:cstheme="minorHAnsi"/>
                <w:color w:val="auto"/>
                <w:sz w:val="18"/>
                <w:szCs w:val="18"/>
                <w:lang w:val="ro-MD"/>
              </w:rPr>
              <w:t>Lit.a</w:t>
            </w:r>
            <w:proofErr w:type="spellEnd"/>
            <w:r w:rsidRPr="001965C4">
              <w:rPr>
                <w:rFonts w:eastAsia="Calibri" w:cstheme="minorHAnsi"/>
                <w:color w:val="auto"/>
                <w:sz w:val="18"/>
                <w:szCs w:val="18"/>
                <w:lang w:val="ro-MD"/>
              </w:rPr>
              <w:t>)</w:t>
            </w:r>
          </w:p>
        </w:tc>
        <w:tc>
          <w:tcPr>
            <w:tcW w:w="7290" w:type="dxa"/>
          </w:tcPr>
          <w:p w:rsidR="008072C7" w:rsidRPr="00EA06FA" w:rsidRDefault="008072C7" w:rsidP="00844145">
            <w:pPr>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color w:val="auto"/>
                <w:sz w:val="18"/>
                <w:szCs w:val="18"/>
                <w:lang w:val="ro-MD"/>
              </w:rPr>
            </w:pPr>
            <w:r w:rsidRPr="00EA06FA">
              <w:rPr>
                <w:color w:val="auto"/>
                <w:sz w:val="18"/>
                <w:szCs w:val="18"/>
                <w:lang w:val="ro-MD"/>
              </w:rPr>
              <w:t>P</w:t>
            </w:r>
            <w:r w:rsidRPr="00EA06FA">
              <w:rPr>
                <w:color w:val="auto"/>
                <w:sz w:val="18"/>
                <w:szCs w:val="18"/>
                <w:lang w:val="it-IT"/>
              </w:rPr>
              <w:t>ersoana lichidată nu are succesor şi nu posedă bunuri pasibile urmăririi</w:t>
            </w:r>
          </w:p>
        </w:tc>
        <w:tc>
          <w:tcPr>
            <w:tcW w:w="1340" w:type="dxa"/>
          </w:tcPr>
          <w:p w:rsidR="008072C7" w:rsidRPr="008072C7" w:rsidRDefault="008072C7" w:rsidP="00844145">
            <w:pPr>
              <w:tabs>
                <w:tab w:val="left" w:pos="0"/>
                <w:tab w:val="left" w:pos="142"/>
              </w:tabs>
              <w:spacing w:after="120" w:line="276"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2060"/>
                <w:sz w:val="20"/>
                <w:szCs w:val="20"/>
                <w:lang w:val="ro-MD"/>
              </w:rPr>
            </w:pPr>
            <w:r w:rsidRPr="008072C7">
              <w:rPr>
                <w:rFonts w:eastAsia="Calibri" w:cstheme="minorHAnsi"/>
                <w:color w:val="002060"/>
                <w:sz w:val="20"/>
                <w:szCs w:val="20"/>
                <w:lang w:val="ro-MD"/>
              </w:rPr>
              <w:t>21,0</w:t>
            </w:r>
          </w:p>
        </w:tc>
      </w:tr>
      <w:tr w:rsidR="008072C7" w:rsidRPr="001965C4" w:rsidTr="008072C7">
        <w:tc>
          <w:tcPr>
            <w:cnfStyle w:val="001000000000" w:firstRow="0" w:lastRow="0" w:firstColumn="1" w:lastColumn="0" w:oddVBand="0" w:evenVBand="0" w:oddHBand="0" w:evenHBand="0" w:firstRowFirstColumn="0" w:firstRowLastColumn="0" w:lastRowFirstColumn="0" w:lastRowLastColumn="0"/>
            <w:tcW w:w="1435" w:type="dxa"/>
          </w:tcPr>
          <w:p w:rsidR="008072C7" w:rsidRPr="001965C4" w:rsidRDefault="008072C7" w:rsidP="00844145">
            <w:pPr>
              <w:tabs>
                <w:tab w:val="left" w:pos="0"/>
                <w:tab w:val="left" w:pos="142"/>
              </w:tabs>
              <w:spacing w:after="120" w:line="276" w:lineRule="auto"/>
              <w:jc w:val="both"/>
              <w:rPr>
                <w:rFonts w:eastAsia="Calibri" w:cstheme="minorHAnsi"/>
                <w:sz w:val="18"/>
                <w:szCs w:val="18"/>
                <w:lang w:val="ro-MD"/>
              </w:rPr>
            </w:pPr>
            <w:r w:rsidRPr="001965C4">
              <w:rPr>
                <w:rFonts w:cstheme="minorHAnsi"/>
                <w:color w:val="auto"/>
                <w:sz w:val="18"/>
                <w:szCs w:val="18"/>
                <w:lang w:val="it-IT"/>
              </w:rPr>
              <w:t xml:space="preserve">Lit. </w:t>
            </w:r>
            <w:r>
              <w:rPr>
                <w:rFonts w:cstheme="minorHAnsi"/>
                <w:color w:val="auto"/>
                <w:sz w:val="18"/>
                <w:szCs w:val="18"/>
                <w:lang w:val="it-IT"/>
              </w:rPr>
              <w:t>b</w:t>
            </w:r>
            <w:r w:rsidRPr="001965C4">
              <w:rPr>
                <w:rFonts w:cstheme="minorHAnsi"/>
                <w:color w:val="auto"/>
                <w:sz w:val="18"/>
                <w:szCs w:val="18"/>
                <w:lang w:val="it-IT"/>
              </w:rPr>
              <w:t>)</w:t>
            </w:r>
          </w:p>
        </w:tc>
        <w:tc>
          <w:tcPr>
            <w:tcW w:w="7290" w:type="dxa"/>
          </w:tcPr>
          <w:p w:rsidR="008072C7" w:rsidRPr="00EA06FA" w:rsidRDefault="008072C7" w:rsidP="00844145">
            <w:pPr>
              <w:spacing w:line="276" w:lineRule="auto"/>
              <w:cnfStyle w:val="000000000000" w:firstRow="0" w:lastRow="0" w:firstColumn="0" w:lastColumn="0" w:oddVBand="0" w:evenVBand="0" w:oddHBand="0" w:evenHBand="0" w:firstRowFirstColumn="0" w:firstRowLastColumn="0" w:lastRowFirstColumn="0" w:lastRowLastColumn="0"/>
              <w:rPr>
                <w:color w:val="auto"/>
                <w:sz w:val="18"/>
                <w:szCs w:val="18"/>
                <w:lang w:val="ro-MD"/>
              </w:rPr>
            </w:pPr>
            <w:r w:rsidRPr="00EA06FA">
              <w:rPr>
                <w:color w:val="auto"/>
                <w:sz w:val="18"/>
                <w:szCs w:val="18"/>
                <w:lang w:val="ro-MD"/>
              </w:rPr>
              <w:t>Persoana se află în proces de lichidare(dizolvare) sau în procedură de insolvabilitate</w:t>
            </w:r>
          </w:p>
        </w:tc>
        <w:tc>
          <w:tcPr>
            <w:tcW w:w="1340" w:type="dxa"/>
          </w:tcPr>
          <w:p w:rsidR="008072C7" w:rsidRPr="008072C7" w:rsidRDefault="008072C7" w:rsidP="00844145">
            <w:pPr>
              <w:tabs>
                <w:tab w:val="left" w:pos="0"/>
                <w:tab w:val="left" w:pos="142"/>
              </w:tabs>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002060"/>
                <w:sz w:val="20"/>
                <w:szCs w:val="20"/>
                <w:lang w:val="ro-MD"/>
              </w:rPr>
            </w:pPr>
            <w:r w:rsidRPr="008072C7">
              <w:rPr>
                <w:rFonts w:eastAsia="Calibri" w:cstheme="minorHAnsi"/>
                <w:color w:val="002060"/>
                <w:sz w:val="20"/>
                <w:szCs w:val="20"/>
                <w:lang w:val="ro-MD"/>
              </w:rPr>
              <w:t>6 733,6</w:t>
            </w:r>
          </w:p>
        </w:tc>
      </w:tr>
      <w:tr w:rsidR="008072C7" w:rsidRPr="001965C4" w:rsidTr="0080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8072C7" w:rsidRPr="001965C4" w:rsidRDefault="008072C7" w:rsidP="00844145">
            <w:pPr>
              <w:tabs>
                <w:tab w:val="left" w:pos="0"/>
                <w:tab w:val="left" w:pos="142"/>
              </w:tabs>
              <w:spacing w:after="120" w:line="276" w:lineRule="auto"/>
              <w:jc w:val="both"/>
              <w:rPr>
                <w:rFonts w:eastAsia="Calibri" w:cstheme="minorHAnsi"/>
                <w:color w:val="auto"/>
                <w:sz w:val="18"/>
                <w:szCs w:val="18"/>
                <w:lang w:val="ro-MD"/>
              </w:rPr>
            </w:pPr>
            <w:r w:rsidRPr="001965C4">
              <w:rPr>
                <w:rFonts w:cstheme="minorHAnsi"/>
                <w:color w:val="auto"/>
                <w:sz w:val="18"/>
                <w:szCs w:val="18"/>
                <w:lang w:val="it-IT"/>
              </w:rPr>
              <w:t xml:space="preserve">Lit. </w:t>
            </w:r>
            <w:r>
              <w:rPr>
                <w:rFonts w:cstheme="minorHAnsi"/>
                <w:color w:val="auto"/>
                <w:sz w:val="18"/>
                <w:szCs w:val="18"/>
                <w:lang w:val="it-IT"/>
              </w:rPr>
              <w:t>c</w:t>
            </w:r>
            <w:r w:rsidRPr="001965C4">
              <w:rPr>
                <w:rFonts w:cstheme="minorHAnsi"/>
                <w:color w:val="auto"/>
                <w:sz w:val="18"/>
                <w:szCs w:val="18"/>
                <w:lang w:val="it-IT"/>
              </w:rPr>
              <w:t>)</w:t>
            </w:r>
          </w:p>
        </w:tc>
        <w:tc>
          <w:tcPr>
            <w:tcW w:w="7290" w:type="dxa"/>
          </w:tcPr>
          <w:p w:rsidR="008072C7" w:rsidRPr="00EA06FA" w:rsidRDefault="008072C7" w:rsidP="00844145">
            <w:pPr>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color w:val="auto"/>
                <w:sz w:val="18"/>
                <w:szCs w:val="18"/>
                <w:lang w:val="ro-MD"/>
              </w:rPr>
            </w:pPr>
            <w:r w:rsidRPr="00EA06FA">
              <w:rPr>
                <w:color w:val="auto"/>
                <w:sz w:val="18"/>
                <w:szCs w:val="18"/>
                <w:lang w:val="ro-MD"/>
              </w:rPr>
              <w:t>E</w:t>
            </w:r>
            <w:r w:rsidRPr="00EA06FA">
              <w:rPr>
                <w:color w:val="auto"/>
                <w:sz w:val="18"/>
                <w:szCs w:val="18"/>
                <w:lang w:val="it-IT"/>
              </w:rPr>
              <w:t>xistă act judecătoresc ce suspendă executarea deciziei SFS</w:t>
            </w:r>
            <w:r w:rsidRPr="00EA06FA">
              <w:rPr>
                <w:color w:val="auto"/>
                <w:sz w:val="18"/>
                <w:szCs w:val="18"/>
                <w:lang w:val="ro-RO"/>
              </w:rPr>
              <w:t xml:space="preserve"> </w:t>
            </w:r>
            <w:r w:rsidRPr="00EA06FA">
              <w:rPr>
                <w:color w:val="auto"/>
                <w:sz w:val="18"/>
                <w:szCs w:val="18"/>
                <w:lang w:val="it-IT"/>
              </w:rPr>
              <w:t>asupra cazului de încălcare fiscală sau de executare silită – pe perioada valabilităţii actului de suspendare</w:t>
            </w:r>
          </w:p>
        </w:tc>
        <w:tc>
          <w:tcPr>
            <w:tcW w:w="1340" w:type="dxa"/>
          </w:tcPr>
          <w:p w:rsidR="008072C7" w:rsidRPr="008072C7" w:rsidRDefault="008072C7" w:rsidP="00844145">
            <w:pPr>
              <w:tabs>
                <w:tab w:val="left" w:pos="0"/>
                <w:tab w:val="left" w:pos="142"/>
              </w:tabs>
              <w:spacing w:after="120" w:line="276"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2060"/>
                <w:sz w:val="20"/>
                <w:szCs w:val="20"/>
                <w:lang w:val="ro-MD"/>
              </w:rPr>
            </w:pPr>
            <w:r w:rsidRPr="008072C7">
              <w:rPr>
                <w:rFonts w:eastAsia="Calibri" w:cstheme="minorHAnsi"/>
                <w:color w:val="002060"/>
                <w:sz w:val="20"/>
                <w:szCs w:val="20"/>
                <w:lang w:val="ro-MD"/>
              </w:rPr>
              <w:t>189,1</w:t>
            </w:r>
          </w:p>
        </w:tc>
      </w:tr>
      <w:tr w:rsidR="008072C7" w:rsidRPr="001965C4" w:rsidTr="008072C7">
        <w:tc>
          <w:tcPr>
            <w:cnfStyle w:val="001000000000" w:firstRow="0" w:lastRow="0" w:firstColumn="1" w:lastColumn="0" w:oddVBand="0" w:evenVBand="0" w:oddHBand="0" w:evenHBand="0" w:firstRowFirstColumn="0" w:firstRowLastColumn="0" w:lastRowFirstColumn="0" w:lastRowLastColumn="0"/>
            <w:tcW w:w="1435" w:type="dxa"/>
          </w:tcPr>
          <w:p w:rsidR="008072C7" w:rsidRPr="001965C4" w:rsidRDefault="008072C7" w:rsidP="00844145">
            <w:pPr>
              <w:tabs>
                <w:tab w:val="left" w:pos="0"/>
                <w:tab w:val="left" w:pos="142"/>
              </w:tabs>
              <w:spacing w:after="120" w:line="276" w:lineRule="auto"/>
              <w:jc w:val="both"/>
              <w:rPr>
                <w:rFonts w:eastAsia="Calibri" w:cstheme="minorHAnsi"/>
                <w:sz w:val="18"/>
                <w:szCs w:val="18"/>
                <w:lang w:val="ro-MD"/>
              </w:rPr>
            </w:pPr>
            <w:r>
              <w:rPr>
                <w:color w:val="auto"/>
                <w:sz w:val="18"/>
                <w:szCs w:val="18"/>
                <w:lang w:val="it-IT"/>
              </w:rPr>
              <w:t>Lit</w:t>
            </w:r>
            <w:r w:rsidR="00835504">
              <w:rPr>
                <w:color w:val="auto"/>
                <w:sz w:val="18"/>
                <w:szCs w:val="18"/>
                <w:lang w:val="it-IT"/>
              </w:rPr>
              <w:t>.</w:t>
            </w:r>
            <w:r>
              <w:rPr>
                <w:color w:val="auto"/>
                <w:sz w:val="18"/>
                <w:szCs w:val="18"/>
                <w:lang w:val="it-IT"/>
              </w:rPr>
              <w:t xml:space="preserve"> d</w:t>
            </w:r>
            <w:r w:rsidRPr="001965C4">
              <w:rPr>
                <w:color w:val="auto"/>
                <w:sz w:val="18"/>
                <w:szCs w:val="18"/>
                <w:lang w:val="it-IT"/>
              </w:rPr>
              <w:t>)</w:t>
            </w:r>
          </w:p>
        </w:tc>
        <w:tc>
          <w:tcPr>
            <w:tcW w:w="7290" w:type="dxa"/>
          </w:tcPr>
          <w:p w:rsidR="008072C7" w:rsidRPr="007D38DE" w:rsidRDefault="008072C7" w:rsidP="00844145">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it-IT"/>
              </w:rPr>
            </w:pPr>
            <w:r w:rsidRPr="00EA06FA">
              <w:rPr>
                <w:rFonts w:cstheme="minorHAnsi"/>
                <w:color w:val="auto"/>
                <w:sz w:val="18"/>
                <w:szCs w:val="18"/>
                <w:lang w:val="ro-MD"/>
              </w:rPr>
              <w:t>E</w:t>
            </w:r>
            <w:r w:rsidRPr="00EA06FA">
              <w:rPr>
                <w:rFonts w:cstheme="minorHAnsi"/>
                <w:color w:val="auto"/>
                <w:sz w:val="18"/>
                <w:szCs w:val="18"/>
                <w:lang w:val="it-IT"/>
              </w:rPr>
              <w:t>xistă actul respectiv al instanţei de judecată sau al executorului judecătoresc potrivit căruia perceperea restanţei este imposibilă sau există ordonanța privind intentarea cauzei penale pe faptul pseud</w:t>
            </w:r>
            <w:r w:rsidR="007D38DE">
              <w:rPr>
                <w:rFonts w:cstheme="minorHAnsi"/>
                <w:color w:val="auto"/>
                <w:sz w:val="18"/>
                <w:szCs w:val="18"/>
                <w:lang w:val="it-IT"/>
              </w:rPr>
              <w:t>oactivității de întreprinzător</w:t>
            </w:r>
          </w:p>
        </w:tc>
        <w:tc>
          <w:tcPr>
            <w:tcW w:w="1340" w:type="dxa"/>
          </w:tcPr>
          <w:p w:rsidR="008072C7" w:rsidRPr="008072C7" w:rsidRDefault="008072C7" w:rsidP="00844145">
            <w:pPr>
              <w:tabs>
                <w:tab w:val="left" w:pos="0"/>
                <w:tab w:val="left" w:pos="142"/>
              </w:tabs>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002060"/>
                <w:sz w:val="20"/>
                <w:szCs w:val="20"/>
                <w:lang w:val="ro-MD"/>
              </w:rPr>
            </w:pPr>
            <w:r w:rsidRPr="008072C7">
              <w:rPr>
                <w:rFonts w:eastAsia="Calibri" w:cstheme="minorHAnsi"/>
                <w:color w:val="002060"/>
                <w:sz w:val="20"/>
                <w:szCs w:val="20"/>
                <w:lang w:val="ro-MD"/>
              </w:rPr>
              <w:t>5 087,1</w:t>
            </w:r>
          </w:p>
        </w:tc>
      </w:tr>
      <w:tr w:rsidR="008072C7" w:rsidRPr="001965C4" w:rsidTr="0080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8072C7" w:rsidRPr="001965C4" w:rsidRDefault="008072C7" w:rsidP="00844145">
            <w:pPr>
              <w:tabs>
                <w:tab w:val="left" w:pos="0"/>
                <w:tab w:val="left" w:pos="142"/>
              </w:tabs>
              <w:spacing w:after="120" w:line="276" w:lineRule="auto"/>
              <w:jc w:val="both"/>
              <w:rPr>
                <w:rFonts w:eastAsia="Calibri" w:cstheme="minorHAnsi"/>
                <w:sz w:val="18"/>
                <w:szCs w:val="18"/>
                <w:lang w:val="ro-MD"/>
              </w:rPr>
            </w:pPr>
            <w:r w:rsidRPr="001965C4">
              <w:rPr>
                <w:color w:val="auto"/>
                <w:sz w:val="18"/>
                <w:szCs w:val="18"/>
                <w:lang w:val="it-IT"/>
              </w:rPr>
              <w:t>Lit</w:t>
            </w:r>
            <w:r w:rsidR="00835504">
              <w:rPr>
                <w:color w:val="auto"/>
                <w:sz w:val="18"/>
                <w:szCs w:val="18"/>
                <w:lang w:val="it-IT"/>
              </w:rPr>
              <w:t>.</w:t>
            </w:r>
            <w:r w:rsidRPr="001965C4">
              <w:rPr>
                <w:color w:val="auto"/>
                <w:sz w:val="18"/>
                <w:szCs w:val="18"/>
                <w:lang w:val="it-IT"/>
              </w:rPr>
              <w:t xml:space="preserve"> </w:t>
            </w:r>
            <w:r>
              <w:rPr>
                <w:color w:val="auto"/>
                <w:sz w:val="18"/>
                <w:szCs w:val="18"/>
                <w:lang w:val="it-IT"/>
              </w:rPr>
              <w:t>e</w:t>
            </w:r>
            <w:r w:rsidRPr="001965C4">
              <w:rPr>
                <w:color w:val="auto"/>
                <w:sz w:val="18"/>
                <w:szCs w:val="18"/>
                <w:lang w:val="it-IT"/>
              </w:rPr>
              <w:t>)</w:t>
            </w:r>
          </w:p>
          <w:p w:rsidR="008072C7" w:rsidRPr="001965C4" w:rsidRDefault="008072C7" w:rsidP="00844145">
            <w:pPr>
              <w:tabs>
                <w:tab w:val="left" w:pos="0"/>
                <w:tab w:val="left" w:pos="142"/>
              </w:tabs>
              <w:spacing w:after="120" w:line="276" w:lineRule="auto"/>
              <w:jc w:val="both"/>
              <w:rPr>
                <w:rFonts w:eastAsia="Calibri" w:cstheme="minorHAnsi"/>
                <w:sz w:val="18"/>
                <w:szCs w:val="18"/>
                <w:lang w:val="ro-MD"/>
              </w:rPr>
            </w:pPr>
          </w:p>
        </w:tc>
        <w:tc>
          <w:tcPr>
            <w:tcW w:w="7290" w:type="dxa"/>
          </w:tcPr>
          <w:p w:rsidR="008072C7" w:rsidRPr="00EA06FA" w:rsidRDefault="008072C7" w:rsidP="00844145">
            <w:pPr>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color w:val="auto"/>
                <w:sz w:val="18"/>
                <w:szCs w:val="18"/>
                <w:lang w:val="ro-MD"/>
              </w:rPr>
            </w:pPr>
            <w:r w:rsidRPr="00EA06FA">
              <w:rPr>
                <w:color w:val="auto"/>
                <w:sz w:val="18"/>
                <w:szCs w:val="18"/>
                <w:lang w:val="it-IT"/>
              </w:rPr>
              <w:t>Există decizia Serviciului Fiscal de Stat</w:t>
            </w:r>
            <w:r w:rsidRPr="00EA06FA">
              <w:rPr>
                <w:color w:val="auto"/>
                <w:sz w:val="18"/>
                <w:szCs w:val="18"/>
                <w:lang w:val="ro-RO"/>
              </w:rPr>
              <w:t xml:space="preserve"> </w:t>
            </w:r>
            <w:r w:rsidRPr="00EA06FA">
              <w:rPr>
                <w:color w:val="auto"/>
                <w:sz w:val="18"/>
                <w:szCs w:val="18"/>
                <w:lang w:val="it-IT"/>
              </w:rPr>
              <w:t>privind suspendarea executării deciziei contestate și efectuarea unui control repetat (art.271 alin. (1) l</w:t>
            </w:r>
            <w:r w:rsidR="003918CE">
              <w:rPr>
                <w:color w:val="auto"/>
                <w:sz w:val="18"/>
                <w:szCs w:val="18"/>
                <w:lang w:val="it-IT"/>
              </w:rPr>
              <w:t>it.d)</w:t>
            </w:r>
            <w:r w:rsidR="000960A4">
              <w:rPr>
                <w:color w:val="auto"/>
                <w:sz w:val="18"/>
                <w:szCs w:val="18"/>
                <w:lang w:val="it-IT"/>
              </w:rPr>
              <w:t xml:space="preserve"> din Codul fiscal</w:t>
            </w:r>
            <w:r w:rsidRPr="00EA06FA">
              <w:rPr>
                <w:color w:val="auto"/>
                <w:sz w:val="18"/>
                <w:szCs w:val="18"/>
                <w:lang w:val="it-IT"/>
              </w:rPr>
              <w:t>– pe perioada valabilității actului emi</w:t>
            </w:r>
            <w:r w:rsidR="00835504">
              <w:rPr>
                <w:color w:val="auto"/>
                <w:sz w:val="18"/>
                <w:szCs w:val="18"/>
                <w:lang w:val="it-IT"/>
              </w:rPr>
              <w:t>s</w:t>
            </w:r>
          </w:p>
        </w:tc>
        <w:tc>
          <w:tcPr>
            <w:tcW w:w="1340" w:type="dxa"/>
          </w:tcPr>
          <w:p w:rsidR="008072C7" w:rsidRPr="008072C7" w:rsidRDefault="008072C7" w:rsidP="00844145">
            <w:pPr>
              <w:tabs>
                <w:tab w:val="left" w:pos="0"/>
                <w:tab w:val="left" w:pos="142"/>
              </w:tabs>
              <w:spacing w:after="120" w:line="276"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2060"/>
                <w:sz w:val="20"/>
                <w:szCs w:val="20"/>
                <w:lang w:val="ro-MD"/>
              </w:rPr>
            </w:pPr>
            <w:r w:rsidRPr="008072C7">
              <w:rPr>
                <w:rFonts w:eastAsia="Calibri" w:cstheme="minorHAnsi"/>
                <w:color w:val="002060"/>
                <w:sz w:val="20"/>
                <w:szCs w:val="20"/>
                <w:lang w:val="ro-MD"/>
              </w:rPr>
              <w:t>0</w:t>
            </w:r>
          </w:p>
        </w:tc>
      </w:tr>
      <w:tr w:rsidR="008072C7" w:rsidRPr="001965C4" w:rsidTr="008072C7">
        <w:tc>
          <w:tcPr>
            <w:cnfStyle w:val="001000000000" w:firstRow="0" w:lastRow="0" w:firstColumn="1" w:lastColumn="0" w:oddVBand="0" w:evenVBand="0" w:oddHBand="0" w:evenHBand="0" w:firstRowFirstColumn="0" w:firstRowLastColumn="0" w:lastRowFirstColumn="0" w:lastRowLastColumn="0"/>
            <w:tcW w:w="8725" w:type="dxa"/>
            <w:gridSpan w:val="2"/>
          </w:tcPr>
          <w:p w:rsidR="008072C7" w:rsidRPr="00D61F75" w:rsidRDefault="008072C7" w:rsidP="00844145">
            <w:pPr>
              <w:tabs>
                <w:tab w:val="left" w:pos="0"/>
                <w:tab w:val="left" w:pos="142"/>
              </w:tabs>
              <w:spacing w:after="120" w:line="276" w:lineRule="auto"/>
              <w:jc w:val="right"/>
              <w:rPr>
                <w:sz w:val="18"/>
                <w:szCs w:val="18"/>
                <w:lang w:val="it-IT"/>
              </w:rPr>
            </w:pPr>
            <w:r>
              <w:rPr>
                <w:sz w:val="18"/>
                <w:szCs w:val="18"/>
                <w:lang w:val="it-IT"/>
              </w:rPr>
              <w:t>TOTAL</w:t>
            </w:r>
          </w:p>
        </w:tc>
        <w:tc>
          <w:tcPr>
            <w:tcW w:w="1340" w:type="dxa"/>
          </w:tcPr>
          <w:p w:rsidR="008072C7" w:rsidRPr="008072C7" w:rsidRDefault="008072C7" w:rsidP="00844145">
            <w:pPr>
              <w:tabs>
                <w:tab w:val="left" w:pos="0"/>
                <w:tab w:val="left" w:pos="142"/>
              </w:tabs>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002060"/>
                <w:sz w:val="20"/>
                <w:szCs w:val="20"/>
                <w:lang w:val="ro-MD"/>
              </w:rPr>
            </w:pPr>
            <w:r w:rsidRPr="008072C7">
              <w:rPr>
                <w:rFonts w:eastAsia="Calibri" w:cstheme="minorHAnsi"/>
                <w:color w:val="002060"/>
                <w:sz w:val="20"/>
                <w:szCs w:val="20"/>
                <w:lang w:val="ro-MD"/>
              </w:rPr>
              <w:t>12 030,8</w:t>
            </w:r>
          </w:p>
        </w:tc>
      </w:tr>
    </w:tbl>
    <w:p w:rsidR="007C6E2D" w:rsidRDefault="007C6E2D" w:rsidP="007C6E2D">
      <w:pPr>
        <w:spacing w:line="276" w:lineRule="auto"/>
        <w:jc w:val="both"/>
        <w:rPr>
          <w:rFonts w:asciiTheme="majorHAnsi" w:hAnsiTheme="majorHAnsi" w:cstheme="majorHAnsi"/>
          <w:sz w:val="24"/>
          <w:szCs w:val="24"/>
          <w:lang w:val="ro-MD"/>
        </w:rPr>
      </w:pPr>
      <w:r w:rsidRPr="00502038">
        <w:rPr>
          <w:rFonts w:asciiTheme="majorHAnsi" w:hAnsiTheme="majorHAnsi" w:cstheme="majorHAnsi"/>
          <w:b/>
          <w:i/>
          <w:sz w:val="20"/>
          <w:szCs w:val="20"/>
          <w:lang w:val="ro-MD"/>
        </w:rPr>
        <w:t>Sursa:</w:t>
      </w:r>
      <w:r w:rsidRPr="00502038">
        <w:rPr>
          <w:rFonts w:asciiTheme="majorHAnsi" w:eastAsia="Calibri" w:hAnsiTheme="majorHAnsi" w:cstheme="majorHAnsi"/>
          <w:i/>
          <w:sz w:val="20"/>
          <w:szCs w:val="20"/>
          <w:lang w:val="ro-MD"/>
        </w:rPr>
        <w:t xml:space="preserve"> </w:t>
      </w:r>
      <w:r>
        <w:rPr>
          <w:rFonts w:asciiTheme="majorHAnsi" w:eastAsia="Calibri" w:hAnsiTheme="majorHAnsi" w:cstheme="majorHAnsi"/>
          <w:i/>
          <w:sz w:val="20"/>
          <w:szCs w:val="20"/>
          <w:lang w:val="ro-MD"/>
        </w:rPr>
        <w:t>Date generalizate în baza informației prezentate de SFS</w:t>
      </w:r>
      <w:r w:rsidR="00835504">
        <w:rPr>
          <w:rFonts w:asciiTheme="majorHAnsi" w:eastAsia="Calibri" w:hAnsiTheme="majorHAnsi" w:cstheme="majorHAnsi"/>
          <w:i/>
          <w:sz w:val="20"/>
          <w:szCs w:val="20"/>
          <w:lang w:val="ro-MD"/>
        </w:rPr>
        <w:t>.</w:t>
      </w:r>
      <w:r>
        <w:rPr>
          <w:rFonts w:asciiTheme="majorHAnsi" w:eastAsia="Calibri" w:hAnsiTheme="majorHAnsi" w:cstheme="majorHAnsi"/>
          <w:i/>
          <w:sz w:val="20"/>
          <w:szCs w:val="20"/>
          <w:lang w:val="ro-MD"/>
        </w:rPr>
        <w:t xml:space="preserve"> </w:t>
      </w:r>
    </w:p>
    <w:p w:rsidR="00A307E2" w:rsidRDefault="00C2643F" w:rsidP="00844145">
      <w:pPr>
        <w:spacing w:before="120" w:line="276" w:lineRule="auto"/>
        <w:jc w:val="both"/>
        <w:rPr>
          <w:rFonts w:eastAsia="Calibri" w:cstheme="minorHAnsi"/>
          <w:sz w:val="24"/>
          <w:szCs w:val="24"/>
          <w:lang w:val="ro-MD"/>
        </w:rPr>
      </w:pPr>
      <w:r>
        <w:rPr>
          <w:rFonts w:asciiTheme="majorHAnsi" w:hAnsiTheme="majorHAnsi" w:cstheme="majorHAnsi"/>
          <w:sz w:val="24"/>
          <w:szCs w:val="24"/>
          <w:lang w:val="ro-MD"/>
        </w:rPr>
        <w:t xml:space="preserve">Reconcilierea datelor din diferite surse de informații, inclusiv SIA CCC, atestă discrepanțe privind soldul obligației fiscale înregistrat în evidența specială la situația din 31.12.2019, în valoare de 3,6 mil. lei. Conform explicațiilor SFS, procedura de reflectare în SIA CCC a tranzacțiilor aferente sumelor luate la evidența specială a </w:t>
      </w:r>
      <w:r w:rsidR="00345FAB">
        <w:rPr>
          <w:rFonts w:asciiTheme="majorHAnsi" w:hAnsiTheme="majorHAnsi" w:cstheme="majorHAnsi"/>
          <w:sz w:val="24"/>
          <w:szCs w:val="24"/>
          <w:lang w:val="ro-MD"/>
        </w:rPr>
        <w:t>fost inițiată</w:t>
      </w:r>
      <w:r>
        <w:rPr>
          <w:rFonts w:asciiTheme="majorHAnsi" w:hAnsiTheme="majorHAnsi" w:cstheme="majorHAnsi"/>
          <w:sz w:val="24"/>
          <w:szCs w:val="24"/>
          <w:lang w:val="ro-MD"/>
        </w:rPr>
        <w:t xml:space="preserve"> la sfârșitul anului 2018 și este în derulare </w:t>
      </w:r>
      <w:r w:rsidR="00B16D90">
        <w:rPr>
          <w:rFonts w:asciiTheme="majorHAnsi" w:hAnsiTheme="majorHAnsi" w:cstheme="majorHAnsi"/>
          <w:sz w:val="24"/>
          <w:szCs w:val="24"/>
          <w:lang w:val="ro-MD"/>
        </w:rPr>
        <w:t>până</w:t>
      </w:r>
      <w:r>
        <w:rPr>
          <w:rFonts w:asciiTheme="majorHAnsi" w:hAnsiTheme="majorHAnsi" w:cstheme="majorHAnsi"/>
          <w:sz w:val="24"/>
          <w:szCs w:val="24"/>
          <w:lang w:val="ro-MD"/>
        </w:rPr>
        <w:t xml:space="preserve"> la momentul actual.</w:t>
      </w:r>
    </w:p>
    <w:p w:rsidR="00017407" w:rsidRPr="00DE7184" w:rsidRDefault="00835504" w:rsidP="00844145">
      <w:pPr>
        <w:pStyle w:val="Heading3"/>
        <w:numPr>
          <w:ilvl w:val="1"/>
          <w:numId w:val="34"/>
        </w:numPr>
        <w:spacing w:before="240" w:after="120" w:line="276" w:lineRule="auto"/>
        <w:jc w:val="both"/>
        <w:rPr>
          <w:rFonts w:cstheme="majorHAnsi"/>
          <w:b/>
        </w:rPr>
      </w:pPr>
      <w:bookmarkStart w:id="14" w:name="_Toc48732726"/>
      <w:r>
        <w:rPr>
          <w:rFonts w:cstheme="majorHAnsi"/>
          <w:b/>
          <w:lang w:val="ro-MD"/>
        </w:rPr>
        <w:t xml:space="preserve">. </w:t>
      </w:r>
      <w:r w:rsidR="00A2559B" w:rsidRPr="00DE7184">
        <w:rPr>
          <w:rFonts w:cstheme="majorHAnsi"/>
          <w:b/>
          <w:lang w:val="ro-MD"/>
        </w:rPr>
        <w:t>N</w:t>
      </w:r>
      <w:r w:rsidR="009B0F2A" w:rsidRPr="00DE7184">
        <w:rPr>
          <w:rFonts w:cstheme="majorHAnsi"/>
          <w:b/>
          <w:lang w:val="ro-MD"/>
        </w:rPr>
        <w:t>orme</w:t>
      </w:r>
      <w:r w:rsidR="00DE7184" w:rsidRPr="00DE7184">
        <w:rPr>
          <w:rFonts w:cstheme="majorHAnsi"/>
          <w:b/>
          <w:lang w:val="ro-MD"/>
        </w:rPr>
        <w:t xml:space="preserve">le interne nu au prevăzut </w:t>
      </w:r>
      <w:r w:rsidR="00A2559B" w:rsidRPr="00DE7184">
        <w:rPr>
          <w:rFonts w:cstheme="majorHAnsi"/>
          <w:b/>
        </w:rPr>
        <w:t>raportare</w:t>
      </w:r>
      <w:r w:rsidR="00044354" w:rsidRPr="00DE7184">
        <w:rPr>
          <w:rFonts w:cstheme="majorHAnsi"/>
          <w:b/>
        </w:rPr>
        <w:t>a restanțelor</w:t>
      </w:r>
      <w:r w:rsidR="00E831B9" w:rsidRPr="00DE7184">
        <w:rPr>
          <w:rFonts w:cstheme="majorHAnsi"/>
          <w:b/>
        </w:rPr>
        <w:t xml:space="preserve"> contribuabililor insolvabili</w:t>
      </w:r>
      <w:bookmarkEnd w:id="14"/>
      <w:r w:rsidR="00583F45">
        <w:rPr>
          <w:rFonts w:cstheme="majorHAnsi"/>
          <w:b/>
        </w:rPr>
        <w:t>.</w:t>
      </w:r>
      <w:r w:rsidR="00FE5C75" w:rsidRPr="00DE7184">
        <w:rPr>
          <w:rFonts w:cstheme="majorHAnsi"/>
          <w:b/>
        </w:rPr>
        <w:t xml:space="preserve"> </w:t>
      </w:r>
    </w:p>
    <w:p w:rsidR="00A51725" w:rsidRPr="00401691" w:rsidRDefault="00B533BB" w:rsidP="00844145">
      <w:pPr>
        <w:pStyle w:val="FootnoteText"/>
        <w:spacing w:after="120" w:line="276" w:lineRule="auto"/>
        <w:jc w:val="both"/>
        <w:rPr>
          <w:rFonts w:asciiTheme="majorHAnsi" w:hAnsiTheme="majorHAnsi" w:cstheme="majorHAnsi"/>
          <w:color w:val="000000" w:themeColor="text1"/>
          <w:sz w:val="24"/>
          <w:szCs w:val="24"/>
          <w:lang w:val="ro-MD"/>
        </w:rPr>
      </w:pPr>
      <w:r w:rsidRPr="00401691">
        <w:rPr>
          <w:rFonts w:asciiTheme="majorHAnsi" w:hAnsiTheme="majorHAnsi" w:cstheme="majorHAnsi"/>
          <w:color w:val="000000" w:themeColor="text1"/>
          <w:sz w:val="24"/>
          <w:szCs w:val="24"/>
          <w:lang w:val="ro-MD"/>
        </w:rPr>
        <w:t>D</w:t>
      </w:r>
      <w:r w:rsidR="00312B13" w:rsidRPr="00401691">
        <w:rPr>
          <w:rFonts w:asciiTheme="majorHAnsi" w:hAnsiTheme="majorHAnsi" w:cstheme="majorHAnsi"/>
          <w:color w:val="000000" w:themeColor="text1"/>
          <w:sz w:val="24"/>
          <w:szCs w:val="24"/>
          <w:lang w:val="ro-MD"/>
        </w:rPr>
        <w:t>in</w:t>
      </w:r>
      <w:r w:rsidRPr="00401691">
        <w:rPr>
          <w:rFonts w:asciiTheme="majorHAnsi" w:hAnsiTheme="majorHAnsi" w:cstheme="majorHAnsi"/>
          <w:color w:val="000000" w:themeColor="text1"/>
          <w:sz w:val="24"/>
          <w:szCs w:val="24"/>
          <w:lang w:val="ro-MD"/>
        </w:rPr>
        <w:t xml:space="preserve"> suma totală de </w:t>
      </w:r>
      <w:r w:rsidR="00312B13" w:rsidRPr="00401691">
        <w:rPr>
          <w:rFonts w:asciiTheme="majorHAnsi" w:hAnsiTheme="majorHAnsi" w:cstheme="majorHAnsi"/>
          <w:color w:val="000000" w:themeColor="text1"/>
          <w:sz w:val="24"/>
          <w:szCs w:val="24"/>
          <w:lang w:val="ro-MD"/>
        </w:rPr>
        <w:t>12034,4 mil</w:t>
      </w:r>
      <w:r w:rsidR="00F14CEA">
        <w:rPr>
          <w:rFonts w:asciiTheme="majorHAnsi" w:hAnsiTheme="majorHAnsi" w:cstheme="majorHAnsi"/>
          <w:color w:val="000000" w:themeColor="text1"/>
          <w:sz w:val="24"/>
          <w:szCs w:val="24"/>
          <w:lang w:val="ro-MD"/>
        </w:rPr>
        <w:t>.</w:t>
      </w:r>
      <w:r w:rsidR="00312B13" w:rsidRPr="00401691">
        <w:rPr>
          <w:rFonts w:asciiTheme="majorHAnsi" w:hAnsiTheme="majorHAnsi" w:cstheme="majorHAnsi"/>
          <w:color w:val="000000" w:themeColor="text1"/>
          <w:sz w:val="24"/>
          <w:szCs w:val="24"/>
          <w:lang w:val="ro-MD"/>
        </w:rPr>
        <w:t xml:space="preserve"> lei</w:t>
      </w:r>
      <w:r w:rsidR="00835504" w:rsidRPr="00835504">
        <w:rPr>
          <w:rFonts w:asciiTheme="majorHAnsi" w:hAnsiTheme="majorHAnsi" w:cstheme="majorHAnsi"/>
          <w:color w:val="000000" w:themeColor="text1"/>
          <w:sz w:val="24"/>
          <w:szCs w:val="24"/>
          <w:lang w:val="ro-MD"/>
        </w:rPr>
        <w:t xml:space="preserve"> </w:t>
      </w:r>
      <w:r w:rsidR="00835504" w:rsidRPr="00401691">
        <w:rPr>
          <w:rFonts w:asciiTheme="majorHAnsi" w:hAnsiTheme="majorHAnsi" w:cstheme="majorHAnsi"/>
          <w:color w:val="000000" w:themeColor="text1"/>
          <w:sz w:val="24"/>
          <w:szCs w:val="24"/>
          <w:lang w:val="ro-MD"/>
        </w:rPr>
        <w:t>a obligațiilor fisc</w:t>
      </w:r>
      <w:r w:rsidR="00835504">
        <w:rPr>
          <w:rFonts w:asciiTheme="majorHAnsi" w:hAnsiTheme="majorHAnsi" w:cstheme="majorHAnsi"/>
          <w:color w:val="000000" w:themeColor="text1"/>
          <w:sz w:val="24"/>
          <w:szCs w:val="24"/>
          <w:lang w:val="ro-MD"/>
        </w:rPr>
        <w:t>ale datorate la bugetul de stat</w:t>
      </w:r>
      <w:r w:rsidR="00835504" w:rsidRPr="00401691">
        <w:rPr>
          <w:rFonts w:asciiTheme="majorHAnsi" w:hAnsiTheme="majorHAnsi" w:cstheme="majorHAnsi"/>
          <w:color w:val="000000" w:themeColor="text1"/>
          <w:sz w:val="24"/>
          <w:szCs w:val="24"/>
          <w:lang w:val="ro-MD"/>
        </w:rPr>
        <w:t xml:space="preserve"> înscrise în evidența specială</w:t>
      </w:r>
      <w:r w:rsidR="00312B13" w:rsidRPr="00401691">
        <w:rPr>
          <w:rFonts w:asciiTheme="majorHAnsi" w:hAnsiTheme="majorHAnsi" w:cstheme="majorHAnsi"/>
          <w:color w:val="000000" w:themeColor="text1"/>
          <w:sz w:val="24"/>
          <w:szCs w:val="24"/>
          <w:lang w:val="ro-MD"/>
        </w:rPr>
        <w:t xml:space="preserve">, partea preponderentă – </w:t>
      </w:r>
      <w:r w:rsidR="007D38DE">
        <w:rPr>
          <w:rFonts w:asciiTheme="majorHAnsi" w:hAnsiTheme="majorHAnsi" w:cstheme="majorHAnsi"/>
          <w:color w:val="000000" w:themeColor="text1"/>
          <w:sz w:val="24"/>
          <w:szCs w:val="24"/>
          <w:lang w:val="ro-MD"/>
        </w:rPr>
        <w:t>6733,6</w:t>
      </w:r>
      <w:r w:rsidR="00312B13" w:rsidRPr="00401691">
        <w:rPr>
          <w:rFonts w:asciiTheme="majorHAnsi" w:hAnsiTheme="majorHAnsi" w:cstheme="majorHAnsi"/>
          <w:color w:val="000000" w:themeColor="text1"/>
          <w:sz w:val="24"/>
          <w:szCs w:val="24"/>
          <w:lang w:val="ro-MD"/>
        </w:rPr>
        <w:t xml:space="preserve"> mil</w:t>
      </w:r>
      <w:r w:rsidR="00F14CEA">
        <w:rPr>
          <w:rFonts w:asciiTheme="majorHAnsi" w:hAnsiTheme="majorHAnsi" w:cstheme="majorHAnsi"/>
          <w:color w:val="000000" w:themeColor="text1"/>
          <w:sz w:val="24"/>
          <w:szCs w:val="24"/>
          <w:lang w:val="ro-MD"/>
        </w:rPr>
        <w:t>.</w:t>
      </w:r>
      <w:r w:rsidR="00312B13" w:rsidRPr="00401691">
        <w:rPr>
          <w:rFonts w:asciiTheme="majorHAnsi" w:hAnsiTheme="majorHAnsi" w:cstheme="majorHAnsi"/>
          <w:color w:val="000000" w:themeColor="text1"/>
          <w:sz w:val="24"/>
          <w:szCs w:val="24"/>
          <w:lang w:val="ro-MD"/>
        </w:rPr>
        <w:t xml:space="preserve"> lei, sau </w:t>
      </w:r>
      <w:r w:rsidR="007D38DE">
        <w:rPr>
          <w:rFonts w:asciiTheme="majorHAnsi" w:hAnsiTheme="majorHAnsi" w:cstheme="majorHAnsi"/>
          <w:color w:val="000000" w:themeColor="text1"/>
          <w:sz w:val="24"/>
          <w:szCs w:val="24"/>
          <w:lang w:val="ro-MD"/>
        </w:rPr>
        <w:t>56</w:t>
      </w:r>
      <w:r w:rsidR="00696A13" w:rsidRPr="00401691">
        <w:rPr>
          <w:rFonts w:asciiTheme="majorHAnsi" w:hAnsiTheme="majorHAnsi" w:cstheme="majorHAnsi"/>
          <w:color w:val="000000" w:themeColor="text1"/>
          <w:sz w:val="24"/>
          <w:szCs w:val="24"/>
          <w:lang w:val="ro-MD"/>
        </w:rPr>
        <w:t xml:space="preserve"> %</w:t>
      </w:r>
      <w:r w:rsidR="002372CA" w:rsidRPr="00401691">
        <w:rPr>
          <w:rFonts w:asciiTheme="majorHAnsi" w:hAnsiTheme="majorHAnsi" w:cstheme="majorHAnsi"/>
          <w:color w:val="000000" w:themeColor="text1"/>
          <w:sz w:val="24"/>
          <w:szCs w:val="24"/>
          <w:lang w:val="ro-MD"/>
        </w:rPr>
        <w:t>,</w:t>
      </w:r>
      <w:r w:rsidR="00312B13" w:rsidRPr="00401691">
        <w:rPr>
          <w:rFonts w:asciiTheme="majorHAnsi" w:hAnsiTheme="majorHAnsi" w:cstheme="majorHAnsi"/>
          <w:color w:val="000000" w:themeColor="text1"/>
          <w:sz w:val="24"/>
          <w:szCs w:val="24"/>
          <w:lang w:val="ro-MD"/>
        </w:rPr>
        <w:t xml:space="preserve"> revin</w:t>
      </w:r>
      <w:r w:rsidR="00835504">
        <w:rPr>
          <w:rFonts w:asciiTheme="majorHAnsi" w:hAnsiTheme="majorHAnsi" w:cstheme="majorHAnsi"/>
          <w:color w:val="000000" w:themeColor="text1"/>
          <w:sz w:val="24"/>
          <w:szCs w:val="24"/>
          <w:lang w:val="ro-MD"/>
        </w:rPr>
        <w:t>e</w:t>
      </w:r>
      <w:r w:rsidR="00312B13" w:rsidRPr="00401691">
        <w:rPr>
          <w:rFonts w:asciiTheme="majorHAnsi" w:hAnsiTheme="majorHAnsi" w:cstheme="majorHAnsi"/>
          <w:color w:val="000000" w:themeColor="text1"/>
          <w:sz w:val="24"/>
          <w:szCs w:val="24"/>
          <w:lang w:val="ro-MD"/>
        </w:rPr>
        <w:t xml:space="preserve"> restan</w:t>
      </w:r>
      <w:r w:rsidR="00835504">
        <w:rPr>
          <w:rFonts w:asciiTheme="majorHAnsi" w:hAnsiTheme="majorHAnsi" w:cstheme="majorHAnsi"/>
          <w:color w:val="000000" w:themeColor="text1"/>
          <w:sz w:val="24"/>
          <w:szCs w:val="24"/>
          <w:lang w:val="ro-MD"/>
        </w:rPr>
        <w:t>ț</w:t>
      </w:r>
      <w:r w:rsidR="00312B13" w:rsidRPr="00401691">
        <w:rPr>
          <w:rFonts w:asciiTheme="majorHAnsi" w:hAnsiTheme="majorHAnsi" w:cstheme="majorHAnsi"/>
          <w:color w:val="000000" w:themeColor="text1"/>
          <w:sz w:val="24"/>
          <w:szCs w:val="24"/>
          <w:lang w:val="ro-MD"/>
        </w:rPr>
        <w:t xml:space="preserve">elor </w:t>
      </w:r>
      <w:r w:rsidR="002372CA" w:rsidRPr="00401691">
        <w:rPr>
          <w:rFonts w:asciiTheme="majorHAnsi" w:hAnsiTheme="majorHAnsi" w:cstheme="majorHAnsi"/>
          <w:color w:val="000000" w:themeColor="text1"/>
          <w:sz w:val="24"/>
          <w:szCs w:val="24"/>
          <w:lang w:val="ro-MD"/>
        </w:rPr>
        <w:t xml:space="preserve">contribuabililor aflați în </w:t>
      </w:r>
      <w:r w:rsidR="002372CA" w:rsidRPr="0031358F">
        <w:rPr>
          <w:rFonts w:asciiTheme="majorHAnsi" w:hAnsiTheme="majorHAnsi" w:cstheme="majorHAnsi"/>
          <w:color w:val="000000" w:themeColor="text1"/>
          <w:sz w:val="24"/>
          <w:szCs w:val="24"/>
          <w:lang w:val="ro-MD"/>
        </w:rPr>
        <w:t>procedur</w:t>
      </w:r>
      <w:r w:rsidR="00AC659E" w:rsidRPr="00573060">
        <w:rPr>
          <w:rFonts w:asciiTheme="majorHAnsi" w:hAnsiTheme="majorHAnsi" w:cstheme="majorHAnsi"/>
          <w:color w:val="000000" w:themeColor="text1"/>
          <w:sz w:val="24"/>
          <w:szCs w:val="24"/>
          <w:lang w:val="ro-MD"/>
        </w:rPr>
        <w:t>a</w:t>
      </w:r>
      <w:r w:rsidR="002372CA" w:rsidRPr="00401691">
        <w:rPr>
          <w:rFonts w:asciiTheme="majorHAnsi" w:hAnsiTheme="majorHAnsi" w:cstheme="majorHAnsi"/>
          <w:color w:val="000000" w:themeColor="text1"/>
          <w:sz w:val="24"/>
          <w:szCs w:val="24"/>
          <w:lang w:val="ro-MD"/>
        </w:rPr>
        <w:t xml:space="preserve"> de insolvabilitate, procedura falimentului sau procedura simplificată a falimentului</w:t>
      </w:r>
      <w:r w:rsidR="00B77E77" w:rsidRPr="00401691">
        <w:rPr>
          <w:rFonts w:asciiTheme="majorHAnsi" w:hAnsiTheme="majorHAnsi" w:cstheme="majorHAnsi"/>
          <w:color w:val="000000" w:themeColor="text1"/>
          <w:sz w:val="24"/>
          <w:szCs w:val="24"/>
          <w:lang w:val="ro-MD"/>
        </w:rPr>
        <w:t>.</w:t>
      </w:r>
    </w:p>
    <w:p w:rsidR="00E2145A" w:rsidRDefault="00F16915" w:rsidP="00844145">
      <w:pPr>
        <w:pStyle w:val="FootnoteText"/>
        <w:spacing w:after="120" w:line="276" w:lineRule="auto"/>
        <w:jc w:val="both"/>
        <w:rPr>
          <w:rFonts w:asciiTheme="majorHAnsi" w:hAnsiTheme="majorHAnsi" w:cstheme="majorHAnsi"/>
          <w:color w:val="000000" w:themeColor="text1"/>
          <w:sz w:val="24"/>
          <w:szCs w:val="24"/>
          <w:lang w:val="ro-MD"/>
        </w:rPr>
      </w:pPr>
      <w:r>
        <w:rPr>
          <w:rFonts w:asciiTheme="majorHAnsi" w:hAnsiTheme="majorHAnsi" w:cstheme="majorHAnsi"/>
          <w:color w:val="000000" w:themeColor="text1"/>
          <w:sz w:val="24"/>
          <w:szCs w:val="24"/>
          <w:lang w:val="ro-MD"/>
        </w:rPr>
        <w:t>Se menționează că</w:t>
      </w:r>
      <w:r w:rsidR="00835504">
        <w:rPr>
          <w:rFonts w:asciiTheme="majorHAnsi" w:hAnsiTheme="majorHAnsi" w:cstheme="majorHAnsi"/>
          <w:color w:val="000000" w:themeColor="text1"/>
          <w:sz w:val="24"/>
          <w:szCs w:val="24"/>
          <w:lang w:val="ro-MD"/>
        </w:rPr>
        <w:t>,</w:t>
      </w:r>
      <w:r>
        <w:rPr>
          <w:rFonts w:asciiTheme="majorHAnsi" w:hAnsiTheme="majorHAnsi" w:cstheme="majorHAnsi"/>
          <w:color w:val="000000" w:themeColor="text1"/>
          <w:sz w:val="24"/>
          <w:szCs w:val="24"/>
          <w:lang w:val="ro-MD"/>
        </w:rPr>
        <w:t xml:space="preserve"> potrivit p</w:t>
      </w:r>
      <w:r w:rsidR="00E2145A" w:rsidRPr="00E2145A">
        <w:rPr>
          <w:rFonts w:asciiTheme="majorHAnsi" w:hAnsiTheme="majorHAnsi" w:cstheme="majorHAnsi"/>
          <w:color w:val="000000" w:themeColor="text1"/>
          <w:sz w:val="24"/>
          <w:szCs w:val="24"/>
          <w:lang w:val="ro-MD"/>
        </w:rPr>
        <w:t>revederil</w:t>
      </w:r>
      <w:r>
        <w:rPr>
          <w:rFonts w:asciiTheme="majorHAnsi" w:hAnsiTheme="majorHAnsi" w:cstheme="majorHAnsi"/>
          <w:color w:val="000000" w:themeColor="text1"/>
          <w:sz w:val="24"/>
          <w:szCs w:val="24"/>
          <w:lang w:val="ro-MD"/>
        </w:rPr>
        <w:t>or</w:t>
      </w:r>
      <w:r w:rsidR="00E2145A" w:rsidRPr="00E2145A">
        <w:rPr>
          <w:rFonts w:asciiTheme="majorHAnsi" w:hAnsiTheme="majorHAnsi" w:cstheme="majorHAnsi"/>
          <w:color w:val="000000" w:themeColor="text1"/>
          <w:sz w:val="24"/>
          <w:szCs w:val="24"/>
          <w:lang w:val="ro-MD"/>
        </w:rPr>
        <w:t xml:space="preserve"> Codului </w:t>
      </w:r>
      <w:r>
        <w:rPr>
          <w:rFonts w:asciiTheme="majorHAnsi" w:hAnsiTheme="majorHAnsi" w:cstheme="majorHAnsi"/>
          <w:color w:val="000000" w:themeColor="text1"/>
          <w:sz w:val="24"/>
          <w:szCs w:val="24"/>
          <w:lang w:val="ro-MD"/>
        </w:rPr>
        <w:t>f</w:t>
      </w:r>
      <w:r w:rsidR="00E2145A" w:rsidRPr="00E2145A">
        <w:rPr>
          <w:rFonts w:asciiTheme="majorHAnsi" w:hAnsiTheme="majorHAnsi" w:cstheme="majorHAnsi"/>
          <w:color w:val="000000" w:themeColor="text1"/>
          <w:sz w:val="24"/>
          <w:szCs w:val="24"/>
          <w:lang w:val="ro-MD"/>
        </w:rPr>
        <w:t>iscal</w:t>
      </w:r>
      <w:r w:rsidR="00AC659E">
        <w:rPr>
          <w:rFonts w:asciiTheme="majorHAnsi" w:hAnsiTheme="majorHAnsi" w:cstheme="majorHAnsi"/>
          <w:color w:val="000000" w:themeColor="text1"/>
          <w:sz w:val="24"/>
          <w:szCs w:val="24"/>
          <w:lang w:val="ro-MD"/>
        </w:rPr>
        <w:t>,</w:t>
      </w:r>
      <w:r w:rsidR="00E2145A" w:rsidRPr="00E2145A">
        <w:rPr>
          <w:rFonts w:asciiTheme="majorHAnsi" w:hAnsiTheme="majorHAnsi" w:cstheme="majorHAnsi"/>
          <w:color w:val="000000" w:themeColor="text1"/>
          <w:sz w:val="24"/>
          <w:szCs w:val="24"/>
          <w:lang w:val="ro-MD"/>
        </w:rPr>
        <w:t xml:space="preserve"> „obligațiile fiscale luate la eviden</w:t>
      </w:r>
      <w:r w:rsidR="009D6C17">
        <w:rPr>
          <w:rFonts w:asciiTheme="majorHAnsi" w:hAnsiTheme="majorHAnsi" w:cstheme="majorHAnsi"/>
          <w:color w:val="000000" w:themeColor="text1"/>
          <w:sz w:val="24"/>
          <w:szCs w:val="24"/>
          <w:lang w:val="ro-MD"/>
        </w:rPr>
        <w:t>ța</w:t>
      </w:r>
      <w:r w:rsidR="00E2145A" w:rsidRPr="00E2145A">
        <w:rPr>
          <w:rFonts w:asciiTheme="majorHAnsi" w:hAnsiTheme="majorHAnsi" w:cstheme="majorHAnsi"/>
          <w:color w:val="000000" w:themeColor="text1"/>
          <w:sz w:val="24"/>
          <w:szCs w:val="24"/>
          <w:lang w:val="ro-MD"/>
        </w:rPr>
        <w:t xml:space="preserve"> fiscală specială conform art.206 din Codul </w:t>
      </w:r>
      <w:r>
        <w:rPr>
          <w:rFonts w:asciiTheme="majorHAnsi" w:hAnsiTheme="majorHAnsi" w:cstheme="majorHAnsi"/>
          <w:color w:val="000000" w:themeColor="text1"/>
          <w:sz w:val="24"/>
          <w:szCs w:val="24"/>
          <w:lang w:val="ro-MD"/>
        </w:rPr>
        <w:t>f</w:t>
      </w:r>
      <w:r w:rsidR="00E2145A" w:rsidRPr="00E2145A">
        <w:rPr>
          <w:rFonts w:asciiTheme="majorHAnsi" w:hAnsiTheme="majorHAnsi" w:cstheme="majorHAnsi"/>
          <w:color w:val="000000" w:themeColor="text1"/>
          <w:sz w:val="24"/>
          <w:szCs w:val="24"/>
          <w:lang w:val="ro-MD"/>
        </w:rPr>
        <w:t xml:space="preserve">iscal nu se consideră restanțe pe </w:t>
      </w:r>
      <w:r w:rsidR="00E2145A" w:rsidRPr="00E2145A">
        <w:rPr>
          <w:rFonts w:asciiTheme="majorHAnsi" w:hAnsiTheme="majorHAnsi" w:cstheme="majorHAnsi"/>
          <w:color w:val="000000" w:themeColor="text1"/>
          <w:sz w:val="24"/>
          <w:szCs w:val="24"/>
          <w:lang w:val="ro-MD"/>
        </w:rPr>
        <w:lastRenderedPageBreak/>
        <w:t xml:space="preserve">perioada aflării la evidența fiscală specială, cu excepția obligațiilor fiscale aferente contribuabililor aflați în procedură de insolvabilitate, procedura falimentului sau procedura simplificată a falimentului”. </w:t>
      </w:r>
      <w:r>
        <w:rPr>
          <w:rFonts w:asciiTheme="majorHAnsi" w:hAnsiTheme="majorHAnsi" w:cstheme="majorHAnsi"/>
          <w:color w:val="000000" w:themeColor="text1"/>
          <w:sz w:val="24"/>
          <w:szCs w:val="24"/>
          <w:lang w:val="ro-MD"/>
        </w:rPr>
        <w:t>Însă,</w:t>
      </w:r>
      <w:r w:rsidR="00381CA3" w:rsidRPr="00401691">
        <w:rPr>
          <w:rFonts w:asciiTheme="majorHAnsi" w:hAnsiTheme="majorHAnsi" w:cstheme="majorHAnsi"/>
          <w:color w:val="000000" w:themeColor="text1"/>
          <w:sz w:val="24"/>
          <w:szCs w:val="24"/>
          <w:lang w:val="ro-MD"/>
        </w:rPr>
        <w:t xml:space="preserve"> a</w:t>
      </w:r>
      <w:r w:rsidR="006E5C5B" w:rsidRPr="00401691">
        <w:rPr>
          <w:rFonts w:asciiTheme="majorHAnsi" w:hAnsiTheme="majorHAnsi" w:cstheme="majorHAnsi"/>
          <w:color w:val="000000" w:themeColor="text1"/>
          <w:sz w:val="24"/>
          <w:szCs w:val="24"/>
          <w:lang w:val="ro-MD"/>
        </w:rPr>
        <w:t xml:space="preserve">uditul a </w:t>
      </w:r>
      <w:r w:rsidR="00AC659E">
        <w:rPr>
          <w:rFonts w:asciiTheme="majorHAnsi" w:hAnsiTheme="majorHAnsi" w:cstheme="majorHAnsi"/>
          <w:color w:val="000000" w:themeColor="text1"/>
          <w:sz w:val="24"/>
          <w:szCs w:val="24"/>
          <w:lang w:val="ro-MD"/>
        </w:rPr>
        <w:t>constatat</w:t>
      </w:r>
      <w:r w:rsidR="006E5C5B" w:rsidRPr="00401691">
        <w:rPr>
          <w:rFonts w:asciiTheme="majorHAnsi" w:hAnsiTheme="majorHAnsi" w:cstheme="majorHAnsi"/>
          <w:color w:val="000000" w:themeColor="text1"/>
          <w:sz w:val="24"/>
          <w:szCs w:val="24"/>
          <w:lang w:val="ro-MD"/>
        </w:rPr>
        <w:t xml:space="preserve"> că at</w:t>
      </w:r>
      <w:r w:rsidR="00AC659E">
        <w:rPr>
          <w:rFonts w:asciiTheme="majorHAnsi" w:hAnsiTheme="majorHAnsi" w:cstheme="majorHAnsi"/>
          <w:color w:val="000000" w:themeColor="text1"/>
          <w:sz w:val="24"/>
          <w:szCs w:val="24"/>
          <w:lang w:val="ro-MD"/>
        </w:rPr>
        <w:t>â</w:t>
      </w:r>
      <w:r w:rsidR="006E5C5B" w:rsidRPr="00401691">
        <w:rPr>
          <w:rFonts w:asciiTheme="majorHAnsi" w:hAnsiTheme="majorHAnsi" w:cstheme="majorHAnsi"/>
          <w:color w:val="000000" w:themeColor="text1"/>
          <w:sz w:val="24"/>
          <w:szCs w:val="24"/>
          <w:lang w:val="ro-MD"/>
        </w:rPr>
        <w:t xml:space="preserve">t </w:t>
      </w:r>
      <w:r w:rsidR="006E5C5B" w:rsidRPr="00401691">
        <w:rPr>
          <w:rFonts w:asciiTheme="majorHAnsi" w:hAnsiTheme="majorHAnsi" w:cstheme="majorHAnsi"/>
          <w:sz w:val="24"/>
          <w:szCs w:val="24"/>
          <w:lang w:val="ro-MD"/>
        </w:rPr>
        <w:t>Regulamentul</w:t>
      </w:r>
      <w:r w:rsidR="00AC659E">
        <w:rPr>
          <w:rFonts w:asciiTheme="majorHAnsi" w:hAnsiTheme="majorHAnsi" w:cstheme="majorHAnsi"/>
          <w:sz w:val="24"/>
          <w:szCs w:val="24"/>
          <w:lang w:val="ro-MD"/>
        </w:rPr>
        <w:t xml:space="preserve"> </w:t>
      </w:r>
      <w:r w:rsidR="006E5C5B" w:rsidRPr="00401691">
        <w:rPr>
          <w:rFonts w:asciiTheme="majorHAnsi" w:hAnsiTheme="majorHAnsi" w:cstheme="majorHAnsi"/>
          <w:sz w:val="24"/>
          <w:szCs w:val="24"/>
          <w:lang w:val="ro-MD"/>
        </w:rPr>
        <w:t xml:space="preserve"> aprobat prin Ordinul MF nr.103 din 09.12.2005</w:t>
      </w:r>
      <w:r w:rsidR="009D6C17">
        <w:rPr>
          <w:rStyle w:val="FootnoteReference"/>
          <w:rFonts w:asciiTheme="majorHAnsi" w:hAnsiTheme="majorHAnsi" w:cstheme="majorHAnsi"/>
          <w:sz w:val="24"/>
          <w:szCs w:val="24"/>
          <w:lang w:val="ro-MD"/>
        </w:rPr>
        <w:footnoteReference w:id="21"/>
      </w:r>
      <w:r w:rsidR="006E5C5B" w:rsidRPr="00401691">
        <w:rPr>
          <w:rFonts w:asciiTheme="majorHAnsi" w:hAnsiTheme="majorHAnsi" w:cstheme="majorHAnsi"/>
          <w:color w:val="000000" w:themeColor="text1"/>
          <w:sz w:val="24"/>
          <w:szCs w:val="24"/>
          <w:lang w:val="ro-MD"/>
        </w:rPr>
        <w:t xml:space="preserve">, care reglementează </w:t>
      </w:r>
      <w:r w:rsidR="00726CCE" w:rsidRPr="00401691">
        <w:rPr>
          <w:rFonts w:asciiTheme="majorHAnsi" w:hAnsiTheme="majorHAnsi" w:cstheme="majorHAnsi"/>
          <w:color w:val="000000" w:themeColor="text1"/>
          <w:sz w:val="24"/>
          <w:szCs w:val="24"/>
          <w:lang w:val="ro-MD"/>
        </w:rPr>
        <w:t>dările de seamă</w:t>
      </w:r>
      <w:r w:rsidR="006E5C5B" w:rsidRPr="00401691">
        <w:rPr>
          <w:rFonts w:asciiTheme="majorHAnsi" w:hAnsiTheme="majorHAnsi" w:cstheme="majorHAnsi"/>
          <w:color w:val="000000" w:themeColor="text1"/>
          <w:sz w:val="24"/>
          <w:szCs w:val="24"/>
          <w:lang w:val="ro-MD"/>
        </w:rPr>
        <w:t xml:space="preserve"> și informațiile elaborate de SFS în procesul de raport</w:t>
      </w:r>
      <w:r w:rsidR="00F14CEA">
        <w:rPr>
          <w:rFonts w:asciiTheme="majorHAnsi" w:hAnsiTheme="majorHAnsi" w:cstheme="majorHAnsi"/>
          <w:color w:val="000000" w:themeColor="text1"/>
          <w:sz w:val="24"/>
          <w:szCs w:val="24"/>
          <w:lang w:val="ro-MD"/>
        </w:rPr>
        <w:t>are a restanței, cât și Ordinul</w:t>
      </w:r>
      <w:r w:rsidR="006E5C5B" w:rsidRPr="00401691">
        <w:rPr>
          <w:rFonts w:asciiTheme="majorHAnsi" w:hAnsiTheme="majorHAnsi" w:cstheme="majorHAnsi"/>
          <w:color w:val="000000" w:themeColor="text1"/>
          <w:sz w:val="24"/>
          <w:szCs w:val="24"/>
          <w:lang w:val="ro-MD"/>
        </w:rPr>
        <w:t xml:space="preserve"> SFS nr. 608 din 27.12.2019</w:t>
      </w:r>
      <w:r w:rsidR="009D6C17">
        <w:rPr>
          <w:rStyle w:val="FootnoteReference"/>
          <w:rFonts w:asciiTheme="majorHAnsi" w:hAnsiTheme="majorHAnsi" w:cstheme="majorHAnsi"/>
          <w:color w:val="000000" w:themeColor="text1"/>
          <w:sz w:val="24"/>
          <w:szCs w:val="24"/>
          <w:lang w:val="ro-MD"/>
        </w:rPr>
        <w:footnoteReference w:id="22"/>
      </w:r>
      <w:r w:rsidR="006E5C5B" w:rsidRPr="00401691">
        <w:rPr>
          <w:rFonts w:asciiTheme="majorHAnsi" w:hAnsiTheme="majorHAnsi" w:cstheme="majorHAnsi"/>
          <w:color w:val="000000" w:themeColor="text1"/>
          <w:sz w:val="24"/>
          <w:szCs w:val="24"/>
          <w:lang w:val="ro-MD"/>
        </w:rPr>
        <w:t xml:space="preserve"> nu </w:t>
      </w:r>
      <w:r w:rsidR="00A04610" w:rsidRPr="00401691">
        <w:rPr>
          <w:rFonts w:asciiTheme="majorHAnsi" w:hAnsiTheme="majorHAnsi" w:cstheme="majorHAnsi"/>
          <w:color w:val="000000" w:themeColor="text1"/>
          <w:sz w:val="24"/>
          <w:szCs w:val="24"/>
          <w:lang w:val="ro-MD"/>
        </w:rPr>
        <w:t xml:space="preserve">au </w:t>
      </w:r>
      <w:r>
        <w:rPr>
          <w:rFonts w:asciiTheme="majorHAnsi" w:hAnsiTheme="majorHAnsi" w:cstheme="majorHAnsi"/>
          <w:color w:val="000000" w:themeColor="text1"/>
          <w:sz w:val="24"/>
          <w:szCs w:val="24"/>
          <w:lang w:val="ro-MD"/>
        </w:rPr>
        <w:t xml:space="preserve">prevăzut </w:t>
      </w:r>
      <w:r w:rsidR="00635BC7" w:rsidRPr="00401691">
        <w:rPr>
          <w:rFonts w:asciiTheme="majorHAnsi" w:hAnsiTheme="majorHAnsi" w:cstheme="majorHAnsi"/>
          <w:color w:val="000000" w:themeColor="text1"/>
          <w:sz w:val="24"/>
          <w:szCs w:val="24"/>
          <w:lang w:val="ro-MD"/>
        </w:rPr>
        <w:t xml:space="preserve">modalitatea </w:t>
      </w:r>
      <w:r w:rsidR="006E5C5B" w:rsidRPr="00401691">
        <w:rPr>
          <w:rFonts w:asciiTheme="majorHAnsi" w:hAnsiTheme="majorHAnsi" w:cstheme="majorHAnsi"/>
          <w:color w:val="000000" w:themeColor="text1"/>
          <w:sz w:val="24"/>
          <w:szCs w:val="24"/>
          <w:lang w:val="ro-MD"/>
        </w:rPr>
        <w:t>raportării obligațiilor fiscale atribuite</w:t>
      </w:r>
      <w:r w:rsidR="00635BC7" w:rsidRPr="00401691">
        <w:rPr>
          <w:rFonts w:asciiTheme="majorHAnsi" w:hAnsiTheme="majorHAnsi" w:cstheme="majorHAnsi"/>
          <w:color w:val="000000" w:themeColor="text1"/>
          <w:sz w:val="24"/>
          <w:szCs w:val="24"/>
          <w:lang w:val="ro-MD"/>
        </w:rPr>
        <w:t xml:space="preserve"> de Codul </w:t>
      </w:r>
      <w:r w:rsidR="000960A4">
        <w:rPr>
          <w:rFonts w:asciiTheme="majorHAnsi" w:hAnsiTheme="majorHAnsi" w:cstheme="majorHAnsi"/>
          <w:color w:val="000000" w:themeColor="text1"/>
          <w:sz w:val="24"/>
          <w:szCs w:val="24"/>
          <w:lang w:val="ro-MD"/>
        </w:rPr>
        <w:t>f</w:t>
      </w:r>
      <w:r w:rsidR="00635BC7" w:rsidRPr="00401691">
        <w:rPr>
          <w:rFonts w:asciiTheme="majorHAnsi" w:hAnsiTheme="majorHAnsi" w:cstheme="majorHAnsi"/>
          <w:color w:val="000000" w:themeColor="text1"/>
          <w:sz w:val="24"/>
          <w:szCs w:val="24"/>
          <w:lang w:val="ro-MD"/>
        </w:rPr>
        <w:t xml:space="preserve">iscal </w:t>
      </w:r>
      <w:r w:rsidR="006E5C5B" w:rsidRPr="00401691">
        <w:rPr>
          <w:rFonts w:asciiTheme="majorHAnsi" w:hAnsiTheme="majorHAnsi" w:cstheme="majorHAnsi"/>
          <w:color w:val="000000" w:themeColor="text1"/>
          <w:sz w:val="24"/>
          <w:szCs w:val="24"/>
          <w:lang w:val="ro-MD"/>
        </w:rPr>
        <w:t>ca ”</w:t>
      </w:r>
      <w:r w:rsidR="006E5C5B" w:rsidRPr="00401691">
        <w:rPr>
          <w:rFonts w:asciiTheme="majorHAnsi" w:hAnsiTheme="majorHAnsi" w:cstheme="majorHAnsi"/>
          <w:i/>
          <w:color w:val="000000" w:themeColor="text1"/>
          <w:sz w:val="24"/>
          <w:szCs w:val="24"/>
          <w:lang w:val="ro-MD"/>
        </w:rPr>
        <w:t>restanțe</w:t>
      </w:r>
      <w:r w:rsidR="006E5C5B" w:rsidRPr="00401691">
        <w:rPr>
          <w:rFonts w:asciiTheme="majorHAnsi" w:hAnsiTheme="majorHAnsi" w:cstheme="majorHAnsi"/>
          <w:color w:val="000000" w:themeColor="text1"/>
          <w:sz w:val="24"/>
          <w:szCs w:val="24"/>
          <w:lang w:val="ro-MD"/>
        </w:rPr>
        <w:t>”</w:t>
      </w:r>
      <w:r w:rsidR="00635BC7" w:rsidRPr="00401691">
        <w:rPr>
          <w:rFonts w:asciiTheme="majorHAnsi" w:hAnsiTheme="majorHAnsi" w:cstheme="majorHAnsi"/>
          <w:color w:val="000000" w:themeColor="text1"/>
          <w:sz w:val="24"/>
          <w:szCs w:val="24"/>
          <w:lang w:val="ro-MD"/>
        </w:rPr>
        <w:t>, inclusiv ale contribuabililor</w:t>
      </w:r>
      <w:r w:rsidR="006E5C5B" w:rsidRPr="00401691">
        <w:rPr>
          <w:rFonts w:asciiTheme="majorHAnsi" w:hAnsiTheme="majorHAnsi" w:cstheme="majorHAnsi"/>
          <w:color w:val="000000" w:themeColor="text1"/>
          <w:sz w:val="24"/>
          <w:szCs w:val="24"/>
          <w:lang w:val="ro-MD"/>
        </w:rPr>
        <w:t xml:space="preserve"> aflați în procedur</w:t>
      </w:r>
      <w:r w:rsidR="00AC659E">
        <w:rPr>
          <w:rFonts w:asciiTheme="majorHAnsi" w:hAnsiTheme="majorHAnsi" w:cstheme="majorHAnsi"/>
          <w:color w:val="000000" w:themeColor="text1"/>
          <w:sz w:val="24"/>
          <w:szCs w:val="24"/>
          <w:lang w:val="ro-MD"/>
        </w:rPr>
        <w:t>a</w:t>
      </w:r>
      <w:r w:rsidR="006E5C5B" w:rsidRPr="00401691">
        <w:rPr>
          <w:rFonts w:asciiTheme="majorHAnsi" w:hAnsiTheme="majorHAnsi" w:cstheme="majorHAnsi"/>
          <w:color w:val="000000" w:themeColor="text1"/>
          <w:sz w:val="24"/>
          <w:szCs w:val="24"/>
          <w:lang w:val="ro-MD"/>
        </w:rPr>
        <w:t xml:space="preserve"> de insolvabilitate, procedura falimentului sau procedura simplificată a falimentului</w:t>
      </w:r>
      <w:r w:rsidR="00635BC7" w:rsidRPr="00401691">
        <w:rPr>
          <w:rFonts w:asciiTheme="majorHAnsi" w:hAnsiTheme="majorHAnsi" w:cstheme="majorHAnsi"/>
          <w:color w:val="000000" w:themeColor="text1"/>
          <w:sz w:val="24"/>
          <w:szCs w:val="24"/>
          <w:lang w:val="ro-MD"/>
        </w:rPr>
        <w:t>.</w:t>
      </w:r>
      <w:r w:rsidR="006E5C5B" w:rsidRPr="00401691">
        <w:rPr>
          <w:rFonts w:asciiTheme="majorHAnsi" w:hAnsiTheme="majorHAnsi" w:cstheme="majorHAnsi"/>
          <w:color w:val="000000" w:themeColor="text1"/>
          <w:sz w:val="24"/>
          <w:szCs w:val="24"/>
          <w:lang w:val="ro-MD"/>
        </w:rPr>
        <w:t xml:space="preserve"> </w:t>
      </w:r>
      <w:r w:rsidR="00E2145A" w:rsidRPr="00E2145A">
        <w:rPr>
          <w:rFonts w:asciiTheme="majorHAnsi" w:hAnsiTheme="majorHAnsi" w:cstheme="majorHAnsi"/>
          <w:color w:val="000000" w:themeColor="text1"/>
          <w:sz w:val="24"/>
          <w:szCs w:val="24"/>
          <w:lang w:val="ro-RO"/>
        </w:rPr>
        <w:t xml:space="preserve">Prin urmare, carențele normative expuse au determinat </w:t>
      </w:r>
      <w:r>
        <w:rPr>
          <w:rFonts w:asciiTheme="majorHAnsi" w:hAnsiTheme="majorHAnsi" w:cstheme="majorHAnsi"/>
          <w:color w:val="000000" w:themeColor="text1"/>
          <w:sz w:val="24"/>
          <w:szCs w:val="24"/>
          <w:lang w:val="ro-RO"/>
        </w:rPr>
        <w:t>ne</w:t>
      </w:r>
      <w:r w:rsidR="00E2145A" w:rsidRPr="00E2145A">
        <w:rPr>
          <w:rFonts w:asciiTheme="majorHAnsi" w:hAnsiTheme="majorHAnsi" w:cstheme="majorHAnsi"/>
          <w:color w:val="000000" w:themeColor="text1"/>
          <w:sz w:val="24"/>
          <w:szCs w:val="24"/>
          <w:lang w:val="ro-RO"/>
        </w:rPr>
        <w:t>raportarea</w:t>
      </w:r>
      <w:r>
        <w:rPr>
          <w:rFonts w:asciiTheme="majorHAnsi" w:hAnsiTheme="majorHAnsi" w:cstheme="majorHAnsi"/>
          <w:color w:val="000000" w:themeColor="text1"/>
          <w:sz w:val="24"/>
          <w:szCs w:val="24"/>
          <w:lang w:val="ro-RO"/>
        </w:rPr>
        <w:t xml:space="preserve"> de către SFS </w:t>
      </w:r>
      <w:r w:rsidR="002D6368">
        <w:rPr>
          <w:rFonts w:asciiTheme="majorHAnsi" w:hAnsiTheme="majorHAnsi" w:cstheme="majorHAnsi"/>
          <w:color w:val="000000" w:themeColor="text1"/>
          <w:sz w:val="24"/>
          <w:szCs w:val="24"/>
          <w:lang w:val="ro-RO"/>
        </w:rPr>
        <w:t>a</w:t>
      </w:r>
      <w:r w:rsidR="00656EA5">
        <w:rPr>
          <w:rFonts w:asciiTheme="majorHAnsi" w:hAnsiTheme="majorHAnsi" w:cstheme="majorHAnsi"/>
          <w:color w:val="000000" w:themeColor="text1"/>
          <w:sz w:val="24"/>
          <w:szCs w:val="24"/>
          <w:lang w:val="ro-RO"/>
        </w:rPr>
        <w:t xml:space="preserve"> acestora </w:t>
      </w:r>
      <w:r>
        <w:rPr>
          <w:rFonts w:asciiTheme="majorHAnsi" w:hAnsiTheme="majorHAnsi" w:cstheme="majorHAnsi"/>
          <w:color w:val="000000" w:themeColor="text1"/>
          <w:sz w:val="24"/>
          <w:szCs w:val="24"/>
          <w:lang w:val="ro-RO"/>
        </w:rPr>
        <w:t>la situația din 31.12.2019.</w:t>
      </w:r>
    </w:p>
    <w:p w:rsidR="003012D0" w:rsidRPr="00401691" w:rsidRDefault="00DE7184" w:rsidP="00DE7184">
      <w:pPr>
        <w:pStyle w:val="FootnoteText"/>
        <w:pBdr>
          <w:top w:val="single" w:sz="4" w:space="1" w:color="auto"/>
          <w:left w:val="single" w:sz="4" w:space="4" w:color="auto"/>
          <w:bottom w:val="single" w:sz="4" w:space="1" w:color="auto"/>
          <w:right w:val="single" w:sz="4" w:space="4" w:color="auto"/>
        </w:pBdr>
        <w:spacing w:after="120" w:line="276" w:lineRule="auto"/>
        <w:jc w:val="both"/>
        <w:rPr>
          <w:rFonts w:asciiTheme="majorHAnsi" w:hAnsiTheme="majorHAnsi" w:cstheme="majorHAnsi"/>
          <w:color w:val="000000" w:themeColor="text1"/>
          <w:sz w:val="24"/>
          <w:szCs w:val="24"/>
          <w:lang w:val="ro-MD"/>
        </w:rPr>
      </w:pPr>
      <w:r w:rsidRPr="00DE7184">
        <w:rPr>
          <w:rFonts w:asciiTheme="majorHAnsi" w:hAnsiTheme="majorHAnsi" w:cstheme="majorHAnsi"/>
          <w:b/>
          <w:i/>
          <w:sz w:val="24"/>
          <w:szCs w:val="24"/>
          <w:lang w:val="ro-MD"/>
        </w:rPr>
        <w:t>Se ia act</w:t>
      </w:r>
      <w:r>
        <w:rPr>
          <w:rFonts w:asciiTheme="majorHAnsi" w:hAnsiTheme="majorHAnsi" w:cstheme="majorHAnsi"/>
          <w:b/>
          <w:i/>
          <w:sz w:val="24"/>
          <w:szCs w:val="24"/>
          <w:lang w:val="ro-MD"/>
        </w:rPr>
        <w:t>:</w:t>
      </w:r>
      <w:r w:rsidR="00656EA5">
        <w:rPr>
          <w:rFonts w:asciiTheme="majorHAnsi" w:hAnsiTheme="majorHAnsi" w:cstheme="majorHAnsi"/>
          <w:sz w:val="24"/>
          <w:szCs w:val="24"/>
          <w:lang w:val="ro-MD"/>
        </w:rPr>
        <w:t xml:space="preserve"> </w:t>
      </w:r>
      <w:r w:rsidR="006A1FF5" w:rsidRPr="00573060">
        <w:rPr>
          <w:rFonts w:asciiTheme="majorHAnsi" w:hAnsiTheme="majorHAnsi" w:cstheme="majorHAnsi"/>
          <w:sz w:val="24"/>
          <w:szCs w:val="24"/>
          <w:lang w:val="ro-MD"/>
        </w:rPr>
        <w:t>P</w:t>
      </w:r>
      <w:r w:rsidR="00656EA5" w:rsidRPr="0031358F">
        <w:rPr>
          <w:rFonts w:asciiTheme="majorHAnsi" w:hAnsiTheme="majorHAnsi" w:cstheme="majorHAnsi"/>
          <w:sz w:val="24"/>
          <w:szCs w:val="24"/>
          <w:lang w:val="ro-MD"/>
        </w:rPr>
        <w:t>e</w:t>
      </w:r>
      <w:r w:rsidR="00656EA5">
        <w:rPr>
          <w:rFonts w:asciiTheme="majorHAnsi" w:hAnsiTheme="majorHAnsi" w:cstheme="majorHAnsi"/>
          <w:sz w:val="24"/>
          <w:szCs w:val="24"/>
          <w:lang w:val="ro-MD"/>
        </w:rPr>
        <w:t xml:space="preserve"> parcursul auditului</w:t>
      </w:r>
      <w:r w:rsidR="00AC659E">
        <w:rPr>
          <w:rFonts w:asciiTheme="majorHAnsi" w:hAnsiTheme="majorHAnsi" w:cstheme="majorHAnsi"/>
          <w:sz w:val="24"/>
          <w:szCs w:val="24"/>
          <w:lang w:val="ro-MD"/>
        </w:rPr>
        <w:t>,</w:t>
      </w:r>
      <w:r>
        <w:rPr>
          <w:rFonts w:asciiTheme="majorHAnsi" w:hAnsiTheme="majorHAnsi" w:cstheme="majorHAnsi"/>
          <w:sz w:val="24"/>
          <w:szCs w:val="24"/>
          <w:lang w:val="ro-MD"/>
        </w:rPr>
        <w:t xml:space="preserve"> a fost modificat </w:t>
      </w:r>
      <w:r w:rsidR="009F1E7A" w:rsidRPr="00401691">
        <w:rPr>
          <w:rFonts w:asciiTheme="majorHAnsi" w:hAnsiTheme="majorHAnsi" w:cstheme="majorHAnsi"/>
          <w:sz w:val="24"/>
          <w:szCs w:val="24"/>
          <w:lang w:val="ro-MD"/>
        </w:rPr>
        <w:t xml:space="preserve">Regulamentul aprobat prin Ordinul </w:t>
      </w:r>
      <w:r>
        <w:rPr>
          <w:rFonts w:asciiTheme="majorHAnsi" w:hAnsiTheme="majorHAnsi" w:cstheme="majorHAnsi"/>
          <w:sz w:val="24"/>
          <w:szCs w:val="24"/>
          <w:lang w:val="ro-MD"/>
        </w:rPr>
        <w:t>M</w:t>
      </w:r>
      <w:r w:rsidR="009F1E7A" w:rsidRPr="00401691">
        <w:rPr>
          <w:rFonts w:asciiTheme="majorHAnsi" w:hAnsiTheme="majorHAnsi" w:cstheme="majorHAnsi"/>
          <w:sz w:val="24"/>
          <w:szCs w:val="24"/>
          <w:lang w:val="ro-MD"/>
        </w:rPr>
        <w:t>F nr.103 din 09.12.2005</w:t>
      </w:r>
      <w:r w:rsidR="009F1E7A" w:rsidRPr="00401691">
        <w:rPr>
          <w:rFonts w:asciiTheme="majorHAnsi" w:hAnsiTheme="majorHAnsi" w:cstheme="majorHAnsi"/>
          <w:color w:val="000000" w:themeColor="text1"/>
          <w:sz w:val="24"/>
          <w:szCs w:val="24"/>
          <w:lang w:val="ro-MD"/>
        </w:rPr>
        <w:t>, stipulându-se</w:t>
      </w:r>
      <w:r w:rsidR="00756682" w:rsidRPr="00401691">
        <w:rPr>
          <w:rFonts w:asciiTheme="majorHAnsi" w:hAnsiTheme="majorHAnsi" w:cstheme="majorHAnsi"/>
          <w:color w:val="000000" w:themeColor="text1"/>
          <w:sz w:val="24"/>
          <w:szCs w:val="24"/>
          <w:lang w:val="ro-MD"/>
        </w:rPr>
        <w:t xml:space="preserve"> expres că nu sunt raportate </w:t>
      </w:r>
      <w:r w:rsidR="00635BC7" w:rsidRPr="00401691">
        <w:rPr>
          <w:rFonts w:asciiTheme="majorHAnsi" w:hAnsiTheme="majorHAnsi" w:cstheme="majorHAnsi"/>
          <w:color w:val="000000" w:themeColor="text1"/>
          <w:sz w:val="24"/>
          <w:szCs w:val="24"/>
          <w:lang w:val="ro-MD"/>
        </w:rPr>
        <w:t>restanțele</w:t>
      </w:r>
      <w:r w:rsidR="00756682" w:rsidRPr="00401691">
        <w:rPr>
          <w:rFonts w:asciiTheme="majorHAnsi" w:hAnsiTheme="majorHAnsi" w:cstheme="majorHAnsi"/>
          <w:color w:val="000000" w:themeColor="text1"/>
          <w:sz w:val="24"/>
          <w:szCs w:val="24"/>
          <w:lang w:val="ro-MD"/>
        </w:rPr>
        <w:t xml:space="preserve"> aferente contribuabililor</w:t>
      </w:r>
      <w:r w:rsidR="00A04610" w:rsidRPr="00401691">
        <w:rPr>
          <w:rFonts w:asciiTheme="majorHAnsi" w:hAnsiTheme="majorHAnsi" w:cstheme="majorHAnsi"/>
          <w:color w:val="000000" w:themeColor="text1"/>
          <w:sz w:val="24"/>
          <w:szCs w:val="24"/>
          <w:lang w:val="ro-MD"/>
        </w:rPr>
        <w:t xml:space="preserve"> insolvabili</w:t>
      </w:r>
      <w:r w:rsidR="00493813">
        <w:rPr>
          <w:rFonts w:asciiTheme="majorHAnsi" w:hAnsiTheme="majorHAnsi" w:cstheme="majorHAnsi"/>
          <w:color w:val="000000" w:themeColor="text1"/>
          <w:sz w:val="24"/>
          <w:szCs w:val="24"/>
          <w:lang w:val="ro-MD"/>
        </w:rPr>
        <w:t>.</w:t>
      </w:r>
      <w:r w:rsidR="00A04610" w:rsidRPr="00401691">
        <w:rPr>
          <w:rFonts w:asciiTheme="majorHAnsi" w:hAnsiTheme="majorHAnsi" w:cstheme="majorHAnsi"/>
          <w:color w:val="000000" w:themeColor="text1"/>
          <w:sz w:val="24"/>
          <w:szCs w:val="24"/>
          <w:lang w:val="ro-MD"/>
        </w:rPr>
        <w:t xml:space="preserve"> </w:t>
      </w:r>
    </w:p>
    <w:p w:rsidR="00750409" w:rsidRPr="00401691" w:rsidRDefault="00770E2A" w:rsidP="00844145">
      <w:pPr>
        <w:pStyle w:val="FootnoteText"/>
        <w:spacing w:after="0" w:line="276" w:lineRule="auto"/>
        <w:jc w:val="both"/>
        <w:rPr>
          <w:rFonts w:asciiTheme="majorHAnsi" w:hAnsiTheme="majorHAnsi" w:cstheme="majorHAnsi"/>
          <w:color w:val="000000" w:themeColor="text1"/>
          <w:sz w:val="24"/>
          <w:szCs w:val="24"/>
          <w:lang w:val="ro-MD"/>
        </w:rPr>
      </w:pPr>
      <w:r w:rsidRPr="00401691">
        <w:rPr>
          <w:rFonts w:asciiTheme="majorHAnsi" w:hAnsiTheme="majorHAnsi" w:cstheme="majorHAnsi"/>
          <w:color w:val="000000" w:themeColor="text1"/>
          <w:sz w:val="24"/>
          <w:szCs w:val="24"/>
          <w:lang w:val="ro-MD"/>
        </w:rPr>
        <w:t>O altă problemă constatată de audit este nearmonizarea rapoartelor care necesită a fi elaborate de SFS, conform cerințelor prestabi</w:t>
      </w:r>
      <w:r w:rsidR="001E7A1D" w:rsidRPr="00401691">
        <w:rPr>
          <w:rFonts w:asciiTheme="majorHAnsi" w:hAnsiTheme="majorHAnsi" w:cstheme="majorHAnsi"/>
          <w:color w:val="000000" w:themeColor="text1"/>
          <w:sz w:val="24"/>
          <w:szCs w:val="24"/>
          <w:lang w:val="ro-MD"/>
        </w:rPr>
        <w:t>lite de Ministerul Finanțelor (</w:t>
      </w:r>
      <w:r w:rsidRPr="00401691">
        <w:rPr>
          <w:rFonts w:asciiTheme="majorHAnsi" w:hAnsiTheme="majorHAnsi" w:cstheme="majorHAnsi"/>
          <w:color w:val="000000" w:themeColor="text1"/>
          <w:sz w:val="24"/>
          <w:szCs w:val="24"/>
          <w:lang w:val="ro-MD"/>
        </w:rPr>
        <w:t>ca număr de rapoarte, format, denumire)</w:t>
      </w:r>
      <w:r w:rsidR="00AC659E">
        <w:rPr>
          <w:rFonts w:asciiTheme="majorHAnsi" w:hAnsiTheme="majorHAnsi" w:cstheme="majorHAnsi"/>
          <w:color w:val="000000" w:themeColor="text1"/>
          <w:sz w:val="24"/>
          <w:szCs w:val="24"/>
          <w:lang w:val="ro-MD"/>
        </w:rPr>
        <w:t>,</w:t>
      </w:r>
      <w:r w:rsidRPr="00401691">
        <w:rPr>
          <w:rFonts w:asciiTheme="majorHAnsi" w:hAnsiTheme="majorHAnsi" w:cstheme="majorHAnsi"/>
          <w:color w:val="000000" w:themeColor="text1"/>
          <w:sz w:val="24"/>
          <w:szCs w:val="24"/>
          <w:lang w:val="ro-MD"/>
        </w:rPr>
        <w:t xml:space="preserve"> </w:t>
      </w:r>
      <w:r w:rsidR="00AC659E" w:rsidRPr="000B204E">
        <w:rPr>
          <w:rFonts w:asciiTheme="majorHAnsi" w:hAnsiTheme="majorHAnsi" w:cstheme="majorHAnsi"/>
          <w:color w:val="000000" w:themeColor="text1"/>
          <w:sz w:val="24"/>
          <w:szCs w:val="24"/>
          <w:lang w:val="ro-MD"/>
        </w:rPr>
        <w:t>cu</w:t>
      </w:r>
      <w:r w:rsidRPr="000B204E">
        <w:rPr>
          <w:rFonts w:asciiTheme="majorHAnsi" w:hAnsiTheme="majorHAnsi" w:cstheme="majorHAnsi"/>
          <w:color w:val="000000" w:themeColor="text1"/>
          <w:sz w:val="24"/>
          <w:szCs w:val="24"/>
          <w:lang w:val="ro-MD"/>
        </w:rPr>
        <w:t xml:space="preserve"> cele</w:t>
      </w:r>
      <w:r w:rsidRPr="00401691">
        <w:rPr>
          <w:rFonts w:asciiTheme="majorHAnsi" w:hAnsiTheme="majorHAnsi" w:cstheme="majorHAnsi"/>
          <w:color w:val="000000" w:themeColor="text1"/>
          <w:sz w:val="24"/>
          <w:szCs w:val="24"/>
          <w:lang w:val="ro-MD"/>
        </w:rPr>
        <w:t xml:space="preserve"> aprobate de SFS prin propriul ordin</w:t>
      </w:r>
      <w:r w:rsidRPr="00401691">
        <w:rPr>
          <w:rStyle w:val="FootnoteReference"/>
          <w:rFonts w:asciiTheme="majorHAnsi" w:hAnsiTheme="majorHAnsi" w:cstheme="majorHAnsi"/>
          <w:color w:val="000000" w:themeColor="text1"/>
          <w:sz w:val="24"/>
          <w:szCs w:val="24"/>
          <w:lang w:val="ro-MD"/>
        </w:rPr>
        <w:footnoteReference w:id="23"/>
      </w:r>
      <w:r w:rsidRPr="00401691">
        <w:rPr>
          <w:rFonts w:asciiTheme="majorHAnsi" w:hAnsiTheme="majorHAnsi" w:cstheme="majorHAnsi"/>
          <w:color w:val="000000" w:themeColor="text1"/>
          <w:sz w:val="24"/>
          <w:szCs w:val="24"/>
          <w:lang w:val="ro-MD"/>
        </w:rPr>
        <w:t>.</w:t>
      </w:r>
    </w:p>
    <w:p w:rsidR="00726CCE" w:rsidRPr="00BB334D" w:rsidRDefault="002A0857" w:rsidP="00844145">
      <w:pPr>
        <w:pStyle w:val="Heading3"/>
        <w:numPr>
          <w:ilvl w:val="1"/>
          <w:numId w:val="34"/>
        </w:numPr>
        <w:spacing w:before="240" w:after="120" w:line="276" w:lineRule="auto"/>
        <w:jc w:val="both"/>
        <w:rPr>
          <w:rFonts w:cstheme="majorHAnsi"/>
          <w:b/>
        </w:rPr>
      </w:pPr>
      <w:bookmarkStart w:id="15" w:name="_Toc48732727"/>
      <w:r>
        <w:rPr>
          <w:rFonts w:cstheme="majorHAnsi"/>
          <w:b/>
        </w:rPr>
        <w:lastRenderedPageBreak/>
        <w:t xml:space="preserve">. </w:t>
      </w:r>
      <w:r w:rsidR="00E831B9" w:rsidRPr="00BB334D">
        <w:rPr>
          <w:rFonts w:cstheme="majorHAnsi"/>
          <w:b/>
        </w:rPr>
        <w:t xml:space="preserve">Aplicarea </w:t>
      </w:r>
      <w:r w:rsidR="00761A26" w:rsidRPr="00BB334D">
        <w:rPr>
          <w:rFonts w:cstheme="majorHAnsi"/>
          <w:b/>
        </w:rPr>
        <w:t>ulterior termenului</w:t>
      </w:r>
      <w:r>
        <w:rPr>
          <w:rFonts w:cstheme="majorHAnsi"/>
          <w:b/>
        </w:rPr>
        <w:t>-</w:t>
      </w:r>
      <w:r w:rsidR="00761A26" w:rsidRPr="00BB334D">
        <w:rPr>
          <w:rFonts w:cstheme="majorHAnsi"/>
          <w:b/>
        </w:rPr>
        <w:t xml:space="preserve">limită </w:t>
      </w:r>
      <w:r w:rsidR="00E831B9" w:rsidRPr="00BB334D">
        <w:rPr>
          <w:rFonts w:cstheme="majorHAnsi"/>
          <w:b/>
        </w:rPr>
        <w:t>a stimulării fiscale a contribuabililor</w:t>
      </w:r>
      <w:bookmarkEnd w:id="15"/>
      <w:r w:rsidR="00E831B9" w:rsidRPr="00BB334D">
        <w:rPr>
          <w:rFonts w:cstheme="majorHAnsi"/>
          <w:b/>
        </w:rPr>
        <w:t xml:space="preserve"> </w:t>
      </w:r>
    </w:p>
    <w:p w:rsidR="003012D0" w:rsidRPr="00401691" w:rsidRDefault="003012D0" w:rsidP="00844145">
      <w:pPr>
        <w:spacing w:line="276" w:lineRule="auto"/>
        <w:jc w:val="both"/>
        <w:rPr>
          <w:rFonts w:asciiTheme="majorHAnsi" w:hAnsiTheme="majorHAnsi" w:cstheme="majorHAnsi"/>
          <w:sz w:val="24"/>
          <w:szCs w:val="24"/>
          <w:lang w:val="ro-MD"/>
        </w:rPr>
      </w:pPr>
      <w:r w:rsidRPr="00401691">
        <w:rPr>
          <w:rFonts w:asciiTheme="majorHAnsi" w:hAnsiTheme="majorHAnsi" w:cstheme="majorHAnsi"/>
          <w:sz w:val="24"/>
          <w:szCs w:val="24"/>
          <w:lang w:val="ro-MD"/>
        </w:rPr>
        <w:t xml:space="preserve">Nivelul </w:t>
      </w:r>
      <w:r w:rsidR="00E53CDD" w:rsidRPr="00401691">
        <w:rPr>
          <w:rFonts w:asciiTheme="majorHAnsi" w:hAnsiTheme="majorHAnsi" w:cstheme="majorHAnsi"/>
          <w:sz w:val="24"/>
          <w:szCs w:val="24"/>
          <w:lang w:val="ro-MD"/>
        </w:rPr>
        <w:t xml:space="preserve">soldului </w:t>
      </w:r>
      <w:r w:rsidRPr="00401691">
        <w:rPr>
          <w:rFonts w:asciiTheme="majorHAnsi" w:hAnsiTheme="majorHAnsi" w:cstheme="majorHAnsi"/>
          <w:sz w:val="24"/>
          <w:szCs w:val="24"/>
          <w:lang w:val="ro-MD"/>
        </w:rPr>
        <w:t xml:space="preserve">restanței la </w:t>
      </w:r>
      <w:r w:rsidR="00D321D6">
        <w:rPr>
          <w:rFonts w:asciiTheme="majorHAnsi" w:hAnsiTheme="majorHAnsi" w:cstheme="majorHAnsi"/>
          <w:sz w:val="24"/>
          <w:szCs w:val="24"/>
          <w:lang w:val="ro-MD"/>
        </w:rPr>
        <w:t>BS</w:t>
      </w:r>
      <w:r w:rsidR="00E53CDD" w:rsidRPr="00401691">
        <w:rPr>
          <w:rFonts w:asciiTheme="majorHAnsi" w:hAnsiTheme="majorHAnsi" w:cstheme="majorHAnsi"/>
          <w:sz w:val="24"/>
          <w:szCs w:val="24"/>
          <w:lang w:val="ro-MD"/>
        </w:rPr>
        <w:t xml:space="preserve"> la situația </w:t>
      </w:r>
      <w:r w:rsidR="002A0857">
        <w:rPr>
          <w:rFonts w:asciiTheme="majorHAnsi" w:hAnsiTheme="majorHAnsi" w:cstheme="majorHAnsi"/>
          <w:sz w:val="24"/>
          <w:szCs w:val="24"/>
          <w:lang w:val="ro-MD"/>
        </w:rPr>
        <w:t xml:space="preserve">din </w:t>
      </w:r>
      <w:r w:rsidR="00E53CDD" w:rsidRPr="00401691">
        <w:rPr>
          <w:rFonts w:asciiTheme="majorHAnsi" w:hAnsiTheme="majorHAnsi" w:cstheme="majorHAnsi"/>
          <w:sz w:val="24"/>
          <w:szCs w:val="24"/>
          <w:lang w:val="ro-MD"/>
        </w:rPr>
        <w:t xml:space="preserve">31.12.2019 </w:t>
      </w:r>
      <w:r w:rsidRPr="00401691">
        <w:rPr>
          <w:rFonts w:asciiTheme="majorHAnsi" w:hAnsiTheme="majorHAnsi" w:cstheme="majorHAnsi"/>
          <w:sz w:val="24"/>
          <w:szCs w:val="24"/>
          <w:lang w:val="ro-MD"/>
        </w:rPr>
        <w:t xml:space="preserve">a fost influențat de aplicarea </w:t>
      </w:r>
      <w:r w:rsidRPr="00401691">
        <w:rPr>
          <w:rFonts w:asciiTheme="majorHAnsi" w:hAnsiTheme="majorHAnsi" w:cstheme="majorHAnsi"/>
          <w:color w:val="424242"/>
          <w:sz w:val="24"/>
          <w:szCs w:val="24"/>
          <w:shd w:val="clear" w:color="auto" w:fill="FFFFFF"/>
          <w:lang w:val="ro-MD"/>
        </w:rPr>
        <w:t>stimulării fiscale, care a constat în anularea sumelor amenzilor și majorărilor de întârziere (penalităților)</w:t>
      </w:r>
      <w:r w:rsidR="00F14CEA">
        <w:rPr>
          <w:rFonts w:asciiTheme="majorHAnsi" w:hAnsiTheme="majorHAnsi" w:cstheme="majorHAnsi"/>
          <w:color w:val="424242"/>
          <w:sz w:val="24"/>
          <w:szCs w:val="24"/>
          <w:shd w:val="clear" w:color="auto" w:fill="FFFFFF"/>
          <w:lang w:val="ro-MD"/>
        </w:rPr>
        <w:t xml:space="preserve"> aplicate contribuabililor</w:t>
      </w:r>
      <w:r w:rsidRPr="00401691">
        <w:rPr>
          <w:rFonts w:asciiTheme="majorHAnsi" w:hAnsiTheme="majorHAnsi" w:cstheme="majorHAnsi"/>
          <w:color w:val="424242"/>
          <w:sz w:val="24"/>
          <w:szCs w:val="24"/>
          <w:shd w:val="clear" w:color="auto" w:fill="FFFFFF"/>
          <w:lang w:val="ro-MD"/>
        </w:rPr>
        <w:t xml:space="preserve"> la plățile administrate de SFS, </w:t>
      </w:r>
      <w:r w:rsidR="002A0857">
        <w:rPr>
          <w:rFonts w:asciiTheme="majorHAnsi" w:hAnsiTheme="majorHAnsi" w:cstheme="majorHAnsi"/>
          <w:color w:val="424242"/>
          <w:sz w:val="24"/>
          <w:szCs w:val="24"/>
          <w:shd w:val="clear" w:color="auto" w:fill="FFFFFF"/>
          <w:lang w:val="ro-MD"/>
        </w:rPr>
        <w:t>cu</w:t>
      </w:r>
      <w:r w:rsidRPr="00401691">
        <w:rPr>
          <w:rFonts w:asciiTheme="majorHAnsi" w:hAnsiTheme="majorHAnsi" w:cstheme="majorHAnsi"/>
          <w:color w:val="424242"/>
          <w:sz w:val="24"/>
          <w:szCs w:val="24"/>
          <w:shd w:val="clear" w:color="auto" w:fill="FFFFFF"/>
          <w:lang w:val="ro-MD"/>
        </w:rPr>
        <w:t xml:space="preserve"> condiția achitării sumelor datorate de aceștia la plățile de bază</w:t>
      </w:r>
      <w:r w:rsidRPr="00401691">
        <w:rPr>
          <w:rFonts w:asciiTheme="majorHAnsi" w:hAnsiTheme="majorHAnsi" w:cstheme="majorHAnsi"/>
          <w:sz w:val="24"/>
          <w:szCs w:val="24"/>
          <w:lang w:val="ro-MD"/>
        </w:rPr>
        <w:t xml:space="preserve">, în temeiul </w:t>
      </w:r>
      <w:r w:rsidRPr="00401691">
        <w:rPr>
          <w:rFonts w:asciiTheme="majorHAnsi" w:hAnsiTheme="majorHAnsi" w:cstheme="majorHAnsi"/>
          <w:color w:val="000000"/>
          <w:sz w:val="24"/>
          <w:szCs w:val="24"/>
          <w:lang w:val="ro-MD"/>
        </w:rPr>
        <w:t xml:space="preserve">Legii nr.180 din 26.07.2018 privind declararea voluntară și stimularea fiscală. </w:t>
      </w:r>
    </w:p>
    <w:p w:rsidR="003012D0" w:rsidRPr="00401691" w:rsidRDefault="003012D0" w:rsidP="00844145">
      <w:pPr>
        <w:spacing w:after="0" w:line="276" w:lineRule="auto"/>
        <w:jc w:val="both"/>
        <w:rPr>
          <w:rFonts w:asciiTheme="majorHAnsi" w:hAnsiTheme="majorHAnsi" w:cstheme="majorHAnsi"/>
          <w:sz w:val="24"/>
          <w:szCs w:val="24"/>
          <w:lang w:val="ro-MD"/>
        </w:rPr>
      </w:pPr>
      <w:r w:rsidRPr="00401691">
        <w:rPr>
          <w:rFonts w:asciiTheme="majorHAnsi" w:hAnsiTheme="majorHAnsi" w:cstheme="majorHAnsi"/>
          <w:sz w:val="24"/>
          <w:szCs w:val="24"/>
          <w:lang w:val="ro-MD"/>
        </w:rPr>
        <w:t xml:space="preserve">Statistica datelor privind </w:t>
      </w:r>
      <w:r w:rsidR="00F14CEA">
        <w:rPr>
          <w:rFonts w:asciiTheme="majorHAnsi" w:hAnsiTheme="majorHAnsi" w:cstheme="majorHAnsi"/>
          <w:sz w:val="24"/>
          <w:szCs w:val="24"/>
          <w:lang w:val="ro-MD"/>
        </w:rPr>
        <w:t xml:space="preserve">beneficiarii stimulării fiscale la bugetul de stat, </w:t>
      </w:r>
      <w:r w:rsidR="00D321D6">
        <w:rPr>
          <w:rFonts w:asciiTheme="majorHAnsi" w:hAnsiTheme="majorHAnsi" w:cstheme="majorHAnsi"/>
          <w:sz w:val="24"/>
          <w:szCs w:val="24"/>
          <w:lang w:val="ro-MD"/>
        </w:rPr>
        <w:t xml:space="preserve">conform datelor prezentate de SFS, </w:t>
      </w:r>
      <w:r w:rsidRPr="00401691">
        <w:rPr>
          <w:rFonts w:asciiTheme="majorHAnsi" w:hAnsiTheme="majorHAnsi" w:cstheme="majorHAnsi"/>
          <w:sz w:val="24"/>
          <w:szCs w:val="24"/>
          <w:lang w:val="ro-MD"/>
        </w:rPr>
        <w:t xml:space="preserve">se prezintă în </w:t>
      </w:r>
      <w:r w:rsidR="002A0857">
        <w:rPr>
          <w:rFonts w:asciiTheme="majorHAnsi" w:hAnsiTheme="majorHAnsi" w:cstheme="majorHAnsi"/>
          <w:sz w:val="24"/>
          <w:szCs w:val="24"/>
          <w:lang w:val="ro-MD"/>
        </w:rPr>
        <w:t>T</w:t>
      </w:r>
      <w:r w:rsidRPr="00401691">
        <w:rPr>
          <w:rFonts w:asciiTheme="majorHAnsi" w:hAnsiTheme="majorHAnsi" w:cstheme="majorHAnsi"/>
          <w:sz w:val="24"/>
          <w:szCs w:val="24"/>
          <w:lang w:val="ro-MD"/>
        </w:rPr>
        <w:t>abel</w:t>
      </w:r>
      <w:r w:rsidR="00283B5B">
        <w:rPr>
          <w:rFonts w:asciiTheme="majorHAnsi" w:hAnsiTheme="majorHAnsi" w:cstheme="majorHAnsi"/>
          <w:sz w:val="24"/>
          <w:szCs w:val="24"/>
          <w:lang w:val="ro-MD"/>
        </w:rPr>
        <w:t>ul nr. 5.</w:t>
      </w:r>
    </w:p>
    <w:p w:rsidR="00CF6CD6" w:rsidRPr="00573060" w:rsidRDefault="00CF6CD6" w:rsidP="00844145">
      <w:pPr>
        <w:spacing w:after="0" w:line="276" w:lineRule="auto"/>
        <w:jc w:val="right"/>
        <w:rPr>
          <w:rFonts w:asciiTheme="majorHAnsi" w:hAnsiTheme="majorHAnsi" w:cstheme="majorHAnsi"/>
          <w:i/>
          <w:sz w:val="24"/>
          <w:szCs w:val="24"/>
          <w:lang w:val="ro-MD"/>
        </w:rPr>
      </w:pPr>
      <w:r w:rsidRPr="00573060">
        <w:rPr>
          <w:rFonts w:asciiTheme="majorHAnsi" w:hAnsiTheme="majorHAnsi" w:cstheme="majorHAnsi"/>
          <w:i/>
          <w:sz w:val="24"/>
          <w:szCs w:val="24"/>
          <w:lang w:val="ro-MD"/>
        </w:rPr>
        <w:t xml:space="preserve">Tabelul nr. </w:t>
      </w:r>
      <w:r w:rsidR="00D92CB2" w:rsidRPr="00573060">
        <w:rPr>
          <w:rFonts w:asciiTheme="majorHAnsi" w:hAnsiTheme="majorHAnsi" w:cstheme="majorHAnsi"/>
          <w:i/>
          <w:sz w:val="24"/>
          <w:szCs w:val="24"/>
          <w:lang w:val="ro-MD"/>
        </w:rPr>
        <w:t>5</w:t>
      </w:r>
    </w:p>
    <w:p w:rsidR="00283B5B" w:rsidRPr="00283B5B" w:rsidRDefault="00283B5B" w:rsidP="00283B5B">
      <w:pPr>
        <w:spacing w:after="0" w:line="276" w:lineRule="auto"/>
        <w:jc w:val="center"/>
        <w:rPr>
          <w:rFonts w:asciiTheme="majorHAnsi" w:hAnsiTheme="majorHAnsi" w:cstheme="majorHAnsi"/>
          <w:b/>
          <w:i/>
          <w:sz w:val="24"/>
          <w:szCs w:val="24"/>
          <w:lang w:val="ro-MD"/>
        </w:rPr>
      </w:pPr>
      <w:r w:rsidRPr="00283B5B">
        <w:rPr>
          <w:rFonts w:asciiTheme="majorHAnsi" w:hAnsiTheme="majorHAnsi" w:cstheme="majorHAnsi"/>
          <w:b/>
          <w:sz w:val="24"/>
          <w:szCs w:val="24"/>
          <w:lang w:val="ro-MD"/>
        </w:rPr>
        <w:t>Beneficiarii stimulării fiscale la bugetul de stat</w:t>
      </w:r>
    </w:p>
    <w:p w:rsidR="003012D0" w:rsidRPr="00573060" w:rsidRDefault="00966C07" w:rsidP="00844145">
      <w:pPr>
        <w:spacing w:after="0" w:line="276" w:lineRule="auto"/>
        <w:jc w:val="right"/>
        <w:rPr>
          <w:rFonts w:asciiTheme="majorHAnsi" w:hAnsiTheme="majorHAnsi" w:cstheme="majorHAnsi"/>
          <w:b/>
          <w:sz w:val="24"/>
          <w:szCs w:val="24"/>
          <w:lang w:val="ro-MD"/>
        </w:rPr>
      </w:pPr>
      <w:r w:rsidRPr="00573060">
        <w:rPr>
          <w:rFonts w:asciiTheme="majorHAnsi" w:hAnsiTheme="majorHAnsi" w:cstheme="majorHAnsi"/>
          <w:b/>
          <w:sz w:val="24"/>
          <w:szCs w:val="24"/>
          <w:lang w:val="ro-MD"/>
        </w:rPr>
        <w:t>(</w:t>
      </w:r>
      <w:r w:rsidR="00573FF2" w:rsidRPr="00573060">
        <w:rPr>
          <w:rFonts w:asciiTheme="majorHAnsi" w:hAnsiTheme="majorHAnsi" w:cstheme="majorHAnsi"/>
          <w:b/>
          <w:sz w:val="24"/>
          <w:szCs w:val="24"/>
          <w:lang w:val="ro-MD"/>
        </w:rPr>
        <w:t>m</w:t>
      </w:r>
      <w:r w:rsidR="003012D0" w:rsidRPr="00573060">
        <w:rPr>
          <w:rFonts w:asciiTheme="majorHAnsi" w:hAnsiTheme="majorHAnsi" w:cstheme="majorHAnsi"/>
          <w:b/>
          <w:sz w:val="24"/>
          <w:szCs w:val="24"/>
          <w:lang w:val="ro-MD"/>
        </w:rPr>
        <w:t>il</w:t>
      </w:r>
      <w:r w:rsidR="00573FF2" w:rsidRPr="00573060">
        <w:rPr>
          <w:rFonts w:asciiTheme="majorHAnsi" w:hAnsiTheme="majorHAnsi" w:cstheme="majorHAnsi"/>
          <w:b/>
          <w:sz w:val="24"/>
          <w:szCs w:val="24"/>
          <w:lang w:val="ro-MD"/>
        </w:rPr>
        <w:t>.</w:t>
      </w:r>
      <w:r w:rsidR="003012D0" w:rsidRPr="00573060">
        <w:rPr>
          <w:rFonts w:asciiTheme="majorHAnsi" w:hAnsiTheme="majorHAnsi" w:cstheme="majorHAnsi"/>
          <w:b/>
          <w:sz w:val="24"/>
          <w:szCs w:val="24"/>
          <w:lang w:val="ro-MD"/>
        </w:rPr>
        <w:t xml:space="preserve"> lei</w:t>
      </w:r>
      <w:r w:rsidRPr="00573060">
        <w:rPr>
          <w:rFonts w:asciiTheme="majorHAnsi" w:hAnsiTheme="majorHAnsi" w:cstheme="majorHAnsi"/>
          <w:b/>
          <w:sz w:val="24"/>
          <w:szCs w:val="24"/>
          <w:lang w:val="ro-MD"/>
        </w:rPr>
        <w:t>)</w:t>
      </w:r>
    </w:p>
    <w:tbl>
      <w:tblPr>
        <w:tblW w:w="9628" w:type="dxa"/>
        <w:jc w:val="center"/>
        <w:tblLook w:val="04A0" w:firstRow="1" w:lastRow="0" w:firstColumn="1" w:lastColumn="0" w:noHBand="0" w:noVBand="1"/>
      </w:tblPr>
      <w:tblGrid>
        <w:gridCol w:w="496"/>
        <w:gridCol w:w="1297"/>
        <w:gridCol w:w="1236"/>
        <w:gridCol w:w="1199"/>
        <w:gridCol w:w="1251"/>
        <w:gridCol w:w="819"/>
        <w:gridCol w:w="1132"/>
        <w:gridCol w:w="1215"/>
        <w:gridCol w:w="983"/>
      </w:tblGrid>
      <w:tr w:rsidR="003012D0" w:rsidRPr="00401691" w:rsidTr="00EB7445">
        <w:trPr>
          <w:trHeight w:val="288"/>
          <w:jc w:val="center"/>
        </w:trPr>
        <w:tc>
          <w:tcPr>
            <w:tcW w:w="496" w:type="dxa"/>
            <w:vMerge w:val="restart"/>
            <w:tcBorders>
              <w:top w:val="single" w:sz="4" w:space="0" w:color="auto"/>
              <w:left w:val="single" w:sz="4" w:space="0" w:color="auto"/>
              <w:bottom w:val="single" w:sz="4" w:space="0" w:color="000000"/>
              <w:right w:val="single" w:sz="4" w:space="0" w:color="auto"/>
            </w:tcBorders>
            <w:shd w:val="clear" w:color="auto" w:fill="E7E6E6" w:themeFill="background2"/>
            <w:vAlign w:val="center"/>
            <w:hideMark/>
          </w:tcPr>
          <w:p w:rsidR="003012D0" w:rsidRPr="00401691" w:rsidRDefault="003012D0" w:rsidP="00844145">
            <w:pPr>
              <w:spacing w:after="0" w:line="276" w:lineRule="auto"/>
              <w:jc w:val="center"/>
              <w:rPr>
                <w:rFonts w:asciiTheme="majorHAnsi" w:eastAsia="Times New Roman" w:hAnsiTheme="majorHAnsi" w:cstheme="majorHAnsi"/>
                <w:i/>
                <w:iCs/>
                <w:color w:val="000000"/>
                <w:sz w:val="20"/>
                <w:szCs w:val="20"/>
                <w:lang w:val="ro-MD"/>
              </w:rPr>
            </w:pPr>
            <w:r w:rsidRPr="00401691">
              <w:rPr>
                <w:rFonts w:asciiTheme="majorHAnsi" w:eastAsia="Times New Roman" w:hAnsiTheme="majorHAnsi" w:cstheme="majorHAnsi"/>
                <w:i/>
                <w:iCs/>
                <w:color w:val="000000"/>
                <w:sz w:val="20"/>
                <w:szCs w:val="20"/>
                <w:lang w:val="ro-MD"/>
              </w:rPr>
              <w:t>Nr.</w:t>
            </w:r>
            <w:r w:rsidR="002A0857">
              <w:rPr>
                <w:rFonts w:asciiTheme="majorHAnsi" w:eastAsia="Times New Roman" w:hAnsiTheme="majorHAnsi" w:cstheme="majorHAnsi"/>
                <w:i/>
                <w:iCs/>
                <w:color w:val="000000"/>
                <w:sz w:val="20"/>
                <w:szCs w:val="20"/>
                <w:lang w:val="ro-MD"/>
              </w:rPr>
              <w:t xml:space="preserve"> d/o</w:t>
            </w:r>
          </w:p>
        </w:tc>
        <w:tc>
          <w:tcPr>
            <w:tcW w:w="1297" w:type="dxa"/>
            <w:vMerge w:val="restart"/>
            <w:tcBorders>
              <w:top w:val="single" w:sz="4" w:space="0" w:color="auto"/>
              <w:left w:val="single" w:sz="4" w:space="0" w:color="auto"/>
              <w:bottom w:val="single" w:sz="4" w:space="0" w:color="000000"/>
              <w:right w:val="single" w:sz="4" w:space="0" w:color="auto"/>
            </w:tcBorders>
            <w:shd w:val="clear" w:color="auto" w:fill="E7E6E6" w:themeFill="background2"/>
            <w:vAlign w:val="center"/>
            <w:hideMark/>
          </w:tcPr>
          <w:p w:rsidR="003012D0" w:rsidRPr="00401691" w:rsidRDefault="003012D0" w:rsidP="00844145">
            <w:pPr>
              <w:spacing w:after="0" w:line="276" w:lineRule="auto"/>
              <w:jc w:val="center"/>
              <w:rPr>
                <w:rFonts w:asciiTheme="majorHAnsi" w:eastAsia="Times New Roman" w:hAnsiTheme="majorHAnsi" w:cstheme="majorHAnsi"/>
                <w:i/>
                <w:iCs/>
                <w:color w:val="000000"/>
                <w:sz w:val="20"/>
                <w:szCs w:val="20"/>
                <w:lang w:val="ro-MD"/>
              </w:rPr>
            </w:pPr>
            <w:r w:rsidRPr="00401691">
              <w:rPr>
                <w:rFonts w:asciiTheme="majorHAnsi" w:eastAsia="Times New Roman" w:hAnsiTheme="majorHAnsi" w:cstheme="majorHAnsi"/>
                <w:i/>
                <w:iCs/>
                <w:color w:val="000000"/>
                <w:sz w:val="20"/>
                <w:szCs w:val="20"/>
                <w:lang w:val="ro-MD"/>
              </w:rPr>
              <w:t>Tipuri de plăți</w:t>
            </w:r>
          </w:p>
        </w:tc>
        <w:tc>
          <w:tcPr>
            <w:tcW w:w="2435" w:type="dxa"/>
            <w:gridSpan w:val="2"/>
            <w:tcBorders>
              <w:top w:val="single" w:sz="4" w:space="0" w:color="auto"/>
              <w:left w:val="nil"/>
              <w:bottom w:val="single" w:sz="4" w:space="0" w:color="auto"/>
              <w:right w:val="single" w:sz="4" w:space="0" w:color="auto"/>
            </w:tcBorders>
            <w:shd w:val="clear" w:color="auto" w:fill="E7E6E6" w:themeFill="background2"/>
            <w:noWrap/>
            <w:vAlign w:val="bottom"/>
            <w:hideMark/>
          </w:tcPr>
          <w:p w:rsidR="003012D0" w:rsidRPr="00401691" w:rsidRDefault="003012D0" w:rsidP="00844145">
            <w:pPr>
              <w:spacing w:after="0" w:line="276" w:lineRule="auto"/>
              <w:jc w:val="center"/>
              <w:rPr>
                <w:rFonts w:asciiTheme="majorHAnsi" w:eastAsia="Times New Roman" w:hAnsiTheme="majorHAnsi" w:cstheme="majorHAnsi"/>
                <w:i/>
                <w:color w:val="000000"/>
                <w:sz w:val="20"/>
                <w:szCs w:val="20"/>
                <w:lang w:val="ro-MD"/>
              </w:rPr>
            </w:pPr>
            <w:r w:rsidRPr="00401691">
              <w:rPr>
                <w:rFonts w:asciiTheme="majorHAnsi" w:eastAsia="Times New Roman" w:hAnsiTheme="majorHAnsi" w:cstheme="majorHAnsi"/>
                <w:i/>
                <w:color w:val="000000"/>
                <w:sz w:val="20"/>
                <w:szCs w:val="20"/>
                <w:lang w:val="ro-MD"/>
              </w:rPr>
              <w:t>Contribuabili potențiali subiecți ai stimulării fiscale înregistrați la 17.08.</w:t>
            </w:r>
            <w:r w:rsidR="002A0857">
              <w:rPr>
                <w:rFonts w:asciiTheme="majorHAnsi" w:eastAsia="Times New Roman" w:hAnsiTheme="majorHAnsi" w:cstheme="majorHAnsi"/>
                <w:i/>
                <w:color w:val="000000"/>
                <w:sz w:val="20"/>
                <w:szCs w:val="20"/>
                <w:lang w:val="ro-MD"/>
              </w:rPr>
              <w:t>20</w:t>
            </w:r>
            <w:r w:rsidRPr="00401691">
              <w:rPr>
                <w:rFonts w:asciiTheme="majorHAnsi" w:eastAsia="Times New Roman" w:hAnsiTheme="majorHAnsi" w:cstheme="majorHAnsi"/>
                <w:i/>
                <w:color w:val="000000"/>
                <w:sz w:val="20"/>
                <w:szCs w:val="20"/>
                <w:lang w:val="ro-MD"/>
              </w:rPr>
              <w:t xml:space="preserve">18 </w:t>
            </w:r>
          </w:p>
        </w:tc>
        <w:tc>
          <w:tcPr>
            <w:tcW w:w="207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3012D0" w:rsidRPr="00401691" w:rsidRDefault="003012D0" w:rsidP="00844145">
            <w:pPr>
              <w:spacing w:after="0" w:line="276" w:lineRule="auto"/>
              <w:jc w:val="center"/>
              <w:rPr>
                <w:rFonts w:asciiTheme="majorHAnsi" w:eastAsia="Times New Roman" w:hAnsiTheme="majorHAnsi" w:cstheme="majorHAnsi"/>
                <w:i/>
                <w:iCs/>
                <w:color w:val="000000"/>
                <w:sz w:val="20"/>
                <w:szCs w:val="20"/>
                <w:lang w:val="ro-MD"/>
              </w:rPr>
            </w:pPr>
            <w:r w:rsidRPr="00401691">
              <w:rPr>
                <w:rFonts w:asciiTheme="majorHAnsi" w:eastAsia="Times New Roman" w:hAnsiTheme="majorHAnsi" w:cstheme="majorHAnsi"/>
                <w:i/>
                <w:iCs/>
                <w:color w:val="000000"/>
                <w:sz w:val="20"/>
                <w:szCs w:val="20"/>
                <w:lang w:val="ro-MD"/>
              </w:rPr>
              <w:t>Bene</w:t>
            </w:r>
            <w:r w:rsidR="00656EA5">
              <w:rPr>
                <w:rFonts w:asciiTheme="majorHAnsi" w:eastAsia="Times New Roman" w:hAnsiTheme="majorHAnsi" w:cstheme="majorHAnsi"/>
                <w:i/>
                <w:iCs/>
                <w:color w:val="000000"/>
                <w:sz w:val="20"/>
                <w:szCs w:val="20"/>
                <w:lang w:val="ro-MD"/>
              </w:rPr>
              <w:t>ficiari ai stimulării fiscale,</w:t>
            </w:r>
            <w:r w:rsidR="000B204E">
              <w:rPr>
                <w:rFonts w:asciiTheme="majorHAnsi" w:eastAsia="Times New Roman" w:hAnsiTheme="majorHAnsi" w:cstheme="majorHAnsi"/>
                <w:i/>
                <w:iCs/>
                <w:color w:val="000000"/>
                <w:sz w:val="20"/>
                <w:szCs w:val="20"/>
                <w:lang w:val="ro-MD"/>
              </w:rPr>
              <w:t xml:space="preserve"> sume</w:t>
            </w:r>
            <w:r w:rsidR="00656EA5">
              <w:rPr>
                <w:rFonts w:asciiTheme="majorHAnsi" w:eastAsia="Times New Roman" w:hAnsiTheme="majorHAnsi" w:cstheme="majorHAnsi"/>
                <w:i/>
                <w:iCs/>
                <w:color w:val="000000"/>
                <w:sz w:val="20"/>
                <w:szCs w:val="20"/>
                <w:lang w:val="ro-MD"/>
              </w:rPr>
              <w:t xml:space="preserve"> </w:t>
            </w:r>
            <w:r w:rsidRPr="00401691">
              <w:rPr>
                <w:rFonts w:asciiTheme="majorHAnsi" w:eastAsia="Times New Roman" w:hAnsiTheme="majorHAnsi" w:cstheme="majorHAnsi"/>
                <w:i/>
                <w:iCs/>
                <w:color w:val="000000"/>
                <w:sz w:val="20"/>
                <w:szCs w:val="20"/>
                <w:lang w:val="ro-MD"/>
              </w:rPr>
              <w:t>anu</w:t>
            </w:r>
            <w:r w:rsidRPr="000B204E">
              <w:rPr>
                <w:rFonts w:asciiTheme="majorHAnsi" w:eastAsia="Times New Roman" w:hAnsiTheme="majorHAnsi" w:cstheme="majorHAnsi"/>
                <w:i/>
                <w:iCs/>
                <w:color w:val="000000"/>
                <w:sz w:val="20"/>
                <w:szCs w:val="20"/>
                <w:lang w:val="ro-MD"/>
              </w:rPr>
              <w:t>lat</w:t>
            </w:r>
            <w:r w:rsidR="000B204E" w:rsidRPr="000B204E">
              <w:rPr>
                <w:rFonts w:asciiTheme="majorHAnsi" w:eastAsia="Times New Roman" w:hAnsiTheme="majorHAnsi" w:cstheme="majorHAnsi"/>
                <w:i/>
                <w:iCs/>
                <w:color w:val="000000"/>
                <w:sz w:val="20"/>
                <w:szCs w:val="20"/>
                <w:lang w:val="ro-MD"/>
              </w:rPr>
              <w:t>e</w:t>
            </w:r>
            <w:r w:rsidRPr="00401691">
              <w:rPr>
                <w:rFonts w:asciiTheme="majorHAnsi" w:eastAsia="Times New Roman" w:hAnsiTheme="majorHAnsi" w:cstheme="majorHAnsi"/>
                <w:i/>
                <w:iCs/>
                <w:color w:val="000000"/>
                <w:sz w:val="20"/>
                <w:szCs w:val="20"/>
                <w:lang w:val="ro-MD"/>
              </w:rPr>
              <w:t xml:space="preserve"> la 21.12.2018</w:t>
            </w:r>
          </w:p>
        </w:tc>
        <w:tc>
          <w:tcPr>
            <w:tcW w:w="1132" w:type="dxa"/>
            <w:vMerge w:val="restart"/>
            <w:tcBorders>
              <w:top w:val="single" w:sz="4" w:space="0" w:color="auto"/>
              <w:left w:val="nil"/>
              <w:right w:val="single" w:sz="4" w:space="0" w:color="auto"/>
            </w:tcBorders>
            <w:shd w:val="clear" w:color="auto" w:fill="E7E6E6" w:themeFill="background2"/>
          </w:tcPr>
          <w:p w:rsidR="003012D0" w:rsidRPr="00401691" w:rsidRDefault="003012D0" w:rsidP="00844145">
            <w:pPr>
              <w:spacing w:after="0" w:line="276" w:lineRule="auto"/>
              <w:jc w:val="center"/>
              <w:rPr>
                <w:rFonts w:asciiTheme="majorHAnsi" w:eastAsia="Times New Roman" w:hAnsiTheme="majorHAnsi" w:cstheme="majorHAnsi"/>
                <w:color w:val="000000"/>
                <w:sz w:val="20"/>
                <w:szCs w:val="20"/>
                <w:lang w:val="ro-MD"/>
              </w:rPr>
            </w:pPr>
            <w:r w:rsidRPr="00401691">
              <w:rPr>
                <w:rFonts w:asciiTheme="majorHAnsi" w:eastAsia="Times New Roman" w:hAnsiTheme="majorHAnsi" w:cstheme="majorHAnsi"/>
                <w:color w:val="000000"/>
                <w:sz w:val="20"/>
                <w:szCs w:val="20"/>
                <w:lang w:val="ro-MD"/>
              </w:rPr>
              <w:t>% de beneficiere a stimulării fiscale</w:t>
            </w:r>
          </w:p>
        </w:tc>
        <w:tc>
          <w:tcPr>
            <w:tcW w:w="2198"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3012D0" w:rsidRPr="00401691" w:rsidRDefault="003012D0" w:rsidP="00844145">
            <w:pPr>
              <w:spacing w:after="0" w:line="276" w:lineRule="auto"/>
              <w:jc w:val="center"/>
              <w:rPr>
                <w:rFonts w:asciiTheme="majorHAnsi" w:eastAsia="Times New Roman" w:hAnsiTheme="majorHAnsi" w:cstheme="majorHAnsi"/>
                <w:color w:val="000000"/>
                <w:sz w:val="20"/>
                <w:szCs w:val="20"/>
                <w:lang w:val="ro-MD"/>
              </w:rPr>
            </w:pPr>
            <w:r w:rsidRPr="00401691">
              <w:rPr>
                <w:rFonts w:asciiTheme="majorHAnsi" w:eastAsia="Times New Roman" w:hAnsiTheme="majorHAnsi" w:cstheme="majorHAnsi"/>
                <w:color w:val="000000"/>
                <w:sz w:val="20"/>
                <w:szCs w:val="20"/>
                <w:lang w:val="ro-MD"/>
              </w:rPr>
              <w:t>Achitări la plăți</w:t>
            </w:r>
            <w:r w:rsidR="002A0857">
              <w:rPr>
                <w:rFonts w:asciiTheme="majorHAnsi" w:eastAsia="Times New Roman" w:hAnsiTheme="majorHAnsi" w:cstheme="majorHAnsi"/>
                <w:color w:val="000000"/>
                <w:sz w:val="20"/>
                <w:szCs w:val="20"/>
                <w:lang w:val="ro-MD"/>
              </w:rPr>
              <w:t>le</w:t>
            </w:r>
            <w:r w:rsidRPr="00401691">
              <w:rPr>
                <w:rFonts w:asciiTheme="majorHAnsi" w:eastAsia="Times New Roman" w:hAnsiTheme="majorHAnsi" w:cstheme="majorHAnsi"/>
                <w:color w:val="000000"/>
                <w:sz w:val="20"/>
                <w:szCs w:val="20"/>
                <w:lang w:val="ro-MD"/>
              </w:rPr>
              <w:t xml:space="preserve"> de bază 18.08</w:t>
            </w:r>
            <w:r w:rsidR="002A0857">
              <w:rPr>
                <w:rFonts w:asciiTheme="majorHAnsi" w:eastAsia="Times New Roman" w:hAnsiTheme="majorHAnsi" w:cstheme="majorHAnsi"/>
                <w:color w:val="000000"/>
                <w:sz w:val="20"/>
                <w:szCs w:val="20"/>
                <w:lang w:val="ro-MD"/>
              </w:rPr>
              <w:t>.2020</w:t>
            </w:r>
            <w:r w:rsidRPr="00401691">
              <w:rPr>
                <w:rFonts w:asciiTheme="majorHAnsi" w:eastAsia="Times New Roman" w:hAnsiTheme="majorHAnsi" w:cstheme="majorHAnsi"/>
                <w:color w:val="000000"/>
                <w:sz w:val="20"/>
                <w:szCs w:val="20"/>
                <w:lang w:val="ro-MD"/>
              </w:rPr>
              <w:t>-20.12.2020</w:t>
            </w:r>
          </w:p>
        </w:tc>
      </w:tr>
      <w:tr w:rsidR="003012D0" w:rsidRPr="00401691" w:rsidTr="00EB7445">
        <w:trPr>
          <w:trHeight w:val="395"/>
          <w:jc w:val="center"/>
        </w:trPr>
        <w:tc>
          <w:tcPr>
            <w:tcW w:w="496" w:type="dxa"/>
            <w:vMerge/>
            <w:tcBorders>
              <w:top w:val="single" w:sz="4" w:space="0" w:color="auto"/>
              <w:left w:val="single" w:sz="4" w:space="0" w:color="auto"/>
              <w:bottom w:val="single" w:sz="4" w:space="0" w:color="000000"/>
              <w:right w:val="single" w:sz="4" w:space="0" w:color="auto"/>
            </w:tcBorders>
            <w:shd w:val="clear" w:color="auto" w:fill="E7E6E6" w:themeFill="background2"/>
            <w:vAlign w:val="center"/>
            <w:hideMark/>
          </w:tcPr>
          <w:p w:rsidR="003012D0" w:rsidRPr="00401691" w:rsidRDefault="003012D0" w:rsidP="00844145">
            <w:pPr>
              <w:spacing w:after="0" w:line="276" w:lineRule="auto"/>
              <w:rPr>
                <w:rFonts w:asciiTheme="majorHAnsi" w:eastAsia="Times New Roman" w:hAnsiTheme="majorHAnsi" w:cstheme="majorHAnsi"/>
                <w:i/>
                <w:iCs/>
                <w:color w:val="000000"/>
                <w:sz w:val="20"/>
                <w:szCs w:val="20"/>
                <w:lang w:val="ro-MD"/>
              </w:rPr>
            </w:pPr>
          </w:p>
        </w:tc>
        <w:tc>
          <w:tcPr>
            <w:tcW w:w="1297" w:type="dxa"/>
            <w:vMerge/>
            <w:tcBorders>
              <w:top w:val="single" w:sz="4" w:space="0" w:color="auto"/>
              <w:left w:val="single" w:sz="4" w:space="0" w:color="auto"/>
              <w:bottom w:val="single" w:sz="4" w:space="0" w:color="000000"/>
              <w:right w:val="single" w:sz="4" w:space="0" w:color="auto"/>
            </w:tcBorders>
            <w:shd w:val="clear" w:color="auto" w:fill="E7E6E6" w:themeFill="background2"/>
            <w:vAlign w:val="center"/>
            <w:hideMark/>
          </w:tcPr>
          <w:p w:rsidR="003012D0" w:rsidRPr="00401691" w:rsidRDefault="003012D0" w:rsidP="00844145">
            <w:pPr>
              <w:spacing w:after="0" w:line="276" w:lineRule="auto"/>
              <w:rPr>
                <w:rFonts w:asciiTheme="majorHAnsi" w:eastAsia="Times New Roman" w:hAnsiTheme="majorHAnsi" w:cstheme="majorHAnsi"/>
                <w:i/>
                <w:iCs/>
                <w:color w:val="000000"/>
                <w:sz w:val="20"/>
                <w:szCs w:val="20"/>
                <w:lang w:val="ro-MD"/>
              </w:rPr>
            </w:pPr>
          </w:p>
        </w:tc>
        <w:tc>
          <w:tcPr>
            <w:tcW w:w="1236" w:type="dxa"/>
            <w:tcBorders>
              <w:top w:val="nil"/>
              <w:left w:val="nil"/>
              <w:bottom w:val="single" w:sz="4" w:space="0" w:color="auto"/>
              <w:right w:val="single" w:sz="4" w:space="0" w:color="auto"/>
            </w:tcBorders>
            <w:shd w:val="clear" w:color="auto" w:fill="E7E6E6" w:themeFill="background2"/>
            <w:vAlign w:val="center"/>
            <w:hideMark/>
          </w:tcPr>
          <w:p w:rsidR="003012D0" w:rsidRPr="00401691" w:rsidRDefault="003012D0" w:rsidP="00844145">
            <w:pPr>
              <w:spacing w:after="0" w:line="276" w:lineRule="auto"/>
              <w:jc w:val="center"/>
              <w:rPr>
                <w:rFonts w:asciiTheme="majorHAnsi" w:eastAsia="Times New Roman" w:hAnsiTheme="majorHAnsi" w:cstheme="majorHAnsi"/>
                <w:i/>
                <w:iCs/>
                <w:color w:val="000000"/>
                <w:sz w:val="20"/>
                <w:szCs w:val="20"/>
                <w:lang w:val="ro-MD"/>
              </w:rPr>
            </w:pPr>
            <w:r w:rsidRPr="00401691">
              <w:rPr>
                <w:rFonts w:asciiTheme="majorHAnsi" w:eastAsia="Times New Roman" w:hAnsiTheme="majorHAnsi" w:cstheme="majorHAnsi"/>
                <w:i/>
                <w:iCs/>
                <w:color w:val="000000"/>
                <w:sz w:val="20"/>
                <w:szCs w:val="20"/>
                <w:lang w:val="ro-MD"/>
              </w:rPr>
              <w:t>nr. contribuabili</w:t>
            </w:r>
          </w:p>
        </w:tc>
        <w:tc>
          <w:tcPr>
            <w:tcW w:w="1199" w:type="dxa"/>
            <w:tcBorders>
              <w:top w:val="nil"/>
              <w:left w:val="nil"/>
              <w:bottom w:val="single" w:sz="4" w:space="0" w:color="auto"/>
              <w:right w:val="single" w:sz="4" w:space="0" w:color="auto"/>
            </w:tcBorders>
            <w:shd w:val="clear" w:color="auto" w:fill="E7E6E6" w:themeFill="background2"/>
            <w:vAlign w:val="center"/>
            <w:hideMark/>
          </w:tcPr>
          <w:p w:rsidR="003012D0" w:rsidRPr="00401691" w:rsidRDefault="003012D0" w:rsidP="00844145">
            <w:pPr>
              <w:spacing w:after="0" w:line="276" w:lineRule="auto"/>
              <w:jc w:val="center"/>
              <w:rPr>
                <w:rFonts w:asciiTheme="majorHAnsi" w:eastAsia="Times New Roman" w:hAnsiTheme="majorHAnsi" w:cstheme="majorHAnsi"/>
                <w:i/>
                <w:iCs/>
                <w:color w:val="000000"/>
                <w:sz w:val="20"/>
                <w:szCs w:val="20"/>
                <w:lang w:val="ro-MD"/>
              </w:rPr>
            </w:pPr>
            <w:r w:rsidRPr="00401691">
              <w:rPr>
                <w:rFonts w:asciiTheme="majorHAnsi" w:eastAsia="Times New Roman" w:hAnsiTheme="majorHAnsi" w:cstheme="majorHAnsi"/>
                <w:i/>
                <w:iCs/>
                <w:color w:val="000000"/>
                <w:sz w:val="20"/>
                <w:szCs w:val="20"/>
                <w:lang w:val="ro-MD"/>
              </w:rPr>
              <w:t>suma</w:t>
            </w:r>
          </w:p>
        </w:tc>
        <w:tc>
          <w:tcPr>
            <w:tcW w:w="12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3012D0" w:rsidRPr="00401691" w:rsidRDefault="003012D0" w:rsidP="00844145">
            <w:pPr>
              <w:spacing w:after="0" w:line="276" w:lineRule="auto"/>
              <w:jc w:val="center"/>
              <w:rPr>
                <w:rFonts w:asciiTheme="majorHAnsi" w:eastAsia="Times New Roman" w:hAnsiTheme="majorHAnsi" w:cstheme="majorHAnsi"/>
                <w:i/>
                <w:iCs/>
                <w:color w:val="000000"/>
                <w:sz w:val="20"/>
                <w:szCs w:val="20"/>
                <w:lang w:val="ro-MD"/>
              </w:rPr>
            </w:pPr>
            <w:r w:rsidRPr="00401691">
              <w:rPr>
                <w:rFonts w:asciiTheme="majorHAnsi" w:eastAsia="Times New Roman" w:hAnsiTheme="majorHAnsi" w:cstheme="majorHAnsi"/>
                <w:i/>
                <w:iCs/>
                <w:color w:val="000000"/>
                <w:sz w:val="20"/>
                <w:szCs w:val="20"/>
                <w:lang w:val="ro-MD"/>
              </w:rPr>
              <w:t>nr. contribuabili</w:t>
            </w:r>
          </w:p>
        </w:tc>
        <w:tc>
          <w:tcPr>
            <w:tcW w:w="81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3012D0" w:rsidRPr="00401691" w:rsidRDefault="003012D0" w:rsidP="00844145">
            <w:pPr>
              <w:spacing w:after="0" w:line="276" w:lineRule="auto"/>
              <w:jc w:val="center"/>
              <w:rPr>
                <w:rFonts w:asciiTheme="majorHAnsi" w:eastAsia="Times New Roman" w:hAnsiTheme="majorHAnsi" w:cstheme="majorHAnsi"/>
                <w:i/>
                <w:iCs/>
                <w:color w:val="000000"/>
                <w:sz w:val="20"/>
                <w:szCs w:val="20"/>
                <w:lang w:val="ro-MD"/>
              </w:rPr>
            </w:pPr>
            <w:r w:rsidRPr="00401691">
              <w:rPr>
                <w:rFonts w:asciiTheme="majorHAnsi" w:eastAsia="Times New Roman" w:hAnsiTheme="majorHAnsi" w:cstheme="majorHAnsi"/>
                <w:i/>
                <w:iCs/>
                <w:color w:val="000000"/>
                <w:sz w:val="20"/>
                <w:szCs w:val="20"/>
                <w:lang w:val="ro-MD"/>
              </w:rPr>
              <w:t>suma</w:t>
            </w:r>
          </w:p>
        </w:tc>
        <w:tc>
          <w:tcPr>
            <w:tcW w:w="1132" w:type="dxa"/>
            <w:vMerge/>
            <w:tcBorders>
              <w:left w:val="nil"/>
              <w:bottom w:val="single" w:sz="4" w:space="0" w:color="auto"/>
              <w:right w:val="single" w:sz="4" w:space="0" w:color="auto"/>
            </w:tcBorders>
            <w:shd w:val="clear" w:color="auto" w:fill="E7E6E6" w:themeFill="background2"/>
          </w:tcPr>
          <w:p w:rsidR="003012D0" w:rsidRPr="00401691" w:rsidRDefault="003012D0" w:rsidP="00844145">
            <w:pPr>
              <w:spacing w:after="0" w:line="276" w:lineRule="auto"/>
              <w:jc w:val="center"/>
              <w:rPr>
                <w:rFonts w:asciiTheme="majorHAnsi" w:eastAsia="Times New Roman" w:hAnsiTheme="majorHAnsi" w:cstheme="majorHAnsi"/>
                <w:i/>
                <w:iCs/>
                <w:color w:val="000000"/>
                <w:sz w:val="20"/>
                <w:szCs w:val="20"/>
                <w:lang w:val="ro-MD"/>
              </w:rPr>
            </w:pPr>
          </w:p>
        </w:tc>
        <w:tc>
          <w:tcPr>
            <w:tcW w:w="1215" w:type="dxa"/>
            <w:tcBorders>
              <w:top w:val="nil"/>
              <w:left w:val="single" w:sz="4" w:space="0" w:color="auto"/>
              <w:bottom w:val="single" w:sz="4" w:space="0" w:color="auto"/>
              <w:right w:val="single" w:sz="4" w:space="0" w:color="auto"/>
            </w:tcBorders>
            <w:shd w:val="clear" w:color="auto" w:fill="E7E6E6" w:themeFill="background2"/>
            <w:vAlign w:val="center"/>
            <w:hideMark/>
          </w:tcPr>
          <w:p w:rsidR="003012D0" w:rsidRPr="00401691" w:rsidRDefault="003012D0" w:rsidP="00844145">
            <w:pPr>
              <w:spacing w:after="0" w:line="276" w:lineRule="auto"/>
              <w:jc w:val="center"/>
              <w:rPr>
                <w:rFonts w:asciiTheme="majorHAnsi" w:eastAsia="Times New Roman" w:hAnsiTheme="majorHAnsi" w:cstheme="majorHAnsi"/>
                <w:i/>
                <w:iCs/>
                <w:color w:val="000000"/>
                <w:sz w:val="20"/>
                <w:szCs w:val="20"/>
                <w:lang w:val="ro-MD"/>
              </w:rPr>
            </w:pPr>
            <w:r w:rsidRPr="00401691">
              <w:rPr>
                <w:rFonts w:asciiTheme="majorHAnsi" w:eastAsia="Times New Roman" w:hAnsiTheme="majorHAnsi" w:cstheme="majorHAnsi"/>
                <w:i/>
                <w:iCs/>
                <w:color w:val="000000"/>
                <w:sz w:val="20"/>
                <w:szCs w:val="20"/>
                <w:lang w:val="ro-MD"/>
              </w:rPr>
              <w:t>nr. contribuabil</w:t>
            </w:r>
          </w:p>
        </w:tc>
        <w:tc>
          <w:tcPr>
            <w:tcW w:w="983" w:type="dxa"/>
            <w:tcBorders>
              <w:top w:val="nil"/>
              <w:left w:val="nil"/>
              <w:bottom w:val="single" w:sz="4" w:space="0" w:color="auto"/>
              <w:right w:val="single" w:sz="4" w:space="0" w:color="auto"/>
            </w:tcBorders>
            <w:shd w:val="clear" w:color="auto" w:fill="E7E6E6" w:themeFill="background2"/>
            <w:vAlign w:val="center"/>
            <w:hideMark/>
          </w:tcPr>
          <w:p w:rsidR="003012D0" w:rsidRPr="00401691" w:rsidRDefault="002A0857" w:rsidP="00844145">
            <w:pPr>
              <w:spacing w:after="0" w:line="276" w:lineRule="auto"/>
              <w:jc w:val="center"/>
              <w:rPr>
                <w:rFonts w:asciiTheme="majorHAnsi" w:eastAsia="Times New Roman" w:hAnsiTheme="majorHAnsi" w:cstheme="majorHAnsi"/>
                <w:i/>
                <w:iCs/>
                <w:color w:val="000000"/>
                <w:sz w:val="20"/>
                <w:szCs w:val="20"/>
                <w:lang w:val="ro-MD"/>
              </w:rPr>
            </w:pPr>
            <w:r>
              <w:rPr>
                <w:rFonts w:asciiTheme="majorHAnsi" w:eastAsia="Times New Roman" w:hAnsiTheme="majorHAnsi" w:cstheme="majorHAnsi"/>
                <w:i/>
                <w:iCs/>
                <w:color w:val="000000"/>
                <w:sz w:val="20"/>
                <w:szCs w:val="20"/>
                <w:lang w:val="ro-MD"/>
              </w:rPr>
              <w:t>s</w:t>
            </w:r>
            <w:r w:rsidR="003012D0" w:rsidRPr="00401691">
              <w:rPr>
                <w:rFonts w:asciiTheme="majorHAnsi" w:eastAsia="Times New Roman" w:hAnsiTheme="majorHAnsi" w:cstheme="majorHAnsi"/>
                <w:i/>
                <w:iCs/>
                <w:color w:val="000000"/>
                <w:sz w:val="20"/>
                <w:szCs w:val="20"/>
                <w:lang w:val="ro-MD"/>
              </w:rPr>
              <w:t>uma</w:t>
            </w:r>
          </w:p>
        </w:tc>
      </w:tr>
      <w:tr w:rsidR="003012D0" w:rsidRPr="00401691" w:rsidTr="00EB7445">
        <w:trPr>
          <w:trHeight w:val="58"/>
          <w:jc w:val="center"/>
        </w:trPr>
        <w:tc>
          <w:tcPr>
            <w:tcW w:w="496" w:type="dxa"/>
            <w:tcBorders>
              <w:top w:val="single" w:sz="4" w:space="0" w:color="auto"/>
              <w:left w:val="single" w:sz="4" w:space="0" w:color="auto"/>
              <w:bottom w:val="single" w:sz="4" w:space="0" w:color="000000"/>
              <w:right w:val="single" w:sz="4" w:space="0" w:color="auto"/>
            </w:tcBorders>
            <w:shd w:val="clear" w:color="auto" w:fill="D0CECE" w:themeFill="background2" w:themeFillShade="E6"/>
            <w:vAlign w:val="center"/>
          </w:tcPr>
          <w:p w:rsidR="003012D0" w:rsidRPr="00401691" w:rsidRDefault="003012D0" w:rsidP="00844145">
            <w:pPr>
              <w:spacing w:after="0" w:line="276" w:lineRule="auto"/>
              <w:rPr>
                <w:rFonts w:asciiTheme="majorHAnsi" w:eastAsia="Times New Roman" w:hAnsiTheme="majorHAnsi" w:cstheme="majorHAnsi"/>
                <w:i/>
                <w:iCs/>
                <w:color w:val="000000"/>
                <w:sz w:val="20"/>
                <w:szCs w:val="20"/>
                <w:lang w:val="ro-MD"/>
              </w:rPr>
            </w:pPr>
            <w:r w:rsidRPr="00401691">
              <w:rPr>
                <w:rFonts w:asciiTheme="majorHAnsi" w:eastAsia="Times New Roman" w:hAnsiTheme="majorHAnsi" w:cstheme="majorHAnsi"/>
                <w:i/>
                <w:iCs/>
                <w:color w:val="000000"/>
                <w:sz w:val="20"/>
                <w:szCs w:val="20"/>
                <w:lang w:val="ro-MD"/>
              </w:rPr>
              <w:t>*</w:t>
            </w:r>
          </w:p>
        </w:tc>
        <w:tc>
          <w:tcPr>
            <w:tcW w:w="1297" w:type="dxa"/>
            <w:tcBorders>
              <w:top w:val="single" w:sz="4" w:space="0" w:color="auto"/>
              <w:left w:val="single" w:sz="4" w:space="0" w:color="auto"/>
              <w:bottom w:val="single" w:sz="4" w:space="0" w:color="000000"/>
              <w:right w:val="single" w:sz="4" w:space="0" w:color="auto"/>
            </w:tcBorders>
            <w:shd w:val="clear" w:color="auto" w:fill="D0CECE" w:themeFill="background2" w:themeFillShade="E6"/>
            <w:vAlign w:val="center"/>
          </w:tcPr>
          <w:p w:rsidR="003012D0" w:rsidRPr="00401691" w:rsidRDefault="003012D0" w:rsidP="00844145">
            <w:pPr>
              <w:spacing w:after="0" w:line="276" w:lineRule="auto"/>
              <w:rPr>
                <w:rFonts w:asciiTheme="majorHAnsi" w:eastAsia="Times New Roman" w:hAnsiTheme="majorHAnsi" w:cstheme="majorHAnsi"/>
                <w:i/>
                <w:iCs/>
                <w:color w:val="000000"/>
                <w:sz w:val="20"/>
                <w:szCs w:val="20"/>
                <w:lang w:val="ro-MD"/>
              </w:rPr>
            </w:pPr>
            <w:r w:rsidRPr="00401691">
              <w:rPr>
                <w:rFonts w:asciiTheme="majorHAnsi" w:eastAsia="Times New Roman" w:hAnsiTheme="majorHAnsi" w:cstheme="majorHAnsi"/>
                <w:i/>
                <w:iCs/>
                <w:color w:val="000000"/>
                <w:sz w:val="20"/>
                <w:szCs w:val="20"/>
                <w:lang w:val="ro-MD"/>
              </w:rPr>
              <w:t>1</w:t>
            </w:r>
          </w:p>
        </w:tc>
        <w:tc>
          <w:tcPr>
            <w:tcW w:w="1236" w:type="dxa"/>
            <w:tcBorders>
              <w:top w:val="nil"/>
              <w:left w:val="nil"/>
              <w:bottom w:val="single" w:sz="4" w:space="0" w:color="auto"/>
              <w:right w:val="single" w:sz="4" w:space="0" w:color="auto"/>
            </w:tcBorders>
            <w:shd w:val="clear" w:color="auto" w:fill="D0CECE" w:themeFill="background2" w:themeFillShade="E6"/>
            <w:vAlign w:val="center"/>
          </w:tcPr>
          <w:p w:rsidR="003012D0" w:rsidRPr="00401691" w:rsidRDefault="003012D0" w:rsidP="00844145">
            <w:pPr>
              <w:spacing w:after="0" w:line="276" w:lineRule="auto"/>
              <w:jc w:val="center"/>
              <w:rPr>
                <w:rFonts w:asciiTheme="majorHAnsi" w:eastAsia="Times New Roman" w:hAnsiTheme="majorHAnsi" w:cstheme="majorHAnsi"/>
                <w:i/>
                <w:iCs/>
                <w:color w:val="000000"/>
                <w:sz w:val="20"/>
                <w:szCs w:val="20"/>
                <w:lang w:val="ro-MD"/>
              </w:rPr>
            </w:pPr>
            <w:r w:rsidRPr="00401691">
              <w:rPr>
                <w:rFonts w:asciiTheme="majorHAnsi" w:eastAsia="Times New Roman" w:hAnsiTheme="majorHAnsi" w:cstheme="majorHAnsi"/>
                <w:i/>
                <w:iCs/>
                <w:color w:val="000000"/>
                <w:sz w:val="20"/>
                <w:szCs w:val="20"/>
                <w:lang w:val="ro-MD"/>
              </w:rPr>
              <w:t>2</w:t>
            </w:r>
          </w:p>
        </w:tc>
        <w:tc>
          <w:tcPr>
            <w:tcW w:w="1199" w:type="dxa"/>
            <w:tcBorders>
              <w:top w:val="nil"/>
              <w:left w:val="nil"/>
              <w:bottom w:val="single" w:sz="4" w:space="0" w:color="auto"/>
              <w:right w:val="single" w:sz="4" w:space="0" w:color="auto"/>
            </w:tcBorders>
            <w:shd w:val="clear" w:color="auto" w:fill="D0CECE" w:themeFill="background2" w:themeFillShade="E6"/>
            <w:vAlign w:val="center"/>
          </w:tcPr>
          <w:p w:rsidR="003012D0" w:rsidRPr="00401691" w:rsidRDefault="003012D0" w:rsidP="00844145">
            <w:pPr>
              <w:spacing w:after="0" w:line="276" w:lineRule="auto"/>
              <w:jc w:val="center"/>
              <w:rPr>
                <w:rFonts w:asciiTheme="majorHAnsi" w:eastAsia="Times New Roman" w:hAnsiTheme="majorHAnsi" w:cstheme="majorHAnsi"/>
                <w:i/>
                <w:iCs/>
                <w:color w:val="000000"/>
                <w:sz w:val="20"/>
                <w:szCs w:val="20"/>
                <w:lang w:val="ro-MD"/>
              </w:rPr>
            </w:pPr>
            <w:r w:rsidRPr="00401691">
              <w:rPr>
                <w:rFonts w:asciiTheme="majorHAnsi" w:eastAsia="Times New Roman" w:hAnsiTheme="majorHAnsi" w:cstheme="majorHAnsi"/>
                <w:i/>
                <w:iCs/>
                <w:color w:val="000000"/>
                <w:sz w:val="20"/>
                <w:szCs w:val="20"/>
                <w:lang w:val="ro-MD"/>
              </w:rPr>
              <w:t>3</w:t>
            </w:r>
          </w:p>
        </w:tc>
        <w:tc>
          <w:tcPr>
            <w:tcW w:w="125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3012D0" w:rsidRPr="00401691" w:rsidRDefault="003012D0" w:rsidP="00844145">
            <w:pPr>
              <w:spacing w:after="0" w:line="276" w:lineRule="auto"/>
              <w:jc w:val="center"/>
              <w:rPr>
                <w:rFonts w:asciiTheme="majorHAnsi" w:eastAsia="Times New Roman" w:hAnsiTheme="majorHAnsi" w:cstheme="majorHAnsi"/>
                <w:i/>
                <w:iCs/>
                <w:color w:val="000000"/>
                <w:sz w:val="20"/>
                <w:szCs w:val="20"/>
                <w:lang w:val="ro-MD"/>
              </w:rPr>
            </w:pPr>
            <w:r w:rsidRPr="00401691">
              <w:rPr>
                <w:rFonts w:asciiTheme="majorHAnsi" w:eastAsia="Times New Roman" w:hAnsiTheme="majorHAnsi" w:cstheme="majorHAnsi"/>
                <w:i/>
                <w:iCs/>
                <w:color w:val="000000"/>
                <w:sz w:val="20"/>
                <w:szCs w:val="20"/>
                <w:lang w:val="ro-MD"/>
              </w:rPr>
              <w:t>4</w:t>
            </w:r>
          </w:p>
        </w:tc>
        <w:tc>
          <w:tcPr>
            <w:tcW w:w="8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3012D0" w:rsidRPr="00401691" w:rsidRDefault="003012D0" w:rsidP="00844145">
            <w:pPr>
              <w:spacing w:after="0" w:line="276" w:lineRule="auto"/>
              <w:jc w:val="center"/>
              <w:rPr>
                <w:rFonts w:asciiTheme="majorHAnsi" w:eastAsia="Times New Roman" w:hAnsiTheme="majorHAnsi" w:cstheme="majorHAnsi"/>
                <w:i/>
                <w:iCs/>
                <w:color w:val="000000"/>
                <w:sz w:val="20"/>
                <w:szCs w:val="20"/>
                <w:lang w:val="ro-MD"/>
              </w:rPr>
            </w:pPr>
            <w:r w:rsidRPr="00401691">
              <w:rPr>
                <w:rFonts w:asciiTheme="majorHAnsi" w:eastAsia="Times New Roman" w:hAnsiTheme="majorHAnsi" w:cstheme="majorHAnsi"/>
                <w:i/>
                <w:iCs/>
                <w:color w:val="000000"/>
                <w:sz w:val="20"/>
                <w:szCs w:val="20"/>
                <w:lang w:val="ro-MD"/>
              </w:rPr>
              <w:t>5</w:t>
            </w:r>
          </w:p>
        </w:tc>
        <w:tc>
          <w:tcPr>
            <w:tcW w:w="1132" w:type="dxa"/>
            <w:tcBorders>
              <w:left w:val="nil"/>
              <w:bottom w:val="single" w:sz="4" w:space="0" w:color="auto"/>
              <w:right w:val="single" w:sz="4" w:space="0" w:color="auto"/>
            </w:tcBorders>
            <w:shd w:val="clear" w:color="auto" w:fill="D0CECE" w:themeFill="background2" w:themeFillShade="E6"/>
          </w:tcPr>
          <w:p w:rsidR="003012D0" w:rsidRPr="00401691" w:rsidRDefault="003012D0" w:rsidP="00844145">
            <w:pPr>
              <w:spacing w:after="0" w:line="276" w:lineRule="auto"/>
              <w:jc w:val="center"/>
              <w:rPr>
                <w:rFonts w:asciiTheme="majorHAnsi" w:eastAsia="Times New Roman" w:hAnsiTheme="majorHAnsi" w:cstheme="majorHAnsi"/>
                <w:i/>
                <w:iCs/>
                <w:color w:val="000000"/>
                <w:sz w:val="20"/>
                <w:szCs w:val="20"/>
                <w:lang w:val="ro-MD"/>
              </w:rPr>
            </w:pPr>
            <w:r w:rsidRPr="00401691">
              <w:rPr>
                <w:rFonts w:asciiTheme="majorHAnsi" w:eastAsia="Times New Roman" w:hAnsiTheme="majorHAnsi" w:cstheme="majorHAnsi"/>
                <w:i/>
                <w:iCs/>
                <w:color w:val="000000"/>
                <w:sz w:val="20"/>
                <w:szCs w:val="20"/>
                <w:lang w:val="ro-MD"/>
              </w:rPr>
              <w:t>6</w:t>
            </w:r>
          </w:p>
        </w:tc>
        <w:tc>
          <w:tcPr>
            <w:tcW w:w="1215" w:type="dxa"/>
            <w:tcBorders>
              <w:top w:val="nil"/>
              <w:left w:val="single" w:sz="4" w:space="0" w:color="auto"/>
              <w:bottom w:val="single" w:sz="4" w:space="0" w:color="auto"/>
              <w:right w:val="single" w:sz="4" w:space="0" w:color="auto"/>
            </w:tcBorders>
            <w:shd w:val="clear" w:color="auto" w:fill="D0CECE" w:themeFill="background2" w:themeFillShade="E6"/>
            <w:vAlign w:val="center"/>
          </w:tcPr>
          <w:p w:rsidR="003012D0" w:rsidRPr="00401691" w:rsidRDefault="003012D0" w:rsidP="00844145">
            <w:pPr>
              <w:spacing w:after="0" w:line="276" w:lineRule="auto"/>
              <w:jc w:val="center"/>
              <w:rPr>
                <w:rFonts w:asciiTheme="majorHAnsi" w:eastAsia="Times New Roman" w:hAnsiTheme="majorHAnsi" w:cstheme="majorHAnsi"/>
                <w:i/>
                <w:iCs/>
                <w:color w:val="000000"/>
                <w:sz w:val="20"/>
                <w:szCs w:val="20"/>
                <w:lang w:val="ro-MD"/>
              </w:rPr>
            </w:pPr>
            <w:r w:rsidRPr="00401691">
              <w:rPr>
                <w:rFonts w:asciiTheme="majorHAnsi" w:eastAsia="Times New Roman" w:hAnsiTheme="majorHAnsi" w:cstheme="majorHAnsi"/>
                <w:i/>
                <w:iCs/>
                <w:color w:val="000000"/>
                <w:sz w:val="20"/>
                <w:szCs w:val="20"/>
                <w:lang w:val="ro-MD"/>
              </w:rPr>
              <w:t>7</w:t>
            </w:r>
          </w:p>
        </w:tc>
        <w:tc>
          <w:tcPr>
            <w:tcW w:w="983" w:type="dxa"/>
            <w:tcBorders>
              <w:top w:val="nil"/>
              <w:left w:val="nil"/>
              <w:bottom w:val="single" w:sz="4" w:space="0" w:color="auto"/>
              <w:right w:val="single" w:sz="4" w:space="0" w:color="auto"/>
            </w:tcBorders>
            <w:shd w:val="clear" w:color="auto" w:fill="D0CECE" w:themeFill="background2" w:themeFillShade="E6"/>
            <w:vAlign w:val="center"/>
          </w:tcPr>
          <w:p w:rsidR="003012D0" w:rsidRPr="00401691" w:rsidRDefault="003012D0" w:rsidP="00844145">
            <w:pPr>
              <w:spacing w:after="0" w:line="276" w:lineRule="auto"/>
              <w:jc w:val="center"/>
              <w:rPr>
                <w:rFonts w:asciiTheme="majorHAnsi" w:eastAsia="Times New Roman" w:hAnsiTheme="majorHAnsi" w:cstheme="majorHAnsi"/>
                <w:i/>
                <w:iCs/>
                <w:color w:val="000000"/>
                <w:sz w:val="20"/>
                <w:szCs w:val="20"/>
                <w:lang w:val="ro-MD"/>
              </w:rPr>
            </w:pPr>
            <w:r w:rsidRPr="00401691">
              <w:rPr>
                <w:rFonts w:asciiTheme="majorHAnsi" w:eastAsia="Times New Roman" w:hAnsiTheme="majorHAnsi" w:cstheme="majorHAnsi"/>
                <w:i/>
                <w:iCs/>
                <w:color w:val="000000"/>
                <w:sz w:val="20"/>
                <w:szCs w:val="20"/>
                <w:lang w:val="ro-MD"/>
              </w:rPr>
              <w:t>8</w:t>
            </w:r>
          </w:p>
        </w:tc>
      </w:tr>
      <w:tr w:rsidR="003012D0" w:rsidRPr="00401691" w:rsidTr="00EB7445">
        <w:trPr>
          <w:trHeight w:val="312"/>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012D0" w:rsidRPr="00401691" w:rsidRDefault="003012D0" w:rsidP="00844145">
            <w:pPr>
              <w:spacing w:after="0" w:line="276" w:lineRule="auto"/>
              <w:jc w:val="right"/>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1</w:t>
            </w:r>
            <w:r w:rsidR="002A0857">
              <w:rPr>
                <w:rFonts w:asciiTheme="majorHAnsi" w:eastAsia="Times New Roman" w:hAnsiTheme="majorHAnsi" w:cstheme="majorHAnsi"/>
                <w:color w:val="000000"/>
                <w:lang w:val="ro-MD"/>
              </w:rPr>
              <w:t>.</w:t>
            </w:r>
          </w:p>
        </w:tc>
        <w:tc>
          <w:tcPr>
            <w:tcW w:w="1297" w:type="dxa"/>
            <w:tcBorders>
              <w:top w:val="nil"/>
              <w:left w:val="nil"/>
              <w:bottom w:val="single" w:sz="4" w:space="0" w:color="auto"/>
              <w:right w:val="single" w:sz="4" w:space="0" w:color="auto"/>
            </w:tcBorders>
            <w:shd w:val="clear" w:color="auto" w:fill="auto"/>
            <w:vAlign w:val="center"/>
            <w:hideMark/>
          </w:tcPr>
          <w:p w:rsidR="003012D0" w:rsidRPr="00401691" w:rsidRDefault="003012D0" w:rsidP="00844145">
            <w:pPr>
              <w:spacing w:after="0" w:line="276" w:lineRule="auto"/>
              <w:ind w:left="-72" w:right="-96"/>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Plăți de bază</w:t>
            </w:r>
          </w:p>
        </w:tc>
        <w:tc>
          <w:tcPr>
            <w:tcW w:w="1236" w:type="dxa"/>
            <w:tcBorders>
              <w:top w:val="nil"/>
              <w:left w:val="nil"/>
              <w:bottom w:val="single" w:sz="4" w:space="0" w:color="auto"/>
              <w:right w:val="single" w:sz="4" w:space="0" w:color="auto"/>
            </w:tcBorders>
            <w:shd w:val="clear" w:color="auto" w:fill="auto"/>
            <w:vAlign w:val="center"/>
          </w:tcPr>
          <w:p w:rsidR="003012D0" w:rsidRPr="00401691" w:rsidRDefault="003012D0" w:rsidP="00844145">
            <w:pPr>
              <w:spacing w:after="0" w:line="276" w:lineRule="auto"/>
              <w:jc w:val="center"/>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w:t>
            </w:r>
          </w:p>
        </w:tc>
        <w:tc>
          <w:tcPr>
            <w:tcW w:w="1199" w:type="dxa"/>
            <w:tcBorders>
              <w:top w:val="nil"/>
              <w:left w:val="nil"/>
              <w:bottom w:val="single" w:sz="4" w:space="0" w:color="auto"/>
              <w:right w:val="single" w:sz="4" w:space="0" w:color="auto"/>
            </w:tcBorders>
            <w:shd w:val="clear" w:color="auto" w:fill="auto"/>
            <w:vAlign w:val="center"/>
            <w:hideMark/>
          </w:tcPr>
          <w:p w:rsidR="003012D0" w:rsidRPr="00401691" w:rsidRDefault="003012D0" w:rsidP="00844145">
            <w:pPr>
              <w:spacing w:after="0" w:line="276" w:lineRule="auto"/>
              <w:jc w:val="center"/>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w:t>
            </w:r>
          </w:p>
        </w:tc>
        <w:tc>
          <w:tcPr>
            <w:tcW w:w="1251" w:type="dxa"/>
            <w:tcBorders>
              <w:top w:val="nil"/>
              <w:left w:val="nil"/>
              <w:bottom w:val="single" w:sz="4" w:space="0" w:color="auto"/>
              <w:right w:val="single" w:sz="4" w:space="0" w:color="auto"/>
            </w:tcBorders>
            <w:vAlign w:val="center"/>
          </w:tcPr>
          <w:p w:rsidR="003012D0" w:rsidRPr="00401691" w:rsidRDefault="003012D0" w:rsidP="00844145">
            <w:pPr>
              <w:spacing w:after="0" w:line="276" w:lineRule="auto"/>
              <w:jc w:val="center"/>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3012D0" w:rsidRPr="00401691" w:rsidRDefault="003012D0" w:rsidP="00844145">
            <w:pPr>
              <w:spacing w:after="0" w:line="276" w:lineRule="auto"/>
              <w:jc w:val="center"/>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w:t>
            </w:r>
          </w:p>
        </w:tc>
        <w:tc>
          <w:tcPr>
            <w:tcW w:w="1132" w:type="dxa"/>
            <w:tcBorders>
              <w:top w:val="single" w:sz="4" w:space="0" w:color="auto"/>
              <w:left w:val="nil"/>
              <w:bottom w:val="single" w:sz="4" w:space="0" w:color="auto"/>
              <w:right w:val="single" w:sz="4" w:space="0" w:color="auto"/>
            </w:tcBorders>
            <w:shd w:val="clear" w:color="auto" w:fill="E7E6E6" w:themeFill="background2"/>
            <w:vAlign w:val="center"/>
          </w:tcPr>
          <w:p w:rsidR="003012D0" w:rsidRPr="00401691" w:rsidRDefault="003012D0" w:rsidP="00844145">
            <w:pPr>
              <w:spacing w:after="0" w:line="276" w:lineRule="auto"/>
              <w:jc w:val="center"/>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w:t>
            </w:r>
          </w:p>
        </w:tc>
        <w:tc>
          <w:tcPr>
            <w:tcW w:w="1215" w:type="dxa"/>
            <w:tcBorders>
              <w:top w:val="nil"/>
              <w:left w:val="single" w:sz="4" w:space="0" w:color="auto"/>
              <w:bottom w:val="single" w:sz="4" w:space="0" w:color="auto"/>
              <w:right w:val="single" w:sz="4" w:space="0" w:color="auto"/>
            </w:tcBorders>
            <w:shd w:val="clear" w:color="auto" w:fill="auto"/>
            <w:vAlign w:val="center"/>
            <w:hideMark/>
          </w:tcPr>
          <w:p w:rsidR="003012D0" w:rsidRPr="00401691" w:rsidRDefault="003012D0" w:rsidP="00844145">
            <w:pPr>
              <w:spacing w:after="0" w:line="276" w:lineRule="auto"/>
              <w:jc w:val="center"/>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17746</w:t>
            </w:r>
          </w:p>
        </w:tc>
        <w:tc>
          <w:tcPr>
            <w:tcW w:w="983" w:type="dxa"/>
            <w:tcBorders>
              <w:top w:val="nil"/>
              <w:left w:val="nil"/>
              <w:bottom w:val="single" w:sz="4" w:space="0" w:color="auto"/>
              <w:right w:val="single" w:sz="4" w:space="0" w:color="auto"/>
            </w:tcBorders>
            <w:shd w:val="clear" w:color="auto" w:fill="auto"/>
            <w:vAlign w:val="center"/>
            <w:hideMark/>
          </w:tcPr>
          <w:p w:rsidR="003012D0" w:rsidRPr="00401691" w:rsidRDefault="003012D0" w:rsidP="00844145">
            <w:pPr>
              <w:spacing w:after="0" w:line="276" w:lineRule="auto"/>
              <w:jc w:val="center"/>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82,9</w:t>
            </w:r>
          </w:p>
        </w:tc>
      </w:tr>
      <w:tr w:rsidR="003012D0" w:rsidRPr="00401691" w:rsidTr="00EB7445">
        <w:trPr>
          <w:trHeight w:val="312"/>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012D0" w:rsidRPr="00401691" w:rsidRDefault="003012D0" w:rsidP="00844145">
            <w:pPr>
              <w:spacing w:after="0" w:line="276" w:lineRule="auto"/>
              <w:jc w:val="right"/>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2</w:t>
            </w:r>
            <w:r w:rsidR="002A0857">
              <w:rPr>
                <w:rFonts w:asciiTheme="majorHAnsi" w:eastAsia="Times New Roman" w:hAnsiTheme="majorHAnsi" w:cstheme="majorHAnsi"/>
                <w:color w:val="000000"/>
                <w:lang w:val="ro-MD"/>
              </w:rPr>
              <w:t>.</w:t>
            </w:r>
          </w:p>
        </w:tc>
        <w:tc>
          <w:tcPr>
            <w:tcW w:w="1297" w:type="dxa"/>
            <w:tcBorders>
              <w:top w:val="nil"/>
              <w:left w:val="nil"/>
              <w:bottom w:val="single" w:sz="4" w:space="0" w:color="auto"/>
              <w:right w:val="single" w:sz="4" w:space="0" w:color="auto"/>
            </w:tcBorders>
            <w:shd w:val="clear" w:color="auto" w:fill="auto"/>
            <w:vAlign w:val="center"/>
            <w:hideMark/>
          </w:tcPr>
          <w:p w:rsidR="003012D0" w:rsidRPr="00401691" w:rsidRDefault="003012D0" w:rsidP="00844145">
            <w:pPr>
              <w:spacing w:after="0" w:line="276" w:lineRule="auto"/>
              <w:ind w:left="-72" w:right="-96"/>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Majorări de întârziere</w:t>
            </w:r>
          </w:p>
        </w:tc>
        <w:tc>
          <w:tcPr>
            <w:tcW w:w="1236" w:type="dxa"/>
            <w:vMerge w:val="restart"/>
            <w:tcBorders>
              <w:top w:val="nil"/>
              <w:left w:val="single" w:sz="4" w:space="0" w:color="auto"/>
              <w:bottom w:val="single" w:sz="4" w:space="0" w:color="000000"/>
              <w:right w:val="single" w:sz="4" w:space="0" w:color="auto"/>
            </w:tcBorders>
            <w:shd w:val="clear" w:color="auto" w:fill="auto"/>
            <w:vAlign w:val="center"/>
            <w:hideMark/>
          </w:tcPr>
          <w:p w:rsidR="003012D0" w:rsidRPr="00401691" w:rsidRDefault="003012D0" w:rsidP="00844145">
            <w:pPr>
              <w:spacing w:after="0" w:line="276" w:lineRule="auto"/>
              <w:jc w:val="center"/>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131301</w:t>
            </w:r>
          </w:p>
        </w:tc>
        <w:tc>
          <w:tcPr>
            <w:tcW w:w="1199" w:type="dxa"/>
            <w:tcBorders>
              <w:top w:val="nil"/>
              <w:left w:val="nil"/>
              <w:bottom w:val="single" w:sz="4" w:space="0" w:color="auto"/>
              <w:right w:val="single" w:sz="4" w:space="0" w:color="auto"/>
            </w:tcBorders>
            <w:shd w:val="clear" w:color="auto" w:fill="auto"/>
            <w:vAlign w:val="center"/>
            <w:hideMark/>
          </w:tcPr>
          <w:p w:rsidR="003012D0" w:rsidRPr="00401691" w:rsidRDefault="003012D0" w:rsidP="00844145">
            <w:pPr>
              <w:spacing w:after="0" w:line="276" w:lineRule="auto"/>
              <w:jc w:val="center"/>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401,2</w:t>
            </w:r>
          </w:p>
        </w:tc>
        <w:tc>
          <w:tcPr>
            <w:tcW w:w="1251" w:type="dxa"/>
            <w:vMerge w:val="restart"/>
            <w:tcBorders>
              <w:top w:val="nil"/>
              <w:left w:val="nil"/>
              <w:right w:val="single" w:sz="4" w:space="0" w:color="auto"/>
            </w:tcBorders>
            <w:vAlign w:val="center"/>
          </w:tcPr>
          <w:p w:rsidR="003012D0" w:rsidRPr="00401691" w:rsidRDefault="003012D0" w:rsidP="00844145">
            <w:pPr>
              <w:spacing w:after="0" w:line="276" w:lineRule="auto"/>
              <w:jc w:val="center"/>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103321</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3012D0" w:rsidRPr="00401691" w:rsidRDefault="003012D0" w:rsidP="00844145">
            <w:pPr>
              <w:spacing w:after="0" w:line="276" w:lineRule="auto"/>
              <w:jc w:val="center"/>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36,7</w:t>
            </w:r>
          </w:p>
        </w:tc>
        <w:tc>
          <w:tcPr>
            <w:tcW w:w="1132" w:type="dxa"/>
            <w:tcBorders>
              <w:top w:val="single" w:sz="4" w:space="0" w:color="auto"/>
              <w:left w:val="nil"/>
              <w:bottom w:val="single" w:sz="4" w:space="0" w:color="auto"/>
              <w:right w:val="single" w:sz="4" w:space="0" w:color="auto"/>
            </w:tcBorders>
            <w:shd w:val="clear" w:color="auto" w:fill="E7E6E6" w:themeFill="background2"/>
            <w:vAlign w:val="center"/>
          </w:tcPr>
          <w:p w:rsidR="003012D0" w:rsidRPr="00401691" w:rsidRDefault="003012D0" w:rsidP="00844145">
            <w:pPr>
              <w:spacing w:after="0" w:line="276" w:lineRule="auto"/>
              <w:jc w:val="center"/>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19,6</w:t>
            </w:r>
          </w:p>
        </w:tc>
        <w:tc>
          <w:tcPr>
            <w:tcW w:w="1215" w:type="dxa"/>
            <w:tcBorders>
              <w:top w:val="nil"/>
              <w:left w:val="single" w:sz="4" w:space="0" w:color="auto"/>
              <w:bottom w:val="single" w:sz="4" w:space="0" w:color="auto"/>
              <w:right w:val="single" w:sz="4" w:space="0" w:color="auto"/>
            </w:tcBorders>
            <w:shd w:val="clear" w:color="auto" w:fill="auto"/>
            <w:vAlign w:val="center"/>
            <w:hideMark/>
          </w:tcPr>
          <w:p w:rsidR="003012D0" w:rsidRPr="00401691" w:rsidRDefault="003012D0" w:rsidP="00844145">
            <w:pPr>
              <w:spacing w:after="0" w:line="276" w:lineRule="auto"/>
              <w:jc w:val="center"/>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w:t>
            </w:r>
          </w:p>
        </w:tc>
        <w:tc>
          <w:tcPr>
            <w:tcW w:w="983" w:type="dxa"/>
            <w:tcBorders>
              <w:top w:val="nil"/>
              <w:left w:val="nil"/>
              <w:bottom w:val="single" w:sz="4" w:space="0" w:color="auto"/>
              <w:right w:val="single" w:sz="4" w:space="0" w:color="auto"/>
            </w:tcBorders>
            <w:shd w:val="clear" w:color="auto" w:fill="auto"/>
            <w:vAlign w:val="center"/>
            <w:hideMark/>
          </w:tcPr>
          <w:p w:rsidR="003012D0" w:rsidRPr="00401691" w:rsidRDefault="003012D0" w:rsidP="00844145">
            <w:pPr>
              <w:spacing w:after="0" w:line="276" w:lineRule="auto"/>
              <w:jc w:val="center"/>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w:t>
            </w:r>
          </w:p>
        </w:tc>
      </w:tr>
      <w:tr w:rsidR="003012D0" w:rsidRPr="00401691" w:rsidTr="00EB7445">
        <w:trPr>
          <w:trHeight w:val="312"/>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012D0" w:rsidRPr="00401691" w:rsidRDefault="003012D0" w:rsidP="00844145">
            <w:pPr>
              <w:spacing w:after="0" w:line="276" w:lineRule="auto"/>
              <w:jc w:val="right"/>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3</w:t>
            </w:r>
            <w:r w:rsidR="002A0857">
              <w:rPr>
                <w:rFonts w:asciiTheme="majorHAnsi" w:eastAsia="Times New Roman" w:hAnsiTheme="majorHAnsi" w:cstheme="majorHAnsi"/>
                <w:color w:val="000000"/>
                <w:lang w:val="ro-MD"/>
              </w:rPr>
              <w:t>.</w:t>
            </w:r>
          </w:p>
        </w:tc>
        <w:tc>
          <w:tcPr>
            <w:tcW w:w="1297" w:type="dxa"/>
            <w:tcBorders>
              <w:top w:val="nil"/>
              <w:left w:val="nil"/>
              <w:bottom w:val="single" w:sz="4" w:space="0" w:color="auto"/>
              <w:right w:val="single" w:sz="4" w:space="0" w:color="auto"/>
            </w:tcBorders>
            <w:shd w:val="clear" w:color="auto" w:fill="auto"/>
            <w:vAlign w:val="center"/>
            <w:hideMark/>
          </w:tcPr>
          <w:p w:rsidR="003012D0" w:rsidRPr="00401691" w:rsidRDefault="003012D0" w:rsidP="00844145">
            <w:pPr>
              <w:spacing w:after="0" w:line="276" w:lineRule="auto"/>
              <w:ind w:left="-72" w:right="-96"/>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Amenzi</w:t>
            </w:r>
          </w:p>
        </w:tc>
        <w:tc>
          <w:tcPr>
            <w:tcW w:w="1236" w:type="dxa"/>
            <w:vMerge/>
            <w:tcBorders>
              <w:top w:val="nil"/>
              <w:left w:val="single" w:sz="4" w:space="0" w:color="auto"/>
              <w:bottom w:val="single" w:sz="4" w:space="0" w:color="000000"/>
              <w:right w:val="single" w:sz="4" w:space="0" w:color="auto"/>
            </w:tcBorders>
            <w:vAlign w:val="center"/>
            <w:hideMark/>
          </w:tcPr>
          <w:p w:rsidR="003012D0" w:rsidRPr="00401691" w:rsidRDefault="003012D0" w:rsidP="00844145">
            <w:pPr>
              <w:spacing w:after="0" w:line="276" w:lineRule="auto"/>
              <w:rPr>
                <w:rFonts w:asciiTheme="majorHAnsi" w:eastAsia="Times New Roman" w:hAnsiTheme="majorHAnsi" w:cstheme="majorHAnsi"/>
                <w:color w:val="000000"/>
                <w:lang w:val="ro-MD"/>
              </w:rPr>
            </w:pPr>
          </w:p>
        </w:tc>
        <w:tc>
          <w:tcPr>
            <w:tcW w:w="1199" w:type="dxa"/>
            <w:tcBorders>
              <w:top w:val="nil"/>
              <w:left w:val="nil"/>
              <w:bottom w:val="single" w:sz="4" w:space="0" w:color="auto"/>
              <w:right w:val="single" w:sz="4" w:space="0" w:color="auto"/>
            </w:tcBorders>
            <w:shd w:val="clear" w:color="auto" w:fill="auto"/>
            <w:vAlign w:val="center"/>
            <w:hideMark/>
          </w:tcPr>
          <w:p w:rsidR="003012D0" w:rsidRPr="00401691" w:rsidRDefault="003012D0" w:rsidP="00844145">
            <w:pPr>
              <w:spacing w:after="0" w:line="276" w:lineRule="auto"/>
              <w:jc w:val="center"/>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381,0</w:t>
            </w:r>
          </w:p>
        </w:tc>
        <w:tc>
          <w:tcPr>
            <w:tcW w:w="1251" w:type="dxa"/>
            <w:vMerge/>
            <w:tcBorders>
              <w:left w:val="nil"/>
              <w:bottom w:val="single" w:sz="4" w:space="0" w:color="auto"/>
              <w:right w:val="single" w:sz="4" w:space="0" w:color="auto"/>
            </w:tcBorders>
            <w:vAlign w:val="center"/>
          </w:tcPr>
          <w:p w:rsidR="003012D0" w:rsidRPr="00401691" w:rsidRDefault="003012D0" w:rsidP="00844145">
            <w:pPr>
              <w:spacing w:after="0" w:line="276" w:lineRule="auto"/>
              <w:jc w:val="center"/>
              <w:rPr>
                <w:rFonts w:asciiTheme="majorHAnsi" w:eastAsia="Times New Roman" w:hAnsiTheme="majorHAnsi" w:cstheme="majorHAnsi"/>
                <w:color w:val="000000"/>
                <w:lang w:val="ro-MD"/>
              </w:rPr>
            </w:pP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3012D0" w:rsidRPr="00401691" w:rsidRDefault="003012D0" w:rsidP="00844145">
            <w:pPr>
              <w:spacing w:after="0" w:line="276" w:lineRule="auto"/>
              <w:jc w:val="center"/>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150,6</w:t>
            </w:r>
          </w:p>
        </w:tc>
        <w:tc>
          <w:tcPr>
            <w:tcW w:w="1132" w:type="dxa"/>
            <w:tcBorders>
              <w:top w:val="single" w:sz="4" w:space="0" w:color="auto"/>
              <w:left w:val="nil"/>
              <w:bottom w:val="single" w:sz="4" w:space="0" w:color="auto"/>
              <w:right w:val="single" w:sz="4" w:space="0" w:color="auto"/>
            </w:tcBorders>
            <w:shd w:val="clear" w:color="auto" w:fill="E7E6E6" w:themeFill="background2"/>
            <w:vAlign w:val="center"/>
          </w:tcPr>
          <w:p w:rsidR="003012D0" w:rsidRPr="00401691" w:rsidRDefault="003012D0" w:rsidP="00844145">
            <w:pPr>
              <w:spacing w:after="0" w:line="276" w:lineRule="auto"/>
              <w:jc w:val="center"/>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 xml:space="preserve">80,4 </w:t>
            </w:r>
          </w:p>
        </w:tc>
        <w:tc>
          <w:tcPr>
            <w:tcW w:w="1215" w:type="dxa"/>
            <w:tcBorders>
              <w:top w:val="nil"/>
              <w:left w:val="single" w:sz="4" w:space="0" w:color="auto"/>
              <w:bottom w:val="single" w:sz="4" w:space="0" w:color="auto"/>
              <w:right w:val="single" w:sz="4" w:space="0" w:color="auto"/>
            </w:tcBorders>
            <w:shd w:val="clear" w:color="auto" w:fill="auto"/>
            <w:vAlign w:val="center"/>
            <w:hideMark/>
          </w:tcPr>
          <w:p w:rsidR="003012D0" w:rsidRPr="00401691" w:rsidRDefault="003012D0" w:rsidP="00844145">
            <w:pPr>
              <w:spacing w:after="0" w:line="276" w:lineRule="auto"/>
              <w:jc w:val="center"/>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w:t>
            </w:r>
          </w:p>
        </w:tc>
        <w:tc>
          <w:tcPr>
            <w:tcW w:w="983" w:type="dxa"/>
            <w:tcBorders>
              <w:top w:val="nil"/>
              <w:left w:val="nil"/>
              <w:bottom w:val="single" w:sz="4" w:space="0" w:color="auto"/>
              <w:right w:val="single" w:sz="4" w:space="0" w:color="auto"/>
            </w:tcBorders>
            <w:shd w:val="clear" w:color="auto" w:fill="auto"/>
            <w:vAlign w:val="center"/>
            <w:hideMark/>
          </w:tcPr>
          <w:p w:rsidR="003012D0" w:rsidRPr="00401691" w:rsidRDefault="003012D0" w:rsidP="00844145">
            <w:pPr>
              <w:spacing w:after="0" w:line="276" w:lineRule="auto"/>
              <w:jc w:val="center"/>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w:t>
            </w:r>
          </w:p>
        </w:tc>
      </w:tr>
      <w:tr w:rsidR="003012D0" w:rsidRPr="00401691" w:rsidTr="00EB7445">
        <w:trPr>
          <w:trHeight w:val="312"/>
          <w:jc w:val="center"/>
        </w:trPr>
        <w:tc>
          <w:tcPr>
            <w:tcW w:w="1793" w:type="dxa"/>
            <w:gridSpan w:val="2"/>
            <w:tcBorders>
              <w:top w:val="nil"/>
              <w:left w:val="single" w:sz="4" w:space="0" w:color="auto"/>
              <w:bottom w:val="single" w:sz="4" w:space="0" w:color="auto"/>
              <w:right w:val="single" w:sz="4" w:space="0" w:color="auto"/>
            </w:tcBorders>
            <w:shd w:val="clear" w:color="auto" w:fill="auto"/>
            <w:vAlign w:val="center"/>
            <w:hideMark/>
          </w:tcPr>
          <w:p w:rsidR="003012D0" w:rsidRPr="00401691" w:rsidRDefault="003012D0" w:rsidP="00844145">
            <w:pPr>
              <w:spacing w:after="0" w:line="276" w:lineRule="auto"/>
              <w:rPr>
                <w:rFonts w:asciiTheme="majorHAnsi" w:eastAsia="Times New Roman" w:hAnsiTheme="majorHAnsi" w:cstheme="majorHAnsi"/>
                <w:b/>
                <w:bCs/>
                <w:color w:val="000000"/>
                <w:lang w:val="ro-MD"/>
              </w:rPr>
            </w:pPr>
            <w:r w:rsidRPr="00401691">
              <w:rPr>
                <w:rFonts w:asciiTheme="majorHAnsi" w:eastAsia="Times New Roman" w:hAnsiTheme="majorHAnsi" w:cstheme="majorHAnsi"/>
                <w:b/>
                <w:bCs/>
                <w:color w:val="000000"/>
                <w:lang w:val="ro-MD"/>
              </w:rPr>
              <w:t> Total</w:t>
            </w:r>
          </w:p>
        </w:tc>
        <w:tc>
          <w:tcPr>
            <w:tcW w:w="1236" w:type="dxa"/>
            <w:tcBorders>
              <w:top w:val="nil"/>
              <w:left w:val="nil"/>
              <w:bottom w:val="single" w:sz="4" w:space="0" w:color="auto"/>
              <w:right w:val="single" w:sz="4" w:space="0" w:color="auto"/>
            </w:tcBorders>
            <w:shd w:val="clear" w:color="auto" w:fill="auto"/>
            <w:vAlign w:val="center"/>
            <w:hideMark/>
          </w:tcPr>
          <w:p w:rsidR="003012D0" w:rsidRPr="00401691" w:rsidRDefault="003012D0" w:rsidP="00844145">
            <w:pPr>
              <w:spacing w:after="0" w:line="276" w:lineRule="auto"/>
              <w:jc w:val="center"/>
              <w:rPr>
                <w:rFonts w:asciiTheme="majorHAnsi" w:eastAsia="Times New Roman" w:hAnsiTheme="majorHAnsi" w:cstheme="majorHAnsi"/>
                <w:b/>
                <w:bCs/>
                <w:color w:val="000000"/>
                <w:lang w:val="ro-MD"/>
              </w:rPr>
            </w:pPr>
            <w:r w:rsidRPr="00401691">
              <w:rPr>
                <w:rFonts w:asciiTheme="majorHAnsi" w:eastAsia="Times New Roman" w:hAnsiTheme="majorHAnsi" w:cstheme="majorHAnsi"/>
                <w:b/>
                <w:bCs/>
                <w:color w:val="000000"/>
                <w:lang w:val="ro-MD"/>
              </w:rPr>
              <w:t>131301</w:t>
            </w:r>
          </w:p>
        </w:tc>
        <w:tc>
          <w:tcPr>
            <w:tcW w:w="1199" w:type="dxa"/>
            <w:tcBorders>
              <w:top w:val="nil"/>
              <w:left w:val="nil"/>
              <w:bottom w:val="single" w:sz="4" w:space="0" w:color="auto"/>
              <w:right w:val="single" w:sz="4" w:space="0" w:color="auto"/>
            </w:tcBorders>
            <w:shd w:val="clear" w:color="auto" w:fill="auto"/>
            <w:vAlign w:val="center"/>
            <w:hideMark/>
          </w:tcPr>
          <w:p w:rsidR="003012D0" w:rsidRPr="00401691" w:rsidRDefault="003012D0" w:rsidP="00844145">
            <w:pPr>
              <w:spacing w:after="0" w:line="276" w:lineRule="auto"/>
              <w:jc w:val="center"/>
              <w:rPr>
                <w:rFonts w:asciiTheme="majorHAnsi" w:eastAsia="Times New Roman" w:hAnsiTheme="majorHAnsi" w:cstheme="majorHAnsi"/>
                <w:b/>
                <w:bCs/>
                <w:color w:val="000000"/>
                <w:lang w:val="ro-MD"/>
              </w:rPr>
            </w:pPr>
            <w:r w:rsidRPr="00401691">
              <w:rPr>
                <w:rFonts w:asciiTheme="majorHAnsi" w:eastAsia="Times New Roman" w:hAnsiTheme="majorHAnsi" w:cstheme="majorHAnsi"/>
                <w:b/>
                <w:bCs/>
                <w:color w:val="000000"/>
                <w:lang w:val="ro-MD"/>
              </w:rPr>
              <w:t>782,2</w:t>
            </w:r>
          </w:p>
        </w:tc>
        <w:tc>
          <w:tcPr>
            <w:tcW w:w="1251" w:type="dxa"/>
            <w:tcBorders>
              <w:top w:val="nil"/>
              <w:left w:val="nil"/>
              <w:bottom w:val="single" w:sz="4" w:space="0" w:color="auto"/>
              <w:right w:val="single" w:sz="4" w:space="0" w:color="auto"/>
            </w:tcBorders>
            <w:vAlign w:val="center"/>
          </w:tcPr>
          <w:p w:rsidR="003012D0" w:rsidRPr="00401691" w:rsidRDefault="003012D0" w:rsidP="00844145">
            <w:pPr>
              <w:spacing w:after="0" w:line="276" w:lineRule="auto"/>
              <w:jc w:val="center"/>
              <w:rPr>
                <w:rFonts w:asciiTheme="majorHAnsi" w:eastAsia="Times New Roman" w:hAnsiTheme="majorHAnsi" w:cstheme="majorHAnsi"/>
                <w:b/>
                <w:bCs/>
                <w:color w:val="000000"/>
                <w:lang w:val="ro-MD"/>
              </w:rPr>
            </w:pPr>
            <w:r w:rsidRPr="00401691">
              <w:rPr>
                <w:rFonts w:asciiTheme="majorHAnsi" w:eastAsia="Times New Roman" w:hAnsiTheme="majorHAnsi" w:cstheme="majorHAnsi"/>
                <w:b/>
                <w:bCs/>
                <w:color w:val="000000"/>
                <w:lang w:val="ro-MD"/>
              </w:rPr>
              <w:t>103321</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3012D0" w:rsidRPr="00401691" w:rsidRDefault="003012D0" w:rsidP="00844145">
            <w:pPr>
              <w:spacing w:after="0" w:line="276" w:lineRule="auto"/>
              <w:jc w:val="center"/>
              <w:rPr>
                <w:rFonts w:asciiTheme="majorHAnsi" w:eastAsia="Times New Roman" w:hAnsiTheme="majorHAnsi" w:cstheme="majorHAnsi"/>
                <w:b/>
                <w:bCs/>
                <w:color w:val="000000"/>
                <w:lang w:val="ro-MD"/>
              </w:rPr>
            </w:pPr>
            <w:r w:rsidRPr="00401691">
              <w:rPr>
                <w:rFonts w:asciiTheme="majorHAnsi" w:eastAsia="Times New Roman" w:hAnsiTheme="majorHAnsi" w:cstheme="majorHAnsi"/>
                <w:b/>
                <w:bCs/>
                <w:color w:val="000000"/>
                <w:lang w:val="ro-MD"/>
              </w:rPr>
              <w:t>187,3</w:t>
            </w:r>
          </w:p>
        </w:tc>
        <w:tc>
          <w:tcPr>
            <w:tcW w:w="1132" w:type="dxa"/>
            <w:tcBorders>
              <w:top w:val="single" w:sz="4" w:space="0" w:color="auto"/>
              <w:left w:val="nil"/>
              <w:bottom w:val="single" w:sz="4" w:space="0" w:color="auto"/>
              <w:right w:val="single" w:sz="4" w:space="0" w:color="auto"/>
            </w:tcBorders>
            <w:shd w:val="clear" w:color="auto" w:fill="E7E6E6" w:themeFill="background2"/>
            <w:vAlign w:val="center"/>
          </w:tcPr>
          <w:p w:rsidR="003012D0" w:rsidRPr="00401691" w:rsidRDefault="003012D0" w:rsidP="00844145">
            <w:pPr>
              <w:spacing w:after="0" w:line="276" w:lineRule="auto"/>
              <w:jc w:val="center"/>
              <w:rPr>
                <w:rFonts w:asciiTheme="majorHAnsi" w:eastAsia="Times New Roman" w:hAnsiTheme="majorHAnsi" w:cstheme="majorHAnsi"/>
                <w:b/>
                <w:bCs/>
                <w:color w:val="000000"/>
                <w:lang w:val="ro-MD"/>
              </w:rPr>
            </w:pPr>
            <w:r w:rsidRPr="00401691">
              <w:rPr>
                <w:rFonts w:asciiTheme="majorHAnsi" w:eastAsia="Times New Roman" w:hAnsiTheme="majorHAnsi" w:cstheme="majorHAnsi"/>
                <w:b/>
                <w:bCs/>
                <w:color w:val="000000"/>
                <w:lang w:val="ro-MD"/>
              </w:rPr>
              <w:t>100,0</w:t>
            </w:r>
          </w:p>
        </w:tc>
        <w:tc>
          <w:tcPr>
            <w:tcW w:w="1215" w:type="dxa"/>
            <w:tcBorders>
              <w:top w:val="nil"/>
              <w:left w:val="single" w:sz="4" w:space="0" w:color="auto"/>
              <w:bottom w:val="single" w:sz="4" w:space="0" w:color="auto"/>
              <w:right w:val="single" w:sz="4" w:space="0" w:color="auto"/>
            </w:tcBorders>
            <w:shd w:val="clear" w:color="auto" w:fill="auto"/>
            <w:vAlign w:val="center"/>
            <w:hideMark/>
          </w:tcPr>
          <w:p w:rsidR="003012D0" w:rsidRPr="00401691" w:rsidRDefault="003012D0" w:rsidP="00844145">
            <w:pPr>
              <w:spacing w:after="0" w:line="276" w:lineRule="auto"/>
              <w:jc w:val="center"/>
              <w:rPr>
                <w:rFonts w:asciiTheme="majorHAnsi" w:eastAsia="Times New Roman" w:hAnsiTheme="majorHAnsi" w:cstheme="majorHAnsi"/>
                <w:b/>
                <w:bCs/>
                <w:color w:val="000000"/>
                <w:lang w:val="ro-MD"/>
              </w:rPr>
            </w:pPr>
            <w:r w:rsidRPr="00401691">
              <w:rPr>
                <w:rFonts w:asciiTheme="majorHAnsi" w:eastAsia="Times New Roman" w:hAnsiTheme="majorHAnsi" w:cstheme="majorHAnsi"/>
                <w:b/>
                <w:bCs/>
                <w:color w:val="000000"/>
                <w:lang w:val="ro-MD"/>
              </w:rPr>
              <w:t>*</w:t>
            </w:r>
          </w:p>
        </w:tc>
        <w:tc>
          <w:tcPr>
            <w:tcW w:w="983" w:type="dxa"/>
            <w:tcBorders>
              <w:top w:val="nil"/>
              <w:left w:val="nil"/>
              <w:bottom w:val="single" w:sz="4" w:space="0" w:color="auto"/>
              <w:right w:val="single" w:sz="4" w:space="0" w:color="auto"/>
            </w:tcBorders>
            <w:shd w:val="clear" w:color="auto" w:fill="auto"/>
            <w:vAlign w:val="center"/>
            <w:hideMark/>
          </w:tcPr>
          <w:p w:rsidR="003012D0" w:rsidRPr="00401691" w:rsidRDefault="003012D0" w:rsidP="00844145">
            <w:pPr>
              <w:spacing w:after="0" w:line="276" w:lineRule="auto"/>
              <w:jc w:val="center"/>
              <w:rPr>
                <w:rFonts w:asciiTheme="majorHAnsi" w:eastAsia="Times New Roman" w:hAnsiTheme="majorHAnsi" w:cstheme="majorHAnsi"/>
                <w:b/>
                <w:bCs/>
                <w:color w:val="000000"/>
                <w:lang w:val="ro-MD"/>
              </w:rPr>
            </w:pPr>
            <w:r w:rsidRPr="00401691">
              <w:rPr>
                <w:rFonts w:asciiTheme="majorHAnsi" w:eastAsia="Times New Roman" w:hAnsiTheme="majorHAnsi" w:cstheme="majorHAnsi"/>
                <w:b/>
                <w:bCs/>
                <w:color w:val="000000"/>
                <w:lang w:val="ro-MD"/>
              </w:rPr>
              <w:t>*</w:t>
            </w:r>
          </w:p>
        </w:tc>
      </w:tr>
    </w:tbl>
    <w:p w:rsidR="002111E6" w:rsidRDefault="002111E6" w:rsidP="002111E6">
      <w:pPr>
        <w:spacing w:after="120" w:line="276" w:lineRule="auto"/>
        <w:ind w:firstLine="270"/>
        <w:jc w:val="both"/>
        <w:rPr>
          <w:rFonts w:asciiTheme="majorHAnsi" w:hAnsiTheme="majorHAnsi" w:cstheme="majorHAnsi"/>
          <w:sz w:val="24"/>
          <w:szCs w:val="24"/>
          <w:lang w:val="ro-MD"/>
        </w:rPr>
      </w:pPr>
      <w:r w:rsidRPr="00502038">
        <w:rPr>
          <w:rFonts w:asciiTheme="majorHAnsi" w:hAnsiTheme="majorHAnsi" w:cstheme="majorHAnsi"/>
          <w:b/>
          <w:i/>
          <w:sz w:val="20"/>
          <w:szCs w:val="20"/>
          <w:lang w:val="ro-MD"/>
        </w:rPr>
        <w:t>Sursa:</w:t>
      </w:r>
      <w:r>
        <w:rPr>
          <w:rFonts w:asciiTheme="majorHAnsi" w:eastAsia="Calibri" w:hAnsiTheme="majorHAnsi" w:cstheme="majorHAnsi"/>
          <w:i/>
          <w:sz w:val="20"/>
          <w:szCs w:val="20"/>
          <w:lang w:val="ro-MD"/>
        </w:rPr>
        <w:t xml:space="preserve"> Date generalizate în baza informației prezentate de SFS</w:t>
      </w:r>
      <w:r w:rsidR="002A0857">
        <w:rPr>
          <w:rFonts w:asciiTheme="majorHAnsi" w:eastAsia="Calibri" w:hAnsiTheme="majorHAnsi" w:cstheme="majorHAnsi"/>
          <w:i/>
          <w:sz w:val="20"/>
          <w:szCs w:val="20"/>
          <w:lang w:val="ro-MD"/>
        </w:rPr>
        <w:t>.</w:t>
      </w:r>
    </w:p>
    <w:p w:rsidR="003012D0" w:rsidRPr="00401691" w:rsidRDefault="003012D0" w:rsidP="00844145">
      <w:pPr>
        <w:spacing w:before="120" w:after="120" w:line="276" w:lineRule="auto"/>
        <w:jc w:val="both"/>
        <w:rPr>
          <w:rFonts w:asciiTheme="majorHAnsi" w:hAnsiTheme="majorHAnsi" w:cstheme="majorHAnsi"/>
          <w:sz w:val="24"/>
          <w:szCs w:val="24"/>
          <w:lang w:val="ro-MD"/>
        </w:rPr>
      </w:pPr>
      <w:r w:rsidRPr="00401691">
        <w:rPr>
          <w:rFonts w:asciiTheme="majorHAnsi" w:hAnsiTheme="majorHAnsi" w:cstheme="majorHAnsi"/>
          <w:sz w:val="24"/>
          <w:szCs w:val="24"/>
          <w:lang w:val="ro-MD"/>
        </w:rPr>
        <w:t xml:space="preserve">Datele din tabel </w:t>
      </w:r>
      <w:r w:rsidR="002A0857">
        <w:rPr>
          <w:rFonts w:asciiTheme="majorHAnsi" w:hAnsiTheme="majorHAnsi" w:cstheme="majorHAnsi"/>
          <w:sz w:val="24"/>
          <w:szCs w:val="24"/>
          <w:lang w:val="ro-MD"/>
        </w:rPr>
        <w:t>indică</w:t>
      </w:r>
      <w:r w:rsidRPr="00401691">
        <w:rPr>
          <w:rFonts w:asciiTheme="majorHAnsi" w:hAnsiTheme="majorHAnsi" w:cstheme="majorHAnsi"/>
          <w:sz w:val="24"/>
          <w:szCs w:val="24"/>
          <w:lang w:val="ro-MD"/>
        </w:rPr>
        <w:t xml:space="preserve"> că stimularea fiscală a însemnat anularea a 187,3 mil. lei, din care 36,7 mil. lei constituie suma majorărilor de întârziere</w:t>
      </w:r>
      <w:r w:rsidR="002A0857">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și 150,6 mil</w:t>
      </w:r>
      <w:r w:rsidR="00F14CEA">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lei </w:t>
      </w:r>
      <w:r w:rsidR="002A0857">
        <w:rPr>
          <w:rFonts w:asciiTheme="majorHAnsi" w:hAnsiTheme="majorHAnsi" w:cstheme="majorHAnsi"/>
          <w:sz w:val="24"/>
          <w:szCs w:val="24"/>
          <w:lang w:val="ro-MD"/>
        </w:rPr>
        <w:t xml:space="preserve">- </w:t>
      </w:r>
      <w:r w:rsidRPr="00401691">
        <w:rPr>
          <w:rFonts w:asciiTheme="majorHAnsi" w:hAnsiTheme="majorHAnsi" w:cstheme="majorHAnsi"/>
          <w:sz w:val="24"/>
          <w:szCs w:val="24"/>
          <w:lang w:val="ro-MD"/>
        </w:rPr>
        <w:t xml:space="preserve">amenzile aferente bugetului de stat. De asemenea, </w:t>
      </w:r>
      <w:r w:rsidR="002A0857">
        <w:rPr>
          <w:rFonts w:asciiTheme="majorHAnsi" w:hAnsiTheme="majorHAnsi" w:cstheme="majorHAnsi"/>
          <w:sz w:val="24"/>
          <w:szCs w:val="24"/>
          <w:lang w:val="ro-MD"/>
        </w:rPr>
        <w:t>este</w:t>
      </w:r>
      <w:r w:rsidRPr="00401691">
        <w:rPr>
          <w:rFonts w:asciiTheme="majorHAnsi" w:hAnsiTheme="majorHAnsi" w:cstheme="majorHAnsi"/>
          <w:sz w:val="24"/>
          <w:szCs w:val="24"/>
          <w:lang w:val="ro-MD"/>
        </w:rPr>
        <w:t xml:space="preserve"> neces</w:t>
      </w:r>
      <w:r w:rsidR="002A0857">
        <w:rPr>
          <w:rFonts w:asciiTheme="majorHAnsi" w:hAnsiTheme="majorHAnsi" w:cstheme="majorHAnsi"/>
          <w:sz w:val="24"/>
          <w:szCs w:val="24"/>
          <w:lang w:val="ro-MD"/>
        </w:rPr>
        <w:t>ar de</w:t>
      </w:r>
      <w:r w:rsidRPr="00401691">
        <w:rPr>
          <w:rFonts w:asciiTheme="majorHAnsi" w:hAnsiTheme="majorHAnsi" w:cstheme="majorHAnsi"/>
          <w:sz w:val="24"/>
          <w:szCs w:val="24"/>
          <w:lang w:val="ro-MD"/>
        </w:rPr>
        <w:t xml:space="preserve"> menționat că suma anulată, ca pondere</w:t>
      </w:r>
      <w:r w:rsidR="002A0857">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w:t>
      </w:r>
      <w:r w:rsidR="00F14CEA">
        <w:rPr>
          <w:rFonts w:asciiTheme="majorHAnsi" w:hAnsiTheme="majorHAnsi" w:cstheme="majorHAnsi"/>
          <w:sz w:val="24"/>
          <w:szCs w:val="24"/>
          <w:lang w:val="ro-MD"/>
        </w:rPr>
        <w:t xml:space="preserve">este de două ori mai mare decât suma achitată </w:t>
      </w:r>
      <w:r w:rsidRPr="00401691">
        <w:rPr>
          <w:rFonts w:asciiTheme="majorHAnsi" w:hAnsiTheme="majorHAnsi" w:cstheme="majorHAnsi"/>
          <w:sz w:val="24"/>
          <w:szCs w:val="24"/>
          <w:lang w:val="ro-MD"/>
        </w:rPr>
        <w:t>de către contribuabili la plățile de bază - 82,9 mil.</w:t>
      </w:r>
      <w:r w:rsidR="002A0857">
        <w:rPr>
          <w:rFonts w:asciiTheme="majorHAnsi" w:hAnsiTheme="majorHAnsi" w:cstheme="majorHAnsi"/>
          <w:sz w:val="24"/>
          <w:szCs w:val="24"/>
          <w:lang w:val="ro-MD"/>
        </w:rPr>
        <w:t xml:space="preserve"> lei.</w:t>
      </w:r>
    </w:p>
    <w:p w:rsidR="002D3B7E" w:rsidRPr="00401691" w:rsidRDefault="003012D0" w:rsidP="00844145">
      <w:pPr>
        <w:spacing w:after="120" w:line="276" w:lineRule="auto"/>
        <w:jc w:val="both"/>
        <w:rPr>
          <w:rFonts w:asciiTheme="majorHAnsi" w:hAnsiTheme="majorHAnsi" w:cstheme="majorHAnsi"/>
          <w:sz w:val="24"/>
          <w:szCs w:val="24"/>
          <w:lang w:val="ro-MD"/>
        </w:rPr>
      </w:pPr>
      <w:r w:rsidRPr="00401691">
        <w:rPr>
          <w:rFonts w:asciiTheme="majorHAnsi" w:hAnsiTheme="majorHAnsi" w:cstheme="majorHAnsi"/>
          <w:sz w:val="24"/>
          <w:szCs w:val="24"/>
          <w:lang w:val="ro-MD"/>
        </w:rPr>
        <w:lastRenderedPageBreak/>
        <w:t>Testările de audit desfășurate denotă că SFS a admis aplicarea stimulării fiscale și efectuarea înscrierilor în SIA a</w:t>
      </w:r>
      <w:r w:rsidR="002A0857">
        <w:rPr>
          <w:rFonts w:asciiTheme="majorHAnsi" w:hAnsiTheme="majorHAnsi" w:cstheme="majorHAnsi"/>
          <w:sz w:val="24"/>
          <w:szCs w:val="24"/>
          <w:lang w:val="ro-MD"/>
        </w:rPr>
        <w:t>l</w:t>
      </w:r>
      <w:r w:rsidRPr="00401691">
        <w:rPr>
          <w:rFonts w:asciiTheme="majorHAnsi" w:hAnsiTheme="majorHAnsi" w:cstheme="majorHAnsi"/>
          <w:sz w:val="24"/>
          <w:szCs w:val="24"/>
          <w:lang w:val="ro-MD"/>
        </w:rPr>
        <w:t xml:space="preserve"> SFS ulterior datelor</w:t>
      </w:r>
      <w:r w:rsidR="002A0857">
        <w:rPr>
          <w:rFonts w:asciiTheme="majorHAnsi" w:hAnsiTheme="majorHAnsi" w:cstheme="majorHAnsi"/>
          <w:sz w:val="24"/>
          <w:szCs w:val="24"/>
          <w:lang w:val="ro-MD"/>
        </w:rPr>
        <w:t>-</w:t>
      </w:r>
      <w:r w:rsidRPr="00401691">
        <w:rPr>
          <w:rFonts w:asciiTheme="majorHAnsi" w:hAnsiTheme="majorHAnsi" w:cstheme="majorHAnsi"/>
          <w:sz w:val="24"/>
          <w:szCs w:val="24"/>
          <w:lang w:val="ro-MD"/>
        </w:rPr>
        <w:t>limită</w:t>
      </w:r>
      <w:r w:rsidRPr="00401691">
        <w:rPr>
          <w:rStyle w:val="FootnoteReference"/>
          <w:rFonts w:asciiTheme="majorHAnsi" w:hAnsiTheme="majorHAnsi" w:cstheme="majorHAnsi"/>
          <w:sz w:val="24"/>
          <w:szCs w:val="24"/>
          <w:lang w:val="ro-MD"/>
        </w:rPr>
        <w:footnoteReference w:id="24"/>
      </w:r>
      <w:r w:rsidRPr="00401691">
        <w:rPr>
          <w:rFonts w:asciiTheme="majorHAnsi" w:hAnsiTheme="majorHAnsi" w:cstheme="majorHAnsi"/>
          <w:sz w:val="24"/>
          <w:szCs w:val="24"/>
          <w:lang w:val="ro-MD"/>
        </w:rPr>
        <w:t xml:space="preserve">, stabilite conform </w:t>
      </w:r>
      <w:r w:rsidRPr="00401691">
        <w:rPr>
          <w:rFonts w:asciiTheme="majorHAnsi" w:hAnsiTheme="majorHAnsi" w:cstheme="majorHAnsi"/>
          <w:color w:val="424242"/>
          <w:sz w:val="24"/>
          <w:szCs w:val="24"/>
          <w:shd w:val="clear" w:color="auto" w:fill="FFFFFF"/>
          <w:lang w:val="ro-MD"/>
        </w:rPr>
        <w:t xml:space="preserve">Regulamentului cu privire la modalitatea efectuării stimulării fiscale pentru sumele reflectate în sistemul de evidență al </w:t>
      </w:r>
      <w:r w:rsidR="006613F8">
        <w:rPr>
          <w:rFonts w:asciiTheme="majorHAnsi" w:hAnsiTheme="majorHAnsi" w:cstheme="majorHAnsi"/>
          <w:color w:val="424242"/>
          <w:sz w:val="24"/>
          <w:szCs w:val="24"/>
          <w:shd w:val="clear" w:color="auto" w:fill="FFFFFF"/>
          <w:lang w:val="ro-MD"/>
        </w:rPr>
        <w:t>SFS</w:t>
      </w:r>
      <w:r w:rsidRPr="00401691">
        <w:rPr>
          <w:rFonts w:asciiTheme="majorHAnsi" w:hAnsiTheme="majorHAnsi" w:cstheme="majorHAnsi"/>
          <w:color w:val="424242"/>
          <w:sz w:val="24"/>
          <w:szCs w:val="24"/>
          <w:shd w:val="clear" w:color="auto" w:fill="FFFFFF"/>
          <w:lang w:val="ro-MD"/>
        </w:rPr>
        <w:t xml:space="preserve"> și al Serviciului Vamal</w:t>
      </w:r>
      <w:r w:rsidRPr="00401691">
        <w:rPr>
          <w:rStyle w:val="FootnoteReference"/>
          <w:rFonts w:asciiTheme="majorHAnsi" w:hAnsiTheme="majorHAnsi" w:cstheme="majorHAnsi"/>
          <w:color w:val="424242"/>
          <w:sz w:val="24"/>
          <w:szCs w:val="24"/>
          <w:shd w:val="clear" w:color="auto" w:fill="FFFFFF"/>
          <w:lang w:val="ro-MD"/>
        </w:rPr>
        <w:footnoteReference w:id="25"/>
      </w:r>
      <w:r w:rsidRPr="00401691">
        <w:rPr>
          <w:rFonts w:asciiTheme="majorHAnsi" w:hAnsiTheme="majorHAnsi" w:cstheme="majorHAnsi"/>
          <w:color w:val="424242"/>
          <w:sz w:val="24"/>
          <w:szCs w:val="24"/>
          <w:shd w:val="clear" w:color="auto" w:fill="FFFFFF"/>
          <w:lang w:val="ro-MD"/>
        </w:rPr>
        <w:t xml:space="preserve">, </w:t>
      </w:r>
      <w:r w:rsidR="002D3B7E" w:rsidRPr="00401691">
        <w:rPr>
          <w:rFonts w:asciiTheme="majorHAnsi" w:hAnsiTheme="majorHAnsi" w:cstheme="majorHAnsi"/>
          <w:color w:val="424242"/>
          <w:sz w:val="24"/>
          <w:szCs w:val="24"/>
          <w:shd w:val="clear" w:color="auto" w:fill="FFFFFF"/>
          <w:lang w:val="ro-MD"/>
        </w:rPr>
        <w:t>în condițiile</w:t>
      </w:r>
      <w:r w:rsidRPr="00401691">
        <w:rPr>
          <w:rFonts w:asciiTheme="majorHAnsi" w:hAnsiTheme="majorHAnsi" w:cstheme="majorHAnsi"/>
          <w:color w:val="424242"/>
          <w:sz w:val="24"/>
          <w:szCs w:val="24"/>
          <w:shd w:val="clear" w:color="auto" w:fill="FFFFFF"/>
          <w:lang w:val="ro-MD"/>
        </w:rPr>
        <w:t xml:space="preserve"> art.15 alin.(2) lit.</w:t>
      </w:r>
      <w:r w:rsidR="007F7A57" w:rsidRPr="00401691">
        <w:rPr>
          <w:rFonts w:asciiTheme="majorHAnsi" w:hAnsiTheme="majorHAnsi" w:cstheme="majorHAnsi"/>
          <w:color w:val="424242"/>
          <w:sz w:val="24"/>
          <w:szCs w:val="24"/>
          <w:shd w:val="clear" w:color="auto" w:fill="FFFFFF"/>
          <w:lang w:val="ro-MD"/>
        </w:rPr>
        <w:t xml:space="preserve"> </w:t>
      </w:r>
      <w:r w:rsidRPr="00401691">
        <w:rPr>
          <w:rFonts w:asciiTheme="majorHAnsi" w:hAnsiTheme="majorHAnsi" w:cstheme="majorHAnsi"/>
          <w:color w:val="424242"/>
          <w:sz w:val="24"/>
          <w:szCs w:val="24"/>
          <w:shd w:val="clear" w:color="auto" w:fill="FFFFFF"/>
          <w:lang w:val="ro-MD"/>
        </w:rPr>
        <w:t xml:space="preserve">a) din </w:t>
      </w:r>
      <w:r w:rsidR="006613F8">
        <w:rPr>
          <w:rFonts w:asciiTheme="majorHAnsi" w:hAnsiTheme="majorHAnsi" w:cstheme="majorHAnsi"/>
          <w:sz w:val="24"/>
          <w:szCs w:val="24"/>
          <w:lang w:val="ro-MD"/>
        </w:rPr>
        <w:t>Legea nr.</w:t>
      </w:r>
      <w:r w:rsidRPr="00401691">
        <w:rPr>
          <w:rFonts w:asciiTheme="majorHAnsi" w:hAnsiTheme="majorHAnsi" w:cstheme="majorHAnsi"/>
          <w:sz w:val="24"/>
          <w:szCs w:val="24"/>
          <w:lang w:val="ro-MD"/>
        </w:rPr>
        <w:t>180 din 26.07.2018</w:t>
      </w:r>
      <w:r w:rsidR="00AD0044" w:rsidRPr="00401691">
        <w:rPr>
          <w:rFonts w:asciiTheme="majorHAnsi" w:hAnsiTheme="majorHAnsi" w:cstheme="majorHAnsi"/>
          <w:sz w:val="24"/>
          <w:szCs w:val="24"/>
          <w:lang w:val="ro-MD"/>
        </w:rPr>
        <w:t>.</w:t>
      </w:r>
    </w:p>
    <w:p w:rsidR="00427CC5" w:rsidRPr="006613F8" w:rsidRDefault="002D3B7E" w:rsidP="00844145">
      <w:pPr>
        <w:spacing w:after="0" w:line="276" w:lineRule="auto"/>
        <w:jc w:val="both"/>
        <w:rPr>
          <w:rFonts w:asciiTheme="majorHAnsi" w:hAnsiTheme="majorHAnsi" w:cstheme="majorHAnsi"/>
          <w:sz w:val="24"/>
          <w:szCs w:val="24"/>
          <w:lang w:val="ro-MD"/>
        </w:rPr>
      </w:pPr>
      <w:r w:rsidRPr="00401691">
        <w:rPr>
          <w:rFonts w:asciiTheme="majorHAnsi" w:hAnsiTheme="majorHAnsi" w:cstheme="majorHAnsi"/>
          <w:sz w:val="24"/>
          <w:szCs w:val="24"/>
          <w:lang w:val="ro-MD"/>
        </w:rPr>
        <w:t>În așa mod,</w:t>
      </w:r>
      <w:r w:rsidR="00D41AF5">
        <w:rPr>
          <w:rFonts w:asciiTheme="majorHAnsi" w:hAnsiTheme="majorHAnsi" w:cstheme="majorHAnsi"/>
          <w:sz w:val="24"/>
          <w:szCs w:val="24"/>
          <w:lang w:val="ro-MD"/>
        </w:rPr>
        <w:t xml:space="preserve"> </w:t>
      </w:r>
      <w:r w:rsidR="00065614" w:rsidRPr="00401691">
        <w:rPr>
          <w:rFonts w:asciiTheme="majorHAnsi" w:hAnsiTheme="majorHAnsi" w:cstheme="majorHAnsi"/>
          <w:sz w:val="24"/>
          <w:szCs w:val="24"/>
          <w:lang w:val="ro-MD"/>
        </w:rPr>
        <w:t>tergiversăril</w:t>
      </w:r>
      <w:r w:rsidR="00D41AF5">
        <w:rPr>
          <w:rFonts w:asciiTheme="majorHAnsi" w:hAnsiTheme="majorHAnsi" w:cstheme="majorHAnsi"/>
          <w:sz w:val="24"/>
          <w:szCs w:val="24"/>
          <w:lang w:val="ro-MD"/>
        </w:rPr>
        <w:t>e</w:t>
      </w:r>
      <w:r w:rsidR="00065614" w:rsidRPr="00401691">
        <w:rPr>
          <w:rFonts w:asciiTheme="majorHAnsi" w:hAnsiTheme="majorHAnsi" w:cstheme="majorHAnsi"/>
          <w:sz w:val="24"/>
          <w:szCs w:val="24"/>
          <w:lang w:val="ro-MD"/>
        </w:rPr>
        <w:t xml:space="preserve"> </w:t>
      </w:r>
      <w:r w:rsidRPr="00401691">
        <w:rPr>
          <w:rFonts w:asciiTheme="majorHAnsi" w:hAnsiTheme="majorHAnsi" w:cstheme="majorHAnsi"/>
          <w:sz w:val="24"/>
          <w:szCs w:val="24"/>
          <w:lang w:val="ro-MD"/>
        </w:rPr>
        <w:t xml:space="preserve">admise de angajații SFS </w:t>
      </w:r>
      <w:r w:rsidR="00065614" w:rsidRPr="00401691">
        <w:rPr>
          <w:rFonts w:asciiTheme="majorHAnsi" w:hAnsiTheme="majorHAnsi" w:cstheme="majorHAnsi"/>
          <w:sz w:val="24"/>
          <w:szCs w:val="24"/>
          <w:lang w:val="ro-MD"/>
        </w:rPr>
        <w:t xml:space="preserve">la perfectarea documentelor care stau la baza </w:t>
      </w:r>
      <w:r w:rsidR="00537EF0" w:rsidRPr="00401691">
        <w:rPr>
          <w:rFonts w:asciiTheme="majorHAnsi" w:hAnsiTheme="majorHAnsi" w:cstheme="majorHAnsi"/>
          <w:sz w:val="24"/>
          <w:szCs w:val="24"/>
          <w:lang w:val="ro-MD"/>
        </w:rPr>
        <w:t>înscrieril</w:t>
      </w:r>
      <w:r w:rsidR="00065614" w:rsidRPr="00401691">
        <w:rPr>
          <w:rFonts w:asciiTheme="majorHAnsi" w:hAnsiTheme="majorHAnsi" w:cstheme="majorHAnsi"/>
          <w:sz w:val="24"/>
          <w:szCs w:val="24"/>
          <w:lang w:val="ro-MD"/>
        </w:rPr>
        <w:t xml:space="preserve">or obligațiilor fiscale </w:t>
      </w:r>
      <w:r w:rsidR="00537EF0" w:rsidRPr="00401691">
        <w:rPr>
          <w:rFonts w:asciiTheme="majorHAnsi" w:hAnsiTheme="majorHAnsi" w:cstheme="majorHAnsi"/>
          <w:sz w:val="24"/>
          <w:szCs w:val="24"/>
          <w:lang w:val="ro-MD"/>
        </w:rPr>
        <w:t>în conturile personale ale contribuabililor</w:t>
      </w:r>
      <w:r w:rsidR="00065614" w:rsidRPr="00401691">
        <w:rPr>
          <w:rFonts w:asciiTheme="majorHAnsi" w:hAnsiTheme="majorHAnsi" w:cstheme="majorHAnsi"/>
          <w:sz w:val="24"/>
          <w:szCs w:val="24"/>
          <w:lang w:val="ro-MD"/>
        </w:rPr>
        <w:t xml:space="preserve">, conform </w:t>
      </w:r>
      <w:r w:rsidR="00537EF0" w:rsidRPr="00401691">
        <w:rPr>
          <w:rFonts w:asciiTheme="majorHAnsi" w:hAnsiTheme="majorHAnsi" w:cstheme="majorHAnsi"/>
          <w:sz w:val="24"/>
          <w:szCs w:val="24"/>
          <w:lang w:val="ro-MD"/>
        </w:rPr>
        <w:t xml:space="preserve">rezultatelor controalelor </w:t>
      </w:r>
      <w:r w:rsidR="00EF245E" w:rsidRPr="00401691">
        <w:rPr>
          <w:rFonts w:asciiTheme="majorHAnsi" w:hAnsiTheme="majorHAnsi" w:cstheme="majorHAnsi"/>
          <w:sz w:val="24"/>
          <w:szCs w:val="24"/>
          <w:lang w:val="ro-MD"/>
        </w:rPr>
        <w:t>fiscale</w:t>
      </w:r>
      <w:r w:rsidR="00537EF0" w:rsidRPr="00401691">
        <w:rPr>
          <w:rFonts w:asciiTheme="majorHAnsi" w:hAnsiTheme="majorHAnsi" w:cstheme="majorHAnsi"/>
          <w:sz w:val="24"/>
          <w:szCs w:val="24"/>
          <w:lang w:val="ro-MD"/>
        </w:rPr>
        <w:t>,</w:t>
      </w:r>
      <w:r w:rsidR="00C5059E" w:rsidRPr="00401691">
        <w:rPr>
          <w:rFonts w:asciiTheme="majorHAnsi" w:hAnsiTheme="majorHAnsi" w:cstheme="majorHAnsi"/>
          <w:sz w:val="24"/>
          <w:szCs w:val="24"/>
          <w:lang w:val="ro-MD"/>
        </w:rPr>
        <w:t xml:space="preserve"> </w:t>
      </w:r>
      <w:r w:rsidR="00065614" w:rsidRPr="00401691">
        <w:rPr>
          <w:rFonts w:asciiTheme="majorHAnsi" w:hAnsiTheme="majorHAnsi" w:cstheme="majorHAnsi"/>
          <w:sz w:val="24"/>
          <w:szCs w:val="24"/>
          <w:lang w:val="ro-MD"/>
        </w:rPr>
        <w:t>dar</w:t>
      </w:r>
      <w:r w:rsidR="00427CC5" w:rsidRPr="00401691">
        <w:rPr>
          <w:rFonts w:asciiTheme="majorHAnsi" w:hAnsiTheme="majorHAnsi" w:cstheme="majorHAnsi"/>
          <w:sz w:val="24"/>
          <w:szCs w:val="24"/>
          <w:lang w:val="ro-MD"/>
        </w:rPr>
        <w:t xml:space="preserve"> și </w:t>
      </w:r>
      <w:r w:rsidR="00065614" w:rsidRPr="00401691">
        <w:rPr>
          <w:rFonts w:asciiTheme="majorHAnsi" w:hAnsiTheme="majorHAnsi" w:cstheme="majorHAnsi"/>
          <w:sz w:val="24"/>
          <w:szCs w:val="24"/>
          <w:lang w:val="ro-MD"/>
        </w:rPr>
        <w:t>un</w:t>
      </w:r>
      <w:r w:rsidR="002B39F3">
        <w:rPr>
          <w:rFonts w:asciiTheme="majorHAnsi" w:hAnsiTheme="majorHAnsi" w:cstheme="majorHAnsi"/>
          <w:sz w:val="24"/>
          <w:szCs w:val="24"/>
          <w:lang w:val="ro-MD"/>
        </w:rPr>
        <w:t>ele</w:t>
      </w:r>
      <w:r w:rsidR="00065614" w:rsidRPr="00401691">
        <w:rPr>
          <w:rFonts w:asciiTheme="majorHAnsi" w:hAnsiTheme="majorHAnsi" w:cstheme="majorHAnsi"/>
          <w:sz w:val="24"/>
          <w:szCs w:val="24"/>
          <w:lang w:val="ro-MD"/>
        </w:rPr>
        <w:t xml:space="preserve"> omisiuni de date </w:t>
      </w:r>
      <w:r w:rsidR="00427CC5" w:rsidRPr="00401691">
        <w:rPr>
          <w:rFonts w:asciiTheme="majorHAnsi" w:hAnsiTheme="majorHAnsi" w:cstheme="majorHAnsi"/>
          <w:sz w:val="24"/>
          <w:szCs w:val="24"/>
          <w:lang w:val="ro-MD"/>
        </w:rPr>
        <w:t>din SIA CCC a</w:t>
      </w:r>
      <w:r w:rsidR="002B39F3">
        <w:rPr>
          <w:rFonts w:asciiTheme="majorHAnsi" w:hAnsiTheme="majorHAnsi" w:cstheme="majorHAnsi"/>
          <w:sz w:val="24"/>
          <w:szCs w:val="24"/>
          <w:lang w:val="ro-MD"/>
        </w:rPr>
        <w:t>u</w:t>
      </w:r>
      <w:r w:rsidR="00427CC5" w:rsidRPr="00401691">
        <w:rPr>
          <w:rFonts w:asciiTheme="majorHAnsi" w:hAnsiTheme="majorHAnsi" w:cstheme="majorHAnsi"/>
          <w:sz w:val="24"/>
          <w:szCs w:val="24"/>
          <w:lang w:val="ro-MD"/>
        </w:rPr>
        <w:t xml:space="preserve"> determinat </w:t>
      </w:r>
      <w:r w:rsidR="00B94556">
        <w:rPr>
          <w:rFonts w:asciiTheme="majorHAnsi" w:hAnsiTheme="majorHAnsi" w:cstheme="majorHAnsi"/>
          <w:sz w:val="24"/>
          <w:szCs w:val="24"/>
          <w:lang w:val="ro-MD"/>
        </w:rPr>
        <w:t xml:space="preserve">anularea majorărilor de întârziere și </w:t>
      </w:r>
      <w:r w:rsidR="002B39F3">
        <w:rPr>
          <w:rFonts w:asciiTheme="majorHAnsi" w:hAnsiTheme="majorHAnsi" w:cstheme="majorHAnsi"/>
          <w:sz w:val="24"/>
          <w:szCs w:val="24"/>
          <w:lang w:val="ro-MD"/>
        </w:rPr>
        <w:t xml:space="preserve">a </w:t>
      </w:r>
      <w:r w:rsidR="00B94556">
        <w:rPr>
          <w:rFonts w:asciiTheme="majorHAnsi" w:hAnsiTheme="majorHAnsi" w:cstheme="majorHAnsi"/>
          <w:sz w:val="24"/>
          <w:szCs w:val="24"/>
          <w:lang w:val="ro-MD"/>
        </w:rPr>
        <w:t>amenzil</w:t>
      </w:r>
      <w:r w:rsidR="002B39F3">
        <w:rPr>
          <w:rFonts w:asciiTheme="majorHAnsi" w:hAnsiTheme="majorHAnsi" w:cstheme="majorHAnsi"/>
          <w:sz w:val="24"/>
          <w:szCs w:val="24"/>
          <w:lang w:val="ro-MD"/>
        </w:rPr>
        <w:t>or</w:t>
      </w:r>
      <w:r w:rsidR="00427CC5" w:rsidRPr="00401691">
        <w:rPr>
          <w:rFonts w:asciiTheme="majorHAnsi" w:hAnsiTheme="majorHAnsi" w:cstheme="majorHAnsi"/>
          <w:sz w:val="24"/>
          <w:szCs w:val="24"/>
          <w:lang w:val="ro-MD"/>
        </w:rPr>
        <w:t xml:space="preserve"> în sumă totală de 2,1 mil. lei a</w:t>
      </w:r>
      <w:r w:rsidR="002B39F3">
        <w:rPr>
          <w:rFonts w:asciiTheme="majorHAnsi" w:hAnsiTheme="majorHAnsi" w:cstheme="majorHAnsi"/>
          <w:sz w:val="24"/>
          <w:szCs w:val="24"/>
          <w:lang w:val="ro-MD"/>
        </w:rPr>
        <w:t>le</w:t>
      </w:r>
      <w:r w:rsidR="00427CC5" w:rsidRPr="00401691">
        <w:rPr>
          <w:rFonts w:asciiTheme="majorHAnsi" w:hAnsiTheme="majorHAnsi" w:cstheme="majorHAnsi"/>
          <w:sz w:val="24"/>
          <w:szCs w:val="24"/>
          <w:lang w:val="ro-MD"/>
        </w:rPr>
        <w:t xml:space="preserve"> 11 contribuabili după expirarea termenelor-limită stabilite pentru stimularea fiscală, prin î</w:t>
      </w:r>
      <w:r w:rsidR="006613F8">
        <w:rPr>
          <w:rFonts w:asciiTheme="majorHAnsi" w:hAnsiTheme="majorHAnsi" w:cstheme="majorHAnsi"/>
          <w:sz w:val="24"/>
          <w:szCs w:val="24"/>
          <w:lang w:val="ro-MD"/>
        </w:rPr>
        <w:t>nscrierea documentului de anular</w:t>
      </w:r>
      <w:r w:rsidR="00427CC5" w:rsidRPr="00401691">
        <w:rPr>
          <w:rFonts w:asciiTheme="majorHAnsi" w:hAnsiTheme="majorHAnsi" w:cstheme="majorHAnsi"/>
          <w:sz w:val="24"/>
          <w:szCs w:val="24"/>
          <w:lang w:val="ro-MD"/>
        </w:rPr>
        <w:t>e în sistem la 17.04.2019. Acest fapt a dus și la raportarea incorectă a sumei amenzilor și majorărilor de întârziere aferente stimulării fiscale,</w:t>
      </w:r>
      <w:r w:rsidR="002B39F3">
        <w:rPr>
          <w:rFonts w:asciiTheme="majorHAnsi" w:hAnsiTheme="majorHAnsi" w:cstheme="majorHAnsi"/>
          <w:sz w:val="24"/>
          <w:szCs w:val="24"/>
          <w:lang w:val="ro-MD"/>
        </w:rPr>
        <w:t xml:space="preserve"> fiind</w:t>
      </w:r>
      <w:r w:rsidR="00427CC5" w:rsidRPr="00401691">
        <w:rPr>
          <w:rFonts w:asciiTheme="majorHAnsi" w:hAnsiTheme="majorHAnsi" w:cstheme="majorHAnsi"/>
          <w:sz w:val="24"/>
          <w:szCs w:val="24"/>
          <w:lang w:val="ro-MD"/>
        </w:rPr>
        <w:t xml:space="preserve"> </w:t>
      </w:r>
      <w:r w:rsidR="005A3767">
        <w:rPr>
          <w:rFonts w:asciiTheme="majorHAnsi" w:hAnsiTheme="majorHAnsi" w:cstheme="majorHAnsi"/>
          <w:sz w:val="24"/>
          <w:szCs w:val="24"/>
          <w:lang w:val="ro-MD"/>
        </w:rPr>
        <w:t>diminu</w:t>
      </w:r>
      <w:r w:rsidR="002B39F3">
        <w:rPr>
          <w:rFonts w:asciiTheme="majorHAnsi" w:hAnsiTheme="majorHAnsi" w:cstheme="majorHAnsi"/>
          <w:sz w:val="24"/>
          <w:szCs w:val="24"/>
          <w:lang w:val="ro-MD"/>
        </w:rPr>
        <w:t xml:space="preserve">ată </w:t>
      </w:r>
      <w:r w:rsidR="005A3767">
        <w:rPr>
          <w:rFonts w:asciiTheme="majorHAnsi" w:hAnsiTheme="majorHAnsi" w:cstheme="majorHAnsi"/>
          <w:sz w:val="24"/>
          <w:szCs w:val="24"/>
          <w:lang w:val="ro-MD"/>
        </w:rPr>
        <w:t xml:space="preserve">  </w:t>
      </w:r>
      <w:r w:rsidR="002B39F3" w:rsidRPr="00401691">
        <w:rPr>
          <w:rFonts w:asciiTheme="majorHAnsi" w:hAnsiTheme="majorHAnsi" w:cstheme="majorHAnsi"/>
          <w:sz w:val="24"/>
          <w:szCs w:val="24"/>
          <w:lang w:val="ro-MD"/>
        </w:rPr>
        <w:t>neregulamenta</w:t>
      </w:r>
      <w:r w:rsidR="002B39F3">
        <w:rPr>
          <w:rFonts w:asciiTheme="majorHAnsi" w:hAnsiTheme="majorHAnsi" w:cstheme="majorHAnsi"/>
          <w:sz w:val="24"/>
          <w:szCs w:val="24"/>
          <w:lang w:val="ro-MD"/>
        </w:rPr>
        <w:t xml:space="preserve">r cu </w:t>
      </w:r>
      <w:r w:rsidR="005A3767">
        <w:rPr>
          <w:rFonts w:asciiTheme="majorHAnsi" w:hAnsiTheme="majorHAnsi" w:cstheme="majorHAnsi"/>
          <w:sz w:val="24"/>
          <w:szCs w:val="24"/>
          <w:lang w:val="ro-MD"/>
        </w:rPr>
        <w:t>2,1 mil. lei</w:t>
      </w:r>
      <w:r w:rsidR="002B39F3">
        <w:rPr>
          <w:rFonts w:asciiTheme="majorHAnsi" w:hAnsiTheme="majorHAnsi" w:cstheme="majorHAnsi"/>
          <w:sz w:val="24"/>
          <w:szCs w:val="24"/>
          <w:lang w:val="ro-MD"/>
        </w:rPr>
        <w:t xml:space="preserve"> (</w:t>
      </w:r>
      <w:r w:rsidR="005A3767">
        <w:rPr>
          <w:rFonts w:asciiTheme="majorHAnsi" w:hAnsiTheme="majorHAnsi" w:cstheme="majorHAnsi"/>
          <w:sz w:val="24"/>
          <w:szCs w:val="24"/>
          <w:lang w:val="ro-MD"/>
        </w:rPr>
        <w:t xml:space="preserve"> </w:t>
      </w:r>
      <w:r w:rsidR="00E63078">
        <w:rPr>
          <w:rFonts w:asciiTheme="majorHAnsi" w:hAnsiTheme="majorHAnsi" w:cstheme="majorHAnsi"/>
          <w:sz w:val="24"/>
          <w:szCs w:val="24"/>
          <w:lang w:val="ro-MD"/>
        </w:rPr>
        <w:t xml:space="preserve">vezi </w:t>
      </w:r>
      <w:r w:rsidR="00427CC5" w:rsidRPr="006613F8">
        <w:rPr>
          <w:rFonts w:asciiTheme="majorHAnsi" w:hAnsiTheme="majorHAnsi" w:cstheme="majorHAnsi"/>
          <w:sz w:val="24"/>
          <w:szCs w:val="24"/>
          <w:lang w:val="ro-MD"/>
        </w:rPr>
        <w:t>Anexa nr. 6 la Raportul de audit</w:t>
      </w:r>
      <w:r w:rsidR="002B39F3">
        <w:rPr>
          <w:rFonts w:asciiTheme="majorHAnsi" w:hAnsiTheme="majorHAnsi" w:cstheme="majorHAnsi"/>
          <w:sz w:val="24"/>
          <w:szCs w:val="24"/>
          <w:lang w:val="ro-MD"/>
        </w:rPr>
        <w:t>)</w:t>
      </w:r>
      <w:r w:rsidR="00427CC5" w:rsidRPr="006613F8">
        <w:rPr>
          <w:rFonts w:asciiTheme="majorHAnsi" w:hAnsiTheme="majorHAnsi" w:cstheme="majorHAnsi"/>
          <w:sz w:val="24"/>
          <w:szCs w:val="24"/>
          <w:lang w:val="ro-MD"/>
        </w:rPr>
        <w:t>.</w:t>
      </w:r>
    </w:p>
    <w:p w:rsidR="000E6DC7" w:rsidRPr="00401691" w:rsidRDefault="000E6DC7" w:rsidP="00844145">
      <w:pPr>
        <w:spacing w:after="0" w:line="276" w:lineRule="auto"/>
        <w:jc w:val="both"/>
        <w:rPr>
          <w:rFonts w:asciiTheme="majorHAnsi" w:hAnsiTheme="majorHAnsi" w:cstheme="majorHAnsi"/>
          <w:sz w:val="24"/>
          <w:szCs w:val="24"/>
          <w:lang w:val="ro-MD"/>
        </w:rPr>
      </w:pPr>
      <w:r w:rsidRPr="00401691">
        <w:rPr>
          <w:rFonts w:asciiTheme="majorHAnsi" w:hAnsiTheme="majorHAnsi" w:cstheme="majorHAnsi"/>
          <w:sz w:val="24"/>
          <w:szCs w:val="24"/>
          <w:lang w:val="ro-MD"/>
        </w:rPr>
        <w:lastRenderedPageBreak/>
        <w:t xml:space="preserve">Cele menționate </w:t>
      </w:r>
      <w:r w:rsidR="002B39F3" w:rsidRPr="00401691">
        <w:rPr>
          <w:rFonts w:asciiTheme="majorHAnsi" w:hAnsiTheme="majorHAnsi" w:cstheme="majorHAnsi"/>
          <w:sz w:val="24"/>
          <w:szCs w:val="24"/>
          <w:lang w:val="ro-MD"/>
        </w:rPr>
        <w:t xml:space="preserve">denotă </w:t>
      </w:r>
      <w:r w:rsidRPr="00401691">
        <w:rPr>
          <w:rFonts w:asciiTheme="majorHAnsi" w:hAnsiTheme="majorHAnsi" w:cstheme="majorHAnsi"/>
          <w:sz w:val="24"/>
          <w:szCs w:val="24"/>
          <w:lang w:val="ro-MD"/>
        </w:rPr>
        <w:t xml:space="preserve">încă o dată existența în cadrul </w:t>
      </w:r>
      <w:r w:rsidR="006613F8">
        <w:rPr>
          <w:rFonts w:asciiTheme="majorHAnsi" w:hAnsiTheme="majorHAnsi" w:cstheme="majorHAnsi"/>
          <w:sz w:val="24"/>
          <w:szCs w:val="24"/>
          <w:lang w:val="ro-MD"/>
        </w:rPr>
        <w:t>SFS</w:t>
      </w:r>
      <w:r w:rsidRPr="00401691">
        <w:rPr>
          <w:rFonts w:asciiTheme="majorHAnsi" w:hAnsiTheme="majorHAnsi" w:cstheme="majorHAnsi"/>
          <w:sz w:val="24"/>
          <w:szCs w:val="24"/>
          <w:lang w:val="ro-MD"/>
        </w:rPr>
        <w:t xml:space="preserve"> a unor controale de prevenire slabe, care nu depistează în termen</w:t>
      </w:r>
      <w:r w:rsidR="002B39F3">
        <w:rPr>
          <w:rFonts w:asciiTheme="majorHAnsi" w:hAnsiTheme="majorHAnsi" w:cstheme="majorHAnsi"/>
          <w:sz w:val="24"/>
          <w:szCs w:val="24"/>
          <w:lang w:val="ro-MD"/>
        </w:rPr>
        <w:t>e</w:t>
      </w:r>
      <w:r w:rsidRPr="00401691">
        <w:rPr>
          <w:rFonts w:asciiTheme="majorHAnsi" w:hAnsiTheme="majorHAnsi" w:cstheme="majorHAnsi"/>
          <w:sz w:val="24"/>
          <w:szCs w:val="24"/>
          <w:lang w:val="ro-MD"/>
        </w:rPr>
        <w:t xml:space="preserve"> oportun</w:t>
      </w:r>
      <w:r w:rsidR="002B39F3">
        <w:rPr>
          <w:rFonts w:asciiTheme="majorHAnsi" w:hAnsiTheme="majorHAnsi" w:cstheme="majorHAnsi"/>
          <w:sz w:val="24"/>
          <w:szCs w:val="24"/>
          <w:lang w:val="ro-MD"/>
        </w:rPr>
        <w:t>e</w:t>
      </w:r>
      <w:r w:rsidRPr="00401691">
        <w:rPr>
          <w:rFonts w:asciiTheme="majorHAnsi" w:hAnsiTheme="majorHAnsi" w:cstheme="majorHAnsi"/>
          <w:sz w:val="24"/>
          <w:szCs w:val="24"/>
          <w:lang w:val="ro-MD"/>
        </w:rPr>
        <w:t xml:space="preserve"> erorile cu privire la restanța contribuabililor.</w:t>
      </w:r>
    </w:p>
    <w:p w:rsidR="00357A00" w:rsidRPr="007D38DE" w:rsidRDefault="002B39F3" w:rsidP="00BB334D">
      <w:pPr>
        <w:pStyle w:val="Heading3"/>
        <w:numPr>
          <w:ilvl w:val="1"/>
          <w:numId w:val="34"/>
        </w:numPr>
        <w:tabs>
          <w:tab w:val="left" w:pos="0"/>
          <w:tab w:val="left" w:pos="360"/>
        </w:tabs>
        <w:spacing w:before="240" w:after="120" w:line="276" w:lineRule="auto"/>
        <w:ind w:left="0" w:firstLine="0"/>
        <w:jc w:val="both"/>
        <w:rPr>
          <w:rFonts w:cstheme="majorHAnsi"/>
          <w:b/>
        </w:rPr>
      </w:pPr>
      <w:bookmarkStart w:id="16" w:name="_Toc48732728"/>
      <w:r>
        <w:rPr>
          <w:rFonts w:cstheme="majorHAnsi"/>
          <w:b/>
          <w:lang w:val="ro-MD"/>
        </w:rPr>
        <w:t xml:space="preserve">. </w:t>
      </w:r>
      <w:r w:rsidR="00BB334D">
        <w:rPr>
          <w:rFonts w:cstheme="majorHAnsi"/>
          <w:b/>
          <w:lang w:val="ro-MD"/>
        </w:rPr>
        <w:t>P</w:t>
      </w:r>
      <w:proofErr w:type="spellStart"/>
      <w:r w:rsidR="00BB334D">
        <w:rPr>
          <w:rFonts w:cstheme="majorHAnsi"/>
          <w:b/>
        </w:rPr>
        <w:t>rocedura</w:t>
      </w:r>
      <w:proofErr w:type="spellEnd"/>
      <w:r w:rsidR="00E831B9">
        <w:rPr>
          <w:rFonts w:cstheme="majorHAnsi"/>
          <w:b/>
        </w:rPr>
        <w:t xml:space="preserve"> </w:t>
      </w:r>
      <w:r w:rsidR="00357A00" w:rsidRPr="007D38DE">
        <w:rPr>
          <w:rFonts w:cstheme="majorHAnsi"/>
          <w:b/>
        </w:rPr>
        <w:t xml:space="preserve">de elaborare a listei contribuabililor restanțieri </w:t>
      </w:r>
      <w:r w:rsidR="00BB334D">
        <w:rPr>
          <w:rFonts w:cstheme="majorHAnsi"/>
          <w:b/>
        </w:rPr>
        <w:t xml:space="preserve">s-a îmbunătățit </w:t>
      </w:r>
      <w:r w:rsidR="00656EA5">
        <w:rPr>
          <w:rFonts w:cstheme="majorHAnsi"/>
          <w:b/>
        </w:rPr>
        <w:t>în</w:t>
      </w:r>
      <w:r w:rsidR="00E831B9">
        <w:rPr>
          <w:rFonts w:cstheme="majorHAnsi"/>
          <w:b/>
        </w:rPr>
        <w:t xml:space="preserve"> rezultatul activităților de audit intern</w:t>
      </w:r>
      <w:bookmarkEnd w:id="16"/>
      <w:r w:rsidR="0031358F">
        <w:rPr>
          <w:rFonts w:cstheme="majorHAnsi"/>
          <w:b/>
        </w:rPr>
        <w:t>.</w:t>
      </w:r>
    </w:p>
    <w:p w:rsidR="00357A00" w:rsidRPr="00401691" w:rsidRDefault="00357A00" w:rsidP="00844145">
      <w:pPr>
        <w:spacing w:line="276" w:lineRule="auto"/>
        <w:jc w:val="both"/>
        <w:rPr>
          <w:rFonts w:asciiTheme="majorHAnsi" w:hAnsiTheme="majorHAnsi" w:cstheme="majorHAnsi"/>
          <w:sz w:val="24"/>
          <w:szCs w:val="24"/>
          <w:lang w:val="ro-MD"/>
        </w:rPr>
      </w:pPr>
      <w:r w:rsidRPr="00401691">
        <w:rPr>
          <w:rFonts w:asciiTheme="majorHAnsi" w:hAnsiTheme="majorHAnsi" w:cstheme="majorHAnsi"/>
          <w:sz w:val="24"/>
          <w:szCs w:val="24"/>
          <w:lang w:val="ro-MD"/>
        </w:rPr>
        <w:t>Procesul privind</w:t>
      </w:r>
      <w:r w:rsidR="00D41AF5">
        <w:rPr>
          <w:rFonts w:asciiTheme="majorHAnsi" w:hAnsiTheme="majorHAnsi" w:cstheme="majorHAnsi"/>
          <w:sz w:val="24"/>
          <w:szCs w:val="24"/>
          <w:lang w:val="ro-MD"/>
        </w:rPr>
        <w:t xml:space="preserve"> </w:t>
      </w:r>
      <w:r w:rsidRPr="00401691">
        <w:rPr>
          <w:rFonts w:asciiTheme="majorHAnsi" w:hAnsiTheme="majorHAnsi" w:cstheme="majorHAnsi"/>
          <w:sz w:val="24"/>
          <w:szCs w:val="24"/>
          <w:lang w:val="ro-MD"/>
        </w:rPr>
        <w:t>lucru</w:t>
      </w:r>
      <w:r w:rsidR="00D41AF5">
        <w:rPr>
          <w:rFonts w:asciiTheme="majorHAnsi" w:hAnsiTheme="majorHAnsi" w:cstheme="majorHAnsi"/>
          <w:sz w:val="24"/>
          <w:szCs w:val="24"/>
          <w:lang w:val="ro-MD"/>
        </w:rPr>
        <w:t>l</w:t>
      </w:r>
      <w:r w:rsidRPr="00401691">
        <w:rPr>
          <w:rFonts w:asciiTheme="majorHAnsi" w:hAnsiTheme="majorHAnsi" w:cstheme="majorHAnsi"/>
          <w:sz w:val="24"/>
          <w:szCs w:val="24"/>
          <w:lang w:val="ro-MD"/>
        </w:rPr>
        <w:t xml:space="preserve"> cu contribuabilii c</w:t>
      </w:r>
      <w:r w:rsidR="002B39F3">
        <w:rPr>
          <w:rFonts w:asciiTheme="majorHAnsi" w:hAnsiTheme="majorHAnsi" w:cstheme="majorHAnsi"/>
          <w:sz w:val="24"/>
          <w:szCs w:val="24"/>
          <w:lang w:val="ro-MD"/>
        </w:rPr>
        <w:t>ar</w:t>
      </w:r>
      <w:r w:rsidRPr="00401691">
        <w:rPr>
          <w:rFonts w:asciiTheme="majorHAnsi" w:hAnsiTheme="majorHAnsi" w:cstheme="majorHAnsi"/>
          <w:sz w:val="24"/>
          <w:szCs w:val="24"/>
          <w:lang w:val="ro-MD"/>
        </w:rPr>
        <w:t>e au admis restanțe la plata obligațiilor fiscale este reglementat prin norme interne</w:t>
      </w:r>
      <w:r w:rsidRPr="00401691">
        <w:rPr>
          <w:rStyle w:val="FootnoteReference"/>
          <w:rFonts w:asciiTheme="majorHAnsi" w:hAnsiTheme="majorHAnsi" w:cstheme="majorHAnsi"/>
          <w:sz w:val="24"/>
          <w:szCs w:val="24"/>
          <w:lang w:val="ro-MD"/>
        </w:rPr>
        <w:footnoteReference w:id="26"/>
      </w:r>
      <w:r w:rsidRPr="00401691">
        <w:rPr>
          <w:rFonts w:asciiTheme="majorHAnsi" w:hAnsiTheme="majorHAnsi" w:cstheme="majorHAnsi"/>
          <w:sz w:val="24"/>
          <w:szCs w:val="24"/>
          <w:lang w:val="ro-MD"/>
        </w:rPr>
        <w:t xml:space="preserve"> și demarează prin întocmirea</w:t>
      </w:r>
      <w:r w:rsidRPr="00401691">
        <w:rPr>
          <w:rStyle w:val="FootnoteReference"/>
          <w:rFonts w:asciiTheme="majorHAnsi" w:hAnsiTheme="majorHAnsi" w:cstheme="majorHAnsi"/>
          <w:sz w:val="24"/>
          <w:szCs w:val="24"/>
          <w:lang w:val="ro-MD"/>
        </w:rPr>
        <w:footnoteReference w:id="27"/>
      </w:r>
      <w:r w:rsidRPr="00401691">
        <w:rPr>
          <w:rFonts w:asciiTheme="majorHAnsi" w:hAnsiTheme="majorHAnsi" w:cstheme="majorHAnsi"/>
          <w:sz w:val="24"/>
          <w:szCs w:val="24"/>
          <w:lang w:val="ro-MD"/>
        </w:rPr>
        <w:t xml:space="preserve"> de către funcționarii fiscali din cadrul DDF a Listei restanțierilor, care </w:t>
      </w:r>
      <w:r w:rsidRPr="000B204E">
        <w:rPr>
          <w:rFonts w:asciiTheme="majorHAnsi" w:hAnsiTheme="majorHAnsi" w:cstheme="majorHAnsi"/>
          <w:sz w:val="24"/>
          <w:szCs w:val="24"/>
          <w:lang w:val="ro-MD"/>
        </w:rPr>
        <w:t>stau</w:t>
      </w:r>
      <w:r w:rsidRPr="00401691">
        <w:rPr>
          <w:rFonts w:asciiTheme="majorHAnsi" w:hAnsiTheme="majorHAnsi" w:cstheme="majorHAnsi"/>
          <w:sz w:val="24"/>
          <w:szCs w:val="24"/>
          <w:lang w:val="ro-MD"/>
        </w:rPr>
        <w:t xml:space="preserve"> la baza inițierii procesului de recuperare a arieratelor.</w:t>
      </w:r>
    </w:p>
    <w:p w:rsidR="00F14CEA" w:rsidRDefault="00357A00" w:rsidP="00844145">
      <w:pPr>
        <w:spacing w:line="276" w:lineRule="auto"/>
        <w:jc w:val="both"/>
        <w:rPr>
          <w:rFonts w:asciiTheme="majorHAnsi" w:hAnsiTheme="majorHAnsi" w:cstheme="majorHAnsi"/>
          <w:sz w:val="24"/>
          <w:szCs w:val="24"/>
          <w:lang w:val="ro-MD"/>
        </w:rPr>
      </w:pPr>
      <w:r w:rsidRPr="00401691">
        <w:rPr>
          <w:rFonts w:asciiTheme="majorHAnsi" w:hAnsiTheme="majorHAnsi" w:cstheme="majorHAnsi"/>
          <w:sz w:val="24"/>
          <w:szCs w:val="24"/>
          <w:lang w:val="ro-MD"/>
        </w:rPr>
        <w:t>Deși</w:t>
      </w:r>
      <w:r w:rsidR="002B39F3">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urmare activităților de audit intern</w:t>
      </w:r>
      <w:r w:rsidR="002B39F3">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SFS înregistrează unele îmbunătățiri privind întocmirea listelor restanțierilor, totuși</w:t>
      </w:r>
      <w:r w:rsidR="00420763">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acest proces este</w:t>
      </w:r>
      <w:r w:rsidR="00420763">
        <w:rPr>
          <w:rFonts w:asciiTheme="majorHAnsi" w:hAnsiTheme="majorHAnsi" w:cstheme="majorHAnsi"/>
          <w:sz w:val="24"/>
          <w:szCs w:val="24"/>
          <w:lang w:val="ro-MD"/>
        </w:rPr>
        <w:t xml:space="preserve"> </w:t>
      </w:r>
      <w:r w:rsidR="00420763" w:rsidRPr="00401691">
        <w:rPr>
          <w:rFonts w:asciiTheme="majorHAnsi" w:hAnsiTheme="majorHAnsi" w:cstheme="majorHAnsi"/>
          <w:sz w:val="24"/>
          <w:szCs w:val="24"/>
          <w:lang w:val="ro-MD"/>
        </w:rPr>
        <w:t xml:space="preserve">marcat </w:t>
      </w:r>
      <w:r w:rsidR="00420763">
        <w:rPr>
          <w:rFonts w:asciiTheme="majorHAnsi" w:hAnsiTheme="majorHAnsi" w:cstheme="majorHAnsi"/>
          <w:sz w:val="24"/>
          <w:szCs w:val="24"/>
          <w:lang w:val="ro-MD"/>
        </w:rPr>
        <w:t>în</w:t>
      </w:r>
      <w:r w:rsidRPr="00401691">
        <w:rPr>
          <w:rFonts w:asciiTheme="majorHAnsi" w:hAnsiTheme="majorHAnsi" w:cstheme="majorHAnsi"/>
          <w:sz w:val="24"/>
          <w:szCs w:val="24"/>
          <w:lang w:val="ro-MD"/>
        </w:rPr>
        <w:t xml:space="preserve"> continu</w:t>
      </w:r>
      <w:r w:rsidR="00420763">
        <w:rPr>
          <w:rFonts w:asciiTheme="majorHAnsi" w:hAnsiTheme="majorHAnsi" w:cstheme="majorHAnsi"/>
          <w:sz w:val="24"/>
          <w:szCs w:val="24"/>
          <w:lang w:val="ro-MD"/>
        </w:rPr>
        <w:t>are</w:t>
      </w:r>
      <w:r w:rsidRPr="00401691">
        <w:rPr>
          <w:rFonts w:asciiTheme="majorHAnsi" w:hAnsiTheme="majorHAnsi" w:cstheme="majorHAnsi"/>
          <w:sz w:val="24"/>
          <w:szCs w:val="24"/>
          <w:lang w:val="ro-MD"/>
        </w:rPr>
        <w:t xml:space="preserve"> de</w:t>
      </w:r>
      <w:r w:rsidR="003012D0" w:rsidRPr="00401691">
        <w:rPr>
          <w:rFonts w:asciiTheme="majorHAnsi" w:hAnsiTheme="majorHAnsi" w:cstheme="majorHAnsi"/>
          <w:sz w:val="24"/>
          <w:szCs w:val="24"/>
          <w:lang w:val="ro-MD"/>
        </w:rPr>
        <w:t xml:space="preserve"> unele erori </w:t>
      </w:r>
      <w:r w:rsidRPr="00401691">
        <w:rPr>
          <w:rFonts w:asciiTheme="majorHAnsi" w:hAnsiTheme="majorHAnsi" w:cstheme="majorHAnsi"/>
          <w:sz w:val="24"/>
          <w:szCs w:val="24"/>
          <w:lang w:val="ro-MD"/>
        </w:rPr>
        <w:t>cu caracter persistent.</w:t>
      </w:r>
    </w:p>
    <w:p w:rsidR="00357A00" w:rsidRPr="00401691" w:rsidRDefault="00357A00" w:rsidP="00844145">
      <w:pPr>
        <w:spacing w:line="276" w:lineRule="auto"/>
        <w:jc w:val="both"/>
        <w:rPr>
          <w:rFonts w:asciiTheme="majorHAnsi" w:hAnsiTheme="majorHAnsi" w:cstheme="majorHAnsi"/>
          <w:sz w:val="24"/>
          <w:szCs w:val="24"/>
          <w:lang w:val="ro-MD"/>
        </w:rPr>
      </w:pPr>
      <w:r w:rsidRPr="00401691">
        <w:rPr>
          <w:rFonts w:asciiTheme="majorHAnsi" w:hAnsiTheme="majorHAnsi" w:cstheme="majorHAnsi"/>
          <w:sz w:val="24"/>
          <w:szCs w:val="24"/>
          <w:lang w:val="ro-MD"/>
        </w:rPr>
        <w:t>În contextul expus</w:t>
      </w:r>
      <w:r w:rsidR="00420763">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se menționează că</w:t>
      </w:r>
      <w:r w:rsidR="00420763">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pe parcursul anului 2019,</w:t>
      </w:r>
      <w:r w:rsidR="00656EA5">
        <w:rPr>
          <w:rFonts w:asciiTheme="majorHAnsi" w:hAnsiTheme="majorHAnsi" w:cstheme="majorHAnsi"/>
          <w:sz w:val="24"/>
          <w:szCs w:val="24"/>
          <w:lang w:val="ro-MD"/>
        </w:rPr>
        <w:t xml:space="preserve"> DAI din cadrul SFS a verificat</w:t>
      </w:r>
      <w:r w:rsidRPr="00401691">
        <w:rPr>
          <w:rFonts w:asciiTheme="majorHAnsi" w:hAnsiTheme="majorHAnsi" w:cstheme="majorHAnsi"/>
          <w:sz w:val="24"/>
          <w:szCs w:val="24"/>
          <w:lang w:val="ro-MD"/>
        </w:rPr>
        <w:t xml:space="preserve"> modul de identificare a restanțierilor și </w:t>
      </w:r>
      <w:r w:rsidR="00420763">
        <w:rPr>
          <w:rFonts w:asciiTheme="majorHAnsi" w:hAnsiTheme="majorHAnsi" w:cstheme="majorHAnsi"/>
          <w:sz w:val="24"/>
          <w:szCs w:val="24"/>
          <w:lang w:val="ro-MD"/>
        </w:rPr>
        <w:t xml:space="preserve">de </w:t>
      </w:r>
      <w:r w:rsidRPr="00401691">
        <w:rPr>
          <w:rFonts w:asciiTheme="majorHAnsi" w:hAnsiTheme="majorHAnsi" w:cstheme="majorHAnsi"/>
          <w:sz w:val="24"/>
          <w:szCs w:val="24"/>
          <w:lang w:val="ro-MD"/>
        </w:rPr>
        <w:t xml:space="preserve">întocmire de către DDF a listelor contribuabililor cu arierate la buget, în scopul transmiterii </w:t>
      </w:r>
      <w:r w:rsidRPr="00401691">
        <w:rPr>
          <w:rFonts w:asciiTheme="majorHAnsi" w:hAnsiTheme="majorHAnsi" w:cstheme="majorHAnsi"/>
          <w:sz w:val="24"/>
          <w:szCs w:val="24"/>
          <w:lang w:val="ro-MD"/>
        </w:rPr>
        <w:lastRenderedPageBreak/>
        <w:t>acestora în adresa DGA</w:t>
      </w:r>
      <w:r w:rsidR="00420763">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pentru asigurarea executării silite</w:t>
      </w:r>
      <w:r w:rsidRPr="00401691">
        <w:rPr>
          <w:rStyle w:val="FootnoteReference"/>
          <w:rFonts w:asciiTheme="majorHAnsi" w:hAnsiTheme="majorHAnsi" w:cstheme="majorHAnsi"/>
          <w:sz w:val="24"/>
          <w:szCs w:val="24"/>
          <w:lang w:val="ro-MD"/>
        </w:rPr>
        <w:footnoteReference w:id="28"/>
      </w:r>
      <w:r w:rsidRPr="00401691">
        <w:rPr>
          <w:rFonts w:asciiTheme="majorHAnsi" w:hAnsiTheme="majorHAnsi" w:cstheme="majorHAnsi"/>
          <w:sz w:val="24"/>
          <w:szCs w:val="24"/>
          <w:lang w:val="ro-MD"/>
        </w:rPr>
        <w:t xml:space="preserve">. </w:t>
      </w:r>
      <w:r w:rsidR="00443F96" w:rsidRPr="00401691">
        <w:rPr>
          <w:rFonts w:asciiTheme="majorHAnsi" w:hAnsiTheme="majorHAnsi" w:cstheme="majorHAnsi"/>
          <w:sz w:val="24"/>
          <w:szCs w:val="24"/>
          <w:lang w:val="ro-MD"/>
        </w:rPr>
        <w:t>Auditul intern a atestat nereguli semnificative, inclusiv</w:t>
      </w:r>
      <w:r w:rsidRPr="00401691">
        <w:rPr>
          <w:rFonts w:asciiTheme="majorHAnsi" w:hAnsiTheme="majorHAnsi" w:cstheme="majorHAnsi"/>
          <w:sz w:val="24"/>
          <w:szCs w:val="24"/>
          <w:lang w:val="ro-MD"/>
        </w:rPr>
        <w:t xml:space="preserve"> omisiuni de date</w:t>
      </w:r>
      <w:r w:rsidR="00443F96" w:rsidRPr="00401691">
        <w:rPr>
          <w:rFonts w:asciiTheme="majorHAnsi" w:hAnsiTheme="majorHAnsi" w:cstheme="majorHAnsi"/>
          <w:sz w:val="24"/>
          <w:szCs w:val="24"/>
          <w:lang w:val="ro-MD"/>
        </w:rPr>
        <w:t>,</w:t>
      </w:r>
      <w:r w:rsidR="005A3767">
        <w:rPr>
          <w:rFonts w:asciiTheme="majorHAnsi" w:hAnsiTheme="majorHAnsi" w:cstheme="majorHAnsi"/>
          <w:sz w:val="24"/>
          <w:szCs w:val="24"/>
          <w:lang w:val="ro-MD"/>
        </w:rPr>
        <w:t xml:space="preserve"> </w:t>
      </w:r>
      <w:r w:rsidRPr="00401691">
        <w:rPr>
          <w:rFonts w:asciiTheme="majorHAnsi" w:hAnsiTheme="majorHAnsi" w:cstheme="majorHAnsi"/>
          <w:sz w:val="24"/>
          <w:szCs w:val="24"/>
          <w:lang w:val="ro-MD"/>
        </w:rPr>
        <w:t xml:space="preserve">existența abordărilor diferențiate privind completarea/formatul listei restanțierilor în cadrul DDF, </w:t>
      </w:r>
      <w:r w:rsidR="00DF5F59" w:rsidRPr="00401691">
        <w:rPr>
          <w:rFonts w:asciiTheme="majorHAnsi" w:hAnsiTheme="majorHAnsi" w:cstheme="majorHAnsi"/>
          <w:sz w:val="24"/>
          <w:szCs w:val="24"/>
          <w:lang w:val="ro-MD"/>
        </w:rPr>
        <w:t>atât</w:t>
      </w:r>
      <w:r w:rsidRPr="00401691">
        <w:rPr>
          <w:rFonts w:asciiTheme="majorHAnsi" w:hAnsiTheme="majorHAnsi" w:cstheme="majorHAnsi"/>
          <w:sz w:val="24"/>
          <w:szCs w:val="24"/>
          <w:lang w:val="ro-MD"/>
        </w:rPr>
        <w:t xml:space="preserve"> la modul de prezentare</w:t>
      </w:r>
      <w:r w:rsidR="00420763">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c</w:t>
      </w:r>
      <w:r w:rsidR="00420763">
        <w:rPr>
          <w:rFonts w:asciiTheme="majorHAnsi" w:hAnsiTheme="majorHAnsi" w:cstheme="majorHAnsi"/>
          <w:sz w:val="24"/>
          <w:szCs w:val="24"/>
          <w:lang w:val="ro-MD"/>
        </w:rPr>
        <w:t>â</w:t>
      </w:r>
      <w:r w:rsidRPr="00401691">
        <w:rPr>
          <w:rFonts w:asciiTheme="majorHAnsi" w:hAnsiTheme="majorHAnsi" w:cstheme="majorHAnsi"/>
          <w:sz w:val="24"/>
          <w:szCs w:val="24"/>
          <w:lang w:val="ro-MD"/>
        </w:rPr>
        <w:t xml:space="preserve">t și </w:t>
      </w:r>
      <w:r w:rsidR="00420763">
        <w:rPr>
          <w:rFonts w:asciiTheme="majorHAnsi" w:hAnsiTheme="majorHAnsi" w:cstheme="majorHAnsi"/>
          <w:sz w:val="24"/>
          <w:szCs w:val="24"/>
          <w:lang w:val="ro-MD"/>
        </w:rPr>
        <w:t>l</w:t>
      </w:r>
      <w:r w:rsidR="00443F96" w:rsidRPr="00401691">
        <w:rPr>
          <w:rFonts w:asciiTheme="majorHAnsi" w:hAnsiTheme="majorHAnsi" w:cstheme="majorHAnsi"/>
          <w:sz w:val="24"/>
          <w:szCs w:val="24"/>
          <w:lang w:val="ro-MD"/>
        </w:rPr>
        <w:t>a</w:t>
      </w:r>
      <w:r w:rsidRPr="00401691">
        <w:rPr>
          <w:rFonts w:asciiTheme="majorHAnsi" w:hAnsiTheme="majorHAnsi" w:cstheme="majorHAnsi"/>
          <w:sz w:val="24"/>
          <w:szCs w:val="24"/>
          <w:lang w:val="ro-MD"/>
        </w:rPr>
        <w:t xml:space="preserve"> sum</w:t>
      </w:r>
      <w:r w:rsidR="00420763">
        <w:rPr>
          <w:rFonts w:asciiTheme="majorHAnsi" w:hAnsiTheme="majorHAnsi" w:cstheme="majorHAnsi"/>
          <w:sz w:val="24"/>
          <w:szCs w:val="24"/>
          <w:lang w:val="ro-MD"/>
        </w:rPr>
        <w:t xml:space="preserve">a </w:t>
      </w:r>
      <w:r w:rsidRPr="00401691">
        <w:rPr>
          <w:rFonts w:asciiTheme="majorHAnsi" w:hAnsiTheme="majorHAnsi" w:cstheme="majorHAnsi"/>
          <w:sz w:val="24"/>
          <w:szCs w:val="24"/>
          <w:lang w:val="ro-MD"/>
        </w:rPr>
        <w:t xml:space="preserve"> restanței minim</w:t>
      </w:r>
      <w:r w:rsidR="00443F96" w:rsidRPr="00401691">
        <w:rPr>
          <w:rFonts w:asciiTheme="majorHAnsi" w:hAnsiTheme="majorHAnsi" w:cstheme="majorHAnsi"/>
          <w:sz w:val="24"/>
          <w:szCs w:val="24"/>
          <w:lang w:val="ro-MD"/>
        </w:rPr>
        <w:t>e</w:t>
      </w:r>
      <w:r w:rsidRPr="00401691">
        <w:rPr>
          <w:rFonts w:asciiTheme="majorHAnsi" w:hAnsiTheme="majorHAnsi" w:cstheme="majorHAnsi"/>
          <w:sz w:val="24"/>
          <w:szCs w:val="24"/>
          <w:lang w:val="ro-MD"/>
        </w:rPr>
        <w:t xml:space="preserve"> inclus</w:t>
      </w:r>
      <w:r w:rsidR="00443F96" w:rsidRPr="00401691">
        <w:rPr>
          <w:rFonts w:asciiTheme="majorHAnsi" w:hAnsiTheme="majorHAnsi" w:cstheme="majorHAnsi"/>
          <w:sz w:val="24"/>
          <w:szCs w:val="24"/>
          <w:lang w:val="ro-MD"/>
        </w:rPr>
        <w:t>e</w:t>
      </w:r>
      <w:r w:rsidRPr="00401691">
        <w:rPr>
          <w:rFonts w:asciiTheme="majorHAnsi" w:hAnsiTheme="majorHAnsi" w:cstheme="majorHAnsi"/>
          <w:sz w:val="24"/>
          <w:szCs w:val="24"/>
          <w:lang w:val="ro-MD"/>
        </w:rPr>
        <w:t xml:space="preserve"> în listă. Suplimentar, se </w:t>
      </w:r>
      <w:r w:rsidR="00420763">
        <w:rPr>
          <w:rFonts w:asciiTheme="majorHAnsi" w:hAnsiTheme="majorHAnsi" w:cstheme="majorHAnsi"/>
          <w:sz w:val="24"/>
          <w:szCs w:val="24"/>
          <w:lang w:val="ro-MD"/>
        </w:rPr>
        <w:t>indică</w:t>
      </w:r>
      <w:r w:rsidRPr="00401691">
        <w:rPr>
          <w:rFonts w:asciiTheme="majorHAnsi" w:hAnsiTheme="majorHAnsi" w:cstheme="majorHAnsi"/>
          <w:sz w:val="24"/>
          <w:szCs w:val="24"/>
          <w:lang w:val="ro-MD"/>
        </w:rPr>
        <w:t xml:space="preserve"> că nereguli similare au fost constatate și de </w:t>
      </w:r>
      <w:r w:rsidR="00420763">
        <w:rPr>
          <w:rFonts w:asciiTheme="majorHAnsi" w:hAnsiTheme="majorHAnsi" w:cstheme="majorHAnsi"/>
          <w:sz w:val="24"/>
          <w:szCs w:val="24"/>
          <w:lang w:val="ro-MD"/>
        </w:rPr>
        <w:t xml:space="preserve">către </w:t>
      </w:r>
      <w:r w:rsidRPr="00583F45">
        <w:rPr>
          <w:rFonts w:asciiTheme="majorHAnsi" w:hAnsiTheme="majorHAnsi" w:cstheme="majorHAnsi"/>
          <w:sz w:val="24"/>
          <w:szCs w:val="24"/>
          <w:lang w:val="ro-MD"/>
        </w:rPr>
        <w:t>DGODGA</w:t>
      </w:r>
      <w:r w:rsidR="00420763" w:rsidRPr="00583F45">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prin efectuarea activităților</w:t>
      </w:r>
      <w:r w:rsidR="00DF5F59">
        <w:rPr>
          <w:rFonts w:asciiTheme="majorHAnsi" w:hAnsiTheme="majorHAnsi" w:cstheme="majorHAnsi"/>
          <w:sz w:val="24"/>
          <w:szCs w:val="24"/>
          <w:lang w:val="ro-MD"/>
        </w:rPr>
        <w:t xml:space="preserve"> manageriale de control intern.</w:t>
      </w:r>
    </w:p>
    <w:p w:rsidR="00E9744D" w:rsidRDefault="00357A00" w:rsidP="00844145">
      <w:pPr>
        <w:spacing w:after="120" w:line="276" w:lineRule="auto"/>
        <w:jc w:val="both"/>
        <w:rPr>
          <w:rFonts w:asciiTheme="majorHAnsi" w:hAnsiTheme="majorHAnsi" w:cstheme="majorHAnsi"/>
          <w:sz w:val="24"/>
          <w:szCs w:val="24"/>
          <w:lang w:val="ro-MD"/>
        </w:rPr>
      </w:pPr>
      <w:r w:rsidRPr="00401691">
        <w:rPr>
          <w:rFonts w:asciiTheme="majorHAnsi" w:hAnsiTheme="majorHAnsi" w:cstheme="majorHAnsi"/>
          <w:sz w:val="24"/>
          <w:szCs w:val="24"/>
          <w:lang w:val="ro-MD"/>
        </w:rPr>
        <w:t>Echipa de audit a considerat oportun de a utiliza munca DAI, factor care a influențat reducerea eșantionul</w:t>
      </w:r>
      <w:r w:rsidR="00420763">
        <w:rPr>
          <w:rFonts w:asciiTheme="majorHAnsi" w:hAnsiTheme="majorHAnsi" w:cstheme="majorHAnsi"/>
          <w:sz w:val="24"/>
          <w:szCs w:val="24"/>
          <w:lang w:val="ro-MD"/>
        </w:rPr>
        <w:t xml:space="preserve">ui </w:t>
      </w:r>
      <w:r w:rsidRPr="00401691">
        <w:rPr>
          <w:rFonts w:asciiTheme="majorHAnsi" w:hAnsiTheme="majorHAnsi" w:cstheme="majorHAnsi"/>
          <w:sz w:val="24"/>
          <w:szCs w:val="24"/>
          <w:lang w:val="ro-MD"/>
        </w:rPr>
        <w:t xml:space="preserve"> selectat pentru auditare</w:t>
      </w:r>
      <w:r w:rsidRPr="00401691">
        <w:rPr>
          <w:rStyle w:val="FootnoteReference"/>
          <w:rFonts w:asciiTheme="majorHAnsi" w:hAnsiTheme="majorHAnsi" w:cstheme="majorHAnsi"/>
          <w:sz w:val="24"/>
          <w:szCs w:val="24"/>
          <w:lang w:val="ro-MD"/>
        </w:rPr>
        <w:footnoteReference w:id="29"/>
      </w:r>
      <w:r w:rsidRPr="00401691">
        <w:rPr>
          <w:rFonts w:asciiTheme="majorHAnsi" w:hAnsiTheme="majorHAnsi" w:cstheme="majorHAnsi"/>
          <w:sz w:val="24"/>
          <w:szCs w:val="24"/>
          <w:lang w:val="ro-MD"/>
        </w:rPr>
        <w:t xml:space="preserve">. Auditul </w:t>
      </w:r>
      <w:r w:rsidR="00D41AF5">
        <w:rPr>
          <w:rFonts w:asciiTheme="majorHAnsi" w:hAnsiTheme="majorHAnsi" w:cstheme="majorHAnsi"/>
          <w:sz w:val="24"/>
          <w:szCs w:val="24"/>
          <w:lang w:val="ro-MD"/>
        </w:rPr>
        <w:t xml:space="preserve">public </w:t>
      </w:r>
      <w:r w:rsidRPr="00401691">
        <w:rPr>
          <w:rFonts w:asciiTheme="majorHAnsi" w:hAnsiTheme="majorHAnsi" w:cstheme="majorHAnsi"/>
          <w:sz w:val="24"/>
          <w:szCs w:val="24"/>
          <w:lang w:val="ro-MD"/>
        </w:rPr>
        <w:t>extern</w:t>
      </w:r>
      <w:r w:rsidR="00420763">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focusându-se pe evaluarea naturii și contextului neregulilor admise de DDF în procesul de lucru cu restanțierii, care urmau a fi remediate în rezultatul misiunii de audit intern, </w:t>
      </w:r>
      <w:r w:rsidR="00443F96" w:rsidRPr="00401691">
        <w:rPr>
          <w:rFonts w:asciiTheme="majorHAnsi" w:hAnsiTheme="majorHAnsi" w:cstheme="majorHAnsi"/>
          <w:sz w:val="24"/>
          <w:szCs w:val="24"/>
          <w:lang w:val="ro-MD"/>
        </w:rPr>
        <w:t xml:space="preserve">a </w:t>
      </w:r>
      <w:r w:rsidRPr="00401691">
        <w:rPr>
          <w:rFonts w:asciiTheme="majorHAnsi" w:hAnsiTheme="majorHAnsi" w:cstheme="majorHAnsi"/>
          <w:sz w:val="24"/>
          <w:szCs w:val="24"/>
          <w:lang w:val="ro-MD"/>
        </w:rPr>
        <w:t>constat</w:t>
      </w:r>
      <w:r w:rsidR="00443F96" w:rsidRPr="00401691">
        <w:rPr>
          <w:rFonts w:asciiTheme="majorHAnsi" w:hAnsiTheme="majorHAnsi" w:cstheme="majorHAnsi"/>
          <w:sz w:val="24"/>
          <w:szCs w:val="24"/>
          <w:lang w:val="ro-MD"/>
        </w:rPr>
        <w:t xml:space="preserve">at </w:t>
      </w:r>
      <w:r w:rsidR="00E9744D">
        <w:rPr>
          <w:rFonts w:asciiTheme="majorHAnsi" w:hAnsiTheme="majorHAnsi" w:cstheme="majorHAnsi"/>
          <w:sz w:val="24"/>
          <w:szCs w:val="24"/>
          <w:lang w:val="ro-MD"/>
        </w:rPr>
        <w:t>existența unor deficiențe</w:t>
      </w:r>
      <w:r w:rsidR="00420763">
        <w:rPr>
          <w:rFonts w:asciiTheme="majorHAnsi" w:hAnsiTheme="majorHAnsi" w:cstheme="majorHAnsi"/>
          <w:sz w:val="24"/>
          <w:szCs w:val="24"/>
          <w:lang w:val="ro-MD"/>
        </w:rPr>
        <w:t>,</w:t>
      </w:r>
      <w:r w:rsidR="00E9744D">
        <w:rPr>
          <w:rFonts w:asciiTheme="majorHAnsi" w:hAnsiTheme="majorHAnsi" w:cstheme="majorHAnsi"/>
          <w:sz w:val="24"/>
          <w:szCs w:val="24"/>
          <w:lang w:val="ro-MD"/>
        </w:rPr>
        <w:t xml:space="preserve"> ca</w:t>
      </w:r>
      <w:r w:rsidR="00656EA5">
        <w:rPr>
          <w:rFonts w:asciiTheme="majorHAnsi" w:hAnsiTheme="majorHAnsi" w:cstheme="majorHAnsi"/>
          <w:sz w:val="24"/>
          <w:szCs w:val="24"/>
          <w:lang w:val="ro-MD"/>
        </w:rPr>
        <w:t xml:space="preserve">uzate de neincluderea în liste </w:t>
      </w:r>
      <w:r w:rsidR="00E9744D">
        <w:rPr>
          <w:rFonts w:asciiTheme="majorHAnsi" w:hAnsiTheme="majorHAnsi" w:cstheme="majorHAnsi"/>
          <w:sz w:val="24"/>
          <w:szCs w:val="24"/>
          <w:lang w:val="ro-MD"/>
        </w:rPr>
        <w:t>a restanțelor î</w:t>
      </w:r>
      <w:r w:rsidR="00CB6BC1">
        <w:rPr>
          <w:rFonts w:asciiTheme="majorHAnsi" w:hAnsiTheme="majorHAnsi" w:cstheme="majorHAnsi"/>
          <w:sz w:val="24"/>
          <w:szCs w:val="24"/>
          <w:lang w:val="ro-MD"/>
        </w:rPr>
        <w:t xml:space="preserve">n </w:t>
      </w:r>
      <w:r w:rsidR="00420763">
        <w:rPr>
          <w:rFonts w:asciiTheme="majorHAnsi" w:hAnsiTheme="majorHAnsi" w:cstheme="majorHAnsi"/>
          <w:sz w:val="24"/>
          <w:szCs w:val="24"/>
          <w:lang w:val="ro-MD"/>
        </w:rPr>
        <w:t>sumă</w:t>
      </w:r>
      <w:r w:rsidR="00CB6BC1">
        <w:rPr>
          <w:rFonts w:asciiTheme="majorHAnsi" w:hAnsiTheme="majorHAnsi" w:cstheme="majorHAnsi"/>
          <w:sz w:val="24"/>
          <w:szCs w:val="24"/>
          <w:lang w:val="ro-MD"/>
        </w:rPr>
        <w:t xml:space="preserve"> de 0,</w:t>
      </w:r>
      <w:r w:rsidR="00E9744D">
        <w:rPr>
          <w:rFonts w:asciiTheme="majorHAnsi" w:hAnsiTheme="majorHAnsi" w:cstheme="majorHAnsi"/>
          <w:sz w:val="24"/>
          <w:szCs w:val="24"/>
          <w:lang w:val="ro-MD"/>
        </w:rPr>
        <w:t>5</w:t>
      </w:r>
      <w:r w:rsidR="00CB6BC1">
        <w:rPr>
          <w:rFonts w:asciiTheme="majorHAnsi" w:hAnsiTheme="majorHAnsi" w:cstheme="majorHAnsi"/>
          <w:sz w:val="24"/>
          <w:szCs w:val="24"/>
          <w:lang w:val="ro-MD"/>
        </w:rPr>
        <w:t xml:space="preserve"> mil.lei, </w:t>
      </w:r>
      <w:r w:rsidR="00420763">
        <w:rPr>
          <w:rFonts w:asciiTheme="majorHAnsi" w:hAnsiTheme="majorHAnsi" w:cstheme="majorHAnsi"/>
          <w:sz w:val="24"/>
          <w:szCs w:val="24"/>
          <w:lang w:val="ro-MD"/>
        </w:rPr>
        <w:t xml:space="preserve">ca </w:t>
      </w:r>
      <w:r w:rsidR="00E9744D">
        <w:rPr>
          <w:rFonts w:asciiTheme="majorHAnsi" w:hAnsiTheme="majorHAnsi" w:cstheme="majorHAnsi"/>
          <w:sz w:val="24"/>
          <w:szCs w:val="24"/>
          <w:lang w:val="ro-MD"/>
        </w:rPr>
        <w:t>urmare a t</w:t>
      </w:r>
      <w:r w:rsidR="00CB6BC1" w:rsidRPr="00401691">
        <w:rPr>
          <w:rFonts w:asciiTheme="majorHAnsi" w:hAnsiTheme="majorHAnsi" w:cstheme="majorHAnsi"/>
          <w:sz w:val="24"/>
          <w:szCs w:val="24"/>
          <w:lang w:val="ro-MD"/>
        </w:rPr>
        <w:t>ergivers</w:t>
      </w:r>
      <w:r w:rsidR="00E9744D">
        <w:rPr>
          <w:rFonts w:asciiTheme="majorHAnsi" w:hAnsiTheme="majorHAnsi" w:cstheme="majorHAnsi"/>
          <w:sz w:val="24"/>
          <w:szCs w:val="24"/>
          <w:lang w:val="ro-MD"/>
        </w:rPr>
        <w:t xml:space="preserve">ării </w:t>
      </w:r>
      <w:r w:rsidR="00656EA5">
        <w:rPr>
          <w:rFonts w:asciiTheme="majorHAnsi" w:hAnsiTheme="majorHAnsi" w:cstheme="majorHAnsi"/>
          <w:sz w:val="24"/>
          <w:szCs w:val="24"/>
          <w:lang w:val="ro-MD"/>
        </w:rPr>
        <w:t>prezentării de către CNAS a informației</w:t>
      </w:r>
      <w:r w:rsidR="00E9744D">
        <w:rPr>
          <w:rFonts w:asciiTheme="majorHAnsi" w:hAnsiTheme="majorHAnsi" w:cstheme="majorHAnsi"/>
          <w:sz w:val="24"/>
          <w:szCs w:val="24"/>
          <w:lang w:val="ro-MD"/>
        </w:rPr>
        <w:t xml:space="preserve"> cu privire la contribuțiile </w:t>
      </w:r>
      <w:r w:rsidR="00656EA5">
        <w:rPr>
          <w:rFonts w:asciiTheme="majorHAnsi" w:hAnsiTheme="majorHAnsi" w:cstheme="majorHAnsi"/>
          <w:sz w:val="24"/>
          <w:szCs w:val="24"/>
          <w:lang w:val="ro-MD"/>
        </w:rPr>
        <w:t>de asigurări sociale</w:t>
      </w:r>
      <w:r w:rsidR="00656EA5" w:rsidRPr="000B204E">
        <w:rPr>
          <w:rFonts w:asciiTheme="majorHAnsi" w:hAnsiTheme="majorHAnsi" w:cstheme="majorHAnsi"/>
          <w:sz w:val="24"/>
          <w:szCs w:val="24"/>
          <w:lang w:val="ro-MD"/>
        </w:rPr>
        <w:t>, precum și</w:t>
      </w:r>
      <w:r w:rsidR="00E9744D" w:rsidRPr="000B204E">
        <w:rPr>
          <w:rFonts w:asciiTheme="majorHAnsi" w:hAnsiTheme="majorHAnsi" w:cstheme="majorHAnsi"/>
          <w:sz w:val="24"/>
          <w:szCs w:val="24"/>
          <w:lang w:val="ro-MD"/>
        </w:rPr>
        <w:t xml:space="preserve"> </w:t>
      </w:r>
      <w:r w:rsidR="00CB6BC1" w:rsidRPr="000B204E">
        <w:rPr>
          <w:rFonts w:asciiTheme="majorHAnsi" w:hAnsiTheme="majorHAnsi" w:cstheme="majorHAnsi"/>
          <w:sz w:val="24"/>
          <w:szCs w:val="24"/>
          <w:lang w:val="ro-MD"/>
        </w:rPr>
        <w:t>ulterior închiderii perioadei în SIA CCC de către SFS</w:t>
      </w:r>
      <w:r w:rsidR="00E9744D" w:rsidRPr="000B204E">
        <w:rPr>
          <w:rFonts w:asciiTheme="majorHAnsi" w:hAnsiTheme="majorHAnsi" w:cstheme="majorHAnsi"/>
          <w:sz w:val="24"/>
          <w:szCs w:val="24"/>
          <w:lang w:val="ro-MD"/>
        </w:rPr>
        <w:t>.</w:t>
      </w:r>
    </w:p>
    <w:p w:rsidR="00357A00" w:rsidRPr="00401691" w:rsidRDefault="00CB6BC1" w:rsidP="00E9744D">
      <w:pPr>
        <w:spacing w:after="120" w:line="276" w:lineRule="auto"/>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 </w:t>
      </w:r>
    </w:p>
    <w:p w:rsidR="0077656A" w:rsidRPr="007D38DE" w:rsidRDefault="0077656A" w:rsidP="00844145">
      <w:pPr>
        <w:pStyle w:val="Heading2"/>
        <w:spacing w:line="276" w:lineRule="auto"/>
        <w:jc w:val="both"/>
        <w:rPr>
          <w:b/>
          <w:color w:val="002060"/>
          <w:shd w:val="clear" w:color="auto" w:fill="FFFFFF"/>
          <w:lang w:val="ro-MD"/>
        </w:rPr>
      </w:pPr>
      <w:bookmarkStart w:id="17" w:name="_Toc48732729"/>
      <w:r w:rsidRPr="007D38DE">
        <w:rPr>
          <w:b/>
          <w:color w:val="002060"/>
          <w:shd w:val="clear" w:color="auto" w:fill="FFFFFF"/>
          <w:lang w:val="ro-MD"/>
        </w:rPr>
        <w:lastRenderedPageBreak/>
        <w:t>Obiectivul specific nr.</w:t>
      </w:r>
      <w:r w:rsidR="00F448F4" w:rsidRPr="007D38DE">
        <w:rPr>
          <w:b/>
          <w:color w:val="002060"/>
          <w:shd w:val="clear" w:color="auto" w:fill="FFFFFF"/>
          <w:lang w:val="ro-MD"/>
        </w:rPr>
        <w:t>3</w:t>
      </w:r>
      <w:r w:rsidRPr="007D38DE">
        <w:rPr>
          <w:b/>
          <w:color w:val="002060"/>
          <w:shd w:val="clear" w:color="auto" w:fill="FFFFFF"/>
          <w:lang w:val="ro-MD"/>
        </w:rPr>
        <w:t xml:space="preserve">: SFS </w:t>
      </w:r>
      <w:r w:rsidR="00656EA5">
        <w:rPr>
          <w:b/>
          <w:color w:val="002060"/>
          <w:shd w:val="clear" w:color="auto" w:fill="FFFFFF"/>
          <w:lang w:val="ro-MD"/>
        </w:rPr>
        <w:t>a aplicat toate măsurile legale</w:t>
      </w:r>
      <w:r w:rsidRPr="007D38DE">
        <w:rPr>
          <w:b/>
          <w:color w:val="002060"/>
          <w:shd w:val="clear" w:color="auto" w:fill="FFFFFF"/>
          <w:lang w:val="ro-MD"/>
        </w:rPr>
        <w:t xml:space="preserve"> de executare silită în vederea recuperării arieratelor?</w:t>
      </w:r>
      <w:bookmarkEnd w:id="17"/>
    </w:p>
    <w:tbl>
      <w:tblPr>
        <w:tblStyle w:val="TableGrid"/>
        <w:tblW w:w="10080" w:type="dxa"/>
        <w:tblInd w:w="-5" w:type="dxa"/>
        <w:tblLook w:val="04A0" w:firstRow="1" w:lastRow="0" w:firstColumn="1" w:lastColumn="0" w:noHBand="0" w:noVBand="1"/>
      </w:tblPr>
      <w:tblGrid>
        <w:gridCol w:w="10080"/>
      </w:tblGrid>
      <w:tr w:rsidR="00531A10" w:rsidRPr="00401691" w:rsidTr="003A16EC">
        <w:tc>
          <w:tcPr>
            <w:tcW w:w="10080" w:type="dxa"/>
            <w:tcBorders>
              <w:top w:val="wave" w:sz="6" w:space="0" w:color="auto"/>
              <w:left w:val="wave" w:sz="6" w:space="0" w:color="auto"/>
              <w:bottom w:val="wave" w:sz="6" w:space="0" w:color="auto"/>
              <w:right w:val="wave" w:sz="6" w:space="0" w:color="auto"/>
            </w:tcBorders>
          </w:tcPr>
          <w:p w:rsidR="00341B9C" w:rsidRPr="00401691" w:rsidRDefault="008B6A9C" w:rsidP="00844145">
            <w:pPr>
              <w:tabs>
                <w:tab w:val="left" w:pos="252"/>
              </w:tabs>
              <w:spacing w:after="120" w:line="276" w:lineRule="auto"/>
              <w:jc w:val="both"/>
              <w:rPr>
                <w:rFonts w:asciiTheme="majorHAnsi" w:hAnsiTheme="majorHAnsi" w:cstheme="majorHAnsi"/>
                <w:sz w:val="24"/>
                <w:szCs w:val="24"/>
                <w:lang w:val="ro-MD"/>
              </w:rPr>
            </w:pPr>
            <w:r w:rsidRPr="00401691">
              <w:rPr>
                <w:rFonts w:asciiTheme="majorHAnsi" w:eastAsia="Times New Roman" w:hAnsiTheme="majorHAnsi" w:cstheme="majorHAnsi"/>
                <w:sz w:val="24"/>
                <w:szCs w:val="24"/>
                <w:lang w:val="ro-MD"/>
              </w:rPr>
              <w:t xml:space="preserve">Deși SFS a dezvoltat și </w:t>
            </w:r>
            <w:r w:rsidR="005D5B80">
              <w:rPr>
                <w:rFonts w:asciiTheme="majorHAnsi" w:eastAsia="Times New Roman" w:hAnsiTheme="majorHAnsi" w:cstheme="majorHAnsi"/>
                <w:sz w:val="24"/>
                <w:szCs w:val="24"/>
                <w:lang w:val="ro-MD"/>
              </w:rPr>
              <w:t xml:space="preserve">a </w:t>
            </w:r>
            <w:r w:rsidRPr="00401691">
              <w:rPr>
                <w:rFonts w:asciiTheme="majorHAnsi" w:eastAsia="Times New Roman" w:hAnsiTheme="majorHAnsi" w:cstheme="majorHAnsi"/>
                <w:sz w:val="24"/>
                <w:szCs w:val="24"/>
                <w:lang w:val="ro-MD"/>
              </w:rPr>
              <w:t xml:space="preserve">modernizat cadrul normativ intern </w:t>
            </w:r>
            <w:r w:rsidRPr="00401691">
              <w:rPr>
                <w:rFonts w:asciiTheme="majorHAnsi" w:hAnsiTheme="majorHAnsi" w:cstheme="majorHAnsi"/>
                <w:sz w:val="24"/>
                <w:szCs w:val="24"/>
                <w:lang w:val="ro-MD"/>
              </w:rPr>
              <w:t>aferent procesului de executare silită a obligațiilor fiscale,</w:t>
            </w:r>
            <w:r w:rsidR="00061F6B" w:rsidRPr="00401691">
              <w:rPr>
                <w:rFonts w:asciiTheme="majorHAnsi" w:hAnsiTheme="majorHAnsi" w:cstheme="majorHAnsi"/>
                <w:sz w:val="24"/>
                <w:szCs w:val="24"/>
                <w:lang w:val="ro-MD"/>
              </w:rPr>
              <w:t xml:space="preserve"> auditul </w:t>
            </w:r>
            <w:r w:rsidR="00D41AF5">
              <w:rPr>
                <w:rFonts w:asciiTheme="majorHAnsi" w:hAnsiTheme="majorHAnsi" w:cstheme="majorHAnsi"/>
                <w:sz w:val="24"/>
                <w:szCs w:val="24"/>
                <w:lang w:val="ro-MD"/>
              </w:rPr>
              <w:t xml:space="preserve">public extern </w:t>
            </w:r>
            <w:r w:rsidR="00061F6B" w:rsidRPr="00401691">
              <w:rPr>
                <w:rFonts w:asciiTheme="majorHAnsi" w:hAnsiTheme="majorHAnsi" w:cstheme="majorHAnsi"/>
                <w:sz w:val="24"/>
                <w:szCs w:val="24"/>
                <w:lang w:val="ro-MD"/>
              </w:rPr>
              <w:t>constată unele goluri de reglementare a modului de sechestrare și comercializare a cotelor sociale deținute de contribuabilii restanțieri în capitalul social al unor soc</w:t>
            </w:r>
            <w:r w:rsidR="00656EA5">
              <w:rPr>
                <w:rFonts w:asciiTheme="majorHAnsi" w:hAnsiTheme="majorHAnsi" w:cstheme="majorHAnsi"/>
                <w:sz w:val="24"/>
                <w:szCs w:val="24"/>
                <w:lang w:val="ro-MD"/>
              </w:rPr>
              <w:t xml:space="preserve">ietăți cu răspundere limitată, </w:t>
            </w:r>
            <w:r w:rsidR="00341B9C" w:rsidRPr="00401691">
              <w:rPr>
                <w:rFonts w:asciiTheme="majorHAnsi" w:hAnsiTheme="majorHAnsi" w:cstheme="majorHAnsi"/>
                <w:sz w:val="24"/>
                <w:szCs w:val="24"/>
                <w:lang w:val="ro-MD"/>
              </w:rPr>
              <w:t xml:space="preserve">drept oferit SFS conform prevederilor </w:t>
            </w:r>
            <w:r w:rsidR="00061F6B" w:rsidRPr="00401691">
              <w:rPr>
                <w:rFonts w:asciiTheme="majorHAnsi" w:hAnsiTheme="majorHAnsi" w:cstheme="majorHAnsi"/>
                <w:sz w:val="24"/>
                <w:szCs w:val="24"/>
                <w:lang w:val="ro-MD"/>
              </w:rPr>
              <w:t>Codul</w:t>
            </w:r>
            <w:r w:rsidR="00341B9C" w:rsidRPr="00401691">
              <w:rPr>
                <w:rFonts w:asciiTheme="majorHAnsi" w:hAnsiTheme="majorHAnsi" w:cstheme="majorHAnsi"/>
                <w:sz w:val="24"/>
                <w:szCs w:val="24"/>
                <w:lang w:val="ro-MD"/>
              </w:rPr>
              <w:t xml:space="preserve">ui </w:t>
            </w:r>
            <w:r w:rsidR="00D41AF5">
              <w:rPr>
                <w:rFonts w:asciiTheme="majorHAnsi" w:hAnsiTheme="majorHAnsi" w:cstheme="majorHAnsi"/>
                <w:sz w:val="24"/>
                <w:szCs w:val="24"/>
                <w:lang w:val="ro-MD"/>
              </w:rPr>
              <w:t>f</w:t>
            </w:r>
            <w:r w:rsidR="00061F6B" w:rsidRPr="00401691">
              <w:rPr>
                <w:rFonts w:asciiTheme="majorHAnsi" w:hAnsiTheme="majorHAnsi" w:cstheme="majorHAnsi"/>
                <w:sz w:val="24"/>
                <w:szCs w:val="24"/>
                <w:lang w:val="ro-MD"/>
              </w:rPr>
              <w:t>iscal</w:t>
            </w:r>
            <w:r w:rsidR="00341B9C" w:rsidRPr="00401691">
              <w:rPr>
                <w:rFonts w:asciiTheme="majorHAnsi" w:hAnsiTheme="majorHAnsi" w:cstheme="majorHAnsi"/>
                <w:sz w:val="24"/>
                <w:szCs w:val="24"/>
                <w:lang w:val="ro-MD"/>
              </w:rPr>
              <w:t xml:space="preserve">. </w:t>
            </w:r>
            <w:r w:rsidR="005D5B80">
              <w:rPr>
                <w:rFonts w:asciiTheme="majorHAnsi" w:hAnsiTheme="majorHAnsi" w:cstheme="majorHAnsi"/>
                <w:sz w:val="24"/>
                <w:szCs w:val="24"/>
                <w:lang w:val="ro-MD"/>
              </w:rPr>
              <w:t>Se</w:t>
            </w:r>
            <w:r w:rsidR="0071352E" w:rsidRPr="00401691">
              <w:rPr>
                <w:rFonts w:asciiTheme="majorHAnsi" w:hAnsiTheme="majorHAnsi" w:cstheme="majorHAnsi"/>
                <w:sz w:val="24"/>
                <w:szCs w:val="24"/>
                <w:lang w:val="ro-MD"/>
              </w:rPr>
              <w:t xml:space="preserve"> atestă că în activitatea DGA mun. Chișinău nu a existat nici</w:t>
            </w:r>
            <w:r w:rsidR="00656EA5">
              <w:rPr>
                <w:rFonts w:asciiTheme="majorHAnsi" w:hAnsiTheme="majorHAnsi" w:cstheme="majorHAnsi"/>
                <w:sz w:val="24"/>
                <w:szCs w:val="24"/>
                <w:lang w:val="ro-MD"/>
              </w:rPr>
              <w:t>un precedent de aplicare a</w:t>
            </w:r>
            <w:r w:rsidR="0071352E" w:rsidRPr="00401691">
              <w:rPr>
                <w:rFonts w:asciiTheme="majorHAnsi" w:hAnsiTheme="majorHAnsi" w:cstheme="majorHAnsi"/>
                <w:sz w:val="24"/>
                <w:szCs w:val="24"/>
                <w:lang w:val="ro-MD"/>
              </w:rPr>
              <w:t xml:space="preserve"> acestui instrument legal de executare silită</w:t>
            </w:r>
            <w:r w:rsidR="00341B9C" w:rsidRPr="00401691">
              <w:rPr>
                <w:rFonts w:asciiTheme="majorHAnsi" w:hAnsiTheme="majorHAnsi" w:cstheme="majorHAnsi"/>
                <w:sz w:val="24"/>
                <w:szCs w:val="24"/>
                <w:lang w:val="ro-MD"/>
              </w:rPr>
              <w:t xml:space="preserve">. </w:t>
            </w:r>
            <w:r w:rsidR="00A158DD" w:rsidRPr="00401691">
              <w:rPr>
                <w:rFonts w:asciiTheme="majorHAnsi" w:hAnsiTheme="majorHAnsi" w:cstheme="majorHAnsi"/>
                <w:sz w:val="24"/>
                <w:szCs w:val="24"/>
                <w:lang w:val="ro-MD"/>
              </w:rPr>
              <w:t>D</w:t>
            </w:r>
            <w:r w:rsidR="00341B9C" w:rsidRPr="00401691">
              <w:rPr>
                <w:rFonts w:asciiTheme="majorHAnsi" w:hAnsiTheme="majorHAnsi" w:cstheme="majorHAnsi"/>
                <w:sz w:val="24"/>
                <w:szCs w:val="24"/>
                <w:lang w:val="ro-MD"/>
              </w:rPr>
              <w:t>oar verific</w:t>
            </w:r>
            <w:r w:rsidR="00A158DD" w:rsidRPr="00401691">
              <w:rPr>
                <w:rFonts w:asciiTheme="majorHAnsi" w:hAnsiTheme="majorHAnsi" w:cstheme="majorHAnsi"/>
                <w:sz w:val="24"/>
                <w:szCs w:val="24"/>
                <w:lang w:val="ro-MD"/>
              </w:rPr>
              <w:t>area</w:t>
            </w:r>
            <w:r w:rsidR="00341B9C" w:rsidRPr="00401691">
              <w:rPr>
                <w:rFonts w:asciiTheme="majorHAnsi" w:hAnsiTheme="majorHAnsi" w:cstheme="majorHAnsi"/>
                <w:sz w:val="24"/>
                <w:szCs w:val="24"/>
                <w:lang w:val="ro-MD"/>
              </w:rPr>
              <w:t xml:space="preserve"> unui </w:t>
            </w:r>
            <w:r w:rsidR="0071352E" w:rsidRPr="00401691">
              <w:rPr>
                <w:rFonts w:asciiTheme="majorHAnsi" w:hAnsiTheme="majorHAnsi" w:cstheme="majorHAnsi"/>
                <w:sz w:val="24"/>
                <w:szCs w:val="24"/>
                <w:lang w:val="ro-MD"/>
              </w:rPr>
              <w:t xml:space="preserve">eșantion de 30 </w:t>
            </w:r>
            <w:r w:rsidR="005D5B80">
              <w:rPr>
                <w:rFonts w:asciiTheme="majorHAnsi" w:hAnsiTheme="majorHAnsi" w:cstheme="majorHAnsi"/>
                <w:sz w:val="24"/>
                <w:szCs w:val="24"/>
                <w:lang w:val="ro-MD"/>
              </w:rPr>
              <w:t xml:space="preserve">de </w:t>
            </w:r>
            <w:r w:rsidR="0071352E" w:rsidRPr="00401691">
              <w:rPr>
                <w:rFonts w:asciiTheme="majorHAnsi" w:hAnsiTheme="majorHAnsi" w:cstheme="majorHAnsi"/>
                <w:sz w:val="24"/>
                <w:szCs w:val="24"/>
                <w:lang w:val="ro-MD"/>
              </w:rPr>
              <w:t>contribuabili cu restanțe semnificative la buget</w:t>
            </w:r>
            <w:r w:rsidR="005D5B80">
              <w:rPr>
                <w:rFonts w:asciiTheme="majorHAnsi" w:hAnsiTheme="majorHAnsi" w:cstheme="majorHAnsi"/>
                <w:sz w:val="24"/>
                <w:szCs w:val="24"/>
                <w:lang w:val="ro-MD"/>
              </w:rPr>
              <w:t xml:space="preserve"> </w:t>
            </w:r>
            <w:r w:rsidR="0071352E" w:rsidRPr="00401691">
              <w:rPr>
                <w:rFonts w:asciiTheme="majorHAnsi" w:hAnsiTheme="majorHAnsi" w:cstheme="majorHAnsi"/>
                <w:sz w:val="24"/>
                <w:szCs w:val="24"/>
                <w:lang w:val="ro-MD"/>
              </w:rPr>
              <w:t xml:space="preserve"> </w:t>
            </w:r>
            <w:r w:rsidR="00C55AE3">
              <w:rPr>
                <w:rFonts w:asciiTheme="majorHAnsi" w:hAnsiTheme="majorHAnsi" w:cstheme="majorHAnsi"/>
                <w:sz w:val="24"/>
                <w:szCs w:val="24"/>
                <w:lang w:val="ro-MD"/>
              </w:rPr>
              <w:t xml:space="preserve">a </w:t>
            </w:r>
            <w:r w:rsidR="005D5B80">
              <w:rPr>
                <w:rFonts w:asciiTheme="majorHAnsi" w:hAnsiTheme="majorHAnsi" w:cstheme="majorHAnsi"/>
                <w:sz w:val="24"/>
                <w:szCs w:val="24"/>
                <w:lang w:val="ro-MD"/>
              </w:rPr>
              <w:t>relevat</w:t>
            </w:r>
            <w:r w:rsidR="00C55AE3">
              <w:rPr>
                <w:rFonts w:asciiTheme="majorHAnsi" w:hAnsiTheme="majorHAnsi" w:cstheme="majorHAnsi"/>
                <w:sz w:val="24"/>
                <w:szCs w:val="24"/>
                <w:lang w:val="ro-MD"/>
              </w:rPr>
              <w:t xml:space="preserve"> trei cazuri</w:t>
            </w:r>
            <w:r w:rsidR="00341B9C" w:rsidRPr="00401691">
              <w:rPr>
                <w:rFonts w:asciiTheme="majorHAnsi" w:hAnsiTheme="majorHAnsi" w:cstheme="majorHAnsi"/>
                <w:sz w:val="24"/>
                <w:szCs w:val="24"/>
                <w:lang w:val="ro-MD"/>
              </w:rPr>
              <w:t xml:space="preserve"> </w:t>
            </w:r>
            <w:r w:rsidR="00B16D90" w:rsidRPr="00401691">
              <w:rPr>
                <w:rFonts w:asciiTheme="majorHAnsi" w:hAnsiTheme="majorHAnsi" w:cstheme="majorHAnsi"/>
                <w:sz w:val="24"/>
                <w:szCs w:val="24"/>
                <w:lang w:val="ro-MD"/>
              </w:rPr>
              <w:t>când</w:t>
            </w:r>
            <w:r w:rsidR="00341B9C" w:rsidRPr="00401691">
              <w:rPr>
                <w:rFonts w:asciiTheme="majorHAnsi" w:hAnsiTheme="majorHAnsi" w:cstheme="majorHAnsi"/>
                <w:sz w:val="24"/>
                <w:szCs w:val="24"/>
                <w:lang w:val="ro-MD"/>
              </w:rPr>
              <w:t xml:space="preserve"> c</w:t>
            </w:r>
            <w:r w:rsidR="0071352E" w:rsidRPr="00401691">
              <w:rPr>
                <w:rFonts w:asciiTheme="majorHAnsi" w:hAnsiTheme="majorHAnsi" w:cstheme="majorHAnsi"/>
                <w:sz w:val="24"/>
                <w:szCs w:val="24"/>
                <w:lang w:val="ro-MD"/>
              </w:rPr>
              <w:t>ontribuabilii</w:t>
            </w:r>
            <w:r w:rsidR="005D5B80">
              <w:rPr>
                <w:rFonts w:asciiTheme="majorHAnsi" w:hAnsiTheme="majorHAnsi" w:cstheme="majorHAnsi"/>
                <w:sz w:val="24"/>
                <w:szCs w:val="24"/>
                <w:lang w:val="ro-MD"/>
              </w:rPr>
              <w:t>,</w:t>
            </w:r>
            <w:r w:rsidR="0071352E" w:rsidRPr="00401691">
              <w:rPr>
                <w:rFonts w:asciiTheme="majorHAnsi" w:hAnsiTheme="majorHAnsi" w:cstheme="majorHAnsi"/>
                <w:sz w:val="24"/>
                <w:szCs w:val="24"/>
                <w:lang w:val="ro-MD"/>
              </w:rPr>
              <w:t xml:space="preserve"> înregistr</w:t>
            </w:r>
            <w:r w:rsidR="005D5B80">
              <w:rPr>
                <w:rFonts w:asciiTheme="majorHAnsi" w:hAnsiTheme="majorHAnsi" w:cstheme="majorHAnsi"/>
                <w:sz w:val="24"/>
                <w:szCs w:val="24"/>
                <w:lang w:val="ro-MD"/>
              </w:rPr>
              <w:t>ând</w:t>
            </w:r>
            <w:r w:rsidR="0071352E" w:rsidRPr="00401691">
              <w:rPr>
                <w:rFonts w:asciiTheme="majorHAnsi" w:hAnsiTheme="majorHAnsi" w:cstheme="majorHAnsi"/>
                <w:sz w:val="24"/>
                <w:szCs w:val="24"/>
                <w:lang w:val="ro-MD"/>
              </w:rPr>
              <w:t xml:space="preserve"> restanțe</w:t>
            </w:r>
            <w:r w:rsidR="00545356" w:rsidRPr="00401691">
              <w:rPr>
                <w:rFonts w:asciiTheme="majorHAnsi" w:hAnsiTheme="majorHAnsi" w:cstheme="majorHAnsi"/>
                <w:sz w:val="24"/>
                <w:szCs w:val="24"/>
                <w:lang w:val="ro-MD"/>
              </w:rPr>
              <w:t xml:space="preserve"> la buget în sumă</w:t>
            </w:r>
            <w:r w:rsidR="0071352E" w:rsidRPr="00401691">
              <w:rPr>
                <w:rFonts w:asciiTheme="majorHAnsi" w:hAnsiTheme="majorHAnsi" w:cstheme="majorHAnsi"/>
                <w:sz w:val="24"/>
                <w:szCs w:val="24"/>
                <w:lang w:val="ro-MD"/>
              </w:rPr>
              <w:t xml:space="preserve"> </w:t>
            </w:r>
            <w:r w:rsidR="00341B9C" w:rsidRPr="00401691">
              <w:rPr>
                <w:rFonts w:asciiTheme="majorHAnsi" w:hAnsiTheme="majorHAnsi" w:cstheme="majorHAnsi"/>
                <w:sz w:val="24"/>
                <w:szCs w:val="24"/>
                <w:lang w:val="ro-MD"/>
              </w:rPr>
              <w:t xml:space="preserve">de </w:t>
            </w:r>
            <w:r w:rsidR="00C55AE3">
              <w:rPr>
                <w:rFonts w:asciiTheme="majorHAnsi" w:hAnsiTheme="majorHAnsi" w:cstheme="majorHAnsi"/>
                <w:sz w:val="24"/>
                <w:szCs w:val="24"/>
                <w:lang w:val="ro-MD"/>
              </w:rPr>
              <w:t>32,9</w:t>
            </w:r>
            <w:r w:rsidR="00545356" w:rsidRPr="00401691">
              <w:rPr>
                <w:rFonts w:asciiTheme="majorHAnsi" w:hAnsiTheme="majorHAnsi" w:cstheme="majorHAnsi"/>
                <w:sz w:val="24"/>
                <w:szCs w:val="24"/>
                <w:lang w:val="ro-MD"/>
              </w:rPr>
              <w:t xml:space="preserve"> mil</w:t>
            </w:r>
            <w:r w:rsidR="00C21FCE">
              <w:rPr>
                <w:rFonts w:asciiTheme="majorHAnsi" w:hAnsiTheme="majorHAnsi" w:cstheme="majorHAnsi"/>
                <w:sz w:val="24"/>
                <w:szCs w:val="24"/>
                <w:lang w:val="ro-MD"/>
              </w:rPr>
              <w:t>.</w:t>
            </w:r>
            <w:r w:rsidR="00545356" w:rsidRPr="00401691">
              <w:rPr>
                <w:rFonts w:asciiTheme="majorHAnsi" w:hAnsiTheme="majorHAnsi" w:cstheme="majorHAnsi"/>
                <w:sz w:val="24"/>
                <w:szCs w:val="24"/>
                <w:lang w:val="ro-MD"/>
              </w:rPr>
              <w:t xml:space="preserve"> lei,</w:t>
            </w:r>
            <w:r w:rsidR="00341B9C" w:rsidRPr="00401691">
              <w:rPr>
                <w:rFonts w:asciiTheme="majorHAnsi" w:hAnsiTheme="majorHAnsi" w:cstheme="majorHAnsi"/>
                <w:sz w:val="24"/>
                <w:szCs w:val="24"/>
                <w:lang w:val="ro-MD"/>
              </w:rPr>
              <w:t xml:space="preserve"> nu</w:t>
            </w:r>
            <w:r w:rsidR="00226053">
              <w:rPr>
                <w:rFonts w:asciiTheme="majorHAnsi" w:hAnsiTheme="majorHAnsi" w:cstheme="majorHAnsi"/>
                <w:sz w:val="24"/>
                <w:szCs w:val="24"/>
                <w:lang w:val="ro-MD"/>
              </w:rPr>
              <w:t xml:space="preserve"> dețineau</w:t>
            </w:r>
            <w:r w:rsidR="00341B9C" w:rsidRPr="00401691">
              <w:rPr>
                <w:rFonts w:asciiTheme="majorHAnsi" w:hAnsiTheme="majorHAnsi" w:cstheme="majorHAnsi"/>
                <w:sz w:val="24"/>
                <w:szCs w:val="24"/>
                <w:lang w:val="ro-MD"/>
              </w:rPr>
              <w:t xml:space="preserve"> bunuri pasibile sechestrării, în același timp </w:t>
            </w:r>
            <w:r w:rsidR="00656EA5">
              <w:rPr>
                <w:rFonts w:asciiTheme="majorHAnsi" w:hAnsiTheme="majorHAnsi" w:cstheme="majorHAnsi"/>
                <w:sz w:val="24"/>
                <w:szCs w:val="24"/>
                <w:lang w:val="ro-MD"/>
              </w:rPr>
              <w:t>fiind fondatorii altor agenți</w:t>
            </w:r>
            <w:r w:rsidR="00545356" w:rsidRPr="00401691">
              <w:rPr>
                <w:rFonts w:asciiTheme="majorHAnsi" w:hAnsiTheme="majorHAnsi" w:cstheme="majorHAnsi"/>
                <w:sz w:val="24"/>
                <w:szCs w:val="24"/>
                <w:lang w:val="ro-MD"/>
              </w:rPr>
              <w:t xml:space="preserve"> economici cu </w:t>
            </w:r>
            <w:r w:rsidR="00341B9C" w:rsidRPr="00401691">
              <w:rPr>
                <w:rFonts w:asciiTheme="majorHAnsi" w:hAnsiTheme="majorHAnsi" w:cstheme="majorHAnsi"/>
                <w:sz w:val="24"/>
                <w:szCs w:val="24"/>
                <w:lang w:val="ro-MD"/>
              </w:rPr>
              <w:t xml:space="preserve">cote sociale în valoare de </w:t>
            </w:r>
            <w:r w:rsidR="00C55AE3">
              <w:rPr>
                <w:rFonts w:asciiTheme="majorHAnsi" w:hAnsiTheme="majorHAnsi" w:cstheme="majorHAnsi"/>
                <w:sz w:val="24"/>
                <w:szCs w:val="24"/>
                <w:lang w:val="ro-MD"/>
              </w:rPr>
              <w:t>95,4</w:t>
            </w:r>
            <w:r w:rsidR="00341B9C" w:rsidRPr="00401691">
              <w:rPr>
                <w:rFonts w:asciiTheme="majorHAnsi" w:hAnsiTheme="majorHAnsi" w:cstheme="majorHAnsi"/>
                <w:sz w:val="24"/>
                <w:szCs w:val="24"/>
                <w:lang w:val="ro-MD"/>
              </w:rPr>
              <w:t xml:space="preserve"> mil</w:t>
            </w:r>
            <w:r w:rsidR="00C21FCE">
              <w:rPr>
                <w:rFonts w:asciiTheme="majorHAnsi" w:hAnsiTheme="majorHAnsi" w:cstheme="majorHAnsi"/>
                <w:sz w:val="24"/>
                <w:szCs w:val="24"/>
                <w:lang w:val="ro-MD"/>
              </w:rPr>
              <w:t>.</w:t>
            </w:r>
            <w:r w:rsidR="00341B9C" w:rsidRPr="00401691">
              <w:rPr>
                <w:rFonts w:asciiTheme="majorHAnsi" w:hAnsiTheme="majorHAnsi" w:cstheme="majorHAnsi"/>
                <w:sz w:val="24"/>
                <w:szCs w:val="24"/>
                <w:lang w:val="ro-MD"/>
              </w:rPr>
              <w:t xml:space="preserve"> lei, care nu au fost supuse sechestrării</w:t>
            </w:r>
            <w:r w:rsidR="00545356" w:rsidRPr="00401691">
              <w:rPr>
                <w:rFonts w:asciiTheme="majorHAnsi" w:hAnsiTheme="majorHAnsi" w:cstheme="majorHAnsi"/>
                <w:sz w:val="24"/>
                <w:szCs w:val="24"/>
                <w:lang w:val="ro-MD"/>
              </w:rPr>
              <w:t>.</w:t>
            </w:r>
          </w:p>
          <w:p w:rsidR="008B6A9C" w:rsidRPr="00401691" w:rsidRDefault="0071352E" w:rsidP="00844145">
            <w:pPr>
              <w:tabs>
                <w:tab w:val="left" w:pos="252"/>
              </w:tabs>
              <w:spacing w:line="276" w:lineRule="auto"/>
              <w:jc w:val="both"/>
              <w:rPr>
                <w:rFonts w:asciiTheme="majorHAnsi" w:eastAsia="Calibri" w:hAnsiTheme="majorHAnsi" w:cstheme="majorHAnsi"/>
                <w:sz w:val="24"/>
                <w:szCs w:val="24"/>
                <w:lang w:val="ro-MD"/>
              </w:rPr>
            </w:pPr>
            <w:r w:rsidRPr="00401691">
              <w:rPr>
                <w:rFonts w:asciiTheme="majorHAnsi" w:hAnsiTheme="majorHAnsi" w:cstheme="majorHAnsi"/>
                <w:sz w:val="24"/>
                <w:szCs w:val="24"/>
                <w:lang w:val="ro-MD"/>
              </w:rPr>
              <w:t xml:space="preserve"> </w:t>
            </w:r>
            <w:r w:rsidR="00ED12FB">
              <w:rPr>
                <w:rFonts w:asciiTheme="majorHAnsi" w:hAnsiTheme="majorHAnsi" w:cstheme="majorHAnsi"/>
                <w:sz w:val="24"/>
                <w:szCs w:val="24"/>
                <w:lang w:val="ro-MD"/>
              </w:rPr>
              <w:t>Totodată</w:t>
            </w:r>
            <w:r w:rsidR="008B6A9C" w:rsidRPr="00401691">
              <w:rPr>
                <w:rFonts w:asciiTheme="majorHAnsi" w:hAnsiTheme="majorHAnsi" w:cstheme="majorHAnsi"/>
                <w:sz w:val="24"/>
                <w:szCs w:val="24"/>
                <w:lang w:val="ro-MD"/>
              </w:rPr>
              <w:t>,</w:t>
            </w:r>
            <w:r w:rsidR="008B6A9C" w:rsidRPr="00401691">
              <w:rPr>
                <w:rFonts w:asciiTheme="majorHAnsi" w:hAnsiTheme="majorHAnsi" w:cstheme="majorHAnsi"/>
                <w:sz w:val="24"/>
                <w:szCs w:val="24"/>
                <w:shd w:val="clear" w:color="auto" w:fill="FFFFFF"/>
                <w:lang w:val="ro-MD"/>
              </w:rPr>
              <w:t xml:space="preserve"> </w:t>
            </w:r>
            <w:r w:rsidR="008B6A9C" w:rsidRPr="00401691">
              <w:rPr>
                <w:rFonts w:asciiTheme="majorHAnsi" w:hAnsiTheme="majorHAnsi" w:cstheme="majorHAnsi"/>
                <w:sz w:val="24"/>
                <w:szCs w:val="24"/>
                <w:lang w:val="ro-MD"/>
              </w:rPr>
              <w:t xml:space="preserve">auditul </w:t>
            </w:r>
            <w:r w:rsidR="00ED12FB">
              <w:rPr>
                <w:rFonts w:asciiTheme="majorHAnsi" w:eastAsia="Calibri" w:hAnsiTheme="majorHAnsi" w:cstheme="majorHAnsi"/>
                <w:sz w:val="24"/>
                <w:szCs w:val="24"/>
                <w:lang w:val="ro-MD"/>
              </w:rPr>
              <w:t>constată</w:t>
            </w:r>
            <w:r w:rsidR="008B6A9C" w:rsidRPr="00401691">
              <w:rPr>
                <w:rFonts w:asciiTheme="majorHAnsi" w:eastAsia="Calibri" w:hAnsiTheme="majorHAnsi" w:cstheme="majorHAnsi"/>
                <w:sz w:val="24"/>
                <w:szCs w:val="24"/>
                <w:lang w:val="ro-MD"/>
              </w:rPr>
              <w:t xml:space="preserve"> unele probleme majore privind încasarea în termen și oportună a restanțelor la buget, cauzate de:</w:t>
            </w:r>
          </w:p>
          <w:p w:rsidR="008B6A9C" w:rsidRPr="00401691" w:rsidRDefault="008B6A9C" w:rsidP="00844145">
            <w:pPr>
              <w:pStyle w:val="ListParagraph"/>
              <w:numPr>
                <w:ilvl w:val="0"/>
                <w:numId w:val="2"/>
              </w:numPr>
              <w:tabs>
                <w:tab w:val="left" w:pos="252"/>
              </w:tabs>
              <w:spacing w:line="276" w:lineRule="auto"/>
              <w:ind w:left="522" w:hanging="270"/>
              <w:jc w:val="both"/>
              <w:rPr>
                <w:rFonts w:asciiTheme="majorHAnsi" w:eastAsia="Calibri" w:hAnsiTheme="majorHAnsi" w:cstheme="majorHAnsi"/>
                <w:sz w:val="24"/>
                <w:szCs w:val="24"/>
                <w:lang w:val="ro-MD"/>
              </w:rPr>
            </w:pPr>
            <w:r w:rsidRPr="00401691">
              <w:rPr>
                <w:rFonts w:asciiTheme="majorHAnsi" w:eastAsia="Calibri" w:hAnsiTheme="majorHAnsi" w:cstheme="majorHAnsi"/>
                <w:sz w:val="24"/>
                <w:szCs w:val="24"/>
                <w:lang w:val="ro-MD"/>
              </w:rPr>
              <w:t>lipsa unor pârghii legale de responsabilizare a contribuabililor care tergiversează comercializarea bunurilor sechestrate silit de SFS, sarcină</w:t>
            </w:r>
            <w:r w:rsidR="00C045E0" w:rsidRPr="00401691">
              <w:rPr>
                <w:rFonts w:asciiTheme="majorHAnsi" w:eastAsia="Calibri" w:hAnsiTheme="majorHAnsi" w:cstheme="majorHAnsi"/>
                <w:sz w:val="24"/>
                <w:szCs w:val="24"/>
                <w:lang w:val="ro-MD"/>
              </w:rPr>
              <w:t xml:space="preserve"> care l</w:t>
            </w:r>
            <w:r w:rsidR="00ED12FB">
              <w:rPr>
                <w:rFonts w:asciiTheme="majorHAnsi" w:eastAsia="Calibri" w:hAnsiTheme="majorHAnsi" w:cstheme="majorHAnsi"/>
                <w:sz w:val="24"/>
                <w:szCs w:val="24"/>
                <w:lang w:val="ro-MD"/>
              </w:rPr>
              <w:t>e</w:t>
            </w:r>
            <w:r w:rsidR="00C045E0" w:rsidRPr="00401691">
              <w:rPr>
                <w:rFonts w:asciiTheme="majorHAnsi" w:eastAsia="Calibri" w:hAnsiTheme="majorHAnsi" w:cstheme="majorHAnsi"/>
                <w:sz w:val="24"/>
                <w:szCs w:val="24"/>
                <w:lang w:val="ro-MD"/>
              </w:rPr>
              <w:t xml:space="preserve">-a fost </w:t>
            </w:r>
            <w:r w:rsidR="00656EA5">
              <w:rPr>
                <w:rFonts w:asciiTheme="majorHAnsi" w:eastAsia="Calibri" w:hAnsiTheme="majorHAnsi" w:cstheme="majorHAnsi"/>
                <w:sz w:val="24"/>
                <w:szCs w:val="24"/>
                <w:lang w:val="ro-MD"/>
              </w:rPr>
              <w:t>atribuită prin</w:t>
            </w:r>
            <w:r w:rsidR="00C045E0" w:rsidRPr="00401691">
              <w:rPr>
                <w:rFonts w:asciiTheme="majorHAnsi" w:eastAsia="Calibri" w:hAnsiTheme="majorHAnsi" w:cstheme="majorHAnsi"/>
                <w:sz w:val="24"/>
                <w:szCs w:val="24"/>
                <w:lang w:val="ro-MD"/>
              </w:rPr>
              <w:t xml:space="preserve"> </w:t>
            </w:r>
            <w:r w:rsidRPr="00401691">
              <w:rPr>
                <w:rFonts w:asciiTheme="majorHAnsi" w:eastAsia="Calibri" w:hAnsiTheme="majorHAnsi" w:cstheme="majorHAnsi"/>
                <w:sz w:val="24"/>
                <w:szCs w:val="24"/>
                <w:lang w:val="ro-MD"/>
              </w:rPr>
              <w:t>modific</w:t>
            </w:r>
            <w:r w:rsidR="00C045E0" w:rsidRPr="00401691">
              <w:rPr>
                <w:rFonts w:asciiTheme="majorHAnsi" w:eastAsia="Calibri" w:hAnsiTheme="majorHAnsi" w:cstheme="majorHAnsi"/>
                <w:sz w:val="24"/>
                <w:szCs w:val="24"/>
                <w:lang w:val="ro-MD"/>
              </w:rPr>
              <w:t xml:space="preserve">area </w:t>
            </w:r>
            <w:r w:rsidRPr="00401691">
              <w:rPr>
                <w:rFonts w:asciiTheme="majorHAnsi" w:eastAsia="Calibri" w:hAnsiTheme="majorHAnsi" w:cstheme="majorHAnsi"/>
                <w:sz w:val="24"/>
                <w:szCs w:val="24"/>
                <w:lang w:val="ro-MD"/>
              </w:rPr>
              <w:t xml:space="preserve">art.203 din Codul </w:t>
            </w:r>
            <w:r w:rsidR="00D41AF5">
              <w:rPr>
                <w:rFonts w:asciiTheme="majorHAnsi" w:eastAsia="Calibri" w:hAnsiTheme="majorHAnsi" w:cstheme="majorHAnsi"/>
                <w:sz w:val="24"/>
                <w:szCs w:val="24"/>
                <w:lang w:val="ro-MD"/>
              </w:rPr>
              <w:t>f</w:t>
            </w:r>
            <w:r w:rsidRPr="00401691">
              <w:rPr>
                <w:rFonts w:asciiTheme="majorHAnsi" w:eastAsia="Calibri" w:hAnsiTheme="majorHAnsi" w:cstheme="majorHAnsi"/>
                <w:sz w:val="24"/>
                <w:szCs w:val="24"/>
                <w:lang w:val="ro-MD"/>
              </w:rPr>
              <w:t>iscal</w:t>
            </w:r>
            <w:r w:rsidR="00656EA5">
              <w:rPr>
                <w:rFonts w:asciiTheme="majorHAnsi" w:eastAsia="Calibri" w:hAnsiTheme="majorHAnsi" w:cstheme="majorHAnsi"/>
                <w:sz w:val="24"/>
                <w:szCs w:val="24"/>
                <w:lang w:val="ro-MD"/>
              </w:rPr>
              <w:t>. Cele menționate denotă că modificările operate</w:t>
            </w:r>
            <w:r w:rsidR="00C045E0" w:rsidRPr="00401691">
              <w:rPr>
                <w:rFonts w:asciiTheme="majorHAnsi" w:eastAsia="Calibri" w:hAnsiTheme="majorHAnsi" w:cstheme="majorHAnsi"/>
                <w:sz w:val="24"/>
                <w:szCs w:val="24"/>
                <w:lang w:val="ro-MD"/>
              </w:rPr>
              <w:t xml:space="preserve"> nu a</w:t>
            </w:r>
            <w:r w:rsidR="007519BB" w:rsidRPr="00401691">
              <w:rPr>
                <w:rFonts w:asciiTheme="majorHAnsi" w:eastAsia="Calibri" w:hAnsiTheme="majorHAnsi" w:cstheme="majorHAnsi"/>
                <w:sz w:val="24"/>
                <w:szCs w:val="24"/>
                <w:lang w:val="ro-MD"/>
              </w:rPr>
              <w:t>u</w:t>
            </w:r>
            <w:r w:rsidR="00C045E0" w:rsidRPr="00401691">
              <w:rPr>
                <w:rFonts w:asciiTheme="majorHAnsi" w:eastAsia="Calibri" w:hAnsiTheme="majorHAnsi" w:cstheme="majorHAnsi"/>
                <w:sz w:val="24"/>
                <w:szCs w:val="24"/>
                <w:lang w:val="ro-MD"/>
              </w:rPr>
              <w:t xml:space="preserve"> sporit eficiența </w:t>
            </w:r>
            <w:r w:rsidR="00750409" w:rsidRPr="00401691">
              <w:rPr>
                <w:rFonts w:asciiTheme="majorHAnsi" w:eastAsia="Calibri" w:hAnsiTheme="majorHAnsi" w:cstheme="majorHAnsi"/>
                <w:sz w:val="24"/>
                <w:szCs w:val="24"/>
                <w:lang w:val="ro-MD"/>
              </w:rPr>
              <w:t>procesul</w:t>
            </w:r>
            <w:r w:rsidR="00C045E0" w:rsidRPr="00401691">
              <w:rPr>
                <w:rFonts w:asciiTheme="majorHAnsi" w:eastAsia="Calibri" w:hAnsiTheme="majorHAnsi" w:cstheme="majorHAnsi"/>
                <w:sz w:val="24"/>
                <w:szCs w:val="24"/>
                <w:lang w:val="ro-MD"/>
              </w:rPr>
              <w:t>ui</w:t>
            </w:r>
            <w:r w:rsidR="00750409" w:rsidRPr="00401691">
              <w:rPr>
                <w:rFonts w:asciiTheme="majorHAnsi" w:eastAsia="Calibri" w:hAnsiTheme="majorHAnsi" w:cstheme="majorHAnsi"/>
                <w:sz w:val="24"/>
                <w:szCs w:val="24"/>
                <w:lang w:val="ro-MD"/>
              </w:rPr>
              <w:t xml:space="preserve"> de comercializare a bunurilor sechestrate</w:t>
            </w:r>
            <w:r w:rsidR="00ED12FB">
              <w:rPr>
                <w:rFonts w:asciiTheme="majorHAnsi" w:eastAsia="Calibri" w:hAnsiTheme="majorHAnsi" w:cstheme="majorHAnsi"/>
                <w:sz w:val="24"/>
                <w:szCs w:val="24"/>
                <w:lang w:val="ro-MD"/>
              </w:rPr>
              <w:t>;</w:t>
            </w:r>
          </w:p>
          <w:p w:rsidR="008B6A9C" w:rsidRPr="00401691" w:rsidRDefault="00BF5531" w:rsidP="00844145">
            <w:pPr>
              <w:pStyle w:val="ListParagraph"/>
              <w:numPr>
                <w:ilvl w:val="0"/>
                <w:numId w:val="2"/>
              </w:numPr>
              <w:tabs>
                <w:tab w:val="left" w:pos="252"/>
              </w:tabs>
              <w:spacing w:line="276" w:lineRule="auto"/>
              <w:ind w:left="522" w:hanging="270"/>
              <w:jc w:val="both"/>
              <w:rPr>
                <w:rFonts w:asciiTheme="majorHAnsi" w:eastAsia="Calibri" w:hAnsiTheme="majorHAnsi" w:cstheme="majorHAnsi"/>
                <w:sz w:val="24"/>
                <w:szCs w:val="24"/>
                <w:lang w:val="ro-MD"/>
              </w:rPr>
            </w:pPr>
            <w:r w:rsidRPr="00401691">
              <w:rPr>
                <w:rFonts w:asciiTheme="majorHAnsi" w:eastAsia="Calibri" w:hAnsiTheme="majorHAnsi" w:cstheme="majorHAnsi"/>
                <w:sz w:val="24"/>
                <w:szCs w:val="24"/>
                <w:lang w:val="ro-MD"/>
              </w:rPr>
              <w:t xml:space="preserve"> </w:t>
            </w:r>
            <w:r w:rsidR="008B6A9C" w:rsidRPr="00401691">
              <w:rPr>
                <w:rFonts w:asciiTheme="majorHAnsi" w:eastAsia="Calibri" w:hAnsiTheme="majorHAnsi" w:cstheme="majorHAnsi"/>
                <w:sz w:val="24"/>
                <w:szCs w:val="24"/>
                <w:lang w:val="ro-MD"/>
              </w:rPr>
              <w:t xml:space="preserve">nearmonizarea modificărilor efectuate în Codul </w:t>
            </w:r>
            <w:r w:rsidR="00D41AF5">
              <w:rPr>
                <w:rFonts w:asciiTheme="majorHAnsi" w:eastAsia="Calibri" w:hAnsiTheme="majorHAnsi" w:cstheme="majorHAnsi"/>
                <w:sz w:val="24"/>
                <w:szCs w:val="24"/>
                <w:lang w:val="ro-MD"/>
              </w:rPr>
              <w:t>f</w:t>
            </w:r>
            <w:r w:rsidR="008B6A9C" w:rsidRPr="00401691">
              <w:rPr>
                <w:rFonts w:asciiTheme="majorHAnsi" w:eastAsia="Calibri" w:hAnsiTheme="majorHAnsi" w:cstheme="majorHAnsi"/>
                <w:sz w:val="24"/>
                <w:szCs w:val="24"/>
                <w:lang w:val="ro-MD"/>
              </w:rPr>
              <w:t>iscal privind urmări</w:t>
            </w:r>
            <w:r w:rsidR="00226053">
              <w:rPr>
                <w:rFonts w:asciiTheme="majorHAnsi" w:eastAsia="Calibri" w:hAnsiTheme="majorHAnsi" w:cstheme="majorHAnsi"/>
                <w:sz w:val="24"/>
                <w:szCs w:val="24"/>
                <w:lang w:val="ro-MD"/>
              </w:rPr>
              <w:t>rea silită a datoriilor curente</w:t>
            </w:r>
            <w:r w:rsidR="008B6A9C" w:rsidRPr="00401691">
              <w:rPr>
                <w:rFonts w:asciiTheme="majorHAnsi" w:eastAsia="Calibri" w:hAnsiTheme="majorHAnsi" w:cstheme="majorHAnsi"/>
                <w:sz w:val="24"/>
                <w:szCs w:val="24"/>
                <w:lang w:val="ro-MD"/>
              </w:rPr>
              <w:t xml:space="preserve"> cu prevederile Legii insolvabilități</w:t>
            </w:r>
            <w:r w:rsidR="00ED12FB">
              <w:rPr>
                <w:rFonts w:asciiTheme="majorHAnsi" w:eastAsia="Calibri" w:hAnsiTheme="majorHAnsi" w:cstheme="majorHAnsi"/>
                <w:sz w:val="24"/>
                <w:szCs w:val="24"/>
                <w:lang w:val="ro-MD"/>
              </w:rPr>
              <w:t>i</w:t>
            </w:r>
            <w:r w:rsidR="0071352E" w:rsidRPr="00401691">
              <w:rPr>
                <w:rFonts w:asciiTheme="majorHAnsi" w:eastAsia="Calibri" w:hAnsiTheme="majorHAnsi" w:cstheme="majorHAnsi"/>
                <w:sz w:val="24"/>
                <w:szCs w:val="24"/>
                <w:lang w:val="ro-MD"/>
              </w:rPr>
              <w:t>.</w:t>
            </w:r>
          </w:p>
          <w:p w:rsidR="00823468" w:rsidRDefault="00F448F4" w:rsidP="00844145">
            <w:pPr>
              <w:tabs>
                <w:tab w:val="left" w:pos="252"/>
              </w:tabs>
              <w:spacing w:line="276" w:lineRule="auto"/>
              <w:jc w:val="both"/>
              <w:rPr>
                <w:rFonts w:asciiTheme="majorHAnsi" w:hAnsiTheme="majorHAnsi" w:cstheme="majorHAnsi"/>
                <w:sz w:val="24"/>
                <w:szCs w:val="24"/>
                <w:lang w:val="ro-MD"/>
              </w:rPr>
            </w:pPr>
            <w:r w:rsidRPr="00401691">
              <w:rPr>
                <w:rFonts w:asciiTheme="majorHAnsi" w:hAnsiTheme="majorHAnsi" w:cstheme="majorHAnsi"/>
                <w:sz w:val="24"/>
                <w:szCs w:val="24"/>
                <w:lang w:val="ro-MD"/>
              </w:rPr>
              <w:t>Neaplicarea prevederilor Codului de executare de către angajații SFS în aspectul contestării act</w:t>
            </w:r>
            <w:r w:rsidR="00B61E9A">
              <w:rPr>
                <w:rFonts w:asciiTheme="majorHAnsi" w:hAnsiTheme="majorHAnsi" w:cstheme="majorHAnsi"/>
                <w:sz w:val="24"/>
                <w:szCs w:val="24"/>
                <w:lang w:val="ro-MD"/>
              </w:rPr>
              <w:t>elor emise de către un executor</w:t>
            </w:r>
            <w:r w:rsidRPr="00401691">
              <w:rPr>
                <w:rFonts w:asciiTheme="majorHAnsi" w:hAnsiTheme="majorHAnsi" w:cstheme="majorHAnsi"/>
                <w:sz w:val="24"/>
                <w:szCs w:val="24"/>
                <w:lang w:val="ro-MD"/>
              </w:rPr>
              <w:t xml:space="preserve"> judecătoresc a făcut posibilă apariția unor</w:t>
            </w:r>
            <w:r w:rsidR="00226053">
              <w:rPr>
                <w:rFonts w:asciiTheme="majorHAnsi" w:hAnsiTheme="majorHAnsi" w:cstheme="majorHAnsi"/>
                <w:sz w:val="24"/>
                <w:szCs w:val="24"/>
                <w:lang w:val="ro-MD"/>
              </w:rPr>
              <w:t xml:space="preserve"> riscuri de fraudă în acțiunile</w:t>
            </w:r>
            <w:r w:rsidRPr="00401691">
              <w:rPr>
                <w:rFonts w:asciiTheme="majorHAnsi" w:hAnsiTheme="majorHAnsi" w:cstheme="majorHAnsi"/>
                <w:sz w:val="24"/>
                <w:szCs w:val="24"/>
                <w:lang w:val="ro-MD"/>
              </w:rPr>
              <w:t xml:space="preserve"> aferente comercializării bunurilor sechestrate în valoare de 7,4 mil</w:t>
            </w:r>
            <w:r w:rsidR="00C21FCE">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lei, în contul stingerii arieratelor la bugetul </w:t>
            </w:r>
            <w:r w:rsidR="00ED12FB">
              <w:rPr>
                <w:rFonts w:asciiTheme="majorHAnsi" w:hAnsiTheme="majorHAnsi" w:cstheme="majorHAnsi"/>
                <w:sz w:val="24"/>
                <w:szCs w:val="24"/>
                <w:lang w:val="ro-MD"/>
              </w:rPr>
              <w:t xml:space="preserve">de </w:t>
            </w:r>
            <w:r w:rsidRPr="00401691">
              <w:rPr>
                <w:rFonts w:asciiTheme="majorHAnsi" w:hAnsiTheme="majorHAnsi" w:cstheme="majorHAnsi"/>
                <w:sz w:val="24"/>
                <w:szCs w:val="24"/>
                <w:lang w:val="ro-MD"/>
              </w:rPr>
              <w:t>stat. Această situație a</w:t>
            </w:r>
            <w:r w:rsidR="00B61E9A">
              <w:rPr>
                <w:rFonts w:asciiTheme="majorHAnsi" w:hAnsiTheme="majorHAnsi" w:cstheme="majorHAnsi"/>
                <w:sz w:val="24"/>
                <w:szCs w:val="24"/>
                <w:lang w:val="ro-MD"/>
              </w:rPr>
              <w:t xml:space="preserve"> fost cauzată și de lipsa unei</w:t>
            </w:r>
            <w:r w:rsidRPr="00401691">
              <w:rPr>
                <w:rFonts w:asciiTheme="majorHAnsi" w:hAnsiTheme="majorHAnsi" w:cstheme="majorHAnsi"/>
                <w:sz w:val="24"/>
                <w:szCs w:val="24"/>
                <w:lang w:val="ro-MD"/>
              </w:rPr>
              <w:t xml:space="preserve"> proceduri </w:t>
            </w:r>
            <w:r w:rsidR="00577FE3">
              <w:rPr>
                <w:rFonts w:asciiTheme="majorHAnsi" w:hAnsiTheme="majorHAnsi" w:cstheme="majorHAnsi"/>
                <w:sz w:val="24"/>
                <w:szCs w:val="24"/>
                <w:lang w:val="ro-MD"/>
              </w:rPr>
              <w:t>de</w:t>
            </w:r>
            <w:r w:rsidRPr="00401691">
              <w:rPr>
                <w:rFonts w:asciiTheme="majorHAnsi" w:hAnsiTheme="majorHAnsi" w:cstheme="majorHAnsi"/>
                <w:sz w:val="24"/>
                <w:szCs w:val="24"/>
                <w:lang w:val="ro-MD"/>
              </w:rPr>
              <w:t xml:space="preserve"> conlucrare</w:t>
            </w:r>
            <w:r w:rsidR="00577FE3">
              <w:rPr>
                <w:rFonts w:asciiTheme="majorHAnsi" w:hAnsiTheme="majorHAnsi" w:cstheme="majorHAnsi"/>
                <w:sz w:val="24"/>
                <w:szCs w:val="24"/>
                <w:lang w:val="ro-MD"/>
              </w:rPr>
              <w:t xml:space="preserve"> </w:t>
            </w:r>
            <w:r w:rsidRPr="00401691">
              <w:rPr>
                <w:rFonts w:asciiTheme="majorHAnsi" w:hAnsiTheme="majorHAnsi" w:cstheme="majorHAnsi"/>
                <w:sz w:val="24"/>
                <w:szCs w:val="24"/>
                <w:lang w:val="ro-MD"/>
              </w:rPr>
              <w:t xml:space="preserve">a </w:t>
            </w:r>
            <w:r w:rsidR="00577FE3" w:rsidRPr="00401691">
              <w:rPr>
                <w:rFonts w:asciiTheme="majorHAnsi" w:hAnsiTheme="majorHAnsi" w:cstheme="majorHAnsi"/>
                <w:sz w:val="24"/>
                <w:szCs w:val="24"/>
                <w:lang w:val="ro-MD"/>
              </w:rPr>
              <w:t xml:space="preserve">SFS </w:t>
            </w:r>
            <w:r w:rsidRPr="00401691">
              <w:rPr>
                <w:rFonts w:asciiTheme="majorHAnsi" w:hAnsiTheme="majorHAnsi" w:cstheme="majorHAnsi"/>
                <w:sz w:val="24"/>
                <w:szCs w:val="24"/>
                <w:lang w:val="ro-MD"/>
              </w:rPr>
              <w:t>cu executorii ju</w:t>
            </w:r>
            <w:r w:rsidR="00B61E9A">
              <w:rPr>
                <w:rFonts w:asciiTheme="majorHAnsi" w:hAnsiTheme="majorHAnsi" w:cstheme="majorHAnsi"/>
                <w:sz w:val="24"/>
                <w:szCs w:val="24"/>
                <w:lang w:val="ro-MD"/>
              </w:rPr>
              <w:t xml:space="preserve">decătorești, inclusiv </w:t>
            </w:r>
            <w:r w:rsidR="00577FE3">
              <w:rPr>
                <w:rFonts w:asciiTheme="majorHAnsi" w:hAnsiTheme="majorHAnsi" w:cstheme="majorHAnsi"/>
                <w:sz w:val="24"/>
                <w:szCs w:val="24"/>
                <w:lang w:val="ro-MD"/>
              </w:rPr>
              <w:t xml:space="preserve">de </w:t>
            </w:r>
            <w:r w:rsidR="00B61E9A">
              <w:rPr>
                <w:rFonts w:asciiTheme="majorHAnsi" w:hAnsiTheme="majorHAnsi" w:cstheme="majorHAnsi"/>
                <w:sz w:val="24"/>
                <w:szCs w:val="24"/>
                <w:lang w:val="ro-MD"/>
              </w:rPr>
              <w:t>acțiunile</w:t>
            </w:r>
            <w:r w:rsidRPr="00401691">
              <w:rPr>
                <w:rFonts w:asciiTheme="majorHAnsi" w:hAnsiTheme="majorHAnsi" w:cstheme="majorHAnsi"/>
                <w:sz w:val="24"/>
                <w:szCs w:val="24"/>
                <w:lang w:val="ro-MD"/>
              </w:rPr>
              <w:t xml:space="preserve"> întreprinse în </w:t>
            </w:r>
            <w:r w:rsidR="00B61E9A">
              <w:rPr>
                <w:rFonts w:asciiTheme="majorHAnsi" w:hAnsiTheme="majorHAnsi" w:cstheme="majorHAnsi"/>
                <w:sz w:val="24"/>
                <w:szCs w:val="24"/>
                <w:lang w:val="ro-MD"/>
              </w:rPr>
              <w:t>cazurile</w:t>
            </w:r>
            <w:r w:rsidRPr="00401691">
              <w:rPr>
                <w:rFonts w:asciiTheme="majorHAnsi" w:hAnsiTheme="majorHAnsi" w:cstheme="majorHAnsi"/>
                <w:sz w:val="24"/>
                <w:szCs w:val="24"/>
                <w:lang w:val="ro-MD"/>
              </w:rPr>
              <w:t xml:space="preserve"> </w:t>
            </w:r>
            <w:r w:rsidR="00B16D90" w:rsidRPr="00401691">
              <w:rPr>
                <w:rFonts w:asciiTheme="majorHAnsi" w:hAnsiTheme="majorHAnsi" w:cstheme="majorHAnsi"/>
                <w:sz w:val="24"/>
                <w:szCs w:val="24"/>
                <w:lang w:val="ro-MD"/>
              </w:rPr>
              <w:t>când</w:t>
            </w:r>
            <w:r w:rsidR="00B61E9A">
              <w:rPr>
                <w:rFonts w:asciiTheme="majorHAnsi" w:hAnsiTheme="majorHAnsi" w:cstheme="majorHAnsi"/>
                <w:sz w:val="24"/>
                <w:szCs w:val="24"/>
                <w:lang w:val="ro-MD"/>
              </w:rPr>
              <w:t xml:space="preserve"> prin actele emise de</w:t>
            </w:r>
            <w:r w:rsidRPr="00401691">
              <w:rPr>
                <w:rFonts w:asciiTheme="majorHAnsi" w:hAnsiTheme="majorHAnsi" w:cstheme="majorHAnsi"/>
                <w:sz w:val="24"/>
                <w:szCs w:val="24"/>
                <w:lang w:val="ro-MD"/>
              </w:rPr>
              <w:t xml:space="preserve"> executorii j</w:t>
            </w:r>
            <w:r w:rsidR="00B61E9A">
              <w:rPr>
                <w:rFonts w:asciiTheme="majorHAnsi" w:hAnsiTheme="majorHAnsi" w:cstheme="majorHAnsi"/>
                <w:sz w:val="24"/>
                <w:szCs w:val="24"/>
                <w:lang w:val="ro-MD"/>
              </w:rPr>
              <w:t>udecătorești au fost afectate</w:t>
            </w:r>
            <w:r w:rsidRPr="00401691">
              <w:rPr>
                <w:rFonts w:asciiTheme="majorHAnsi" w:hAnsiTheme="majorHAnsi" w:cstheme="majorHAnsi"/>
                <w:sz w:val="24"/>
                <w:szCs w:val="24"/>
                <w:lang w:val="ro-MD"/>
              </w:rPr>
              <w:t xml:space="preserve"> interesele statului</w:t>
            </w:r>
            <w:r w:rsidR="00345962">
              <w:rPr>
                <w:rFonts w:asciiTheme="majorHAnsi" w:hAnsiTheme="majorHAnsi" w:cstheme="majorHAnsi"/>
                <w:sz w:val="24"/>
                <w:szCs w:val="24"/>
                <w:lang w:val="ro-MD"/>
              </w:rPr>
              <w:t>.</w:t>
            </w:r>
          </w:p>
          <w:p w:rsidR="00002A3C" w:rsidRPr="00401691" w:rsidRDefault="00002A3C" w:rsidP="00844145">
            <w:pPr>
              <w:tabs>
                <w:tab w:val="left" w:pos="252"/>
              </w:tabs>
              <w:spacing w:line="276" w:lineRule="auto"/>
              <w:jc w:val="both"/>
              <w:rPr>
                <w:rFonts w:asciiTheme="majorHAnsi" w:hAnsiTheme="majorHAnsi" w:cstheme="majorHAnsi"/>
                <w:b/>
                <w:sz w:val="24"/>
                <w:szCs w:val="24"/>
                <w:lang w:val="ro-MD"/>
              </w:rPr>
            </w:pPr>
          </w:p>
        </w:tc>
      </w:tr>
    </w:tbl>
    <w:p w:rsidR="00D22DD9" w:rsidRPr="00573060" w:rsidRDefault="00577FE3" w:rsidP="00844145">
      <w:pPr>
        <w:pStyle w:val="Heading3"/>
        <w:numPr>
          <w:ilvl w:val="1"/>
          <w:numId w:val="35"/>
        </w:numPr>
        <w:spacing w:before="240" w:after="120" w:line="276" w:lineRule="auto"/>
        <w:jc w:val="both"/>
        <w:rPr>
          <w:rStyle w:val="ms-rtefontface-3"/>
          <w:rFonts w:eastAsia="Times New Roman" w:cstheme="majorHAnsi"/>
          <w:b/>
          <w:color w:val="1F4E79" w:themeColor="accent1" w:themeShade="80"/>
          <w:lang w:val="ro-MD"/>
        </w:rPr>
      </w:pPr>
      <w:bookmarkStart w:id="18" w:name="_Toc48732730"/>
      <w:r>
        <w:rPr>
          <w:b/>
          <w:color w:val="1F4E79" w:themeColor="accent1" w:themeShade="80"/>
        </w:rPr>
        <w:t xml:space="preserve">. </w:t>
      </w:r>
      <w:r w:rsidR="00510F9D">
        <w:rPr>
          <w:b/>
          <w:color w:val="1F4E79" w:themeColor="accent1" w:themeShade="80"/>
        </w:rPr>
        <w:t>P</w:t>
      </w:r>
      <w:r w:rsidR="00D22DD9" w:rsidRPr="007D38DE">
        <w:rPr>
          <w:b/>
          <w:color w:val="1F4E79" w:themeColor="accent1" w:themeShade="80"/>
        </w:rPr>
        <w:t>rocesul de executare silită</w:t>
      </w:r>
      <w:r w:rsidR="00510F9D">
        <w:rPr>
          <w:b/>
          <w:color w:val="1F4E79" w:themeColor="accent1" w:themeShade="80"/>
        </w:rPr>
        <w:t xml:space="preserve"> a </w:t>
      </w:r>
      <w:r w:rsidR="00510F9D" w:rsidRPr="0031358F">
        <w:rPr>
          <w:b/>
          <w:color w:val="1F4E79" w:themeColor="accent1" w:themeShade="80"/>
        </w:rPr>
        <w:t>arieratelor este vulnerabil și necesită a fi consolidat</w:t>
      </w:r>
      <w:bookmarkEnd w:id="18"/>
      <w:r w:rsidRPr="0031358F">
        <w:rPr>
          <w:b/>
          <w:color w:val="1F4E79" w:themeColor="accent1" w:themeShade="80"/>
        </w:rPr>
        <w:t>.</w:t>
      </w:r>
    </w:p>
    <w:p w:rsidR="00034B93" w:rsidRPr="00401691" w:rsidRDefault="00CF421B" w:rsidP="00844145">
      <w:pPr>
        <w:spacing w:before="120" w:after="0" w:line="276" w:lineRule="auto"/>
        <w:jc w:val="both"/>
        <w:rPr>
          <w:rStyle w:val="ms-rtefontface-3"/>
          <w:rFonts w:asciiTheme="majorHAnsi" w:eastAsia="Times New Roman" w:hAnsiTheme="majorHAnsi" w:cstheme="majorHAnsi"/>
          <w:sz w:val="24"/>
          <w:szCs w:val="24"/>
          <w:lang w:val="ro-MD"/>
        </w:rPr>
      </w:pPr>
      <w:r w:rsidRPr="00401691">
        <w:rPr>
          <w:rStyle w:val="ms-rtefontface-3"/>
          <w:rFonts w:asciiTheme="majorHAnsi" w:eastAsia="Times New Roman" w:hAnsiTheme="majorHAnsi" w:cstheme="majorHAnsi"/>
          <w:sz w:val="24"/>
          <w:szCs w:val="24"/>
          <w:lang w:val="ro-MD"/>
        </w:rPr>
        <w:t xml:space="preserve">Regula principală în materie de executare a obligațiilor față de </w:t>
      </w:r>
      <w:r w:rsidR="00034B93" w:rsidRPr="00401691">
        <w:rPr>
          <w:rStyle w:val="ms-rtefontface-3"/>
          <w:rFonts w:asciiTheme="majorHAnsi" w:eastAsia="Times New Roman" w:hAnsiTheme="majorHAnsi" w:cstheme="majorHAnsi"/>
          <w:sz w:val="24"/>
          <w:szCs w:val="24"/>
          <w:lang w:val="ro-MD"/>
        </w:rPr>
        <w:t>BPN</w:t>
      </w:r>
      <w:r w:rsidRPr="00401691">
        <w:rPr>
          <w:rStyle w:val="ms-rtefontface-3"/>
          <w:rFonts w:asciiTheme="majorHAnsi" w:eastAsia="Times New Roman" w:hAnsiTheme="majorHAnsi" w:cstheme="majorHAnsi"/>
          <w:sz w:val="24"/>
          <w:szCs w:val="24"/>
          <w:lang w:val="ro-MD"/>
        </w:rPr>
        <w:t xml:space="preserve"> </w:t>
      </w:r>
      <w:r w:rsidR="00226053">
        <w:rPr>
          <w:rStyle w:val="ms-rtefontface-3"/>
          <w:rFonts w:asciiTheme="majorHAnsi" w:eastAsia="Times New Roman" w:hAnsiTheme="majorHAnsi" w:cstheme="majorHAnsi"/>
          <w:sz w:val="24"/>
          <w:szCs w:val="24"/>
          <w:lang w:val="ro-MD"/>
        </w:rPr>
        <w:t>este reprezentată de executarea</w:t>
      </w:r>
      <w:r w:rsidRPr="00401691">
        <w:rPr>
          <w:rStyle w:val="ms-rtefontface-3"/>
          <w:rFonts w:asciiTheme="majorHAnsi" w:eastAsia="Times New Roman" w:hAnsiTheme="majorHAnsi" w:cstheme="majorHAnsi"/>
          <w:sz w:val="24"/>
          <w:szCs w:val="24"/>
          <w:lang w:val="ro-MD"/>
        </w:rPr>
        <w:t xml:space="preserve"> benevolă de către contribuabil a obligației fiscale, prin efectuarea plății pe deplin și în</w:t>
      </w:r>
      <w:r w:rsidR="00B61E9A">
        <w:rPr>
          <w:rStyle w:val="ms-rtefontface-3"/>
          <w:rFonts w:asciiTheme="majorHAnsi" w:eastAsia="Times New Roman" w:hAnsiTheme="majorHAnsi" w:cstheme="majorHAnsi"/>
          <w:sz w:val="24"/>
          <w:szCs w:val="24"/>
          <w:lang w:val="ro-MD"/>
        </w:rPr>
        <w:t xml:space="preserve"> termenul legal prestabilit în </w:t>
      </w:r>
      <w:r w:rsidRPr="00401691">
        <w:rPr>
          <w:rStyle w:val="ms-rtefontface-3"/>
          <w:rFonts w:asciiTheme="majorHAnsi" w:eastAsia="Times New Roman" w:hAnsiTheme="majorHAnsi" w:cstheme="majorHAnsi"/>
          <w:sz w:val="24"/>
          <w:szCs w:val="24"/>
          <w:lang w:val="ro-MD"/>
        </w:rPr>
        <w:t>cadrul normativ de reglementare.</w:t>
      </w:r>
    </w:p>
    <w:p w:rsidR="00CF421B" w:rsidRPr="00401691" w:rsidRDefault="00CF421B" w:rsidP="00844145">
      <w:pPr>
        <w:spacing w:before="120" w:after="0" w:line="276" w:lineRule="auto"/>
        <w:jc w:val="both"/>
        <w:rPr>
          <w:rFonts w:asciiTheme="majorHAnsi" w:hAnsiTheme="majorHAnsi" w:cstheme="majorHAnsi"/>
          <w:sz w:val="24"/>
          <w:szCs w:val="24"/>
          <w:lang w:val="ro-MD"/>
        </w:rPr>
      </w:pPr>
      <w:r w:rsidRPr="00401691">
        <w:rPr>
          <w:rStyle w:val="ms-rtefontface-3"/>
          <w:rFonts w:asciiTheme="majorHAnsi" w:hAnsiTheme="majorHAnsi" w:cstheme="majorHAnsi"/>
          <w:sz w:val="24"/>
          <w:szCs w:val="24"/>
          <w:lang w:val="ro-MD"/>
        </w:rPr>
        <w:t xml:space="preserve">Totuși, dacă contribuabilul nu execută obligația sa, în mărimea stabilită, SFS, pentru a valorifica dreptul său subiectiv patrimonial pe care îl deține asupra contribuabilului, recurge la pârghiile pe care legislația în vigoare i le pune </w:t>
      </w:r>
      <w:r w:rsidR="00B61E9A">
        <w:rPr>
          <w:rStyle w:val="ms-rtefontface-3"/>
          <w:rFonts w:asciiTheme="majorHAnsi" w:hAnsiTheme="majorHAnsi" w:cstheme="majorHAnsi"/>
          <w:sz w:val="24"/>
          <w:szCs w:val="24"/>
          <w:lang w:val="ro-MD"/>
        </w:rPr>
        <w:t>la dispoziție, pentru a asigura</w:t>
      </w:r>
      <w:r w:rsidRPr="00401691">
        <w:rPr>
          <w:rStyle w:val="ms-rtefontface-3"/>
          <w:rFonts w:asciiTheme="majorHAnsi" w:hAnsiTheme="majorHAnsi" w:cstheme="majorHAnsi"/>
          <w:sz w:val="24"/>
          <w:szCs w:val="24"/>
          <w:lang w:val="ro-MD"/>
        </w:rPr>
        <w:t xml:space="preserve"> încasarea obligațiilor pecuniare față de BPN, inclusiv la bugetul de stat. În acest </w:t>
      </w:r>
      <w:r w:rsidRPr="00401691">
        <w:rPr>
          <w:rStyle w:val="ms-rtefontface-3"/>
          <w:rFonts w:asciiTheme="majorHAnsi" w:hAnsiTheme="majorHAnsi" w:cstheme="majorHAnsi"/>
          <w:sz w:val="24"/>
          <w:szCs w:val="24"/>
          <w:lang w:val="ro-MD"/>
        </w:rPr>
        <w:lastRenderedPageBreak/>
        <w:t>sens</w:t>
      </w:r>
      <w:r w:rsidR="00B61E9A">
        <w:rPr>
          <w:rStyle w:val="ms-rtefontface-3"/>
          <w:rFonts w:asciiTheme="majorHAnsi" w:hAnsiTheme="majorHAnsi" w:cstheme="majorHAnsi"/>
          <w:sz w:val="24"/>
          <w:szCs w:val="24"/>
          <w:lang w:val="ro-MD"/>
        </w:rPr>
        <w:t>, DGA are obligația de a aplica</w:t>
      </w:r>
      <w:r w:rsidRPr="00401691">
        <w:rPr>
          <w:rStyle w:val="ms-rtefontface-3"/>
          <w:rFonts w:asciiTheme="majorHAnsi" w:hAnsiTheme="majorHAnsi" w:cstheme="majorHAnsi"/>
          <w:sz w:val="24"/>
          <w:szCs w:val="24"/>
          <w:lang w:val="ro-MD"/>
        </w:rPr>
        <w:t xml:space="preserve"> modalitățile de executare silită a obligațiilor fiscale restante, conform art.</w:t>
      </w:r>
      <w:r w:rsidRPr="00401691">
        <w:rPr>
          <w:rFonts w:asciiTheme="majorHAnsi" w:hAnsiTheme="majorHAnsi" w:cstheme="majorHAnsi"/>
          <w:b/>
          <w:bCs/>
          <w:sz w:val="24"/>
          <w:szCs w:val="24"/>
          <w:lang w:val="ro-MD"/>
        </w:rPr>
        <w:t xml:space="preserve"> </w:t>
      </w:r>
      <w:r w:rsidRPr="00401691">
        <w:rPr>
          <w:rFonts w:asciiTheme="majorHAnsi" w:hAnsiTheme="majorHAnsi" w:cstheme="majorHAnsi"/>
          <w:bCs/>
          <w:sz w:val="24"/>
          <w:szCs w:val="24"/>
          <w:lang w:val="ro-MD"/>
        </w:rPr>
        <w:t xml:space="preserve">194 din Codul </w:t>
      </w:r>
      <w:r w:rsidR="00577FE3">
        <w:rPr>
          <w:rFonts w:asciiTheme="majorHAnsi" w:hAnsiTheme="majorHAnsi" w:cstheme="majorHAnsi"/>
          <w:bCs/>
          <w:sz w:val="24"/>
          <w:szCs w:val="24"/>
          <w:lang w:val="ro-MD"/>
        </w:rPr>
        <w:t>f</w:t>
      </w:r>
      <w:r w:rsidRPr="00401691">
        <w:rPr>
          <w:rFonts w:asciiTheme="majorHAnsi" w:hAnsiTheme="majorHAnsi" w:cstheme="majorHAnsi"/>
          <w:bCs/>
          <w:sz w:val="24"/>
          <w:szCs w:val="24"/>
          <w:lang w:val="ro-MD"/>
        </w:rPr>
        <w:t>iscal, inclusiv</w:t>
      </w:r>
      <w:r w:rsidR="00577FE3">
        <w:rPr>
          <w:rFonts w:asciiTheme="majorHAnsi" w:hAnsiTheme="majorHAnsi" w:cstheme="majorHAnsi"/>
          <w:bCs/>
          <w:sz w:val="24"/>
          <w:szCs w:val="24"/>
          <w:lang w:val="ro-MD"/>
        </w:rPr>
        <w:t xml:space="preserve"> de</w:t>
      </w:r>
      <w:r w:rsidRPr="00401691">
        <w:rPr>
          <w:rFonts w:asciiTheme="majorHAnsi" w:hAnsiTheme="majorHAnsi" w:cstheme="majorHAnsi"/>
          <w:bCs/>
          <w:sz w:val="24"/>
          <w:szCs w:val="24"/>
          <w:lang w:val="ro-MD"/>
        </w:rPr>
        <w:t xml:space="preserve"> a asigura</w:t>
      </w:r>
      <w:r w:rsidR="00B61E9A">
        <w:rPr>
          <w:rFonts w:asciiTheme="majorHAnsi" w:hAnsiTheme="majorHAnsi" w:cstheme="majorHAnsi"/>
          <w:b/>
          <w:bCs/>
          <w:sz w:val="24"/>
          <w:szCs w:val="24"/>
          <w:lang w:val="ro-MD"/>
        </w:rPr>
        <w:t>:</w:t>
      </w:r>
      <w:r w:rsidRPr="00401691">
        <w:rPr>
          <w:rFonts w:asciiTheme="majorHAnsi" w:hAnsiTheme="majorHAnsi" w:cstheme="majorHAnsi"/>
          <w:sz w:val="24"/>
          <w:szCs w:val="24"/>
          <w:lang w:val="ro-MD"/>
        </w:rPr>
        <w:t xml:space="preserve"> </w:t>
      </w:r>
    </w:p>
    <w:p w:rsidR="00F14F9D" w:rsidRPr="00401691" w:rsidRDefault="00CF421B" w:rsidP="00844145">
      <w:pPr>
        <w:pStyle w:val="NormalWeb"/>
        <w:spacing w:before="0" w:beforeAutospacing="0" w:after="0" w:afterAutospacing="0" w:line="276" w:lineRule="auto"/>
        <w:ind w:left="720"/>
        <w:jc w:val="both"/>
        <w:rPr>
          <w:rFonts w:asciiTheme="majorHAnsi" w:hAnsiTheme="majorHAnsi" w:cstheme="majorHAnsi"/>
          <w:i/>
          <w:lang w:val="ro-MD"/>
        </w:rPr>
      </w:pPr>
      <w:r w:rsidRPr="00401691">
        <w:rPr>
          <w:rFonts w:asciiTheme="majorHAnsi" w:hAnsiTheme="majorHAnsi" w:cstheme="majorHAnsi"/>
          <w:i/>
          <w:lang w:val="ro-MD"/>
        </w:rPr>
        <w:t xml:space="preserve">a) încasarea mijloacelor bănești, inclusiv în valută străină, de pe conturile bancare ale contribuabilului, cu excepția celor de pe conturile de credit și provizorii (de acumulare a mijloacelor financiare pentru formarea sau majorarea capitalului social); </w:t>
      </w:r>
    </w:p>
    <w:p w:rsidR="00CF421B" w:rsidRPr="00401691" w:rsidRDefault="00CF421B" w:rsidP="00844145">
      <w:pPr>
        <w:pStyle w:val="NormalWeb"/>
        <w:spacing w:before="0" w:beforeAutospacing="0" w:after="0" w:afterAutospacing="0" w:line="276" w:lineRule="auto"/>
        <w:ind w:left="720"/>
        <w:jc w:val="both"/>
        <w:rPr>
          <w:rFonts w:asciiTheme="majorHAnsi" w:hAnsiTheme="majorHAnsi" w:cstheme="majorHAnsi"/>
          <w:i/>
          <w:lang w:val="ro-MD"/>
        </w:rPr>
      </w:pPr>
      <w:r w:rsidRPr="00401691">
        <w:rPr>
          <w:rFonts w:asciiTheme="majorHAnsi" w:hAnsiTheme="majorHAnsi" w:cstheme="majorHAnsi"/>
          <w:i/>
          <w:lang w:val="ro-MD"/>
        </w:rPr>
        <w:t xml:space="preserve">b) ridicarea de la contribuabil a mijloacelor bănești în numerar, inclusiv în valută străină; </w:t>
      </w:r>
    </w:p>
    <w:p w:rsidR="00FE623B" w:rsidRPr="00401691" w:rsidRDefault="00CF421B" w:rsidP="00844145">
      <w:pPr>
        <w:pStyle w:val="NormalWeb"/>
        <w:spacing w:before="0" w:beforeAutospacing="0" w:after="0" w:afterAutospacing="0" w:line="276" w:lineRule="auto"/>
        <w:ind w:left="720"/>
        <w:contextualSpacing/>
        <w:jc w:val="both"/>
        <w:rPr>
          <w:rFonts w:asciiTheme="majorHAnsi" w:hAnsiTheme="majorHAnsi" w:cstheme="majorHAnsi"/>
          <w:i/>
          <w:lang w:val="ro-MD"/>
        </w:rPr>
      </w:pPr>
      <w:r w:rsidRPr="00401691">
        <w:rPr>
          <w:rFonts w:asciiTheme="majorHAnsi" w:hAnsiTheme="majorHAnsi" w:cstheme="majorHAnsi"/>
          <w:i/>
          <w:lang w:val="ro-MD"/>
        </w:rPr>
        <w:t xml:space="preserve">c) urmărirea bunurilor contribuabilului; </w:t>
      </w:r>
    </w:p>
    <w:p w:rsidR="00CF421B" w:rsidRPr="00401691" w:rsidRDefault="00CF421B" w:rsidP="00844145">
      <w:pPr>
        <w:pStyle w:val="NormalWeb"/>
        <w:spacing w:before="0" w:beforeAutospacing="0" w:after="0" w:afterAutospacing="0" w:line="276" w:lineRule="auto"/>
        <w:ind w:left="720"/>
        <w:contextualSpacing/>
        <w:jc w:val="both"/>
        <w:rPr>
          <w:rFonts w:asciiTheme="majorHAnsi" w:hAnsiTheme="majorHAnsi" w:cstheme="majorHAnsi"/>
          <w:i/>
          <w:lang w:val="ro-MD"/>
        </w:rPr>
      </w:pPr>
      <w:r w:rsidRPr="00401691">
        <w:rPr>
          <w:rFonts w:asciiTheme="majorHAnsi" w:hAnsiTheme="majorHAnsi" w:cstheme="majorHAnsi"/>
          <w:i/>
          <w:lang w:val="ro-MD"/>
        </w:rPr>
        <w:t>d) urmărirea datoriilor debitoare ale contribuabililor prin modalit</w:t>
      </w:r>
      <w:r w:rsidR="00B61E9A">
        <w:rPr>
          <w:rFonts w:asciiTheme="majorHAnsi" w:hAnsiTheme="majorHAnsi" w:cstheme="majorHAnsi"/>
          <w:i/>
          <w:lang w:val="ro-MD"/>
        </w:rPr>
        <w:t>ățile prevăzute la lit</w:t>
      </w:r>
      <w:r w:rsidR="00577FE3">
        <w:rPr>
          <w:rFonts w:asciiTheme="majorHAnsi" w:hAnsiTheme="majorHAnsi" w:cstheme="majorHAnsi"/>
          <w:i/>
          <w:lang w:val="ro-MD"/>
        </w:rPr>
        <w:t>erele</w:t>
      </w:r>
      <w:r w:rsidR="00B61E9A">
        <w:rPr>
          <w:rFonts w:asciiTheme="majorHAnsi" w:hAnsiTheme="majorHAnsi" w:cstheme="majorHAnsi"/>
          <w:i/>
          <w:lang w:val="ro-MD"/>
        </w:rPr>
        <w:t xml:space="preserve"> a), b) </w:t>
      </w:r>
      <w:r w:rsidRPr="00401691">
        <w:rPr>
          <w:rFonts w:asciiTheme="majorHAnsi" w:hAnsiTheme="majorHAnsi" w:cstheme="majorHAnsi"/>
          <w:i/>
          <w:lang w:val="ro-MD"/>
        </w:rPr>
        <w:t xml:space="preserve">și c). </w:t>
      </w:r>
    </w:p>
    <w:p w:rsidR="00CF421B" w:rsidRPr="00401691" w:rsidRDefault="00B61E9A" w:rsidP="00844145">
      <w:pPr>
        <w:spacing w:line="276" w:lineRule="auto"/>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 xml:space="preserve">Analiza datelor SFS </w:t>
      </w:r>
      <w:r w:rsidR="00CF421B" w:rsidRPr="00401691">
        <w:rPr>
          <w:rFonts w:asciiTheme="majorHAnsi" w:eastAsia="Times New Roman" w:hAnsiTheme="majorHAnsi" w:cstheme="majorHAnsi"/>
          <w:sz w:val="24"/>
          <w:szCs w:val="24"/>
          <w:lang w:val="ro-MD"/>
        </w:rPr>
        <w:t>denotă că</w:t>
      </w:r>
      <w:r w:rsidR="00577FE3">
        <w:rPr>
          <w:rFonts w:asciiTheme="majorHAnsi" w:eastAsia="Times New Roman" w:hAnsiTheme="majorHAnsi" w:cstheme="majorHAnsi"/>
          <w:sz w:val="24"/>
          <w:szCs w:val="24"/>
          <w:lang w:val="ro-MD"/>
        </w:rPr>
        <w:t>,</w:t>
      </w:r>
      <w:r w:rsidR="00CF421B" w:rsidRPr="00401691">
        <w:rPr>
          <w:rFonts w:asciiTheme="majorHAnsi" w:eastAsia="Times New Roman" w:hAnsiTheme="majorHAnsi" w:cstheme="majorHAnsi"/>
          <w:sz w:val="24"/>
          <w:szCs w:val="24"/>
          <w:lang w:val="ro-MD"/>
        </w:rPr>
        <w:t xml:space="preserve"> în scopul stingerii obligațiilor fiscale ale contribuabili</w:t>
      </w:r>
      <w:r w:rsidR="00226053">
        <w:rPr>
          <w:rFonts w:asciiTheme="majorHAnsi" w:eastAsia="Times New Roman" w:hAnsiTheme="majorHAnsi" w:cstheme="majorHAnsi"/>
          <w:sz w:val="24"/>
          <w:szCs w:val="24"/>
          <w:lang w:val="ro-MD"/>
        </w:rPr>
        <w:t>lor restanțieri, de către</w:t>
      </w:r>
      <w:r>
        <w:rPr>
          <w:rFonts w:asciiTheme="majorHAnsi" w:eastAsia="Times New Roman" w:hAnsiTheme="majorHAnsi" w:cstheme="majorHAnsi"/>
          <w:sz w:val="24"/>
          <w:szCs w:val="24"/>
          <w:lang w:val="ro-MD"/>
        </w:rPr>
        <w:t xml:space="preserve"> DGA </w:t>
      </w:r>
      <w:r w:rsidR="00CF421B" w:rsidRPr="00401691">
        <w:rPr>
          <w:rFonts w:asciiTheme="majorHAnsi" w:eastAsia="Times New Roman" w:hAnsiTheme="majorHAnsi" w:cstheme="majorHAnsi"/>
          <w:sz w:val="24"/>
          <w:szCs w:val="24"/>
          <w:lang w:val="ro-MD"/>
        </w:rPr>
        <w:t>a</w:t>
      </w:r>
      <w:r w:rsidR="00577FE3">
        <w:rPr>
          <w:rFonts w:asciiTheme="majorHAnsi" w:eastAsia="Times New Roman" w:hAnsiTheme="majorHAnsi" w:cstheme="majorHAnsi"/>
          <w:sz w:val="24"/>
          <w:szCs w:val="24"/>
          <w:lang w:val="ro-MD"/>
        </w:rPr>
        <w:t>u</w:t>
      </w:r>
      <w:r w:rsidR="00CF421B" w:rsidRPr="00401691">
        <w:rPr>
          <w:rFonts w:asciiTheme="majorHAnsi" w:eastAsia="Times New Roman" w:hAnsiTheme="majorHAnsi" w:cstheme="majorHAnsi"/>
          <w:sz w:val="24"/>
          <w:szCs w:val="24"/>
          <w:lang w:val="ro-MD"/>
        </w:rPr>
        <w:t xml:space="preserve"> fost aplicate modalitățile de executare silită prevăzute de C</w:t>
      </w:r>
      <w:r w:rsidR="00577FE3">
        <w:rPr>
          <w:rFonts w:asciiTheme="majorHAnsi" w:eastAsia="Times New Roman" w:hAnsiTheme="majorHAnsi" w:cstheme="majorHAnsi"/>
          <w:sz w:val="24"/>
          <w:szCs w:val="24"/>
          <w:lang w:val="ro-MD"/>
        </w:rPr>
        <w:t>odul fiscal</w:t>
      </w:r>
      <w:r w:rsidR="00CF421B" w:rsidRPr="00401691">
        <w:rPr>
          <w:rFonts w:asciiTheme="majorHAnsi" w:eastAsia="Times New Roman" w:hAnsiTheme="majorHAnsi" w:cstheme="majorHAnsi"/>
          <w:sz w:val="24"/>
          <w:szCs w:val="24"/>
          <w:lang w:val="ro-MD"/>
        </w:rPr>
        <w:t xml:space="preserve">, prin intermediul cărora, în anul 2019 </w:t>
      </w:r>
      <w:r w:rsidR="00577FE3">
        <w:rPr>
          <w:rFonts w:asciiTheme="majorHAnsi" w:eastAsia="Times New Roman" w:hAnsiTheme="majorHAnsi" w:cstheme="majorHAnsi"/>
          <w:sz w:val="24"/>
          <w:szCs w:val="24"/>
          <w:lang w:val="ro-MD"/>
        </w:rPr>
        <w:t>s-a</w:t>
      </w:r>
      <w:r w:rsidR="006433D0">
        <w:rPr>
          <w:rFonts w:asciiTheme="majorHAnsi" w:eastAsia="Times New Roman" w:hAnsiTheme="majorHAnsi" w:cstheme="majorHAnsi"/>
          <w:sz w:val="24"/>
          <w:szCs w:val="24"/>
          <w:lang w:val="ro-MD"/>
        </w:rPr>
        <w:t xml:space="preserve"> </w:t>
      </w:r>
      <w:r w:rsidR="00CF421B" w:rsidRPr="00401691">
        <w:rPr>
          <w:rFonts w:asciiTheme="majorHAnsi" w:eastAsia="Times New Roman" w:hAnsiTheme="majorHAnsi" w:cstheme="majorHAnsi"/>
          <w:sz w:val="24"/>
          <w:szCs w:val="24"/>
          <w:lang w:val="ro-MD"/>
        </w:rPr>
        <w:t>încasat în bugetul de stat suma de 1094,3 mil</w:t>
      </w:r>
      <w:r w:rsidR="00C21FCE">
        <w:rPr>
          <w:rFonts w:asciiTheme="majorHAnsi" w:eastAsia="Times New Roman" w:hAnsiTheme="majorHAnsi" w:cstheme="majorHAnsi"/>
          <w:sz w:val="24"/>
          <w:szCs w:val="24"/>
          <w:lang w:val="ro-MD"/>
        </w:rPr>
        <w:t>.</w:t>
      </w:r>
      <w:r w:rsidR="00CF421B" w:rsidRPr="00401691">
        <w:rPr>
          <w:rFonts w:asciiTheme="majorHAnsi" w:eastAsia="Times New Roman" w:hAnsiTheme="majorHAnsi" w:cstheme="majorHAnsi"/>
          <w:sz w:val="24"/>
          <w:szCs w:val="24"/>
          <w:lang w:val="ro-MD"/>
        </w:rPr>
        <w:t xml:space="preserve"> lei. Modalitățile de executare silită aplicate contribuabililor și </w:t>
      </w:r>
      <w:r w:rsidR="00CF421B" w:rsidRPr="0031358F">
        <w:rPr>
          <w:rFonts w:asciiTheme="majorHAnsi" w:eastAsia="Times New Roman" w:hAnsiTheme="majorHAnsi" w:cstheme="majorHAnsi"/>
          <w:sz w:val="24"/>
          <w:szCs w:val="24"/>
          <w:lang w:val="ro-MD"/>
        </w:rPr>
        <w:t xml:space="preserve">valoarea obligațiilor </w:t>
      </w:r>
      <w:r w:rsidR="0031358F" w:rsidRPr="00573060">
        <w:rPr>
          <w:rFonts w:asciiTheme="majorHAnsi" w:eastAsia="Times New Roman" w:hAnsiTheme="majorHAnsi" w:cstheme="majorHAnsi"/>
          <w:sz w:val="24"/>
          <w:szCs w:val="24"/>
          <w:lang w:val="ro-MD"/>
        </w:rPr>
        <w:t>încasate</w:t>
      </w:r>
      <w:r w:rsidR="0031358F" w:rsidRPr="0031358F">
        <w:rPr>
          <w:rFonts w:asciiTheme="majorHAnsi" w:eastAsia="Times New Roman" w:hAnsiTheme="majorHAnsi" w:cstheme="majorHAnsi"/>
          <w:sz w:val="24"/>
          <w:szCs w:val="24"/>
          <w:lang w:val="ro-MD"/>
        </w:rPr>
        <w:t xml:space="preserve"> </w:t>
      </w:r>
      <w:r w:rsidR="00CF421B" w:rsidRPr="0031358F">
        <w:rPr>
          <w:rFonts w:asciiTheme="majorHAnsi" w:eastAsia="Times New Roman" w:hAnsiTheme="majorHAnsi" w:cstheme="majorHAnsi"/>
          <w:sz w:val="24"/>
          <w:szCs w:val="24"/>
          <w:lang w:val="ro-MD"/>
        </w:rPr>
        <w:t>silit sunt</w:t>
      </w:r>
      <w:r w:rsidR="00CF421B" w:rsidRPr="00401691">
        <w:rPr>
          <w:rFonts w:asciiTheme="majorHAnsi" w:eastAsia="Times New Roman" w:hAnsiTheme="majorHAnsi" w:cstheme="majorHAnsi"/>
          <w:sz w:val="24"/>
          <w:szCs w:val="24"/>
          <w:lang w:val="ro-MD"/>
        </w:rPr>
        <w:t xml:space="preserve"> redate în </w:t>
      </w:r>
      <w:r w:rsidR="008D0D1F">
        <w:rPr>
          <w:rFonts w:asciiTheme="majorHAnsi" w:eastAsia="Times New Roman" w:hAnsiTheme="majorHAnsi" w:cstheme="majorHAnsi"/>
          <w:sz w:val="24"/>
          <w:szCs w:val="24"/>
          <w:lang w:val="ro-MD"/>
        </w:rPr>
        <w:t>T</w:t>
      </w:r>
      <w:r w:rsidR="00CF421B" w:rsidRPr="00401691">
        <w:rPr>
          <w:rFonts w:asciiTheme="majorHAnsi" w:eastAsia="Times New Roman" w:hAnsiTheme="majorHAnsi" w:cstheme="majorHAnsi"/>
          <w:sz w:val="24"/>
          <w:szCs w:val="24"/>
          <w:lang w:val="ro-MD"/>
        </w:rPr>
        <w:t>abel</w:t>
      </w:r>
      <w:r w:rsidR="00283B5B">
        <w:rPr>
          <w:rFonts w:asciiTheme="majorHAnsi" w:eastAsia="Times New Roman" w:hAnsiTheme="majorHAnsi" w:cstheme="majorHAnsi"/>
          <w:sz w:val="24"/>
          <w:szCs w:val="24"/>
          <w:lang w:val="ro-MD"/>
        </w:rPr>
        <w:t>ul nr. 6.</w:t>
      </w:r>
    </w:p>
    <w:p w:rsidR="005E0F2C" w:rsidRDefault="005E0F2C" w:rsidP="00844145">
      <w:pPr>
        <w:spacing w:after="0" w:line="276" w:lineRule="auto"/>
        <w:jc w:val="right"/>
        <w:rPr>
          <w:rFonts w:asciiTheme="majorHAnsi" w:eastAsia="Times New Roman" w:hAnsiTheme="majorHAnsi" w:cstheme="majorHAnsi"/>
          <w:i/>
          <w:sz w:val="24"/>
          <w:szCs w:val="24"/>
          <w:lang w:val="ro-MD"/>
        </w:rPr>
      </w:pPr>
    </w:p>
    <w:p w:rsidR="005E0F2C" w:rsidRDefault="005E0F2C" w:rsidP="00844145">
      <w:pPr>
        <w:spacing w:after="0" w:line="276" w:lineRule="auto"/>
        <w:jc w:val="right"/>
        <w:rPr>
          <w:rFonts w:asciiTheme="majorHAnsi" w:eastAsia="Times New Roman" w:hAnsiTheme="majorHAnsi" w:cstheme="majorHAnsi"/>
          <w:i/>
          <w:sz w:val="24"/>
          <w:szCs w:val="24"/>
          <w:lang w:val="ro-MD"/>
        </w:rPr>
      </w:pPr>
    </w:p>
    <w:p w:rsidR="005E0F2C" w:rsidRDefault="005E0F2C" w:rsidP="00844145">
      <w:pPr>
        <w:spacing w:after="0" w:line="276" w:lineRule="auto"/>
        <w:jc w:val="right"/>
        <w:rPr>
          <w:rFonts w:asciiTheme="majorHAnsi" w:eastAsia="Times New Roman" w:hAnsiTheme="majorHAnsi" w:cstheme="majorHAnsi"/>
          <w:i/>
          <w:sz w:val="24"/>
          <w:szCs w:val="24"/>
          <w:lang w:val="ro-MD"/>
        </w:rPr>
      </w:pPr>
    </w:p>
    <w:p w:rsidR="006C0F5A" w:rsidRDefault="006C0F5A" w:rsidP="00844145">
      <w:pPr>
        <w:spacing w:after="0" w:line="276" w:lineRule="auto"/>
        <w:jc w:val="right"/>
        <w:rPr>
          <w:rFonts w:asciiTheme="majorHAnsi" w:eastAsia="Times New Roman" w:hAnsiTheme="majorHAnsi" w:cstheme="majorHAnsi"/>
          <w:i/>
          <w:sz w:val="24"/>
          <w:szCs w:val="24"/>
          <w:lang w:val="ro-MD"/>
        </w:rPr>
      </w:pPr>
      <w:r w:rsidRPr="0031358F">
        <w:rPr>
          <w:rFonts w:asciiTheme="majorHAnsi" w:eastAsia="Times New Roman" w:hAnsiTheme="majorHAnsi" w:cstheme="majorHAnsi"/>
          <w:i/>
          <w:sz w:val="24"/>
          <w:szCs w:val="24"/>
          <w:lang w:val="ro-MD"/>
        </w:rPr>
        <w:t>Tabelul nr.</w:t>
      </w:r>
      <w:r w:rsidR="002E2FC6" w:rsidRPr="0031358F">
        <w:rPr>
          <w:rFonts w:asciiTheme="majorHAnsi" w:eastAsia="Times New Roman" w:hAnsiTheme="majorHAnsi" w:cstheme="majorHAnsi"/>
          <w:i/>
          <w:sz w:val="24"/>
          <w:szCs w:val="24"/>
          <w:lang w:val="ro-MD"/>
        </w:rPr>
        <w:t xml:space="preserve"> 6</w:t>
      </w:r>
    </w:p>
    <w:p w:rsidR="00283B5B" w:rsidRDefault="00283B5B" w:rsidP="005E0F2C">
      <w:pPr>
        <w:spacing w:after="0" w:line="276" w:lineRule="auto"/>
        <w:jc w:val="center"/>
        <w:rPr>
          <w:rFonts w:asciiTheme="majorHAnsi" w:eastAsia="Times New Roman" w:hAnsiTheme="majorHAnsi" w:cstheme="majorHAnsi"/>
          <w:b/>
          <w:sz w:val="24"/>
          <w:szCs w:val="24"/>
          <w:lang w:val="ro-MD"/>
        </w:rPr>
      </w:pPr>
      <w:r w:rsidRPr="00283B5B">
        <w:rPr>
          <w:rFonts w:asciiTheme="majorHAnsi" w:eastAsia="Times New Roman" w:hAnsiTheme="majorHAnsi" w:cstheme="majorHAnsi"/>
          <w:b/>
          <w:sz w:val="24"/>
          <w:szCs w:val="24"/>
          <w:lang w:val="ro-MD"/>
        </w:rPr>
        <w:t xml:space="preserve">Modalitățile de executare silită aplicate contribuabililor și valoarea </w:t>
      </w:r>
      <w:r w:rsidRPr="0031358F">
        <w:rPr>
          <w:rFonts w:asciiTheme="majorHAnsi" w:eastAsia="Times New Roman" w:hAnsiTheme="majorHAnsi" w:cstheme="majorHAnsi"/>
          <w:b/>
          <w:sz w:val="24"/>
          <w:szCs w:val="24"/>
          <w:lang w:val="ro-MD"/>
        </w:rPr>
        <w:t xml:space="preserve">obligațiilor </w:t>
      </w:r>
      <w:r w:rsidR="0031358F" w:rsidRPr="00573060">
        <w:rPr>
          <w:rFonts w:asciiTheme="majorHAnsi" w:eastAsia="Times New Roman" w:hAnsiTheme="majorHAnsi" w:cstheme="majorHAnsi"/>
          <w:b/>
          <w:sz w:val="24"/>
          <w:szCs w:val="24"/>
          <w:lang w:val="ro-MD"/>
        </w:rPr>
        <w:t xml:space="preserve">încasate </w:t>
      </w:r>
      <w:r w:rsidRPr="0031358F">
        <w:rPr>
          <w:rFonts w:asciiTheme="majorHAnsi" w:eastAsia="Times New Roman" w:hAnsiTheme="majorHAnsi" w:cstheme="majorHAnsi"/>
          <w:b/>
          <w:sz w:val="24"/>
          <w:szCs w:val="24"/>
          <w:lang w:val="ro-MD"/>
        </w:rPr>
        <w:t>silit</w:t>
      </w:r>
    </w:p>
    <w:p w:rsidR="00283B5B" w:rsidRPr="00283B5B" w:rsidRDefault="00283B5B" w:rsidP="00844145">
      <w:pPr>
        <w:spacing w:after="0" w:line="276" w:lineRule="auto"/>
        <w:jc w:val="right"/>
        <w:rPr>
          <w:rFonts w:asciiTheme="majorHAnsi" w:eastAsia="Times New Roman" w:hAnsiTheme="majorHAnsi" w:cstheme="majorHAnsi"/>
          <w:b/>
          <w:sz w:val="24"/>
          <w:szCs w:val="24"/>
          <w:lang w:val="ro-MD"/>
        </w:rPr>
      </w:pPr>
      <w:r>
        <w:rPr>
          <w:rFonts w:asciiTheme="majorHAnsi" w:eastAsia="Times New Roman" w:hAnsiTheme="majorHAnsi" w:cstheme="majorHAnsi"/>
          <w:b/>
          <w:sz w:val="24"/>
          <w:szCs w:val="24"/>
          <w:lang w:val="ro-MD"/>
        </w:rPr>
        <w:t>(mii lei)</w:t>
      </w:r>
    </w:p>
    <w:tbl>
      <w:tblPr>
        <w:tblStyle w:val="ListTable2-Accent4"/>
        <w:tblW w:w="10075" w:type="dxa"/>
        <w:tblLook w:val="04A0" w:firstRow="1" w:lastRow="0" w:firstColumn="1" w:lastColumn="0" w:noHBand="0" w:noVBand="1"/>
      </w:tblPr>
      <w:tblGrid>
        <w:gridCol w:w="7830"/>
        <w:gridCol w:w="2245"/>
      </w:tblGrid>
      <w:tr w:rsidR="00CF421B" w:rsidRPr="00401691" w:rsidTr="007F7A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0" w:type="dxa"/>
          </w:tcPr>
          <w:p w:rsidR="00CF421B" w:rsidRPr="00401691" w:rsidRDefault="00CF421B" w:rsidP="00844145">
            <w:pPr>
              <w:spacing w:line="276" w:lineRule="auto"/>
              <w:jc w:val="both"/>
              <w:rPr>
                <w:rFonts w:asciiTheme="majorHAnsi" w:eastAsia="Times New Roman" w:hAnsiTheme="majorHAnsi" w:cstheme="majorHAnsi"/>
                <w:sz w:val="24"/>
                <w:szCs w:val="24"/>
                <w:lang w:val="ro-MD"/>
              </w:rPr>
            </w:pPr>
            <w:r w:rsidRPr="00401691">
              <w:rPr>
                <w:rFonts w:asciiTheme="majorHAnsi" w:eastAsia="Times New Roman" w:hAnsiTheme="majorHAnsi" w:cstheme="majorHAnsi"/>
                <w:sz w:val="24"/>
                <w:szCs w:val="24"/>
                <w:lang w:val="ro-MD"/>
              </w:rPr>
              <w:t xml:space="preserve"> Modalități de executare silită </w:t>
            </w:r>
          </w:p>
        </w:tc>
        <w:tc>
          <w:tcPr>
            <w:tcW w:w="2245" w:type="dxa"/>
          </w:tcPr>
          <w:p w:rsidR="00CF421B" w:rsidRPr="00401691" w:rsidRDefault="00CF421B" w:rsidP="00283B5B">
            <w:pPr>
              <w:spacing w:line="276" w:lineRule="auto"/>
              <w:ind w:left="168"/>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o-MD"/>
              </w:rPr>
            </w:pPr>
            <w:r w:rsidRPr="00401691">
              <w:rPr>
                <w:rFonts w:asciiTheme="majorHAnsi" w:eastAsia="Times New Roman" w:hAnsiTheme="majorHAnsi" w:cstheme="majorHAnsi"/>
                <w:sz w:val="24"/>
                <w:szCs w:val="24"/>
                <w:lang w:val="ro-MD"/>
              </w:rPr>
              <w:t>Suma încasată</w:t>
            </w:r>
          </w:p>
        </w:tc>
      </w:tr>
      <w:tr w:rsidR="00CF421B" w:rsidRPr="00401691" w:rsidTr="007F7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0" w:type="dxa"/>
          </w:tcPr>
          <w:p w:rsidR="00CF421B" w:rsidRPr="00401691" w:rsidRDefault="00CF421B" w:rsidP="00844145">
            <w:pPr>
              <w:spacing w:line="276" w:lineRule="auto"/>
              <w:jc w:val="both"/>
              <w:rPr>
                <w:rFonts w:asciiTheme="majorHAnsi" w:eastAsia="Times New Roman" w:hAnsiTheme="majorHAnsi" w:cstheme="majorHAnsi"/>
                <w:b w:val="0"/>
                <w:i/>
                <w:sz w:val="24"/>
                <w:szCs w:val="24"/>
                <w:lang w:val="ro-MD"/>
              </w:rPr>
            </w:pPr>
            <w:r w:rsidRPr="00401691">
              <w:rPr>
                <w:rFonts w:asciiTheme="majorHAnsi" w:hAnsiTheme="majorHAnsi" w:cstheme="majorHAnsi"/>
                <w:b w:val="0"/>
                <w:i/>
                <w:sz w:val="24"/>
                <w:szCs w:val="24"/>
                <w:lang w:val="ro-MD"/>
              </w:rPr>
              <w:t>încasarea mijloacelor bănești, inclusiv în valută străină, de pe conturile bancare ale contribuabilului</w:t>
            </w:r>
          </w:p>
        </w:tc>
        <w:tc>
          <w:tcPr>
            <w:tcW w:w="2245" w:type="dxa"/>
          </w:tcPr>
          <w:p w:rsidR="00CF421B" w:rsidRPr="00401691" w:rsidRDefault="00CF421B" w:rsidP="00FD3FED">
            <w:pPr>
              <w:spacing w:line="276" w:lineRule="auto"/>
              <w:ind w:left="78"/>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4"/>
                <w:szCs w:val="24"/>
                <w:lang w:val="ro-MD"/>
              </w:rPr>
            </w:pPr>
            <w:r w:rsidRPr="00401691">
              <w:rPr>
                <w:rFonts w:asciiTheme="majorHAnsi" w:eastAsia="Times New Roman" w:hAnsiTheme="majorHAnsi" w:cstheme="majorHAnsi"/>
                <w:sz w:val="24"/>
                <w:szCs w:val="24"/>
                <w:lang w:val="ro-MD"/>
              </w:rPr>
              <w:t>1039717,2</w:t>
            </w:r>
          </w:p>
        </w:tc>
      </w:tr>
      <w:tr w:rsidR="00CF421B" w:rsidRPr="00401691" w:rsidTr="007F7A57">
        <w:tc>
          <w:tcPr>
            <w:cnfStyle w:val="001000000000" w:firstRow="0" w:lastRow="0" w:firstColumn="1" w:lastColumn="0" w:oddVBand="0" w:evenVBand="0" w:oddHBand="0" w:evenHBand="0" w:firstRowFirstColumn="0" w:firstRowLastColumn="0" w:lastRowFirstColumn="0" w:lastRowLastColumn="0"/>
            <w:tcW w:w="7830" w:type="dxa"/>
          </w:tcPr>
          <w:p w:rsidR="00CF421B" w:rsidRPr="00401691" w:rsidRDefault="00CF421B" w:rsidP="00844145">
            <w:pPr>
              <w:spacing w:line="276" w:lineRule="auto"/>
              <w:jc w:val="both"/>
              <w:rPr>
                <w:rFonts w:asciiTheme="majorHAnsi" w:eastAsia="Times New Roman" w:hAnsiTheme="majorHAnsi" w:cstheme="majorHAnsi"/>
                <w:b w:val="0"/>
                <w:i/>
                <w:sz w:val="24"/>
                <w:szCs w:val="24"/>
                <w:lang w:val="ro-MD"/>
              </w:rPr>
            </w:pPr>
            <w:r w:rsidRPr="00401691">
              <w:rPr>
                <w:rFonts w:asciiTheme="majorHAnsi" w:hAnsiTheme="majorHAnsi" w:cstheme="majorHAnsi"/>
                <w:b w:val="0"/>
                <w:i/>
                <w:sz w:val="24"/>
                <w:szCs w:val="24"/>
                <w:lang w:val="ro-MD"/>
              </w:rPr>
              <w:t>ridicarea de la contribuabili a mijloacelor bănești în numerar, inclusiv în valută străină</w:t>
            </w:r>
          </w:p>
        </w:tc>
        <w:tc>
          <w:tcPr>
            <w:tcW w:w="2245" w:type="dxa"/>
          </w:tcPr>
          <w:p w:rsidR="00CF421B" w:rsidRPr="00401691" w:rsidRDefault="001D22F3" w:rsidP="00FD3FED">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o-MD"/>
              </w:rPr>
            </w:pPr>
            <w:r w:rsidRPr="00401691">
              <w:rPr>
                <w:rFonts w:asciiTheme="majorHAnsi" w:eastAsia="Times New Roman" w:hAnsiTheme="majorHAnsi" w:cstheme="majorHAnsi"/>
                <w:color w:val="FF0000"/>
                <w:sz w:val="24"/>
                <w:szCs w:val="24"/>
                <w:lang w:val="ro-MD"/>
              </w:rPr>
              <w:t xml:space="preserve"> </w:t>
            </w:r>
            <w:r w:rsidRPr="00401691">
              <w:rPr>
                <w:rFonts w:asciiTheme="majorHAnsi" w:eastAsia="Times New Roman" w:hAnsiTheme="majorHAnsi" w:cstheme="majorHAnsi"/>
                <w:sz w:val="24"/>
                <w:szCs w:val="24"/>
                <w:lang w:val="ro-MD"/>
              </w:rPr>
              <w:t>46577,1</w:t>
            </w:r>
          </w:p>
        </w:tc>
      </w:tr>
      <w:tr w:rsidR="00CF421B" w:rsidRPr="00401691" w:rsidTr="007F7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0" w:type="dxa"/>
          </w:tcPr>
          <w:p w:rsidR="00CF421B" w:rsidRPr="00401691" w:rsidRDefault="00CF421B" w:rsidP="00844145">
            <w:pPr>
              <w:spacing w:line="276" w:lineRule="auto"/>
              <w:jc w:val="both"/>
              <w:rPr>
                <w:rFonts w:asciiTheme="majorHAnsi" w:eastAsia="Times New Roman" w:hAnsiTheme="majorHAnsi" w:cstheme="majorHAnsi"/>
                <w:b w:val="0"/>
                <w:i/>
                <w:sz w:val="24"/>
                <w:szCs w:val="24"/>
                <w:lang w:val="ro-MD"/>
              </w:rPr>
            </w:pPr>
            <w:r w:rsidRPr="00401691">
              <w:rPr>
                <w:rFonts w:asciiTheme="majorHAnsi" w:hAnsiTheme="majorHAnsi" w:cstheme="majorHAnsi"/>
                <w:b w:val="0"/>
                <w:i/>
                <w:sz w:val="24"/>
                <w:szCs w:val="24"/>
                <w:lang w:val="ro-MD"/>
              </w:rPr>
              <w:t>urmărirea bunurilor contribuabilului (sechestrul bunurilor)</w:t>
            </w:r>
          </w:p>
        </w:tc>
        <w:tc>
          <w:tcPr>
            <w:tcW w:w="2245" w:type="dxa"/>
          </w:tcPr>
          <w:p w:rsidR="00CF421B" w:rsidRPr="00401691" w:rsidRDefault="00CF421B" w:rsidP="00FD3FED">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4"/>
                <w:szCs w:val="24"/>
                <w:lang w:val="ro-MD"/>
              </w:rPr>
            </w:pPr>
            <w:r w:rsidRPr="00401691">
              <w:rPr>
                <w:rFonts w:asciiTheme="majorHAnsi" w:eastAsia="Times New Roman" w:hAnsiTheme="majorHAnsi" w:cstheme="majorHAnsi"/>
                <w:sz w:val="24"/>
                <w:szCs w:val="24"/>
                <w:lang w:val="ro-MD"/>
              </w:rPr>
              <w:t xml:space="preserve"> 1060,5</w:t>
            </w:r>
          </w:p>
        </w:tc>
      </w:tr>
      <w:tr w:rsidR="00CF421B" w:rsidRPr="00401691" w:rsidTr="007F7A57">
        <w:tc>
          <w:tcPr>
            <w:cnfStyle w:val="001000000000" w:firstRow="0" w:lastRow="0" w:firstColumn="1" w:lastColumn="0" w:oddVBand="0" w:evenVBand="0" w:oddHBand="0" w:evenHBand="0" w:firstRowFirstColumn="0" w:firstRowLastColumn="0" w:lastRowFirstColumn="0" w:lastRowLastColumn="0"/>
            <w:tcW w:w="7830" w:type="dxa"/>
          </w:tcPr>
          <w:p w:rsidR="00CF421B" w:rsidRPr="00401691" w:rsidRDefault="00CF421B" w:rsidP="00844145">
            <w:pPr>
              <w:spacing w:line="276" w:lineRule="auto"/>
              <w:jc w:val="both"/>
              <w:rPr>
                <w:rFonts w:asciiTheme="majorHAnsi" w:eastAsia="Times New Roman" w:hAnsiTheme="majorHAnsi" w:cstheme="majorHAnsi"/>
                <w:b w:val="0"/>
                <w:i/>
                <w:sz w:val="24"/>
                <w:szCs w:val="24"/>
                <w:lang w:val="ro-MD"/>
              </w:rPr>
            </w:pPr>
            <w:r w:rsidRPr="00401691">
              <w:rPr>
                <w:rFonts w:asciiTheme="majorHAnsi" w:hAnsiTheme="majorHAnsi" w:cstheme="majorHAnsi"/>
                <w:b w:val="0"/>
                <w:i/>
                <w:sz w:val="24"/>
                <w:szCs w:val="24"/>
                <w:lang w:val="ro-MD"/>
              </w:rPr>
              <w:lastRenderedPageBreak/>
              <w:t>urmărirea datoriilor debitoare ale contribuabililor</w:t>
            </w:r>
          </w:p>
        </w:tc>
        <w:tc>
          <w:tcPr>
            <w:tcW w:w="2245" w:type="dxa"/>
          </w:tcPr>
          <w:p w:rsidR="00CF421B" w:rsidRPr="00401691" w:rsidRDefault="00CF421B" w:rsidP="00FD3FED">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o-MD"/>
              </w:rPr>
            </w:pPr>
            <w:r w:rsidRPr="00401691">
              <w:rPr>
                <w:rFonts w:asciiTheme="majorHAnsi" w:eastAsia="Times New Roman" w:hAnsiTheme="majorHAnsi" w:cstheme="majorHAnsi"/>
                <w:sz w:val="24"/>
                <w:szCs w:val="24"/>
                <w:lang w:val="ro-MD"/>
              </w:rPr>
              <w:t xml:space="preserve"> 6989,0</w:t>
            </w:r>
          </w:p>
        </w:tc>
      </w:tr>
      <w:tr w:rsidR="00CF421B" w:rsidRPr="00401691" w:rsidTr="007F7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0" w:type="dxa"/>
          </w:tcPr>
          <w:p w:rsidR="00CF421B" w:rsidRPr="00401691" w:rsidRDefault="00CF421B" w:rsidP="00844145">
            <w:pPr>
              <w:spacing w:line="276" w:lineRule="auto"/>
              <w:jc w:val="both"/>
              <w:rPr>
                <w:rFonts w:asciiTheme="majorHAnsi" w:hAnsiTheme="majorHAnsi" w:cstheme="majorHAnsi"/>
                <w:i/>
                <w:sz w:val="24"/>
                <w:szCs w:val="24"/>
                <w:lang w:val="ro-MD"/>
              </w:rPr>
            </w:pPr>
            <w:r w:rsidRPr="00401691">
              <w:rPr>
                <w:rFonts w:asciiTheme="majorHAnsi" w:hAnsiTheme="majorHAnsi" w:cstheme="majorHAnsi"/>
                <w:i/>
                <w:sz w:val="24"/>
                <w:szCs w:val="24"/>
                <w:lang w:val="ro-MD"/>
              </w:rPr>
              <w:t>Total</w:t>
            </w:r>
          </w:p>
        </w:tc>
        <w:tc>
          <w:tcPr>
            <w:tcW w:w="2245" w:type="dxa"/>
          </w:tcPr>
          <w:p w:rsidR="00CF421B" w:rsidRPr="00401691" w:rsidRDefault="00CF421B" w:rsidP="00FD3FED">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i/>
                <w:sz w:val="24"/>
                <w:szCs w:val="24"/>
                <w:lang w:val="ro-MD"/>
              </w:rPr>
            </w:pPr>
            <w:r w:rsidRPr="00401691">
              <w:rPr>
                <w:rFonts w:asciiTheme="majorHAnsi" w:eastAsia="Times New Roman" w:hAnsiTheme="majorHAnsi" w:cstheme="majorHAnsi"/>
                <w:b/>
                <w:i/>
                <w:sz w:val="24"/>
                <w:szCs w:val="24"/>
                <w:lang w:val="ro-MD"/>
              </w:rPr>
              <w:t>1094343,8</w:t>
            </w:r>
          </w:p>
        </w:tc>
      </w:tr>
    </w:tbl>
    <w:p w:rsidR="00CF421B" w:rsidRPr="00401691" w:rsidRDefault="00CF421B" w:rsidP="00844145">
      <w:pPr>
        <w:spacing w:before="120" w:after="120" w:line="276" w:lineRule="auto"/>
        <w:jc w:val="both"/>
        <w:rPr>
          <w:rFonts w:asciiTheme="majorHAnsi" w:eastAsia="Times New Roman" w:hAnsiTheme="majorHAnsi" w:cstheme="majorHAnsi"/>
          <w:sz w:val="24"/>
          <w:szCs w:val="24"/>
          <w:lang w:val="ro-MD"/>
        </w:rPr>
      </w:pPr>
      <w:r w:rsidRPr="00401691">
        <w:rPr>
          <w:rFonts w:asciiTheme="majorHAnsi" w:hAnsiTheme="majorHAnsi" w:cstheme="majorHAnsi"/>
          <w:sz w:val="24"/>
          <w:szCs w:val="24"/>
          <w:lang w:val="ro-MD"/>
        </w:rPr>
        <w:t>Datele prezentate în tabel atestă că</w:t>
      </w:r>
      <w:r w:rsidR="008D0D1F">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w:t>
      </w:r>
      <w:r w:rsidR="008D0D1F">
        <w:rPr>
          <w:rFonts w:asciiTheme="majorHAnsi" w:hAnsiTheme="majorHAnsi" w:cstheme="majorHAnsi"/>
          <w:sz w:val="24"/>
          <w:szCs w:val="24"/>
          <w:lang w:val="ro-MD"/>
        </w:rPr>
        <w:t>î</w:t>
      </w:r>
      <w:r w:rsidRPr="00401691">
        <w:rPr>
          <w:rFonts w:asciiTheme="majorHAnsi" w:hAnsiTheme="majorHAnsi" w:cstheme="majorHAnsi"/>
          <w:sz w:val="24"/>
          <w:szCs w:val="24"/>
          <w:lang w:val="ro-MD"/>
        </w:rPr>
        <w:t>n suma totală a obligațiilor fiscale executate silit la buget, ponderea cea mai semnificativă</w:t>
      </w:r>
      <w:r w:rsidR="008D0D1F">
        <w:rPr>
          <w:rFonts w:asciiTheme="majorHAnsi" w:hAnsiTheme="majorHAnsi" w:cstheme="majorHAnsi"/>
          <w:sz w:val="24"/>
          <w:szCs w:val="24"/>
          <w:lang w:val="ro-MD"/>
        </w:rPr>
        <w:t xml:space="preserve"> – de </w:t>
      </w:r>
      <w:r w:rsidRPr="00401691">
        <w:rPr>
          <w:rFonts w:asciiTheme="majorHAnsi" w:hAnsiTheme="majorHAnsi" w:cstheme="majorHAnsi"/>
          <w:sz w:val="24"/>
          <w:szCs w:val="24"/>
          <w:lang w:val="ro-MD"/>
        </w:rPr>
        <w:t>95,6%</w:t>
      </w:r>
      <w:r w:rsidR="008D0D1F">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revine mijloacelor bănești încasate de pe conturile bancare ale contribuabilului. Prin aplicarea modalității de ridicare a numerarului </w:t>
      </w:r>
      <w:r w:rsidR="00B61E9A">
        <w:rPr>
          <w:rFonts w:asciiTheme="majorHAnsi" w:hAnsiTheme="majorHAnsi" w:cstheme="majorHAnsi"/>
          <w:sz w:val="24"/>
          <w:szCs w:val="24"/>
          <w:lang w:val="ro-MD"/>
        </w:rPr>
        <w:t>de la contribuabili</w:t>
      </w:r>
      <w:r w:rsidR="008D0D1F">
        <w:rPr>
          <w:rFonts w:asciiTheme="majorHAnsi" w:hAnsiTheme="majorHAnsi" w:cstheme="majorHAnsi"/>
          <w:sz w:val="24"/>
          <w:szCs w:val="24"/>
          <w:lang w:val="ro-MD"/>
        </w:rPr>
        <w:t>i</w:t>
      </w:r>
      <w:r w:rsidR="00B61E9A">
        <w:rPr>
          <w:rFonts w:asciiTheme="majorHAnsi" w:hAnsiTheme="majorHAnsi" w:cstheme="majorHAnsi"/>
          <w:sz w:val="24"/>
          <w:szCs w:val="24"/>
          <w:lang w:val="ro-MD"/>
        </w:rPr>
        <w:t xml:space="preserve"> restanțieri</w:t>
      </w:r>
      <w:r w:rsidRPr="00401691">
        <w:rPr>
          <w:rFonts w:asciiTheme="majorHAnsi" w:hAnsiTheme="majorHAnsi" w:cstheme="majorHAnsi"/>
          <w:sz w:val="24"/>
          <w:szCs w:val="24"/>
          <w:lang w:val="ro-MD"/>
        </w:rPr>
        <w:t xml:space="preserve"> </w:t>
      </w:r>
      <w:r w:rsidR="008D0D1F">
        <w:rPr>
          <w:rFonts w:asciiTheme="majorHAnsi" w:hAnsiTheme="majorHAnsi" w:cstheme="majorHAnsi"/>
          <w:sz w:val="24"/>
          <w:szCs w:val="24"/>
          <w:lang w:val="ro-MD"/>
        </w:rPr>
        <w:t>s-</w:t>
      </w:r>
      <w:r w:rsidRPr="00401691">
        <w:rPr>
          <w:rFonts w:asciiTheme="majorHAnsi" w:hAnsiTheme="majorHAnsi" w:cstheme="majorHAnsi"/>
          <w:sz w:val="24"/>
          <w:szCs w:val="24"/>
          <w:lang w:val="ro-MD"/>
        </w:rPr>
        <w:t xml:space="preserve">au  executat circa 4% din suma totală a mijloacelor încasate. </w:t>
      </w:r>
      <w:r w:rsidRPr="00401691">
        <w:rPr>
          <w:rFonts w:asciiTheme="majorHAnsi" w:eastAsia="Times New Roman" w:hAnsiTheme="majorHAnsi" w:cstheme="majorHAnsi"/>
          <w:sz w:val="24"/>
          <w:szCs w:val="24"/>
          <w:lang w:val="ro-MD"/>
        </w:rPr>
        <w:t xml:space="preserve">Cele mai nesemnificative încasări </w:t>
      </w:r>
      <w:r w:rsidR="008D0D1F">
        <w:rPr>
          <w:rFonts w:asciiTheme="majorHAnsi" w:eastAsia="Times New Roman" w:hAnsiTheme="majorHAnsi" w:cstheme="majorHAnsi"/>
          <w:sz w:val="24"/>
          <w:szCs w:val="24"/>
          <w:lang w:val="ro-MD"/>
        </w:rPr>
        <w:t xml:space="preserve">de mijloace </w:t>
      </w:r>
      <w:r w:rsidRPr="00401691">
        <w:rPr>
          <w:rFonts w:asciiTheme="majorHAnsi" w:eastAsia="Times New Roman" w:hAnsiTheme="majorHAnsi" w:cstheme="majorHAnsi"/>
          <w:sz w:val="24"/>
          <w:szCs w:val="24"/>
          <w:lang w:val="ro-MD"/>
        </w:rPr>
        <w:t>(1,0 mil</w:t>
      </w:r>
      <w:r w:rsidR="00C21FCE">
        <w:rPr>
          <w:rFonts w:asciiTheme="majorHAnsi" w:eastAsia="Times New Roman" w:hAnsiTheme="majorHAnsi" w:cstheme="majorHAnsi"/>
          <w:sz w:val="24"/>
          <w:szCs w:val="24"/>
          <w:lang w:val="ro-MD"/>
        </w:rPr>
        <w:t>.</w:t>
      </w:r>
      <w:r w:rsidRPr="00401691">
        <w:rPr>
          <w:rFonts w:asciiTheme="majorHAnsi" w:eastAsia="Times New Roman" w:hAnsiTheme="majorHAnsi" w:cstheme="majorHAnsi"/>
          <w:sz w:val="24"/>
          <w:szCs w:val="24"/>
          <w:lang w:val="ro-MD"/>
        </w:rPr>
        <w:t xml:space="preserve"> lei - aproximativ 0,1%) au </w:t>
      </w:r>
      <w:r w:rsidR="008D0D1F">
        <w:rPr>
          <w:rFonts w:asciiTheme="majorHAnsi" w:eastAsia="Times New Roman" w:hAnsiTheme="majorHAnsi" w:cstheme="majorHAnsi"/>
          <w:sz w:val="24"/>
          <w:szCs w:val="24"/>
          <w:lang w:val="ro-MD"/>
        </w:rPr>
        <w:t xml:space="preserve">fost </w:t>
      </w:r>
      <w:r w:rsidRPr="0031358F">
        <w:rPr>
          <w:rFonts w:asciiTheme="majorHAnsi" w:eastAsia="Times New Roman" w:hAnsiTheme="majorHAnsi" w:cstheme="majorHAnsi"/>
          <w:sz w:val="24"/>
          <w:szCs w:val="24"/>
          <w:lang w:val="ro-MD"/>
        </w:rPr>
        <w:t>înregistra</w:t>
      </w:r>
      <w:r w:rsidR="00B61E9A" w:rsidRPr="0031358F">
        <w:rPr>
          <w:rFonts w:asciiTheme="majorHAnsi" w:eastAsia="Times New Roman" w:hAnsiTheme="majorHAnsi" w:cstheme="majorHAnsi"/>
          <w:sz w:val="24"/>
          <w:szCs w:val="24"/>
          <w:lang w:val="ro-MD"/>
        </w:rPr>
        <w:t>t</w:t>
      </w:r>
      <w:r w:rsidR="008D0D1F" w:rsidRPr="0031358F">
        <w:rPr>
          <w:rFonts w:asciiTheme="majorHAnsi" w:eastAsia="Times New Roman" w:hAnsiTheme="majorHAnsi" w:cstheme="majorHAnsi"/>
          <w:sz w:val="24"/>
          <w:szCs w:val="24"/>
          <w:lang w:val="ro-MD"/>
        </w:rPr>
        <w:t>e</w:t>
      </w:r>
      <w:r w:rsidR="00B61E9A" w:rsidRPr="0031358F">
        <w:rPr>
          <w:rFonts w:asciiTheme="majorHAnsi" w:eastAsia="Times New Roman" w:hAnsiTheme="majorHAnsi" w:cstheme="majorHAnsi"/>
          <w:sz w:val="24"/>
          <w:szCs w:val="24"/>
          <w:lang w:val="ro-MD"/>
        </w:rPr>
        <w:t xml:space="preserve"> din</w:t>
      </w:r>
      <w:r w:rsidRPr="0031358F">
        <w:rPr>
          <w:rFonts w:asciiTheme="majorHAnsi" w:eastAsia="Times New Roman" w:hAnsiTheme="majorHAnsi" w:cstheme="majorHAnsi"/>
          <w:sz w:val="24"/>
          <w:szCs w:val="24"/>
          <w:lang w:val="ro-MD"/>
        </w:rPr>
        <w:t xml:space="preserve"> comercializarea bunurilor</w:t>
      </w:r>
      <w:r w:rsidRPr="00401691">
        <w:rPr>
          <w:rFonts w:asciiTheme="majorHAnsi" w:eastAsia="Times New Roman" w:hAnsiTheme="majorHAnsi" w:cstheme="majorHAnsi"/>
          <w:sz w:val="24"/>
          <w:szCs w:val="24"/>
          <w:lang w:val="ro-MD"/>
        </w:rPr>
        <w:t xml:space="preserve"> sechestrate. </w:t>
      </w:r>
    </w:p>
    <w:p w:rsidR="00231F88" w:rsidRDefault="00052997" w:rsidP="00844145">
      <w:pPr>
        <w:tabs>
          <w:tab w:val="left" w:pos="0"/>
          <w:tab w:val="left" w:pos="180"/>
        </w:tabs>
        <w:spacing w:after="120" w:line="276" w:lineRule="auto"/>
        <w:jc w:val="both"/>
        <w:rPr>
          <w:rFonts w:asciiTheme="majorHAnsi" w:hAnsiTheme="majorHAnsi" w:cstheme="majorHAnsi"/>
          <w:sz w:val="24"/>
          <w:szCs w:val="24"/>
          <w:lang w:val="ro-MD"/>
        </w:rPr>
      </w:pPr>
      <w:r w:rsidRPr="00401691">
        <w:rPr>
          <w:rFonts w:asciiTheme="majorHAnsi" w:hAnsiTheme="majorHAnsi" w:cstheme="majorHAnsi"/>
          <w:sz w:val="24"/>
          <w:szCs w:val="24"/>
          <w:lang w:val="ro-MD"/>
        </w:rPr>
        <w:t>În contextul implementării Strategiei de dezvoltare a S</w:t>
      </w:r>
      <w:r w:rsidR="00034B93" w:rsidRPr="00401691">
        <w:rPr>
          <w:rFonts w:asciiTheme="majorHAnsi" w:hAnsiTheme="majorHAnsi" w:cstheme="majorHAnsi"/>
          <w:sz w:val="24"/>
          <w:szCs w:val="24"/>
          <w:lang w:val="ro-MD"/>
        </w:rPr>
        <w:t>FS</w:t>
      </w:r>
      <w:r w:rsidRPr="00401691">
        <w:rPr>
          <w:rFonts w:asciiTheme="majorHAnsi" w:hAnsiTheme="majorHAnsi" w:cstheme="majorHAnsi"/>
          <w:sz w:val="24"/>
          <w:szCs w:val="24"/>
          <w:lang w:val="ro-MD"/>
        </w:rPr>
        <w:t xml:space="preserve"> pentru anii 2016–2020, dar și a acțiunilor prevăzute de Strategia de dezvoltare a managementului finanțelor publice </w:t>
      </w:r>
      <w:r w:rsidR="008D0D1F">
        <w:rPr>
          <w:rFonts w:asciiTheme="majorHAnsi" w:hAnsiTheme="majorHAnsi" w:cstheme="majorHAnsi"/>
          <w:sz w:val="24"/>
          <w:szCs w:val="24"/>
          <w:lang w:val="ro-MD"/>
        </w:rPr>
        <w:t xml:space="preserve">pentru anii </w:t>
      </w:r>
      <w:r w:rsidRPr="00401691">
        <w:rPr>
          <w:rFonts w:asciiTheme="majorHAnsi" w:hAnsiTheme="majorHAnsi" w:cstheme="majorHAnsi"/>
          <w:sz w:val="24"/>
          <w:szCs w:val="24"/>
          <w:lang w:val="ro-MD"/>
        </w:rPr>
        <w:t xml:space="preserve">2013-2020, </w:t>
      </w:r>
      <w:r w:rsidR="00034B93" w:rsidRPr="00401691">
        <w:rPr>
          <w:rFonts w:asciiTheme="majorHAnsi" w:hAnsiTheme="majorHAnsi" w:cstheme="majorHAnsi"/>
          <w:sz w:val="24"/>
          <w:szCs w:val="24"/>
          <w:lang w:val="ro-MD"/>
        </w:rPr>
        <w:t>instituția</w:t>
      </w:r>
      <w:r w:rsidRPr="00401691">
        <w:rPr>
          <w:rFonts w:asciiTheme="majorHAnsi" w:eastAsia="Times New Roman" w:hAnsiTheme="majorHAnsi" w:cstheme="majorHAnsi"/>
          <w:sz w:val="24"/>
          <w:szCs w:val="24"/>
          <w:lang w:val="ro-MD"/>
        </w:rPr>
        <w:t xml:space="preserve"> și-a standardizat procesul de executare silită a restanțelor, fiind elaborat </w:t>
      </w:r>
      <w:r w:rsidR="00E63078">
        <w:rPr>
          <w:rFonts w:asciiTheme="majorHAnsi" w:eastAsia="Times New Roman" w:hAnsiTheme="majorHAnsi" w:cstheme="majorHAnsi"/>
          <w:sz w:val="24"/>
          <w:szCs w:val="24"/>
          <w:lang w:val="ro-MD"/>
        </w:rPr>
        <w:t>M</w:t>
      </w:r>
      <w:r w:rsidRPr="00401691">
        <w:rPr>
          <w:rFonts w:asciiTheme="majorHAnsi" w:eastAsia="Times New Roman" w:hAnsiTheme="majorHAnsi" w:cstheme="majorHAnsi"/>
          <w:sz w:val="24"/>
          <w:szCs w:val="24"/>
          <w:lang w:val="ro-MD"/>
        </w:rPr>
        <w:t>anualul operațional privind managementul arieratelor.</w:t>
      </w:r>
      <w:r w:rsidR="009F7E85" w:rsidRPr="00401691">
        <w:rPr>
          <w:rFonts w:asciiTheme="majorHAnsi" w:eastAsia="Times New Roman" w:hAnsiTheme="majorHAnsi" w:cstheme="majorHAnsi"/>
          <w:sz w:val="24"/>
          <w:szCs w:val="24"/>
          <w:lang w:val="ro-MD"/>
        </w:rPr>
        <w:t xml:space="preserve"> </w:t>
      </w:r>
      <w:r w:rsidR="00DD071E" w:rsidRPr="00401691">
        <w:rPr>
          <w:rFonts w:asciiTheme="majorHAnsi" w:hAnsiTheme="majorHAnsi" w:cstheme="majorHAnsi"/>
          <w:sz w:val="24"/>
          <w:szCs w:val="24"/>
          <w:lang w:val="ro-MD"/>
        </w:rPr>
        <w:t>Deși auditul</w:t>
      </w:r>
      <w:r w:rsidR="00345962">
        <w:rPr>
          <w:rFonts w:asciiTheme="majorHAnsi" w:hAnsiTheme="majorHAnsi" w:cstheme="majorHAnsi"/>
          <w:sz w:val="24"/>
          <w:szCs w:val="24"/>
          <w:lang w:val="ro-MD"/>
        </w:rPr>
        <w:t xml:space="preserve"> public extern</w:t>
      </w:r>
      <w:r w:rsidR="00DD071E" w:rsidRPr="00401691">
        <w:rPr>
          <w:rFonts w:asciiTheme="majorHAnsi" w:hAnsiTheme="majorHAnsi" w:cstheme="majorHAnsi"/>
          <w:sz w:val="24"/>
          <w:szCs w:val="24"/>
          <w:lang w:val="ro-MD"/>
        </w:rPr>
        <w:t xml:space="preserve"> </w:t>
      </w:r>
      <w:r w:rsidR="0031477D" w:rsidRPr="00401691">
        <w:rPr>
          <w:rFonts w:asciiTheme="majorHAnsi" w:hAnsiTheme="majorHAnsi" w:cstheme="majorHAnsi"/>
          <w:sz w:val="24"/>
          <w:szCs w:val="24"/>
          <w:lang w:val="ro-MD"/>
        </w:rPr>
        <w:t xml:space="preserve">a </w:t>
      </w:r>
      <w:r w:rsidR="00DD071E" w:rsidRPr="00401691">
        <w:rPr>
          <w:rFonts w:asciiTheme="majorHAnsi" w:hAnsiTheme="majorHAnsi" w:cstheme="majorHAnsi"/>
          <w:sz w:val="24"/>
          <w:szCs w:val="24"/>
          <w:lang w:val="ro-MD"/>
        </w:rPr>
        <w:t>constat</w:t>
      </w:r>
      <w:r w:rsidR="003F701D" w:rsidRPr="00401691">
        <w:rPr>
          <w:rFonts w:asciiTheme="majorHAnsi" w:hAnsiTheme="majorHAnsi" w:cstheme="majorHAnsi"/>
          <w:sz w:val="24"/>
          <w:szCs w:val="24"/>
          <w:lang w:val="ro-MD"/>
        </w:rPr>
        <w:t>at</w:t>
      </w:r>
      <w:r w:rsidR="0031477D" w:rsidRPr="00401691">
        <w:rPr>
          <w:rFonts w:asciiTheme="majorHAnsi" w:hAnsiTheme="majorHAnsi" w:cstheme="majorHAnsi"/>
          <w:sz w:val="24"/>
          <w:szCs w:val="24"/>
          <w:lang w:val="ro-MD"/>
        </w:rPr>
        <w:t xml:space="preserve"> </w:t>
      </w:r>
      <w:r w:rsidR="003F701D" w:rsidRPr="00401691">
        <w:rPr>
          <w:rFonts w:asciiTheme="majorHAnsi" w:hAnsiTheme="majorHAnsi" w:cstheme="majorHAnsi"/>
          <w:sz w:val="24"/>
          <w:szCs w:val="24"/>
          <w:lang w:val="ro-MD"/>
        </w:rPr>
        <w:t>o consolidare a cadrului metodologic aferent acestui proces, precum și tendințe</w:t>
      </w:r>
      <w:r w:rsidR="00DD071E" w:rsidRPr="00401691">
        <w:rPr>
          <w:rFonts w:asciiTheme="majorHAnsi" w:hAnsiTheme="majorHAnsi" w:cstheme="majorHAnsi"/>
          <w:sz w:val="24"/>
          <w:szCs w:val="24"/>
          <w:lang w:val="ro-MD"/>
        </w:rPr>
        <w:t xml:space="preserve"> de îmbunătățire a controlului intern managerial,</w:t>
      </w:r>
      <w:r w:rsidR="003F701D" w:rsidRPr="00401691">
        <w:rPr>
          <w:rFonts w:asciiTheme="majorHAnsi" w:hAnsiTheme="majorHAnsi" w:cstheme="majorHAnsi"/>
          <w:sz w:val="24"/>
          <w:szCs w:val="24"/>
          <w:lang w:val="ro-MD"/>
        </w:rPr>
        <w:t xml:space="preserve"> </w:t>
      </w:r>
      <w:r w:rsidR="00345962">
        <w:rPr>
          <w:rFonts w:asciiTheme="majorHAnsi" w:hAnsiTheme="majorHAnsi" w:cstheme="majorHAnsi"/>
          <w:sz w:val="24"/>
          <w:szCs w:val="24"/>
          <w:lang w:val="ro-MD"/>
        </w:rPr>
        <w:t xml:space="preserve">se </w:t>
      </w:r>
      <w:r w:rsidR="003F701D" w:rsidRPr="00401691">
        <w:rPr>
          <w:rFonts w:asciiTheme="majorHAnsi" w:hAnsiTheme="majorHAnsi" w:cstheme="majorHAnsi"/>
          <w:sz w:val="24"/>
          <w:szCs w:val="24"/>
          <w:lang w:val="ro-MD"/>
        </w:rPr>
        <w:t xml:space="preserve">atestă </w:t>
      </w:r>
      <w:r w:rsidR="00513BE9" w:rsidRPr="00401691">
        <w:rPr>
          <w:rFonts w:asciiTheme="majorHAnsi" w:hAnsiTheme="majorHAnsi" w:cstheme="majorHAnsi"/>
          <w:sz w:val="24"/>
          <w:szCs w:val="24"/>
          <w:lang w:val="ro-MD"/>
        </w:rPr>
        <w:t xml:space="preserve">și </w:t>
      </w:r>
      <w:r w:rsidR="0031477D" w:rsidRPr="00401691">
        <w:rPr>
          <w:rFonts w:asciiTheme="majorHAnsi" w:hAnsiTheme="majorHAnsi" w:cstheme="majorHAnsi"/>
          <w:sz w:val="24"/>
          <w:szCs w:val="24"/>
          <w:lang w:val="ro-MD"/>
        </w:rPr>
        <w:t xml:space="preserve">carențe </w:t>
      </w:r>
      <w:r w:rsidR="003F701D" w:rsidRPr="00401691">
        <w:rPr>
          <w:rStyle w:val="ms-rtefontface-3"/>
          <w:rFonts w:asciiTheme="majorHAnsi" w:hAnsiTheme="majorHAnsi" w:cstheme="majorHAnsi"/>
          <w:sz w:val="24"/>
          <w:szCs w:val="24"/>
          <w:lang w:val="ro-MD"/>
        </w:rPr>
        <w:t xml:space="preserve">în </w:t>
      </w:r>
      <w:r w:rsidR="0031477D" w:rsidRPr="00401691">
        <w:rPr>
          <w:rStyle w:val="ms-rtefontface-3"/>
          <w:rFonts w:asciiTheme="majorHAnsi" w:hAnsiTheme="majorHAnsi" w:cstheme="majorHAnsi"/>
          <w:sz w:val="24"/>
          <w:szCs w:val="24"/>
          <w:lang w:val="ro-MD"/>
        </w:rPr>
        <w:t xml:space="preserve">aplicarea </w:t>
      </w:r>
      <w:r w:rsidR="0031477D" w:rsidRPr="00401691">
        <w:rPr>
          <w:rFonts w:asciiTheme="majorHAnsi" w:hAnsiTheme="majorHAnsi" w:cstheme="majorHAnsi"/>
          <w:sz w:val="24"/>
          <w:szCs w:val="24"/>
          <w:lang w:val="ro-MD"/>
        </w:rPr>
        <w:t>instrumentelor de executare silită a obligației fiscale.</w:t>
      </w:r>
      <w:r w:rsidR="00513BE9" w:rsidRPr="00401691">
        <w:rPr>
          <w:rFonts w:asciiTheme="majorHAnsi" w:hAnsiTheme="majorHAnsi" w:cstheme="majorHAnsi"/>
          <w:sz w:val="24"/>
          <w:szCs w:val="24"/>
          <w:lang w:val="ro-MD"/>
        </w:rPr>
        <w:t xml:space="preserve"> </w:t>
      </w:r>
    </w:p>
    <w:p w:rsidR="00002A3C" w:rsidRPr="00401691" w:rsidRDefault="00002A3C" w:rsidP="00844145">
      <w:pPr>
        <w:tabs>
          <w:tab w:val="left" w:pos="0"/>
          <w:tab w:val="left" w:pos="180"/>
        </w:tabs>
        <w:spacing w:after="120" w:line="276" w:lineRule="auto"/>
        <w:jc w:val="both"/>
        <w:rPr>
          <w:rFonts w:asciiTheme="majorHAnsi" w:hAnsiTheme="majorHAnsi" w:cstheme="majorHAnsi"/>
          <w:sz w:val="24"/>
          <w:szCs w:val="24"/>
          <w:lang w:val="ro-MD"/>
        </w:rPr>
      </w:pPr>
      <w:r>
        <w:rPr>
          <w:rFonts w:asciiTheme="majorHAnsi" w:hAnsiTheme="majorHAnsi" w:cstheme="majorHAnsi"/>
          <w:sz w:val="24"/>
          <w:szCs w:val="24"/>
          <w:lang w:val="ro-MD"/>
        </w:rPr>
        <w:t>Concomitent, î</w:t>
      </w:r>
      <w:r w:rsidRPr="00002A3C">
        <w:rPr>
          <w:rFonts w:asciiTheme="majorHAnsi" w:hAnsiTheme="majorHAnsi" w:cstheme="majorHAnsi"/>
          <w:sz w:val="24"/>
          <w:szCs w:val="24"/>
          <w:lang w:val="ro-MD"/>
        </w:rPr>
        <w:t>n vederea îmbunătățirii și eficientizării procesului de executare silită, în anul 2019 se preconiza implementarea Sistemului informațional „Executarea silită”,</w:t>
      </w:r>
      <w:r w:rsidR="00523F88">
        <w:rPr>
          <w:rFonts w:asciiTheme="majorHAnsi" w:hAnsiTheme="majorHAnsi" w:cstheme="majorHAnsi"/>
          <w:sz w:val="24"/>
          <w:szCs w:val="24"/>
          <w:lang w:val="ro-MD"/>
        </w:rPr>
        <w:t xml:space="preserve"> care</w:t>
      </w:r>
      <w:r w:rsidRPr="00002A3C">
        <w:rPr>
          <w:rFonts w:asciiTheme="majorHAnsi" w:hAnsiTheme="majorHAnsi" w:cstheme="majorHAnsi"/>
          <w:sz w:val="24"/>
          <w:szCs w:val="24"/>
          <w:lang w:val="ro-MD"/>
        </w:rPr>
        <w:t xml:space="preserve"> se tergiversează din motiv de reorganizare a structurilor implicate în gestionarea arieratelor.</w:t>
      </w:r>
    </w:p>
    <w:p w:rsidR="00513BE9" w:rsidRPr="00401691" w:rsidRDefault="00ED500F" w:rsidP="00844145">
      <w:pPr>
        <w:pStyle w:val="ListParagraph"/>
        <w:numPr>
          <w:ilvl w:val="0"/>
          <w:numId w:val="10"/>
        </w:numPr>
        <w:tabs>
          <w:tab w:val="left" w:pos="0"/>
          <w:tab w:val="left" w:pos="180"/>
          <w:tab w:val="left" w:pos="270"/>
        </w:tabs>
        <w:spacing w:after="120" w:line="276" w:lineRule="auto"/>
        <w:ind w:left="90" w:hanging="90"/>
        <w:jc w:val="both"/>
        <w:rPr>
          <w:rStyle w:val="ms-rtefontface-3"/>
          <w:rFonts w:asciiTheme="majorHAnsi" w:hAnsiTheme="majorHAnsi" w:cstheme="majorHAnsi"/>
          <w:sz w:val="24"/>
          <w:szCs w:val="24"/>
          <w:lang w:val="ro-MD"/>
        </w:rPr>
      </w:pPr>
      <w:r w:rsidRPr="00401691">
        <w:rPr>
          <w:rFonts w:asciiTheme="majorHAnsi" w:hAnsiTheme="majorHAnsi" w:cstheme="majorHAnsi"/>
          <w:i/>
          <w:sz w:val="24"/>
          <w:szCs w:val="24"/>
          <w:lang w:val="ro-MD"/>
        </w:rPr>
        <w:lastRenderedPageBreak/>
        <w:t>Ne</w:t>
      </w:r>
      <w:r w:rsidR="003F701D" w:rsidRPr="00401691">
        <w:rPr>
          <w:rFonts w:asciiTheme="majorHAnsi" w:hAnsiTheme="majorHAnsi" w:cstheme="majorHAnsi"/>
          <w:i/>
          <w:sz w:val="24"/>
          <w:szCs w:val="24"/>
          <w:lang w:val="ro-MD"/>
        </w:rPr>
        <w:t xml:space="preserve">aplicarea </w:t>
      </w:r>
      <w:r w:rsidR="00513BE9" w:rsidRPr="00401691">
        <w:rPr>
          <w:rFonts w:asciiTheme="majorHAnsi" w:hAnsiTheme="majorHAnsi" w:cstheme="majorHAnsi"/>
          <w:i/>
          <w:sz w:val="24"/>
          <w:szCs w:val="24"/>
          <w:lang w:val="ro-MD"/>
        </w:rPr>
        <w:t xml:space="preserve">instrumentelor de </w:t>
      </w:r>
      <w:r w:rsidR="00345962">
        <w:rPr>
          <w:rFonts w:asciiTheme="majorHAnsi" w:hAnsiTheme="majorHAnsi" w:cstheme="majorHAnsi"/>
          <w:i/>
          <w:sz w:val="24"/>
          <w:szCs w:val="24"/>
          <w:lang w:val="ro-MD"/>
        </w:rPr>
        <w:t xml:space="preserve">executare </w:t>
      </w:r>
      <w:r w:rsidR="003F701D" w:rsidRPr="00401691">
        <w:rPr>
          <w:rStyle w:val="ms-rtefontface-3"/>
          <w:rFonts w:asciiTheme="majorHAnsi" w:hAnsiTheme="majorHAnsi" w:cstheme="majorHAnsi"/>
          <w:i/>
          <w:sz w:val="24"/>
          <w:szCs w:val="24"/>
          <w:lang w:val="ro-MD"/>
        </w:rPr>
        <w:t>silită</w:t>
      </w:r>
      <w:r w:rsidR="00345962">
        <w:rPr>
          <w:rStyle w:val="ms-rtefontface-3"/>
          <w:rFonts w:asciiTheme="majorHAnsi" w:hAnsiTheme="majorHAnsi" w:cstheme="majorHAnsi"/>
          <w:i/>
          <w:sz w:val="24"/>
          <w:szCs w:val="24"/>
          <w:lang w:val="ro-MD"/>
        </w:rPr>
        <w:t xml:space="preserve"> </w:t>
      </w:r>
      <w:r w:rsidR="003F701D" w:rsidRPr="00401691">
        <w:rPr>
          <w:rStyle w:val="ms-rtefontface-3"/>
          <w:rFonts w:asciiTheme="majorHAnsi" w:hAnsiTheme="majorHAnsi" w:cstheme="majorHAnsi"/>
          <w:i/>
          <w:sz w:val="24"/>
          <w:szCs w:val="24"/>
          <w:lang w:val="ro-MD"/>
        </w:rPr>
        <w:t>a</w:t>
      </w:r>
      <w:r w:rsidR="00B61E9A">
        <w:rPr>
          <w:rStyle w:val="ms-rtefontface-3"/>
          <w:rFonts w:asciiTheme="majorHAnsi" w:hAnsiTheme="majorHAnsi" w:cstheme="majorHAnsi"/>
          <w:i/>
          <w:sz w:val="24"/>
          <w:szCs w:val="24"/>
          <w:lang w:val="ro-MD"/>
        </w:rPr>
        <w:t xml:space="preserve">supra cotelor deținute de </w:t>
      </w:r>
      <w:r w:rsidR="00513BE9" w:rsidRPr="00401691">
        <w:rPr>
          <w:rStyle w:val="ms-rtefontface-3"/>
          <w:rFonts w:asciiTheme="majorHAnsi" w:hAnsiTheme="majorHAnsi" w:cstheme="majorHAnsi"/>
          <w:i/>
          <w:sz w:val="24"/>
          <w:szCs w:val="24"/>
          <w:lang w:val="ro-MD"/>
        </w:rPr>
        <w:t>persoanele juridice restanți</w:t>
      </w:r>
      <w:r w:rsidR="00513BE9" w:rsidRPr="0031358F">
        <w:rPr>
          <w:rStyle w:val="ms-rtefontface-3"/>
          <w:rFonts w:asciiTheme="majorHAnsi" w:hAnsiTheme="majorHAnsi" w:cstheme="majorHAnsi"/>
          <w:i/>
          <w:sz w:val="24"/>
          <w:szCs w:val="24"/>
          <w:lang w:val="ro-MD"/>
        </w:rPr>
        <w:t>er</w:t>
      </w:r>
      <w:r w:rsidR="0031358F" w:rsidRPr="00573060">
        <w:rPr>
          <w:rStyle w:val="ms-rtefontface-3"/>
          <w:rFonts w:asciiTheme="majorHAnsi" w:hAnsiTheme="majorHAnsi" w:cstheme="majorHAnsi"/>
          <w:i/>
          <w:sz w:val="24"/>
          <w:szCs w:val="24"/>
          <w:lang w:val="ro-MD"/>
        </w:rPr>
        <w:t>e</w:t>
      </w:r>
      <w:r w:rsidR="00523F88" w:rsidRPr="0031358F">
        <w:rPr>
          <w:rStyle w:val="ms-rtefontface-3"/>
          <w:rFonts w:asciiTheme="majorHAnsi" w:hAnsiTheme="majorHAnsi" w:cstheme="majorHAnsi"/>
          <w:i/>
          <w:sz w:val="24"/>
          <w:szCs w:val="24"/>
          <w:lang w:val="ro-MD"/>
        </w:rPr>
        <w:t xml:space="preserve"> </w:t>
      </w:r>
      <w:r w:rsidR="00513BE9" w:rsidRPr="00401691">
        <w:rPr>
          <w:rStyle w:val="ms-rtefontface-3"/>
          <w:rFonts w:asciiTheme="majorHAnsi" w:hAnsiTheme="majorHAnsi" w:cstheme="majorHAnsi"/>
          <w:i/>
          <w:sz w:val="24"/>
          <w:szCs w:val="24"/>
          <w:lang w:val="ro-MD"/>
        </w:rPr>
        <w:t xml:space="preserve"> în capitalul social a</w:t>
      </w:r>
      <w:r w:rsidR="00523F88">
        <w:rPr>
          <w:rStyle w:val="ms-rtefontface-3"/>
          <w:rFonts w:asciiTheme="majorHAnsi" w:hAnsiTheme="majorHAnsi" w:cstheme="majorHAnsi"/>
          <w:i/>
          <w:sz w:val="24"/>
          <w:szCs w:val="24"/>
          <w:lang w:val="ro-MD"/>
        </w:rPr>
        <w:t>l</w:t>
      </w:r>
      <w:r w:rsidR="00513BE9" w:rsidRPr="00401691">
        <w:rPr>
          <w:rStyle w:val="ms-rtefontface-3"/>
          <w:rFonts w:asciiTheme="majorHAnsi" w:hAnsiTheme="majorHAnsi" w:cstheme="majorHAnsi"/>
          <w:i/>
          <w:sz w:val="24"/>
          <w:szCs w:val="24"/>
          <w:lang w:val="ro-MD"/>
        </w:rPr>
        <w:t xml:space="preserve"> unor societăți cu răspundere limitată </w:t>
      </w:r>
    </w:p>
    <w:p w:rsidR="00D65EA7" w:rsidRPr="00401691" w:rsidRDefault="00C62987" w:rsidP="00844145">
      <w:pPr>
        <w:pStyle w:val="NormalWeb"/>
        <w:spacing w:before="0" w:beforeAutospacing="0" w:after="120" w:afterAutospacing="0" w:line="276" w:lineRule="auto"/>
        <w:jc w:val="both"/>
        <w:rPr>
          <w:rFonts w:asciiTheme="majorHAnsi" w:hAnsiTheme="majorHAnsi" w:cstheme="majorHAnsi"/>
          <w:lang w:val="ro-MD"/>
        </w:rPr>
      </w:pPr>
      <w:r w:rsidRPr="00401691">
        <w:rPr>
          <w:rStyle w:val="ms-rtefontface-3"/>
          <w:rFonts w:asciiTheme="majorHAnsi" w:hAnsiTheme="majorHAnsi" w:cstheme="majorHAnsi"/>
          <w:lang w:val="ro-MD"/>
        </w:rPr>
        <w:t>În temeiul art.20</w:t>
      </w:r>
      <w:r w:rsidR="006D742B" w:rsidRPr="00401691">
        <w:rPr>
          <w:rStyle w:val="ms-rtefontface-3"/>
          <w:rFonts w:asciiTheme="majorHAnsi" w:hAnsiTheme="majorHAnsi" w:cstheme="majorHAnsi"/>
          <w:lang w:val="ro-MD"/>
        </w:rPr>
        <w:t>0</w:t>
      </w:r>
      <w:r w:rsidRPr="00401691">
        <w:rPr>
          <w:rStyle w:val="ms-rtefontface-3"/>
          <w:rFonts w:asciiTheme="majorHAnsi" w:hAnsiTheme="majorHAnsi" w:cstheme="majorHAnsi"/>
          <w:lang w:val="ro-MD"/>
        </w:rPr>
        <w:t xml:space="preserve"> alin.</w:t>
      </w:r>
      <w:r w:rsidR="00523F88">
        <w:rPr>
          <w:rStyle w:val="ms-rtefontface-3"/>
          <w:rFonts w:asciiTheme="majorHAnsi" w:hAnsiTheme="majorHAnsi" w:cstheme="majorHAnsi"/>
          <w:lang w:val="ro-MD"/>
        </w:rPr>
        <w:t>(</w:t>
      </w:r>
      <w:r w:rsidRPr="00401691">
        <w:rPr>
          <w:rStyle w:val="ms-rtefontface-3"/>
          <w:rFonts w:asciiTheme="majorHAnsi" w:hAnsiTheme="majorHAnsi" w:cstheme="majorHAnsi"/>
          <w:lang w:val="ro-MD"/>
        </w:rPr>
        <w:t>8) din Codul</w:t>
      </w:r>
      <w:r w:rsidR="0059165A" w:rsidRPr="00401691">
        <w:rPr>
          <w:rStyle w:val="ms-rtefontface-3"/>
          <w:rFonts w:asciiTheme="majorHAnsi" w:hAnsiTheme="majorHAnsi" w:cstheme="majorHAnsi"/>
          <w:lang w:val="ro-MD"/>
        </w:rPr>
        <w:t xml:space="preserve"> fiscal</w:t>
      </w:r>
      <w:r w:rsidR="00523F88">
        <w:rPr>
          <w:rStyle w:val="ms-rtefontface-3"/>
          <w:rFonts w:asciiTheme="majorHAnsi" w:hAnsiTheme="majorHAnsi" w:cstheme="majorHAnsi"/>
          <w:lang w:val="ro-MD"/>
        </w:rPr>
        <w:t>,</w:t>
      </w:r>
      <w:r w:rsidR="0059165A" w:rsidRPr="00401691">
        <w:rPr>
          <w:rStyle w:val="ms-rtefontface-3"/>
          <w:rFonts w:asciiTheme="majorHAnsi" w:hAnsiTheme="majorHAnsi" w:cstheme="majorHAnsi"/>
          <w:lang w:val="ro-MD"/>
        </w:rPr>
        <w:t xml:space="preserve"> </w:t>
      </w:r>
      <w:r w:rsidR="00B97EE1" w:rsidRPr="00401691">
        <w:rPr>
          <w:rStyle w:val="ms-rtefontface-3"/>
          <w:rFonts w:asciiTheme="majorHAnsi" w:hAnsiTheme="majorHAnsi" w:cstheme="majorHAnsi"/>
          <w:lang w:val="ro-MD"/>
        </w:rPr>
        <w:t xml:space="preserve">este statuat dreptul SFS de a </w:t>
      </w:r>
      <w:r w:rsidR="00F963A8" w:rsidRPr="00401691">
        <w:rPr>
          <w:rStyle w:val="ms-rtefontface-3"/>
          <w:rFonts w:asciiTheme="majorHAnsi" w:hAnsiTheme="majorHAnsi" w:cstheme="majorHAnsi"/>
          <w:lang w:val="ro-MD"/>
        </w:rPr>
        <w:t>sechestr</w:t>
      </w:r>
      <w:r w:rsidR="00B97EE1" w:rsidRPr="00401691">
        <w:rPr>
          <w:rStyle w:val="ms-rtefontface-3"/>
          <w:rFonts w:asciiTheme="majorHAnsi" w:hAnsiTheme="majorHAnsi" w:cstheme="majorHAnsi"/>
          <w:lang w:val="ro-MD"/>
        </w:rPr>
        <w:t>a</w:t>
      </w:r>
      <w:r w:rsidR="00F963A8" w:rsidRPr="00401691">
        <w:rPr>
          <w:rStyle w:val="ms-rtefontface-3"/>
          <w:rFonts w:asciiTheme="majorHAnsi" w:hAnsiTheme="majorHAnsi" w:cstheme="majorHAnsi"/>
          <w:lang w:val="ro-MD"/>
        </w:rPr>
        <w:t xml:space="preserve"> c</w:t>
      </w:r>
      <w:r w:rsidR="00F963A8" w:rsidRPr="00401691">
        <w:rPr>
          <w:rFonts w:asciiTheme="majorHAnsi" w:hAnsiTheme="majorHAnsi" w:cstheme="majorHAnsi"/>
          <w:lang w:val="ro-MD"/>
        </w:rPr>
        <w:t>otele</w:t>
      </w:r>
      <w:r w:rsidR="00523F88">
        <w:rPr>
          <w:rFonts w:asciiTheme="majorHAnsi" w:hAnsiTheme="majorHAnsi" w:cstheme="majorHAnsi"/>
          <w:lang w:val="ro-MD"/>
        </w:rPr>
        <w:t>-</w:t>
      </w:r>
      <w:r w:rsidR="00F963A8" w:rsidRPr="00401691">
        <w:rPr>
          <w:rFonts w:asciiTheme="majorHAnsi" w:hAnsiTheme="majorHAnsi" w:cstheme="majorHAnsi"/>
          <w:lang w:val="ro-MD"/>
        </w:rPr>
        <w:t>părți într-o societate, valoarea căr</w:t>
      </w:r>
      <w:r w:rsidR="008A2613">
        <w:rPr>
          <w:rFonts w:asciiTheme="majorHAnsi" w:hAnsiTheme="majorHAnsi" w:cstheme="majorHAnsi"/>
          <w:lang w:val="ro-MD"/>
        </w:rPr>
        <w:t>ora</w:t>
      </w:r>
      <w:r w:rsidR="00F963A8" w:rsidRPr="00401691">
        <w:rPr>
          <w:rFonts w:asciiTheme="majorHAnsi" w:hAnsiTheme="majorHAnsi" w:cstheme="majorHAnsi"/>
          <w:lang w:val="ro-MD"/>
        </w:rPr>
        <w:t xml:space="preserve"> se determină conform documentelor de constituire a </w:t>
      </w:r>
      <w:r w:rsidR="00B97EE1" w:rsidRPr="00401691">
        <w:rPr>
          <w:rFonts w:asciiTheme="majorHAnsi" w:hAnsiTheme="majorHAnsi" w:cstheme="majorHAnsi"/>
          <w:lang w:val="ro-MD"/>
        </w:rPr>
        <w:t>acesteia</w:t>
      </w:r>
      <w:r w:rsidR="00F963A8" w:rsidRPr="00401691">
        <w:rPr>
          <w:rFonts w:asciiTheme="majorHAnsi" w:hAnsiTheme="majorHAnsi" w:cstheme="majorHAnsi"/>
          <w:lang w:val="ro-MD"/>
        </w:rPr>
        <w:t>.</w:t>
      </w:r>
      <w:r w:rsidR="0059165A" w:rsidRPr="00401691">
        <w:rPr>
          <w:rFonts w:asciiTheme="majorHAnsi" w:hAnsiTheme="majorHAnsi" w:cstheme="majorHAnsi"/>
          <w:lang w:val="ro-MD"/>
        </w:rPr>
        <w:t xml:space="preserve"> Ana</w:t>
      </w:r>
      <w:r w:rsidR="00226053">
        <w:rPr>
          <w:rFonts w:asciiTheme="majorHAnsi" w:hAnsiTheme="majorHAnsi" w:cstheme="majorHAnsi"/>
          <w:lang w:val="ro-MD"/>
        </w:rPr>
        <w:t xml:space="preserve">lizând </w:t>
      </w:r>
      <w:r w:rsidR="00B61E9A">
        <w:rPr>
          <w:rFonts w:asciiTheme="majorHAnsi" w:hAnsiTheme="majorHAnsi" w:cstheme="majorHAnsi"/>
          <w:lang w:val="ro-MD"/>
        </w:rPr>
        <w:t>conformitatea aplicării</w:t>
      </w:r>
      <w:r w:rsidR="0059165A" w:rsidRPr="00401691">
        <w:rPr>
          <w:rFonts w:asciiTheme="majorHAnsi" w:hAnsiTheme="majorHAnsi" w:cstheme="majorHAnsi"/>
          <w:lang w:val="ro-MD"/>
        </w:rPr>
        <w:t xml:space="preserve"> instrumentelor de executare silită a obligațiilor fiscale la nivel de DGA mun. Chișinău</w:t>
      </w:r>
      <w:r w:rsidR="0059165A" w:rsidRPr="00401691">
        <w:rPr>
          <w:rStyle w:val="FootnoteReference"/>
          <w:rFonts w:asciiTheme="majorHAnsi" w:hAnsiTheme="majorHAnsi" w:cstheme="majorHAnsi"/>
          <w:lang w:val="ro-MD"/>
        </w:rPr>
        <w:footnoteReference w:id="30"/>
      </w:r>
      <w:r w:rsidR="0059165A" w:rsidRPr="00401691">
        <w:rPr>
          <w:rFonts w:asciiTheme="majorHAnsi" w:hAnsiTheme="majorHAnsi" w:cstheme="majorHAnsi"/>
          <w:lang w:val="ro-MD"/>
        </w:rPr>
        <w:t xml:space="preserve"> </w:t>
      </w:r>
      <w:r w:rsidR="008A2613">
        <w:rPr>
          <w:rFonts w:asciiTheme="majorHAnsi" w:hAnsiTheme="majorHAnsi" w:cstheme="majorHAnsi"/>
          <w:lang w:val="ro-MD"/>
        </w:rPr>
        <w:t xml:space="preserve">, </w:t>
      </w:r>
      <w:r w:rsidR="00B97EE1" w:rsidRPr="00401691">
        <w:rPr>
          <w:rFonts w:asciiTheme="majorHAnsi" w:hAnsiTheme="majorHAnsi" w:cstheme="majorHAnsi"/>
          <w:lang w:val="ro-MD"/>
        </w:rPr>
        <w:t xml:space="preserve">auditul </w:t>
      </w:r>
      <w:r w:rsidR="0059165A" w:rsidRPr="00401691">
        <w:rPr>
          <w:rFonts w:asciiTheme="majorHAnsi" w:hAnsiTheme="majorHAnsi" w:cstheme="majorHAnsi"/>
          <w:lang w:val="ro-MD"/>
        </w:rPr>
        <w:t xml:space="preserve">constată că </w:t>
      </w:r>
      <w:r w:rsidR="00B97EE1" w:rsidRPr="00401691">
        <w:rPr>
          <w:rFonts w:asciiTheme="majorHAnsi" w:hAnsiTheme="majorHAnsi" w:cstheme="majorHAnsi"/>
          <w:lang w:val="ro-MD"/>
        </w:rPr>
        <w:t xml:space="preserve">subdiviziunea nu a făcut uz de acest </w:t>
      </w:r>
      <w:r w:rsidR="0059165A" w:rsidRPr="00401691">
        <w:rPr>
          <w:rFonts w:asciiTheme="majorHAnsi" w:hAnsiTheme="majorHAnsi" w:cstheme="majorHAnsi"/>
          <w:lang w:val="ro-MD"/>
        </w:rPr>
        <w:t>instrument</w:t>
      </w:r>
      <w:r w:rsidR="00B97EE1" w:rsidRPr="00401691">
        <w:rPr>
          <w:rFonts w:asciiTheme="majorHAnsi" w:hAnsiTheme="majorHAnsi" w:cstheme="majorHAnsi"/>
          <w:lang w:val="ro-MD"/>
        </w:rPr>
        <w:t>,</w:t>
      </w:r>
      <w:r w:rsidR="0059165A" w:rsidRPr="00401691">
        <w:rPr>
          <w:rFonts w:asciiTheme="majorHAnsi" w:hAnsiTheme="majorHAnsi" w:cstheme="majorHAnsi"/>
          <w:lang w:val="ro-MD"/>
        </w:rPr>
        <w:t xml:space="preserve"> </w:t>
      </w:r>
      <w:r w:rsidR="00B97EE1" w:rsidRPr="00401691">
        <w:rPr>
          <w:rFonts w:asciiTheme="majorHAnsi" w:hAnsiTheme="majorHAnsi" w:cstheme="majorHAnsi"/>
          <w:lang w:val="ro-MD"/>
        </w:rPr>
        <w:t xml:space="preserve">neexistând </w:t>
      </w:r>
      <w:r w:rsidR="0059165A" w:rsidRPr="00401691">
        <w:rPr>
          <w:rFonts w:asciiTheme="majorHAnsi" w:hAnsiTheme="majorHAnsi" w:cstheme="majorHAnsi"/>
          <w:lang w:val="ro-MD"/>
        </w:rPr>
        <w:t>precedent</w:t>
      </w:r>
      <w:r w:rsidR="00B97EE1" w:rsidRPr="00401691">
        <w:rPr>
          <w:rFonts w:asciiTheme="majorHAnsi" w:hAnsiTheme="majorHAnsi" w:cstheme="majorHAnsi"/>
          <w:lang w:val="ro-MD"/>
        </w:rPr>
        <w:t>e</w:t>
      </w:r>
      <w:r w:rsidR="0059165A" w:rsidRPr="00401691">
        <w:rPr>
          <w:rFonts w:asciiTheme="majorHAnsi" w:hAnsiTheme="majorHAnsi" w:cstheme="majorHAnsi"/>
          <w:lang w:val="ro-MD"/>
        </w:rPr>
        <w:t xml:space="preserve"> de </w:t>
      </w:r>
      <w:r w:rsidR="00B97EE1" w:rsidRPr="00401691">
        <w:rPr>
          <w:rFonts w:asciiTheme="majorHAnsi" w:hAnsiTheme="majorHAnsi" w:cstheme="majorHAnsi"/>
          <w:lang w:val="ro-MD"/>
        </w:rPr>
        <w:t>sechestr</w:t>
      </w:r>
      <w:r w:rsidR="008A2613">
        <w:rPr>
          <w:rFonts w:asciiTheme="majorHAnsi" w:hAnsiTheme="majorHAnsi" w:cstheme="majorHAnsi"/>
          <w:lang w:val="ro-MD"/>
        </w:rPr>
        <w:t>are</w:t>
      </w:r>
      <w:r w:rsidR="00B97EE1" w:rsidRPr="00401691">
        <w:rPr>
          <w:rFonts w:asciiTheme="majorHAnsi" w:hAnsiTheme="majorHAnsi" w:cstheme="majorHAnsi"/>
          <w:lang w:val="ro-MD"/>
        </w:rPr>
        <w:t xml:space="preserve"> a cotelor</w:t>
      </w:r>
      <w:r w:rsidR="008A2613">
        <w:rPr>
          <w:rFonts w:asciiTheme="majorHAnsi" w:hAnsiTheme="majorHAnsi" w:cstheme="majorHAnsi"/>
          <w:lang w:val="ro-MD"/>
        </w:rPr>
        <w:t>-</w:t>
      </w:r>
      <w:r w:rsidR="00B97EE1" w:rsidRPr="00401691">
        <w:rPr>
          <w:rFonts w:asciiTheme="majorHAnsi" w:hAnsiTheme="majorHAnsi" w:cstheme="majorHAnsi"/>
          <w:lang w:val="ro-MD"/>
        </w:rPr>
        <w:t>părți deținute de contribuabilii restanțieri în capitalul social a</w:t>
      </w:r>
      <w:r w:rsidR="008A2613">
        <w:rPr>
          <w:rFonts w:asciiTheme="majorHAnsi" w:hAnsiTheme="majorHAnsi" w:cstheme="majorHAnsi"/>
          <w:lang w:val="ro-MD"/>
        </w:rPr>
        <w:t>l</w:t>
      </w:r>
      <w:r w:rsidR="00B97EE1" w:rsidRPr="00401691">
        <w:rPr>
          <w:rFonts w:asciiTheme="majorHAnsi" w:hAnsiTheme="majorHAnsi" w:cstheme="majorHAnsi"/>
          <w:lang w:val="ro-MD"/>
        </w:rPr>
        <w:t xml:space="preserve"> societăților cu răspundere limitată.</w:t>
      </w:r>
      <w:r w:rsidR="00366AE8">
        <w:rPr>
          <w:rFonts w:asciiTheme="majorHAnsi" w:hAnsiTheme="majorHAnsi" w:cstheme="majorHAnsi"/>
          <w:lang w:val="ro-MD"/>
        </w:rPr>
        <w:t xml:space="preserve"> </w:t>
      </w:r>
      <w:r w:rsidR="00D65EA7" w:rsidRPr="00401691">
        <w:rPr>
          <w:rFonts w:asciiTheme="majorHAnsi" w:hAnsiTheme="majorHAnsi" w:cstheme="majorHAnsi"/>
          <w:lang w:val="ro-MD"/>
        </w:rPr>
        <w:t>Este relevant de menționat că</w:t>
      </w:r>
      <w:r w:rsidR="006F37FB" w:rsidRPr="00401691">
        <w:rPr>
          <w:rFonts w:asciiTheme="majorHAnsi" w:hAnsiTheme="majorHAnsi" w:cstheme="majorHAnsi"/>
          <w:lang w:val="ro-MD"/>
        </w:rPr>
        <w:t xml:space="preserve"> </w:t>
      </w:r>
      <w:r w:rsidR="006F37FB" w:rsidRPr="00E63078">
        <w:rPr>
          <w:rFonts w:asciiTheme="majorHAnsi" w:hAnsiTheme="majorHAnsi" w:cstheme="majorHAnsi"/>
          <w:lang w:val="ro-MD"/>
        </w:rPr>
        <w:t>și</w:t>
      </w:r>
      <w:r w:rsidR="00D65EA7" w:rsidRPr="00E63078">
        <w:rPr>
          <w:rFonts w:asciiTheme="majorHAnsi" w:hAnsiTheme="majorHAnsi" w:cstheme="majorHAnsi"/>
          <w:lang w:val="ro-MD"/>
        </w:rPr>
        <w:t xml:space="preserve"> </w:t>
      </w:r>
      <w:r w:rsidR="008A2613" w:rsidRPr="00E63078">
        <w:rPr>
          <w:rFonts w:asciiTheme="majorHAnsi" w:hAnsiTheme="majorHAnsi" w:cstheme="majorHAnsi"/>
          <w:lang w:val="ro-MD"/>
        </w:rPr>
        <w:t>M</w:t>
      </w:r>
      <w:r w:rsidR="00D65EA7" w:rsidRPr="00E63078">
        <w:rPr>
          <w:rFonts w:asciiTheme="majorHAnsi" w:hAnsiTheme="majorHAnsi" w:cstheme="majorHAnsi"/>
          <w:lang w:val="ro-MD"/>
        </w:rPr>
        <w:t>anualul</w:t>
      </w:r>
      <w:r w:rsidR="00D65EA7" w:rsidRPr="00401691">
        <w:rPr>
          <w:rFonts w:asciiTheme="majorHAnsi" w:hAnsiTheme="majorHAnsi" w:cstheme="majorHAnsi"/>
          <w:lang w:val="ro-MD"/>
        </w:rPr>
        <w:t xml:space="preserve"> operațional privind managementul arieratelor conține prevederi </w:t>
      </w:r>
      <w:r w:rsidR="00C55AE3">
        <w:rPr>
          <w:rFonts w:asciiTheme="majorHAnsi" w:hAnsiTheme="majorHAnsi" w:cstheme="majorHAnsi"/>
          <w:lang w:val="ro-MD"/>
        </w:rPr>
        <w:t xml:space="preserve">generale </w:t>
      </w:r>
      <w:r w:rsidR="00D65EA7" w:rsidRPr="00401691">
        <w:rPr>
          <w:rFonts w:asciiTheme="majorHAnsi" w:hAnsiTheme="majorHAnsi" w:cstheme="majorHAnsi"/>
          <w:lang w:val="ro-MD"/>
        </w:rPr>
        <w:t>privind mecanismul de sechestrate a cotelor</w:t>
      </w:r>
      <w:r w:rsidR="008A2613">
        <w:rPr>
          <w:rFonts w:asciiTheme="majorHAnsi" w:hAnsiTheme="majorHAnsi" w:cstheme="majorHAnsi"/>
          <w:lang w:val="ro-MD"/>
        </w:rPr>
        <w:t>-</w:t>
      </w:r>
      <w:r w:rsidR="00D65EA7" w:rsidRPr="00401691">
        <w:rPr>
          <w:rFonts w:asciiTheme="majorHAnsi" w:hAnsiTheme="majorHAnsi" w:cstheme="majorHAnsi"/>
          <w:lang w:val="ro-MD"/>
        </w:rPr>
        <w:t xml:space="preserve">părți în capitalul social al unor societăți, </w:t>
      </w:r>
      <w:r w:rsidR="00366AE8">
        <w:rPr>
          <w:rFonts w:asciiTheme="majorHAnsi" w:hAnsiTheme="majorHAnsi" w:cstheme="majorHAnsi"/>
          <w:lang w:val="ro-MD"/>
        </w:rPr>
        <w:t>fiind transpusă referința</w:t>
      </w:r>
      <w:r w:rsidR="006F37FB" w:rsidRPr="00401691">
        <w:rPr>
          <w:rFonts w:asciiTheme="majorHAnsi" w:hAnsiTheme="majorHAnsi" w:cstheme="majorHAnsi"/>
          <w:lang w:val="ro-MD"/>
        </w:rPr>
        <w:t xml:space="preserve"> generală din Codul </w:t>
      </w:r>
      <w:r w:rsidR="008A2613">
        <w:rPr>
          <w:rFonts w:asciiTheme="majorHAnsi" w:hAnsiTheme="majorHAnsi" w:cstheme="majorHAnsi"/>
          <w:lang w:val="ro-MD"/>
        </w:rPr>
        <w:t>f</w:t>
      </w:r>
      <w:r w:rsidR="006F37FB" w:rsidRPr="00401691">
        <w:rPr>
          <w:rFonts w:asciiTheme="majorHAnsi" w:hAnsiTheme="majorHAnsi" w:cstheme="majorHAnsi"/>
          <w:lang w:val="ro-MD"/>
        </w:rPr>
        <w:t>iscal</w:t>
      </w:r>
      <w:r w:rsidR="00D65EA7" w:rsidRPr="00401691">
        <w:rPr>
          <w:rFonts w:asciiTheme="majorHAnsi" w:hAnsiTheme="majorHAnsi" w:cstheme="majorHAnsi"/>
          <w:lang w:val="ro-MD"/>
        </w:rPr>
        <w:t xml:space="preserve">. </w:t>
      </w:r>
    </w:p>
    <w:p w:rsidR="005B6EE7" w:rsidRPr="00401691" w:rsidRDefault="00D65EA7" w:rsidP="00844145">
      <w:pPr>
        <w:pStyle w:val="NormalWeb"/>
        <w:spacing w:before="0" w:beforeAutospacing="0" w:after="120" w:afterAutospacing="0" w:line="276" w:lineRule="auto"/>
        <w:jc w:val="both"/>
        <w:rPr>
          <w:rFonts w:asciiTheme="majorHAnsi" w:hAnsiTheme="majorHAnsi" w:cstheme="majorHAnsi"/>
          <w:lang w:val="ro-MD"/>
        </w:rPr>
      </w:pPr>
      <w:r w:rsidRPr="00401691">
        <w:rPr>
          <w:rFonts w:asciiTheme="majorHAnsi" w:hAnsiTheme="majorHAnsi" w:cstheme="majorHAnsi"/>
          <w:lang w:val="ro-MD"/>
        </w:rPr>
        <w:t>A</w:t>
      </w:r>
      <w:r w:rsidR="007A7670" w:rsidRPr="00401691">
        <w:rPr>
          <w:rFonts w:asciiTheme="majorHAnsi" w:hAnsiTheme="majorHAnsi" w:cstheme="majorHAnsi"/>
          <w:lang w:val="ro-MD"/>
        </w:rPr>
        <w:t>stfel,</w:t>
      </w:r>
      <w:r w:rsidR="007A7670" w:rsidRPr="00401691">
        <w:rPr>
          <w:rStyle w:val="ms-rtefontface-3"/>
          <w:rFonts w:asciiTheme="majorHAnsi" w:hAnsiTheme="majorHAnsi" w:cstheme="majorHAnsi"/>
          <w:lang w:val="ro-MD"/>
        </w:rPr>
        <w:t xml:space="preserve"> </w:t>
      </w:r>
      <w:r w:rsidR="008A2613">
        <w:rPr>
          <w:rStyle w:val="ms-rtefontface-3"/>
          <w:rFonts w:asciiTheme="majorHAnsi" w:hAnsiTheme="majorHAnsi" w:cstheme="majorHAnsi"/>
          <w:lang w:val="ro-MD"/>
        </w:rPr>
        <w:t>la</w:t>
      </w:r>
      <w:r w:rsidR="007A7670" w:rsidRPr="00401691">
        <w:rPr>
          <w:rStyle w:val="ms-rtefontface-3"/>
          <w:rFonts w:asciiTheme="majorHAnsi" w:hAnsiTheme="majorHAnsi" w:cstheme="majorHAnsi"/>
          <w:lang w:val="ro-MD"/>
        </w:rPr>
        <w:t xml:space="preserve"> testa</w:t>
      </w:r>
      <w:r w:rsidR="008A2613">
        <w:rPr>
          <w:rStyle w:val="ms-rtefontface-3"/>
          <w:rFonts w:asciiTheme="majorHAnsi" w:hAnsiTheme="majorHAnsi" w:cstheme="majorHAnsi"/>
          <w:lang w:val="ro-MD"/>
        </w:rPr>
        <w:t>rea</w:t>
      </w:r>
      <w:r w:rsidR="007A7670" w:rsidRPr="00401691">
        <w:rPr>
          <w:rStyle w:val="ms-rtefontface-3"/>
          <w:rFonts w:asciiTheme="majorHAnsi" w:hAnsiTheme="majorHAnsi" w:cstheme="majorHAnsi"/>
          <w:lang w:val="ro-MD"/>
        </w:rPr>
        <w:t xml:space="preserve"> un</w:t>
      </w:r>
      <w:r w:rsidR="008A2613">
        <w:rPr>
          <w:rStyle w:val="ms-rtefontface-3"/>
          <w:rFonts w:asciiTheme="majorHAnsi" w:hAnsiTheme="majorHAnsi" w:cstheme="majorHAnsi"/>
          <w:lang w:val="ro-MD"/>
        </w:rPr>
        <w:t>ui</w:t>
      </w:r>
      <w:r w:rsidR="007A7670" w:rsidRPr="00401691">
        <w:rPr>
          <w:rStyle w:val="ms-rtefontface-3"/>
          <w:rFonts w:asciiTheme="majorHAnsi" w:hAnsiTheme="majorHAnsi" w:cstheme="majorHAnsi"/>
          <w:lang w:val="ro-MD"/>
        </w:rPr>
        <w:t xml:space="preserve"> eșantion de 30 </w:t>
      </w:r>
      <w:r w:rsidR="008A2613">
        <w:rPr>
          <w:rStyle w:val="ms-rtefontface-3"/>
          <w:rFonts w:asciiTheme="majorHAnsi" w:hAnsiTheme="majorHAnsi" w:cstheme="majorHAnsi"/>
          <w:lang w:val="ro-MD"/>
        </w:rPr>
        <w:t xml:space="preserve">de </w:t>
      </w:r>
      <w:r w:rsidR="007A7670" w:rsidRPr="00401691">
        <w:rPr>
          <w:rStyle w:val="ms-rtefontface-3"/>
          <w:rFonts w:asciiTheme="majorHAnsi" w:hAnsiTheme="majorHAnsi" w:cstheme="majorHAnsi"/>
          <w:lang w:val="ro-MD"/>
        </w:rPr>
        <w:t>contribuabili</w:t>
      </w:r>
      <w:r w:rsidR="005B6EE7" w:rsidRPr="00401691">
        <w:rPr>
          <w:rFonts w:asciiTheme="majorHAnsi" w:hAnsiTheme="majorHAnsi" w:cstheme="majorHAnsi"/>
          <w:lang w:val="ro-MD"/>
        </w:rPr>
        <w:t>, auditul a constat</w:t>
      </w:r>
      <w:r w:rsidR="008A2613">
        <w:rPr>
          <w:rFonts w:asciiTheme="majorHAnsi" w:hAnsiTheme="majorHAnsi" w:cstheme="majorHAnsi"/>
          <w:lang w:val="ro-MD"/>
        </w:rPr>
        <w:t>at</w:t>
      </w:r>
      <w:r w:rsidR="007A7670" w:rsidRPr="00401691">
        <w:rPr>
          <w:rFonts w:asciiTheme="majorHAnsi" w:hAnsiTheme="majorHAnsi" w:cstheme="majorHAnsi"/>
          <w:lang w:val="ro-MD"/>
        </w:rPr>
        <w:t xml:space="preserve"> două </w:t>
      </w:r>
      <w:r w:rsidR="005B6EE7" w:rsidRPr="00401691">
        <w:rPr>
          <w:rFonts w:asciiTheme="majorHAnsi" w:hAnsiTheme="majorHAnsi" w:cstheme="majorHAnsi"/>
          <w:lang w:val="ro-MD"/>
        </w:rPr>
        <w:t xml:space="preserve">cazuri </w:t>
      </w:r>
      <w:r w:rsidR="00B16D90" w:rsidRPr="00401691">
        <w:rPr>
          <w:rFonts w:asciiTheme="majorHAnsi" w:hAnsiTheme="majorHAnsi" w:cstheme="majorHAnsi"/>
          <w:lang w:val="ro-MD"/>
        </w:rPr>
        <w:t>când</w:t>
      </w:r>
      <w:r w:rsidR="005B6EE7" w:rsidRPr="00401691">
        <w:rPr>
          <w:rFonts w:asciiTheme="majorHAnsi" w:hAnsiTheme="majorHAnsi" w:cstheme="majorHAnsi"/>
          <w:lang w:val="ro-MD"/>
        </w:rPr>
        <w:t xml:space="preserve"> contribuabilii</w:t>
      </w:r>
      <w:r w:rsidR="008A2613">
        <w:rPr>
          <w:rFonts w:asciiTheme="majorHAnsi" w:hAnsiTheme="majorHAnsi" w:cstheme="majorHAnsi"/>
          <w:lang w:val="ro-MD"/>
        </w:rPr>
        <w:t>,</w:t>
      </w:r>
      <w:r w:rsidR="005B6EE7" w:rsidRPr="00401691">
        <w:rPr>
          <w:rFonts w:asciiTheme="majorHAnsi" w:hAnsiTheme="majorHAnsi" w:cstheme="majorHAnsi"/>
          <w:lang w:val="ro-MD"/>
        </w:rPr>
        <w:t xml:space="preserve"> </w:t>
      </w:r>
      <w:r w:rsidR="007A7670" w:rsidRPr="00401691">
        <w:rPr>
          <w:rFonts w:asciiTheme="majorHAnsi" w:hAnsiTheme="majorHAnsi" w:cstheme="majorHAnsi"/>
          <w:lang w:val="ro-MD"/>
        </w:rPr>
        <w:t>înregistr</w:t>
      </w:r>
      <w:r w:rsidR="008A2613">
        <w:rPr>
          <w:rFonts w:asciiTheme="majorHAnsi" w:hAnsiTheme="majorHAnsi" w:cstheme="majorHAnsi"/>
          <w:lang w:val="ro-MD"/>
        </w:rPr>
        <w:t>ând</w:t>
      </w:r>
      <w:r w:rsidR="007A7670" w:rsidRPr="00401691">
        <w:rPr>
          <w:rFonts w:asciiTheme="majorHAnsi" w:hAnsiTheme="majorHAnsi" w:cstheme="majorHAnsi"/>
          <w:lang w:val="ro-MD"/>
        </w:rPr>
        <w:t xml:space="preserve"> </w:t>
      </w:r>
      <w:r w:rsidR="005B6EE7" w:rsidRPr="00401691">
        <w:rPr>
          <w:rFonts w:asciiTheme="majorHAnsi" w:hAnsiTheme="majorHAnsi" w:cstheme="majorHAnsi"/>
          <w:lang w:val="ro-MD"/>
        </w:rPr>
        <w:t xml:space="preserve">restanțe impunătoare la buget, </w:t>
      </w:r>
      <w:r w:rsidR="007A7670" w:rsidRPr="00401691">
        <w:rPr>
          <w:rFonts w:asciiTheme="majorHAnsi" w:hAnsiTheme="majorHAnsi" w:cstheme="majorHAnsi"/>
          <w:lang w:val="ro-MD"/>
        </w:rPr>
        <w:t xml:space="preserve">nu </w:t>
      </w:r>
      <w:r w:rsidR="006F37FB" w:rsidRPr="00401691">
        <w:rPr>
          <w:rFonts w:asciiTheme="majorHAnsi" w:hAnsiTheme="majorHAnsi" w:cstheme="majorHAnsi"/>
          <w:lang w:val="ro-MD"/>
        </w:rPr>
        <w:t xml:space="preserve">aveau </w:t>
      </w:r>
      <w:r w:rsidR="005B6EE7" w:rsidRPr="00401691">
        <w:rPr>
          <w:rFonts w:asciiTheme="majorHAnsi" w:hAnsiTheme="majorHAnsi" w:cstheme="majorHAnsi"/>
          <w:lang w:val="ro-MD"/>
        </w:rPr>
        <w:t>bunuri pasibile executării silite</w:t>
      </w:r>
      <w:r w:rsidR="007A7670" w:rsidRPr="00401691">
        <w:rPr>
          <w:rFonts w:asciiTheme="majorHAnsi" w:hAnsiTheme="majorHAnsi" w:cstheme="majorHAnsi"/>
          <w:lang w:val="ro-MD"/>
        </w:rPr>
        <w:t xml:space="preserve">, </w:t>
      </w:r>
      <w:r w:rsidR="008A2613">
        <w:rPr>
          <w:rFonts w:asciiTheme="majorHAnsi" w:hAnsiTheme="majorHAnsi" w:cstheme="majorHAnsi"/>
          <w:lang w:val="ro-MD"/>
        </w:rPr>
        <w:t xml:space="preserve">dar </w:t>
      </w:r>
      <w:r w:rsidR="007A7670" w:rsidRPr="00401691">
        <w:rPr>
          <w:rFonts w:asciiTheme="majorHAnsi" w:hAnsiTheme="majorHAnsi" w:cstheme="majorHAnsi"/>
          <w:lang w:val="ro-MD"/>
        </w:rPr>
        <w:t xml:space="preserve">în același timp </w:t>
      </w:r>
      <w:r w:rsidR="00B61E9A">
        <w:rPr>
          <w:rFonts w:asciiTheme="majorHAnsi" w:eastAsia="Calibri" w:hAnsiTheme="majorHAnsi" w:cstheme="majorHAnsi"/>
          <w:lang w:val="ro-MD"/>
        </w:rPr>
        <w:t>dețin</w:t>
      </w:r>
      <w:r w:rsidR="008A2613">
        <w:rPr>
          <w:rFonts w:asciiTheme="majorHAnsi" w:eastAsia="Calibri" w:hAnsiTheme="majorHAnsi" w:cstheme="majorHAnsi"/>
          <w:lang w:val="ro-MD"/>
        </w:rPr>
        <w:t>eau</w:t>
      </w:r>
      <w:r w:rsidR="006F37FB" w:rsidRPr="00401691">
        <w:rPr>
          <w:rFonts w:asciiTheme="majorHAnsi" w:eastAsia="Calibri" w:hAnsiTheme="majorHAnsi" w:cstheme="majorHAnsi"/>
          <w:lang w:val="ro-MD"/>
        </w:rPr>
        <w:t xml:space="preserve"> cote sociale în </w:t>
      </w:r>
      <w:r w:rsidR="007A7670" w:rsidRPr="00401691">
        <w:rPr>
          <w:rFonts w:asciiTheme="majorHAnsi" w:eastAsia="Calibri" w:hAnsiTheme="majorHAnsi" w:cstheme="majorHAnsi"/>
          <w:lang w:val="ro-MD"/>
        </w:rPr>
        <w:t>capitalul unor societăți cu răspundere limitată</w:t>
      </w:r>
      <w:r w:rsidR="006F37FB" w:rsidRPr="00401691">
        <w:rPr>
          <w:rFonts w:asciiTheme="majorHAnsi" w:eastAsia="Calibri" w:hAnsiTheme="majorHAnsi" w:cstheme="majorHAnsi"/>
          <w:lang w:val="ro-MD"/>
        </w:rPr>
        <w:t>,</w:t>
      </w:r>
      <w:r w:rsidR="00231F88" w:rsidRPr="00401691">
        <w:rPr>
          <w:rFonts w:asciiTheme="majorHAnsi" w:eastAsia="Calibri" w:hAnsiTheme="majorHAnsi" w:cstheme="majorHAnsi"/>
          <w:lang w:val="ro-MD"/>
        </w:rPr>
        <w:t xml:space="preserve"> care nu au fost supuse sechestrării</w:t>
      </w:r>
      <w:r w:rsidR="005B6EE7" w:rsidRPr="00401691">
        <w:rPr>
          <w:rFonts w:asciiTheme="majorHAnsi" w:hAnsiTheme="majorHAnsi" w:cstheme="majorHAnsi"/>
          <w:lang w:val="ro-MD"/>
        </w:rPr>
        <w:t xml:space="preserve">. </w:t>
      </w:r>
      <w:r w:rsidR="007A7670" w:rsidRPr="00401691">
        <w:rPr>
          <w:rFonts w:asciiTheme="majorHAnsi" w:hAnsiTheme="majorHAnsi" w:cstheme="majorHAnsi"/>
          <w:lang w:val="ro-MD"/>
        </w:rPr>
        <w:t>În</w:t>
      </w:r>
      <w:r w:rsidR="00231F88" w:rsidRPr="00401691">
        <w:rPr>
          <w:rFonts w:asciiTheme="majorHAnsi" w:hAnsiTheme="majorHAnsi" w:cstheme="majorHAnsi"/>
          <w:lang w:val="ro-MD"/>
        </w:rPr>
        <w:t xml:space="preserve"> contextul expus</w:t>
      </w:r>
      <w:r w:rsidR="008A2613">
        <w:rPr>
          <w:rFonts w:asciiTheme="majorHAnsi" w:hAnsiTheme="majorHAnsi" w:cstheme="majorHAnsi"/>
          <w:lang w:val="ro-MD"/>
        </w:rPr>
        <w:t>,</w:t>
      </w:r>
      <w:r w:rsidR="00231F88" w:rsidRPr="00401691">
        <w:rPr>
          <w:rFonts w:asciiTheme="majorHAnsi" w:hAnsiTheme="majorHAnsi" w:cstheme="majorHAnsi"/>
          <w:lang w:val="ro-MD"/>
        </w:rPr>
        <w:t xml:space="preserve"> se exemplifică</w:t>
      </w:r>
      <w:r w:rsidR="006F37FB" w:rsidRPr="00401691">
        <w:rPr>
          <w:rFonts w:asciiTheme="majorHAnsi" w:hAnsiTheme="majorHAnsi" w:cstheme="majorHAnsi"/>
          <w:lang w:val="ro-MD"/>
        </w:rPr>
        <w:t xml:space="preserve"> următoarele:</w:t>
      </w:r>
    </w:p>
    <w:p w:rsidR="00231F88" w:rsidRPr="00401691" w:rsidRDefault="00231F88" w:rsidP="00844145">
      <w:pPr>
        <w:pStyle w:val="ListParagraph"/>
        <w:numPr>
          <w:ilvl w:val="0"/>
          <w:numId w:val="9"/>
        </w:numPr>
        <w:spacing w:line="276" w:lineRule="auto"/>
        <w:jc w:val="both"/>
        <w:rPr>
          <w:rFonts w:asciiTheme="majorHAnsi" w:eastAsia="Calibri" w:hAnsiTheme="majorHAnsi" w:cstheme="majorHAnsi"/>
          <w:sz w:val="24"/>
          <w:szCs w:val="24"/>
          <w:lang w:val="ro-MD"/>
        </w:rPr>
      </w:pPr>
      <w:r w:rsidRPr="00401691">
        <w:rPr>
          <w:rFonts w:asciiTheme="majorHAnsi" w:eastAsia="Calibri" w:hAnsiTheme="majorHAnsi" w:cstheme="majorHAnsi"/>
          <w:sz w:val="24"/>
          <w:szCs w:val="24"/>
          <w:lang w:val="ro-MD"/>
        </w:rPr>
        <w:lastRenderedPageBreak/>
        <w:t xml:space="preserve">Agentul economic (c/f </w:t>
      </w:r>
      <w:r w:rsidRPr="00401691">
        <w:rPr>
          <w:rFonts w:asciiTheme="majorHAnsi" w:hAnsiTheme="majorHAnsi" w:cstheme="majorHAnsi"/>
          <w:sz w:val="24"/>
          <w:szCs w:val="24"/>
          <w:lang w:val="ro-MD"/>
        </w:rPr>
        <w:t xml:space="preserve">fiscal </w:t>
      </w:r>
      <w:r w:rsidRPr="00401691">
        <w:rPr>
          <w:rFonts w:asciiTheme="majorHAnsi" w:eastAsia="Calibri" w:hAnsiTheme="majorHAnsi" w:cstheme="majorHAnsi"/>
          <w:sz w:val="24"/>
          <w:szCs w:val="24"/>
          <w:lang w:val="ro-MD"/>
        </w:rPr>
        <w:t xml:space="preserve">1008600002418) înregistra la situația din 31.12.2019 restanță la BPN în sumă de </w:t>
      </w:r>
      <w:r w:rsidRPr="00401691">
        <w:rPr>
          <w:rFonts w:asciiTheme="majorHAnsi" w:hAnsiTheme="majorHAnsi" w:cstheme="majorHAnsi"/>
          <w:sz w:val="24"/>
          <w:szCs w:val="24"/>
          <w:lang w:val="ro-MD"/>
        </w:rPr>
        <w:t>19,0 mil</w:t>
      </w:r>
      <w:r w:rsidR="00C21FCE">
        <w:rPr>
          <w:rFonts w:asciiTheme="majorHAnsi" w:hAnsiTheme="majorHAnsi" w:cstheme="majorHAnsi"/>
          <w:sz w:val="24"/>
          <w:szCs w:val="24"/>
          <w:lang w:val="ro-MD"/>
        </w:rPr>
        <w:t>.</w:t>
      </w:r>
      <w:r w:rsidR="00282D3C">
        <w:rPr>
          <w:rFonts w:asciiTheme="majorHAnsi" w:hAnsiTheme="majorHAnsi" w:cstheme="majorHAnsi"/>
          <w:sz w:val="24"/>
          <w:szCs w:val="24"/>
          <w:lang w:val="ro-MD"/>
        </w:rPr>
        <w:t xml:space="preserve"> </w:t>
      </w:r>
      <w:r w:rsidRPr="00401691">
        <w:rPr>
          <w:rFonts w:asciiTheme="majorHAnsi" w:hAnsiTheme="majorHAnsi" w:cstheme="majorHAnsi"/>
          <w:sz w:val="24"/>
          <w:szCs w:val="24"/>
          <w:lang w:val="ro-MD"/>
        </w:rPr>
        <w:t>lei, care s-a format în rezultatul controlului fiscal</w:t>
      </w:r>
      <w:r w:rsidRPr="00401691">
        <w:rPr>
          <w:rStyle w:val="FootnoteReference"/>
          <w:rFonts w:asciiTheme="majorHAnsi" w:hAnsiTheme="majorHAnsi" w:cstheme="majorHAnsi"/>
          <w:sz w:val="24"/>
          <w:szCs w:val="24"/>
          <w:lang w:val="ro-MD"/>
        </w:rPr>
        <w:footnoteReference w:id="31"/>
      </w:r>
      <w:r w:rsidRPr="00401691">
        <w:rPr>
          <w:rFonts w:asciiTheme="majorHAnsi" w:hAnsiTheme="majorHAnsi" w:cstheme="majorHAnsi"/>
          <w:sz w:val="24"/>
          <w:szCs w:val="24"/>
          <w:lang w:val="ro-MD"/>
        </w:rPr>
        <w:t xml:space="preserve"> prin metode și surse indirecte, pentru neachitarea de către contribuabil a obligației fiscale în sumă de 18,5 mil</w:t>
      </w:r>
      <w:r w:rsidR="00C21FCE">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lei</w:t>
      </w:r>
      <w:r w:rsidR="00282D3C">
        <w:rPr>
          <w:rFonts w:asciiTheme="majorHAnsi" w:hAnsiTheme="majorHAnsi" w:cstheme="majorHAnsi"/>
          <w:sz w:val="24"/>
          <w:szCs w:val="24"/>
          <w:lang w:val="ro-MD"/>
        </w:rPr>
        <w:t xml:space="preserve">, </w:t>
      </w:r>
      <w:r w:rsidRPr="00401691">
        <w:rPr>
          <w:rFonts w:asciiTheme="majorHAnsi" w:hAnsiTheme="majorHAnsi" w:cstheme="majorHAnsi"/>
          <w:sz w:val="24"/>
          <w:szCs w:val="24"/>
          <w:lang w:val="ro-MD"/>
        </w:rPr>
        <w:t xml:space="preserve"> derivat</w:t>
      </w:r>
      <w:r w:rsidR="00282D3C">
        <w:rPr>
          <w:rFonts w:asciiTheme="majorHAnsi" w:hAnsiTheme="majorHAnsi" w:cstheme="majorHAnsi"/>
          <w:sz w:val="24"/>
          <w:szCs w:val="24"/>
          <w:lang w:val="ro-MD"/>
        </w:rPr>
        <w:t>ă</w:t>
      </w:r>
      <w:r w:rsidRPr="00401691">
        <w:rPr>
          <w:rFonts w:asciiTheme="majorHAnsi" w:hAnsiTheme="majorHAnsi" w:cstheme="majorHAnsi"/>
          <w:sz w:val="24"/>
          <w:szCs w:val="24"/>
          <w:lang w:val="ro-MD"/>
        </w:rPr>
        <w:t xml:space="preserve"> din vâ</w:t>
      </w:r>
      <w:r w:rsidR="00B61E9A">
        <w:rPr>
          <w:rFonts w:asciiTheme="majorHAnsi" w:hAnsiTheme="majorHAnsi" w:cstheme="majorHAnsi"/>
          <w:sz w:val="24"/>
          <w:szCs w:val="24"/>
          <w:lang w:val="ro-MD"/>
        </w:rPr>
        <w:t>nzarea activelor. DGA</w:t>
      </w:r>
      <w:r w:rsidR="00282D3C">
        <w:rPr>
          <w:rFonts w:asciiTheme="majorHAnsi" w:hAnsiTheme="majorHAnsi" w:cstheme="majorHAnsi"/>
          <w:sz w:val="24"/>
          <w:szCs w:val="24"/>
          <w:lang w:val="ro-MD"/>
        </w:rPr>
        <w:t>,</w:t>
      </w:r>
      <w:r w:rsidR="00B61E9A">
        <w:rPr>
          <w:rFonts w:asciiTheme="majorHAnsi" w:hAnsiTheme="majorHAnsi" w:cstheme="majorHAnsi"/>
          <w:sz w:val="24"/>
          <w:szCs w:val="24"/>
          <w:lang w:val="ro-MD"/>
        </w:rPr>
        <w:t xml:space="preserve"> aplicând </w:t>
      </w:r>
      <w:r w:rsidRPr="00401691">
        <w:rPr>
          <w:rFonts w:asciiTheme="majorHAnsi" w:hAnsiTheme="majorHAnsi" w:cstheme="majorHAnsi"/>
          <w:sz w:val="24"/>
          <w:szCs w:val="24"/>
          <w:lang w:val="ro-MD"/>
        </w:rPr>
        <w:t>toate căile legale de recuperare a datoriilor, nu a reușit să stingă restanțele, dat fiind că, în anul 2018, contribuabilul a înstrăinat toate bunurile pe care le deținea, nedispunând</w:t>
      </w:r>
      <w:r w:rsidR="00B61E9A">
        <w:rPr>
          <w:rFonts w:asciiTheme="majorHAnsi" w:hAnsiTheme="majorHAnsi" w:cstheme="majorHAnsi"/>
          <w:sz w:val="24"/>
          <w:szCs w:val="24"/>
          <w:lang w:val="ro-MD"/>
        </w:rPr>
        <w:t xml:space="preserve"> de mijloace financiare. Însă, </w:t>
      </w:r>
      <w:r w:rsidRPr="00401691">
        <w:rPr>
          <w:rFonts w:asciiTheme="majorHAnsi" w:hAnsiTheme="majorHAnsi" w:cstheme="majorHAnsi"/>
          <w:sz w:val="24"/>
          <w:szCs w:val="24"/>
          <w:lang w:val="ro-MD"/>
        </w:rPr>
        <w:t xml:space="preserve">auditul </w:t>
      </w:r>
      <w:r w:rsidR="00345962">
        <w:rPr>
          <w:rFonts w:asciiTheme="majorHAnsi" w:hAnsiTheme="majorHAnsi" w:cstheme="majorHAnsi"/>
          <w:sz w:val="24"/>
          <w:szCs w:val="24"/>
          <w:lang w:val="ro-MD"/>
        </w:rPr>
        <w:t xml:space="preserve">public extern </w:t>
      </w:r>
      <w:r w:rsidRPr="00401691">
        <w:rPr>
          <w:rFonts w:asciiTheme="majorHAnsi" w:hAnsiTheme="majorHAnsi" w:cstheme="majorHAnsi"/>
          <w:sz w:val="24"/>
          <w:szCs w:val="24"/>
          <w:lang w:val="ro-MD"/>
        </w:rPr>
        <w:t xml:space="preserve">a constatat că la situația </w:t>
      </w:r>
      <w:r w:rsidR="00A0303C">
        <w:rPr>
          <w:rFonts w:asciiTheme="majorHAnsi" w:hAnsiTheme="majorHAnsi" w:cstheme="majorHAnsi"/>
          <w:sz w:val="24"/>
          <w:szCs w:val="24"/>
          <w:lang w:val="ro-MD"/>
        </w:rPr>
        <w:t xml:space="preserve">din </w:t>
      </w:r>
      <w:r w:rsidRPr="00401691">
        <w:rPr>
          <w:rFonts w:asciiTheme="majorHAnsi" w:hAnsiTheme="majorHAnsi" w:cstheme="majorHAnsi"/>
          <w:sz w:val="24"/>
          <w:szCs w:val="24"/>
          <w:lang w:val="ro-MD"/>
        </w:rPr>
        <w:t xml:space="preserve">18.01.2019 </w:t>
      </w:r>
      <w:r w:rsidR="00C21FCE">
        <w:rPr>
          <w:rFonts w:asciiTheme="majorHAnsi" w:hAnsiTheme="majorHAnsi" w:cstheme="majorHAnsi"/>
          <w:sz w:val="24"/>
          <w:szCs w:val="24"/>
          <w:lang w:val="ro-MD"/>
        </w:rPr>
        <w:t>agentul</w:t>
      </w:r>
      <w:r w:rsidR="006F37FB" w:rsidRPr="00401691">
        <w:rPr>
          <w:rFonts w:asciiTheme="majorHAnsi" w:hAnsiTheme="majorHAnsi" w:cstheme="majorHAnsi"/>
          <w:sz w:val="24"/>
          <w:szCs w:val="24"/>
          <w:lang w:val="ro-MD"/>
        </w:rPr>
        <w:t xml:space="preserve"> economic </w:t>
      </w:r>
      <w:r w:rsidR="006F37FB" w:rsidRPr="00401691">
        <w:rPr>
          <w:rFonts w:asciiTheme="majorHAnsi" w:eastAsia="Calibri" w:hAnsiTheme="majorHAnsi" w:cstheme="majorHAnsi"/>
          <w:sz w:val="24"/>
          <w:szCs w:val="24"/>
          <w:lang w:val="ro-MD"/>
        </w:rPr>
        <w:t>devine unicul fondator a</w:t>
      </w:r>
      <w:r w:rsidR="00A0303C">
        <w:rPr>
          <w:rFonts w:asciiTheme="majorHAnsi" w:eastAsia="Calibri" w:hAnsiTheme="majorHAnsi" w:cstheme="majorHAnsi"/>
          <w:sz w:val="24"/>
          <w:szCs w:val="24"/>
          <w:lang w:val="ro-MD"/>
        </w:rPr>
        <w:t>l</w:t>
      </w:r>
      <w:r w:rsidR="006F37FB" w:rsidRPr="00401691">
        <w:rPr>
          <w:rFonts w:asciiTheme="majorHAnsi" w:eastAsia="Calibri" w:hAnsiTheme="majorHAnsi" w:cstheme="majorHAnsi"/>
          <w:sz w:val="24"/>
          <w:szCs w:val="24"/>
          <w:lang w:val="ro-MD"/>
        </w:rPr>
        <w:t xml:space="preserve"> unei societăți profitabile din punct de vedere </w:t>
      </w:r>
      <w:proofErr w:type="spellStart"/>
      <w:r w:rsidR="006F37FB" w:rsidRPr="00401691">
        <w:rPr>
          <w:rFonts w:asciiTheme="majorHAnsi" w:eastAsia="Calibri" w:hAnsiTheme="majorHAnsi" w:cstheme="majorHAnsi"/>
          <w:sz w:val="24"/>
          <w:szCs w:val="24"/>
          <w:lang w:val="ro-MD"/>
        </w:rPr>
        <w:t>economic</w:t>
      </w:r>
      <w:r w:rsidR="00A0303C">
        <w:rPr>
          <w:rFonts w:asciiTheme="majorHAnsi" w:eastAsia="Calibri" w:hAnsiTheme="majorHAnsi" w:cstheme="majorHAnsi"/>
          <w:sz w:val="24"/>
          <w:szCs w:val="24"/>
          <w:lang w:val="ro-MD"/>
        </w:rPr>
        <w:t>o</w:t>
      </w:r>
      <w:proofErr w:type="spellEnd"/>
      <w:r w:rsidR="006F37FB" w:rsidRPr="00401691">
        <w:rPr>
          <w:rFonts w:asciiTheme="majorHAnsi" w:eastAsia="Calibri" w:hAnsiTheme="majorHAnsi" w:cstheme="majorHAnsi"/>
          <w:sz w:val="24"/>
          <w:szCs w:val="24"/>
          <w:lang w:val="ro-MD"/>
        </w:rPr>
        <w:t>-financiar,</w:t>
      </w:r>
      <w:r w:rsidRPr="00401691">
        <w:rPr>
          <w:rFonts w:asciiTheme="majorHAnsi" w:eastAsia="Calibri" w:hAnsiTheme="majorHAnsi" w:cstheme="majorHAnsi"/>
          <w:sz w:val="24"/>
          <w:szCs w:val="24"/>
          <w:lang w:val="ro-MD"/>
        </w:rPr>
        <w:t xml:space="preserve"> </w:t>
      </w:r>
      <w:r w:rsidR="006F37FB" w:rsidRPr="00401691">
        <w:rPr>
          <w:rFonts w:asciiTheme="majorHAnsi" w:eastAsia="Calibri" w:hAnsiTheme="majorHAnsi" w:cstheme="majorHAnsi"/>
          <w:sz w:val="24"/>
          <w:szCs w:val="24"/>
          <w:lang w:val="ro-MD"/>
        </w:rPr>
        <w:t xml:space="preserve">majorând </w:t>
      </w:r>
      <w:r w:rsidRPr="00401691">
        <w:rPr>
          <w:rFonts w:asciiTheme="majorHAnsi" w:eastAsia="Calibri" w:hAnsiTheme="majorHAnsi" w:cstheme="majorHAnsi"/>
          <w:sz w:val="24"/>
          <w:szCs w:val="24"/>
          <w:lang w:val="ro-MD"/>
        </w:rPr>
        <w:t>capitalul social al societății respective la valoarea de 50,8 mil</w:t>
      </w:r>
      <w:r w:rsidR="00C21FCE">
        <w:rPr>
          <w:rFonts w:asciiTheme="majorHAnsi" w:eastAsia="Calibri" w:hAnsiTheme="majorHAnsi" w:cstheme="majorHAnsi"/>
          <w:sz w:val="24"/>
          <w:szCs w:val="24"/>
          <w:lang w:val="ro-MD"/>
        </w:rPr>
        <w:t>.</w:t>
      </w:r>
      <w:r w:rsidRPr="00401691">
        <w:rPr>
          <w:rFonts w:asciiTheme="majorHAnsi" w:eastAsia="Calibri" w:hAnsiTheme="majorHAnsi" w:cstheme="majorHAnsi"/>
          <w:sz w:val="24"/>
          <w:szCs w:val="24"/>
          <w:lang w:val="ro-MD"/>
        </w:rPr>
        <w:t xml:space="preserve"> </w:t>
      </w:r>
      <w:r w:rsidR="00B61E9A">
        <w:rPr>
          <w:rFonts w:asciiTheme="majorHAnsi" w:eastAsia="Calibri" w:hAnsiTheme="majorHAnsi" w:cstheme="majorHAnsi"/>
          <w:sz w:val="24"/>
          <w:szCs w:val="24"/>
          <w:lang w:val="ro-MD"/>
        </w:rPr>
        <w:t xml:space="preserve">lei, care nu a fost sechestrat </w:t>
      </w:r>
      <w:r w:rsidRPr="00401691">
        <w:rPr>
          <w:rFonts w:asciiTheme="majorHAnsi" w:eastAsia="Calibri" w:hAnsiTheme="majorHAnsi" w:cstheme="majorHAnsi"/>
          <w:sz w:val="24"/>
          <w:szCs w:val="24"/>
          <w:lang w:val="ro-MD"/>
        </w:rPr>
        <w:t xml:space="preserve">de DGA conform prevederilor Codului </w:t>
      </w:r>
      <w:r w:rsidR="00345962">
        <w:rPr>
          <w:rFonts w:asciiTheme="majorHAnsi" w:eastAsia="Calibri" w:hAnsiTheme="majorHAnsi" w:cstheme="majorHAnsi"/>
          <w:sz w:val="24"/>
          <w:szCs w:val="24"/>
          <w:lang w:val="ro-MD"/>
        </w:rPr>
        <w:t>f</w:t>
      </w:r>
      <w:r w:rsidRPr="00401691">
        <w:rPr>
          <w:rFonts w:asciiTheme="majorHAnsi" w:eastAsia="Calibri" w:hAnsiTheme="majorHAnsi" w:cstheme="majorHAnsi"/>
          <w:sz w:val="24"/>
          <w:szCs w:val="24"/>
          <w:lang w:val="ro-MD"/>
        </w:rPr>
        <w:t xml:space="preserve">iscal. </w:t>
      </w:r>
    </w:p>
    <w:p w:rsidR="00231F88" w:rsidRPr="00401691" w:rsidRDefault="00996A84" w:rsidP="00844145">
      <w:pPr>
        <w:pStyle w:val="NormalWeb"/>
        <w:numPr>
          <w:ilvl w:val="0"/>
          <w:numId w:val="9"/>
        </w:numPr>
        <w:spacing w:line="276" w:lineRule="auto"/>
        <w:jc w:val="both"/>
        <w:rPr>
          <w:rFonts w:asciiTheme="majorHAnsi" w:hAnsiTheme="majorHAnsi" w:cstheme="majorHAnsi"/>
          <w:lang w:val="ro-MD"/>
        </w:rPr>
      </w:pPr>
      <w:r w:rsidRPr="00401691">
        <w:rPr>
          <w:rFonts w:asciiTheme="majorHAnsi" w:hAnsiTheme="majorHAnsi" w:cstheme="majorHAnsi"/>
          <w:lang w:val="ro-MD"/>
        </w:rPr>
        <w:t>În alt</w:t>
      </w:r>
      <w:r w:rsidR="00B61E9A">
        <w:rPr>
          <w:rFonts w:asciiTheme="majorHAnsi" w:hAnsiTheme="majorHAnsi" w:cstheme="majorHAnsi"/>
          <w:lang w:val="ro-MD"/>
        </w:rPr>
        <w:t>e</w:t>
      </w:r>
      <w:r w:rsidRPr="00401691">
        <w:rPr>
          <w:rFonts w:asciiTheme="majorHAnsi" w:hAnsiTheme="majorHAnsi" w:cstheme="majorHAnsi"/>
          <w:lang w:val="ro-MD"/>
        </w:rPr>
        <w:t xml:space="preserve"> </w:t>
      </w:r>
      <w:r w:rsidR="00B55950" w:rsidRPr="00401691">
        <w:rPr>
          <w:rFonts w:asciiTheme="majorHAnsi" w:hAnsiTheme="majorHAnsi" w:cstheme="majorHAnsi"/>
          <w:lang w:val="ro-MD"/>
        </w:rPr>
        <w:t>două cazuri,</w:t>
      </w:r>
      <w:r w:rsidR="00B55950" w:rsidRPr="00401691">
        <w:rPr>
          <w:rStyle w:val="FootnoteReference"/>
          <w:rFonts w:asciiTheme="majorHAnsi" w:hAnsiTheme="majorHAnsi" w:cstheme="majorHAnsi"/>
          <w:lang w:val="ro-MD"/>
        </w:rPr>
        <w:footnoteReference w:id="32"/>
      </w:r>
      <w:r w:rsidRPr="00401691">
        <w:rPr>
          <w:rFonts w:asciiTheme="majorHAnsi" w:hAnsiTheme="majorHAnsi" w:cstheme="majorHAnsi"/>
          <w:lang w:val="ro-MD"/>
        </w:rPr>
        <w:t xml:space="preserve"> </w:t>
      </w:r>
      <w:r w:rsidR="0052118D" w:rsidRPr="00401691">
        <w:rPr>
          <w:rFonts w:asciiTheme="majorHAnsi" w:hAnsiTheme="majorHAnsi" w:cstheme="majorHAnsi"/>
          <w:lang w:val="ro-MD"/>
        </w:rPr>
        <w:t xml:space="preserve">contribuabilii </w:t>
      </w:r>
      <w:r w:rsidRPr="00401691">
        <w:rPr>
          <w:rFonts w:asciiTheme="majorHAnsi" w:hAnsiTheme="majorHAnsi" w:cstheme="majorHAnsi"/>
          <w:lang w:val="ro-MD"/>
        </w:rPr>
        <w:t>înregistr</w:t>
      </w:r>
      <w:r w:rsidR="00B55950" w:rsidRPr="00401691">
        <w:rPr>
          <w:rFonts w:asciiTheme="majorHAnsi" w:hAnsiTheme="majorHAnsi" w:cstheme="majorHAnsi"/>
          <w:lang w:val="ro-MD"/>
        </w:rPr>
        <w:t xml:space="preserve">au </w:t>
      </w:r>
      <w:r w:rsidRPr="00401691">
        <w:rPr>
          <w:rFonts w:asciiTheme="majorHAnsi" w:hAnsiTheme="majorHAnsi" w:cstheme="majorHAnsi"/>
          <w:lang w:val="ro-MD"/>
        </w:rPr>
        <w:t>la finele anului restanț</w:t>
      </w:r>
      <w:r w:rsidR="0052118D" w:rsidRPr="00401691">
        <w:rPr>
          <w:rFonts w:asciiTheme="majorHAnsi" w:hAnsiTheme="majorHAnsi" w:cstheme="majorHAnsi"/>
          <w:lang w:val="ro-MD"/>
        </w:rPr>
        <w:t xml:space="preserve">e la bugetul de stat </w:t>
      </w:r>
      <w:r w:rsidRPr="00401691">
        <w:rPr>
          <w:rFonts w:asciiTheme="majorHAnsi" w:hAnsiTheme="majorHAnsi" w:cstheme="majorHAnsi"/>
          <w:lang w:val="ro-MD"/>
        </w:rPr>
        <w:t xml:space="preserve">în sumă de </w:t>
      </w:r>
      <w:r w:rsidR="0052118D" w:rsidRPr="00401691">
        <w:rPr>
          <w:rFonts w:asciiTheme="majorHAnsi" w:hAnsiTheme="majorHAnsi" w:cstheme="majorHAnsi"/>
          <w:lang w:val="ro-MD"/>
        </w:rPr>
        <w:t>13,9</w:t>
      </w:r>
      <w:r w:rsidRPr="00401691">
        <w:rPr>
          <w:rFonts w:asciiTheme="majorHAnsi" w:hAnsiTheme="majorHAnsi" w:cstheme="majorHAnsi"/>
          <w:lang w:val="ro-MD"/>
        </w:rPr>
        <w:t xml:space="preserve"> mil</w:t>
      </w:r>
      <w:r w:rsidR="0052118D" w:rsidRPr="00401691">
        <w:rPr>
          <w:rFonts w:asciiTheme="majorHAnsi" w:hAnsiTheme="majorHAnsi" w:cstheme="majorHAnsi"/>
          <w:lang w:val="ro-MD"/>
        </w:rPr>
        <w:t>.</w:t>
      </w:r>
      <w:r w:rsidRPr="00401691">
        <w:rPr>
          <w:rFonts w:asciiTheme="majorHAnsi" w:hAnsiTheme="majorHAnsi" w:cstheme="majorHAnsi"/>
          <w:lang w:val="ro-MD"/>
        </w:rPr>
        <w:t xml:space="preserve"> lei, deținând cot</w:t>
      </w:r>
      <w:r w:rsidR="00A0303C">
        <w:rPr>
          <w:rFonts w:asciiTheme="majorHAnsi" w:hAnsiTheme="majorHAnsi" w:cstheme="majorHAnsi"/>
          <w:lang w:val="ro-MD"/>
        </w:rPr>
        <w:t>e-</w:t>
      </w:r>
      <w:r w:rsidRPr="00401691">
        <w:rPr>
          <w:rFonts w:asciiTheme="majorHAnsi" w:hAnsiTheme="majorHAnsi" w:cstheme="majorHAnsi"/>
          <w:lang w:val="ro-MD"/>
        </w:rPr>
        <w:t>p</w:t>
      </w:r>
      <w:r w:rsidR="00A0303C">
        <w:rPr>
          <w:rFonts w:asciiTheme="majorHAnsi" w:hAnsiTheme="majorHAnsi" w:cstheme="majorHAnsi"/>
          <w:lang w:val="ro-MD"/>
        </w:rPr>
        <w:t>ărți</w:t>
      </w:r>
      <w:r w:rsidRPr="00401691">
        <w:rPr>
          <w:rFonts w:asciiTheme="majorHAnsi" w:hAnsiTheme="majorHAnsi" w:cstheme="majorHAnsi"/>
          <w:lang w:val="ro-MD"/>
        </w:rPr>
        <w:t xml:space="preserve"> în capitalul social al alt</w:t>
      </w:r>
      <w:r w:rsidR="00B55950" w:rsidRPr="00401691">
        <w:rPr>
          <w:rFonts w:asciiTheme="majorHAnsi" w:hAnsiTheme="majorHAnsi" w:cstheme="majorHAnsi"/>
          <w:lang w:val="ro-MD"/>
        </w:rPr>
        <w:t>or</w:t>
      </w:r>
      <w:r w:rsidRPr="00401691">
        <w:rPr>
          <w:rFonts w:asciiTheme="majorHAnsi" w:hAnsiTheme="majorHAnsi" w:cstheme="majorHAnsi"/>
          <w:lang w:val="ro-MD"/>
        </w:rPr>
        <w:t xml:space="preserve"> societăți </w:t>
      </w:r>
      <w:r w:rsidR="00B55950" w:rsidRPr="00401691">
        <w:rPr>
          <w:rFonts w:asciiTheme="majorHAnsi" w:hAnsiTheme="majorHAnsi" w:cstheme="majorHAnsi"/>
          <w:lang w:val="ro-MD"/>
        </w:rPr>
        <w:t xml:space="preserve">cu răspundere limitată </w:t>
      </w:r>
      <w:r w:rsidRPr="00401691">
        <w:rPr>
          <w:rFonts w:asciiTheme="majorHAnsi" w:hAnsiTheme="majorHAnsi" w:cstheme="majorHAnsi"/>
          <w:lang w:val="ro-MD"/>
        </w:rPr>
        <w:t xml:space="preserve">în valoare de </w:t>
      </w:r>
      <w:r w:rsidR="0052118D" w:rsidRPr="00401691">
        <w:rPr>
          <w:rFonts w:asciiTheme="majorHAnsi" w:hAnsiTheme="majorHAnsi" w:cstheme="majorHAnsi"/>
          <w:lang w:val="ro-MD"/>
        </w:rPr>
        <w:t xml:space="preserve">44,6 </w:t>
      </w:r>
      <w:r w:rsidRPr="00401691">
        <w:rPr>
          <w:rFonts w:asciiTheme="majorHAnsi" w:hAnsiTheme="majorHAnsi" w:cstheme="majorHAnsi"/>
          <w:lang w:val="ro-MD"/>
        </w:rPr>
        <w:t>mil</w:t>
      </w:r>
      <w:r w:rsidR="0052118D" w:rsidRPr="00401691">
        <w:rPr>
          <w:rFonts w:asciiTheme="majorHAnsi" w:hAnsiTheme="majorHAnsi" w:cstheme="majorHAnsi"/>
          <w:lang w:val="ro-MD"/>
        </w:rPr>
        <w:t>.</w:t>
      </w:r>
      <w:r w:rsidRPr="00401691">
        <w:rPr>
          <w:rFonts w:asciiTheme="majorHAnsi" w:hAnsiTheme="majorHAnsi" w:cstheme="majorHAnsi"/>
          <w:lang w:val="ro-MD"/>
        </w:rPr>
        <w:t xml:space="preserve"> lei, care nu a</w:t>
      </w:r>
      <w:r w:rsidR="00A0303C">
        <w:rPr>
          <w:rFonts w:asciiTheme="majorHAnsi" w:hAnsiTheme="majorHAnsi" w:cstheme="majorHAnsi"/>
          <w:lang w:val="ro-MD"/>
        </w:rPr>
        <w:t>u</w:t>
      </w:r>
      <w:r w:rsidRPr="00401691">
        <w:rPr>
          <w:rFonts w:asciiTheme="majorHAnsi" w:hAnsiTheme="majorHAnsi" w:cstheme="majorHAnsi"/>
          <w:lang w:val="ro-MD"/>
        </w:rPr>
        <w:t xml:space="preserve"> fost sechestrat</w:t>
      </w:r>
      <w:r w:rsidR="00A0303C">
        <w:rPr>
          <w:rFonts w:asciiTheme="majorHAnsi" w:hAnsiTheme="majorHAnsi" w:cstheme="majorHAnsi"/>
          <w:lang w:val="ro-MD"/>
        </w:rPr>
        <w:t>e</w:t>
      </w:r>
      <w:r w:rsidRPr="00401691">
        <w:rPr>
          <w:rFonts w:asciiTheme="majorHAnsi" w:hAnsiTheme="majorHAnsi" w:cstheme="majorHAnsi"/>
          <w:lang w:val="ro-MD"/>
        </w:rPr>
        <w:t xml:space="preserve"> de DGA mun. Chișinău. La </w:t>
      </w:r>
      <w:r w:rsidR="002A7AC6" w:rsidRPr="00401691">
        <w:rPr>
          <w:rFonts w:asciiTheme="majorHAnsi" w:hAnsiTheme="majorHAnsi" w:cstheme="majorHAnsi"/>
          <w:lang w:val="ro-MD"/>
        </w:rPr>
        <w:t>20.02.2020</w:t>
      </w:r>
      <w:r w:rsidR="00A0303C">
        <w:rPr>
          <w:rFonts w:asciiTheme="majorHAnsi" w:hAnsiTheme="majorHAnsi" w:cstheme="majorHAnsi"/>
          <w:lang w:val="ro-MD"/>
        </w:rPr>
        <w:t>,</w:t>
      </w:r>
      <w:r w:rsidR="00B55950" w:rsidRPr="00401691">
        <w:rPr>
          <w:rFonts w:asciiTheme="majorHAnsi" w:hAnsiTheme="majorHAnsi" w:cstheme="majorHAnsi"/>
          <w:lang w:val="ro-MD"/>
        </w:rPr>
        <w:t xml:space="preserve"> unui</w:t>
      </w:r>
      <w:r w:rsidR="002A7AC6" w:rsidRPr="00401691">
        <w:rPr>
          <w:rFonts w:asciiTheme="majorHAnsi" w:hAnsiTheme="majorHAnsi" w:cstheme="majorHAnsi"/>
          <w:lang w:val="ro-MD"/>
        </w:rPr>
        <w:t xml:space="preserve"> </w:t>
      </w:r>
      <w:r w:rsidR="00B61E9A">
        <w:rPr>
          <w:rFonts w:asciiTheme="majorHAnsi" w:hAnsiTheme="majorHAnsi" w:cstheme="majorHAnsi"/>
          <w:lang w:val="ro-MD"/>
        </w:rPr>
        <w:t>contribuabil i-</w:t>
      </w:r>
      <w:r w:rsidR="00B61E9A">
        <w:rPr>
          <w:rFonts w:asciiTheme="majorHAnsi" w:hAnsiTheme="majorHAnsi" w:cstheme="majorHAnsi"/>
          <w:lang w:val="ro-MD"/>
        </w:rPr>
        <w:lastRenderedPageBreak/>
        <w:t xml:space="preserve">a </w:t>
      </w:r>
      <w:r w:rsidR="00B55950" w:rsidRPr="00401691">
        <w:rPr>
          <w:rFonts w:asciiTheme="majorHAnsi" w:hAnsiTheme="majorHAnsi" w:cstheme="majorHAnsi"/>
          <w:lang w:val="ro-MD"/>
        </w:rPr>
        <w:t xml:space="preserve">fost </w:t>
      </w:r>
      <w:r w:rsidR="002A7AC6" w:rsidRPr="00401691">
        <w:rPr>
          <w:rFonts w:asciiTheme="majorHAnsi" w:hAnsiTheme="majorHAnsi" w:cstheme="majorHAnsi"/>
          <w:lang w:val="ro-MD"/>
        </w:rPr>
        <w:t>intentată procedura de insolvabilitate</w:t>
      </w:r>
      <w:r w:rsidR="00B55950" w:rsidRPr="00401691">
        <w:rPr>
          <w:rFonts w:asciiTheme="majorHAnsi" w:hAnsiTheme="majorHAnsi" w:cstheme="majorHAnsi"/>
          <w:lang w:val="ro-MD"/>
        </w:rPr>
        <w:t xml:space="preserve">, iar </w:t>
      </w:r>
      <w:r w:rsidR="0052118D" w:rsidRPr="00401691">
        <w:rPr>
          <w:rFonts w:asciiTheme="majorHAnsi" w:hAnsiTheme="majorHAnsi" w:cstheme="majorHAnsi"/>
          <w:lang w:val="ro-MD"/>
        </w:rPr>
        <w:t xml:space="preserve">titlul executoriu </w:t>
      </w:r>
      <w:r w:rsidR="00B55950" w:rsidRPr="00401691">
        <w:rPr>
          <w:rFonts w:asciiTheme="majorHAnsi" w:hAnsiTheme="majorHAnsi" w:cstheme="majorHAnsi"/>
          <w:lang w:val="ro-MD"/>
        </w:rPr>
        <w:t xml:space="preserve">pe alt contribuabil </w:t>
      </w:r>
      <w:r w:rsidR="0052118D" w:rsidRPr="00401691">
        <w:rPr>
          <w:rFonts w:asciiTheme="majorHAnsi" w:hAnsiTheme="majorHAnsi" w:cstheme="majorHAnsi"/>
          <w:lang w:val="ro-MD"/>
        </w:rPr>
        <w:t xml:space="preserve">a fost </w:t>
      </w:r>
      <w:r w:rsidR="00B55950" w:rsidRPr="00401691">
        <w:rPr>
          <w:rFonts w:asciiTheme="majorHAnsi" w:hAnsiTheme="majorHAnsi" w:cstheme="majorHAnsi"/>
          <w:lang w:val="ro-MD"/>
        </w:rPr>
        <w:t>remis</w:t>
      </w:r>
      <w:r w:rsidR="0052118D" w:rsidRPr="00401691">
        <w:rPr>
          <w:rFonts w:asciiTheme="majorHAnsi" w:hAnsiTheme="majorHAnsi" w:cstheme="majorHAnsi"/>
          <w:lang w:val="ro-MD"/>
        </w:rPr>
        <w:t xml:space="preserve"> spre executare </w:t>
      </w:r>
      <w:r w:rsidR="00B61E9A">
        <w:rPr>
          <w:rFonts w:asciiTheme="majorHAnsi" w:hAnsiTheme="majorHAnsi" w:cstheme="majorHAnsi"/>
          <w:lang w:val="ro-MD"/>
        </w:rPr>
        <w:t xml:space="preserve">executorului </w:t>
      </w:r>
      <w:r w:rsidR="00B55950" w:rsidRPr="00401691">
        <w:rPr>
          <w:rFonts w:asciiTheme="majorHAnsi" w:hAnsiTheme="majorHAnsi" w:cstheme="majorHAnsi"/>
          <w:lang w:val="ro-MD"/>
        </w:rPr>
        <w:t>judecătoresc.</w:t>
      </w:r>
    </w:p>
    <w:p w:rsidR="002A7AC6" w:rsidRPr="00401691" w:rsidRDefault="002A7AC6" w:rsidP="00844145">
      <w:pPr>
        <w:pStyle w:val="ListParagraph"/>
        <w:numPr>
          <w:ilvl w:val="0"/>
          <w:numId w:val="10"/>
        </w:numPr>
        <w:tabs>
          <w:tab w:val="left" w:pos="0"/>
          <w:tab w:val="left" w:pos="180"/>
          <w:tab w:val="left" w:pos="270"/>
        </w:tabs>
        <w:spacing w:after="120" w:line="276" w:lineRule="auto"/>
        <w:ind w:left="90" w:hanging="90"/>
        <w:jc w:val="both"/>
        <w:rPr>
          <w:rStyle w:val="ms-rtefontface-3"/>
          <w:rFonts w:asciiTheme="majorHAnsi" w:eastAsia="Times New Roman" w:hAnsiTheme="majorHAnsi" w:cstheme="majorHAnsi"/>
          <w:i/>
          <w:sz w:val="24"/>
          <w:szCs w:val="24"/>
          <w:lang w:val="ro-MD"/>
        </w:rPr>
      </w:pPr>
      <w:r w:rsidRPr="00401691">
        <w:rPr>
          <w:rStyle w:val="ms-rtefontface-3"/>
          <w:rFonts w:asciiTheme="majorHAnsi" w:eastAsia="Times New Roman" w:hAnsiTheme="majorHAnsi" w:cstheme="majorHAnsi"/>
          <w:i/>
          <w:sz w:val="24"/>
          <w:szCs w:val="24"/>
          <w:lang w:val="ro-MD"/>
        </w:rPr>
        <w:t>Alte</w:t>
      </w:r>
      <w:r w:rsidR="007244EF" w:rsidRPr="00401691">
        <w:rPr>
          <w:rStyle w:val="ms-rtefontface-3"/>
          <w:rFonts w:asciiTheme="majorHAnsi" w:eastAsia="Times New Roman" w:hAnsiTheme="majorHAnsi" w:cstheme="majorHAnsi"/>
          <w:i/>
          <w:sz w:val="24"/>
          <w:szCs w:val="24"/>
          <w:lang w:val="ro-MD"/>
        </w:rPr>
        <w:t xml:space="preserve"> </w:t>
      </w:r>
      <w:r w:rsidRPr="00401691">
        <w:rPr>
          <w:rStyle w:val="ms-rtefontface-3"/>
          <w:rFonts w:asciiTheme="majorHAnsi" w:eastAsia="Times New Roman" w:hAnsiTheme="majorHAnsi" w:cstheme="majorHAnsi"/>
          <w:i/>
          <w:sz w:val="24"/>
          <w:szCs w:val="24"/>
          <w:lang w:val="ro-MD"/>
        </w:rPr>
        <w:t xml:space="preserve">carențe </w:t>
      </w:r>
      <w:r w:rsidR="00A0303C">
        <w:rPr>
          <w:rStyle w:val="ms-rtefontface-3"/>
          <w:rFonts w:asciiTheme="majorHAnsi" w:eastAsia="Times New Roman" w:hAnsiTheme="majorHAnsi" w:cstheme="majorHAnsi"/>
          <w:i/>
          <w:sz w:val="24"/>
          <w:szCs w:val="24"/>
          <w:lang w:val="ro-MD"/>
        </w:rPr>
        <w:t>constatat</w:t>
      </w:r>
      <w:r w:rsidRPr="00401691">
        <w:rPr>
          <w:rStyle w:val="ms-rtefontface-3"/>
          <w:rFonts w:asciiTheme="majorHAnsi" w:eastAsia="Times New Roman" w:hAnsiTheme="majorHAnsi" w:cstheme="majorHAnsi"/>
          <w:i/>
          <w:sz w:val="24"/>
          <w:szCs w:val="24"/>
          <w:lang w:val="ro-MD"/>
        </w:rPr>
        <w:t xml:space="preserve">e în aplicarea măsurilor de executare silită </w:t>
      </w:r>
    </w:p>
    <w:p w:rsidR="0054050F" w:rsidRPr="00401691" w:rsidRDefault="002A7AC6" w:rsidP="00844145">
      <w:pPr>
        <w:tabs>
          <w:tab w:val="left" w:pos="0"/>
          <w:tab w:val="left" w:pos="180"/>
          <w:tab w:val="left" w:pos="270"/>
        </w:tabs>
        <w:spacing w:after="120" w:line="276" w:lineRule="auto"/>
        <w:jc w:val="both"/>
        <w:rPr>
          <w:rFonts w:asciiTheme="majorHAnsi" w:eastAsia="Times New Roman" w:hAnsiTheme="majorHAnsi" w:cstheme="majorHAnsi"/>
          <w:sz w:val="24"/>
          <w:szCs w:val="24"/>
          <w:lang w:val="ro-MD"/>
        </w:rPr>
      </w:pPr>
      <w:r w:rsidRPr="00401691">
        <w:rPr>
          <w:rFonts w:asciiTheme="majorHAnsi" w:hAnsiTheme="majorHAnsi" w:cstheme="majorHAnsi"/>
          <w:sz w:val="24"/>
          <w:szCs w:val="24"/>
          <w:lang w:val="ro-MD"/>
        </w:rPr>
        <w:t xml:space="preserve">Auditul </w:t>
      </w:r>
      <w:r w:rsidR="005E53B4" w:rsidRPr="00401691">
        <w:rPr>
          <w:rStyle w:val="ms-rtefontface-3"/>
          <w:rFonts w:asciiTheme="majorHAnsi" w:hAnsiTheme="majorHAnsi" w:cstheme="majorHAnsi"/>
          <w:sz w:val="24"/>
          <w:szCs w:val="24"/>
          <w:lang w:val="ro-MD"/>
        </w:rPr>
        <w:t xml:space="preserve">identifică necesitatea eficientizării controalelor interne la componenta de analiză și monitorizare a restanțelor admise de </w:t>
      </w:r>
      <w:r w:rsidR="00A0303C">
        <w:rPr>
          <w:rStyle w:val="ms-rtefontface-3"/>
          <w:rFonts w:asciiTheme="majorHAnsi" w:hAnsiTheme="majorHAnsi" w:cstheme="majorHAnsi"/>
          <w:sz w:val="24"/>
          <w:szCs w:val="24"/>
          <w:lang w:val="ro-MD"/>
        </w:rPr>
        <w:t xml:space="preserve">către </w:t>
      </w:r>
      <w:r w:rsidR="005E53B4" w:rsidRPr="00401691">
        <w:rPr>
          <w:rStyle w:val="ms-rtefontface-3"/>
          <w:rFonts w:asciiTheme="majorHAnsi" w:hAnsiTheme="majorHAnsi" w:cstheme="majorHAnsi"/>
          <w:sz w:val="24"/>
          <w:szCs w:val="24"/>
          <w:lang w:val="ro-MD"/>
        </w:rPr>
        <w:t>unele categorii</w:t>
      </w:r>
      <w:r w:rsidR="00C61635">
        <w:rPr>
          <w:rStyle w:val="ms-rtefontface-3"/>
          <w:rFonts w:asciiTheme="majorHAnsi" w:hAnsiTheme="majorHAnsi" w:cstheme="majorHAnsi"/>
          <w:sz w:val="24"/>
          <w:szCs w:val="24"/>
          <w:lang w:val="ro-MD"/>
        </w:rPr>
        <w:t xml:space="preserve"> de</w:t>
      </w:r>
      <w:r w:rsidR="005E53B4" w:rsidRPr="00401691">
        <w:rPr>
          <w:rStyle w:val="ms-rtefontface-3"/>
          <w:rFonts w:asciiTheme="majorHAnsi" w:hAnsiTheme="majorHAnsi" w:cstheme="majorHAnsi"/>
          <w:sz w:val="24"/>
          <w:szCs w:val="24"/>
          <w:lang w:val="ro-MD"/>
        </w:rPr>
        <w:t xml:space="preserve"> contribuabili. </w:t>
      </w:r>
      <w:r w:rsidR="008F5527">
        <w:rPr>
          <w:rStyle w:val="ms-rtefontface-3"/>
          <w:rFonts w:asciiTheme="majorHAnsi" w:hAnsiTheme="majorHAnsi" w:cstheme="majorHAnsi"/>
          <w:sz w:val="24"/>
          <w:szCs w:val="24"/>
          <w:lang w:val="ro-MD"/>
        </w:rPr>
        <w:t xml:space="preserve">Verificările </w:t>
      </w:r>
      <w:r w:rsidR="001718A6">
        <w:rPr>
          <w:rStyle w:val="ms-rtefontface-3"/>
          <w:rFonts w:asciiTheme="majorHAnsi" w:hAnsiTheme="majorHAnsi" w:cstheme="majorHAnsi"/>
          <w:sz w:val="24"/>
          <w:szCs w:val="24"/>
          <w:lang w:val="ro-MD"/>
        </w:rPr>
        <w:t>efectuate</w:t>
      </w:r>
      <w:r w:rsidR="005E53B4" w:rsidRPr="00401691">
        <w:rPr>
          <w:rStyle w:val="FootnoteReference"/>
          <w:rFonts w:asciiTheme="majorHAnsi" w:eastAsia="Times New Roman" w:hAnsiTheme="majorHAnsi" w:cstheme="majorHAnsi"/>
          <w:sz w:val="24"/>
          <w:szCs w:val="24"/>
          <w:lang w:val="ro-MD"/>
        </w:rPr>
        <w:footnoteReference w:id="33"/>
      </w:r>
      <w:r w:rsidR="005E53B4" w:rsidRPr="00401691">
        <w:rPr>
          <w:rFonts w:asciiTheme="majorHAnsi" w:eastAsia="Times New Roman" w:hAnsiTheme="majorHAnsi" w:cstheme="majorHAnsi"/>
          <w:sz w:val="24"/>
          <w:szCs w:val="24"/>
          <w:lang w:val="ro-MD"/>
        </w:rPr>
        <w:t xml:space="preserve"> relevă că DGA mun.</w:t>
      </w:r>
      <w:r w:rsidR="00695472" w:rsidRPr="00401691">
        <w:rPr>
          <w:rFonts w:asciiTheme="majorHAnsi" w:eastAsia="Times New Roman" w:hAnsiTheme="majorHAnsi" w:cstheme="majorHAnsi"/>
          <w:sz w:val="24"/>
          <w:szCs w:val="24"/>
          <w:lang w:val="ro-MD"/>
        </w:rPr>
        <w:t xml:space="preserve"> </w:t>
      </w:r>
      <w:r w:rsidR="005E53B4" w:rsidRPr="00401691">
        <w:rPr>
          <w:rFonts w:asciiTheme="majorHAnsi" w:eastAsia="Times New Roman" w:hAnsiTheme="majorHAnsi" w:cstheme="majorHAnsi"/>
          <w:sz w:val="24"/>
          <w:szCs w:val="24"/>
          <w:lang w:val="ro-MD"/>
        </w:rPr>
        <w:t>Chișinău</w:t>
      </w:r>
      <w:r w:rsidR="00A0303C">
        <w:rPr>
          <w:rFonts w:asciiTheme="majorHAnsi" w:eastAsia="Times New Roman" w:hAnsiTheme="majorHAnsi" w:cstheme="majorHAnsi"/>
          <w:sz w:val="24"/>
          <w:szCs w:val="24"/>
          <w:lang w:val="ro-MD"/>
        </w:rPr>
        <w:t>,</w:t>
      </w:r>
      <w:r w:rsidR="005E53B4" w:rsidRPr="00401691">
        <w:rPr>
          <w:rFonts w:asciiTheme="majorHAnsi" w:eastAsia="Times New Roman" w:hAnsiTheme="majorHAnsi" w:cstheme="majorHAnsi"/>
          <w:sz w:val="24"/>
          <w:szCs w:val="24"/>
          <w:lang w:val="ro-MD"/>
        </w:rPr>
        <w:t xml:space="preserve"> neverificând corectitudinea datelor privind restanța înregistrată în conturile personale ale contribuabililor</w:t>
      </w:r>
      <w:r w:rsidR="00A0303C">
        <w:rPr>
          <w:rFonts w:asciiTheme="majorHAnsi" w:eastAsia="Times New Roman" w:hAnsiTheme="majorHAnsi" w:cstheme="majorHAnsi"/>
          <w:sz w:val="24"/>
          <w:szCs w:val="24"/>
          <w:lang w:val="ro-MD"/>
        </w:rPr>
        <w:t>,</w:t>
      </w:r>
      <w:r w:rsidR="005E53B4" w:rsidRPr="00401691">
        <w:rPr>
          <w:rFonts w:asciiTheme="majorHAnsi" w:eastAsia="Times New Roman" w:hAnsiTheme="majorHAnsi" w:cstheme="majorHAnsi"/>
          <w:sz w:val="24"/>
          <w:szCs w:val="24"/>
          <w:lang w:val="ro-MD"/>
        </w:rPr>
        <w:t xml:space="preserve"> a </w:t>
      </w:r>
      <w:r w:rsidR="00B61E9A">
        <w:rPr>
          <w:rFonts w:asciiTheme="majorHAnsi" w:eastAsia="Times New Roman" w:hAnsiTheme="majorHAnsi" w:cstheme="majorHAnsi"/>
          <w:sz w:val="24"/>
          <w:szCs w:val="24"/>
          <w:lang w:val="ro-MD"/>
        </w:rPr>
        <w:t>emis neregulamentar documente executorii pe numele</w:t>
      </w:r>
      <w:r w:rsidR="005E53B4" w:rsidRPr="00401691">
        <w:rPr>
          <w:rFonts w:asciiTheme="majorHAnsi" w:eastAsia="Times New Roman" w:hAnsiTheme="majorHAnsi" w:cstheme="majorHAnsi"/>
          <w:sz w:val="24"/>
          <w:szCs w:val="24"/>
          <w:lang w:val="ro-MD"/>
        </w:rPr>
        <w:t xml:space="preserve"> </w:t>
      </w:r>
      <w:r w:rsidR="00C61635">
        <w:rPr>
          <w:rFonts w:asciiTheme="majorHAnsi" w:eastAsia="Times New Roman" w:hAnsiTheme="majorHAnsi" w:cstheme="majorHAnsi"/>
          <w:sz w:val="24"/>
          <w:szCs w:val="24"/>
          <w:lang w:val="ro-MD"/>
        </w:rPr>
        <w:t>a</w:t>
      </w:r>
      <w:r w:rsidR="005E53B4" w:rsidRPr="00401691">
        <w:rPr>
          <w:rFonts w:asciiTheme="majorHAnsi" w:eastAsia="Times New Roman" w:hAnsiTheme="majorHAnsi" w:cstheme="majorHAnsi"/>
          <w:sz w:val="24"/>
          <w:szCs w:val="24"/>
          <w:lang w:val="ro-MD"/>
        </w:rPr>
        <w:t xml:space="preserve"> două persoane fizice nerezidente privind încasarea la buget a restanței </w:t>
      </w:r>
      <w:r w:rsidR="00A0303C">
        <w:rPr>
          <w:rFonts w:asciiTheme="majorHAnsi" w:eastAsia="Times New Roman" w:hAnsiTheme="majorHAnsi" w:cstheme="majorHAnsi"/>
          <w:sz w:val="24"/>
          <w:szCs w:val="24"/>
          <w:lang w:val="ro-MD"/>
        </w:rPr>
        <w:t xml:space="preserve">în sumă </w:t>
      </w:r>
      <w:r w:rsidR="005E53B4" w:rsidRPr="00401691">
        <w:rPr>
          <w:rFonts w:asciiTheme="majorHAnsi" w:eastAsia="Times New Roman" w:hAnsiTheme="majorHAnsi" w:cstheme="majorHAnsi"/>
          <w:sz w:val="24"/>
          <w:szCs w:val="24"/>
          <w:lang w:val="ro-MD"/>
        </w:rPr>
        <w:t>de 0,4 mil</w:t>
      </w:r>
      <w:r w:rsidR="00C21FCE">
        <w:rPr>
          <w:rFonts w:asciiTheme="majorHAnsi" w:eastAsia="Times New Roman" w:hAnsiTheme="majorHAnsi" w:cstheme="majorHAnsi"/>
          <w:sz w:val="24"/>
          <w:szCs w:val="24"/>
          <w:lang w:val="ro-MD"/>
        </w:rPr>
        <w:t>.</w:t>
      </w:r>
      <w:r w:rsidR="005E53B4" w:rsidRPr="00401691">
        <w:rPr>
          <w:rFonts w:asciiTheme="majorHAnsi" w:eastAsia="Times New Roman" w:hAnsiTheme="majorHAnsi" w:cstheme="majorHAnsi"/>
          <w:sz w:val="24"/>
          <w:szCs w:val="24"/>
          <w:lang w:val="ro-MD"/>
        </w:rPr>
        <w:t xml:space="preserve"> lei, care în realitate a fost achitată</w:t>
      </w:r>
      <w:r w:rsidR="005E53B4" w:rsidRPr="00401691">
        <w:rPr>
          <w:rStyle w:val="FootnoteReference"/>
          <w:rFonts w:asciiTheme="majorHAnsi" w:eastAsia="Times New Roman" w:hAnsiTheme="majorHAnsi" w:cstheme="majorHAnsi"/>
          <w:sz w:val="24"/>
          <w:szCs w:val="24"/>
          <w:lang w:val="ro-MD"/>
        </w:rPr>
        <w:footnoteReference w:id="34"/>
      </w:r>
      <w:r w:rsidR="005E53B4" w:rsidRPr="00401691">
        <w:rPr>
          <w:rFonts w:asciiTheme="majorHAnsi" w:eastAsia="Times New Roman" w:hAnsiTheme="majorHAnsi" w:cstheme="majorHAnsi"/>
          <w:sz w:val="24"/>
          <w:szCs w:val="24"/>
          <w:lang w:val="ro-MD"/>
        </w:rPr>
        <w:t>.</w:t>
      </w:r>
    </w:p>
    <w:p w:rsidR="0054050F" w:rsidRPr="00401691" w:rsidRDefault="00204B5D" w:rsidP="00844145">
      <w:pPr>
        <w:pBdr>
          <w:top w:val="single" w:sz="4" w:space="1" w:color="auto"/>
          <w:left w:val="single" w:sz="4" w:space="0" w:color="auto"/>
          <w:bottom w:val="single" w:sz="4" w:space="1" w:color="auto"/>
          <w:right w:val="single" w:sz="4" w:space="4" w:color="auto"/>
        </w:pBdr>
        <w:tabs>
          <w:tab w:val="left" w:pos="180"/>
          <w:tab w:val="left" w:pos="270"/>
        </w:tabs>
        <w:spacing w:after="120" w:line="276" w:lineRule="auto"/>
        <w:jc w:val="both"/>
        <w:rPr>
          <w:rFonts w:asciiTheme="majorHAnsi" w:eastAsia="Times New Roman" w:hAnsiTheme="majorHAnsi" w:cstheme="majorHAnsi"/>
          <w:sz w:val="24"/>
          <w:szCs w:val="24"/>
          <w:lang w:val="ro-MD"/>
        </w:rPr>
      </w:pPr>
      <w:r w:rsidRPr="00401691">
        <w:rPr>
          <w:rFonts w:asciiTheme="majorHAnsi" w:eastAsia="Times New Roman" w:hAnsiTheme="majorHAnsi" w:cstheme="majorHAnsi"/>
          <w:b/>
          <w:i/>
          <w:sz w:val="24"/>
          <w:szCs w:val="24"/>
          <w:lang w:val="ro-MD"/>
        </w:rPr>
        <w:t>Se</w:t>
      </w:r>
      <w:r w:rsidR="00401F7D" w:rsidRPr="00401691">
        <w:rPr>
          <w:rFonts w:asciiTheme="majorHAnsi" w:eastAsia="Times New Roman" w:hAnsiTheme="majorHAnsi" w:cstheme="majorHAnsi"/>
          <w:b/>
          <w:i/>
          <w:sz w:val="24"/>
          <w:szCs w:val="24"/>
          <w:lang w:val="ro-MD"/>
        </w:rPr>
        <w:t xml:space="preserve"> </w:t>
      </w:r>
      <w:r w:rsidRPr="00401691">
        <w:rPr>
          <w:rFonts w:asciiTheme="majorHAnsi" w:eastAsia="Times New Roman" w:hAnsiTheme="majorHAnsi" w:cstheme="majorHAnsi"/>
          <w:b/>
          <w:i/>
          <w:sz w:val="24"/>
          <w:szCs w:val="24"/>
          <w:lang w:val="ro-MD"/>
        </w:rPr>
        <w:t>ia act:</w:t>
      </w:r>
      <w:r w:rsidRPr="00401691">
        <w:rPr>
          <w:rFonts w:asciiTheme="majorHAnsi" w:eastAsia="Times New Roman" w:hAnsiTheme="majorHAnsi" w:cstheme="majorHAnsi"/>
          <w:sz w:val="24"/>
          <w:szCs w:val="24"/>
          <w:lang w:val="ro-MD"/>
        </w:rPr>
        <w:t xml:space="preserve"> Pe parcursul auditului </w:t>
      </w:r>
      <w:r w:rsidR="00C61635">
        <w:rPr>
          <w:rFonts w:asciiTheme="majorHAnsi" w:eastAsia="Times New Roman" w:hAnsiTheme="majorHAnsi" w:cstheme="majorHAnsi"/>
          <w:sz w:val="24"/>
          <w:szCs w:val="24"/>
          <w:lang w:val="ro-MD"/>
        </w:rPr>
        <w:t>public extern</w:t>
      </w:r>
      <w:r w:rsidR="00A0303C">
        <w:rPr>
          <w:rFonts w:asciiTheme="majorHAnsi" w:eastAsia="Times New Roman" w:hAnsiTheme="majorHAnsi" w:cstheme="majorHAnsi"/>
          <w:sz w:val="24"/>
          <w:szCs w:val="24"/>
          <w:lang w:val="ro-MD"/>
        </w:rPr>
        <w:t>,</w:t>
      </w:r>
      <w:r w:rsidR="00C61635">
        <w:rPr>
          <w:rFonts w:asciiTheme="majorHAnsi" w:eastAsia="Times New Roman" w:hAnsiTheme="majorHAnsi" w:cstheme="majorHAnsi"/>
          <w:sz w:val="24"/>
          <w:szCs w:val="24"/>
          <w:lang w:val="ro-MD"/>
        </w:rPr>
        <w:t xml:space="preserve"> </w:t>
      </w:r>
      <w:r w:rsidRPr="00401691">
        <w:rPr>
          <w:rFonts w:asciiTheme="majorHAnsi" w:eastAsia="Times New Roman" w:hAnsiTheme="majorHAnsi" w:cstheme="majorHAnsi"/>
          <w:sz w:val="24"/>
          <w:szCs w:val="24"/>
          <w:lang w:val="ro-MD"/>
        </w:rPr>
        <w:t>SFS a corectat datele din SI CCC aferente înscrierilor eronate din conturile curente personale ale contribuabililor în sumă de 357,9 mii lei (77,4 + 280,5).</w:t>
      </w:r>
    </w:p>
    <w:p w:rsidR="0054050F" w:rsidRPr="00401691" w:rsidRDefault="008A5A3C" w:rsidP="00844145">
      <w:pPr>
        <w:tabs>
          <w:tab w:val="left" w:pos="0"/>
          <w:tab w:val="left" w:pos="180"/>
          <w:tab w:val="left" w:pos="270"/>
        </w:tabs>
        <w:spacing w:after="120" w:line="276" w:lineRule="auto"/>
        <w:jc w:val="both"/>
        <w:rPr>
          <w:rStyle w:val="ms-rtefontface-3"/>
          <w:rFonts w:asciiTheme="majorHAnsi" w:hAnsiTheme="majorHAnsi" w:cstheme="majorHAnsi"/>
          <w:sz w:val="24"/>
          <w:szCs w:val="24"/>
          <w:lang w:val="ro-MD"/>
        </w:rPr>
      </w:pPr>
      <w:r w:rsidRPr="00401691">
        <w:rPr>
          <w:rFonts w:asciiTheme="majorHAnsi" w:hAnsiTheme="majorHAnsi" w:cstheme="majorHAnsi"/>
          <w:sz w:val="24"/>
          <w:szCs w:val="24"/>
          <w:lang w:val="ro-MD"/>
        </w:rPr>
        <w:t>Verificările</w:t>
      </w:r>
      <w:r w:rsidRPr="00401691">
        <w:rPr>
          <w:rFonts w:asciiTheme="majorHAnsi" w:eastAsia="Times New Roman" w:hAnsiTheme="majorHAnsi" w:cstheme="majorHAnsi"/>
          <w:sz w:val="24"/>
          <w:szCs w:val="24"/>
          <w:lang w:val="ro-MD"/>
        </w:rPr>
        <w:t xml:space="preserve"> </w:t>
      </w:r>
      <w:r w:rsidR="00542EDF">
        <w:rPr>
          <w:rFonts w:asciiTheme="majorHAnsi" w:eastAsia="Times New Roman" w:hAnsiTheme="majorHAnsi" w:cstheme="majorHAnsi"/>
          <w:sz w:val="24"/>
          <w:szCs w:val="24"/>
          <w:lang w:val="ro-MD"/>
        </w:rPr>
        <w:t xml:space="preserve">efectuate </w:t>
      </w:r>
      <w:r w:rsidR="00B61E9A">
        <w:rPr>
          <w:rFonts w:asciiTheme="majorHAnsi" w:eastAsia="Times New Roman" w:hAnsiTheme="majorHAnsi" w:cstheme="majorHAnsi"/>
          <w:sz w:val="24"/>
          <w:szCs w:val="24"/>
          <w:lang w:val="ro-MD"/>
        </w:rPr>
        <w:t>la DGA mun. Chișinău</w:t>
      </w:r>
      <w:r w:rsidR="0054050F" w:rsidRPr="00401691">
        <w:rPr>
          <w:rFonts w:asciiTheme="majorHAnsi" w:eastAsia="Times New Roman" w:hAnsiTheme="majorHAnsi" w:cstheme="majorHAnsi"/>
          <w:sz w:val="24"/>
          <w:szCs w:val="24"/>
          <w:lang w:val="ro-MD"/>
        </w:rPr>
        <w:t xml:space="preserve"> </w:t>
      </w:r>
      <w:r w:rsidR="00B61E9A">
        <w:rPr>
          <w:rFonts w:asciiTheme="majorHAnsi" w:eastAsia="Times New Roman" w:hAnsiTheme="majorHAnsi" w:cstheme="majorHAnsi"/>
          <w:sz w:val="24"/>
          <w:szCs w:val="24"/>
          <w:lang w:val="ro-MD"/>
        </w:rPr>
        <w:t>atestă că</w:t>
      </w:r>
      <w:r w:rsidR="00542EDF">
        <w:rPr>
          <w:rFonts w:asciiTheme="majorHAnsi" w:eastAsia="Times New Roman" w:hAnsiTheme="majorHAnsi" w:cstheme="majorHAnsi"/>
          <w:sz w:val="24"/>
          <w:szCs w:val="24"/>
          <w:lang w:val="ro-MD"/>
        </w:rPr>
        <w:t>,</w:t>
      </w:r>
      <w:r w:rsidR="00B61E9A">
        <w:rPr>
          <w:rFonts w:asciiTheme="majorHAnsi" w:eastAsia="Times New Roman" w:hAnsiTheme="majorHAnsi" w:cstheme="majorHAnsi"/>
          <w:sz w:val="24"/>
          <w:szCs w:val="24"/>
          <w:lang w:val="ro-MD"/>
        </w:rPr>
        <w:t xml:space="preserve"> în pofida măsurilor</w:t>
      </w:r>
      <w:r w:rsidRPr="00401691">
        <w:rPr>
          <w:rFonts w:asciiTheme="majorHAnsi" w:eastAsia="Times New Roman" w:hAnsiTheme="majorHAnsi" w:cstheme="majorHAnsi"/>
          <w:sz w:val="24"/>
          <w:szCs w:val="24"/>
          <w:lang w:val="ro-MD"/>
        </w:rPr>
        <w:t xml:space="preserve"> de executare silită aplicate unor contribuabili</w:t>
      </w:r>
      <w:r w:rsidR="00542EDF">
        <w:rPr>
          <w:rFonts w:asciiTheme="majorHAnsi" w:eastAsia="Times New Roman" w:hAnsiTheme="majorHAnsi" w:cstheme="majorHAnsi"/>
          <w:sz w:val="24"/>
          <w:szCs w:val="24"/>
          <w:lang w:val="ro-MD"/>
        </w:rPr>
        <w:t>,</w:t>
      </w:r>
      <w:r w:rsidRPr="00401691">
        <w:rPr>
          <w:rFonts w:asciiTheme="majorHAnsi" w:eastAsia="Times New Roman" w:hAnsiTheme="majorHAnsi" w:cstheme="majorHAnsi"/>
          <w:sz w:val="24"/>
          <w:szCs w:val="24"/>
          <w:lang w:val="ro-MD"/>
        </w:rPr>
        <w:t xml:space="preserve"> </w:t>
      </w:r>
      <w:r w:rsidR="00946C28" w:rsidRPr="00401691">
        <w:rPr>
          <w:rFonts w:asciiTheme="majorHAnsi" w:eastAsia="Times New Roman" w:hAnsiTheme="majorHAnsi" w:cstheme="majorHAnsi"/>
          <w:sz w:val="24"/>
          <w:szCs w:val="24"/>
          <w:lang w:val="ro-MD"/>
        </w:rPr>
        <w:t xml:space="preserve">se menține </w:t>
      </w:r>
      <w:r w:rsidRPr="00401691">
        <w:rPr>
          <w:rFonts w:asciiTheme="majorHAnsi" w:eastAsia="Times New Roman" w:hAnsiTheme="majorHAnsi" w:cstheme="majorHAnsi"/>
          <w:sz w:val="24"/>
          <w:szCs w:val="24"/>
          <w:lang w:val="ro-MD"/>
        </w:rPr>
        <w:t>nivel</w:t>
      </w:r>
      <w:r w:rsidR="00542EDF">
        <w:rPr>
          <w:rFonts w:asciiTheme="majorHAnsi" w:eastAsia="Times New Roman" w:hAnsiTheme="majorHAnsi" w:cstheme="majorHAnsi"/>
          <w:sz w:val="24"/>
          <w:szCs w:val="24"/>
          <w:lang w:val="ro-MD"/>
        </w:rPr>
        <w:t>ul</w:t>
      </w:r>
      <w:r w:rsidRPr="00401691">
        <w:rPr>
          <w:rFonts w:asciiTheme="majorHAnsi" w:eastAsia="Times New Roman" w:hAnsiTheme="majorHAnsi" w:cstheme="majorHAnsi"/>
          <w:sz w:val="24"/>
          <w:szCs w:val="24"/>
          <w:lang w:val="ro-MD"/>
        </w:rPr>
        <w:t xml:space="preserve"> redus de încasare a obligațiilor </w:t>
      </w:r>
      <w:r w:rsidRPr="00401691">
        <w:rPr>
          <w:rFonts w:asciiTheme="majorHAnsi" w:eastAsia="Times New Roman" w:hAnsiTheme="majorHAnsi" w:cstheme="majorHAnsi"/>
          <w:sz w:val="24"/>
          <w:szCs w:val="24"/>
          <w:lang w:val="ro-MD"/>
        </w:rPr>
        <w:lastRenderedPageBreak/>
        <w:t>fiscale</w:t>
      </w:r>
      <w:r w:rsidR="00946C28" w:rsidRPr="00401691">
        <w:rPr>
          <w:rFonts w:asciiTheme="majorHAnsi" w:eastAsia="Times New Roman" w:hAnsiTheme="majorHAnsi" w:cstheme="majorHAnsi"/>
          <w:sz w:val="24"/>
          <w:szCs w:val="24"/>
          <w:lang w:val="ro-MD"/>
        </w:rPr>
        <w:t xml:space="preserve">. Astfel, din </w:t>
      </w:r>
      <w:r w:rsidRPr="00401691">
        <w:rPr>
          <w:rFonts w:asciiTheme="majorHAnsi" w:eastAsia="Times New Roman" w:hAnsiTheme="majorHAnsi" w:cstheme="majorHAnsi"/>
          <w:sz w:val="24"/>
          <w:szCs w:val="24"/>
          <w:lang w:val="ro-MD"/>
        </w:rPr>
        <w:t xml:space="preserve">cei 63 </w:t>
      </w:r>
      <w:r w:rsidR="00542EDF">
        <w:rPr>
          <w:rFonts w:asciiTheme="majorHAnsi" w:eastAsia="Times New Roman" w:hAnsiTheme="majorHAnsi" w:cstheme="majorHAnsi"/>
          <w:sz w:val="24"/>
          <w:szCs w:val="24"/>
          <w:lang w:val="ro-MD"/>
        </w:rPr>
        <w:t xml:space="preserve">de </w:t>
      </w:r>
      <w:r w:rsidRPr="00401691">
        <w:rPr>
          <w:rFonts w:asciiTheme="majorHAnsi" w:eastAsia="Times New Roman" w:hAnsiTheme="majorHAnsi" w:cstheme="majorHAnsi"/>
          <w:sz w:val="24"/>
          <w:szCs w:val="24"/>
          <w:lang w:val="ro-MD"/>
        </w:rPr>
        <w:t>contribuabili verificați, în cazul a 2</w:t>
      </w:r>
      <w:r w:rsidR="00D10882">
        <w:rPr>
          <w:rFonts w:asciiTheme="majorHAnsi" w:eastAsia="Times New Roman" w:hAnsiTheme="majorHAnsi" w:cstheme="majorHAnsi"/>
          <w:sz w:val="24"/>
          <w:szCs w:val="24"/>
          <w:lang w:val="ro-MD"/>
        </w:rPr>
        <w:t>4</w:t>
      </w:r>
      <w:r w:rsidRPr="00401691">
        <w:rPr>
          <w:rFonts w:asciiTheme="majorHAnsi" w:eastAsia="Times New Roman" w:hAnsiTheme="majorHAnsi" w:cstheme="majorHAnsi"/>
          <w:sz w:val="24"/>
          <w:szCs w:val="24"/>
          <w:lang w:val="ro-MD"/>
        </w:rPr>
        <w:t xml:space="preserve"> erau înregistrate datorii istorice în </w:t>
      </w:r>
      <w:r w:rsidR="00542EDF">
        <w:rPr>
          <w:rFonts w:asciiTheme="majorHAnsi" w:eastAsia="Times New Roman" w:hAnsiTheme="majorHAnsi" w:cstheme="majorHAnsi"/>
          <w:sz w:val="24"/>
          <w:szCs w:val="24"/>
          <w:lang w:val="ro-MD"/>
        </w:rPr>
        <w:t>sumă</w:t>
      </w:r>
      <w:r w:rsidRPr="00401691">
        <w:rPr>
          <w:rFonts w:asciiTheme="majorHAnsi" w:eastAsia="Times New Roman" w:hAnsiTheme="majorHAnsi" w:cstheme="majorHAnsi"/>
          <w:sz w:val="24"/>
          <w:szCs w:val="24"/>
          <w:lang w:val="ro-MD"/>
        </w:rPr>
        <w:t xml:space="preserve"> de 82,0 mil</w:t>
      </w:r>
      <w:r w:rsidR="00C21FCE">
        <w:rPr>
          <w:rFonts w:asciiTheme="majorHAnsi" w:eastAsia="Times New Roman" w:hAnsiTheme="majorHAnsi" w:cstheme="majorHAnsi"/>
          <w:sz w:val="24"/>
          <w:szCs w:val="24"/>
          <w:lang w:val="ro-MD"/>
        </w:rPr>
        <w:t>.</w:t>
      </w:r>
      <w:r w:rsidR="00B61E9A">
        <w:rPr>
          <w:rFonts w:asciiTheme="majorHAnsi" w:eastAsia="Times New Roman" w:hAnsiTheme="majorHAnsi" w:cstheme="majorHAnsi"/>
          <w:sz w:val="24"/>
          <w:szCs w:val="24"/>
          <w:lang w:val="ro-MD"/>
        </w:rPr>
        <w:t xml:space="preserve"> lei</w:t>
      </w:r>
      <w:r w:rsidRPr="00401691">
        <w:rPr>
          <w:rFonts w:asciiTheme="majorHAnsi" w:eastAsia="Times New Roman" w:hAnsiTheme="majorHAnsi" w:cstheme="majorHAnsi"/>
          <w:sz w:val="24"/>
          <w:szCs w:val="24"/>
          <w:lang w:val="ro-MD"/>
        </w:rPr>
        <w:t xml:space="preserve"> (62,5 % din valoarea eșantionului), care la finele anului au rămas la același nivel, comparativ cu soldul datoriei la începutul anului. La fel, s-a înregistrat un grad redus de încasare a obligațiilor fiscale curente a</w:t>
      </w:r>
      <w:r w:rsidR="00542EDF">
        <w:rPr>
          <w:rFonts w:asciiTheme="majorHAnsi" w:eastAsia="Times New Roman" w:hAnsiTheme="majorHAnsi" w:cstheme="majorHAnsi"/>
          <w:sz w:val="24"/>
          <w:szCs w:val="24"/>
          <w:lang w:val="ro-MD"/>
        </w:rPr>
        <w:t>le</w:t>
      </w:r>
      <w:r w:rsidRPr="00401691">
        <w:rPr>
          <w:rFonts w:asciiTheme="majorHAnsi" w:eastAsia="Times New Roman" w:hAnsiTheme="majorHAnsi" w:cstheme="majorHAnsi"/>
          <w:sz w:val="24"/>
          <w:szCs w:val="24"/>
          <w:lang w:val="ro-MD"/>
        </w:rPr>
        <w:t xml:space="preserve"> unor contribuabili.</w:t>
      </w:r>
      <w:r w:rsidR="00542EDF">
        <w:rPr>
          <w:rFonts w:asciiTheme="majorHAnsi" w:eastAsia="Times New Roman" w:hAnsiTheme="majorHAnsi" w:cstheme="majorHAnsi"/>
          <w:sz w:val="24"/>
          <w:szCs w:val="24"/>
          <w:lang w:val="ro-MD"/>
        </w:rPr>
        <w:t xml:space="preserve"> </w:t>
      </w:r>
      <w:r w:rsidR="00CD39C3" w:rsidRPr="00401691">
        <w:rPr>
          <w:rStyle w:val="ms-rtefontface-3"/>
          <w:rFonts w:asciiTheme="majorHAnsi" w:hAnsiTheme="majorHAnsi" w:cstheme="majorHAnsi"/>
          <w:sz w:val="24"/>
          <w:szCs w:val="24"/>
          <w:lang w:val="ro-MD"/>
        </w:rPr>
        <w:t xml:space="preserve">Cele </w:t>
      </w:r>
      <w:r w:rsidR="00D13D44" w:rsidRPr="00401691">
        <w:rPr>
          <w:rStyle w:val="ms-rtefontface-3"/>
          <w:rFonts w:asciiTheme="majorHAnsi" w:hAnsiTheme="majorHAnsi" w:cstheme="majorHAnsi"/>
          <w:sz w:val="24"/>
          <w:szCs w:val="24"/>
          <w:lang w:val="ro-MD"/>
        </w:rPr>
        <w:t xml:space="preserve">menționate </w:t>
      </w:r>
      <w:r w:rsidR="00B61E9A">
        <w:rPr>
          <w:rStyle w:val="ms-rtefontface-3"/>
          <w:rFonts w:asciiTheme="majorHAnsi" w:hAnsiTheme="majorHAnsi" w:cstheme="majorHAnsi"/>
          <w:sz w:val="24"/>
          <w:szCs w:val="24"/>
          <w:lang w:val="ro-MD"/>
        </w:rPr>
        <w:t>au fost condiționate</w:t>
      </w:r>
      <w:r w:rsidR="00D13D44" w:rsidRPr="00401691">
        <w:rPr>
          <w:rStyle w:val="ms-rtefontface-3"/>
          <w:rFonts w:asciiTheme="majorHAnsi" w:hAnsiTheme="majorHAnsi" w:cstheme="majorHAnsi"/>
          <w:sz w:val="24"/>
          <w:szCs w:val="24"/>
          <w:lang w:val="ro-MD"/>
        </w:rPr>
        <w:t xml:space="preserve"> </w:t>
      </w:r>
      <w:r w:rsidR="00AD61CC" w:rsidRPr="00401691">
        <w:rPr>
          <w:rStyle w:val="ms-rtefontface-3"/>
          <w:rFonts w:asciiTheme="majorHAnsi" w:hAnsiTheme="majorHAnsi" w:cstheme="majorHAnsi"/>
          <w:sz w:val="24"/>
          <w:szCs w:val="24"/>
          <w:lang w:val="ro-MD"/>
        </w:rPr>
        <w:t xml:space="preserve">atât </w:t>
      </w:r>
      <w:r w:rsidR="00527FB5" w:rsidRPr="00401691">
        <w:rPr>
          <w:rStyle w:val="ms-rtefontface-3"/>
          <w:rFonts w:asciiTheme="majorHAnsi" w:hAnsiTheme="majorHAnsi" w:cstheme="majorHAnsi"/>
          <w:sz w:val="24"/>
          <w:szCs w:val="24"/>
          <w:lang w:val="ro-MD"/>
        </w:rPr>
        <w:t xml:space="preserve">de </w:t>
      </w:r>
      <w:r w:rsidR="00D13D44" w:rsidRPr="00401691">
        <w:rPr>
          <w:rStyle w:val="ms-rtefontface-3"/>
          <w:rFonts w:asciiTheme="majorHAnsi" w:hAnsiTheme="majorHAnsi" w:cstheme="majorHAnsi"/>
          <w:sz w:val="24"/>
          <w:szCs w:val="24"/>
          <w:lang w:val="ro-MD"/>
        </w:rPr>
        <w:t>lip</w:t>
      </w:r>
      <w:r w:rsidR="00B61E9A">
        <w:rPr>
          <w:rStyle w:val="ms-rtefontface-3"/>
          <w:rFonts w:asciiTheme="majorHAnsi" w:hAnsiTheme="majorHAnsi" w:cstheme="majorHAnsi"/>
          <w:sz w:val="24"/>
          <w:szCs w:val="24"/>
          <w:lang w:val="ro-MD"/>
        </w:rPr>
        <w:t>sa</w:t>
      </w:r>
      <w:r w:rsidR="00D13D44" w:rsidRPr="00401691">
        <w:rPr>
          <w:rStyle w:val="ms-rtefontface-3"/>
          <w:rFonts w:asciiTheme="majorHAnsi" w:hAnsiTheme="majorHAnsi" w:cstheme="majorHAnsi"/>
          <w:sz w:val="24"/>
          <w:szCs w:val="24"/>
          <w:lang w:val="ro-MD"/>
        </w:rPr>
        <w:t xml:space="preserve"> </w:t>
      </w:r>
      <w:r w:rsidR="00AD61CC" w:rsidRPr="00401691">
        <w:rPr>
          <w:rStyle w:val="ms-rtefontface-3"/>
          <w:rFonts w:asciiTheme="majorHAnsi" w:hAnsiTheme="majorHAnsi" w:cstheme="majorHAnsi"/>
          <w:sz w:val="24"/>
          <w:szCs w:val="24"/>
          <w:lang w:val="ro-MD"/>
        </w:rPr>
        <w:t>bunurilor</w:t>
      </w:r>
      <w:r w:rsidR="00527FB5" w:rsidRPr="00401691">
        <w:rPr>
          <w:rStyle w:val="ms-rtefontface-3"/>
          <w:rFonts w:asciiTheme="majorHAnsi" w:hAnsiTheme="majorHAnsi" w:cstheme="majorHAnsi"/>
          <w:sz w:val="24"/>
          <w:szCs w:val="24"/>
          <w:lang w:val="ro-MD"/>
        </w:rPr>
        <w:t xml:space="preserve"> deținut</w:t>
      </w:r>
      <w:r w:rsidR="00B61E9A">
        <w:rPr>
          <w:rStyle w:val="ms-rtefontface-3"/>
          <w:rFonts w:asciiTheme="majorHAnsi" w:hAnsiTheme="majorHAnsi" w:cstheme="majorHAnsi"/>
          <w:sz w:val="24"/>
          <w:szCs w:val="24"/>
          <w:lang w:val="ro-MD"/>
        </w:rPr>
        <w:t>e de contribuabilii restanțieri</w:t>
      </w:r>
      <w:r w:rsidR="00527FB5" w:rsidRPr="00401691">
        <w:rPr>
          <w:rStyle w:val="ms-rtefontface-3"/>
          <w:rFonts w:asciiTheme="majorHAnsi" w:hAnsiTheme="majorHAnsi" w:cstheme="majorHAnsi"/>
          <w:sz w:val="24"/>
          <w:szCs w:val="24"/>
          <w:lang w:val="ro-MD"/>
        </w:rPr>
        <w:t xml:space="preserve"> pasibile executării </w:t>
      </w:r>
      <w:r w:rsidR="00AD61CC" w:rsidRPr="00401691">
        <w:rPr>
          <w:rStyle w:val="ms-rtefontface-3"/>
          <w:rFonts w:asciiTheme="majorHAnsi" w:hAnsiTheme="majorHAnsi" w:cstheme="majorHAnsi"/>
          <w:sz w:val="24"/>
          <w:szCs w:val="24"/>
          <w:lang w:val="ro-MD"/>
        </w:rPr>
        <w:t>silite</w:t>
      </w:r>
      <w:r w:rsidR="00527FB5" w:rsidRPr="00401691">
        <w:rPr>
          <w:rStyle w:val="ms-rtefontface-3"/>
          <w:rFonts w:asciiTheme="majorHAnsi" w:hAnsiTheme="majorHAnsi" w:cstheme="majorHAnsi"/>
          <w:sz w:val="24"/>
          <w:szCs w:val="24"/>
          <w:lang w:val="ro-MD"/>
        </w:rPr>
        <w:t xml:space="preserve">, </w:t>
      </w:r>
      <w:r w:rsidR="007244EF" w:rsidRPr="00401691">
        <w:rPr>
          <w:rStyle w:val="ms-rtefontface-3"/>
          <w:rFonts w:asciiTheme="majorHAnsi" w:hAnsiTheme="majorHAnsi" w:cstheme="majorHAnsi"/>
          <w:sz w:val="24"/>
          <w:szCs w:val="24"/>
          <w:lang w:val="ro-MD"/>
        </w:rPr>
        <w:t xml:space="preserve">neaplicarea tuturor instrumentelor de executare silită a datoriilor la buget, </w:t>
      </w:r>
      <w:r w:rsidR="00B61E9A">
        <w:rPr>
          <w:rStyle w:val="ms-rtefontface-3"/>
          <w:rFonts w:asciiTheme="majorHAnsi" w:hAnsiTheme="majorHAnsi" w:cstheme="majorHAnsi"/>
          <w:sz w:val="24"/>
          <w:szCs w:val="24"/>
          <w:lang w:val="ro-MD"/>
        </w:rPr>
        <w:t>cât și</w:t>
      </w:r>
      <w:r w:rsidR="00CD39C3" w:rsidRPr="00401691">
        <w:rPr>
          <w:rStyle w:val="ms-rtefontface-3"/>
          <w:rFonts w:asciiTheme="majorHAnsi" w:hAnsiTheme="majorHAnsi" w:cstheme="majorHAnsi"/>
          <w:sz w:val="24"/>
          <w:szCs w:val="24"/>
          <w:lang w:val="ro-MD"/>
        </w:rPr>
        <w:t xml:space="preserve"> </w:t>
      </w:r>
      <w:r w:rsidR="0012399F">
        <w:rPr>
          <w:rStyle w:val="ms-rtefontface-3"/>
          <w:rFonts w:asciiTheme="majorHAnsi" w:hAnsiTheme="majorHAnsi" w:cstheme="majorHAnsi"/>
          <w:sz w:val="24"/>
          <w:szCs w:val="24"/>
          <w:lang w:val="ro-MD"/>
        </w:rPr>
        <w:t xml:space="preserve">de </w:t>
      </w:r>
      <w:r w:rsidR="00CD39C3" w:rsidRPr="00401691">
        <w:rPr>
          <w:rStyle w:val="ms-rtefontface-3"/>
          <w:rFonts w:asciiTheme="majorHAnsi" w:hAnsiTheme="majorHAnsi" w:cstheme="majorHAnsi"/>
          <w:sz w:val="24"/>
          <w:szCs w:val="24"/>
          <w:lang w:val="ro-MD"/>
        </w:rPr>
        <w:t xml:space="preserve">prezența </w:t>
      </w:r>
      <w:r w:rsidR="00B61E9A">
        <w:rPr>
          <w:rStyle w:val="ms-rtefontface-3"/>
          <w:rFonts w:asciiTheme="majorHAnsi" w:hAnsiTheme="majorHAnsi" w:cstheme="majorHAnsi"/>
          <w:sz w:val="24"/>
          <w:szCs w:val="24"/>
          <w:lang w:val="ro-MD"/>
        </w:rPr>
        <w:t>unor impedimente de ordin</w:t>
      </w:r>
      <w:r w:rsidR="00527FB5" w:rsidRPr="00401691">
        <w:rPr>
          <w:rStyle w:val="ms-rtefontface-3"/>
          <w:rFonts w:asciiTheme="majorHAnsi" w:hAnsiTheme="majorHAnsi" w:cstheme="majorHAnsi"/>
          <w:sz w:val="24"/>
          <w:szCs w:val="24"/>
          <w:lang w:val="ro-MD"/>
        </w:rPr>
        <w:t xml:space="preserve"> legislativ</w:t>
      </w:r>
      <w:r w:rsidR="00CD39C3" w:rsidRPr="00401691">
        <w:rPr>
          <w:rStyle w:val="ms-rtefontface-3"/>
          <w:rFonts w:asciiTheme="majorHAnsi" w:hAnsiTheme="majorHAnsi" w:cstheme="majorHAnsi"/>
          <w:sz w:val="24"/>
          <w:szCs w:val="24"/>
          <w:lang w:val="ro-MD"/>
        </w:rPr>
        <w:t>.</w:t>
      </w:r>
      <w:r w:rsidR="00527FB5" w:rsidRPr="00401691">
        <w:rPr>
          <w:rStyle w:val="ms-rtefontface-3"/>
          <w:rFonts w:asciiTheme="majorHAnsi" w:hAnsiTheme="majorHAnsi" w:cstheme="majorHAnsi"/>
          <w:sz w:val="24"/>
          <w:szCs w:val="24"/>
          <w:lang w:val="ro-MD"/>
        </w:rPr>
        <w:t xml:space="preserve"> </w:t>
      </w:r>
    </w:p>
    <w:p w:rsidR="0054050F" w:rsidRPr="0049323A" w:rsidRDefault="00542EDF" w:rsidP="00844145">
      <w:pPr>
        <w:pStyle w:val="Heading3"/>
        <w:numPr>
          <w:ilvl w:val="1"/>
          <w:numId w:val="35"/>
        </w:numPr>
        <w:spacing w:before="240" w:after="120" w:line="276" w:lineRule="auto"/>
        <w:jc w:val="both"/>
        <w:rPr>
          <w:b/>
        </w:rPr>
      </w:pPr>
      <w:bookmarkStart w:id="19" w:name="_Toc48732731"/>
      <w:r>
        <w:rPr>
          <w:b/>
        </w:rPr>
        <w:t xml:space="preserve">. </w:t>
      </w:r>
      <w:r w:rsidR="00510F9D">
        <w:rPr>
          <w:b/>
        </w:rPr>
        <w:t xml:space="preserve">Neconcordanța cadrului legal </w:t>
      </w:r>
      <w:r w:rsidR="0054050F" w:rsidRPr="0049323A">
        <w:rPr>
          <w:b/>
        </w:rPr>
        <w:t>afectează procesul de executare silită a obligației fiscale</w:t>
      </w:r>
      <w:bookmarkEnd w:id="19"/>
      <w:r w:rsidR="0012399F">
        <w:rPr>
          <w:b/>
        </w:rPr>
        <w:t>.</w:t>
      </w:r>
      <w:r w:rsidR="0054050F" w:rsidRPr="0049323A">
        <w:rPr>
          <w:b/>
        </w:rPr>
        <w:t xml:space="preserve"> </w:t>
      </w:r>
    </w:p>
    <w:p w:rsidR="007C2664" w:rsidRPr="00401691" w:rsidRDefault="007244EF" w:rsidP="00844145">
      <w:pPr>
        <w:pStyle w:val="ListParagraph"/>
        <w:numPr>
          <w:ilvl w:val="0"/>
          <w:numId w:val="11"/>
        </w:numPr>
        <w:tabs>
          <w:tab w:val="left" w:pos="0"/>
          <w:tab w:val="left" w:pos="180"/>
          <w:tab w:val="left" w:pos="270"/>
        </w:tabs>
        <w:spacing w:after="120" w:line="276" w:lineRule="auto"/>
        <w:jc w:val="both"/>
        <w:rPr>
          <w:rFonts w:asciiTheme="majorHAnsi" w:hAnsiTheme="majorHAnsi" w:cstheme="majorHAnsi"/>
          <w:sz w:val="24"/>
          <w:szCs w:val="24"/>
          <w:lang w:val="ro-MD"/>
        </w:rPr>
      </w:pPr>
      <w:r w:rsidRPr="00401691">
        <w:rPr>
          <w:rFonts w:asciiTheme="majorHAnsi" w:hAnsiTheme="majorHAnsi" w:cstheme="majorHAnsi"/>
          <w:i/>
          <w:sz w:val="24"/>
          <w:szCs w:val="24"/>
          <w:lang w:val="ro-MD"/>
        </w:rPr>
        <w:t>Impedimente p</w:t>
      </w:r>
      <w:r w:rsidR="007C2664" w:rsidRPr="00401691">
        <w:rPr>
          <w:rFonts w:asciiTheme="majorHAnsi" w:hAnsiTheme="majorHAnsi" w:cstheme="majorHAnsi"/>
          <w:i/>
          <w:sz w:val="24"/>
          <w:szCs w:val="24"/>
          <w:lang w:val="ro-MD"/>
        </w:rPr>
        <w:t>rivind comercializarea bunurilor sechestrate</w:t>
      </w:r>
    </w:p>
    <w:p w:rsidR="007C2664" w:rsidRPr="00401691" w:rsidRDefault="007C2664" w:rsidP="00844145">
      <w:pPr>
        <w:spacing w:line="276" w:lineRule="auto"/>
        <w:jc w:val="both"/>
        <w:rPr>
          <w:rFonts w:asciiTheme="majorHAnsi" w:hAnsiTheme="majorHAnsi" w:cstheme="majorHAnsi"/>
          <w:sz w:val="24"/>
          <w:szCs w:val="24"/>
          <w:lang w:val="ro-MD"/>
        </w:rPr>
      </w:pPr>
      <w:r w:rsidRPr="00401691">
        <w:rPr>
          <w:rFonts w:asciiTheme="majorHAnsi" w:hAnsiTheme="majorHAnsi" w:cstheme="majorHAnsi"/>
          <w:sz w:val="24"/>
          <w:szCs w:val="24"/>
          <w:lang w:val="ro-MD"/>
        </w:rPr>
        <w:t xml:space="preserve">În temeiul </w:t>
      </w:r>
      <w:r w:rsidR="00527FB5" w:rsidRPr="00401691">
        <w:rPr>
          <w:rFonts w:asciiTheme="majorHAnsi" w:hAnsiTheme="majorHAnsi" w:cstheme="majorHAnsi"/>
          <w:sz w:val="24"/>
          <w:szCs w:val="24"/>
          <w:lang w:val="ro-MD"/>
        </w:rPr>
        <w:t>documentelor executorii emise de SFS</w:t>
      </w:r>
      <w:r w:rsidRPr="00401691">
        <w:rPr>
          <w:rFonts w:asciiTheme="majorHAnsi" w:hAnsiTheme="majorHAnsi" w:cstheme="majorHAnsi"/>
          <w:sz w:val="24"/>
          <w:szCs w:val="24"/>
          <w:lang w:val="ro-MD"/>
        </w:rPr>
        <w:t>, sunt pasibile de sechestrare toate bunurile proprietate a contribuabilului, indiferent de locul aflării lor, cu excepția</w:t>
      </w:r>
      <w:r w:rsidR="00B61E9A">
        <w:rPr>
          <w:rFonts w:asciiTheme="majorHAnsi" w:hAnsiTheme="majorHAnsi" w:cstheme="majorHAnsi"/>
          <w:sz w:val="24"/>
          <w:szCs w:val="24"/>
          <w:lang w:val="ro-MD"/>
        </w:rPr>
        <w:t xml:space="preserve"> celor care, în conformitate cu</w:t>
      </w:r>
      <w:r w:rsidRPr="00401691">
        <w:rPr>
          <w:rFonts w:asciiTheme="majorHAnsi" w:hAnsiTheme="majorHAnsi" w:cstheme="majorHAnsi"/>
          <w:sz w:val="24"/>
          <w:szCs w:val="24"/>
          <w:lang w:val="ro-MD"/>
        </w:rPr>
        <w:t xml:space="preserve"> prevederile legale, nu </w:t>
      </w:r>
      <w:r w:rsidR="001F52B6" w:rsidRPr="00401691">
        <w:rPr>
          <w:rFonts w:asciiTheme="majorHAnsi" w:hAnsiTheme="majorHAnsi" w:cstheme="majorHAnsi"/>
          <w:sz w:val="24"/>
          <w:szCs w:val="24"/>
          <w:lang w:val="ro-MD"/>
        </w:rPr>
        <w:t>sunt</w:t>
      </w:r>
      <w:r w:rsidRPr="00401691">
        <w:rPr>
          <w:rFonts w:asciiTheme="majorHAnsi" w:hAnsiTheme="majorHAnsi" w:cstheme="majorHAnsi"/>
          <w:sz w:val="24"/>
          <w:szCs w:val="24"/>
          <w:lang w:val="ro-MD"/>
        </w:rPr>
        <w:t xml:space="preserve"> </w:t>
      </w:r>
      <w:proofErr w:type="spellStart"/>
      <w:r w:rsidRPr="00401691">
        <w:rPr>
          <w:rFonts w:asciiTheme="majorHAnsi" w:hAnsiTheme="majorHAnsi" w:cstheme="majorHAnsi"/>
          <w:sz w:val="24"/>
          <w:szCs w:val="24"/>
          <w:lang w:val="ro-MD"/>
        </w:rPr>
        <w:t>sechestrabile</w:t>
      </w:r>
      <w:proofErr w:type="spellEnd"/>
      <w:r w:rsidRPr="00401691">
        <w:rPr>
          <w:rFonts w:asciiTheme="majorHAnsi" w:hAnsiTheme="majorHAnsi" w:cstheme="majorHAnsi"/>
          <w:sz w:val="24"/>
          <w:szCs w:val="24"/>
          <w:lang w:val="ro-MD"/>
        </w:rPr>
        <w:t xml:space="preserve">. </w:t>
      </w:r>
    </w:p>
    <w:p w:rsidR="00527FB5" w:rsidRPr="00401691" w:rsidRDefault="007C2664" w:rsidP="00844145">
      <w:pPr>
        <w:spacing w:line="276" w:lineRule="auto"/>
        <w:jc w:val="both"/>
        <w:rPr>
          <w:rFonts w:asciiTheme="majorHAnsi" w:hAnsiTheme="majorHAnsi" w:cstheme="majorHAnsi"/>
          <w:sz w:val="24"/>
          <w:szCs w:val="24"/>
          <w:lang w:val="ro-MD"/>
        </w:rPr>
      </w:pPr>
      <w:r w:rsidRPr="00401691">
        <w:rPr>
          <w:rFonts w:asciiTheme="majorHAnsi" w:hAnsiTheme="majorHAnsi" w:cstheme="majorHAnsi"/>
          <w:sz w:val="24"/>
          <w:szCs w:val="24"/>
          <w:lang w:val="ro-MD"/>
        </w:rPr>
        <w:t>Potrivit datelor raportate de SFS</w:t>
      </w:r>
      <w:r w:rsidRPr="00401691">
        <w:rPr>
          <w:rStyle w:val="FootnoteReference"/>
          <w:rFonts w:asciiTheme="majorHAnsi" w:hAnsiTheme="majorHAnsi" w:cstheme="majorHAnsi"/>
          <w:sz w:val="24"/>
          <w:szCs w:val="24"/>
          <w:lang w:val="ro-MD"/>
        </w:rPr>
        <w:footnoteReference w:id="35"/>
      </w:r>
      <w:r w:rsidR="00B61E9A">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pe parcursul anului 2</w:t>
      </w:r>
      <w:r w:rsidR="00B61E9A">
        <w:rPr>
          <w:rFonts w:asciiTheme="majorHAnsi" w:hAnsiTheme="majorHAnsi" w:cstheme="majorHAnsi"/>
          <w:sz w:val="24"/>
          <w:szCs w:val="24"/>
          <w:lang w:val="ro-MD"/>
        </w:rPr>
        <w:t>019, DGA a sechestrat bunuri în</w:t>
      </w:r>
      <w:r w:rsidRPr="00401691">
        <w:rPr>
          <w:rFonts w:asciiTheme="majorHAnsi" w:hAnsiTheme="majorHAnsi" w:cstheme="majorHAnsi"/>
          <w:sz w:val="24"/>
          <w:szCs w:val="24"/>
          <w:lang w:val="ro-MD"/>
        </w:rPr>
        <w:t xml:space="preserve"> valoare de 92,3 mil</w:t>
      </w:r>
      <w:r w:rsidR="0012399F">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lei. Per total, la situația din 31.12.2019, soldul bunurilor seche</w:t>
      </w:r>
      <w:r w:rsidR="00B61E9A">
        <w:rPr>
          <w:rFonts w:asciiTheme="majorHAnsi" w:hAnsiTheme="majorHAnsi" w:cstheme="majorHAnsi"/>
          <w:sz w:val="24"/>
          <w:szCs w:val="24"/>
          <w:lang w:val="ro-MD"/>
        </w:rPr>
        <w:t>strate de SFS a constituit</w:t>
      </w:r>
      <w:r w:rsidRPr="00401691">
        <w:rPr>
          <w:rFonts w:asciiTheme="majorHAnsi" w:hAnsiTheme="majorHAnsi" w:cstheme="majorHAnsi"/>
          <w:sz w:val="24"/>
          <w:szCs w:val="24"/>
          <w:lang w:val="ro-MD"/>
        </w:rPr>
        <w:t xml:space="preserve"> 114,5 mil</w:t>
      </w:r>
      <w:r w:rsidR="0012399F">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w:t>
      </w:r>
      <w:r w:rsidR="00226053">
        <w:rPr>
          <w:rFonts w:asciiTheme="majorHAnsi" w:hAnsiTheme="majorHAnsi" w:cstheme="majorHAnsi"/>
          <w:sz w:val="24"/>
          <w:szCs w:val="24"/>
          <w:lang w:val="ro-MD"/>
        </w:rPr>
        <w:t xml:space="preserve">lei. </w:t>
      </w:r>
      <w:r w:rsidR="00B61E9A">
        <w:rPr>
          <w:rFonts w:asciiTheme="majorHAnsi" w:hAnsiTheme="majorHAnsi" w:cstheme="majorHAnsi"/>
          <w:sz w:val="24"/>
          <w:szCs w:val="24"/>
          <w:lang w:val="ro-MD"/>
        </w:rPr>
        <w:t xml:space="preserve">Concomitent, în anul 2019, </w:t>
      </w:r>
      <w:r w:rsidRPr="00401691">
        <w:rPr>
          <w:rFonts w:asciiTheme="majorHAnsi" w:hAnsiTheme="majorHAnsi" w:cstheme="majorHAnsi"/>
          <w:sz w:val="24"/>
          <w:szCs w:val="24"/>
          <w:lang w:val="ro-MD"/>
        </w:rPr>
        <w:t xml:space="preserve">contribuabilii restanțieri și-au comercializat </w:t>
      </w:r>
      <w:r w:rsidRPr="00401691">
        <w:rPr>
          <w:rFonts w:asciiTheme="majorHAnsi" w:hAnsiTheme="majorHAnsi" w:cstheme="majorHAnsi"/>
          <w:sz w:val="24"/>
          <w:szCs w:val="24"/>
          <w:lang w:val="ro-MD"/>
        </w:rPr>
        <w:lastRenderedPageBreak/>
        <w:t xml:space="preserve">bunurile sechestrate și au achitat la buget restanțe în </w:t>
      </w:r>
      <w:r w:rsidR="0012399F">
        <w:rPr>
          <w:rFonts w:asciiTheme="majorHAnsi" w:hAnsiTheme="majorHAnsi" w:cstheme="majorHAnsi"/>
          <w:sz w:val="24"/>
          <w:szCs w:val="24"/>
          <w:lang w:val="ro-MD"/>
        </w:rPr>
        <w:t>sumă</w:t>
      </w:r>
      <w:r w:rsidRPr="00401691">
        <w:rPr>
          <w:rFonts w:asciiTheme="majorHAnsi" w:hAnsiTheme="majorHAnsi" w:cstheme="majorHAnsi"/>
          <w:sz w:val="24"/>
          <w:szCs w:val="24"/>
          <w:lang w:val="ro-MD"/>
        </w:rPr>
        <w:t xml:space="preserve"> de 1,1 mil</w:t>
      </w:r>
      <w:r w:rsidR="0012399F">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lei, ce constituie 1,0 % din valoarea bunurilor aflate sub sechestru. Cele menționate denotă că, deși SFS sechestrează bunurile contribuabililor restanțieri, acest proces nu are finalitate și nu este eficient din punct</w:t>
      </w:r>
      <w:r w:rsidR="0012399F">
        <w:rPr>
          <w:rFonts w:asciiTheme="majorHAnsi" w:hAnsiTheme="majorHAnsi" w:cstheme="majorHAnsi"/>
          <w:sz w:val="24"/>
          <w:szCs w:val="24"/>
          <w:lang w:val="ro-MD"/>
        </w:rPr>
        <w:t>ul</w:t>
      </w:r>
      <w:r w:rsidRPr="00401691">
        <w:rPr>
          <w:rFonts w:asciiTheme="majorHAnsi" w:hAnsiTheme="majorHAnsi" w:cstheme="majorHAnsi"/>
          <w:sz w:val="24"/>
          <w:szCs w:val="24"/>
          <w:lang w:val="ro-MD"/>
        </w:rPr>
        <w:t xml:space="preserve"> de vedere a</w:t>
      </w:r>
      <w:r w:rsidR="0012399F">
        <w:rPr>
          <w:rFonts w:asciiTheme="majorHAnsi" w:hAnsiTheme="majorHAnsi" w:cstheme="majorHAnsi"/>
          <w:sz w:val="24"/>
          <w:szCs w:val="24"/>
          <w:lang w:val="ro-MD"/>
        </w:rPr>
        <w:t>l</w:t>
      </w:r>
      <w:r w:rsidR="00226053">
        <w:rPr>
          <w:rFonts w:asciiTheme="majorHAnsi" w:hAnsiTheme="majorHAnsi" w:cstheme="majorHAnsi"/>
          <w:sz w:val="24"/>
          <w:szCs w:val="24"/>
          <w:lang w:val="ro-MD"/>
        </w:rPr>
        <w:t xml:space="preserve"> încasării datoriilor în buget.</w:t>
      </w:r>
    </w:p>
    <w:p w:rsidR="007C2664" w:rsidRPr="00401691" w:rsidRDefault="007C2664" w:rsidP="00844145">
      <w:pPr>
        <w:spacing w:line="276" w:lineRule="auto"/>
        <w:jc w:val="both"/>
        <w:rPr>
          <w:rFonts w:asciiTheme="majorHAnsi" w:hAnsiTheme="majorHAnsi" w:cstheme="majorHAnsi"/>
          <w:sz w:val="24"/>
          <w:szCs w:val="24"/>
          <w:lang w:val="ro-MD"/>
        </w:rPr>
      </w:pPr>
      <w:r w:rsidRPr="00401691">
        <w:rPr>
          <w:rStyle w:val="ms-rtefontface-3"/>
          <w:rFonts w:asciiTheme="majorHAnsi" w:hAnsiTheme="majorHAnsi" w:cstheme="majorHAnsi"/>
          <w:sz w:val="24"/>
          <w:szCs w:val="24"/>
          <w:lang w:val="ro-MD"/>
        </w:rPr>
        <w:t>Potrivit Legii nr.178 din 26.07.2018 cu privire la modificarea unor acte legislative</w:t>
      </w:r>
      <w:r w:rsidR="0012399F">
        <w:rPr>
          <w:rStyle w:val="ms-rtefontface-3"/>
          <w:rFonts w:asciiTheme="majorHAnsi" w:hAnsiTheme="majorHAnsi" w:cstheme="majorHAnsi"/>
          <w:sz w:val="24"/>
          <w:szCs w:val="24"/>
          <w:lang w:val="ro-MD"/>
        </w:rPr>
        <w:t>,</w:t>
      </w:r>
      <w:r w:rsidRPr="00401691">
        <w:rPr>
          <w:rStyle w:val="ms-rtefontface-3"/>
          <w:rFonts w:asciiTheme="majorHAnsi" w:hAnsiTheme="majorHAnsi" w:cstheme="majorHAnsi"/>
          <w:sz w:val="24"/>
          <w:szCs w:val="24"/>
          <w:lang w:val="ro-MD"/>
        </w:rPr>
        <w:t xml:space="preserve"> au fost operate modificări în art.203 din C</w:t>
      </w:r>
      <w:r w:rsidR="0012399F">
        <w:rPr>
          <w:rStyle w:val="ms-rtefontface-3"/>
          <w:rFonts w:asciiTheme="majorHAnsi" w:hAnsiTheme="majorHAnsi" w:cstheme="majorHAnsi"/>
          <w:sz w:val="24"/>
          <w:szCs w:val="24"/>
          <w:lang w:val="ro-MD"/>
        </w:rPr>
        <w:t>odul fiscal</w:t>
      </w:r>
      <w:r w:rsidRPr="00401691">
        <w:rPr>
          <w:rStyle w:val="ms-rtefontface-3"/>
          <w:rFonts w:asciiTheme="majorHAnsi" w:hAnsiTheme="majorHAnsi" w:cstheme="majorHAnsi"/>
          <w:sz w:val="24"/>
          <w:szCs w:val="24"/>
          <w:lang w:val="ro-MD"/>
        </w:rPr>
        <w:t>, p</w:t>
      </w:r>
      <w:r w:rsidR="0012399F">
        <w:rPr>
          <w:rStyle w:val="ms-rtefontface-3"/>
          <w:rFonts w:asciiTheme="majorHAnsi" w:hAnsiTheme="majorHAnsi" w:cstheme="majorHAnsi"/>
          <w:sz w:val="24"/>
          <w:szCs w:val="24"/>
          <w:lang w:val="ro-MD"/>
        </w:rPr>
        <w:t>otrivit cărora,</w:t>
      </w:r>
      <w:r w:rsidRPr="00401691">
        <w:rPr>
          <w:rStyle w:val="ms-rtefontface-3"/>
          <w:rFonts w:asciiTheme="majorHAnsi" w:hAnsiTheme="majorHAnsi" w:cstheme="majorHAnsi"/>
          <w:sz w:val="24"/>
          <w:szCs w:val="24"/>
          <w:lang w:val="ro-MD"/>
        </w:rPr>
        <w:t xml:space="preserve"> </w:t>
      </w:r>
      <w:r w:rsidRPr="00401691">
        <w:rPr>
          <w:rFonts w:asciiTheme="majorHAnsi" w:hAnsiTheme="majorHAnsi" w:cstheme="majorHAnsi"/>
          <w:sz w:val="24"/>
          <w:szCs w:val="24"/>
          <w:lang w:val="ro-MD"/>
        </w:rPr>
        <w:t>comercializarea bunurilor sechestrate ale contribuabi</w:t>
      </w:r>
      <w:r w:rsidR="00B61E9A">
        <w:rPr>
          <w:rFonts w:asciiTheme="majorHAnsi" w:hAnsiTheme="majorHAnsi" w:cstheme="majorHAnsi"/>
          <w:sz w:val="24"/>
          <w:szCs w:val="24"/>
          <w:lang w:val="ro-MD"/>
        </w:rPr>
        <w:t>lului, după evaluarea acestora,</w:t>
      </w:r>
      <w:r w:rsidRPr="00401691">
        <w:rPr>
          <w:rFonts w:asciiTheme="majorHAnsi" w:hAnsiTheme="majorHAnsi" w:cstheme="majorHAnsi"/>
          <w:sz w:val="24"/>
          <w:szCs w:val="24"/>
          <w:lang w:val="ro-MD"/>
        </w:rPr>
        <w:t xml:space="preserve"> se efectuează de către contribuabilul restanțier, coordonând acțiunea cu SFS și primind acceptul acestuia.</w:t>
      </w:r>
      <w:r w:rsidRPr="00401691">
        <w:rPr>
          <w:rStyle w:val="ms-rtefontface-3"/>
          <w:rFonts w:asciiTheme="majorHAnsi" w:hAnsiTheme="majorHAnsi" w:cstheme="majorHAnsi"/>
          <w:sz w:val="24"/>
          <w:szCs w:val="24"/>
          <w:lang w:val="ro-MD"/>
        </w:rPr>
        <w:t xml:space="preserve"> </w:t>
      </w:r>
    </w:p>
    <w:p w:rsidR="007C2664" w:rsidRPr="00401691" w:rsidRDefault="007C2664" w:rsidP="00844145">
      <w:pPr>
        <w:spacing w:line="276" w:lineRule="auto"/>
        <w:jc w:val="both"/>
        <w:rPr>
          <w:rFonts w:asciiTheme="majorHAnsi" w:hAnsiTheme="majorHAnsi" w:cstheme="majorHAnsi"/>
          <w:sz w:val="24"/>
          <w:szCs w:val="24"/>
          <w:lang w:val="ro-MD"/>
        </w:rPr>
      </w:pPr>
      <w:r w:rsidRPr="00401691">
        <w:rPr>
          <w:rFonts w:asciiTheme="majorHAnsi" w:hAnsiTheme="majorHAnsi" w:cstheme="majorHAnsi"/>
          <w:sz w:val="24"/>
          <w:szCs w:val="24"/>
          <w:lang w:val="ro-MD"/>
        </w:rPr>
        <w:t xml:space="preserve">Auditul </w:t>
      </w:r>
      <w:r w:rsidR="0012399F">
        <w:rPr>
          <w:rFonts w:asciiTheme="majorHAnsi" w:hAnsiTheme="majorHAnsi" w:cstheme="majorHAnsi"/>
          <w:sz w:val="24"/>
          <w:szCs w:val="24"/>
          <w:lang w:val="ro-MD"/>
        </w:rPr>
        <w:t xml:space="preserve">a </w:t>
      </w:r>
      <w:r w:rsidRPr="00401691">
        <w:rPr>
          <w:rFonts w:asciiTheme="majorHAnsi" w:hAnsiTheme="majorHAnsi" w:cstheme="majorHAnsi"/>
          <w:sz w:val="24"/>
          <w:szCs w:val="24"/>
          <w:lang w:val="ro-MD"/>
        </w:rPr>
        <w:t>constatat că modificările normei legale</w:t>
      </w:r>
      <w:r w:rsidR="0012399F">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operate în anul 2018, nu conțin măsuri comprehensive și definitorii c</w:t>
      </w:r>
      <w:r w:rsidR="0012399F">
        <w:rPr>
          <w:rFonts w:asciiTheme="majorHAnsi" w:hAnsiTheme="majorHAnsi" w:cstheme="majorHAnsi"/>
          <w:sz w:val="24"/>
          <w:szCs w:val="24"/>
          <w:lang w:val="ro-MD"/>
        </w:rPr>
        <w:t>ar</w:t>
      </w:r>
      <w:r w:rsidRPr="00401691">
        <w:rPr>
          <w:rFonts w:asciiTheme="majorHAnsi" w:hAnsiTheme="majorHAnsi" w:cstheme="majorHAnsi"/>
          <w:sz w:val="24"/>
          <w:szCs w:val="24"/>
          <w:lang w:val="ro-MD"/>
        </w:rPr>
        <w:t>e ar asigura comercializarea bunurilor sechestrate și stingerea restanțelor contribuabililor, din următoarele motive:</w:t>
      </w:r>
    </w:p>
    <w:p w:rsidR="007C2664" w:rsidRPr="00401691" w:rsidRDefault="007C2664" w:rsidP="00844145">
      <w:pPr>
        <w:pStyle w:val="ListParagraph"/>
        <w:numPr>
          <w:ilvl w:val="0"/>
          <w:numId w:val="3"/>
        </w:numPr>
        <w:spacing w:after="200" w:line="276" w:lineRule="auto"/>
        <w:jc w:val="both"/>
        <w:rPr>
          <w:rStyle w:val="ms-rtefontface-3"/>
          <w:rFonts w:asciiTheme="majorHAnsi" w:hAnsiTheme="majorHAnsi" w:cstheme="majorHAnsi"/>
          <w:sz w:val="24"/>
          <w:szCs w:val="24"/>
          <w:lang w:val="ro-MD"/>
        </w:rPr>
      </w:pPr>
      <w:r w:rsidRPr="00401691">
        <w:rPr>
          <w:rStyle w:val="ms-rtefontface-3"/>
          <w:rFonts w:asciiTheme="majorHAnsi" w:hAnsiTheme="majorHAnsi" w:cstheme="majorHAnsi"/>
          <w:sz w:val="24"/>
          <w:szCs w:val="24"/>
          <w:lang w:val="ro-MD"/>
        </w:rPr>
        <w:t>nereglementarea termenelor în care contribuabilul este obligat să-și comercializeze bunurile sechestrate;</w:t>
      </w:r>
    </w:p>
    <w:p w:rsidR="007C2664" w:rsidRPr="00401691" w:rsidRDefault="007C2664" w:rsidP="00844145">
      <w:pPr>
        <w:pStyle w:val="ListParagraph"/>
        <w:numPr>
          <w:ilvl w:val="0"/>
          <w:numId w:val="3"/>
        </w:numPr>
        <w:spacing w:after="200" w:line="276" w:lineRule="auto"/>
        <w:jc w:val="both"/>
        <w:rPr>
          <w:rStyle w:val="ms-rtefontface-3"/>
          <w:rFonts w:asciiTheme="majorHAnsi" w:hAnsiTheme="majorHAnsi" w:cstheme="majorHAnsi"/>
          <w:sz w:val="24"/>
          <w:szCs w:val="24"/>
          <w:lang w:val="ro-MD"/>
        </w:rPr>
      </w:pPr>
      <w:r w:rsidRPr="00401691">
        <w:rPr>
          <w:rStyle w:val="ms-rtefontface-3"/>
          <w:rFonts w:asciiTheme="majorHAnsi" w:hAnsiTheme="majorHAnsi" w:cstheme="majorHAnsi"/>
          <w:sz w:val="24"/>
          <w:szCs w:val="24"/>
          <w:lang w:val="ro-MD"/>
        </w:rPr>
        <w:t xml:space="preserve">lipsa unor prevederi </w:t>
      </w:r>
      <w:r w:rsidR="00B61E9A">
        <w:rPr>
          <w:rStyle w:val="ms-rtefontface-3"/>
          <w:rFonts w:asciiTheme="majorHAnsi" w:hAnsiTheme="majorHAnsi" w:cstheme="majorHAnsi"/>
          <w:sz w:val="24"/>
          <w:szCs w:val="24"/>
          <w:lang w:val="ro-MD"/>
        </w:rPr>
        <w:t xml:space="preserve">ce țin de acțiunile ulterioare </w:t>
      </w:r>
      <w:r w:rsidRPr="00401691">
        <w:rPr>
          <w:rStyle w:val="ms-rtefontface-3"/>
          <w:rFonts w:asciiTheme="majorHAnsi" w:hAnsiTheme="majorHAnsi" w:cstheme="majorHAnsi"/>
          <w:sz w:val="24"/>
          <w:szCs w:val="24"/>
          <w:lang w:val="ro-MD"/>
        </w:rPr>
        <w:t>întreprinse de SFS privind conformarea forțată a contribuabililor, în cazurile când aceștia se eschivează de la comercializarea bunurilor sechestrate.</w:t>
      </w:r>
    </w:p>
    <w:p w:rsidR="00063E96" w:rsidRDefault="007C2664" w:rsidP="00844145">
      <w:pPr>
        <w:spacing w:line="276" w:lineRule="auto"/>
        <w:jc w:val="both"/>
        <w:rPr>
          <w:rFonts w:asciiTheme="majorHAnsi" w:hAnsiTheme="majorHAnsi" w:cstheme="majorHAnsi"/>
          <w:sz w:val="24"/>
          <w:szCs w:val="24"/>
          <w:shd w:val="clear" w:color="auto" w:fill="FFFFFF"/>
          <w:lang w:val="ro-MD"/>
        </w:rPr>
      </w:pPr>
      <w:r w:rsidRPr="00401691">
        <w:rPr>
          <w:rStyle w:val="ms-rtefontface-3"/>
          <w:rFonts w:asciiTheme="majorHAnsi" w:hAnsiTheme="majorHAnsi" w:cstheme="majorHAnsi"/>
          <w:sz w:val="24"/>
          <w:szCs w:val="24"/>
          <w:lang w:val="ro-MD"/>
        </w:rPr>
        <w:t>Verificările auditului (pe eșantionul selectat) au rel</w:t>
      </w:r>
      <w:r w:rsidR="00400571">
        <w:rPr>
          <w:rStyle w:val="ms-rtefontface-3"/>
          <w:rFonts w:asciiTheme="majorHAnsi" w:hAnsiTheme="majorHAnsi" w:cstheme="majorHAnsi"/>
          <w:sz w:val="24"/>
          <w:szCs w:val="24"/>
          <w:lang w:val="ro-MD"/>
        </w:rPr>
        <w:t>ev</w:t>
      </w:r>
      <w:r w:rsidRPr="00401691">
        <w:rPr>
          <w:rStyle w:val="ms-rtefontface-3"/>
          <w:rFonts w:asciiTheme="majorHAnsi" w:hAnsiTheme="majorHAnsi" w:cstheme="majorHAnsi"/>
          <w:sz w:val="24"/>
          <w:szCs w:val="24"/>
          <w:lang w:val="ro-MD"/>
        </w:rPr>
        <w:t xml:space="preserve">at că DGA regulamentar solicită (prin scrisori) de la contribuabilii restanțieri comercializarea bunurilor sechestrate, în </w:t>
      </w:r>
      <w:r w:rsidRPr="00401691">
        <w:rPr>
          <w:rStyle w:val="ms-rtefontface-3"/>
          <w:rFonts w:asciiTheme="majorHAnsi" w:hAnsiTheme="majorHAnsi" w:cstheme="majorHAnsi"/>
          <w:sz w:val="24"/>
          <w:szCs w:val="24"/>
          <w:lang w:val="ro-MD"/>
        </w:rPr>
        <w:lastRenderedPageBreak/>
        <w:t>scopul stingerii obligațiilor fiscale</w:t>
      </w:r>
      <w:r w:rsidR="00400571">
        <w:rPr>
          <w:rStyle w:val="ms-rtefontface-3"/>
          <w:rFonts w:asciiTheme="majorHAnsi" w:hAnsiTheme="majorHAnsi" w:cstheme="majorHAnsi"/>
          <w:sz w:val="24"/>
          <w:szCs w:val="24"/>
          <w:lang w:val="ro-MD"/>
        </w:rPr>
        <w:t>, î</w:t>
      </w:r>
      <w:r w:rsidRPr="00401691">
        <w:rPr>
          <w:rStyle w:val="ms-rtefontface-3"/>
          <w:rFonts w:asciiTheme="majorHAnsi" w:hAnsiTheme="majorHAnsi" w:cstheme="majorHAnsi"/>
          <w:sz w:val="24"/>
          <w:szCs w:val="24"/>
          <w:lang w:val="ro-MD"/>
        </w:rPr>
        <w:t>nsă</w:t>
      </w:r>
      <w:r w:rsidR="00400571">
        <w:rPr>
          <w:rStyle w:val="ms-rtefontface-3"/>
          <w:rFonts w:asciiTheme="majorHAnsi" w:hAnsiTheme="majorHAnsi" w:cstheme="majorHAnsi"/>
          <w:sz w:val="24"/>
          <w:szCs w:val="24"/>
          <w:lang w:val="ro-MD"/>
        </w:rPr>
        <w:t xml:space="preserve"> </w:t>
      </w:r>
      <w:r w:rsidRPr="00401691">
        <w:rPr>
          <w:rStyle w:val="ms-rtefontface-3"/>
          <w:rFonts w:asciiTheme="majorHAnsi" w:hAnsiTheme="majorHAnsi" w:cstheme="majorHAnsi"/>
          <w:sz w:val="24"/>
          <w:szCs w:val="24"/>
          <w:lang w:val="ro-MD"/>
        </w:rPr>
        <w:t xml:space="preserve"> aceste solicitări ale DGA rămân neexecutate, contribuabilii nefiind cointeresați </w:t>
      </w:r>
      <w:r w:rsidR="007E695C">
        <w:rPr>
          <w:rStyle w:val="ms-rtefontface-3"/>
          <w:rFonts w:asciiTheme="majorHAnsi" w:hAnsiTheme="majorHAnsi" w:cstheme="majorHAnsi"/>
          <w:sz w:val="24"/>
          <w:szCs w:val="24"/>
          <w:lang w:val="ro-MD"/>
        </w:rPr>
        <w:t xml:space="preserve">în </w:t>
      </w:r>
      <w:r w:rsidRPr="00401691">
        <w:rPr>
          <w:rFonts w:asciiTheme="majorHAnsi" w:eastAsia="Calibri" w:hAnsiTheme="majorHAnsi" w:cstheme="majorHAnsi"/>
          <w:sz w:val="24"/>
          <w:szCs w:val="24"/>
          <w:lang w:val="ro-MD"/>
        </w:rPr>
        <w:t>comercializarea bunurilor</w:t>
      </w:r>
      <w:r w:rsidRPr="00401691">
        <w:rPr>
          <w:rStyle w:val="Emphasis"/>
          <w:rFonts w:asciiTheme="majorHAnsi" w:hAnsiTheme="majorHAnsi" w:cstheme="majorHAnsi"/>
          <w:bCs/>
          <w:sz w:val="24"/>
          <w:szCs w:val="24"/>
          <w:shd w:val="clear" w:color="auto" w:fill="FFFFFF"/>
          <w:lang w:val="ro-MD"/>
        </w:rPr>
        <w:t xml:space="preserve"> și se eschivează </w:t>
      </w:r>
      <w:r w:rsidRPr="00401691">
        <w:rPr>
          <w:rFonts w:asciiTheme="majorHAnsi" w:hAnsiTheme="majorHAnsi" w:cstheme="majorHAnsi"/>
          <w:sz w:val="24"/>
          <w:szCs w:val="24"/>
          <w:shd w:val="clear" w:color="auto" w:fill="FFFFFF"/>
          <w:lang w:val="ro-MD"/>
        </w:rPr>
        <w:t>de la sarcina respectivă, întrucât în multiple cazuri bunurile</w:t>
      </w:r>
      <w:r w:rsidR="00C61635">
        <w:rPr>
          <w:rFonts w:asciiTheme="majorHAnsi" w:hAnsiTheme="majorHAnsi" w:cstheme="majorHAnsi"/>
          <w:sz w:val="24"/>
          <w:szCs w:val="24"/>
          <w:shd w:val="clear" w:color="auto" w:fill="FFFFFF"/>
          <w:lang w:val="ro-MD"/>
        </w:rPr>
        <w:t xml:space="preserve"> </w:t>
      </w:r>
      <w:r w:rsidR="00400571">
        <w:rPr>
          <w:rFonts w:asciiTheme="majorHAnsi" w:hAnsiTheme="majorHAnsi" w:cstheme="majorHAnsi"/>
          <w:sz w:val="24"/>
          <w:szCs w:val="24"/>
          <w:shd w:val="clear" w:color="auto" w:fill="FFFFFF"/>
          <w:lang w:val="ro-MD"/>
        </w:rPr>
        <w:t>sunt</w:t>
      </w:r>
      <w:r w:rsidR="00C61635">
        <w:rPr>
          <w:rFonts w:asciiTheme="majorHAnsi" w:hAnsiTheme="majorHAnsi" w:cstheme="majorHAnsi"/>
          <w:sz w:val="24"/>
          <w:szCs w:val="24"/>
          <w:shd w:val="clear" w:color="auto" w:fill="FFFFFF"/>
          <w:lang w:val="ro-MD"/>
        </w:rPr>
        <w:t xml:space="preserve"> utilizate</w:t>
      </w:r>
      <w:r w:rsidRPr="00401691">
        <w:rPr>
          <w:rFonts w:asciiTheme="majorHAnsi" w:hAnsiTheme="majorHAnsi" w:cstheme="majorHAnsi"/>
          <w:sz w:val="24"/>
          <w:szCs w:val="24"/>
          <w:shd w:val="clear" w:color="auto" w:fill="FFFFFF"/>
          <w:lang w:val="ro-MD"/>
        </w:rPr>
        <w:t xml:space="preserve"> în activitatea operațională. </w:t>
      </w:r>
    </w:p>
    <w:p w:rsidR="007C2664" w:rsidRDefault="007C2664" w:rsidP="00844145">
      <w:pPr>
        <w:spacing w:line="276" w:lineRule="auto"/>
        <w:jc w:val="both"/>
        <w:rPr>
          <w:rFonts w:asciiTheme="majorHAnsi" w:hAnsiTheme="majorHAnsi" w:cstheme="majorHAnsi"/>
          <w:sz w:val="24"/>
          <w:szCs w:val="24"/>
          <w:shd w:val="clear" w:color="auto" w:fill="FFFFFF"/>
          <w:lang w:val="ro-MD"/>
        </w:rPr>
      </w:pPr>
      <w:r w:rsidRPr="00401691">
        <w:rPr>
          <w:rStyle w:val="ms-rtefontface-3"/>
          <w:rFonts w:asciiTheme="majorHAnsi" w:hAnsiTheme="majorHAnsi" w:cstheme="majorHAnsi"/>
          <w:sz w:val="24"/>
          <w:szCs w:val="24"/>
          <w:lang w:val="ro-MD"/>
        </w:rPr>
        <w:t>Cele menționate atrag atenția asupra necesității de consolidare a preve</w:t>
      </w:r>
      <w:r w:rsidR="00226053">
        <w:rPr>
          <w:rStyle w:val="ms-rtefontface-3"/>
          <w:rFonts w:asciiTheme="majorHAnsi" w:hAnsiTheme="majorHAnsi" w:cstheme="majorHAnsi"/>
          <w:sz w:val="24"/>
          <w:szCs w:val="24"/>
          <w:lang w:val="ro-MD"/>
        </w:rPr>
        <w:t xml:space="preserve">derilor legale, inclusiv prin </w:t>
      </w:r>
      <w:r w:rsidRPr="00401691">
        <w:rPr>
          <w:rStyle w:val="ms-rtefontface-3"/>
          <w:rFonts w:asciiTheme="majorHAnsi" w:hAnsiTheme="majorHAnsi" w:cstheme="majorHAnsi"/>
          <w:sz w:val="24"/>
          <w:szCs w:val="24"/>
          <w:lang w:val="ro-MD"/>
        </w:rPr>
        <w:t>instituirea unor mecanisme de conformare forțată a contribuabi</w:t>
      </w:r>
      <w:r w:rsidR="00E3778E">
        <w:rPr>
          <w:rStyle w:val="ms-rtefontface-3"/>
          <w:rFonts w:asciiTheme="majorHAnsi" w:hAnsiTheme="majorHAnsi" w:cstheme="majorHAnsi"/>
          <w:sz w:val="24"/>
          <w:szCs w:val="24"/>
          <w:lang w:val="ro-MD"/>
        </w:rPr>
        <w:t>lilor, aferente comercializării</w:t>
      </w:r>
      <w:r w:rsidRPr="00401691">
        <w:rPr>
          <w:rStyle w:val="ms-rtefontface-3"/>
          <w:rFonts w:asciiTheme="majorHAnsi" w:hAnsiTheme="majorHAnsi" w:cstheme="majorHAnsi"/>
          <w:sz w:val="24"/>
          <w:szCs w:val="24"/>
          <w:lang w:val="ro-MD"/>
        </w:rPr>
        <w:t xml:space="preserve"> bunurilor sechestrate.</w:t>
      </w:r>
      <w:r w:rsidRPr="00401691">
        <w:rPr>
          <w:rFonts w:asciiTheme="majorHAnsi" w:hAnsiTheme="majorHAnsi" w:cstheme="majorHAnsi"/>
          <w:sz w:val="24"/>
          <w:szCs w:val="24"/>
          <w:shd w:val="clear" w:color="auto" w:fill="FFFFFF"/>
          <w:lang w:val="ro-MD"/>
        </w:rPr>
        <w:t> </w:t>
      </w:r>
    </w:p>
    <w:p w:rsidR="00A817B6" w:rsidRPr="00401691" w:rsidRDefault="00A817B6" w:rsidP="00A817B6">
      <w:pPr>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cstheme="majorHAnsi"/>
          <w:sz w:val="24"/>
          <w:szCs w:val="24"/>
          <w:shd w:val="clear" w:color="auto" w:fill="FFFFFF"/>
          <w:lang w:val="ro-MD"/>
        </w:rPr>
      </w:pPr>
      <w:r w:rsidRPr="00A817B6">
        <w:rPr>
          <w:rFonts w:asciiTheme="majorHAnsi" w:hAnsiTheme="majorHAnsi" w:cstheme="majorHAnsi"/>
          <w:b/>
          <w:i/>
          <w:sz w:val="24"/>
          <w:szCs w:val="24"/>
          <w:shd w:val="clear" w:color="auto" w:fill="FFFFFF"/>
          <w:lang w:val="ro-MD"/>
        </w:rPr>
        <w:t>Se ia act:</w:t>
      </w:r>
      <w:r>
        <w:rPr>
          <w:rFonts w:asciiTheme="majorHAnsi" w:hAnsiTheme="majorHAnsi" w:cstheme="majorHAnsi"/>
          <w:sz w:val="24"/>
          <w:szCs w:val="24"/>
          <w:shd w:val="clear" w:color="auto" w:fill="FFFFFF"/>
          <w:lang w:val="ro-MD"/>
        </w:rPr>
        <w:t xml:space="preserve"> Pe parcursul </w:t>
      </w:r>
      <w:r w:rsidR="00891C2F">
        <w:rPr>
          <w:rFonts w:asciiTheme="majorHAnsi" w:hAnsiTheme="majorHAnsi" w:cstheme="majorHAnsi"/>
          <w:sz w:val="24"/>
          <w:szCs w:val="24"/>
          <w:shd w:val="clear" w:color="auto" w:fill="FFFFFF"/>
          <w:lang w:val="ro-MD"/>
        </w:rPr>
        <w:t>auditului</w:t>
      </w:r>
      <w:r w:rsidR="00D270B2">
        <w:rPr>
          <w:rFonts w:asciiTheme="majorHAnsi" w:hAnsiTheme="majorHAnsi" w:cstheme="majorHAnsi"/>
          <w:sz w:val="24"/>
          <w:szCs w:val="24"/>
          <w:shd w:val="clear" w:color="auto" w:fill="FFFFFF"/>
          <w:lang w:val="ro-MD"/>
        </w:rPr>
        <w:t>,</w:t>
      </w:r>
      <w:r w:rsidR="00891C2F">
        <w:rPr>
          <w:rFonts w:asciiTheme="majorHAnsi" w:hAnsiTheme="majorHAnsi" w:cstheme="majorHAnsi"/>
          <w:sz w:val="24"/>
          <w:szCs w:val="24"/>
          <w:shd w:val="clear" w:color="auto" w:fill="FFFFFF"/>
          <w:lang w:val="ro-MD"/>
        </w:rPr>
        <w:t xml:space="preserve"> </w:t>
      </w:r>
      <w:r>
        <w:rPr>
          <w:rFonts w:asciiTheme="majorHAnsi" w:hAnsiTheme="majorHAnsi" w:cstheme="majorHAnsi"/>
          <w:sz w:val="24"/>
          <w:szCs w:val="24"/>
          <w:shd w:val="clear" w:color="auto" w:fill="FFFFFF"/>
          <w:lang w:val="ro-MD"/>
        </w:rPr>
        <w:t>a</w:t>
      </w:r>
      <w:r w:rsidRPr="00A817B6">
        <w:rPr>
          <w:rFonts w:asciiTheme="majorHAnsi" w:hAnsiTheme="majorHAnsi" w:cstheme="majorHAnsi"/>
          <w:sz w:val="24"/>
          <w:szCs w:val="24"/>
          <w:shd w:val="clear" w:color="auto" w:fill="FFFFFF"/>
          <w:lang w:val="ro-MD"/>
        </w:rPr>
        <w:t>mendamentele de modificare a cadrului legal au fost remise</w:t>
      </w:r>
      <w:r w:rsidR="00D270B2">
        <w:rPr>
          <w:rFonts w:asciiTheme="majorHAnsi" w:hAnsiTheme="majorHAnsi" w:cstheme="majorHAnsi"/>
          <w:sz w:val="24"/>
          <w:szCs w:val="24"/>
          <w:shd w:val="clear" w:color="auto" w:fill="FFFFFF"/>
          <w:lang w:val="ro-MD"/>
        </w:rPr>
        <w:t>,</w:t>
      </w:r>
      <w:r w:rsidRPr="00A817B6">
        <w:rPr>
          <w:rFonts w:asciiTheme="majorHAnsi" w:hAnsiTheme="majorHAnsi" w:cstheme="majorHAnsi"/>
          <w:sz w:val="24"/>
          <w:szCs w:val="24"/>
          <w:shd w:val="clear" w:color="auto" w:fill="FFFFFF"/>
          <w:lang w:val="ro-MD"/>
        </w:rPr>
        <w:t xml:space="preserve"> spre promovare</w:t>
      </w:r>
      <w:r w:rsidR="00D270B2">
        <w:rPr>
          <w:rFonts w:asciiTheme="majorHAnsi" w:hAnsiTheme="majorHAnsi" w:cstheme="majorHAnsi"/>
          <w:sz w:val="24"/>
          <w:szCs w:val="24"/>
          <w:shd w:val="clear" w:color="auto" w:fill="FFFFFF"/>
          <w:lang w:val="ro-MD"/>
        </w:rPr>
        <w:t>,</w:t>
      </w:r>
      <w:r w:rsidRPr="00A817B6">
        <w:rPr>
          <w:rFonts w:asciiTheme="majorHAnsi" w:hAnsiTheme="majorHAnsi" w:cstheme="majorHAnsi"/>
          <w:sz w:val="24"/>
          <w:szCs w:val="24"/>
          <w:shd w:val="clear" w:color="auto" w:fill="FFFFFF"/>
          <w:lang w:val="ro-MD"/>
        </w:rPr>
        <w:t xml:space="preserve"> Ministerului Finanțelor</w:t>
      </w:r>
      <w:r w:rsidR="00D270B2">
        <w:rPr>
          <w:rFonts w:asciiTheme="majorHAnsi" w:hAnsiTheme="majorHAnsi" w:cstheme="majorHAnsi"/>
          <w:sz w:val="24"/>
          <w:szCs w:val="24"/>
          <w:shd w:val="clear" w:color="auto" w:fill="FFFFFF"/>
          <w:lang w:val="ro-MD"/>
        </w:rPr>
        <w:t>,</w:t>
      </w:r>
      <w:r w:rsidRPr="00A817B6">
        <w:rPr>
          <w:rFonts w:asciiTheme="majorHAnsi" w:hAnsiTheme="majorHAnsi" w:cstheme="majorHAnsi"/>
          <w:sz w:val="24"/>
          <w:szCs w:val="24"/>
          <w:shd w:val="clear" w:color="auto" w:fill="FFFFFF"/>
          <w:lang w:val="ro-MD"/>
        </w:rPr>
        <w:t xml:space="preserve"> prin scrisoarea nr. 26-12/1-10/1482 din 13 iunie 2020.</w:t>
      </w:r>
      <w:r>
        <w:rPr>
          <w:rFonts w:asciiTheme="majorHAnsi" w:hAnsiTheme="majorHAnsi" w:cstheme="majorHAnsi"/>
          <w:sz w:val="24"/>
          <w:szCs w:val="24"/>
          <w:shd w:val="clear" w:color="auto" w:fill="FFFFFF"/>
          <w:lang w:val="ro-MD"/>
        </w:rPr>
        <w:t xml:space="preserve"> </w:t>
      </w:r>
    </w:p>
    <w:p w:rsidR="007C2664" w:rsidRPr="00401691" w:rsidRDefault="007C2664" w:rsidP="00844145">
      <w:pPr>
        <w:pStyle w:val="ListParagraph"/>
        <w:numPr>
          <w:ilvl w:val="0"/>
          <w:numId w:val="11"/>
        </w:numPr>
        <w:tabs>
          <w:tab w:val="left" w:pos="0"/>
          <w:tab w:val="left" w:pos="360"/>
        </w:tabs>
        <w:spacing w:after="120" w:line="276" w:lineRule="auto"/>
        <w:ind w:left="90" w:hanging="90"/>
        <w:jc w:val="both"/>
        <w:rPr>
          <w:rFonts w:asciiTheme="majorHAnsi" w:hAnsiTheme="majorHAnsi" w:cstheme="majorHAnsi"/>
          <w:i/>
          <w:sz w:val="24"/>
          <w:szCs w:val="24"/>
          <w:lang w:val="ro-MD"/>
        </w:rPr>
      </w:pPr>
      <w:r w:rsidRPr="00401691">
        <w:rPr>
          <w:rFonts w:asciiTheme="majorHAnsi" w:hAnsiTheme="majorHAnsi" w:cstheme="majorHAnsi"/>
          <w:i/>
          <w:sz w:val="24"/>
          <w:szCs w:val="24"/>
          <w:lang w:val="ro-MD"/>
        </w:rPr>
        <w:t>Privind imposibilitatea executării silite a datoriilor curente a</w:t>
      </w:r>
      <w:r w:rsidR="00D270B2">
        <w:rPr>
          <w:rFonts w:asciiTheme="majorHAnsi" w:hAnsiTheme="majorHAnsi" w:cstheme="majorHAnsi"/>
          <w:i/>
          <w:sz w:val="24"/>
          <w:szCs w:val="24"/>
          <w:lang w:val="ro-MD"/>
        </w:rPr>
        <w:t>le</w:t>
      </w:r>
      <w:r w:rsidRPr="00401691">
        <w:rPr>
          <w:rFonts w:asciiTheme="majorHAnsi" w:hAnsiTheme="majorHAnsi" w:cstheme="majorHAnsi"/>
          <w:i/>
          <w:sz w:val="24"/>
          <w:szCs w:val="24"/>
          <w:lang w:val="ro-MD"/>
        </w:rPr>
        <w:t xml:space="preserve"> contribuabililor aflați în procedura </w:t>
      </w:r>
      <w:r w:rsidR="00D270B2">
        <w:rPr>
          <w:rFonts w:asciiTheme="majorHAnsi" w:hAnsiTheme="majorHAnsi" w:cstheme="majorHAnsi"/>
          <w:i/>
          <w:sz w:val="24"/>
          <w:szCs w:val="24"/>
          <w:lang w:val="ro-MD"/>
        </w:rPr>
        <w:t xml:space="preserve">de </w:t>
      </w:r>
      <w:r w:rsidRPr="00401691">
        <w:rPr>
          <w:rFonts w:asciiTheme="majorHAnsi" w:hAnsiTheme="majorHAnsi" w:cstheme="majorHAnsi"/>
          <w:i/>
          <w:sz w:val="24"/>
          <w:szCs w:val="24"/>
          <w:lang w:val="ro-MD"/>
        </w:rPr>
        <w:t>insolvabilit</w:t>
      </w:r>
      <w:r w:rsidR="00D270B2">
        <w:rPr>
          <w:rFonts w:asciiTheme="majorHAnsi" w:hAnsiTheme="majorHAnsi" w:cstheme="majorHAnsi"/>
          <w:i/>
          <w:sz w:val="24"/>
          <w:szCs w:val="24"/>
          <w:lang w:val="ro-MD"/>
        </w:rPr>
        <w:t>ate</w:t>
      </w:r>
    </w:p>
    <w:p w:rsidR="007C2664" w:rsidRPr="00401691" w:rsidRDefault="007C2664" w:rsidP="00844145">
      <w:pPr>
        <w:spacing w:line="276" w:lineRule="auto"/>
        <w:jc w:val="both"/>
        <w:rPr>
          <w:rFonts w:asciiTheme="majorHAnsi" w:hAnsiTheme="majorHAnsi" w:cstheme="majorHAnsi"/>
          <w:sz w:val="24"/>
          <w:szCs w:val="24"/>
          <w:lang w:val="ro-MD"/>
        </w:rPr>
      </w:pPr>
      <w:r w:rsidRPr="00401691">
        <w:rPr>
          <w:rFonts w:asciiTheme="majorHAnsi" w:hAnsiTheme="majorHAnsi" w:cstheme="majorHAnsi"/>
          <w:sz w:val="24"/>
          <w:szCs w:val="24"/>
          <w:shd w:val="clear" w:color="auto" w:fill="FFFFFF"/>
          <w:lang w:val="ro-MD"/>
        </w:rPr>
        <w:t xml:space="preserve">Conform competențelor atribuite organului fiscal, </w:t>
      </w:r>
      <w:r w:rsidR="00D270B2">
        <w:rPr>
          <w:rFonts w:asciiTheme="majorHAnsi" w:hAnsiTheme="majorHAnsi" w:cstheme="majorHAnsi"/>
          <w:sz w:val="24"/>
          <w:szCs w:val="24"/>
          <w:shd w:val="clear" w:color="auto" w:fill="FFFFFF"/>
          <w:lang w:val="ro-MD"/>
        </w:rPr>
        <w:t>acesta</w:t>
      </w:r>
      <w:r w:rsidRPr="00401691">
        <w:rPr>
          <w:rFonts w:asciiTheme="majorHAnsi" w:hAnsiTheme="majorHAnsi" w:cstheme="majorHAnsi"/>
          <w:sz w:val="24"/>
          <w:szCs w:val="24"/>
          <w:shd w:val="clear" w:color="auto" w:fill="FFFFFF"/>
          <w:lang w:val="ro-MD"/>
        </w:rPr>
        <w:t xml:space="preserve"> trebui</w:t>
      </w:r>
      <w:r w:rsidR="00226053">
        <w:rPr>
          <w:rFonts w:asciiTheme="majorHAnsi" w:hAnsiTheme="majorHAnsi" w:cstheme="majorHAnsi"/>
          <w:sz w:val="24"/>
          <w:szCs w:val="24"/>
          <w:shd w:val="clear" w:color="auto" w:fill="FFFFFF"/>
          <w:lang w:val="ro-MD"/>
        </w:rPr>
        <w:t xml:space="preserve">e </w:t>
      </w:r>
      <w:r w:rsidR="00226053" w:rsidRPr="00E63078">
        <w:rPr>
          <w:rFonts w:asciiTheme="majorHAnsi" w:hAnsiTheme="majorHAnsi" w:cstheme="majorHAnsi"/>
          <w:sz w:val="24"/>
          <w:szCs w:val="24"/>
          <w:shd w:val="clear" w:color="auto" w:fill="FFFFFF"/>
          <w:lang w:val="ro-MD"/>
        </w:rPr>
        <w:t>să intervină eficient față</w:t>
      </w:r>
      <w:r w:rsidR="00226053">
        <w:rPr>
          <w:rFonts w:asciiTheme="majorHAnsi" w:hAnsiTheme="majorHAnsi" w:cstheme="majorHAnsi"/>
          <w:sz w:val="24"/>
          <w:szCs w:val="24"/>
          <w:shd w:val="clear" w:color="auto" w:fill="FFFFFF"/>
          <w:lang w:val="ro-MD"/>
        </w:rPr>
        <w:t xml:space="preserve"> de</w:t>
      </w:r>
      <w:r w:rsidRPr="00401691">
        <w:rPr>
          <w:rFonts w:asciiTheme="majorHAnsi" w:hAnsiTheme="majorHAnsi" w:cstheme="majorHAnsi"/>
          <w:sz w:val="24"/>
          <w:szCs w:val="24"/>
          <w:shd w:val="clear" w:color="auto" w:fill="FFFFFF"/>
          <w:lang w:val="ro-MD"/>
        </w:rPr>
        <w:t xml:space="preserve"> întreprinderile aflate în pr</w:t>
      </w:r>
      <w:r w:rsidR="00E3778E">
        <w:rPr>
          <w:rFonts w:asciiTheme="majorHAnsi" w:hAnsiTheme="majorHAnsi" w:cstheme="majorHAnsi"/>
          <w:sz w:val="24"/>
          <w:szCs w:val="24"/>
          <w:shd w:val="clear" w:color="auto" w:fill="FFFFFF"/>
          <w:lang w:val="ro-MD"/>
        </w:rPr>
        <w:t>oces de insolvabilitate, pentru</w:t>
      </w:r>
      <w:r w:rsidRPr="00401691">
        <w:rPr>
          <w:rFonts w:asciiTheme="majorHAnsi" w:hAnsiTheme="majorHAnsi" w:cstheme="majorHAnsi"/>
          <w:sz w:val="24"/>
          <w:szCs w:val="24"/>
          <w:shd w:val="clear" w:color="auto" w:fill="FFFFFF"/>
          <w:lang w:val="ro-MD"/>
        </w:rPr>
        <w:t xml:space="preserve"> asig</w:t>
      </w:r>
      <w:r w:rsidR="00E3778E">
        <w:rPr>
          <w:rFonts w:asciiTheme="majorHAnsi" w:hAnsiTheme="majorHAnsi" w:cstheme="majorHAnsi"/>
          <w:sz w:val="24"/>
          <w:szCs w:val="24"/>
          <w:shd w:val="clear" w:color="auto" w:fill="FFFFFF"/>
          <w:lang w:val="ro-MD"/>
        </w:rPr>
        <w:t>urarea stingerii restanțelor la BPN</w:t>
      </w:r>
      <w:r w:rsidRPr="00401691">
        <w:rPr>
          <w:rFonts w:asciiTheme="majorHAnsi" w:hAnsiTheme="majorHAnsi" w:cstheme="majorHAnsi"/>
          <w:sz w:val="24"/>
          <w:szCs w:val="24"/>
          <w:shd w:val="clear" w:color="auto" w:fill="FFFFFF"/>
          <w:lang w:val="ro-MD"/>
        </w:rPr>
        <w:t xml:space="preserve"> și pentru a nu permite acumularea de noi datorii.</w:t>
      </w:r>
      <w:r w:rsidRPr="00401691">
        <w:rPr>
          <w:rFonts w:asciiTheme="majorHAnsi" w:hAnsiTheme="majorHAnsi" w:cstheme="majorHAnsi"/>
          <w:sz w:val="24"/>
          <w:szCs w:val="24"/>
          <w:lang w:val="ro-MD"/>
        </w:rPr>
        <w:t xml:space="preserve"> Analiza datelor </w:t>
      </w:r>
      <w:r w:rsidR="00D270B2">
        <w:rPr>
          <w:rFonts w:asciiTheme="majorHAnsi" w:hAnsiTheme="majorHAnsi" w:cstheme="majorHAnsi"/>
          <w:sz w:val="24"/>
          <w:szCs w:val="24"/>
          <w:lang w:val="ro-MD"/>
        </w:rPr>
        <w:t xml:space="preserve">din </w:t>
      </w:r>
      <w:r w:rsidRPr="00401691">
        <w:rPr>
          <w:rFonts w:asciiTheme="majorHAnsi" w:hAnsiTheme="majorHAnsi" w:cstheme="majorHAnsi"/>
          <w:sz w:val="24"/>
          <w:szCs w:val="24"/>
          <w:lang w:val="ro-MD"/>
        </w:rPr>
        <w:t>Dar</w:t>
      </w:r>
      <w:r w:rsidR="00D270B2">
        <w:rPr>
          <w:rFonts w:asciiTheme="majorHAnsi" w:hAnsiTheme="majorHAnsi" w:cstheme="majorHAnsi"/>
          <w:sz w:val="24"/>
          <w:szCs w:val="24"/>
          <w:lang w:val="ro-MD"/>
        </w:rPr>
        <w:t>ea</w:t>
      </w:r>
      <w:r w:rsidRPr="00401691">
        <w:rPr>
          <w:rFonts w:asciiTheme="majorHAnsi" w:hAnsiTheme="majorHAnsi" w:cstheme="majorHAnsi"/>
          <w:sz w:val="24"/>
          <w:szCs w:val="24"/>
          <w:lang w:val="ro-MD"/>
        </w:rPr>
        <w:t xml:space="preserve"> de seamă privind evidența restanței curente a întreprinderilor în proces de insolvabilitate relevă probleme legate de încasarea la BPN</w:t>
      </w:r>
      <w:r w:rsidRPr="00401691">
        <w:rPr>
          <w:rStyle w:val="FootnoteReference"/>
          <w:rFonts w:asciiTheme="majorHAnsi" w:hAnsiTheme="majorHAnsi" w:cstheme="majorHAnsi"/>
          <w:sz w:val="24"/>
          <w:szCs w:val="24"/>
          <w:lang w:val="ro-MD"/>
        </w:rPr>
        <w:footnoteReference w:id="36"/>
      </w:r>
      <w:r w:rsidRPr="00401691">
        <w:rPr>
          <w:rFonts w:asciiTheme="majorHAnsi" w:hAnsiTheme="majorHAnsi" w:cstheme="majorHAnsi"/>
          <w:sz w:val="24"/>
          <w:szCs w:val="24"/>
          <w:lang w:val="ro-MD"/>
        </w:rPr>
        <w:t xml:space="preserve"> a datoriilor curente formate de întreprinder</w:t>
      </w:r>
      <w:r w:rsidR="00D270B2">
        <w:rPr>
          <w:rFonts w:asciiTheme="majorHAnsi" w:hAnsiTheme="majorHAnsi" w:cstheme="majorHAnsi"/>
          <w:sz w:val="24"/>
          <w:szCs w:val="24"/>
          <w:lang w:val="ro-MD"/>
        </w:rPr>
        <w:t>il</w:t>
      </w:r>
      <w:r w:rsidRPr="00401691">
        <w:rPr>
          <w:rFonts w:asciiTheme="majorHAnsi" w:hAnsiTheme="majorHAnsi" w:cstheme="majorHAnsi"/>
          <w:sz w:val="24"/>
          <w:szCs w:val="24"/>
          <w:lang w:val="ro-MD"/>
        </w:rPr>
        <w:t xml:space="preserve">e aflate în </w:t>
      </w:r>
      <w:r w:rsidRPr="00401691">
        <w:rPr>
          <w:rFonts w:asciiTheme="majorHAnsi" w:hAnsiTheme="majorHAnsi" w:cstheme="majorHAnsi"/>
          <w:sz w:val="24"/>
          <w:szCs w:val="24"/>
          <w:shd w:val="clear" w:color="auto" w:fill="FFFFFF"/>
          <w:lang w:val="ro-MD"/>
        </w:rPr>
        <w:lastRenderedPageBreak/>
        <w:t>proces de insolvabilitate.</w:t>
      </w:r>
      <w:r w:rsidRPr="00401691">
        <w:rPr>
          <w:rFonts w:asciiTheme="majorHAnsi" w:hAnsiTheme="majorHAnsi" w:cstheme="majorHAnsi"/>
          <w:sz w:val="24"/>
          <w:szCs w:val="24"/>
          <w:lang w:val="ro-MD"/>
        </w:rPr>
        <w:t xml:space="preserve"> Astfel, în anul 2019</w:t>
      </w:r>
      <w:r w:rsidR="00D270B2">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comercializând masa debitoare</w:t>
      </w:r>
      <w:r w:rsidR="00D270B2">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sau urmare desfășurării activității operaționale</w:t>
      </w:r>
      <w:r w:rsidRPr="00401691">
        <w:rPr>
          <w:rStyle w:val="FootnoteReference"/>
          <w:rFonts w:asciiTheme="majorHAnsi" w:hAnsiTheme="majorHAnsi" w:cstheme="majorHAnsi"/>
          <w:sz w:val="24"/>
          <w:szCs w:val="24"/>
          <w:lang w:val="ro-MD"/>
        </w:rPr>
        <w:footnoteReference w:id="37"/>
      </w:r>
      <w:r w:rsidRPr="00401691">
        <w:rPr>
          <w:rFonts w:asciiTheme="majorHAnsi" w:hAnsiTheme="majorHAnsi" w:cstheme="majorHAnsi"/>
          <w:sz w:val="24"/>
          <w:szCs w:val="24"/>
          <w:lang w:val="ro-MD"/>
        </w:rPr>
        <w:t xml:space="preserve">, contribuabilii aflați în proces de insolvabilitate au acumulat restanțe curente la BPN în </w:t>
      </w:r>
      <w:r w:rsidR="00D270B2">
        <w:rPr>
          <w:rFonts w:asciiTheme="majorHAnsi" w:hAnsiTheme="majorHAnsi" w:cstheme="majorHAnsi"/>
          <w:sz w:val="24"/>
          <w:szCs w:val="24"/>
          <w:lang w:val="ro-MD"/>
        </w:rPr>
        <w:t>sumă</w:t>
      </w:r>
      <w:r w:rsidRPr="00401691">
        <w:rPr>
          <w:rFonts w:asciiTheme="majorHAnsi" w:hAnsiTheme="majorHAnsi" w:cstheme="majorHAnsi"/>
          <w:sz w:val="24"/>
          <w:szCs w:val="24"/>
          <w:lang w:val="ro-MD"/>
        </w:rPr>
        <w:t xml:space="preserve"> totală de 147,1 mil</w:t>
      </w:r>
      <w:r w:rsidR="00D270B2">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lei, din care au fost stinse doar 13,1 mil</w:t>
      </w:r>
      <w:r w:rsidR="00D270B2">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lei, sau 8,9%. Prin urmare, la situația din 31.12.2019, contribuabilii respectivi</w:t>
      </w:r>
      <w:r w:rsidR="00D270B2">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pe </w:t>
      </w:r>
      <w:r w:rsidR="001F52B6" w:rsidRPr="00401691">
        <w:rPr>
          <w:rFonts w:asciiTheme="majorHAnsi" w:hAnsiTheme="majorHAnsi" w:cstheme="majorHAnsi"/>
          <w:sz w:val="24"/>
          <w:szCs w:val="24"/>
          <w:lang w:val="ro-MD"/>
        </w:rPr>
        <w:t>lân</w:t>
      </w:r>
      <w:r w:rsidR="001F52B6">
        <w:rPr>
          <w:rFonts w:asciiTheme="majorHAnsi" w:hAnsiTheme="majorHAnsi" w:cstheme="majorHAnsi"/>
          <w:sz w:val="24"/>
          <w:szCs w:val="24"/>
          <w:lang w:val="ro-MD"/>
        </w:rPr>
        <w:t>gă</w:t>
      </w:r>
      <w:r w:rsidR="00063E96">
        <w:rPr>
          <w:rFonts w:asciiTheme="majorHAnsi" w:hAnsiTheme="majorHAnsi" w:cstheme="majorHAnsi"/>
          <w:sz w:val="24"/>
          <w:szCs w:val="24"/>
          <w:lang w:val="ro-MD"/>
        </w:rPr>
        <w:t xml:space="preserve"> restanța „istorică” pe care</w:t>
      </w:r>
      <w:r w:rsidRPr="00401691">
        <w:rPr>
          <w:rFonts w:asciiTheme="majorHAnsi" w:hAnsiTheme="majorHAnsi" w:cstheme="majorHAnsi"/>
          <w:sz w:val="24"/>
          <w:szCs w:val="24"/>
          <w:lang w:val="ro-MD"/>
        </w:rPr>
        <w:t xml:space="preserve"> o aveau la BPN</w:t>
      </w:r>
      <w:r w:rsidR="00D270B2">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în </w:t>
      </w:r>
      <w:r w:rsidR="00D270B2">
        <w:rPr>
          <w:rFonts w:asciiTheme="majorHAnsi" w:hAnsiTheme="majorHAnsi" w:cstheme="majorHAnsi"/>
          <w:sz w:val="24"/>
          <w:szCs w:val="24"/>
          <w:lang w:val="ro-MD"/>
        </w:rPr>
        <w:t>sumă</w:t>
      </w:r>
      <w:r w:rsidRPr="00401691">
        <w:rPr>
          <w:rFonts w:asciiTheme="majorHAnsi" w:hAnsiTheme="majorHAnsi" w:cstheme="majorHAnsi"/>
          <w:sz w:val="24"/>
          <w:szCs w:val="24"/>
          <w:lang w:val="ro-MD"/>
        </w:rPr>
        <w:t xml:space="preserve"> de 1086,6 mil</w:t>
      </w:r>
      <w:r w:rsidR="00D270B2">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lei</w:t>
      </w:r>
      <w:r w:rsidR="00D270B2">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au acumulat și datorii curent</w:t>
      </w:r>
      <w:r w:rsidR="00063E96">
        <w:rPr>
          <w:rFonts w:asciiTheme="majorHAnsi" w:hAnsiTheme="majorHAnsi" w:cstheme="majorHAnsi"/>
          <w:sz w:val="24"/>
          <w:szCs w:val="24"/>
          <w:lang w:val="ro-MD"/>
        </w:rPr>
        <w:t xml:space="preserve">e în </w:t>
      </w:r>
      <w:r w:rsidR="00D270B2">
        <w:rPr>
          <w:rFonts w:asciiTheme="majorHAnsi" w:hAnsiTheme="majorHAnsi" w:cstheme="majorHAnsi"/>
          <w:sz w:val="24"/>
          <w:szCs w:val="24"/>
          <w:lang w:val="ro-MD"/>
        </w:rPr>
        <w:t>sumă</w:t>
      </w:r>
      <w:r w:rsidR="00063E96">
        <w:rPr>
          <w:rFonts w:asciiTheme="majorHAnsi" w:hAnsiTheme="majorHAnsi" w:cstheme="majorHAnsi"/>
          <w:sz w:val="24"/>
          <w:szCs w:val="24"/>
          <w:lang w:val="ro-MD"/>
        </w:rPr>
        <w:t xml:space="preserve"> de 134, 0 mil</w:t>
      </w:r>
      <w:r w:rsidR="00D270B2">
        <w:rPr>
          <w:rFonts w:asciiTheme="majorHAnsi" w:hAnsiTheme="majorHAnsi" w:cstheme="majorHAnsi"/>
          <w:sz w:val="24"/>
          <w:szCs w:val="24"/>
          <w:lang w:val="ro-MD"/>
        </w:rPr>
        <w:t>.</w:t>
      </w:r>
      <w:r w:rsidR="00063E96">
        <w:rPr>
          <w:rFonts w:asciiTheme="majorHAnsi" w:hAnsiTheme="majorHAnsi" w:cstheme="majorHAnsi"/>
          <w:sz w:val="24"/>
          <w:szCs w:val="24"/>
          <w:lang w:val="ro-MD"/>
        </w:rPr>
        <w:t xml:space="preserve"> lei.</w:t>
      </w:r>
    </w:p>
    <w:p w:rsidR="007C2664" w:rsidRPr="00401691" w:rsidRDefault="006A1FF5" w:rsidP="00844145">
      <w:pPr>
        <w:pStyle w:val="ListParagraph"/>
        <w:spacing w:after="120" w:line="276" w:lineRule="auto"/>
        <w:ind w:left="0"/>
        <w:contextualSpacing w:val="0"/>
        <w:jc w:val="both"/>
        <w:rPr>
          <w:rFonts w:asciiTheme="majorHAnsi" w:hAnsiTheme="majorHAnsi" w:cstheme="majorHAnsi"/>
          <w:sz w:val="24"/>
          <w:szCs w:val="24"/>
          <w:lang w:val="ro-MD"/>
        </w:rPr>
      </w:pPr>
      <w:r>
        <w:rPr>
          <w:rFonts w:asciiTheme="majorHAnsi" w:eastAsia="Times New Roman" w:hAnsiTheme="majorHAnsi" w:cstheme="majorHAnsi"/>
          <w:bCs/>
          <w:sz w:val="24"/>
          <w:szCs w:val="24"/>
          <w:lang w:val="ro-MD"/>
        </w:rPr>
        <w:t>Pe</w:t>
      </w:r>
      <w:r w:rsidR="007C2664" w:rsidRPr="00401691">
        <w:rPr>
          <w:rFonts w:asciiTheme="majorHAnsi" w:eastAsia="Times New Roman" w:hAnsiTheme="majorHAnsi" w:cstheme="majorHAnsi"/>
          <w:bCs/>
          <w:sz w:val="24"/>
          <w:szCs w:val="24"/>
          <w:lang w:val="ro-MD"/>
        </w:rPr>
        <w:t>ntru eficientizarea instrumentelor de încasare a datoriilor curente, potrivit Legii nr.171 din 19.12.2019 cu privire la modificarea unor acte legislative</w:t>
      </w:r>
      <w:r>
        <w:rPr>
          <w:rFonts w:asciiTheme="majorHAnsi" w:eastAsia="Times New Roman" w:hAnsiTheme="majorHAnsi" w:cstheme="majorHAnsi"/>
          <w:bCs/>
          <w:sz w:val="24"/>
          <w:szCs w:val="24"/>
          <w:lang w:val="ro-MD"/>
        </w:rPr>
        <w:t>,</w:t>
      </w:r>
      <w:r w:rsidR="007C2664" w:rsidRPr="00401691">
        <w:rPr>
          <w:rFonts w:asciiTheme="majorHAnsi" w:eastAsia="Times New Roman" w:hAnsiTheme="majorHAnsi" w:cstheme="majorHAnsi"/>
          <w:bCs/>
          <w:sz w:val="24"/>
          <w:szCs w:val="24"/>
          <w:lang w:val="ro-MD"/>
        </w:rPr>
        <w:t xml:space="preserve"> au fost operate modificări în art.193 din C</w:t>
      </w:r>
      <w:r>
        <w:rPr>
          <w:rFonts w:asciiTheme="majorHAnsi" w:eastAsia="Times New Roman" w:hAnsiTheme="majorHAnsi" w:cstheme="majorHAnsi"/>
          <w:bCs/>
          <w:sz w:val="24"/>
          <w:szCs w:val="24"/>
          <w:lang w:val="ro-MD"/>
        </w:rPr>
        <w:t>odul fiscal</w:t>
      </w:r>
      <w:r w:rsidR="007C2664" w:rsidRPr="00401691">
        <w:rPr>
          <w:rFonts w:asciiTheme="majorHAnsi" w:eastAsia="Times New Roman" w:hAnsiTheme="majorHAnsi" w:cstheme="majorHAnsi"/>
          <w:bCs/>
          <w:sz w:val="24"/>
          <w:szCs w:val="24"/>
          <w:lang w:val="ro-MD"/>
        </w:rPr>
        <w:t xml:space="preserve">, stabilindu-se posibilitatea declanșării executării silite a obligației fiscale curente, în cazurile în care contribuabilul se află în procedura de insolvabilitate, </w:t>
      </w:r>
      <w:r w:rsidR="007C2664" w:rsidRPr="00401691">
        <w:rPr>
          <w:rFonts w:asciiTheme="majorHAnsi" w:hAnsiTheme="majorHAnsi" w:cstheme="majorHAnsi"/>
          <w:sz w:val="24"/>
          <w:szCs w:val="24"/>
          <w:lang w:val="ro-MD"/>
        </w:rPr>
        <w:t xml:space="preserve">potrivit </w:t>
      </w:r>
      <w:hyperlink r:id="rId16" w:history="1">
        <w:r w:rsidR="007C2664" w:rsidRPr="00401691">
          <w:rPr>
            <w:rStyle w:val="Hyperlink"/>
            <w:rFonts w:asciiTheme="majorHAnsi" w:hAnsiTheme="majorHAnsi" w:cstheme="majorHAnsi"/>
            <w:color w:val="auto"/>
            <w:sz w:val="24"/>
            <w:szCs w:val="24"/>
            <w:u w:val="none"/>
            <w:lang w:val="ro-MD"/>
          </w:rPr>
          <w:t>Legii insolvabilității nr.149/2012</w:t>
        </w:r>
      </w:hyperlink>
      <w:r w:rsidR="007C2664" w:rsidRPr="00401691">
        <w:rPr>
          <w:rFonts w:asciiTheme="majorHAnsi" w:hAnsiTheme="majorHAnsi" w:cstheme="majorHAnsi"/>
          <w:sz w:val="24"/>
          <w:szCs w:val="24"/>
          <w:lang w:val="ro-MD"/>
        </w:rPr>
        <w:t>. Însă, acordarea dreptului de aplicare a instrumentelor de încasare silită a restanțelor de la contribuabilii aflați în proces de insolvabilitate nu a asigurat îmbunătățir</w:t>
      </w:r>
      <w:r w:rsidR="00E3778E">
        <w:rPr>
          <w:rFonts w:asciiTheme="majorHAnsi" w:hAnsiTheme="majorHAnsi" w:cstheme="majorHAnsi"/>
          <w:sz w:val="24"/>
          <w:szCs w:val="24"/>
          <w:lang w:val="ro-MD"/>
        </w:rPr>
        <w:t xml:space="preserve">ea managementului arieratelor. </w:t>
      </w:r>
    </w:p>
    <w:p w:rsidR="007C2664" w:rsidRPr="00401691" w:rsidRDefault="007C2664" w:rsidP="00844145">
      <w:pPr>
        <w:pStyle w:val="ListParagraph"/>
        <w:spacing w:after="120" w:line="276" w:lineRule="auto"/>
        <w:ind w:left="0"/>
        <w:jc w:val="both"/>
        <w:rPr>
          <w:rFonts w:asciiTheme="majorHAnsi" w:eastAsia="Times New Roman" w:hAnsiTheme="majorHAnsi" w:cstheme="majorHAnsi"/>
          <w:bCs/>
          <w:sz w:val="24"/>
          <w:szCs w:val="24"/>
          <w:lang w:val="ro-MD"/>
        </w:rPr>
      </w:pPr>
      <w:r w:rsidRPr="00401691">
        <w:rPr>
          <w:rFonts w:asciiTheme="majorHAnsi" w:eastAsia="Times New Roman" w:hAnsiTheme="majorHAnsi" w:cstheme="majorHAnsi"/>
          <w:bCs/>
          <w:sz w:val="24"/>
          <w:szCs w:val="24"/>
          <w:lang w:val="ro-MD"/>
        </w:rPr>
        <w:t>Analiza măsurilor întreprinse de DGA privind urmărirea silită a obligațiilor curente pentru anul 2019, datorate de contribuabilii aflați în procedura de inso</w:t>
      </w:r>
      <w:r w:rsidR="00E3778E">
        <w:rPr>
          <w:rFonts w:asciiTheme="majorHAnsi" w:eastAsia="Times New Roman" w:hAnsiTheme="majorHAnsi" w:cstheme="majorHAnsi"/>
          <w:bCs/>
          <w:sz w:val="24"/>
          <w:szCs w:val="24"/>
          <w:lang w:val="ro-MD"/>
        </w:rPr>
        <w:t>lvabilitate, relevă impedimente</w:t>
      </w:r>
      <w:r w:rsidRPr="00401691">
        <w:rPr>
          <w:rFonts w:asciiTheme="majorHAnsi" w:eastAsia="Times New Roman" w:hAnsiTheme="majorHAnsi" w:cstheme="majorHAnsi"/>
          <w:bCs/>
          <w:sz w:val="24"/>
          <w:szCs w:val="24"/>
          <w:lang w:val="ro-MD"/>
        </w:rPr>
        <w:t xml:space="preserve"> privind punerea în aplicare a prevederilor legale menționate mai sus. </w:t>
      </w:r>
    </w:p>
    <w:p w:rsidR="007C2664" w:rsidRPr="00401691" w:rsidRDefault="007C2664" w:rsidP="00844145">
      <w:pPr>
        <w:spacing w:after="0" w:line="276" w:lineRule="auto"/>
        <w:jc w:val="both"/>
        <w:rPr>
          <w:rFonts w:asciiTheme="majorHAnsi" w:eastAsia="Times New Roman" w:hAnsiTheme="majorHAnsi" w:cstheme="majorHAnsi"/>
          <w:bCs/>
          <w:sz w:val="24"/>
          <w:szCs w:val="24"/>
          <w:lang w:val="ro-MD"/>
        </w:rPr>
      </w:pPr>
      <w:r w:rsidRPr="00401691">
        <w:rPr>
          <w:rFonts w:asciiTheme="majorHAnsi" w:eastAsia="Times New Roman" w:hAnsiTheme="majorHAnsi" w:cstheme="majorHAnsi"/>
          <w:bCs/>
          <w:sz w:val="24"/>
          <w:szCs w:val="24"/>
          <w:lang w:val="ro-MD"/>
        </w:rPr>
        <w:lastRenderedPageBreak/>
        <w:t>În acest context</w:t>
      </w:r>
      <w:r w:rsidR="006A1FF5">
        <w:rPr>
          <w:rFonts w:asciiTheme="majorHAnsi" w:eastAsia="Times New Roman" w:hAnsiTheme="majorHAnsi" w:cstheme="majorHAnsi"/>
          <w:bCs/>
          <w:sz w:val="24"/>
          <w:szCs w:val="24"/>
          <w:lang w:val="ro-MD"/>
        </w:rPr>
        <w:t>,</w:t>
      </w:r>
      <w:r w:rsidRPr="00401691">
        <w:rPr>
          <w:rFonts w:asciiTheme="majorHAnsi" w:eastAsia="Times New Roman" w:hAnsiTheme="majorHAnsi" w:cstheme="majorHAnsi"/>
          <w:bCs/>
          <w:sz w:val="24"/>
          <w:szCs w:val="24"/>
          <w:lang w:val="ro-MD"/>
        </w:rPr>
        <w:t xml:space="preserve"> se exemplifică situația constatată la SRL „Vinăria </w:t>
      </w:r>
      <w:proofErr w:type="spellStart"/>
      <w:r w:rsidRPr="00401691">
        <w:rPr>
          <w:rFonts w:asciiTheme="majorHAnsi" w:eastAsia="Times New Roman" w:hAnsiTheme="majorHAnsi" w:cstheme="majorHAnsi"/>
          <w:bCs/>
          <w:sz w:val="24"/>
          <w:szCs w:val="24"/>
          <w:lang w:val="ro-MD"/>
        </w:rPr>
        <w:t>Zîmbreni</w:t>
      </w:r>
      <w:proofErr w:type="spellEnd"/>
      <w:r w:rsidRPr="00401691">
        <w:rPr>
          <w:rFonts w:asciiTheme="majorHAnsi" w:eastAsia="Times New Roman" w:hAnsiTheme="majorHAnsi" w:cstheme="majorHAnsi"/>
          <w:bCs/>
          <w:sz w:val="24"/>
          <w:szCs w:val="24"/>
          <w:lang w:val="ro-MD"/>
        </w:rPr>
        <w:t xml:space="preserve">”, agent economic care </w:t>
      </w:r>
      <w:r w:rsidR="006A1FF5">
        <w:rPr>
          <w:rFonts w:asciiTheme="majorHAnsi" w:eastAsia="Times New Roman" w:hAnsiTheme="majorHAnsi" w:cstheme="majorHAnsi"/>
          <w:bCs/>
          <w:sz w:val="24"/>
          <w:szCs w:val="24"/>
          <w:lang w:val="ro-MD"/>
        </w:rPr>
        <w:t xml:space="preserve">se află </w:t>
      </w:r>
      <w:r w:rsidRPr="00401691">
        <w:rPr>
          <w:rFonts w:asciiTheme="majorHAnsi" w:eastAsia="Times New Roman" w:hAnsiTheme="majorHAnsi" w:cstheme="majorHAnsi"/>
          <w:bCs/>
          <w:sz w:val="24"/>
          <w:szCs w:val="24"/>
          <w:lang w:val="ro-MD"/>
        </w:rPr>
        <w:t xml:space="preserve"> în procedura de insolvabilitate din 22.01.2016, concomitent acumulând din activitatea operațională datorii curente la buget în </w:t>
      </w:r>
      <w:r w:rsidR="006A1FF5">
        <w:rPr>
          <w:rFonts w:asciiTheme="majorHAnsi" w:eastAsia="Times New Roman" w:hAnsiTheme="majorHAnsi" w:cstheme="majorHAnsi"/>
          <w:bCs/>
          <w:sz w:val="24"/>
          <w:szCs w:val="24"/>
          <w:lang w:val="ro-MD"/>
        </w:rPr>
        <w:t>sumă</w:t>
      </w:r>
      <w:r w:rsidRPr="00401691">
        <w:rPr>
          <w:rFonts w:asciiTheme="majorHAnsi" w:eastAsia="Times New Roman" w:hAnsiTheme="majorHAnsi" w:cstheme="majorHAnsi"/>
          <w:bCs/>
          <w:sz w:val="24"/>
          <w:szCs w:val="24"/>
          <w:lang w:val="ro-MD"/>
        </w:rPr>
        <w:t xml:space="preserve"> de 485,0 mii lei. La 31.05.2020, DGA mun. Chișinău a înaintat ordinul de incaso către instituția financiară</w:t>
      </w:r>
      <w:r w:rsidRPr="00401691">
        <w:rPr>
          <w:rStyle w:val="FootnoteReference"/>
          <w:rFonts w:asciiTheme="majorHAnsi" w:eastAsia="Times New Roman" w:hAnsiTheme="majorHAnsi" w:cstheme="majorHAnsi"/>
          <w:bCs/>
          <w:sz w:val="24"/>
          <w:szCs w:val="24"/>
          <w:lang w:val="ro-MD"/>
        </w:rPr>
        <w:footnoteReference w:id="38"/>
      </w:r>
      <w:r w:rsidRPr="00401691">
        <w:rPr>
          <w:rFonts w:asciiTheme="majorHAnsi" w:eastAsia="Times New Roman" w:hAnsiTheme="majorHAnsi" w:cstheme="majorHAnsi"/>
          <w:bCs/>
          <w:sz w:val="24"/>
          <w:szCs w:val="24"/>
          <w:lang w:val="ro-MD"/>
        </w:rPr>
        <w:t xml:space="preserve"> la care se deservește contribuab</w:t>
      </w:r>
      <w:r w:rsidR="00E3778E">
        <w:rPr>
          <w:rFonts w:asciiTheme="majorHAnsi" w:eastAsia="Times New Roman" w:hAnsiTheme="majorHAnsi" w:cstheme="majorHAnsi"/>
          <w:bCs/>
          <w:sz w:val="24"/>
          <w:szCs w:val="24"/>
          <w:lang w:val="ro-MD"/>
        </w:rPr>
        <w:t>ilul, privind încasarea forțată</w:t>
      </w:r>
      <w:r w:rsidRPr="00401691">
        <w:rPr>
          <w:rFonts w:asciiTheme="majorHAnsi" w:eastAsia="Times New Roman" w:hAnsiTheme="majorHAnsi" w:cstheme="majorHAnsi"/>
          <w:bCs/>
          <w:sz w:val="24"/>
          <w:szCs w:val="24"/>
          <w:lang w:val="ro-MD"/>
        </w:rPr>
        <w:t xml:space="preserve"> a restanței</w:t>
      </w:r>
      <w:r w:rsidR="006A1FF5">
        <w:rPr>
          <w:rFonts w:asciiTheme="majorHAnsi" w:eastAsia="Times New Roman" w:hAnsiTheme="majorHAnsi" w:cstheme="majorHAnsi"/>
          <w:bCs/>
          <w:sz w:val="24"/>
          <w:szCs w:val="24"/>
          <w:lang w:val="ro-MD"/>
        </w:rPr>
        <w:t>, î</w:t>
      </w:r>
      <w:r w:rsidRPr="00401691">
        <w:rPr>
          <w:rFonts w:asciiTheme="majorHAnsi" w:eastAsia="Times New Roman" w:hAnsiTheme="majorHAnsi" w:cstheme="majorHAnsi"/>
          <w:bCs/>
          <w:sz w:val="24"/>
          <w:szCs w:val="24"/>
          <w:lang w:val="ro-MD"/>
        </w:rPr>
        <w:t>nsă</w:t>
      </w:r>
      <w:r w:rsidR="006A1FF5">
        <w:rPr>
          <w:rFonts w:asciiTheme="majorHAnsi" w:eastAsia="Times New Roman" w:hAnsiTheme="majorHAnsi" w:cstheme="majorHAnsi"/>
          <w:bCs/>
          <w:sz w:val="24"/>
          <w:szCs w:val="24"/>
          <w:lang w:val="ro-MD"/>
        </w:rPr>
        <w:t xml:space="preserve"> </w:t>
      </w:r>
      <w:r w:rsidRPr="00401691">
        <w:rPr>
          <w:rFonts w:asciiTheme="majorHAnsi" w:eastAsia="Times New Roman" w:hAnsiTheme="majorHAnsi" w:cstheme="majorHAnsi"/>
          <w:bCs/>
          <w:sz w:val="24"/>
          <w:szCs w:val="24"/>
          <w:lang w:val="ro-MD"/>
        </w:rPr>
        <w:t xml:space="preserve"> </w:t>
      </w:r>
      <w:r w:rsidR="006A1FF5">
        <w:rPr>
          <w:rFonts w:asciiTheme="majorHAnsi" w:eastAsia="Times New Roman" w:hAnsiTheme="majorHAnsi" w:cstheme="majorHAnsi"/>
          <w:bCs/>
          <w:sz w:val="24"/>
          <w:szCs w:val="24"/>
          <w:lang w:val="ro-MD"/>
        </w:rPr>
        <w:t>b</w:t>
      </w:r>
      <w:r w:rsidRPr="00401691">
        <w:rPr>
          <w:rFonts w:asciiTheme="majorHAnsi" w:eastAsia="Times New Roman" w:hAnsiTheme="majorHAnsi" w:cstheme="majorHAnsi"/>
          <w:bCs/>
          <w:sz w:val="24"/>
          <w:szCs w:val="24"/>
          <w:lang w:val="ro-MD"/>
        </w:rPr>
        <w:t xml:space="preserve">anca a refuzat executarea incaso-ului, făcând referință la art.75 </w:t>
      </w:r>
      <w:proofErr w:type="spellStart"/>
      <w:r w:rsidRPr="00401691">
        <w:rPr>
          <w:rFonts w:asciiTheme="majorHAnsi" w:eastAsia="Times New Roman" w:hAnsiTheme="majorHAnsi" w:cstheme="majorHAnsi"/>
          <w:bCs/>
          <w:sz w:val="24"/>
          <w:szCs w:val="24"/>
          <w:lang w:val="ro-MD"/>
        </w:rPr>
        <w:t>lit.d</w:t>
      </w:r>
      <w:proofErr w:type="spellEnd"/>
      <w:r w:rsidRPr="00401691">
        <w:rPr>
          <w:rFonts w:asciiTheme="majorHAnsi" w:eastAsia="Times New Roman" w:hAnsiTheme="majorHAnsi" w:cstheme="majorHAnsi"/>
          <w:bCs/>
          <w:sz w:val="24"/>
          <w:szCs w:val="24"/>
          <w:lang w:val="ro-MD"/>
        </w:rPr>
        <w:t xml:space="preserve">) din Legea insolvabilității nr.149 din 29.06.2012, prin invocarea motivului că „dreptul de administrare și de valorificare a masei debitoare aplicate de alte instanțe de judecată sau de organele abilitate în acest sens se anulează de drept și se aplică </w:t>
      </w:r>
      <w:r w:rsidRPr="00401691">
        <w:rPr>
          <w:rFonts w:asciiTheme="majorHAnsi" w:hAnsiTheme="majorHAnsi" w:cstheme="majorHAnsi"/>
          <w:sz w:val="24"/>
          <w:szCs w:val="24"/>
          <w:lang w:val="ro-MD"/>
        </w:rPr>
        <w:t>în exclusivitate numai de către instanța de judecată care a intentat procedura de insolvabilitate”.</w:t>
      </w:r>
    </w:p>
    <w:p w:rsidR="007C2664" w:rsidRPr="00401691" w:rsidRDefault="007C2664" w:rsidP="00844145">
      <w:pPr>
        <w:spacing w:after="120" w:line="276" w:lineRule="auto"/>
        <w:jc w:val="both"/>
        <w:rPr>
          <w:rFonts w:asciiTheme="majorHAnsi" w:eastAsia="Times New Roman" w:hAnsiTheme="majorHAnsi" w:cstheme="majorHAnsi"/>
          <w:bCs/>
          <w:sz w:val="24"/>
          <w:szCs w:val="24"/>
          <w:lang w:val="ro-MD"/>
        </w:rPr>
      </w:pPr>
      <w:r w:rsidRPr="00401691">
        <w:rPr>
          <w:rFonts w:asciiTheme="majorHAnsi" w:eastAsia="Times New Roman" w:hAnsiTheme="majorHAnsi" w:cstheme="majorHAnsi"/>
          <w:bCs/>
          <w:sz w:val="24"/>
          <w:szCs w:val="24"/>
          <w:lang w:val="ro-MD"/>
        </w:rPr>
        <w:t xml:space="preserve">Deși DGA a emis </w:t>
      </w:r>
      <w:r w:rsidR="00AD61CC" w:rsidRPr="00401691">
        <w:rPr>
          <w:rFonts w:asciiTheme="majorHAnsi" w:eastAsia="Times New Roman" w:hAnsiTheme="majorHAnsi" w:cstheme="majorHAnsi"/>
          <w:bCs/>
          <w:sz w:val="24"/>
          <w:szCs w:val="24"/>
          <w:lang w:val="ro-MD"/>
        </w:rPr>
        <w:t>documentul p</w:t>
      </w:r>
      <w:r w:rsidRPr="00401691">
        <w:rPr>
          <w:rFonts w:asciiTheme="majorHAnsi" w:eastAsia="Times New Roman" w:hAnsiTheme="majorHAnsi" w:cstheme="majorHAnsi"/>
          <w:bCs/>
          <w:sz w:val="24"/>
          <w:szCs w:val="24"/>
          <w:lang w:val="ro-MD"/>
        </w:rPr>
        <w:t>rivind executarea silită a obligației fis</w:t>
      </w:r>
      <w:r w:rsidR="00E3778E">
        <w:rPr>
          <w:rFonts w:asciiTheme="majorHAnsi" w:eastAsia="Times New Roman" w:hAnsiTheme="majorHAnsi" w:cstheme="majorHAnsi"/>
          <w:bCs/>
          <w:sz w:val="24"/>
          <w:szCs w:val="24"/>
          <w:lang w:val="ro-MD"/>
        </w:rPr>
        <w:t>cale curente a contribuabilului</w:t>
      </w:r>
      <w:r w:rsidRPr="00401691">
        <w:rPr>
          <w:rFonts w:asciiTheme="majorHAnsi" w:eastAsia="Times New Roman" w:hAnsiTheme="majorHAnsi" w:cstheme="majorHAnsi"/>
          <w:bCs/>
          <w:sz w:val="24"/>
          <w:szCs w:val="24"/>
          <w:lang w:val="ro-MD"/>
        </w:rPr>
        <w:t xml:space="preserve"> în sumă de 485,0 mii lei, acest document nu poate fi executat</w:t>
      </w:r>
      <w:r w:rsidR="006A1FF5">
        <w:rPr>
          <w:rFonts w:asciiTheme="majorHAnsi" w:eastAsia="Times New Roman" w:hAnsiTheme="majorHAnsi" w:cstheme="majorHAnsi"/>
          <w:bCs/>
          <w:sz w:val="24"/>
          <w:szCs w:val="24"/>
          <w:lang w:val="ro-MD"/>
        </w:rPr>
        <w:t>,</w:t>
      </w:r>
      <w:r w:rsidRPr="00401691">
        <w:rPr>
          <w:rFonts w:asciiTheme="majorHAnsi" w:eastAsia="Times New Roman" w:hAnsiTheme="majorHAnsi" w:cstheme="majorHAnsi"/>
          <w:bCs/>
          <w:sz w:val="24"/>
          <w:szCs w:val="24"/>
          <w:lang w:val="ro-MD"/>
        </w:rPr>
        <w:t xml:space="preserve"> având în vedere </w:t>
      </w:r>
      <w:r w:rsidR="006A1FF5">
        <w:rPr>
          <w:rFonts w:asciiTheme="majorHAnsi" w:eastAsia="Times New Roman" w:hAnsiTheme="majorHAnsi" w:cstheme="majorHAnsi"/>
          <w:bCs/>
          <w:sz w:val="24"/>
          <w:szCs w:val="24"/>
          <w:lang w:val="ro-MD"/>
        </w:rPr>
        <w:t xml:space="preserve">faptul </w:t>
      </w:r>
      <w:r w:rsidRPr="00401691">
        <w:rPr>
          <w:rFonts w:asciiTheme="majorHAnsi" w:eastAsia="Times New Roman" w:hAnsiTheme="majorHAnsi" w:cstheme="majorHAnsi"/>
          <w:bCs/>
          <w:sz w:val="24"/>
          <w:szCs w:val="24"/>
          <w:lang w:val="ro-MD"/>
        </w:rPr>
        <w:t xml:space="preserve">că toate bunurile contribuabilului sunt incluse în masa debitoare și nu sunt pasibile urmăririi. Situații similare se constată și la alți agenți economici care sunt în proces de insolvabilitate și acumulează datorii curente la buget. </w:t>
      </w:r>
    </w:p>
    <w:p w:rsidR="00CF421B" w:rsidRPr="00685318" w:rsidRDefault="006A1FF5" w:rsidP="00844145">
      <w:pPr>
        <w:pStyle w:val="Heading3"/>
        <w:numPr>
          <w:ilvl w:val="1"/>
          <w:numId w:val="35"/>
        </w:numPr>
        <w:spacing w:before="240" w:after="120" w:line="276" w:lineRule="auto"/>
        <w:jc w:val="both"/>
        <w:rPr>
          <w:b/>
        </w:rPr>
      </w:pPr>
      <w:r>
        <w:rPr>
          <w:b/>
          <w:lang w:val="ro-MD"/>
        </w:rPr>
        <w:t xml:space="preserve">. </w:t>
      </w:r>
      <w:r w:rsidR="00510F9D">
        <w:rPr>
          <w:b/>
          <w:lang w:val="ro-MD"/>
        </w:rPr>
        <w:t xml:space="preserve"> </w:t>
      </w:r>
      <w:bookmarkStart w:id="20" w:name="_Toc48732732"/>
      <w:r w:rsidR="00870146">
        <w:rPr>
          <w:b/>
          <w:lang w:val="ro-MD"/>
        </w:rPr>
        <w:t>Riscuri de fraudă</w:t>
      </w:r>
      <w:r w:rsidR="00DC000A">
        <w:rPr>
          <w:b/>
          <w:lang w:val="ro-MD"/>
        </w:rPr>
        <w:t xml:space="preserve"> în acțiunile executorilor judecătorești</w:t>
      </w:r>
      <w:bookmarkEnd w:id="20"/>
    </w:p>
    <w:p w:rsidR="00CF421B" w:rsidRPr="00401691" w:rsidRDefault="00CF421B" w:rsidP="00844145">
      <w:pPr>
        <w:pStyle w:val="ListParagraph"/>
        <w:tabs>
          <w:tab w:val="left" w:pos="360"/>
        </w:tabs>
        <w:spacing w:after="120" w:line="276" w:lineRule="auto"/>
        <w:ind w:left="0"/>
        <w:jc w:val="both"/>
        <w:rPr>
          <w:rFonts w:asciiTheme="majorHAnsi" w:hAnsiTheme="majorHAnsi" w:cstheme="majorHAnsi"/>
          <w:sz w:val="24"/>
          <w:szCs w:val="24"/>
          <w:lang w:val="ro-MD"/>
        </w:rPr>
      </w:pPr>
      <w:r w:rsidRPr="00401691">
        <w:rPr>
          <w:rFonts w:asciiTheme="majorHAnsi" w:hAnsiTheme="majorHAnsi" w:cstheme="majorHAnsi"/>
          <w:sz w:val="24"/>
          <w:szCs w:val="24"/>
          <w:lang w:val="ro-MD"/>
        </w:rPr>
        <w:t>Prevederile CF</w:t>
      </w:r>
      <w:r w:rsidRPr="00401691">
        <w:rPr>
          <w:rFonts w:asciiTheme="majorHAnsi" w:eastAsia="Times New Roman" w:hAnsiTheme="majorHAnsi" w:cstheme="majorHAnsi"/>
          <w:sz w:val="24"/>
          <w:szCs w:val="24"/>
          <w:lang w:val="ro-MD"/>
        </w:rPr>
        <w:t xml:space="preserve"> statuează </w:t>
      </w:r>
      <w:r w:rsidRPr="00401691">
        <w:rPr>
          <w:rFonts w:asciiTheme="majorHAnsi" w:hAnsiTheme="majorHAnsi" w:cstheme="majorHAnsi"/>
          <w:sz w:val="24"/>
          <w:szCs w:val="24"/>
          <w:lang w:val="ro-MD"/>
        </w:rPr>
        <w:t xml:space="preserve">dreptul SFS </w:t>
      </w:r>
      <w:r w:rsidR="006A1FF5">
        <w:rPr>
          <w:rFonts w:asciiTheme="majorHAnsi" w:hAnsiTheme="majorHAnsi" w:cstheme="majorHAnsi"/>
          <w:sz w:val="24"/>
          <w:szCs w:val="24"/>
          <w:lang w:val="ro-MD"/>
        </w:rPr>
        <w:t>de a</w:t>
      </w:r>
      <w:r w:rsidRPr="00401691">
        <w:rPr>
          <w:rFonts w:asciiTheme="majorHAnsi" w:hAnsiTheme="majorHAnsi" w:cstheme="majorHAnsi"/>
          <w:sz w:val="24"/>
          <w:szCs w:val="24"/>
          <w:lang w:val="ro-MD"/>
        </w:rPr>
        <w:t xml:space="preserve"> prez</w:t>
      </w:r>
      <w:r w:rsidR="006A1FF5">
        <w:rPr>
          <w:rFonts w:asciiTheme="majorHAnsi" w:hAnsiTheme="majorHAnsi" w:cstheme="majorHAnsi"/>
          <w:sz w:val="24"/>
          <w:szCs w:val="24"/>
          <w:lang w:val="ro-MD"/>
        </w:rPr>
        <w:t>enta</w:t>
      </w:r>
      <w:r w:rsidRPr="00401691">
        <w:rPr>
          <w:rFonts w:asciiTheme="majorHAnsi" w:hAnsiTheme="majorHAnsi" w:cstheme="majorHAnsi"/>
          <w:sz w:val="24"/>
          <w:szCs w:val="24"/>
          <w:lang w:val="ro-MD"/>
        </w:rPr>
        <w:t xml:space="preserve"> executorilor judecătorești informațiile de care dispune referitor </w:t>
      </w:r>
      <w:r w:rsidRPr="00401691">
        <w:rPr>
          <w:rFonts w:asciiTheme="majorHAnsi" w:hAnsiTheme="majorHAnsi" w:cstheme="majorHAnsi"/>
          <w:sz w:val="24"/>
          <w:szCs w:val="24"/>
          <w:lang w:val="ro-MD"/>
        </w:rPr>
        <w:lastRenderedPageBreak/>
        <w:t>la un contribuabil concret, pentru executarea documentelor executorii emise de SFS.</w:t>
      </w:r>
    </w:p>
    <w:p w:rsidR="00941306" w:rsidRPr="00401691" w:rsidRDefault="008D14D7" w:rsidP="00844145">
      <w:pPr>
        <w:spacing w:after="120" w:line="276" w:lineRule="auto"/>
        <w:jc w:val="both"/>
        <w:rPr>
          <w:rStyle w:val="ms-rtefontface-3"/>
          <w:rFonts w:asciiTheme="majorHAnsi" w:hAnsiTheme="majorHAnsi" w:cstheme="majorHAnsi"/>
          <w:sz w:val="24"/>
          <w:szCs w:val="24"/>
          <w:lang w:val="ro-MD"/>
        </w:rPr>
      </w:pPr>
      <w:r>
        <w:rPr>
          <w:rFonts w:asciiTheme="majorHAnsi" w:eastAsia="Times New Roman" w:hAnsiTheme="majorHAnsi" w:cstheme="majorHAnsi"/>
          <w:sz w:val="24"/>
          <w:szCs w:val="24"/>
          <w:lang w:val="ro-MD"/>
        </w:rPr>
        <w:t>Pe</w:t>
      </w:r>
      <w:r w:rsidR="00CF421B" w:rsidRPr="00401691">
        <w:rPr>
          <w:rFonts w:asciiTheme="majorHAnsi" w:eastAsia="Times New Roman" w:hAnsiTheme="majorHAnsi" w:cstheme="majorHAnsi"/>
          <w:sz w:val="24"/>
          <w:szCs w:val="24"/>
          <w:lang w:val="ro-MD"/>
        </w:rPr>
        <w:t>ntru aplicarea acestor prevederi, capitolul 3.3. „Priorita</w:t>
      </w:r>
      <w:r w:rsidR="00E3778E">
        <w:rPr>
          <w:rFonts w:asciiTheme="majorHAnsi" w:eastAsia="Times New Roman" w:hAnsiTheme="majorHAnsi" w:cstheme="majorHAnsi"/>
          <w:sz w:val="24"/>
          <w:szCs w:val="24"/>
          <w:lang w:val="ro-MD"/>
        </w:rPr>
        <w:t>tea acțiunilor întreprinse” din</w:t>
      </w:r>
      <w:r w:rsidR="00CF421B" w:rsidRPr="00401691">
        <w:rPr>
          <w:rFonts w:asciiTheme="majorHAnsi" w:eastAsia="Times New Roman" w:hAnsiTheme="majorHAnsi" w:cstheme="majorHAnsi"/>
          <w:sz w:val="24"/>
          <w:szCs w:val="24"/>
          <w:lang w:val="ro-MD"/>
        </w:rPr>
        <w:t xml:space="preserve"> </w:t>
      </w:r>
      <w:r w:rsidR="00870146" w:rsidRPr="00E63078">
        <w:rPr>
          <w:rFonts w:asciiTheme="majorHAnsi" w:hAnsiTheme="majorHAnsi" w:cstheme="majorHAnsi"/>
          <w:sz w:val="24"/>
          <w:szCs w:val="24"/>
          <w:lang w:val="ro-MD"/>
        </w:rPr>
        <w:t>Manualul</w:t>
      </w:r>
      <w:r w:rsidR="00CF421B" w:rsidRPr="00401691">
        <w:rPr>
          <w:rFonts w:asciiTheme="majorHAnsi" w:hAnsiTheme="majorHAnsi" w:cstheme="majorHAnsi"/>
          <w:sz w:val="24"/>
          <w:szCs w:val="24"/>
          <w:lang w:val="ro-MD"/>
        </w:rPr>
        <w:t xml:space="preserve"> operațional </w:t>
      </w:r>
      <w:r w:rsidR="00E63078">
        <w:rPr>
          <w:rFonts w:asciiTheme="majorHAnsi" w:hAnsiTheme="majorHAnsi" w:cstheme="majorHAnsi"/>
          <w:sz w:val="24"/>
          <w:szCs w:val="24"/>
          <w:lang w:val="ro-MD"/>
        </w:rPr>
        <w:t xml:space="preserve">privind </w:t>
      </w:r>
      <w:r w:rsidR="00CF421B" w:rsidRPr="00401691">
        <w:rPr>
          <w:rFonts w:asciiTheme="majorHAnsi" w:hAnsiTheme="majorHAnsi" w:cstheme="majorHAnsi"/>
          <w:sz w:val="24"/>
          <w:szCs w:val="24"/>
          <w:lang w:val="ro-MD"/>
        </w:rPr>
        <w:t xml:space="preserve">managementul arieratelor reglementează că </w:t>
      </w:r>
      <w:r w:rsidR="00CF421B" w:rsidRPr="00401691">
        <w:rPr>
          <w:rStyle w:val="ms-rtefontface-3"/>
          <w:rFonts w:asciiTheme="majorHAnsi" w:hAnsiTheme="majorHAnsi" w:cstheme="majorHAnsi"/>
          <w:sz w:val="24"/>
          <w:szCs w:val="24"/>
          <w:lang w:val="ro-MD"/>
        </w:rPr>
        <w:t xml:space="preserve">în cazul apariției restanței </w:t>
      </w:r>
      <w:r>
        <w:rPr>
          <w:rStyle w:val="ms-rtefontface-3"/>
          <w:rFonts w:asciiTheme="majorHAnsi" w:hAnsiTheme="majorHAnsi" w:cstheme="majorHAnsi"/>
          <w:sz w:val="24"/>
          <w:szCs w:val="24"/>
          <w:lang w:val="ro-MD"/>
        </w:rPr>
        <w:t>ca</w:t>
      </w:r>
      <w:r w:rsidR="00CF421B" w:rsidRPr="00401691">
        <w:rPr>
          <w:rStyle w:val="ms-rtefontface-3"/>
          <w:rFonts w:asciiTheme="majorHAnsi" w:hAnsiTheme="majorHAnsi" w:cstheme="majorHAnsi"/>
          <w:sz w:val="24"/>
          <w:szCs w:val="24"/>
          <w:lang w:val="ro-MD"/>
        </w:rPr>
        <w:t xml:space="preserve"> urmare a calculelor pe decizii și/sau a sancțiunilor fiscale/cont</w:t>
      </w:r>
      <w:r w:rsidR="00870146">
        <w:rPr>
          <w:rStyle w:val="ms-rtefontface-3"/>
          <w:rFonts w:asciiTheme="majorHAnsi" w:hAnsiTheme="majorHAnsi" w:cstheme="majorHAnsi"/>
          <w:sz w:val="24"/>
          <w:szCs w:val="24"/>
          <w:lang w:val="ro-MD"/>
        </w:rPr>
        <w:t xml:space="preserve">ravenționale, </w:t>
      </w:r>
      <w:r>
        <w:rPr>
          <w:rStyle w:val="ms-rtefontface-3"/>
          <w:rFonts w:asciiTheme="majorHAnsi" w:hAnsiTheme="majorHAnsi" w:cstheme="majorHAnsi"/>
          <w:sz w:val="24"/>
          <w:szCs w:val="24"/>
          <w:lang w:val="ro-MD"/>
        </w:rPr>
        <w:t>care</w:t>
      </w:r>
      <w:r w:rsidR="00870146">
        <w:rPr>
          <w:rStyle w:val="ms-rtefontface-3"/>
          <w:rFonts w:asciiTheme="majorHAnsi" w:hAnsiTheme="majorHAnsi" w:cstheme="majorHAnsi"/>
          <w:sz w:val="24"/>
          <w:szCs w:val="24"/>
          <w:lang w:val="ro-MD"/>
        </w:rPr>
        <w:t xml:space="preserve"> </w:t>
      </w:r>
      <w:r w:rsidR="00CF421B" w:rsidRPr="00401691">
        <w:rPr>
          <w:rStyle w:val="ms-rtefontface-3"/>
          <w:rFonts w:asciiTheme="majorHAnsi" w:hAnsiTheme="majorHAnsi" w:cstheme="majorHAnsi"/>
          <w:sz w:val="24"/>
          <w:szCs w:val="24"/>
          <w:lang w:val="ro-MD"/>
        </w:rPr>
        <w:t>nu pot fi încasate prin forț</w:t>
      </w:r>
      <w:r w:rsidR="00870146">
        <w:rPr>
          <w:rStyle w:val="ms-rtefontface-3"/>
          <w:rFonts w:asciiTheme="majorHAnsi" w:hAnsiTheme="majorHAnsi" w:cstheme="majorHAnsi"/>
          <w:sz w:val="24"/>
          <w:szCs w:val="24"/>
          <w:lang w:val="ro-MD"/>
        </w:rPr>
        <w:t>ele și instrumentarul propriu,</w:t>
      </w:r>
      <w:r w:rsidR="00CF421B" w:rsidRPr="00401691">
        <w:rPr>
          <w:rStyle w:val="ms-rtefontface-3"/>
          <w:rFonts w:asciiTheme="majorHAnsi" w:hAnsiTheme="majorHAnsi" w:cstheme="majorHAnsi"/>
          <w:sz w:val="24"/>
          <w:szCs w:val="24"/>
          <w:lang w:val="ro-MD"/>
        </w:rPr>
        <w:t xml:space="preserve"> acestea se re</w:t>
      </w:r>
      <w:r w:rsidR="00870146">
        <w:rPr>
          <w:rStyle w:val="ms-rtefontface-3"/>
          <w:rFonts w:asciiTheme="majorHAnsi" w:hAnsiTheme="majorHAnsi" w:cstheme="majorHAnsi"/>
          <w:sz w:val="24"/>
          <w:szCs w:val="24"/>
          <w:lang w:val="ro-MD"/>
        </w:rPr>
        <w:t>mit</w:t>
      </w:r>
      <w:r>
        <w:rPr>
          <w:rStyle w:val="ms-rtefontface-3"/>
          <w:rFonts w:asciiTheme="majorHAnsi" w:hAnsiTheme="majorHAnsi" w:cstheme="majorHAnsi"/>
          <w:sz w:val="24"/>
          <w:szCs w:val="24"/>
          <w:lang w:val="ro-MD"/>
        </w:rPr>
        <w:t>,</w:t>
      </w:r>
      <w:r w:rsidR="00CF421B" w:rsidRPr="00401691">
        <w:rPr>
          <w:rStyle w:val="ms-rtefontface-3"/>
          <w:rFonts w:asciiTheme="majorHAnsi" w:hAnsiTheme="majorHAnsi" w:cstheme="majorHAnsi"/>
          <w:sz w:val="24"/>
          <w:szCs w:val="24"/>
          <w:lang w:val="ro-MD"/>
        </w:rPr>
        <w:t xml:space="preserve"> în temeiul </w:t>
      </w:r>
      <w:hyperlink r:id="rId17" w:tgtFrame="_blank" w:history="1">
        <w:r w:rsidR="00CF421B" w:rsidRPr="00401691">
          <w:rPr>
            <w:rStyle w:val="ms-rtefontface-3"/>
            <w:rFonts w:asciiTheme="majorHAnsi" w:hAnsiTheme="majorHAnsi" w:cstheme="majorHAnsi"/>
            <w:sz w:val="24"/>
            <w:szCs w:val="24"/>
            <w:lang w:val="ro-MD"/>
          </w:rPr>
          <w:t>art.11 din Codul de executare</w:t>
        </w:r>
        <w:r w:rsidR="00CF421B" w:rsidRPr="00401691">
          <w:rPr>
            <w:rStyle w:val="FootnoteReference"/>
            <w:rFonts w:asciiTheme="majorHAnsi" w:hAnsiTheme="majorHAnsi" w:cstheme="majorHAnsi"/>
            <w:sz w:val="24"/>
            <w:szCs w:val="24"/>
            <w:lang w:val="ro-MD"/>
          </w:rPr>
          <w:footnoteReference w:id="39"/>
        </w:r>
        <w:r w:rsidR="00CF421B" w:rsidRPr="00401691">
          <w:rPr>
            <w:rStyle w:val="ms-rtefontface-3"/>
            <w:rFonts w:asciiTheme="majorHAnsi" w:hAnsiTheme="majorHAnsi" w:cstheme="majorHAnsi"/>
            <w:sz w:val="24"/>
            <w:szCs w:val="24"/>
            <w:lang w:val="ro-MD"/>
          </w:rPr>
          <w:t>​</w:t>
        </w:r>
      </w:hyperlink>
      <w:r w:rsidR="00CF421B" w:rsidRPr="00401691">
        <w:rPr>
          <w:rStyle w:val="ms-rtefontface-3"/>
          <w:rFonts w:asciiTheme="majorHAnsi" w:hAnsiTheme="majorHAnsi" w:cstheme="majorHAnsi"/>
          <w:sz w:val="24"/>
          <w:szCs w:val="24"/>
          <w:lang w:val="ro-MD"/>
        </w:rPr>
        <w:t>, către executorul judecătoresc competent.</w:t>
      </w:r>
    </w:p>
    <w:p w:rsidR="00B00022" w:rsidRPr="00401691" w:rsidRDefault="00CF421B" w:rsidP="00844145">
      <w:pPr>
        <w:spacing w:after="120" w:line="276" w:lineRule="auto"/>
        <w:jc w:val="both"/>
        <w:rPr>
          <w:rFonts w:asciiTheme="majorHAnsi" w:hAnsiTheme="majorHAnsi" w:cstheme="majorHAnsi"/>
          <w:sz w:val="24"/>
          <w:szCs w:val="24"/>
          <w:lang w:val="ro-MD"/>
        </w:rPr>
      </w:pPr>
      <w:r w:rsidRPr="00401691">
        <w:rPr>
          <w:rStyle w:val="ms-rtefontface-3"/>
          <w:rFonts w:asciiTheme="majorHAnsi" w:hAnsiTheme="majorHAnsi" w:cstheme="majorHAnsi"/>
          <w:sz w:val="24"/>
          <w:szCs w:val="24"/>
          <w:lang w:val="ro-MD"/>
        </w:rPr>
        <w:t>Aplicând practica uzuală a normelor sus-menționate, dar și prevederil</w:t>
      </w:r>
      <w:r w:rsidR="008D14D7">
        <w:rPr>
          <w:rStyle w:val="ms-rtefontface-3"/>
          <w:rFonts w:asciiTheme="majorHAnsi" w:hAnsiTheme="majorHAnsi" w:cstheme="majorHAnsi"/>
          <w:sz w:val="24"/>
          <w:szCs w:val="24"/>
          <w:lang w:val="ro-MD"/>
        </w:rPr>
        <w:t>e</w:t>
      </w:r>
      <w:r w:rsidRPr="00401691">
        <w:rPr>
          <w:rStyle w:val="ms-rtefontface-3"/>
          <w:rFonts w:asciiTheme="majorHAnsi" w:hAnsiTheme="majorHAnsi" w:cstheme="majorHAnsi"/>
          <w:sz w:val="24"/>
          <w:szCs w:val="24"/>
          <w:lang w:val="ro-MD"/>
        </w:rPr>
        <w:t xml:space="preserve"> Codului de executare, </w:t>
      </w:r>
      <w:r w:rsidR="00891C2F">
        <w:rPr>
          <w:rStyle w:val="ms-rtefontface-3"/>
          <w:rFonts w:asciiTheme="majorHAnsi" w:hAnsiTheme="majorHAnsi" w:cstheme="majorHAnsi"/>
          <w:sz w:val="24"/>
          <w:szCs w:val="24"/>
          <w:lang w:val="ro-MD"/>
        </w:rPr>
        <w:t>l</w:t>
      </w:r>
      <w:r w:rsidR="00891C2F" w:rsidRPr="00891C2F">
        <w:rPr>
          <w:rStyle w:val="ms-rtefontface-3"/>
          <w:rFonts w:asciiTheme="majorHAnsi" w:hAnsiTheme="majorHAnsi" w:cstheme="majorHAnsi"/>
          <w:sz w:val="24"/>
          <w:szCs w:val="24"/>
          <w:lang w:val="ro-MD"/>
        </w:rPr>
        <w:t>a situația din 31.12.2019, potrivit datelor SFS, executorii judecătorești aveau în procedură 1711 documente executorii</w:t>
      </w:r>
      <w:r w:rsidR="008D14D7">
        <w:rPr>
          <w:rStyle w:val="ms-rtefontface-3"/>
          <w:rFonts w:asciiTheme="majorHAnsi" w:hAnsiTheme="majorHAnsi" w:cstheme="majorHAnsi"/>
          <w:sz w:val="24"/>
          <w:szCs w:val="24"/>
          <w:lang w:val="ro-MD"/>
        </w:rPr>
        <w:t>,</w:t>
      </w:r>
      <w:r w:rsidR="00891C2F" w:rsidRPr="00891C2F">
        <w:rPr>
          <w:rStyle w:val="ms-rtefontface-3"/>
          <w:rFonts w:asciiTheme="majorHAnsi" w:hAnsiTheme="majorHAnsi" w:cstheme="majorHAnsi"/>
          <w:sz w:val="24"/>
          <w:szCs w:val="24"/>
          <w:lang w:val="ro-MD"/>
        </w:rPr>
        <w:t xml:space="preserve"> emise de organul fiscal</w:t>
      </w:r>
      <w:r w:rsidR="008D14D7">
        <w:rPr>
          <w:rStyle w:val="ms-rtefontface-3"/>
          <w:rFonts w:asciiTheme="majorHAnsi" w:hAnsiTheme="majorHAnsi" w:cstheme="majorHAnsi"/>
          <w:sz w:val="24"/>
          <w:szCs w:val="24"/>
          <w:lang w:val="ro-MD"/>
        </w:rPr>
        <w:t>,</w:t>
      </w:r>
      <w:r w:rsidR="00870146">
        <w:rPr>
          <w:rStyle w:val="ms-rtefontface-3"/>
          <w:rFonts w:asciiTheme="majorHAnsi" w:hAnsiTheme="majorHAnsi" w:cstheme="majorHAnsi"/>
          <w:sz w:val="24"/>
          <w:szCs w:val="24"/>
          <w:lang w:val="ro-MD"/>
        </w:rPr>
        <w:t xml:space="preserve"> în valoare de 1091,6 mil. lei,</w:t>
      </w:r>
      <w:r w:rsidR="00891C2F" w:rsidRPr="00891C2F">
        <w:rPr>
          <w:rStyle w:val="ms-rtefontface-3"/>
          <w:rFonts w:asciiTheme="majorHAnsi" w:hAnsiTheme="majorHAnsi" w:cstheme="majorHAnsi"/>
          <w:sz w:val="24"/>
          <w:szCs w:val="24"/>
          <w:lang w:val="ro-MD"/>
        </w:rPr>
        <w:t xml:space="preserve"> fiind intentate proceduri de executare în cazul a 439 </w:t>
      </w:r>
      <w:r w:rsidR="008D14D7">
        <w:rPr>
          <w:rStyle w:val="ms-rtefontface-3"/>
          <w:rFonts w:asciiTheme="majorHAnsi" w:hAnsiTheme="majorHAnsi" w:cstheme="majorHAnsi"/>
          <w:sz w:val="24"/>
          <w:szCs w:val="24"/>
          <w:lang w:val="ro-MD"/>
        </w:rPr>
        <w:t xml:space="preserve">de </w:t>
      </w:r>
      <w:r w:rsidR="00891C2F" w:rsidRPr="00891C2F">
        <w:rPr>
          <w:rStyle w:val="ms-rtefontface-3"/>
          <w:rFonts w:asciiTheme="majorHAnsi" w:hAnsiTheme="majorHAnsi" w:cstheme="majorHAnsi"/>
          <w:sz w:val="24"/>
          <w:szCs w:val="24"/>
          <w:lang w:val="ro-MD"/>
        </w:rPr>
        <w:t>docum</w:t>
      </w:r>
      <w:r w:rsidR="00870146">
        <w:rPr>
          <w:rStyle w:val="ms-rtefontface-3"/>
          <w:rFonts w:asciiTheme="majorHAnsi" w:hAnsiTheme="majorHAnsi" w:cstheme="majorHAnsi"/>
          <w:sz w:val="24"/>
          <w:szCs w:val="24"/>
          <w:lang w:val="ro-MD"/>
        </w:rPr>
        <w:t xml:space="preserve">ente în </w:t>
      </w:r>
      <w:r w:rsidR="008D14D7">
        <w:rPr>
          <w:rStyle w:val="ms-rtefontface-3"/>
          <w:rFonts w:asciiTheme="majorHAnsi" w:hAnsiTheme="majorHAnsi" w:cstheme="majorHAnsi"/>
          <w:sz w:val="24"/>
          <w:szCs w:val="24"/>
          <w:lang w:val="ro-MD"/>
        </w:rPr>
        <w:t>valoare</w:t>
      </w:r>
      <w:r w:rsidR="00870146">
        <w:rPr>
          <w:rStyle w:val="ms-rtefontface-3"/>
          <w:rFonts w:asciiTheme="majorHAnsi" w:hAnsiTheme="majorHAnsi" w:cstheme="majorHAnsi"/>
          <w:sz w:val="24"/>
          <w:szCs w:val="24"/>
          <w:lang w:val="ro-MD"/>
        </w:rPr>
        <w:t xml:space="preserve"> de 408,6 mil</w:t>
      </w:r>
      <w:r w:rsidR="008D14D7">
        <w:rPr>
          <w:rStyle w:val="ms-rtefontface-3"/>
          <w:rFonts w:asciiTheme="majorHAnsi" w:hAnsiTheme="majorHAnsi" w:cstheme="majorHAnsi"/>
          <w:sz w:val="24"/>
          <w:szCs w:val="24"/>
          <w:lang w:val="ro-MD"/>
        </w:rPr>
        <w:t>.</w:t>
      </w:r>
      <w:r w:rsidR="00870146">
        <w:rPr>
          <w:rStyle w:val="ms-rtefontface-3"/>
          <w:rFonts w:asciiTheme="majorHAnsi" w:hAnsiTheme="majorHAnsi" w:cstheme="majorHAnsi"/>
          <w:sz w:val="24"/>
          <w:szCs w:val="24"/>
          <w:lang w:val="ro-MD"/>
        </w:rPr>
        <w:t xml:space="preserve"> lei, </w:t>
      </w:r>
      <w:r w:rsidR="00891C2F" w:rsidRPr="00891C2F">
        <w:rPr>
          <w:rStyle w:val="ms-rtefontface-3"/>
          <w:rFonts w:asciiTheme="majorHAnsi" w:hAnsiTheme="majorHAnsi" w:cstheme="majorHAnsi"/>
          <w:sz w:val="24"/>
          <w:szCs w:val="24"/>
          <w:lang w:val="ro-MD"/>
        </w:rPr>
        <w:t>din care au fost restituite la buget 26,6 mil. lei, ce constituie 6,5%.</w:t>
      </w:r>
    </w:p>
    <w:p w:rsidR="00CF421B" w:rsidRDefault="002E5C67" w:rsidP="00FB3F17">
      <w:pPr>
        <w:spacing w:after="0" w:line="276" w:lineRule="auto"/>
        <w:jc w:val="both"/>
        <w:rPr>
          <w:rFonts w:asciiTheme="majorHAnsi" w:hAnsiTheme="majorHAnsi" w:cstheme="majorHAnsi"/>
          <w:sz w:val="24"/>
          <w:szCs w:val="24"/>
          <w:lang w:val="ro-MD"/>
        </w:rPr>
      </w:pPr>
      <w:r>
        <w:rPr>
          <w:rFonts w:asciiTheme="majorHAnsi" w:hAnsiTheme="majorHAnsi" w:cstheme="majorHAnsi"/>
          <w:sz w:val="24"/>
          <w:szCs w:val="24"/>
          <w:lang w:val="ro-MD"/>
        </w:rPr>
        <w:t>Datele raportate</w:t>
      </w:r>
      <w:r w:rsidR="00CF421B" w:rsidRPr="00401691">
        <w:rPr>
          <w:rFonts w:asciiTheme="majorHAnsi" w:hAnsiTheme="majorHAnsi" w:cstheme="majorHAnsi"/>
          <w:sz w:val="24"/>
          <w:szCs w:val="24"/>
          <w:lang w:val="ro-MD"/>
        </w:rPr>
        <w:t xml:space="preserve"> de SFS denotă că partea preponderentă a documentelor executorii remise executorilor judecătorești revine DGA mun. Chișinău</w:t>
      </w:r>
      <w:r w:rsidR="00774F3B" w:rsidRPr="00401691">
        <w:rPr>
          <w:rFonts w:asciiTheme="majorHAnsi" w:hAnsiTheme="majorHAnsi" w:cstheme="majorHAnsi"/>
          <w:sz w:val="24"/>
          <w:szCs w:val="24"/>
          <w:lang w:val="ro-MD"/>
        </w:rPr>
        <w:t xml:space="preserve">, </w:t>
      </w:r>
      <w:r w:rsidR="00C61635" w:rsidRPr="006433D0">
        <w:rPr>
          <w:rFonts w:asciiTheme="majorHAnsi" w:hAnsiTheme="majorHAnsi" w:cstheme="majorHAnsi"/>
          <w:sz w:val="24"/>
          <w:szCs w:val="24"/>
          <w:lang w:val="ro-MD"/>
        </w:rPr>
        <w:t xml:space="preserve">din </w:t>
      </w:r>
      <w:r w:rsidR="008D14D7">
        <w:rPr>
          <w:rFonts w:asciiTheme="majorHAnsi" w:hAnsiTheme="majorHAnsi" w:cstheme="majorHAnsi"/>
          <w:sz w:val="24"/>
          <w:szCs w:val="24"/>
          <w:lang w:val="ro-MD"/>
        </w:rPr>
        <w:t>care</w:t>
      </w:r>
      <w:r w:rsidR="00C61635" w:rsidRPr="006433D0">
        <w:rPr>
          <w:rFonts w:asciiTheme="majorHAnsi" w:hAnsiTheme="majorHAnsi" w:cstheme="majorHAnsi"/>
          <w:sz w:val="24"/>
          <w:szCs w:val="24"/>
          <w:lang w:val="ro-MD"/>
        </w:rPr>
        <w:t xml:space="preserve"> motiv </w:t>
      </w:r>
      <w:r w:rsidR="00774F3B" w:rsidRPr="006433D0">
        <w:rPr>
          <w:rFonts w:asciiTheme="majorHAnsi" w:hAnsiTheme="majorHAnsi" w:cstheme="majorHAnsi"/>
          <w:sz w:val="24"/>
          <w:szCs w:val="24"/>
          <w:lang w:val="ro-MD"/>
        </w:rPr>
        <w:t xml:space="preserve">auditul </w:t>
      </w:r>
      <w:r w:rsidR="008D14D7">
        <w:rPr>
          <w:rFonts w:asciiTheme="majorHAnsi" w:hAnsiTheme="majorHAnsi" w:cstheme="majorHAnsi"/>
          <w:sz w:val="24"/>
          <w:szCs w:val="24"/>
          <w:lang w:val="ro-MD"/>
        </w:rPr>
        <w:t xml:space="preserve">a </w:t>
      </w:r>
      <w:r w:rsidR="00774F3B" w:rsidRPr="006433D0">
        <w:rPr>
          <w:rFonts w:asciiTheme="majorHAnsi" w:hAnsiTheme="majorHAnsi" w:cstheme="majorHAnsi"/>
          <w:sz w:val="24"/>
          <w:szCs w:val="24"/>
          <w:lang w:val="ro-MD"/>
        </w:rPr>
        <w:t>select</w:t>
      </w:r>
      <w:r w:rsidR="008D14D7">
        <w:rPr>
          <w:rFonts w:asciiTheme="majorHAnsi" w:hAnsiTheme="majorHAnsi" w:cstheme="majorHAnsi"/>
          <w:sz w:val="24"/>
          <w:szCs w:val="24"/>
          <w:lang w:val="ro-MD"/>
        </w:rPr>
        <w:t>at</w:t>
      </w:r>
      <w:r w:rsidR="00C61635" w:rsidRPr="006433D0">
        <w:rPr>
          <w:rFonts w:asciiTheme="majorHAnsi" w:hAnsiTheme="majorHAnsi" w:cstheme="majorHAnsi"/>
          <w:sz w:val="24"/>
          <w:szCs w:val="24"/>
          <w:lang w:val="ro-MD"/>
        </w:rPr>
        <w:t xml:space="preserve">-o pentru </w:t>
      </w:r>
      <w:r w:rsidR="00774F3B" w:rsidRPr="006433D0">
        <w:rPr>
          <w:rFonts w:asciiTheme="majorHAnsi" w:hAnsiTheme="majorHAnsi" w:cstheme="majorHAnsi"/>
          <w:sz w:val="24"/>
          <w:szCs w:val="24"/>
          <w:lang w:val="ro-MD"/>
        </w:rPr>
        <w:t>verifi</w:t>
      </w:r>
      <w:r w:rsidR="00C61635" w:rsidRPr="006433D0">
        <w:rPr>
          <w:rFonts w:asciiTheme="majorHAnsi" w:hAnsiTheme="majorHAnsi" w:cstheme="majorHAnsi"/>
          <w:sz w:val="24"/>
          <w:szCs w:val="24"/>
          <w:lang w:val="ro-MD"/>
        </w:rPr>
        <w:t>care</w:t>
      </w:r>
      <w:r w:rsidR="00774F3B" w:rsidRPr="006433D0">
        <w:rPr>
          <w:rFonts w:asciiTheme="majorHAnsi" w:hAnsiTheme="majorHAnsi" w:cstheme="majorHAnsi"/>
          <w:sz w:val="24"/>
          <w:szCs w:val="24"/>
          <w:lang w:val="ro-MD"/>
        </w:rPr>
        <w:t>.</w:t>
      </w:r>
      <w:r w:rsidR="00774F3B" w:rsidRPr="00401691">
        <w:rPr>
          <w:rFonts w:asciiTheme="majorHAnsi" w:hAnsiTheme="majorHAnsi" w:cstheme="majorHAnsi"/>
          <w:sz w:val="24"/>
          <w:szCs w:val="24"/>
          <w:lang w:val="ro-MD"/>
        </w:rPr>
        <w:t xml:space="preserve"> </w:t>
      </w:r>
      <w:r w:rsidR="00CF421B" w:rsidRPr="00401691">
        <w:rPr>
          <w:rFonts w:asciiTheme="majorHAnsi" w:hAnsiTheme="majorHAnsi" w:cstheme="majorHAnsi"/>
          <w:sz w:val="24"/>
          <w:szCs w:val="24"/>
          <w:lang w:val="ro-MD"/>
        </w:rPr>
        <w:t>Astfel,</w:t>
      </w:r>
      <w:r w:rsidR="00774F3B" w:rsidRPr="00401691">
        <w:rPr>
          <w:rFonts w:asciiTheme="majorHAnsi" w:hAnsiTheme="majorHAnsi" w:cstheme="majorHAnsi"/>
          <w:sz w:val="24"/>
          <w:szCs w:val="24"/>
          <w:lang w:val="ro-MD"/>
        </w:rPr>
        <w:t xml:space="preserve"> </w:t>
      </w:r>
      <w:r w:rsidR="00CF421B" w:rsidRPr="00401691">
        <w:rPr>
          <w:rFonts w:asciiTheme="majorHAnsi" w:hAnsiTheme="majorHAnsi" w:cstheme="majorHAnsi"/>
          <w:sz w:val="24"/>
          <w:szCs w:val="24"/>
          <w:lang w:val="ro-MD"/>
        </w:rPr>
        <w:t>în funcție de modalitățile de conlucrare cu executorii</w:t>
      </w:r>
      <w:r w:rsidR="00774F3B" w:rsidRPr="00401691">
        <w:rPr>
          <w:rFonts w:asciiTheme="majorHAnsi" w:hAnsiTheme="majorHAnsi" w:cstheme="majorHAnsi"/>
          <w:sz w:val="24"/>
          <w:szCs w:val="24"/>
          <w:lang w:val="ro-MD"/>
        </w:rPr>
        <w:t>,</w:t>
      </w:r>
      <w:r w:rsidR="00CF421B" w:rsidRPr="00401691">
        <w:rPr>
          <w:rFonts w:asciiTheme="majorHAnsi" w:hAnsiTheme="majorHAnsi" w:cstheme="majorHAnsi"/>
          <w:sz w:val="24"/>
          <w:szCs w:val="24"/>
          <w:lang w:val="ro-MD"/>
        </w:rPr>
        <w:t xml:space="preserve"> situația la</w:t>
      </w:r>
      <w:r w:rsidR="008D14D7">
        <w:rPr>
          <w:rFonts w:asciiTheme="majorHAnsi" w:hAnsiTheme="majorHAnsi" w:cstheme="majorHAnsi"/>
          <w:sz w:val="24"/>
          <w:szCs w:val="24"/>
          <w:lang w:val="ro-MD"/>
        </w:rPr>
        <w:t xml:space="preserve"> data de</w:t>
      </w:r>
      <w:r w:rsidR="00CF421B" w:rsidRPr="00401691">
        <w:rPr>
          <w:rFonts w:asciiTheme="majorHAnsi" w:hAnsiTheme="majorHAnsi" w:cstheme="majorHAnsi"/>
          <w:sz w:val="24"/>
          <w:szCs w:val="24"/>
          <w:lang w:val="ro-MD"/>
        </w:rPr>
        <w:t xml:space="preserve"> 31.12.2019 se prez</w:t>
      </w:r>
      <w:r w:rsidR="008D14D7">
        <w:rPr>
          <w:rFonts w:asciiTheme="majorHAnsi" w:hAnsiTheme="majorHAnsi" w:cstheme="majorHAnsi"/>
          <w:sz w:val="24"/>
          <w:szCs w:val="24"/>
          <w:lang w:val="ro-MD"/>
        </w:rPr>
        <w:t>i</w:t>
      </w:r>
      <w:r w:rsidR="00CF421B" w:rsidRPr="00401691">
        <w:rPr>
          <w:rFonts w:asciiTheme="majorHAnsi" w:hAnsiTheme="majorHAnsi" w:cstheme="majorHAnsi"/>
          <w:sz w:val="24"/>
          <w:szCs w:val="24"/>
          <w:lang w:val="ro-MD"/>
        </w:rPr>
        <w:t xml:space="preserve">ntă în </w:t>
      </w:r>
      <w:r w:rsidR="008D14D7">
        <w:rPr>
          <w:rFonts w:asciiTheme="majorHAnsi" w:hAnsiTheme="majorHAnsi" w:cstheme="majorHAnsi"/>
          <w:sz w:val="24"/>
          <w:szCs w:val="24"/>
          <w:lang w:val="ro-MD"/>
        </w:rPr>
        <w:t>F</w:t>
      </w:r>
      <w:r w:rsidR="00CF421B" w:rsidRPr="00401691">
        <w:rPr>
          <w:rFonts w:asciiTheme="majorHAnsi" w:hAnsiTheme="majorHAnsi" w:cstheme="majorHAnsi"/>
          <w:sz w:val="24"/>
          <w:szCs w:val="24"/>
          <w:lang w:val="ro-MD"/>
        </w:rPr>
        <w:t>igura nr.1</w:t>
      </w:r>
      <w:r w:rsidR="008D14D7">
        <w:rPr>
          <w:rFonts w:asciiTheme="majorHAnsi" w:hAnsiTheme="majorHAnsi" w:cstheme="majorHAnsi"/>
          <w:sz w:val="24"/>
          <w:szCs w:val="24"/>
          <w:lang w:val="ro-MD"/>
        </w:rPr>
        <w:t>.</w:t>
      </w:r>
    </w:p>
    <w:p w:rsidR="002E5C67" w:rsidRDefault="002E5C67" w:rsidP="00FB3F17">
      <w:pPr>
        <w:spacing w:after="0" w:line="276" w:lineRule="auto"/>
        <w:jc w:val="right"/>
        <w:rPr>
          <w:rFonts w:asciiTheme="majorHAnsi" w:hAnsiTheme="majorHAnsi" w:cstheme="majorHAnsi"/>
          <w:i/>
          <w:sz w:val="24"/>
          <w:szCs w:val="24"/>
          <w:lang w:val="ro-MD"/>
        </w:rPr>
      </w:pPr>
      <w:r w:rsidRPr="002E5C67">
        <w:rPr>
          <w:rFonts w:asciiTheme="majorHAnsi" w:hAnsiTheme="majorHAnsi" w:cstheme="majorHAnsi"/>
          <w:i/>
          <w:sz w:val="24"/>
          <w:szCs w:val="24"/>
          <w:lang w:val="ro-MD"/>
        </w:rPr>
        <w:t>Figura nr. 1</w:t>
      </w:r>
    </w:p>
    <w:p w:rsidR="002E5C67" w:rsidRPr="002E5C67" w:rsidRDefault="002E5C67" w:rsidP="00FB3F17">
      <w:pPr>
        <w:spacing w:after="0" w:line="276" w:lineRule="auto"/>
        <w:jc w:val="center"/>
        <w:rPr>
          <w:rFonts w:asciiTheme="majorHAnsi" w:hAnsiTheme="majorHAnsi" w:cstheme="majorHAnsi"/>
          <w:b/>
          <w:i/>
          <w:lang w:val="ro-MD"/>
        </w:rPr>
      </w:pPr>
      <w:r>
        <w:rPr>
          <w:rFonts w:asciiTheme="majorHAnsi" w:hAnsiTheme="majorHAnsi" w:cstheme="majorHAnsi"/>
          <w:b/>
          <w:sz w:val="24"/>
          <w:szCs w:val="24"/>
          <w:lang w:val="ro-MD"/>
        </w:rPr>
        <w:t>M</w:t>
      </w:r>
      <w:r w:rsidRPr="002E5C67">
        <w:rPr>
          <w:rFonts w:asciiTheme="majorHAnsi" w:hAnsiTheme="majorHAnsi" w:cstheme="majorHAnsi"/>
          <w:b/>
          <w:sz w:val="24"/>
          <w:szCs w:val="24"/>
          <w:lang w:val="ro-MD"/>
        </w:rPr>
        <w:t xml:space="preserve">odalitățile de conlucrare </w:t>
      </w:r>
      <w:r w:rsidR="007B39BD">
        <w:rPr>
          <w:rFonts w:asciiTheme="majorHAnsi" w:hAnsiTheme="majorHAnsi" w:cstheme="majorHAnsi"/>
          <w:b/>
          <w:sz w:val="24"/>
          <w:szCs w:val="24"/>
          <w:lang w:val="ro-MD"/>
        </w:rPr>
        <w:t xml:space="preserve">a SFS </w:t>
      </w:r>
      <w:r w:rsidRPr="002E5C67">
        <w:rPr>
          <w:rFonts w:asciiTheme="majorHAnsi" w:hAnsiTheme="majorHAnsi" w:cstheme="majorHAnsi"/>
          <w:b/>
          <w:sz w:val="24"/>
          <w:szCs w:val="24"/>
          <w:lang w:val="ro-MD"/>
        </w:rPr>
        <w:t>cu executorii</w:t>
      </w:r>
      <w:r>
        <w:rPr>
          <w:rFonts w:asciiTheme="majorHAnsi" w:hAnsiTheme="majorHAnsi" w:cstheme="majorHAnsi"/>
          <w:b/>
          <w:sz w:val="24"/>
          <w:szCs w:val="24"/>
          <w:lang w:val="ro-MD"/>
        </w:rPr>
        <w:t xml:space="preserve"> judecătorești </w:t>
      </w:r>
    </w:p>
    <w:p w:rsidR="000B204E" w:rsidRDefault="00CF421B" w:rsidP="000B204E">
      <w:pPr>
        <w:pStyle w:val="NormalWeb"/>
        <w:spacing w:after="0" w:afterAutospacing="0" w:line="276" w:lineRule="auto"/>
        <w:rPr>
          <w:rFonts w:asciiTheme="majorHAnsi" w:hAnsiTheme="majorHAnsi" w:cstheme="majorHAnsi"/>
          <w:lang w:val="ro-MD"/>
        </w:rPr>
      </w:pPr>
      <w:r w:rsidRPr="00401691">
        <w:rPr>
          <w:rFonts w:asciiTheme="majorHAnsi" w:hAnsiTheme="majorHAnsi" w:cstheme="majorHAnsi"/>
          <w:noProof/>
          <w:color w:val="FFFFFF" w:themeColor="background1"/>
        </w:rPr>
        <w:lastRenderedPageBreak/>
        <w:drawing>
          <wp:inline distT="0" distB="0" distL="0" distR="0" wp14:anchorId="6BA669DB" wp14:editId="6A37DD22">
            <wp:extent cx="5943600" cy="1731818"/>
            <wp:effectExtent l="0" t="0" r="19050" b="190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0C7700" w:rsidRPr="000B204E" w:rsidRDefault="000C7700" w:rsidP="001C4176">
      <w:pPr>
        <w:pStyle w:val="NormalWeb"/>
        <w:spacing w:before="0" w:beforeAutospacing="0" w:after="120" w:line="276" w:lineRule="auto"/>
        <w:rPr>
          <w:rFonts w:asciiTheme="majorHAnsi" w:hAnsiTheme="majorHAnsi" w:cstheme="majorHAnsi"/>
          <w:lang w:val="ro-MD"/>
        </w:rPr>
      </w:pPr>
      <w:r w:rsidRPr="00FB3F17">
        <w:rPr>
          <w:rFonts w:asciiTheme="majorHAnsi" w:hAnsiTheme="majorHAnsi" w:cstheme="majorHAnsi"/>
          <w:b/>
          <w:i/>
          <w:sz w:val="20"/>
          <w:szCs w:val="20"/>
          <w:lang w:val="ro-MD"/>
        </w:rPr>
        <w:t>Sursa:</w:t>
      </w:r>
      <w:r w:rsidRPr="000C7700">
        <w:rPr>
          <w:rFonts w:asciiTheme="majorHAnsi" w:hAnsiTheme="majorHAnsi" w:cstheme="majorHAnsi"/>
          <w:i/>
          <w:sz w:val="20"/>
          <w:szCs w:val="20"/>
          <w:lang w:val="ro-MD"/>
        </w:rPr>
        <w:t xml:space="preserve"> Date agregate din informația prezentată de SF</w:t>
      </w:r>
      <w:r w:rsidR="00583F45">
        <w:rPr>
          <w:rFonts w:asciiTheme="majorHAnsi" w:hAnsiTheme="majorHAnsi" w:cstheme="majorHAnsi"/>
          <w:i/>
          <w:sz w:val="20"/>
          <w:szCs w:val="20"/>
          <w:lang w:val="ro-MD"/>
        </w:rPr>
        <w:t>S.</w:t>
      </w:r>
    </w:p>
    <w:p w:rsidR="00CF421B" w:rsidRPr="00401691" w:rsidRDefault="00CF421B" w:rsidP="002924E7">
      <w:pPr>
        <w:pStyle w:val="NormalWeb"/>
        <w:spacing w:after="120" w:afterAutospacing="0" w:line="276" w:lineRule="auto"/>
        <w:jc w:val="both"/>
        <w:rPr>
          <w:rFonts w:asciiTheme="majorHAnsi" w:hAnsiTheme="majorHAnsi" w:cstheme="majorHAnsi"/>
          <w:lang w:val="ro-MD"/>
        </w:rPr>
      </w:pPr>
      <w:r w:rsidRPr="00401691">
        <w:rPr>
          <w:rFonts w:asciiTheme="majorHAnsi" w:hAnsiTheme="majorHAnsi" w:cstheme="majorHAnsi"/>
          <w:lang w:val="ro-MD"/>
        </w:rPr>
        <w:t>Cele re</w:t>
      </w:r>
      <w:r w:rsidR="00B371B1">
        <w:rPr>
          <w:rFonts w:asciiTheme="majorHAnsi" w:hAnsiTheme="majorHAnsi" w:cstheme="majorHAnsi"/>
          <w:lang w:val="ro-MD"/>
        </w:rPr>
        <w:t>flectate</w:t>
      </w:r>
      <w:r w:rsidRPr="00401691">
        <w:rPr>
          <w:rFonts w:asciiTheme="majorHAnsi" w:hAnsiTheme="majorHAnsi" w:cstheme="majorHAnsi"/>
          <w:lang w:val="ro-MD"/>
        </w:rPr>
        <w:t xml:space="preserve"> în </w:t>
      </w:r>
      <w:r w:rsidR="00B371B1">
        <w:rPr>
          <w:rFonts w:asciiTheme="majorHAnsi" w:hAnsiTheme="majorHAnsi" w:cstheme="majorHAnsi"/>
          <w:lang w:val="ro-MD"/>
        </w:rPr>
        <w:t>F</w:t>
      </w:r>
      <w:r w:rsidRPr="00401691">
        <w:rPr>
          <w:rFonts w:asciiTheme="majorHAnsi" w:hAnsiTheme="majorHAnsi" w:cstheme="majorHAnsi"/>
          <w:lang w:val="ro-MD"/>
        </w:rPr>
        <w:t>igură denotă că DGA avea remise executorilor judecătorești</w:t>
      </w:r>
      <w:r w:rsidR="00B371B1">
        <w:rPr>
          <w:rFonts w:asciiTheme="majorHAnsi" w:hAnsiTheme="majorHAnsi" w:cstheme="majorHAnsi"/>
          <w:lang w:val="ro-MD"/>
        </w:rPr>
        <w:t>,</w:t>
      </w:r>
      <w:r w:rsidRPr="00401691">
        <w:rPr>
          <w:rFonts w:asciiTheme="majorHAnsi" w:hAnsiTheme="majorHAnsi" w:cstheme="majorHAnsi"/>
          <w:lang w:val="ro-MD"/>
        </w:rPr>
        <w:t xml:space="preserve"> în total</w:t>
      </w:r>
      <w:r w:rsidR="00B371B1">
        <w:rPr>
          <w:rFonts w:asciiTheme="majorHAnsi" w:hAnsiTheme="majorHAnsi" w:cstheme="majorHAnsi"/>
          <w:lang w:val="ro-MD"/>
        </w:rPr>
        <w:t>,</w:t>
      </w:r>
      <w:r w:rsidRPr="00401691">
        <w:rPr>
          <w:rFonts w:asciiTheme="majorHAnsi" w:hAnsiTheme="majorHAnsi" w:cstheme="majorHAnsi"/>
          <w:lang w:val="ro-MD"/>
        </w:rPr>
        <w:t xml:space="preserve"> </w:t>
      </w:r>
      <w:r w:rsidR="00891C2F">
        <w:rPr>
          <w:rFonts w:asciiTheme="majorHAnsi" w:hAnsiTheme="majorHAnsi" w:cstheme="majorHAnsi"/>
          <w:lang w:val="ro-MD"/>
        </w:rPr>
        <w:t>988</w:t>
      </w:r>
      <w:r w:rsidRPr="00401691">
        <w:rPr>
          <w:rFonts w:asciiTheme="majorHAnsi" w:hAnsiTheme="majorHAnsi" w:cstheme="majorHAnsi"/>
          <w:lang w:val="ro-MD"/>
        </w:rPr>
        <w:t xml:space="preserve"> </w:t>
      </w:r>
      <w:r w:rsidR="00B371B1">
        <w:rPr>
          <w:rFonts w:asciiTheme="majorHAnsi" w:hAnsiTheme="majorHAnsi" w:cstheme="majorHAnsi"/>
          <w:lang w:val="ro-MD"/>
        </w:rPr>
        <w:t xml:space="preserve">de </w:t>
      </w:r>
      <w:r w:rsidRPr="00401691">
        <w:rPr>
          <w:rFonts w:asciiTheme="majorHAnsi" w:hAnsiTheme="majorHAnsi" w:cstheme="majorHAnsi"/>
          <w:lang w:val="ro-MD"/>
        </w:rPr>
        <w:t xml:space="preserve">documente executorii în valoare de </w:t>
      </w:r>
      <w:r w:rsidR="00891C2F">
        <w:rPr>
          <w:rFonts w:asciiTheme="majorHAnsi" w:hAnsiTheme="majorHAnsi" w:cstheme="majorHAnsi"/>
          <w:lang w:val="ro-MD"/>
        </w:rPr>
        <w:t>753</w:t>
      </w:r>
      <w:r w:rsidRPr="00401691">
        <w:rPr>
          <w:rFonts w:asciiTheme="majorHAnsi" w:hAnsiTheme="majorHAnsi" w:cstheme="majorHAnsi"/>
          <w:lang w:val="ro-MD"/>
        </w:rPr>
        <w:t>,</w:t>
      </w:r>
      <w:r w:rsidR="00891C2F">
        <w:rPr>
          <w:rFonts w:asciiTheme="majorHAnsi" w:hAnsiTheme="majorHAnsi" w:cstheme="majorHAnsi"/>
          <w:lang w:val="ro-MD"/>
        </w:rPr>
        <w:t>0</w:t>
      </w:r>
      <w:r w:rsidRPr="00401691">
        <w:rPr>
          <w:rFonts w:asciiTheme="majorHAnsi" w:hAnsiTheme="majorHAnsi" w:cstheme="majorHAnsi"/>
          <w:lang w:val="ro-MD"/>
        </w:rPr>
        <w:t xml:space="preserve"> mil</w:t>
      </w:r>
      <w:r w:rsidR="00B371B1">
        <w:rPr>
          <w:rFonts w:asciiTheme="majorHAnsi" w:hAnsiTheme="majorHAnsi" w:cstheme="majorHAnsi"/>
          <w:lang w:val="ro-MD"/>
        </w:rPr>
        <w:t>.</w:t>
      </w:r>
      <w:r w:rsidRPr="00401691">
        <w:rPr>
          <w:rFonts w:asciiTheme="majorHAnsi" w:hAnsiTheme="majorHAnsi" w:cstheme="majorHAnsi"/>
          <w:lang w:val="ro-MD"/>
        </w:rPr>
        <w:t xml:space="preserve"> lei. Fiind </w:t>
      </w:r>
      <w:r w:rsidR="002924E7">
        <w:rPr>
          <w:rFonts w:asciiTheme="majorHAnsi" w:hAnsiTheme="majorHAnsi" w:cstheme="majorHAnsi"/>
          <w:lang w:val="ro-MD"/>
        </w:rPr>
        <w:t>verificate documente executorii emise de SFS</w:t>
      </w:r>
      <w:r w:rsidRPr="00401691">
        <w:rPr>
          <w:rFonts w:asciiTheme="majorHAnsi" w:hAnsiTheme="majorHAnsi" w:cstheme="majorHAnsi"/>
          <w:lang w:val="ro-MD"/>
        </w:rPr>
        <w:t xml:space="preserve"> în valoare de 70,9 mil lei, auditul a </w:t>
      </w:r>
      <w:r w:rsidR="008E0DE3">
        <w:rPr>
          <w:rFonts w:asciiTheme="majorHAnsi" w:hAnsiTheme="majorHAnsi" w:cstheme="majorHAnsi"/>
          <w:lang w:val="ro-MD"/>
        </w:rPr>
        <w:t>atestat</w:t>
      </w:r>
      <w:r w:rsidRPr="00401691">
        <w:rPr>
          <w:rFonts w:asciiTheme="majorHAnsi" w:hAnsiTheme="majorHAnsi" w:cstheme="majorHAnsi"/>
          <w:lang w:val="ro-MD"/>
        </w:rPr>
        <w:t xml:space="preserve"> riscul de fraudă în acțiunile unui executor judecătoresc privind </w:t>
      </w:r>
      <w:r w:rsidR="000B204E">
        <w:rPr>
          <w:rFonts w:asciiTheme="majorHAnsi" w:hAnsiTheme="majorHAnsi" w:cstheme="majorHAnsi"/>
          <w:lang w:val="ro-MD"/>
        </w:rPr>
        <w:t>încasarea la buget  a restanțelor ale SC „</w:t>
      </w:r>
      <w:proofErr w:type="spellStart"/>
      <w:r w:rsidR="000B204E">
        <w:rPr>
          <w:rFonts w:asciiTheme="majorHAnsi" w:hAnsiTheme="majorHAnsi" w:cstheme="majorHAnsi"/>
          <w:lang w:val="ro-MD"/>
        </w:rPr>
        <w:t>Auratus</w:t>
      </w:r>
      <w:proofErr w:type="spellEnd"/>
      <w:r w:rsidR="000B204E">
        <w:rPr>
          <w:rFonts w:asciiTheme="majorHAnsi" w:hAnsiTheme="majorHAnsi" w:cstheme="majorHAnsi"/>
          <w:lang w:val="ro-MD"/>
        </w:rPr>
        <w:t xml:space="preserve">” SRL în sumă </w:t>
      </w:r>
      <w:r w:rsidRPr="00401691">
        <w:rPr>
          <w:rFonts w:asciiTheme="majorHAnsi" w:hAnsiTheme="majorHAnsi" w:cstheme="majorHAnsi"/>
          <w:lang w:val="ro-MD"/>
        </w:rPr>
        <w:t>totală de 13,3 mil</w:t>
      </w:r>
      <w:r w:rsidR="008E0DE3">
        <w:rPr>
          <w:rFonts w:asciiTheme="majorHAnsi" w:hAnsiTheme="majorHAnsi" w:cstheme="majorHAnsi"/>
          <w:lang w:val="ro-MD"/>
        </w:rPr>
        <w:t>.</w:t>
      </w:r>
      <w:r w:rsidRPr="00401691">
        <w:rPr>
          <w:rFonts w:asciiTheme="majorHAnsi" w:hAnsiTheme="majorHAnsi" w:cstheme="majorHAnsi"/>
          <w:lang w:val="ro-MD"/>
        </w:rPr>
        <w:t xml:space="preserve"> lei</w:t>
      </w:r>
      <w:r w:rsidR="000B204E">
        <w:rPr>
          <w:rFonts w:asciiTheme="majorHAnsi" w:hAnsiTheme="majorHAnsi" w:cstheme="majorHAnsi"/>
          <w:lang w:val="ro-MD"/>
        </w:rPr>
        <w:t>,</w:t>
      </w:r>
      <w:r w:rsidRPr="00401691">
        <w:rPr>
          <w:rFonts w:asciiTheme="majorHAnsi" w:hAnsiTheme="majorHAnsi" w:cstheme="majorHAnsi"/>
          <w:lang w:val="ro-MD"/>
        </w:rPr>
        <w:t xml:space="preserve">  pe marginea cărui fapt SFS nu a făcut uz de prevederile art.161 din Codul de executare și nu a contestat</w:t>
      </w:r>
      <w:r w:rsidR="00C61635">
        <w:rPr>
          <w:rFonts w:asciiTheme="majorHAnsi" w:hAnsiTheme="majorHAnsi" w:cstheme="majorHAnsi"/>
          <w:lang w:val="ro-MD"/>
        </w:rPr>
        <w:t xml:space="preserve"> unele </w:t>
      </w:r>
      <w:r w:rsidRPr="00401691">
        <w:rPr>
          <w:rFonts w:asciiTheme="majorHAnsi" w:hAnsiTheme="majorHAnsi" w:cstheme="majorHAnsi"/>
          <w:lang w:val="ro-MD"/>
        </w:rPr>
        <w:t>acte</w:t>
      </w:r>
      <w:r w:rsidR="00C61635">
        <w:rPr>
          <w:rFonts w:asciiTheme="majorHAnsi" w:hAnsiTheme="majorHAnsi" w:cstheme="majorHAnsi"/>
          <w:lang w:val="ro-MD"/>
        </w:rPr>
        <w:t xml:space="preserve"> ale </w:t>
      </w:r>
      <w:r w:rsidRPr="00401691">
        <w:rPr>
          <w:rFonts w:asciiTheme="majorHAnsi" w:hAnsiTheme="majorHAnsi" w:cstheme="majorHAnsi"/>
          <w:lang w:val="ro-MD"/>
        </w:rPr>
        <w:t>executorului judecătoresc.</w:t>
      </w:r>
    </w:p>
    <w:p w:rsidR="00F75D47" w:rsidRPr="00401691" w:rsidRDefault="001844A3" w:rsidP="00844145">
      <w:pPr>
        <w:spacing w:after="120" w:line="276" w:lineRule="auto"/>
        <w:jc w:val="both"/>
        <w:rPr>
          <w:rFonts w:asciiTheme="majorHAnsi" w:hAnsiTheme="majorHAnsi" w:cstheme="majorHAnsi"/>
          <w:sz w:val="24"/>
          <w:szCs w:val="24"/>
          <w:lang w:val="ro-MD"/>
        </w:rPr>
      </w:pPr>
      <w:r w:rsidRPr="00401691">
        <w:rPr>
          <w:rFonts w:asciiTheme="majorHAnsi" w:hAnsiTheme="majorHAnsi" w:cstheme="majorHAnsi"/>
          <w:sz w:val="24"/>
          <w:szCs w:val="24"/>
          <w:lang w:val="ro-MD"/>
        </w:rPr>
        <w:t>Potrivit evidenței SFS, la data de 01.08.2017, SC „</w:t>
      </w:r>
      <w:proofErr w:type="spellStart"/>
      <w:r w:rsidRPr="00401691">
        <w:rPr>
          <w:rFonts w:asciiTheme="majorHAnsi" w:hAnsiTheme="majorHAnsi" w:cstheme="majorHAnsi"/>
          <w:sz w:val="24"/>
          <w:szCs w:val="24"/>
          <w:lang w:val="ro-MD"/>
        </w:rPr>
        <w:t>Auratus</w:t>
      </w:r>
      <w:proofErr w:type="spellEnd"/>
      <w:r w:rsidRPr="00401691">
        <w:rPr>
          <w:rFonts w:asciiTheme="majorHAnsi" w:hAnsiTheme="majorHAnsi" w:cstheme="majorHAnsi"/>
          <w:sz w:val="24"/>
          <w:szCs w:val="24"/>
          <w:lang w:val="ro-MD"/>
        </w:rPr>
        <w:t>” SRL înregistra restanță față de BPN în sumă de 13340,8 mii lei.</w:t>
      </w:r>
      <w:r w:rsidRPr="00401691">
        <w:rPr>
          <w:rStyle w:val="FootnoteReference"/>
          <w:rFonts w:asciiTheme="majorHAnsi" w:hAnsiTheme="majorHAnsi" w:cstheme="majorHAnsi"/>
          <w:sz w:val="24"/>
          <w:szCs w:val="24"/>
          <w:lang w:val="ro-MD"/>
        </w:rPr>
        <w:footnoteReference w:id="40"/>
      </w:r>
      <w:r w:rsidRPr="00401691">
        <w:rPr>
          <w:rFonts w:asciiTheme="majorHAnsi" w:hAnsiTheme="majorHAnsi" w:cstheme="majorHAnsi"/>
          <w:sz w:val="24"/>
          <w:szCs w:val="24"/>
          <w:lang w:val="ro-MD"/>
        </w:rPr>
        <w:t xml:space="preserve"> Ca măsură de executare silită a acestei restanțe, DGA mun. Chișinău a emis documentul executoriu</w:t>
      </w:r>
      <w:r w:rsidRPr="00401691">
        <w:rPr>
          <w:rStyle w:val="FootnoteReference"/>
          <w:rFonts w:asciiTheme="majorHAnsi" w:hAnsiTheme="majorHAnsi" w:cstheme="majorHAnsi"/>
          <w:sz w:val="24"/>
          <w:szCs w:val="24"/>
          <w:lang w:val="ro-MD"/>
        </w:rPr>
        <w:footnoteReference w:id="41"/>
      </w:r>
      <w:r w:rsidR="00611B9F" w:rsidRPr="00401691">
        <w:rPr>
          <w:rFonts w:asciiTheme="majorHAnsi" w:hAnsiTheme="majorHAnsi" w:cstheme="majorHAnsi"/>
          <w:sz w:val="24"/>
          <w:szCs w:val="24"/>
          <w:lang w:val="ro-MD"/>
        </w:rPr>
        <w:t>,</w:t>
      </w:r>
      <w:r w:rsidR="00605D40" w:rsidRPr="00401691">
        <w:rPr>
          <w:rFonts w:asciiTheme="majorHAnsi" w:hAnsiTheme="majorHAnsi" w:cstheme="majorHAnsi"/>
          <w:sz w:val="24"/>
          <w:szCs w:val="24"/>
          <w:lang w:val="ro-MD"/>
        </w:rPr>
        <w:t xml:space="preserve"> </w:t>
      </w:r>
      <w:r w:rsidR="00611B9F" w:rsidRPr="00401691">
        <w:rPr>
          <w:rFonts w:asciiTheme="majorHAnsi" w:hAnsiTheme="majorHAnsi" w:cstheme="majorHAnsi"/>
          <w:sz w:val="24"/>
          <w:szCs w:val="24"/>
          <w:lang w:val="ro-MD"/>
        </w:rPr>
        <w:t>care</w:t>
      </w:r>
      <w:r w:rsidR="00CF16C4" w:rsidRPr="00401691">
        <w:rPr>
          <w:rFonts w:asciiTheme="majorHAnsi" w:hAnsiTheme="majorHAnsi" w:cstheme="majorHAnsi"/>
          <w:sz w:val="24"/>
          <w:szCs w:val="24"/>
          <w:lang w:val="ro-MD"/>
        </w:rPr>
        <w:t xml:space="preserve"> la 31.01.2018 </w:t>
      </w:r>
      <w:r w:rsidR="00C61635">
        <w:rPr>
          <w:rFonts w:asciiTheme="majorHAnsi" w:hAnsiTheme="majorHAnsi" w:cstheme="majorHAnsi"/>
          <w:sz w:val="24"/>
          <w:szCs w:val="24"/>
          <w:lang w:val="ro-MD"/>
        </w:rPr>
        <w:t xml:space="preserve">a fost </w:t>
      </w:r>
      <w:r w:rsidR="00CF16C4" w:rsidRPr="00401691">
        <w:rPr>
          <w:rFonts w:asciiTheme="majorHAnsi" w:hAnsiTheme="majorHAnsi" w:cstheme="majorHAnsi"/>
          <w:sz w:val="24"/>
          <w:szCs w:val="24"/>
          <w:lang w:val="ro-MD"/>
        </w:rPr>
        <w:t>remis p</w:t>
      </w:r>
      <w:r w:rsidR="00D570EA">
        <w:rPr>
          <w:rFonts w:asciiTheme="majorHAnsi" w:hAnsiTheme="majorHAnsi" w:cstheme="majorHAnsi"/>
          <w:sz w:val="24"/>
          <w:szCs w:val="24"/>
          <w:lang w:val="ro-MD"/>
        </w:rPr>
        <w:t>entru executare în adresa unui</w:t>
      </w:r>
      <w:r w:rsidR="00CF16C4" w:rsidRPr="00401691">
        <w:rPr>
          <w:rFonts w:asciiTheme="majorHAnsi" w:hAnsiTheme="majorHAnsi" w:cstheme="majorHAnsi"/>
          <w:sz w:val="24"/>
          <w:szCs w:val="24"/>
          <w:lang w:val="ro-MD"/>
        </w:rPr>
        <w:t xml:space="preserve"> executor judecătoresc,</w:t>
      </w:r>
      <w:r w:rsidR="00611B9F" w:rsidRPr="00401691">
        <w:rPr>
          <w:rFonts w:asciiTheme="majorHAnsi" w:hAnsiTheme="majorHAnsi" w:cstheme="majorHAnsi"/>
          <w:sz w:val="24"/>
          <w:szCs w:val="24"/>
          <w:lang w:val="ro-MD"/>
        </w:rPr>
        <w:t xml:space="preserve"> în </w:t>
      </w:r>
      <w:r w:rsidRPr="00401691">
        <w:rPr>
          <w:rFonts w:asciiTheme="majorHAnsi" w:hAnsiTheme="majorHAnsi" w:cstheme="majorHAnsi"/>
          <w:sz w:val="24"/>
          <w:szCs w:val="24"/>
          <w:lang w:val="ro-MD"/>
        </w:rPr>
        <w:t xml:space="preserve">temeiul art.11 </w:t>
      </w:r>
      <w:proofErr w:type="spellStart"/>
      <w:r w:rsidRPr="00401691">
        <w:rPr>
          <w:rFonts w:asciiTheme="majorHAnsi" w:hAnsiTheme="majorHAnsi" w:cstheme="majorHAnsi"/>
          <w:sz w:val="24"/>
          <w:szCs w:val="24"/>
          <w:lang w:val="ro-MD"/>
        </w:rPr>
        <w:t>lit.p</w:t>
      </w:r>
      <w:proofErr w:type="spellEnd"/>
      <w:r w:rsidRPr="00401691">
        <w:rPr>
          <w:rFonts w:asciiTheme="majorHAnsi" w:hAnsiTheme="majorHAnsi" w:cstheme="majorHAnsi"/>
          <w:sz w:val="24"/>
          <w:szCs w:val="24"/>
          <w:lang w:val="ro-MD"/>
        </w:rPr>
        <w:t>) din Codul de executare</w:t>
      </w:r>
      <w:r w:rsidR="00611B9F" w:rsidRPr="00401691">
        <w:rPr>
          <w:rFonts w:asciiTheme="majorHAnsi" w:hAnsiTheme="majorHAnsi" w:cstheme="majorHAnsi"/>
          <w:sz w:val="24"/>
          <w:szCs w:val="24"/>
          <w:lang w:val="ro-MD"/>
        </w:rPr>
        <w:t xml:space="preserve">. </w:t>
      </w:r>
      <w:r w:rsidRPr="00401691">
        <w:rPr>
          <w:rFonts w:asciiTheme="majorHAnsi" w:hAnsiTheme="majorHAnsi" w:cstheme="majorHAnsi"/>
          <w:sz w:val="24"/>
          <w:szCs w:val="24"/>
          <w:lang w:val="ro-MD"/>
        </w:rPr>
        <w:t>În perioada</w:t>
      </w:r>
      <w:r w:rsidR="008E0DE3">
        <w:rPr>
          <w:rFonts w:asciiTheme="majorHAnsi" w:hAnsiTheme="majorHAnsi" w:cstheme="majorHAnsi"/>
          <w:sz w:val="24"/>
          <w:szCs w:val="24"/>
          <w:lang w:val="ro-MD"/>
        </w:rPr>
        <w:t xml:space="preserve"> din</w:t>
      </w:r>
      <w:r w:rsidRPr="00401691">
        <w:rPr>
          <w:rFonts w:asciiTheme="majorHAnsi" w:hAnsiTheme="majorHAnsi" w:cstheme="majorHAnsi"/>
          <w:sz w:val="24"/>
          <w:szCs w:val="24"/>
          <w:lang w:val="ro-MD"/>
        </w:rPr>
        <w:t xml:space="preserve"> an</w:t>
      </w:r>
      <w:r w:rsidR="008E0DE3">
        <w:rPr>
          <w:rFonts w:asciiTheme="majorHAnsi" w:hAnsiTheme="majorHAnsi" w:cstheme="majorHAnsi"/>
          <w:sz w:val="24"/>
          <w:szCs w:val="24"/>
          <w:lang w:val="ro-MD"/>
        </w:rPr>
        <w:t>ul</w:t>
      </w:r>
      <w:r w:rsidRPr="00401691">
        <w:rPr>
          <w:rFonts w:asciiTheme="majorHAnsi" w:hAnsiTheme="majorHAnsi" w:cstheme="majorHAnsi"/>
          <w:sz w:val="24"/>
          <w:szCs w:val="24"/>
          <w:lang w:val="ro-MD"/>
        </w:rPr>
        <w:t xml:space="preserve"> 2008 până la înaintarea documentului executoriu </w:t>
      </w:r>
      <w:r w:rsidR="00380B38" w:rsidRPr="00401691">
        <w:rPr>
          <w:rFonts w:asciiTheme="majorHAnsi" w:hAnsiTheme="majorHAnsi" w:cstheme="majorHAnsi"/>
          <w:sz w:val="24"/>
          <w:szCs w:val="24"/>
          <w:lang w:val="ro-MD"/>
        </w:rPr>
        <w:t xml:space="preserve">către </w:t>
      </w:r>
      <w:r w:rsidR="00D570EA">
        <w:rPr>
          <w:rFonts w:asciiTheme="majorHAnsi" w:hAnsiTheme="majorHAnsi" w:cstheme="majorHAnsi"/>
          <w:sz w:val="24"/>
          <w:szCs w:val="24"/>
          <w:lang w:val="ro-MD"/>
        </w:rPr>
        <w:t>executorul</w:t>
      </w:r>
      <w:r w:rsidRPr="00401691">
        <w:rPr>
          <w:rFonts w:asciiTheme="majorHAnsi" w:hAnsiTheme="majorHAnsi" w:cstheme="majorHAnsi"/>
          <w:sz w:val="24"/>
          <w:szCs w:val="24"/>
          <w:lang w:val="ro-MD"/>
        </w:rPr>
        <w:t xml:space="preserve"> judecătoresc, </w:t>
      </w:r>
      <w:r w:rsidRPr="00401691">
        <w:rPr>
          <w:rFonts w:asciiTheme="majorHAnsi" w:hAnsiTheme="majorHAnsi" w:cstheme="majorHAnsi"/>
          <w:sz w:val="24"/>
          <w:szCs w:val="24"/>
          <w:lang w:val="ro-MD"/>
        </w:rPr>
        <w:lastRenderedPageBreak/>
        <w:t xml:space="preserve">SFS </w:t>
      </w:r>
      <w:r w:rsidR="00A3138C" w:rsidRPr="00401691">
        <w:rPr>
          <w:rFonts w:asciiTheme="majorHAnsi" w:hAnsiTheme="majorHAnsi" w:cstheme="majorHAnsi"/>
          <w:sz w:val="24"/>
          <w:szCs w:val="24"/>
          <w:lang w:val="ro-MD"/>
        </w:rPr>
        <w:t xml:space="preserve">a </w:t>
      </w:r>
      <w:r w:rsidRPr="00401691">
        <w:rPr>
          <w:rFonts w:asciiTheme="majorHAnsi" w:hAnsiTheme="majorHAnsi" w:cstheme="majorHAnsi"/>
          <w:sz w:val="24"/>
          <w:szCs w:val="24"/>
          <w:lang w:val="ro-MD"/>
        </w:rPr>
        <w:t>întreprin</w:t>
      </w:r>
      <w:r w:rsidR="00A3138C" w:rsidRPr="00401691">
        <w:rPr>
          <w:rFonts w:asciiTheme="majorHAnsi" w:hAnsiTheme="majorHAnsi" w:cstheme="majorHAnsi"/>
          <w:sz w:val="24"/>
          <w:szCs w:val="24"/>
          <w:lang w:val="ro-MD"/>
        </w:rPr>
        <w:t xml:space="preserve">s mai multe </w:t>
      </w:r>
      <w:r w:rsidRPr="00401691">
        <w:rPr>
          <w:rFonts w:asciiTheme="majorHAnsi" w:hAnsiTheme="majorHAnsi" w:cstheme="majorHAnsi"/>
          <w:sz w:val="24"/>
          <w:szCs w:val="24"/>
          <w:lang w:val="ro-MD"/>
        </w:rPr>
        <w:t>măsuri de încasare a restanței</w:t>
      </w:r>
      <w:r w:rsidR="00380B38" w:rsidRPr="00401691">
        <w:rPr>
          <w:rStyle w:val="FootnoteReference"/>
          <w:rFonts w:asciiTheme="majorHAnsi" w:hAnsiTheme="majorHAnsi" w:cstheme="majorHAnsi"/>
          <w:sz w:val="24"/>
          <w:szCs w:val="24"/>
          <w:lang w:val="ro-MD"/>
        </w:rPr>
        <w:footnoteReference w:id="42"/>
      </w:r>
      <w:r w:rsidR="00380B38" w:rsidRPr="00401691">
        <w:rPr>
          <w:rFonts w:asciiTheme="majorHAnsi" w:hAnsiTheme="majorHAnsi" w:cstheme="majorHAnsi"/>
          <w:sz w:val="24"/>
          <w:szCs w:val="24"/>
          <w:lang w:val="ro-MD"/>
        </w:rPr>
        <w:t xml:space="preserve">, </w:t>
      </w:r>
      <w:r w:rsidR="00703082">
        <w:rPr>
          <w:rFonts w:asciiTheme="majorHAnsi" w:hAnsiTheme="majorHAnsi" w:cstheme="majorHAnsi"/>
          <w:sz w:val="24"/>
          <w:szCs w:val="24"/>
          <w:lang w:val="ro-MD"/>
        </w:rPr>
        <w:t>dar fără rezultat</w:t>
      </w:r>
      <w:r w:rsidR="00C21D6F" w:rsidRPr="00401691">
        <w:rPr>
          <w:rFonts w:asciiTheme="majorHAnsi" w:hAnsiTheme="majorHAnsi" w:cstheme="majorHAnsi"/>
          <w:sz w:val="24"/>
          <w:szCs w:val="24"/>
          <w:lang w:val="ro-MD"/>
        </w:rPr>
        <w:t>.</w:t>
      </w:r>
    </w:p>
    <w:p w:rsidR="001844A3" w:rsidRPr="00401691" w:rsidRDefault="001844A3" w:rsidP="00844145">
      <w:pPr>
        <w:spacing w:after="120" w:line="276" w:lineRule="auto"/>
        <w:jc w:val="both"/>
        <w:rPr>
          <w:rFonts w:asciiTheme="majorHAnsi" w:hAnsiTheme="majorHAnsi" w:cstheme="majorHAnsi"/>
          <w:sz w:val="24"/>
          <w:szCs w:val="24"/>
          <w:lang w:val="ro-MD"/>
        </w:rPr>
      </w:pPr>
      <w:r w:rsidRPr="00401691">
        <w:rPr>
          <w:rFonts w:asciiTheme="majorHAnsi" w:hAnsiTheme="majorHAnsi" w:cstheme="majorHAnsi"/>
          <w:sz w:val="24"/>
          <w:szCs w:val="24"/>
          <w:lang w:val="ro-MD"/>
        </w:rPr>
        <w:t>Potrivit documentelor deținute de SFS, anexate în dosarul SC „</w:t>
      </w:r>
      <w:proofErr w:type="spellStart"/>
      <w:r w:rsidRPr="00401691">
        <w:rPr>
          <w:rFonts w:asciiTheme="majorHAnsi" w:hAnsiTheme="majorHAnsi" w:cstheme="majorHAnsi"/>
          <w:sz w:val="24"/>
          <w:szCs w:val="24"/>
          <w:lang w:val="ro-MD"/>
        </w:rPr>
        <w:t>Auratus</w:t>
      </w:r>
      <w:proofErr w:type="spellEnd"/>
      <w:r w:rsidRPr="00401691">
        <w:rPr>
          <w:rFonts w:asciiTheme="majorHAnsi" w:hAnsiTheme="majorHAnsi" w:cstheme="majorHAnsi"/>
          <w:sz w:val="24"/>
          <w:szCs w:val="24"/>
          <w:lang w:val="ro-MD"/>
        </w:rPr>
        <w:t>” SRL,</w:t>
      </w:r>
      <w:r w:rsidR="00195B02">
        <w:rPr>
          <w:rFonts w:asciiTheme="majorHAnsi" w:hAnsiTheme="majorHAnsi" w:cstheme="majorHAnsi"/>
          <w:sz w:val="24"/>
          <w:szCs w:val="24"/>
          <w:lang w:val="ro-MD"/>
        </w:rPr>
        <w:t xml:space="preserve"> în lunile iunie – august 2018,</w:t>
      </w:r>
      <w:r w:rsidRPr="00401691">
        <w:rPr>
          <w:rFonts w:asciiTheme="majorHAnsi" w:hAnsiTheme="majorHAnsi" w:cstheme="majorHAnsi"/>
          <w:sz w:val="24"/>
          <w:szCs w:val="24"/>
          <w:lang w:val="ro-MD"/>
        </w:rPr>
        <w:t xml:space="preserve"> executorul judecătoresc</w:t>
      </w:r>
      <w:r w:rsidR="00703082">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asistat de angajații SFS</w:t>
      </w:r>
      <w:r w:rsidR="00703082">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a întocmit 11 procese</w:t>
      </w:r>
      <w:r w:rsidR="00703082">
        <w:rPr>
          <w:rFonts w:asciiTheme="majorHAnsi" w:hAnsiTheme="majorHAnsi" w:cstheme="majorHAnsi"/>
          <w:sz w:val="24"/>
          <w:szCs w:val="24"/>
          <w:lang w:val="ro-MD"/>
        </w:rPr>
        <w:t>-</w:t>
      </w:r>
      <w:r w:rsidRPr="00401691">
        <w:rPr>
          <w:rFonts w:asciiTheme="majorHAnsi" w:hAnsiTheme="majorHAnsi" w:cstheme="majorHAnsi"/>
          <w:sz w:val="24"/>
          <w:szCs w:val="24"/>
          <w:lang w:val="ro-MD"/>
        </w:rPr>
        <w:t>verbale de sec</w:t>
      </w:r>
      <w:r w:rsidR="00195B02">
        <w:rPr>
          <w:rFonts w:asciiTheme="majorHAnsi" w:hAnsiTheme="majorHAnsi" w:cstheme="majorHAnsi"/>
          <w:sz w:val="24"/>
          <w:szCs w:val="24"/>
          <w:lang w:val="ro-MD"/>
        </w:rPr>
        <w:t>hestrare/ridicare a articolelor</w:t>
      </w:r>
      <w:r w:rsidRPr="00401691">
        <w:rPr>
          <w:rFonts w:asciiTheme="majorHAnsi" w:hAnsiTheme="majorHAnsi" w:cstheme="majorHAnsi"/>
          <w:sz w:val="24"/>
          <w:szCs w:val="24"/>
          <w:lang w:val="ro-MD"/>
        </w:rPr>
        <w:t xml:space="preserve"> din metale prețioa</w:t>
      </w:r>
      <w:r w:rsidR="00195B02">
        <w:rPr>
          <w:rFonts w:asciiTheme="majorHAnsi" w:hAnsiTheme="majorHAnsi" w:cstheme="majorHAnsi"/>
          <w:sz w:val="24"/>
          <w:szCs w:val="24"/>
          <w:lang w:val="ro-MD"/>
        </w:rPr>
        <w:t>se (aur și argint, alte bunuri)</w:t>
      </w:r>
      <w:r w:rsidRPr="00401691">
        <w:rPr>
          <w:rFonts w:asciiTheme="majorHAnsi" w:hAnsiTheme="majorHAnsi" w:cstheme="majorHAnsi"/>
          <w:sz w:val="24"/>
          <w:szCs w:val="24"/>
          <w:lang w:val="ro-MD"/>
        </w:rPr>
        <w:t xml:space="preserve"> în valoare totală de 7464,9 mii lei</w:t>
      </w:r>
      <w:r w:rsidR="00AD23AF" w:rsidRPr="00401691">
        <w:rPr>
          <w:rFonts w:asciiTheme="majorHAnsi" w:hAnsiTheme="majorHAnsi" w:cstheme="majorHAnsi"/>
          <w:sz w:val="24"/>
          <w:szCs w:val="24"/>
          <w:lang w:val="ro-MD"/>
        </w:rPr>
        <w:t>, cu încălcarea art.118 alin. (2) din Codul de executare</w:t>
      </w:r>
      <w:r w:rsidR="00AD23AF" w:rsidRPr="00401691">
        <w:rPr>
          <w:rStyle w:val="FootnoteReference"/>
          <w:rFonts w:asciiTheme="majorHAnsi" w:hAnsiTheme="majorHAnsi" w:cstheme="majorHAnsi"/>
          <w:sz w:val="24"/>
          <w:szCs w:val="24"/>
          <w:lang w:val="ro-MD"/>
        </w:rPr>
        <w:footnoteReference w:id="43"/>
      </w:r>
      <w:r w:rsidR="00AD23AF" w:rsidRPr="00401691">
        <w:rPr>
          <w:rFonts w:asciiTheme="majorHAnsi" w:hAnsiTheme="majorHAnsi" w:cstheme="majorHAnsi"/>
          <w:sz w:val="24"/>
          <w:szCs w:val="24"/>
          <w:lang w:val="ro-MD"/>
        </w:rPr>
        <w:t>, fără</w:t>
      </w:r>
      <w:r w:rsidR="00F51310" w:rsidRPr="00401691">
        <w:rPr>
          <w:rFonts w:asciiTheme="majorHAnsi" w:hAnsiTheme="majorHAnsi" w:cstheme="majorHAnsi"/>
          <w:sz w:val="24"/>
          <w:szCs w:val="24"/>
          <w:lang w:val="ro-MD"/>
        </w:rPr>
        <w:t xml:space="preserve"> ca documentele </w:t>
      </w:r>
      <w:r w:rsidR="00AD23AF" w:rsidRPr="00401691">
        <w:rPr>
          <w:rFonts w:asciiTheme="majorHAnsi" w:hAnsiTheme="majorHAnsi" w:cstheme="majorHAnsi"/>
          <w:sz w:val="24"/>
          <w:szCs w:val="24"/>
          <w:lang w:val="ro-MD"/>
        </w:rPr>
        <w:t xml:space="preserve">să conțină </w:t>
      </w:r>
      <w:r w:rsidRPr="00401691">
        <w:rPr>
          <w:rFonts w:asciiTheme="majorHAnsi" w:hAnsiTheme="majorHAnsi" w:cstheme="majorHAnsi"/>
          <w:sz w:val="24"/>
          <w:szCs w:val="24"/>
          <w:lang w:val="ro-MD"/>
        </w:rPr>
        <w:t xml:space="preserve">informația referitor la elementele de individualizare pentru fiecare bijuterie, greutatea și prețul acestora. </w:t>
      </w:r>
    </w:p>
    <w:p w:rsidR="00A127C8" w:rsidRPr="00401691" w:rsidRDefault="001844A3" w:rsidP="00844145">
      <w:pPr>
        <w:pStyle w:val="ListParagraph"/>
        <w:spacing w:after="120" w:line="276" w:lineRule="auto"/>
        <w:ind w:left="0"/>
        <w:contextualSpacing w:val="0"/>
        <w:jc w:val="both"/>
        <w:rPr>
          <w:rFonts w:asciiTheme="majorHAnsi" w:hAnsiTheme="majorHAnsi" w:cstheme="majorHAnsi"/>
          <w:sz w:val="24"/>
          <w:szCs w:val="24"/>
          <w:lang w:val="ro-MD"/>
        </w:rPr>
      </w:pPr>
      <w:r w:rsidRPr="00401691">
        <w:rPr>
          <w:rFonts w:asciiTheme="majorHAnsi" w:hAnsiTheme="majorHAnsi" w:cstheme="majorHAnsi"/>
          <w:sz w:val="24"/>
          <w:szCs w:val="24"/>
          <w:lang w:val="ro-MD"/>
        </w:rPr>
        <w:t>Prin</w:t>
      </w:r>
      <w:r w:rsidR="00A71BDE" w:rsidRPr="00401691">
        <w:rPr>
          <w:rFonts w:asciiTheme="majorHAnsi" w:hAnsiTheme="majorHAnsi" w:cstheme="majorHAnsi"/>
          <w:sz w:val="24"/>
          <w:szCs w:val="24"/>
          <w:lang w:val="ro-MD"/>
        </w:rPr>
        <w:t>tr-o</w:t>
      </w:r>
      <w:r w:rsidRPr="00401691">
        <w:rPr>
          <w:rFonts w:asciiTheme="majorHAnsi" w:hAnsiTheme="majorHAnsi" w:cstheme="majorHAnsi"/>
          <w:sz w:val="24"/>
          <w:szCs w:val="24"/>
          <w:lang w:val="ro-MD"/>
        </w:rPr>
        <w:t xml:space="preserve"> scrisoare</w:t>
      </w:r>
      <w:r w:rsidR="00A71BDE" w:rsidRPr="00401691">
        <w:rPr>
          <w:rStyle w:val="FootnoteReference"/>
          <w:rFonts w:asciiTheme="majorHAnsi" w:hAnsiTheme="majorHAnsi" w:cstheme="majorHAnsi"/>
          <w:sz w:val="24"/>
          <w:szCs w:val="24"/>
          <w:lang w:val="ro-MD"/>
        </w:rPr>
        <w:footnoteReference w:id="44"/>
      </w:r>
      <w:r w:rsidRPr="00401691">
        <w:rPr>
          <w:rFonts w:asciiTheme="majorHAnsi" w:hAnsiTheme="majorHAnsi" w:cstheme="majorHAnsi"/>
          <w:sz w:val="24"/>
          <w:szCs w:val="24"/>
          <w:lang w:val="ro-MD"/>
        </w:rPr>
        <w:t xml:space="preserve"> remisă de </w:t>
      </w:r>
      <w:r w:rsidR="00703082">
        <w:rPr>
          <w:rFonts w:asciiTheme="majorHAnsi" w:hAnsiTheme="majorHAnsi" w:cstheme="majorHAnsi"/>
          <w:sz w:val="24"/>
          <w:szCs w:val="24"/>
          <w:lang w:val="ro-MD"/>
        </w:rPr>
        <w:t xml:space="preserve">către </w:t>
      </w:r>
      <w:r w:rsidRPr="00401691">
        <w:rPr>
          <w:rFonts w:asciiTheme="majorHAnsi" w:hAnsiTheme="majorHAnsi" w:cstheme="majorHAnsi"/>
          <w:sz w:val="24"/>
          <w:szCs w:val="24"/>
          <w:lang w:val="ro-MD"/>
        </w:rPr>
        <w:t>executorul judecătoresc în adresa SFS</w:t>
      </w:r>
      <w:r w:rsidRPr="00401691">
        <w:rPr>
          <w:rStyle w:val="FootnoteReference"/>
          <w:rFonts w:asciiTheme="majorHAnsi" w:hAnsiTheme="majorHAnsi" w:cstheme="majorHAnsi"/>
          <w:sz w:val="24"/>
          <w:szCs w:val="24"/>
          <w:lang w:val="ro-MD"/>
        </w:rPr>
        <w:footnoteReference w:id="45"/>
      </w:r>
      <w:r w:rsidR="00703082">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se </w:t>
      </w:r>
      <w:r w:rsidR="00703082">
        <w:rPr>
          <w:rFonts w:asciiTheme="majorHAnsi" w:hAnsiTheme="majorHAnsi" w:cstheme="majorHAnsi"/>
          <w:sz w:val="24"/>
          <w:szCs w:val="24"/>
          <w:lang w:val="ro-MD"/>
        </w:rPr>
        <w:t>comunică</w:t>
      </w:r>
      <w:r w:rsidRPr="00401691">
        <w:rPr>
          <w:rFonts w:asciiTheme="majorHAnsi" w:hAnsiTheme="majorHAnsi" w:cstheme="majorHAnsi"/>
          <w:sz w:val="24"/>
          <w:szCs w:val="24"/>
          <w:lang w:val="ro-MD"/>
        </w:rPr>
        <w:t xml:space="preserve"> </w:t>
      </w:r>
      <w:r w:rsidR="00F51310" w:rsidRPr="00401691">
        <w:rPr>
          <w:rFonts w:asciiTheme="majorHAnsi" w:hAnsiTheme="majorHAnsi" w:cstheme="majorHAnsi"/>
          <w:sz w:val="24"/>
          <w:szCs w:val="24"/>
          <w:lang w:val="ro-MD"/>
        </w:rPr>
        <w:t>despre încheierea</w:t>
      </w:r>
      <w:r w:rsidR="00195B02">
        <w:rPr>
          <w:rFonts w:asciiTheme="majorHAnsi" w:hAnsiTheme="majorHAnsi" w:cstheme="majorHAnsi"/>
          <w:sz w:val="24"/>
          <w:szCs w:val="24"/>
          <w:lang w:val="ro-MD"/>
        </w:rPr>
        <w:t xml:space="preserve"> cu un agent economic (cod</w:t>
      </w:r>
      <w:r w:rsidR="00A127C8" w:rsidRPr="00401691">
        <w:rPr>
          <w:rFonts w:asciiTheme="majorHAnsi" w:hAnsiTheme="majorHAnsi" w:cstheme="majorHAnsi"/>
          <w:sz w:val="24"/>
          <w:szCs w:val="24"/>
          <w:lang w:val="ro-MD"/>
        </w:rPr>
        <w:t xml:space="preserve"> fiscal 1012600011787) </w:t>
      </w:r>
      <w:r w:rsidR="00703082">
        <w:rPr>
          <w:rFonts w:asciiTheme="majorHAnsi" w:hAnsiTheme="majorHAnsi" w:cstheme="majorHAnsi"/>
          <w:sz w:val="24"/>
          <w:szCs w:val="24"/>
          <w:lang w:val="ro-MD"/>
        </w:rPr>
        <w:t>a</w:t>
      </w:r>
      <w:r w:rsidR="00703082" w:rsidRPr="00401691">
        <w:rPr>
          <w:rFonts w:asciiTheme="majorHAnsi" w:hAnsiTheme="majorHAnsi" w:cstheme="majorHAnsi"/>
          <w:sz w:val="24"/>
          <w:szCs w:val="24"/>
          <w:lang w:val="ro-MD"/>
        </w:rPr>
        <w:t xml:space="preserve"> unui contract</w:t>
      </w:r>
      <w:r w:rsidR="00703082" w:rsidRPr="00401691">
        <w:rPr>
          <w:rStyle w:val="FootnoteReference"/>
          <w:rFonts w:asciiTheme="majorHAnsi" w:hAnsiTheme="majorHAnsi" w:cstheme="majorHAnsi"/>
          <w:sz w:val="24"/>
          <w:szCs w:val="24"/>
          <w:lang w:val="ro-MD"/>
        </w:rPr>
        <w:footnoteReference w:id="46"/>
      </w:r>
      <w:r w:rsidR="00703082" w:rsidRPr="00401691">
        <w:rPr>
          <w:rFonts w:asciiTheme="majorHAnsi" w:hAnsiTheme="majorHAnsi" w:cstheme="majorHAnsi"/>
          <w:sz w:val="24"/>
          <w:szCs w:val="24"/>
          <w:lang w:val="ro-MD"/>
        </w:rPr>
        <w:t xml:space="preserve"> </w:t>
      </w:r>
      <w:r w:rsidR="00A127C8" w:rsidRPr="00401691">
        <w:rPr>
          <w:rFonts w:asciiTheme="majorHAnsi" w:hAnsiTheme="majorHAnsi" w:cstheme="majorHAnsi"/>
          <w:sz w:val="24"/>
          <w:szCs w:val="24"/>
          <w:lang w:val="ro-MD"/>
        </w:rPr>
        <w:t xml:space="preserve">privind </w:t>
      </w:r>
      <w:r w:rsidRPr="00401691">
        <w:rPr>
          <w:rFonts w:asciiTheme="majorHAnsi" w:hAnsiTheme="majorHAnsi" w:cstheme="majorHAnsi"/>
          <w:sz w:val="24"/>
          <w:szCs w:val="24"/>
          <w:lang w:val="ro-MD"/>
        </w:rPr>
        <w:t>prestarea serviciilor de vânzare în comision a bunurilor sechestrate</w:t>
      </w:r>
      <w:r w:rsidR="00D570EA">
        <w:rPr>
          <w:rFonts w:asciiTheme="majorHAnsi" w:hAnsiTheme="majorHAnsi" w:cstheme="majorHAnsi"/>
          <w:sz w:val="24"/>
          <w:szCs w:val="24"/>
          <w:lang w:val="ro-MD"/>
        </w:rPr>
        <w:t>, în baza căruia</w:t>
      </w:r>
      <w:r w:rsidR="00195B02">
        <w:rPr>
          <w:rFonts w:asciiTheme="majorHAnsi" w:hAnsiTheme="majorHAnsi" w:cstheme="majorHAnsi"/>
          <w:sz w:val="24"/>
          <w:szCs w:val="24"/>
          <w:lang w:val="ro-MD"/>
        </w:rPr>
        <w:t xml:space="preserve"> au fost transmise spre </w:t>
      </w:r>
      <w:r w:rsidRPr="00401691">
        <w:rPr>
          <w:rFonts w:asciiTheme="majorHAnsi" w:hAnsiTheme="majorHAnsi" w:cstheme="majorHAnsi"/>
          <w:sz w:val="24"/>
          <w:szCs w:val="24"/>
          <w:lang w:val="ro-MD"/>
        </w:rPr>
        <w:t>vânzare bunurile ridicat</w:t>
      </w:r>
      <w:r w:rsidR="00195B02">
        <w:rPr>
          <w:rFonts w:asciiTheme="majorHAnsi" w:hAnsiTheme="majorHAnsi" w:cstheme="majorHAnsi"/>
          <w:sz w:val="24"/>
          <w:szCs w:val="24"/>
          <w:lang w:val="ro-MD"/>
        </w:rPr>
        <w:t xml:space="preserve">e de la SC </w:t>
      </w:r>
      <w:r w:rsidR="00E63078">
        <w:rPr>
          <w:rFonts w:asciiTheme="majorHAnsi" w:hAnsiTheme="majorHAnsi" w:cstheme="majorHAnsi"/>
          <w:sz w:val="24"/>
          <w:szCs w:val="24"/>
          <w:lang w:val="ro-MD"/>
        </w:rPr>
        <w:t>„</w:t>
      </w:r>
      <w:proofErr w:type="spellStart"/>
      <w:r w:rsidR="00195B02">
        <w:rPr>
          <w:rFonts w:asciiTheme="majorHAnsi" w:hAnsiTheme="majorHAnsi" w:cstheme="majorHAnsi"/>
          <w:sz w:val="24"/>
          <w:szCs w:val="24"/>
          <w:lang w:val="ro-MD"/>
        </w:rPr>
        <w:t>Auratus</w:t>
      </w:r>
      <w:proofErr w:type="spellEnd"/>
      <w:r w:rsidR="00E63078">
        <w:rPr>
          <w:rFonts w:asciiTheme="majorHAnsi" w:hAnsiTheme="majorHAnsi" w:cstheme="majorHAnsi"/>
          <w:sz w:val="24"/>
          <w:szCs w:val="24"/>
          <w:lang w:val="ro-MD"/>
        </w:rPr>
        <w:t>”</w:t>
      </w:r>
      <w:r w:rsidR="00195B02">
        <w:rPr>
          <w:rFonts w:asciiTheme="majorHAnsi" w:hAnsiTheme="majorHAnsi" w:cstheme="majorHAnsi"/>
          <w:sz w:val="24"/>
          <w:szCs w:val="24"/>
          <w:lang w:val="ro-MD"/>
        </w:rPr>
        <w:t xml:space="preserve"> SRL în </w:t>
      </w:r>
      <w:r w:rsidR="00703082">
        <w:rPr>
          <w:rFonts w:asciiTheme="majorHAnsi" w:hAnsiTheme="majorHAnsi" w:cstheme="majorHAnsi"/>
          <w:sz w:val="24"/>
          <w:szCs w:val="24"/>
          <w:lang w:val="ro-MD"/>
        </w:rPr>
        <w:t>valoare</w:t>
      </w:r>
      <w:r w:rsidRPr="00401691">
        <w:rPr>
          <w:rFonts w:asciiTheme="majorHAnsi" w:hAnsiTheme="majorHAnsi" w:cstheme="majorHAnsi"/>
          <w:sz w:val="24"/>
          <w:szCs w:val="24"/>
          <w:lang w:val="ro-MD"/>
        </w:rPr>
        <w:t xml:space="preserve"> de 7413,5 mii lei</w:t>
      </w:r>
      <w:r w:rsidR="00A127C8" w:rsidRPr="00401691">
        <w:rPr>
          <w:rFonts w:asciiTheme="majorHAnsi" w:hAnsiTheme="majorHAnsi" w:cstheme="majorHAnsi"/>
          <w:sz w:val="24"/>
          <w:szCs w:val="24"/>
          <w:lang w:val="ro-MD"/>
        </w:rPr>
        <w:t>. Comisio</w:t>
      </w:r>
      <w:r w:rsidR="00195B02">
        <w:rPr>
          <w:rFonts w:asciiTheme="majorHAnsi" w:hAnsiTheme="majorHAnsi" w:cstheme="majorHAnsi"/>
          <w:sz w:val="24"/>
          <w:szCs w:val="24"/>
          <w:lang w:val="ro-MD"/>
        </w:rPr>
        <w:t>nul</w:t>
      </w:r>
      <w:r w:rsidR="00A127C8" w:rsidRPr="00401691">
        <w:rPr>
          <w:rFonts w:asciiTheme="majorHAnsi" w:hAnsiTheme="majorHAnsi" w:cstheme="majorHAnsi"/>
          <w:sz w:val="24"/>
          <w:szCs w:val="24"/>
          <w:lang w:val="ro-MD"/>
        </w:rPr>
        <w:t xml:space="preserve"> de realizare constituia </w:t>
      </w:r>
      <w:r w:rsidRPr="00401691">
        <w:rPr>
          <w:rFonts w:asciiTheme="majorHAnsi" w:hAnsiTheme="majorHAnsi" w:cstheme="majorHAnsi"/>
          <w:sz w:val="24"/>
          <w:szCs w:val="24"/>
          <w:lang w:val="ro-MD"/>
        </w:rPr>
        <w:t>3% din costul bunurilor realizate</w:t>
      </w:r>
      <w:r w:rsidR="00605D40" w:rsidRPr="00401691">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Reconcilierile datelor</w:t>
      </w:r>
      <w:r w:rsidRPr="00401691">
        <w:rPr>
          <w:rStyle w:val="FootnoteReference"/>
          <w:rFonts w:asciiTheme="majorHAnsi" w:hAnsiTheme="majorHAnsi" w:cstheme="majorHAnsi"/>
          <w:sz w:val="24"/>
          <w:szCs w:val="24"/>
          <w:lang w:val="ro-MD"/>
        </w:rPr>
        <w:footnoteReference w:id="47"/>
      </w:r>
      <w:r w:rsidRPr="00401691">
        <w:rPr>
          <w:rFonts w:asciiTheme="majorHAnsi" w:hAnsiTheme="majorHAnsi" w:cstheme="majorHAnsi"/>
          <w:sz w:val="24"/>
          <w:szCs w:val="24"/>
          <w:lang w:val="ro-MD"/>
        </w:rPr>
        <w:t xml:space="preserve"> </w:t>
      </w:r>
      <w:r w:rsidRPr="00401691">
        <w:rPr>
          <w:rFonts w:asciiTheme="majorHAnsi" w:hAnsiTheme="majorHAnsi" w:cstheme="majorHAnsi"/>
          <w:sz w:val="24"/>
          <w:szCs w:val="24"/>
          <w:lang w:val="ro-MD"/>
        </w:rPr>
        <w:lastRenderedPageBreak/>
        <w:t>a</w:t>
      </w:r>
      <w:r w:rsidR="00703082">
        <w:rPr>
          <w:rFonts w:asciiTheme="majorHAnsi" w:hAnsiTheme="majorHAnsi" w:cstheme="majorHAnsi"/>
          <w:sz w:val="24"/>
          <w:szCs w:val="24"/>
          <w:lang w:val="ro-MD"/>
        </w:rPr>
        <w:t>u</w:t>
      </w:r>
      <w:r w:rsidRPr="00401691">
        <w:rPr>
          <w:rFonts w:asciiTheme="majorHAnsi" w:hAnsiTheme="majorHAnsi" w:cstheme="majorHAnsi"/>
          <w:sz w:val="24"/>
          <w:szCs w:val="24"/>
          <w:lang w:val="ro-MD"/>
        </w:rPr>
        <w:t xml:space="preserve"> permis auditului să constate că valoarea bunurilor transmise spre comercializare a fost diminuată cu 51,3 mii lei. La fel, se atestă diferențe și în numărul articolelor indicate în contractul de consignație, încheiat cu </w:t>
      </w:r>
      <w:r w:rsidR="00A127C8" w:rsidRPr="00401691">
        <w:rPr>
          <w:rFonts w:asciiTheme="majorHAnsi" w:hAnsiTheme="majorHAnsi" w:cstheme="majorHAnsi"/>
          <w:sz w:val="24"/>
          <w:szCs w:val="24"/>
          <w:lang w:val="ro-MD"/>
        </w:rPr>
        <w:t>agentul economic</w:t>
      </w:r>
      <w:r w:rsidR="00703082">
        <w:rPr>
          <w:rFonts w:asciiTheme="majorHAnsi" w:hAnsiTheme="majorHAnsi" w:cstheme="majorHAnsi"/>
          <w:sz w:val="24"/>
          <w:szCs w:val="24"/>
          <w:lang w:val="ro-MD"/>
        </w:rPr>
        <w:t>,</w:t>
      </w:r>
      <w:r w:rsidR="00A127C8" w:rsidRPr="00401691">
        <w:rPr>
          <w:rFonts w:asciiTheme="majorHAnsi" w:hAnsiTheme="majorHAnsi" w:cstheme="majorHAnsi"/>
          <w:sz w:val="24"/>
          <w:szCs w:val="24"/>
          <w:lang w:val="ro-MD"/>
        </w:rPr>
        <w:t xml:space="preserve"> </w:t>
      </w:r>
      <w:r w:rsidRPr="00401691">
        <w:rPr>
          <w:rFonts w:asciiTheme="majorHAnsi" w:hAnsiTheme="majorHAnsi" w:cstheme="majorHAnsi"/>
          <w:sz w:val="24"/>
          <w:szCs w:val="24"/>
          <w:lang w:val="ro-MD"/>
        </w:rPr>
        <w:t xml:space="preserve">și </w:t>
      </w:r>
      <w:r w:rsidR="00703082">
        <w:rPr>
          <w:rFonts w:asciiTheme="majorHAnsi" w:hAnsiTheme="majorHAnsi" w:cstheme="majorHAnsi"/>
          <w:sz w:val="24"/>
          <w:szCs w:val="24"/>
          <w:lang w:val="ro-MD"/>
        </w:rPr>
        <w:t xml:space="preserve">în </w:t>
      </w:r>
      <w:r w:rsidRPr="00401691">
        <w:rPr>
          <w:rFonts w:asciiTheme="majorHAnsi" w:hAnsiTheme="majorHAnsi" w:cstheme="majorHAnsi"/>
          <w:sz w:val="24"/>
          <w:szCs w:val="24"/>
          <w:lang w:val="ro-MD"/>
        </w:rPr>
        <w:t>procesele</w:t>
      </w:r>
      <w:r w:rsidR="00703082">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verbale de ridicare. </w:t>
      </w:r>
    </w:p>
    <w:p w:rsidR="004C7A28" w:rsidRPr="00401691" w:rsidRDefault="00D570EA" w:rsidP="00844145">
      <w:pPr>
        <w:pStyle w:val="NormalWeb"/>
        <w:spacing w:before="0" w:beforeAutospacing="0" w:after="120" w:afterAutospacing="0" w:line="276" w:lineRule="auto"/>
        <w:jc w:val="both"/>
        <w:rPr>
          <w:rFonts w:asciiTheme="majorHAnsi" w:hAnsiTheme="majorHAnsi" w:cstheme="majorHAnsi"/>
          <w:lang w:val="ro-MD"/>
        </w:rPr>
      </w:pPr>
      <w:r>
        <w:rPr>
          <w:rFonts w:asciiTheme="majorHAnsi" w:hAnsiTheme="majorHAnsi" w:cstheme="majorHAnsi"/>
          <w:lang w:val="ro-MD"/>
        </w:rPr>
        <w:t xml:space="preserve">Fără a </w:t>
      </w:r>
      <w:r w:rsidR="001844A3" w:rsidRPr="00401691">
        <w:rPr>
          <w:rFonts w:asciiTheme="majorHAnsi" w:hAnsiTheme="majorHAnsi" w:cstheme="majorHAnsi"/>
          <w:lang w:val="ro-MD"/>
        </w:rPr>
        <w:t xml:space="preserve">pune în aplicare drepturile </w:t>
      </w:r>
      <w:r w:rsidR="00C61635">
        <w:rPr>
          <w:rFonts w:asciiTheme="majorHAnsi" w:hAnsiTheme="majorHAnsi" w:cstheme="majorHAnsi"/>
          <w:lang w:val="ro-MD"/>
        </w:rPr>
        <w:t>prevăzute de</w:t>
      </w:r>
      <w:r w:rsidR="001844A3" w:rsidRPr="00401691">
        <w:rPr>
          <w:rFonts w:asciiTheme="majorHAnsi" w:hAnsiTheme="majorHAnsi" w:cstheme="majorHAnsi"/>
          <w:lang w:val="ro-MD"/>
        </w:rPr>
        <w:t xml:space="preserve"> art.161 din Codul de executare, SFS nu a contestat contractul încheiat între executorul judecătoresc </w:t>
      </w:r>
      <w:r w:rsidR="00703082">
        <w:rPr>
          <w:rFonts w:asciiTheme="majorHAnsi" w:hAnsiTheme="majorHAnsi" w:cstheme="majorHAnsi"/>
          <w:lang w:val="ro-MD"/>
        </w:rPr>
        <w:t>și</w:t>
      </w:r>
      <w:r w:rsidR="001844A3" w:rsidRPr="00401691">
        <w:rPr>
          <w:rFonts w:asciiTheme="majorHAnsi" w:hAnsiTheme="majorHAnsi" w:cstheme="majorHAnsi"/>
          <w:lang w:val="ro-MD"/>
        </w:rPr>
        <w:t xml:space="preserve"> </w:t>
      </w:r>
      <w:r w:rsidR="00A127C8" w:rsidRPr="00401691">
        <w:rPr>
          <w:rFonts w:asciiTheme="majorHAnsi" w:hAnsiTheme="majorHAnsi" w:cstheme="majorHAnsi"/>
          <w:lang w:val="ro-MD"/>
        </w:rPr>
        <w:t xml:space="preserve">agentul economic </w:t>
      </w:r>
      <w:r w:rsidR="001844A3" w:rsidRPr="00401691">
        <w:rPr>
          <w:rFonts w:asciiTheme="majorHAnsi" w:hAnsiTheme="majorHAnsi" w:cstheme="majorHAnsi"/>
          <w:lang w:val="ro-MD"/>
        </w:rPr>
        <w:t xml:space="preserve">, </w:t>
      </w:r>
      <w:r w:rsidR="00703082">
        <w:rPr>
          <w:rFonts w:asciiTheme="majorHAnsi" w:hAnsiTheme="majorHAnsi" w:cstheme="majorHAnsi"/>
          <w:lang w:val="ro-MD"/>
        </w:rPr>
        <w:t>dat fiind</w:t>
      </w:r>
      <w:r w:rsidR="001844A3" w:rsidRPr="00401691">
        <w:rPr>
          <w:rFonts w:asciiTheme="majorHAnsi" w:hAnsiTheme="majorHAnsi" w:cstheme="majorHAnsi"/>
          <w:lang w:val="ro-MD"/>
        </w:rPr>
        <w:t xml:space="preserve"> că </w:t>
      </w:r>
      <w:r w:rsidR="00A127C8" w:rsidRPr="00401691">
        <w:rPr>
          <w:rFonts w:asciiTheme="majorHAnsi" w:hAnsiTheme="majorHAnsi" w:cstheme="majorHAnsi"/>
          <w:lang w:val="ro-MD"/>
        </w:rPr>
        <w:t xml:space="preserve">acesta </w:t>
      </w:r>
      <w:r w:rsidR="001844A3" w:rsidRPr="00401691">
        <w:rPr>
          <w:rFonts w:asciiTheme="majorHAnsi" w:hAnsiTheme="majorHAnsi" w:cstheme="majorHAnsi"/>
          <w:lang w:val="ro-MD"/>
        </w:rPr>
        <w:t xml:space="preserve">nu întrunea condițiile Regulilor privind comerțul de consignație, precum și </w:t>
      </w:r>
      <w:r w:rsidR="00A127C8" w:rsidRPr="00401691">
        <w:rPr>
          <w:rFonts w:asciiTheme="majorHAnsi" w:hAnsiTheme="majorHAnsi" w:cstheme="majorHAnsi"/>
          <w:lang w:val="ro-MD"/>
        </w:rPr>
        <w:t xml:space="preserve">nu avea </w:t>
      </w:r>
      <w:r w:rsidR="001844A3" w:rsidRPr="00401691">
        <w:rPr>
          <w:rFonts w:asciiTheme="majorHAnsi" w:hAnsiTheme="majorHAnsi" w:cstheme="majorHAnsi"/>
          <w:lang w:val="ro-MD"/>
        </w:rPr>
        <w:t>experienț</w:t>
      </w:r>
      <w:r w:rsidR="00A127C8" w:rsidRPr="00401691">
        <w:rPr>
          <w:rFonts w:asciiTheme="majorHAnsi" w:hAnsiTheme="majorHAnsi" w:cstheme="majorHAnsi"/>
          <w:lang w:val="ro-MD"/>
        </w:rPr>
        <w:t>ă</w:t>
      </w:r>
      <w:r w:rsidR="001844A3" w:rsidRPr="00401691">
        <w:rPr>
          <w:rFonts w:asciiTheme="majorHAnsi" w:hAnsiTheme="majorHAnsi" w:cstheme="majorHAnsi"/>
          <w:lang w:val="ro-MD"/>
        </w:rPr>
        <w:t xml:space="preserve"> în domeniul comercializării metalelor prețioase. Verificările </w:t>
      </w:r>
      <w:r w:rsidR="00703082">
        <w:rPr>
          <w:rFonts w:asciiTheme="majorHAnsi" w:hAnsiTheme="majorHAnsi" w:cstheme="majorHAnsi"/>
          <w:lang w:val="ro-MD"/>
        </w:rPr>
        <w:t xml:space="preserve">efectuate de </w:t>
      </w:r>
      <w:r w:rsidR="001844A3" w:rsidRPr="00401691">
        <w:rPr>
          <w:rFonts w:asciiTheme="majorHAnsi" w:hAnsiTheme="majorHAnsi" w:cstheme="majorHAnsi"/>
          <w:lang w:val="ro-MD"/>
        </w:rPr>
        <w:t xml:space="preserve">audit au </w:t>
      </w:r>
      <w:r w:rsidR="00EE42B2">
        <w:rPr>
          <w:rFonts w:asciiTheme="majorHAnsi" w:hAnsiTheme="majorHAnsi" w:cstheme="majorHAnsi"/>
          <w:lang w:val="ro-MD"/>
        </w:rPr>
        <w:t>relevat</w:t>
      </w:r>
      <w:r w:rsidR="001844A3" w:rsidRPr="00401691">
        <w:rPr>
          <w:rFonts w:asciiTheme="majorHAnsi" w:hAnsiTheme="majorHAnsi" w:cstheme="majorHAnsi"/>
          <w:lang w:val="ro-MD"/>
        </w:rPr>
        <w:t xml:space="preserve"> că </w:t>
      </w:r>
      <w:r w:rsidR="00A127C8" w:rsidRPr="00401691">
        <w:rPr>
          <w:rFonts w:asciiTheme="majorHAnsi" w:hAnsiTheme="majorHAnsi" w:cstheme="majorHAnsi"/>
          <w:lang w:val="ro-MD"/>
        </w:rPr>
        <w:t xml:space="preserve">agentul economic </w:t>
      </w:r>
      <w:r w:rsidR="001844A3" w:rsidRPr="00401691">
        <w:rPr>
          <w:rFonts w:asciiTheme="majorHAnsi" w:hAnsiTheme="majorHAnsi" w:cstheme="majorHAnsi"/>
          <w:lang w:val="ro-MD"/>
        </w:rPr>
        <w:t>și-</w:t>
      </w:r>
      <w:r>
        <w:rPr>
          <w:rFonts w:asciiTheme="majorHAnsi" w:hAnsiTheme="majorHAnsi" w:cstheme="majorHAnsi"/>
          <w:lang w:val="ro-MD"/>
        </w:rPr>
        <w:t>a</w:t>
      </w:r>
      <w:r w:rsidR="00195B02">
        <w:rPr>
          <w:rFonts w:asciiTheme="majorHAnsi" w:hAnsiTheme="majorHAnsi" w:cstheme="majorHAnsi"/>
          <w:lang w:val="ro-MD"/>
        </w:rPr>
        <w:t xml:space="preserve"> perfectat licența privind</w:t>
      </w:r>
      <w:r w:rsidR="001844A3" w:rsidRPr="00401691">
        <w:rPr>
          <w:rFonts w:asciiTheme="majorHAnsi" w:hAnsiTheme="majorHAnsi" w:cstheme="majorHAnsi"/>
          <w:lang w:val="ro-MD"/>
        </w:rPr>
        <w:t xml:space="preserve"> activitatea cu metale și pietre prețioase la 26.02.2020, </w:t>
      </w:r>
      <w:r w:rsidR="00A127C8" w:rsidRPr="00401691">
        <w:rPr>
          <w:rFonts w:asciiTheme="majorHAnsi" w:hAnsiTheme="majorHAnsi" w:cstheme="majorHAnsi"/>
          <w:lang w:val="ro-MD"/>
        </w:rPr>
        <w:t>sau c</w:t>
      </w:r>
      <w:r w:rsidR="00195B02">
        <w:rPr>
          <w:rFonts w:asciiTheme="majorHAnsi" w:hAnsiTheme="majorHAnsi" w:cstheme="majorHAnsi"/>
          <w:lang w:val="ro-MD"/>
        </w:rPr>
        <w:t>u</w:t>
      </w:r>
      <w:r w:rsidR="001844A3" w:rsidRPr="00401691">
        <w:rPr>
          <w:rFonts w:asciiTheme="majorHAnsi" w:hAnsiTheme="majorHAnsi" w:cstheme="majorHAnsi"/>
          <w:lang w:val="ro-MD"/>
        </w:rPr>
        <w:t xml:space="preserve"> 8 zile înainte</w:t>
      </w:r>
      <w:r w:rsidR="00195B02">
        <w:rPr>
          <w:rFonts w:asciiTheme="majorHAnsi" w:hAnsiTheme="majorHAnsi" w:cstheme="majorHAnsi"/>
          <w:lang w:val="ro-MD"/>
        </w:rPr>
        <w:t xml:space="preserve"> </w:t>
      </w:r>
      <w:r w:rsidR="001844A3" w:rsidRPr="00401691">
        <w:rPr>
          <w:rFonts w:asciiTheme="majorHAnsi" w:hAnsiTheme="majorHAnsi" w:cstheme="majorHAnsi"/>
          <w:lang w:val="ro-MD"/>
        </w:rPr>
        <w:t>de a încheia contractul cu executorul judecătoresc. La fel, la data încheierii contractului</w:t>
      </w:r>
      <w:r w:rsidR="00EE42B2">
        <w:rPr>
          <w:rFonts w:asciiTheme="majorHAnsi" w:hAnsiTheme="majorHAnsi" w:cstheme="majorHAnsi"/>
          <w:lang w:val="ro-MD"/>
        </w:rPr>
        <w:t>,</w:t>
      </w:r>
      <w:r w:rsidR="001844A3" w:rsidRPr="00401691">
        <w:rPr>
          <w:rFonts w:asciiTheme="majorHAnsi" w:hAnsiTheme="majorHAnsi" w:cstheme="majorHAnsi"/>
          <w:lang w:val="ro-MD"/>
        </w:rPr>
        <w:t xml:space="preserve"> </w:t>
      </w:r>
      <w:r w:rsidR="00A127C8" w:rsidRPr="00401691">
        <w:rPr>
          <w:rFonts w:asciiTheme="majorHAnsi" w:hAnsiTheme="majorHAnsi" w:cstheme="majorHAnsi"/>
          <w:lang w:val="ro-MD"/>
        </w:rPr>
        <w:t xml:space="preserve">agentul economic </w:t>
      </w:r>
      <w:r w:rsidR="001844A3" w:rsidRPr="00401691">
        <w:rPr>
          <w:rFonts w:asciiTheme="majorHAnsi" w:hAnsiTheme="majorHAnsi" w:cstheme="majorHAnsi"/>
          <w:lang w:val="ro-MD"/>
        </w:rPr>
        <w:t>nu era înregistrat în Registrul special al agenților economici care practică activitatea cu metale prețioase</w:t>
      </w:r>
      <w:r w:rsidR="00EE42B2">
        <w:rPr>
          <w:rFonts w:asciiTheme="majorHAnsi" w:hAnsiTheme="majorHAnsi" w:cstheme="majorHAnsi"/>
          <w:lang w:val="ro-MD"/>
        </w:rPr>
        <w:t>,</w:t>
      </w:r>
      <w:r w:rsidR="001844A3" w:rsidRPr="00401691">
        <w:rPr>
          <w:rFonts w:asciiTheme="majorHAnsi" w:hAnsiTheme="majorHAnsi" w:cstheme="majorHAnsi"/>
          <w:lang w:val="ro-MD"/>
        </w:rPr>
        <w:t xml:space="preserve"> ținut de Instituția Publică Camera de Stat pentru Supravegherea Marcării</w:t>
      </w:r>
      <w:r w:rsidR="00A127C8" w:rsidRPr="00401691">
        <w:rPr>
          <w:rFonts w:asciiTheme="majorHAnsi" w:hAnsiTheme="majorHAnsi" w:cstheme="majorHAnsi"/>
          <w:lang w:val="ro-MD"/>
        </w:rPr>
        <w:t>.</w:t>
      </w:r>
    </w:p>
    <w:p w:rsidR="001844A3" w:rsidRPr="00401691" w:rsidRDefault="001844A3" w:rsidP="00844145">
      <w:pPr>
        <w:pStyle w:val="NormalWeb"/>
        <w:spacing w:before="0" w:beforeAutospacing="0" w:line="276" w:lineRule="auto"/>
        <w:jc w:val="both"/>
        <w:rPr>
          <w:rFonts w:asciiTheme="majorHAnsi" w:hAnsiTheme="majorHAnsi" w:cstheme="majorHAnsi"/>
          <w:lang w:val="ro-MD"/>
        </w:rPr>
      </w:pPr>
      <w:r w:rsidRPr="00401691">
        <w:rPr>
          <w:rFonts w:asciiTheme="majorHAnsi" w:hAnsiTheme="majorHAnsi" w:cstheme="majorHAnsi"/>
          <w:lang w:val="ro-MD"/>
        </w:rPr>
        <w:t>Potrivit datelor fiscale</w:t>
      </w:r>
      <w:r w:rsidR="00EE42B2">
        <w:rPr>
          <w:rFonts w:asciiTheme="majorHAnsi" w:hAnsiTheme="majorHAnsi" w:cstheme="majorHAnsi"/>
          <w:lang w:val="ro-MD"/>
        </w:rPr>
        <w:t>,</w:t>
      </w:r>
      <w:r w:rsidRPr="00401691">
        <w:rPr>
          <w:rFonts w:asciiTheme="majorHAnsi" w:hAnsiTheme="majorHAnsi" w:cstheme="majorHAnsi"/>
          <w:lang w:val="ro-MD"/>
        </w:rPr>
        <w:t xml:space="preserve"> </w:t>
      </w:r>
      <w:r w:rsidR="00A127C8" w:rsidRPr="00401691">
        <w:rPr>
          <w:rFonts w:asciiTheme="majorHAnsi" w:hAnsiTheme="majorHAnsi" w:cstheme="majorHAnsi"/>
          <w:lang w:val="ro-MD"/>
        </w:rPr>
        <w:t xml:space="preserve">agentul economic avea </w:t>
      </w:r>
      <w:r w:rsidRPr="00401691">
        <w:rPr>
          <w:rFonts w:asciiTheme="majorHAnsi" w:hAnsiTheme="majorHAnsi" w:cstheme="majorHAnsi"/>
          <w:lang w:val="ro-MD"/>
        </w:rPr>
        <w:t xml:space="preserve">înregistrat </w:t>
      </w:r>
      <w:r w:rsidR="00EE42B2">
        <w:rPr>
          <w:rFonts w:asciiTheme="majorHAnsi" w:hAnsiTheme="majorHAnsi" w:cstheme="majorHAnsi"/>
          <w:lang w:val="ro-MD"/>
        </w:rPr>
        <w:t xml:space="preserve">un </w:t>
      </w:r>
      <w:r w:rsidRPr="00401691">
        <w:rPr>
          <w:rFonts w:asciiTheme="majorHAnsi" w:hAnsiTheme="majorHAnsi" w:cstheme="majorHAnsi"/>
          <w:lang w:val="ro-MD"/>
        </w:rPr>
        <w:t xml:space="preserve">magazin de consignație, </w:t>
      </w:r>
      <w:r w:rsidR="00EE42B2">
        <w:rPr>
          <w:rFonts w:asciiTheme="majorHAnsi" w:hAnsiTheme="majorHAnsi" w:cstheme="majorHAnsi"/>
          <w:lang w:val="ro-MD"/>
        </w:rPr>
        <w:t>pe</w:t>
      </w:r>
      <w:r w:rsidRPr="00401691">
        <w:rPr>
          <w:rFonts w:asciiTheme="majorHAnsi" w:hAnsiTheme="majorHAnsi" w:cstheme="majorHAnsi"/>
          <w:lang w:val="ro-MD"/>
        </w:rPr>
        <w:t xml:space="preserve"> adresa</w:t>
      </w:r>
      <w:r w:rsidR="00EE42B2">
        <w:rPr>
          <w:rFonts w:asciiTheme="majorHAnsi" w:hAnsiTheme="majorHAnsi" w:cstheme="majorHAnsi"/>
          <w:lang w:val="ro-MD"/>
        </w:rPr>
        <w:t xml:space="preserve"> -</w:t>
      </w:r>
      <w:r w:rsidRPr="00401691">
        <w:rPr>
          <w:rFonts w:asciiTheme="majorHAnsi" w:hAnsiTheme="majorHAnsi" w:cstheme="majorHAnsi"/>
          <w:lang w:val="ro-MD"/>
        </w:rPr>
        <w:t xml:space="preserve"> or. Codru, str. </w:t>
      </w:r>
      <w:proofErr w:type="spellStart"/>
      <w:r w:rsidRPr="00401691">
        <w:rPr>
          <w:rFonts w:asciiTheme="majorHAnsi" w:hAnsiTheme="majorHAnsi" w:cstheme="majorHAnsi"/>
          <w:lang w:val="ro-MD"/>
        </w:rPr>
        <w:t>Costiujeni</w:t>
      </w:r>
      <w:proofErr w:type="spellEnd"/>
      <w:r w:rsidRPr="00401691">
        <w:rPr>
          <w:rFonts w:asciiTheme="majorHAnsi" w:hAnsiTheme="majorHAnsi" w:cstheme="majorHAnsi"/>
          <w:lang w:val="ro-MD"/>
        </w:rPr>
        <w:t xml:space="preserve"> 78</w:t>
      </w:r>
      <w:r w:rsidR="00761988" w:rsidRPr="00401691">
        <w:rPr>
          <w:rFonts w:asciiTheme="majorHAnsi" w:hAnsiTheme="majorHAnsi" w:cstheme="majorHAnsi"/>
          <w:lang w:val="ro-MD"/>
        </w:rPr>
        <w:t>.</w:t>
      </w:r>
      <w:r w:rsidRPr="00401691">
        <w:rPr>
          <w:rFonts w:asciiTheme="majorHAnsi" w:hAnsiTheme="majorHAnsi" w:cstheme="majorHAnsi"/>
          <w:lang w:val="ro-MD"/>
        </w:rPr>
        <w:t xml:space="preserve"> Observațiile echipei de audit </w:t>
      </w:r>
      <w:r w:rsidR="00761988" w:rsidRPr="00401691">
        <w:rPr>
          <w:rFonts w:asciiTheme="majorHAnsi" w:hAnsiTheme="majorHAnsi" w:cstheme="majorHAnsi"/>
          <w:lang w:val="ro-MD"/>
        </w:rPr>
        <w:t xml:space="preserve">la adresa indicată </w:t>
      </w:r>
      <w:r w:rsidRPr="00401691">
        <w:rPr>
          <w:rFonts w:asciiTheme="majorHAnsi" w:hAnsiTheme="majorHAnsi" w:cstheme="majorHAnsi"/>
          <w:lang w:val="ro-MD"/>
        </w:rPr>
        <w:t xml:space="preserve">denotă că </w:t>
      </w:r>
      <w:r w:rsidR="00761988" w:rsidRPr="00401691">
        <w:rPr>
          <w:rFonts w:asciiTheme="majorHAnsi" w:hAnsiTheme="majorHAnsi" w:cstheme="majorHAnsi"/>
          <w:lang w:val="ro-MD"/>
        </w:rPr>
        <w:t xml:space="preserve">agentul economic </w:t>
      </w:r>
      <w:r w:rsidRPr="00401691">
        <w:rPr>
          <w:rFonts w:asciiTheme="majorHAnsi" w:hAnsiTheme="majorHAnsi" w:cstheme="majorHAnsi"/>
          <w:lang w:val="ro-MD"/>
        </w:rPr>
        <w:t>nu dispune</w:t>
      </w:r>
      <w:r w:rsidR="00761988" w:rsidRPr="00401691">
        <w:rPr>
          <w:rFonts w:asciiTheme="majorHAnsi" w:hAnsiTheme="majorHAnsi" w:cstheme="majorHAnsi"/>
          <w:lang w:val="ro-MD"/>
        </w:rPr>
        <w:t>a</w:t>
      </w:r>
      <w:r w:rsidRPr="00401691">
        <w:rPr>
          <w:rFonts w:asciiTheme="majorHAnsi" w:hAnsiTheme="majorHAnsi" w:cstheme="majorHAnsi"/>
          <w:lang w:val="ro-MD"/>
        </w:rPr>
        <w:t xml:space="preserve"> de magazin de consignație pentru comercializarea articolelor din metale și pietre prețioase</w:t>
      </w:r>
      <w:r w:rsidR="00EE42B2">
        <w:rPr>
          <w:rFonts w:asciiTheme="majorHAnsi" w:hAnsiTheme="majorHAnsi" w:cstheme="majorHAnsi"/>
          <w:lang w:val="ro-MD"/>
        </w:rPr>
        <w:t>,</w:t>
      </w:r>
      <w:r w:rsidRPr="00401691">
        <w:rPr>
          <w:rFonts w:asciiTheme="majorHAnsi" w:hAnsiTheme="majorHAnsi" w:cstheme="majorHAnsi"/>
          <w:lang w:val="ro-MD"/>
        </w:rPr>
        <w:t xml:space="preserve"> potrivit cerințelor Hotărârii Guvernului </w:t>
      </w:r>
      <w:r w:rsidRPr="00401691">
        <w:rPr>
          <w:rFonts w:asciiTheme="majorHAnsi" w:hAnsiTheme="majorHAnsi" w:cstheme="majorHAnsi"/>
          <w:lang w:val="ro-MD"/>
        </w:rPr>
        <w:lastRenderedPageBreak/>
        <w:t>nr.261 din 13.05.1996</w:t>
      </w:r>
      <w:r w:rsidRPr="00401691">
        <w:rPr>
          <w:rStyle w:val="FootnoteReference"/>
          <w:rFonts w:asciiTheme="majorHAnsi" w:hAnsiTheme="majorHAnsi" w:cstheme="majorHAnsi"/>
          <w:lang w:val="ro-MD"/>
        </w:rPr>
        <w:footnoteReference w:id="48"/>
      </w:r>
      <w:r w:rsidRPr="00401691">
        <w:rPr>
          <w:rFonts w:asciiTheme="majorHAnsi" w:hAnsiTheme="majorHAnsi" w:cstheme="majorHAnsi"/>
          <w:lang w:val="ro-MD"/>
        </w:rPr>
        <w:t xml:space="preserve">. Astfel, la adresa indicată își desfășoară activitatea </w:t>
      </w:r>
      <w:r w:rsidR="00761988" w:rsidRPr="00401691">
        <w:rPr>
          <w:rFonts w:asciiTheme="majorHAnsi" w:hAnsiTheme="majorHAnsi" w:cstheme="majorHAnsi"/>
          <w:lang w:val="ro-MD"/>
        </w:rPr>
        <w:t xml:space="preserve">un </w:t>
      </w:r>
      <w:r w:rsidRPr="00401691">
        <w:rPr>
          <w:rFonts w:asciiTheme="majorHAnsi" w:hAnsiTheme="majorHAnsi" w:cstheme="majorHAnsi"/>
          <w:lang w:val="ro-MD"/>
        </w:rPr>
        <w:t>restaurant</w:t>
      </w:r>
      <w:r w:rsidRPr="00401691">
        <w:rPr>
          <w:rStyle w:val="FootnoteReference"/>
          <w:rFonts w:asciiTheme="majorHAnsi" w:hAnsiTheme="majorHAnsi" w:cstheme="majorHAnsi"/>
          <w:lang w:val="ro-MD"/>
        </w:rPr>
        <w:footnoteReference w:id="49"/>
      </w:r>
      <w:r w:rsidRPr="00401691">
        <w:rPr>
          <w:rFonts w:asciiTheme="majorHAnsi" w:hAnsiTheme="majorHAnsi" w:cstheme="majorHAnsi"/>
          <w:lang w:val="ro-MD"/>
        </w:rPr>
        <w:t>, nefiind depista</w:t>
      </w:r>
      <w:r w:rsidR="00EE42B2">
        <w:rPr>
          <w:rFonts w:asciiTheme="majorHAnsi" w:hAnsiTheme="majorHAnsi" w:cstheme="majorHAnsi"/>
          <w:lang w:val="ro-MD"/>
        </w:rPr>
        <w:t>te</w:t>
      </w:r>
      <w:r w:rsidRPr="00401691">
        <w:rPr>
          <w:rFonts w:asciiTheme="majorHAnsi" w:hAnsiTheme="majorHAnsi" w:cstheme="majorHAnsi"/>
          <w:lang w:val="ro-MD"/>
        </w:rPr>
        <w:t xml:space="preserve"> careva indicii despre existența magazinului de consignație care comercializează articole din metale prețioase</w:t>
      </w:r>
      <w:r w:rsidR="00761988" w:rsidRPr="00401691">
        <w:rPr>
          <w:rFonts w:asciiTheme="majorHAnsi" w:hAnsiTheme="majorHAnsi" w:cstheme="majorHAnsi"/>
          <w:lang w:val="ro-MD"/>
        </w:rPr>
        <w:t>.</w:t>
      </w:r>
    </w:p>
    <w:p w:rsidR="001844A3" w:rsidRPr="00401691" w:rsidRDefault="001844A3" w:rsidP="00844145">
      <w:pPr>
        <w:pStyle w:val="ListParagraph"/>
        <w:spacing w:after="120" w:line="276" w:lineRule="auto"/>
        <w:ind w:left="0"/>
        <w:contextualSpacing w:val="0"/>
        <w:jc w:val="both"/>
        <w:rPr>
          <w:rFonts w:asciiTheme="majorHAnsi" w:hAnsiTheme="majorHAnsi" w:cstheme="majorHAnsi"/>
          <w:sz w:val="24"/>
          <w:szCs w:val="24"/>
          <w:lang w:val="ro-MD"/>
        </w:rPr>
      </w:pPr>
      <w:r w:rsidRPr="00401691">
        <w:rPr>
          <w:rFonts w:asciiTheme="majorHAnsi" w:hAnsiTheme="majorHAnsi" w:cstheme="majorHAnsi"/>
          <w:sz w:val="24"/>
          <w:szCs w:val="24"/>
          <w:lang w:val="ro-MD"/>
        </w:rPr>
        <w:t>Ulterior, prin</w:t>
      </w:r>
      <w:r w:rsidR="003A7DE2" w:rsidRPr="00401691">
        <w:rPr>
          <w:rFonts w:asciiTheme="majorHAnsi" w:hAnsiTheme="majorHAnsi" w:cstheme="majorHAnsi"/>
          <w:sz w:val="24"/>
          <w:szCs w:val="24"/>
          <w:lang w:val="ro-MD"/>
        </w:rPr>
        <w:t xml:space="preserve"> două scrisori ale executorului judecătoresc</w:t>
      </w:r>
      <w:r w:rsidR="003A7DE2" w:rsidRPr="00401691">
        <w:rPr>
          <w:rStyle w:val="FootnoteReference"/>
          <w:rFonts w:asciiTheme="majorHAnsi" w:hAnsiTheme="majorHAnsi" w:cstheme="majorHAnsi"/>
          <w:sz w:val="24"/>
          <w:szCs w:val="24"/>
          <w:lang w:val="ro-MD"/>
        </w:rPr>
        <w:footnoteReference w:id="50"/>
      </w:r>
      <w:r w:rsidR="003A7DE2" w:rsidRPr="00401691">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w:t>
      </w:r>
      <w:r w:rsidR="00161100">
        <w:rPr>
          <w:rFonts w:asciiTheme="majorHAnsi" w:hAnsiTheme="majorHAnsi" w:cstheme="majorHAnsi"/>
          <w:sz w:val="24"/>
          <w:szCs w:val="24"/>
          <w:lang w:val="ro-MD"/>
        </w:rPr>
        <w:t xml:space="preserve">ultimul a comunicat </w:t>
      </w:r>
      <w:r w:rsidRPr="00401691">
        <w:rPr>
          <w:rFonts w:asciiTheme="majorHAnsi" w:hAnsiTheme="majorHAnsi" w:cstheme="majorHAnsi"/>
          <w:sz w:val="24"/>
          <w:szCs w:val="24"/>
          <w:lang w:val="ro-MD"/>
        </w:rPr>
        <w:t>SFS</w:t>
      </w:r>
      <w:r w:rsidRPr="00401691">
        <w:rPr>
          <w:rStyle w:val="FootnoteReference"/>
          <w:rFonts w:asciiTheme="majorHAnsi" w:hAnsiTheme="majorHAnsi" w:cstheme="majorHAnsi"/>
          <w:sz w:val="24"/>
          <w:szCs w:val="24"/>
          <w:lang w:val="ro-MD"/>
        </w:rPr>
        <w:footnoteReference w:id="51"/>
      </w:r>
      <w:r w:rsidRPr="00401691">
        <w:rPr>
          <w:rFonts w:asciiTheme="majorHAnsi" w:hAnsiTheme="majorHAnsi" w:cstheme="majorHAnsi"/>
          <w:sz w:val="24"/>
          <w:szCs w:val="24"/>
          <w:lang w:val="ro-MD"/>
        </w:rPr>
        <w:t xml:space="preserve"> precum că</w:t>
      </w:r>
      <w:r w:rsidR="00161100">
        <w:rPr>
          <w:rFonts w:asciiTheme="majorHAnsi" w:hAnsiTheme="majorHAnsi" w:cstheme="majorHAnsi"/>
          <w:sz w:val="24"/>
          <w:szCs w:val="24"/>
          <w:lang w:val="ro-MD"/>
        </w:rPr>
        <w:t xml:space="preserve"> în </w:t>
      </w:r>
      <w:r w:rsidR="006C4EE1" w:rsidRPr="00401691">
        <w:rPr>
          <w:rFonts w:asciiTheme="majorHAnsi" w:hAnsiTheme="majorHAnsi" w:cstheme="majorHAnsi"/>
          <w:sz w:val="24"/>
          <w:szCs w:val="24"/>
          <w:lang w:val="ro-MD"/>
        </w:rPr>
        <w:t>lunile martie-aprilie</w:t>
      </w:r>
      <w:r w:rsidR="006C4EE1" w:rsidRPr="00401691">
        <w:rPr>
          <w:rStyle w:val="FootnoteReference"/>
          <w:rFonts w:asciiTheme="majorHAnsi" w:hAnsiTheme="majorHAnsi" w:cstheme="majorHAnsi"/>
          <w:sz w:val="24"/>
          <w:szCs w:val="24"/>
          <w:lang w:val="ro-MD"/>
        </w:rPr>
        <w:footnoteReference w:id="52"/>
      </w:r>
      <w:r w:rsidR="008C5B18" w:rsidRPr="00401691">
        <w:rPr>
          <w:rFonts w:asciiTheme="majorHAnsi" w:hAnsiTheme="majorHAnsi" w:cstheme="majorHAnsi"/>
          <w:sz w:val="24"/>
          <w:szCs w:val="24"/>
          <w:lang w:val="ro-MD"/>
        </w:rPr>
        <w:t xml:space="preserve">, </w:t>
      </w:r>
      <w:r w:rsidRPr="00401691">
        <w:rPr>
          <w:rFonts w:asciiTheme="majorHAnsi" w:hAnsiTheme="majorHAnsi" w:cstheme="majorHAnsi"/>
          <w:sz w:val="24"/>
          <w:szCs w:val="24"/>
          <w:lang w:val="ro-MD"/>
        </w:rPr>
        <w:t>la sediul biroului judecătoresc</w:t>
      </w:r>
      <w:r w:rsidR="001C28FF">
        <w:rPr>
          <w:rFonts w:asciiTheme="majorHAnsi" w:hAnsiTheme="majorHAnsi" w:cstheme="majorHAnsi"/>
          <w:sz w:val="24"/>
          <w:szCs w:val="24"/>
          <w:lang w:val="ro-MD"/>
        </w:rPr>
        <w:t>,</w:t>
      </w:r>
      <w:r w:rsidR="002C7B91" w:rsidRPr="00401691">
        <w:rPr>
          <w:rFonts w:asciiTheme="majorHAnsi" w:hAnsiTheme="majorHAnsi" w:cstheme="majorHAnsi"/>
          <w:sz w:val="24"/>
          <w:szCs w:val="24"/>
          <w:lang w:val="ro-MD"/>
        </w:rPr>
        <w:t xml:space="preserve"> </w:t>
      </w:r>
      <w:r w:rsidRPr="00401691">
        <w:rPr>
          <w:rFonts w:asciiTheme="majorHAnsi" w:hAnsiTheme="majorHAnsi" w:cstheme="majorHAnsi"/>
          <w:sz w:val="24"/>
          <w:szCs w:val="24"/>
          <w:lang w:val="ro-MD"/>
        </w:rPr>
        <w:t>a</w:t>
      </w:r>
      <w:r w:rsidR="002C7B91" w:rsidRPr="00401691">
        <w:rPr>
          <w:rFonts w:asciiTheme="majorHAnsi" w:hAnsiTheme="majorHAnsi" w:cstheme="majorHAnsi"/>
          <w:sz w:val="24"/>
          <w:szCs w:val="24"/>
          <w:lang w:val="ro-MD"/>
        </w:rPr>
        <w:t>u</w:t>
      </w:r>
      <w:r w:rsidRPr="00401691">
        <w:rPr>
          <w:rFonts w:asciiTheme="majorHAnsi" w:hAnsiTheme="majorHAnsi" w:cstheme="majorHAnsi"/>
          <w:sz w:val="24"/>
          <w:szCs w:val="24"/>
          <w:lang w:val="ro-MD"/>
        </w:rPr>
        <w:t xml:space="preserve"> avut loc </w:t>
      </w:r>
      <w:r w:rsidR="006C4EE1" w:rsidRPr="00401691">
        <w:rPr>
          <w:rFonts w:asciiTheme="majorHAnsi" w:hAnsiTheme="majorHAnsi" w:cstheme="majorHAnsi"/>
          <w:sz w:val="24"/>
          <w:szCs w:val="24"/>
          <w:lang w:val="ro-MD"/>
        </w:rPr>
        <w:t xml:space="preserve">două </w:t>
      </w:r>
      <w:r w:rsidR="008C5B18" w:rsidRPr="00401691">
        <w:rPr>
          <w:rFonts w:asciiTheme="majorHAnsi" w:hAnsiTheme="majorHAnsi" w:cstheme="majorHAnsi"/>
          <w:sz w:val="24"/>
          <w:szCs w:val="24"/>
          <w:lang w:val="ro-MD"/>
        </w:rPr>
        <w:t>reevaluări</w:t>
      </w:r>
      <w:r w:rsidR="006C4EE1" w:rsidRPr="00401691">
        <w:rPr>
          <w:rFonts w:asciiTheme="majorHAnsi" w:hAnsiTheme="majorHAnsi" w:cstheme="majorHAnsi"/>
          <w:sz w:val="24"/>
          <w:szCs w:val="24"/>
          <w:lang w:val="ro-MD"/>
        </w:rPr>
        <w:t xml:space="preserve"> a</w:t>
      </w:r>
      <w:r w:rsidR="002C7B91" w:rsidRPr="00401691">
        <w:rPr>
          <w:rFonts w:asciiTheme="majorHAnsi" w:hAnsiTheme="majorHAnsi" w:cstheme="majorHAnsi"/>
          <w:sz w:val="24"/>
          <w:szCs w:val="24"/>
          <w:lang w:val="ro-MD"/>
        </w:rPr>
        <w:t>le</w:t>
      </w:r>
      <w:r w:rsidR="006C4EE1" w:rsidRPr="00401691">
        <w:rPr>
          <w:rFonts w:asciiTheme="majorHAnsi" w:hAnsiTheme="majorHAnsi" w:cstheme="majorHAnsi"/>
          <w:sz w:val="24"/>
          <w:szCs w:val="24"/>
          <w:lang w:val="ro-MD"/>
        </w:rPr>
        <w:t xml:space="preserve"> </w:t>
      </w:r>
      <w:r w:rsidRPr="00401691">
        <w:rPr>
          <w:rFonts w:asciiTheme="majorHAnsi" w:hAnsiTheme="majorHAnsi" w:cstheme="majorHAnsi"/>
          <w:sz w:val="24"/>
          <w:szCs w:val="24"/>
          <w:lang w:val="ro-MD"/>
        </w:rPr>
        <w:t>bunurilor sechestrate</w:t>
      </w:r>
      <w:r w:rsidR="006C4EE1" w:rsidRPr="00401691">
        <w:rPr>
          <w:rFonts w:asciiTheme="majorHAnsi" w:hAnsiTheme="majorHAnsi" w:cstheme="majorHAnsi"/>
          <w:sz w:val="24"/>
          <w:szCs w:val="24"/>
          <w:lang w:val="ro-MD"/>
        </w:rPr>
        <w:t xml:space="preserve">, </w:t>
      </w:r>
      <w:r w:rsidR="001C28FF">
        <w:rPr>
          <w:rFonts w:asciiTheme="majorHAnsi" w:hAnsiTheme="majorHAnsi" w:cstheme="majorHAnsi"/>
          <w:sz w:val="24"/>
          <w:szCs w:val="24"/>
          <w:lang w:val="ro-MD"/>
        </w:rPr>
        <w:t xml:space="preserve">a căror </w:t>
      </w:r>
      <w:r w:rsidR="006C4EE1" w:rsidRPr="00401691">
        <w:rPr>
          <w:rFonts w:asciiTheme="majorHAnsi" w:hAnsiTheme="majorHAnsi" w:cstheme="majorHAnsi"/>
          <w:sz w:val="24"/>
          <w:szCs w:val="24"/>
          <w:lang w:val="ro-MD"/>
        </w:rPr>
        <w:t>valoare s-a diminuat de la 7413,5 mii lei până la 4151,5 mii lei</w:t>
      </w:r>
      <w:r w:rsidRPr="00401691">
        <w:rPr>
          <w:rFonts w:asciiTheme="majorHAnsi" w:hAnsiTheme="majorHAnsi" w:cstheme="majorHAnsi"/>
          <w:sz w:val="24"/>
          <w:szCs w:val="24"/>
          <w:lang w:val="ro-MD"/>
        </w:rPr>
        <w:t xml:space="preserve">. </w:t>
      </w:r>
      <w:r w:rsidR="00D833E8" w:rsidRPr="00401691">
        <w:rPr>
          <w:rFonts w:asciiTheme="majorHAnsi" w:hAnsiTheme="majorHAnsi" w:cstheme="majorHAnsi"/>
          <w:color w:val="000000" w:themeColor="text1"/>
          <w:sz w:val="24"/>
          <w:szCs w:val="24"/>
          <w:lang w:val="ro-MD"/>
        </w:rPr>
        <w:t>De menționat că</w:t>
      </w:r>
      <w:r w:rsidR="001C28FF">
        <w:rPr>
          <w:rFonts w:asciiTheme="majorHAnsi" w:hAnsiTheme="majorHAnsi" w:cstheme="majorHAnsi"/>
          <w:color w:val="000000" w:themeColor="text1"/>
          <w:sz w:val="24"/>
          <w:szCs w:val="24"/>
          <w:lang w:val="ro-MD"/>
        </w:rPr>
        <w:t>,</w:t>
      </w:r>
      <w:r w:rsidR="00D833E8" w:rsidRPr="00401691">
        <w:rPr>
          <w:rFonts w:asciiTheme="majorHAnsi" w:hAnsiTheme="majorHAnsi" w:cstheme="majorHAnsi"/>
          <w:color w:val="000000" w:themeColor="text1"/>
          <w:sz w:val="24"/>
          <w:szCs w:val="24"/>
          <w:lang w:val="ro-MD"/>
        </w:rPr>
        <w:t xml:space="preserve"> potrivit datelor Băncii Naționale</w:t>
      </w:r>
      <w:r w:rsidR="00161100">
        <w:rPr>
          <w:rFonts w:asciiTheme="majorHAnsi" w:hAnsiTheme="majorHAnsi" w:cstheme="majorHAnsi"/>
          <w:color w:val="000000" w:themeColor="text1"/>
          <w:sz w:val="24"/>
          <w:szCs w:val="24"/>
          <w:lang w:val="ro-MD"/>
        </w:rPr>
        <w:t xml:space="preserve"> a Moldovei</w:t>
      </w:r>
      <w:r w:rsidR="00D833E8" w:rsidRPr="00401691">
        <w:rPr>
          <w:rFonts w:asciiTheme="majorHAnsi" w:hAnsiTheme="majorHAnsi" w:cstheme="majorHAnsi"/>
          <w:color w:val="000000" w:themeColor="text1"/>
          <w:sz w:val="24"/>
          <w:szCs w:val="24"/>
          <w:lang w:val="ro-MD"/>
        </w:rPr>
        <w:t>, în perioada de la sechestrarea bunurilor până la cea de</w:t>
      </w:r>
      <w:r w:rsidR="001C28FF">
        <w:rPr>
          <w:rFonts w:asciiTheme="majorHAnsi" w:hAnsiTheme="majorHAnsi" w:cstheme="majorHAnsi"/>
          <w:color w:val="000000" w:themeColor="text1"/>
          <w:sz w:val="24"/>
          <w:szCs w:val="24"/>
          <w:lang w:val="ro-MD"/>
        </w:rPr>
        <w:t>-</w:t>
      </w:r>
      <w:r w:rsidR="00D833E8" w:rsidRPr="00401691">
        <w:rPr>
          <w:rFonts w:asciiTheme="majorHAnsi" w:hAnsiTheme="majorHAnsi" w:cstheme="majorHAnsi"/>
          <w:color w:val="000000" w:themeColor="text1"/>
          <w:sz w:val="24"/>
          <w:szCs w:val="24"/>
          <w:lang w:val="ro-MD"/>
        </w:rPr>
        <w:t>a doua reevaluare, preț</w:t>
      </w:r>
      <w:r w:rsidR="00D2516B">
        <w:rPr>
          <w:rFonts w:asciiTheme="majorHAnsi" w:hAnsiTheme="majorHAnsi" w:cstheme="majorHAnsi"/>
          <w:color w:val="000000" w:themeColor="text1"/>
          <w:sz w:val="24"/>
          <w:szCs w:val="24"/>
          <w:lang w:val="ro-MD"/>
        </w:rPr>
        <w:t>ul la un gram de aur a crescut</w:t>
      </w:r>
      <w:r w:rsidR="001C28FF">
        <w:rPr>
          <w:rFonts w:asciiTheme="majorHAnsi" w:hAnsiTheme="majorHAnsi" w:cstheme="majorHAnsi"/>
          <w:color w:val="000000" w:themeColor="text1"/>
          <w:sz w:val="24"/>
          <w:szCs w:val="24"/>
          <w:lang w:val="ro-MD"/>
        </w:rPr>
        <w:t>,</w:t>
      </w:r>
      <w:r w:rsidR="00D2516B">
        <w:rPr>
          <w:rFonts w:asciiTheme="majorHAnsi" w:hAnsiTheme="majorHAnsi" w:cstheme="majorHAnsi"/>
          <w:color w:val="000000" w:themeColor="text1"/>
          <w:sz w:val="24"/>
          <w:szCs w:val="24"/>
          <w:lang w:val="ro-MD"/>
        </w:rPr>
        <w:t xml:space="preserve"> </w:t>
      </w:r>
      <w:r w:rsidR="00D833E8" w:rsidRPr="00401691">
        <w:rPr>
          <w:rFonts w:asciiTheme="majorHAnsi" w:hAnsiTheme="majorHAnsi" w:cstheme="majorHAnsi"/>
          <w:color w:val="000000" w:themeColor="text1"/>
          <w:sz w:val="24"/>
          <w:szCs w:val="24"/>
          <w:lang w:val="ro-MD"/>
        </w:rPr>
        <w:t>în medi</w:t>
      </w:r>
      <w:r w:rsidR="001C28FF">
        <w:rPr>
          <w:rFonts w:asciiTheme="majorHAnsi" w:hAnsiTheme="majorHAnsi" w:cstheme="majorHAnsi"/>
          <w:color w:val="000000" w:themeColor="text1"/>
          <w:sz w:val="24"/>
          <w:szCs w:val="24"/>
          <w:lang w:val="ro-MD"/>
        </w:rPr>
        <w:t>e,</w:t>
      </w:r>
      <w:r w:rsidR="00D833E8" w:rsidRPr="00401691">
        <w:rPr>
          <w:rFonts w:asciiTheme="majorHAnsi" w:hAnsiTheme="majorHAnsi" w:cstheme="majorHAnsi"/>
          <w:color w:val="000000" w:themeColor="text1"/>
          <w:sz w:val="24"/>
          <w:szCs w:val="24"/>
          <w:lang w:val="ro-MD"/>
        </w:rPr>
        <w:t xml:space="preserve"> </w:t>
      </w:r>
      <w:r w:rsidR="001C28FF">
        <w:rPr>
          <w:rFonts w:asciiTheme="majorHAnsi" w:hAnsiTheme="majorHAnsi" w:cstheme="majorHAnsi"/>
          <w:color w:val="000000" w:themeColor="text1"/>
          <w:sz w:val="24"/>
          <w:szCs w:val="24"/>
          <w:lang w:val="ro-MD"/>
        </w:rPr>
        <w:t xml:space="preserve">cu </w:t>
      </w:r>
      <w:r w:rsidR="00D833E8" w:rsidRPr="00401691">
        <w:rPr>
          <w:rFonts w:asciiTheme="majorHAnsi" w:hAnsiTheme="majorHAnsi" w:cstheme="majorHAnsi"/>
          <w:color w:val="000000" w:themeColor="text1"/>
          <w:sz w:val="24"/>
          <w:szCs w:val="24"/>
          <w:lang w:val="ro-MD"/>
        </w:rPr>
        <w:t>circa 30%.</w:t>
      </w:r>
    </w:p>
    <w:p w:rsidR="001844A3" w:rsidRPr="00401691" w:rsidRDefault="001844A3" w:rsidP="00844145">
      <w:pPr>
        <w:pStyle w:val="ListParagraph"/>
        <w:spacing w:after="120" w:line="276" w:lineRule="auto"/>
        <w:ind w:left="0"/>
        <w:contextualSpacing w:val="0"/>
        <w:jc w:val="both"/>
        <w:rPr>
          <w:rFonts w:asciiTheme="majorHAnsi" w:hAnsiTheme="majorHAnsi" w:cstheme="majorHAnsi"/>
          <w:sz w:val="24"/>
          <w:szCs w:val="24"/>
          <w:lang w:val="ro-MD"/>
        </w:rPr>
      </w:pPr>
      <w:r w:rsidRPr="00401691">
        <w:rPr>
          <w:rFonts w:asciiTheme="majorHAnsi" w:hAnsiTheme="majorHAnsi" w:cstheme="majorHAnsi"/>
          <w:sz w:val="24"/>
          <w:szCs w:val="24"/>
          <w:lang w:val="ro-MD"/>
        </w:rPr>
        <w:t>Analiza proceselor</w:t>
      </w:r>
      <w:r w:rsidR="001C28FF">
        <w:rPr>
          <w:rFonts w:asciiTheme="majorHAnsi" w:hAnsiTheme="majorHAnsi" w:cstheme="majorHAnsi"/>
          <w:sz w:val="24"/>
          <w:szCs w:val="24"/>
          <w:lang w:val="ro-MD"/>
        </w:rPr>
        <w:t>-</w:t>
      </w:r>
      <w:r w:rsidRPr="00401691">
        <w:rPr>
          <w:rFonts w:asciiTheme="majorHAnsi" w:hAnsiTheme="majorHAnsi" w:cstheme="majorHAnsi"/>
          <w:sz w:val="24"/>
          <w:szCs w:val="24"/>
          <w:lang w:val="ro-MD"/>
        </w:rPr>
        <w:t>verbale de reevaluare, precum și probele acumulate la fața locului au determinat auditul</w:t>
      </w:r>
      <w:r w:rsidR="001C28FF">
        <w:rPr>
          <w:rFonts w:asciiTheme="majorHAnsi" w:hAnsiTheme="majorHAnsi" w:cstheme="majorHAnsi"/>
          <w:sz w:val="24"/>
          <w:szCs w:val="24"/>
          <w:lang w:val="ro-MD"/>
        </w:rPr>
        <w:t xml:space="preserve"> să</w:t>
      </w:r>
      <w:r w:rsidRPr="00401691">
        <w:rPr>
          <w:rFonts w:asciiTheme="majorHAnsi" w:hAnsiTheme="majorHAnsi" w:cstheme="majorHAnsi"/>
          <w:sz w:val="24"/>
          <w:szCs w:val="24"/>
          <w:lang w:val="ro-MD"/>
        </w:rPr>
        <w:t xml:space="preserve"> stabil</w:t>
      </w:r>
      <w:r w:rsidR="001C28FF">
        <w:rPr>
          <w:rFonts w:asciiTheme="majorHAnsi" w:hAnsiTheme="majorHAnsi" w:cstheme="majorHAnsi"/>
          <w:sz w:val="24"/>
          <w:szCs w:val="24"/>
          <w:lang w:val="ro-MD"/>
        </w:rPr>
        <w:t>ească</w:t>
      </w:r>
      <w:r w:rsidRPr="00401691">
        <w:rPr>
          <w:rFonts w:asciiTheme="majorHAnsi" w:hAnsiTheme="majorHAnsi" w:cstheme="majorHAnsi"/>
          <w:sz w:val="24"/>
          <w:szCs w:val="24"/>
          <w:lang w:val="ro-MD"/>
        </w:rPr>
        <w:t xml:space="preserve"> riscuri de fraudă privind diminuarea nejustificată a prețul</w:t>
      </w:r>
      <w:r w:rsidR="00D2516B">
        <w:rPr>
          <w:rFonts w:asciiTheme="majorHAnsi" w:hAnsiTheme="majorHAnsi" w:cstheme="majorHAnsi"/>
          <w:sz w:val="24"/>
          <w:szCs w:val="24"/>
          <w:lang w:val="ro-MD"/>
        </w:rPr>
        <w:t>ui de comercializare a aurului.</w:t>
      </w:r>
      <w:r w:rsidRPr="00401691">
        <w:rPr>
          <w:rFonts w:asciiTheme="majorHAnsi" w:hAnsiTheme="majorHAnsi" w:cstheme="majorHAnsi"/>
          <w:sz w:val="24"/>
          <w:szCs w:val="24"/>
          <w:lang w:val="ro-MD"/>
        </w:rPr>
        <w:t xml:space="preserve"> De menționat că, atât prima reevaluare</w:t>
      </w:r>
      <w:r w:rsidR="00767C5D">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c</w:t>
      </w:r>
      <w:r w:rsidR="00D2516B">
        <w:rPr>
          <w:rFonts w:asciiTheme="majorHAnsi" w:hAnsiTheme="majorHAnsi" w:cstheme="majorHAnsi"/>
          <w:sz w:val="24"/>
          <w:szCs w:val="24"/>
          <w:lang w:val="ro-MD"/>
        </w:rPr>
        <w:t>ât și cea de</w:t>
      </w:r>
      <w:r w:rsidR="00767C5D">
        <w:rPr>
          <w:rFonts w:asciiTheme="majorHAnsi" w:hAnsiTheme="majorHAnsi" w:cstheme="majorHAnsi"/>
          <w:sz w:val="24"/>
          <w:szCs w:val="24"/>
          <w:lang w:val="ro-MD"/>
        </w:rPr>
        <w:t>-</w:t>
      </w:r>
      <w:r w:rsidR="00D2516B">
        <w:rPr>
          <w:rFonts w:asciiTheme="majorHAnsi" w:hAnsiTheme="majorHAnsi" w:cstheme="majorHAnsi"/>
          <w:sz w:val="24"/>
          <w:szCs w:val="24"/>
          <w:lang w:val="ro-MD"/>
        </w:rPr>
        <w:t xml:space="preserve">a doua reevaluare </w:t>
      </w:r>
      <w:r w:rsidRPr="00401691">
        <w:rPr>
          <w:rFonts w:asciiTheme="majorHAnsi" w:hAnsiTheme="majorHAnsi" w:cstheme="majorHAnsi"/>
          <w:sz w:val="24"/>
          <w:szCs w:val="24"/>
          <w:lang w:val="ro-MD"/>
        </w:rPr>
        <w:t>s-a</w:t>
      </w:r>
      <w:r w:rsidR="00767C5D">
        <w:rPr>
          <w:rFonts w:asciiTheme="majorHAnsi" w:hAnsiTheme="majorHAnsi" w:cstheme="majorHAnsi"/>
          <w:sz w:val="24"/>
          <w:szCs w:val="24"/>
          <w:lang w:val="ro-MD"/>
        </w:rPr>
        <w:t>u</w:t>
      </w:r>
      <w:r w:rsidRPr="00401691">
        <w:rPr>
          <w:rFonts w:asciiTheme="majorHAnsi" w:hAnsiTheme="majorHAnsi" w:cstheme="majorHAnsi"/>
          <w:sz w:val="24"/>
          <w:szCs w:val="24"/>
          <w:lang w:val="ro-MD"/>
        </w:rPr>
        <w:t xml:space="preserve"> efectuat de către executorul judecătoresc fără prezenta</w:t>
      </w:r>
      <w:r w:rsidR="00767C5D">
        <w:rPr>
          <w:rFonts w:asciiTheme="majorHAnsi" w:hAnsiTheme="majorHAnsi" w:cstheme="majorHAnsi"/>
          <w:sz w:val="24"/>
          <w:szCs w:val="24"/>
          <w:lang w:val="ro-MD"/>
        </w:rPr>
        <w:t>rea a</w:t>
      </w:r>
      <w:r w:rsidRPr="00401691">
        <w:rPr>
          <w:rFonts w:asciiTheme="majorHAnsi" w:hAnsiTheme="majorHAnsi" w:cstheme="majorHAnsi"/>
          <w:sz w:val="24"/>
          <w:szCs w:val="24"/>
          <w:lang w:val="ro-MD"/>
        </w:rPr>
        <w:t xml:space="preserve"> careva argumente r</w:t>
      </w:r>
      <w:r w:rsidR="00D2516B">
        <w:rPr>
          <w:rFonts w:asciiTheme="majorHAnsi" w:hAnsiTheme="majorHAnsi" w:cstheme="majorHAnsi"/>
          <w:sz w:val="24"/>
          <w:szCs w:val="24"/>
          <w:lang w:val="ro-MD"/>
        </w:rPr>
        <w:t>eferitor la faptul că mărfurile au fost</w:t>
      </w:r>
      <w:r w:rsidR="00D833E8" w:rsidRPr="00401691">
        <w:rPr>
          <w:rFonts w:asciiTheme="majorHAnsi" w:hAnsiTheme="majorHAnsi" w:cstheme="majorHAnsi"/>
          <w:sz w:val="24"/>
          <w:szCs w:val="24"/>
          <w:lang w:val="ro-MD"/>
        </w:rPr>
        <w:t xml:space="preserve"> expuse </w:t>
      </w:r>
      <w:r w:rsidR="00D110DE" w:rsidRPr="00401691">
        <w:rPr>
          <w:rFonts w:asciiTheme="majorHAnsi" w:hAnsiTheme="majorHAnsi" w:cstheme="majorHAnsi"/>
          <w:sz w:val="24"/>
          <w:szCs w:val="24"/>
          <w:lang w:val="ro-MD"/>
        </w:rPr>
        <w:t>vânzării</w:t>
      </w:r>
      <w:r w:rsidR="00D833E8" w:rsidRPr="00401691">
        <w:rPr>
          <w:rFonts w:asciiTheme="majorHAnsi" w:hAnsiTheme="majorHAnsi" w:cstheme="majorHAnsi"/>
          <w:sz w:val="24"/>
          <w:szCs w:val="24"/>
          <w:lang w:val="ro-MD"/>
        </w:rPr>
        <w:t xml:space="preserve">, </w:t>
      </w:r>
      <w:r w:rsidRPr="00401691">
        <w:rPr>
          <w:rFonts w:asciiTheme="majorHAnsi" w:hAnsiTheme="majorHAnsi" w:cstheme="majorHAnsi"/>
          <w:sz w:val="24"/>
          <w:szCs w:val="24"/>
          <w:lang w:val="ro-MD"/>
        </w:rPr>
        <w:t>după cum prevede pct. 28 din Regulile comerțului de consignație. Este relevant de a specifica imposibilitatea comercializării aurului în această perioadă, avându-se în vedere instituirea stării de urgen</w:t>
      </w:r>
      <w:r w:rsidR="00767C5D">
        <w:rPr>
          <w:rFonts w:asciiTheme="majorHAnsi" w:hAnsiTheme="majorHAnsi" w:cstheme="majorHAnsi"/>
          <w:sz w:val="24"/>
          <w:szCs w:val="24"/>
          <w:lang w:val="ro-MD"/>
        </w:rPr>
        <w:t>ț</w:t>
      </w:r>
      <w:r w:rsidRPr="00401691">
        <w:rPr>
          <w:rFonts w:asciiTheme="majorHAnsi" w:hAnsiTheme="majorHAnsi" w:cstheme="majorHAnsi"/>
          <w:sz w:val="24"/>
          <w:szCs w:val="24"/>
          <w:lang w:val="ro-MD"/>
        </w:rPr>
        <w:t xml:space="preserve">ă în </w:t>
      </w:r>
      <w:r w:rsidRPr="00401691">
        <w:rPr>
          <w:rFonts w:asciiTheme="majorHAnsi" w:hAnsiTheme="majorHAnsi" w:cstheme="majorHAnsi"/>
          <w:sz w:val="24"/>
          <w:szCs w:val="24"/>
          <w:lang w:val="ro-MD"/>
        </w:rPr>
        <w:lastRenderedPageBreak/>
        <w:t>Republica Moldova, prin Hotărârea Parlamentului nr.55 din 17.03.2020.</w:t>
      </w:r>
      <w:r w:rsidR="008D4672" w:rsidRPr="00401691">
        <w:rPr>
          <w:rFonts w:asciiTheme="majorHAnsi" w:hAnsiTheme="majorHAnsi" w:cstheme="majorHAnsi"/>
          <w:sz w:val="24"/>
          <w:szCs w:val="24"/>
          <w:lang w:val="ro-MD"/>
        </w:rPr>
        <w:t xml:space="preserve"> În pofida celor expuse, SFS nu a contestat actele judecătorești în modul stabilit de Codul de executare.</w:t>
      </w:r>
    </w:p>
    <w:p w:rsidR="00B23043" w:rsidRPr="00401691" w:rsidRDefault="002C7B91" w:rsidP="00844145">
      <w:pPr>
        <w:pStyle w:val="ListParagraph"/>
        <w:spacing w:after="120" w:line="276" w:lineRule="auto"/>
        <w:ind w:left="0"/>
        <w:contextualSpacing w:val="0"/>
        <w:jc w:val="both"/>
        <w:rPr>
          <w:rFonts w:asciiTheme="majorHAnsi" w:hAnsiTheme="majorHAnsi" w:cstheme="majorHAnsi"/>
          <w:sz w:val="24"/>
          <w:szCs w:val="24"/>
          <w:lang w:val="ro-MD"/>
        </w:rPr>
      </w:pPr>
      <w:r w:rsidRPr="00401691">
        <w:rPr>
          <w:rFonts w:asciiTheme="majorHAnsi" w:hAnsiTheme="majorHAnsi" w:cstheme="majorHAnsi"/>
          <w:sz w:val="24"/>
          <w:szCs w:val="24"/>
          <w:lang w:val="ro-MD"/>
        </w:rPr>
        <w:t xml:space="preserve">Pentru a-și demonstra activitatea de comercializare a metalelor </w:t>
      </w:r>
      <w:r w:rsidR="00D2516B">
        <w:rPr>
          <w:rFonts w:asciiTheme="majorHAnsi" w:hAnsiTheme="majorHAnsi" w:cstheme="majorHAnsi"/>
          <w:sz w:val="24"/>
          <w:szCs w:val="24"/>
          <w:lang w:val="ro-MD"/>
        </w:rPr>
        <w:t>prețioase, la 24.06.2020 a fost</w:t>
      </w:r>
      <w:r w:rsidRPr="00401691">
        <w:rPr>
          <w:rFonts w:asciiTheme="majorHAnsi" w:hAnsiTheme="majorHAnsi" w:cstheme="majorHAnsi"/>
          <w:sz w:val="24"/>
          <w:szCs w:val="24"/>
          <w:lang w:val="ro-MD"/>
        </w:rPr>
        <w:t xml:space="preserve"> plasată informația privind comercializarea bijuteriilor metalice în valoare de 4151,5 mii lei pe portalul </w:t>
      </w:r>
      <w:r w:rsidR="00D110DE">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999”, </w:t>
      </w:r>
      <w:r w:rsidR="00767C5D">
        <w:rPr>
          <w:rFonts w:asciiTheme="majorHAnsi" w:hAnsiTheme="majorHAnsi" w:cstheme="majorHAnsi"/>
          <w:sz w:val="24"/>
          <w:szCs w:val="24"/>
          <w:lang w:val="ro-MD"/>
        </w:rPr>
        <w:t>cu</w:t>
      </w:r>
      <w:r w:rsidRPr="00401691">
        <w:rPr>
          <w:rFonts w:asciiTheme="majorHAnsi" w:hAnsiTheme="majorHAnsi" w:cstheme="majorHAnsi"/>
          <w:sz w:val="24"/>
          <w:szCs w:val="24"/>
          <w:lang w:val="ro-MD"/>
        </w:rPr>
        <w:t xml:space="preserve"> expu</w:t>
      </w:r>
      <w:r w:rsidR="00767C5D">
        <w:rPr>
          <w:rFonts w:asciiTheme="majorHAnsi" w:hAnsiTheme="majorHAnsi" w:cstheme="majorHAnsi"/>
          <w:sz w:val="24"/>
          <w:szCs w:val="24"/>
          <w:lang w:val="ro-MD"/>
        </w:rPr>
        <w:t>nerea</w:t>
      </w:r>
      <w:r w:rsidRPr="00401691">
        <w:rPr>
          <w:rFonts w:asciiTheme="majorHAnsi" w:hAnsiTheme="majorHAnsi" w:cstheme="majorHAnsi"/>
          <w:sz w:val="24"/>
          <w:szCs w:val="24"/>
          <w:lang w:val="ro-MD"/>
        </w:rPr>
        <w:t xml:space="preserve"> fotografii</w:t>
      </w:r>
      <w:r w:rsidR="00767C5D">
        <w:rPr>
          <w:rFonts w:asciiTheme="majorHAnsi" w:hAnsiTheme="majorHAnsi" w:cstheme="majorHAnsi"/>
          <w:sz w:val="24"/>
          <w:szCs w:val="24"/>
          <w:lang w:val="ro-MD"/>
        </w:rPr>
        <w:t>lor</w:t>
      </w:r>
      <w:r w:rsidRPr="00401691">
        <w:rPr>
          <w:rFonts w:asciiTheme="majorHAnsi" w:hAnsiTheme="majorHAnsi" w:cstheme="majorHAnsi"/>
          <w:sz w:val="24"/>
          <w:szCs w:val="24"/>
          <w:lang w:val="ro-MD"/>
        </w:rPr>
        <w:t xml:space="preserve"> bijuteriilor în pungi, în condiții c</w:t>
      </w:r>
      <w:r w:rsidR="00767C5D">
        <w:rPr>
          <w:rFonts w:asciiTheme="majorHAnsi" w:hAnsiTheme="majorHAnsi" w:cstheme="majorHAnsi"/>
          <w:sz w:val="24"/>
          <w:szCs w:val="24"/>
          <w:lang w:val="ro-MD"/>
        </w:rPr>
        <w:t>ar</w:t>
      </w:r>
      <w:r w:rsidRPr="00401691">
        <w:rPr>
          <w:rFonts w:asciiTheme="majorHAnsi" w:hAnsiTheme="majorHAnsi" w:cstheme="majorHAnsi"/>
          <w:sz w:val="24"/>
          <w:szCs w:val="24"/>
          <w:lang w:val="ro-MD"/>
        </w:rPr>
        <w:t>e nu asigură integritatea bunurilor</w:t>
      </w:r>
      <w:r w:rsidR="00161100">
        <w:rPr>
          <w:rFonts w:asciiTheme="majorHAnsi" w:hAnsiTheme="majorHAnsi" w:cstheme="majorHAnsi"/>
          <w:sz w:val="24"/>
          <w:szCs w:val="24"/>
          <w:lang w:val="ro-MD"/>
        </w:rPr>
        <w:t xml:space="preserve">, </w:t>
      </w:r>
      <w:r w:rsidRPr="00401691">
        <w:rPr>
          <w:rFonts w:asciiTheme="majorHAnsi" w:hAnsiTheme="majorHAnsi" w:cstheme="majorHAnsi"/>
          <w:sz w:val="24"/>
          <w:szCs w:val="24"/>
          <w:lang w:val="ro-MD"/>
        </w:rPr>
        <w:t>cu risc</w:t>
      </w:r>
      <w:r w:rsidR="00161100">
        <w:rPr>
          <w:rFonts w:asciiTheme="majorHAnsi" w:hAnsiTheme="majorHAnsi" w:cstheme="majorHAnsi"/>
          <w:sz w:val="24"/>
          <w:szCs w:val="24"/>
          <w:lang w:val="ro-MD"/>
        </w:rPr>
        <w:t xml:space="preserve"> de</w:t>
      </w:r>
      <w:r w:rsidRPr="00401691">
        <w:rPr>
          <w:rFonts w:asciiTheme="majorHAnsi" w:hAnsiTheme="majorHAnsi" w:cstheme="majorHAnsi"/>
          <w:sz w:val="24"/>
          <w:szCs w:val="24"/>
          <w:lang w:val="ro-MD"/>
        </w:rPr>
        <w:t xml:space="preserve"> sustragere și substituire a acestora</w:t>
      </w:r>
      <w:r w:rsidR="00B905EC">
        <w:rPr>
          <w:rFonts w:asciiTheme="majorHAnsi" w:hAnsiTheme="majorHAnsi" w:cstheme="majorHAnsi"/>
          <w:sz w:val="24"/>
          <w:szCs w:val="24"/>
          <w:lang w:val="ro-MD"/>
        </w:rPr>
        <w:t xml:space="preserve"> </w:t>
      </w:r>
      <w:r w:rsidR="00B905EC" w:rsidRPr="00E63078">
        <w:rPr>
          <w:rFonts w:asciiTheme="majorHAnsi" w:hAnsiTheme="majorHAnsi" w:cstheme="majorHAnsi"/>
          <w:sz w:val="24"/>
          <w:szCs w:val="24"/>
          <w:lang w:val="ro-MD"/>
        </w:rPr>
        <w:t>(</w:t>
      </w:r>
      <w:r w:rsidR="00767C5D" w:rsidRPr="00E63078">
        <w:rPr>
          <w:rFonts w:asciiTheme="majorHAnsi" w:hAnsiTheme="majorHAnsi" w:cstheme="majorHAnsi"/>
          <w:sz w:val="24"/>
          <w:szCs w:val="24"/>
          <w:lang w:val="ro-MD"/>
        </w:rPr>
        <w:t>v</w:t>
      </w:r>
      <w:r w:rsidR="00B905EC" w:rsidRPr="00E63078">
        <w:rPr>
          <w:rFonts w:asciiTheme="majorHAnsi" w:hAnsiTheme="majorHAnsi" w:cstheme="majorHAnsi"/>
          <w:sz w:val="24"/>
          <w:szCs w:val="24"/>
          <w:lang w:val="ro-MD"/>
        </w:rPr>
        <w:t xml:space="preserve">ezi </w:t>
      </w:r>
      <w:r w:rsidR="00767C5D" w:rsidRPr="00E63078">
        <w:rPr>
          <w:rFonts w:asciiTheme="majorHAnsi" w:hAnsiTheme="majorHAnsi" w:cstheme="majorHAnsi"/>
          <w:sz w:val="24"/>
          <w:szCs w:val="24"/>
          <w:lang w:val="ro-MD"/>
        </w:rPr>
        <w:t>A</w:t>
      </w:r>
      <w:r w:rsidR="00B905EC" w:rsidRPr="00E63078">
        <w:rPr>
          <w:rFonts w:asciiTheme="majorHAnsi" w:hAnsiTheme="majorHAnsi" w:cstheme="majorHAnsi"/>
          <w:sz w:val="24"/>
          <w:szCs w:val="24"/>
          <w:lang w:val="ro-MD"/>
        </w:rPr>
        <w:t>nexa</w:t>
      </w:r>
      <w:r w:rsidR="00B905EC">
        <w:rPr>
          <w:rFonts w:asciiTheme="majorHAnsi" w:hAnsiTheme="majorHAnsi" w:cstheme="majorHAnsi"/>
          <w:sz w:val="24"/>
          <w:szCs w:val="24"/>
          <w:lang w:val="ro-MD"/>
        </w:rPr>
        <w:t xml:space="preserve"> nr. 7 la </w:t>
      </w:r>
      <w:r w:rsidR="00767C5D">
        <w:rPr>
          <w:rFonts w:asciiTheme="majorHAnsi" w:hAnsiTheme="majorHAnsi" w:cstheme="majorHAnsi"/>
          <w:sz w:val="24"/>
          <w:szCs w:val="24"/>
          <w:lang w:val="ro-MD"/>
        </w:rPr>
        <w:t>R</w:t>
      </w:r>
      <w:r w:rsidR="00B905EC">
        <w:rPr>
          <w:rFonts w:asciiTheme="majorHAnsi" w:hAnsiTheme="majorHAnsi" w:cstheme="majorHAnsi"/>
          <w:sz w:val="24"/>
          <w:szCs w:val="24"/>
          <w:lang w:val="ro-MD"/>
        </w:rPr>
        <w:t>aportul de audit)</w:t>
      </w:r>
      <w:r w:rsidRPr="00401691">
        <w:rPr>
          <w:rFonts w:asciiTheme="majorHAnsi" w:hAnsiTheme="majorHAnsi" w:cstheme="majorHAnsi"/>
          <w:sz w:val="24"/>
          <w:szCs w:val="24"/>
          <w:lang w:val="ro-MD"/>
        </w:rPr>
        <w:t xml:space="preserve">. </w:t>
      </w:r>
    </w:p>
    <w:p w:rsidR="00CF421B" w:rsidRPr="00401691" w:rsidRDefault="00CF421B" w:rsidP="001B35A8">
      <w:pPr>
        <w:pStyle w:val="NormalWeb"/>
        <w:spacing w:before="0" w:beforeAutospacing="0" w:after="0" w:afterAutospacing="0" w:line="276" w:lineRule="auto"/>
        <w:jc w:val="both"/>
        <w:rPr>
          <w:rStyle w:val="ms-rtefontface-3"/>
          <w:rFonts w:asciiTheme="majorHAnsi" w:hAnsiTheme="majorHAnsi" w:cstheme="majorHAnsi"/>
          <w:lang w:val="ro-MD"/>
        </w:rPr>
      </w:pPr>
      <w:r w:rsidRPr="00401691">
        <w:rPr>
          <w:rStyle w:val="ms-rtefontface-3"/>
          <w:rFonts w:asciiTheme="majorHAnsi" w:hAnsiTheme="majorHAnsi" w:cstheme="majorHAnsi"/>
          <w:lang w:val="ro-MD"/>
        </w:rPr>
        <w:t xml:space="preserve">Cele menționate au fost cauzate de lipsa în </w:t>
      </w:r>
      <w:r w:rsidRPr="00E63078">
        <w:rPr>
          <w:rFonts w:asciiTheme="majorHAnsi" w:hAnsiTheme="majorHAnsi" w:cstheme="majorHAnsi"/>
          <w:lang w:val="ro-MD"/>
        </w:rPr>
        <w:t>Manua</w:t>
      </w:r>
      <w:r w:rsidRPr="00401691">
        <w:rPr>
          <w:rFonts w:asciiTheme="majorHAnsi" w:hAnsiTheme="majorHAnsi" w:cstheme="majorHAnsi"/>
          <w:lang w:val="ro-MD"/>
        </w:rPr>
        <w:t xml:space="preserve">lul operațional </w:t>
      </w:r>
      <w:r w:rsidR="00E63078">
        <w:rPr>
          <w:rFonts w:asciiTheme="majorHAnsi" w:hAnsiTheme="majorHAnsi" w:cstheme="majorHAnsi"/>
          <w:lang w:val="ro-MD"/>
        </w:rPr>
        <w:t xml:space="preserve">privind </w:t>
      </w:r>
      <w:r w:rsidRPr="00401691">
        <w:rPr>
          <w:rFonts w:asciiTheme="majorHAnsi" w:hAnsiTheme="majorHAnsi" w:cstheme="majorHAnsi"/>
          <w:lang w:val="ro-MD"/>
        </w:rPr>
        <w:t>managementul arieratelor</w:t>
      </w:r>
      <w:r w:rsidR="00767C5D">
        <w:rPr>
          <w:rFonts w:asciiTheme="majorHAnsi" w:hAnsiTheme="majorHAnsi" w:cstheme="majorHAnsi"/>
          <w:lang w:val="ro-MD"/>
        </w:rPr>
        <w:t xml:space="preserve"> a</w:t>
      </w:r>
      <w:r w:rsidRPr="00401691">
        <w:rPr>
          <w:rStyle w:val="ms-rtefontface-3"/>
          <w:rFonts w:asciiTheme="majorHAnsi" w:hAnsiTheme="majorHAnsi" w:cstheme="majorHAnsi"/>
          <w:lang w:val="ro-MD"/>
        </w:rPr>
        <w:t xml:space="preserve"> </w:t>
      </w:r>
      <w:r w:rsidR="00767C5D" w:rsidRPr="00401691">
        <w:rPr>
          <w:rStyle w:val="ms-rtefontface-3"/>
          <w:rFonts w:asciiTheme="majorHAnsi" w:hAnsiTheme="majorHAnsi" w:cstheme="majorHAnsi"/>
          <w:lang w:val="ro-MD"/>
        </w:rPr>
        <w:t xml:space="preserve">unor reglementări exhaustive </w:t>
      </w:r>
      <w:r w:rsidRPr="00401691">
        <w:rPr>
          <w:rStyle w:val="ms-rtefontface-3"/>
          <w:rFonts w:asciiTheme="majorHAnsi" w:hAnsiTheme="majorHAnsi" w:cstheme="majorHAnsi"/>
          <w:lang w:val="ro-MD"/>
        </w:rPr>
        <w:t xml:space="preserve">privind acțiunile necesare </w:t>
      </w:r>
      <w:r w:rsidR="00767C5D">
        <w:rPr>
          <w:rStyle w:val="ms-rtefontface-3"/>
          <w:rFonts w:asciiTheme="majorHAnsi" w:hAnsiTheme="majorHAnsi" w:cstheme="majorHAnsi"/>
          <w:lang w:val="ro-MD"/>
        </w:rPr>
        <w:t xml:space="preserve">spre </w:t>
      </w:r>
      <w:r w:rsidRPr="00401691">
        <w:rPr>
          <w:rStyle w:val="ms-rtefontface-3"/>
          <w:rFonts w:asciiTheme="majorHAnsi" w:hAnsiTheme="majorHAnsi" w:cstheme="majorHAnsi"/>
          <w:lang w:val="ro-MD"/>
        </w:rPr>
        <w:t xml:space="preserve">a fi întreprinse de </w:t>
      </w:r>
      <w:r w:rsidR="00767C5D">
        <w:rPr>
          <w:rStyle w:val="ms-rtefontface-3"/>
          <w:rFonts w:asciiTheme="majorHAnsi" w:hAnsiTheme="majorHAnsi" w:cstheme="majorHAnsi"/>
          <w:lang w:val="ro-MD"/>
        </w:rPr>
        <w:t xml:space="preserve">către </w:t>
      </w:r>
      <w:r w:rsidRPr="00401691">
        <w:rPr>
          <w:rStyle w:val="ms-rtefontface-3"/>
          <w:rFonts w:asciiTheme="majorHAnsi" w:hAnsiTheme="majorHAnsi" w:cstheme="majorHAnsi"/>
          <w:lang w:val="ro-MD"/>
        </w:rPr>
        <w:t>angajații DGA pe marginea actelor de executare întocmite de executorul judecătoresc, ca</w:t>
      </w:r>
      <w:r w:rsidR="00195B02">
        <w:rPr>
          <w:rStyle w:val="ms-rtefontface-3"/>
          <w:rFonts w:asciiTheme="majorHAnsi" w:hAnsiTheme="majorHAnsi" w:cstheme="majorHAnsi"/>
          <w:lang w:val="ro-MD"/>
        </w:rPr>
        <w:t>re contravin cadrului normativ,</w:t>
      </w:r>
      <w:r w:rsidR="00D2516B">
        <w:rPr>
          <w:rStyle w:val="ms-rtefontface-3"/>
          <w:rFonts w:asciiTheme="majorHAnsi" w:hAnsiTheme="majorHAnsi" w:cstheme="majorHAnsi"/>
          <w:lang w:val="ro-MD"/>
        </w:rPr>
        <w:t xml:space="preserve"> inclusiv</w:t>
      </w:r>
      <w:r w:rsidRPr="00401691">
        <w:rPr>
          <w:rStyle w:val="ms-rtefontface-3"/>
          <w:rFonts w:asciiTheme="majorHAnsi" w:hAnsiTheme="majorHAnsi" w:cstheme="majorHAnsi"/>
          <w:lang w:val="ro-MD"/>
        </w:rPr>
        <w:t xml:space="preserve"> contestarea acestora. </w:t>
      </w:r>
    </w:p>
    <w:p w:rsidR="008C5B18" w:rsidRPr="00401691" w:rsidRDefault="008C5B18" w:rsidP="00844145">
      <w:pPr>
        <w:pStyle w:val="ListParagraph"/>
        <w:pBdr>
          <w:top w:val="single" w:sz="4" w:space="1" w:color="auto"/>
          <w:left w:val="single" w:sz="4" w:space="4" w:color="auto"/>
          <w:bottom w:val="single" w:sz="4" w:space="1" w:color="auto"/>
          <w:right w:val="single" w:sz="4" w:space="4" w:color="auto"/>
        </w:pBdr>
        <w:spacing w:after="120" w:line="276" w:lineRule="auto"/>
        <w:ind w:left="0"/>
        <w:contextualSpacing w:val="0"/>
        <w:jc w:val="both"/>
        <w:rPr>
          <w:rFonts w:asciiTheme="majorHAnsi" w:hAnsiTheme="majorHAnsi" w:cstheme="majorHAnsi"/>
          <w:sz w:val="24"/>
          <w:szCs w:val="24"/>
          <w:lang w:val="ro-MD"/>
        </w:rPr>
      </w:pPr>
      <w:r w:rsidRPr="00401691">
        <w:rPr>
          <w:rFonts w:asciiTheme="majorHAnsi" w:hAnsiTheme="majorHAnsi" w:cstheme="majorHAnsi"/>
          <w:b/>
          <w:i/>
          <w:sz w:val="24"/>
          <w:szCs w:val="24"/>
          <w:lang w:val="ro-MD"/>
        </w:rPr>
        <w:t>Se ia act:</w:t>
      </w:r>
      <w:r w:rsidR="00195B02">
        <w:rPr>
          <w:rFonts w:asciiTheme="majorHAnsi" w:hAnsiTheme="majorHAnsi" w:cstheme="majorHAnsi"/>
          <w:sz w:val="24"/>
          <w:szCs w:val="24"/>
          <w:lang w:val="ro-MD"/>
        </w:rPr>
        <w:t xml:space="preserve"> </w:t>
      </w:r>
      <w:r w:rsidR="00767C5D">
        <w:rPr>
          <w:rFonts w:asciiTheme="majorHAnsi" w:hAnsiTheme="majorHAnsi" w:cstheme="majorHAnsi"/>
          <w:sz w:val="24"/>
          <w:szCs w:val="24"/>
          <w:lang w:val="ro-MD"/>
        </w:rPr>
        <w:t>Pe</w:t>
      </w:r>
      <w:r w:rsidRPr="00401691">
        <w:rPr>
          <w:rFonts w:asciiTheme="majorHAnsi" w:hAnsiTheme="majorHAnsi" w:cstheme="majorHAnsi"/>
          <w:sz w:val="24"/>
          <w:szCs w:val="24"/>
          <w:lang w:val="ro-MD"/>
        </w:rPr>
        <w:t xml:space="preserve">ntru remedierea situației constatate de </w:t>
      </w:r>
      <w:r w:rsidR="00767C5D">
        <w:rPr>
          <w:rFonts w:asciiTheme="majorHAnsi" w:hAnsiTheme="majorHAnsi" w:cstheme="majorHAnsi"/>
          <w:sz w:val="24"/>
          <w:szCs w:val="24"/>
          <w:lang w:val="ro-MD"/>
        </w:rPr>
        <w:t xml:space="preserve">către </w:t>
      </w:r>
      <w:r w:rsidRPr="00401691">
        <w:rPr>
          <w:rFonts w:asciiTheme="majorHAnsi" w:hAnsiTheme="majorHAnsi" w:cstheme="majorHAnsi"/>
          <w:sz w:val="24"/>
          <w:szCs w:val="24"/>
          <w:lang w:val="ro-MD"/>
        </w:rPr>
        <w:t>echipa de audit</w:t>
      </w:r>
      <w:r w:rsidR="00767C5D">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DGA a</w:t>
      </w:r>
      <w:r w:rsidR="00CC1593" w:rsidRPr="00401691">
        <w:rPr>
          <w:rFonts w:asciiTheme="majorHAnsi" w:hAnsiTheme="majorHAnsi" w:cstheme="majorHAnsi"/>
          <w:sz w:val="24"/>
          <w:szCs w:val="24"/>
          <w:lang w:val="ro-MD"/>
        </w:rPr>
        <w:t xml:space="preserve"> remis o scrisoare</w:t>
      </w:r>
      <w:r w:rsidR="00CC1593" w:rsidRPr="00401691">
        <w:rPr>
          <w:rStyle w:val="FootnoteReference"/>
          <w:rFonts w:asciiTheme="majorHAnsi" w:hAnsiTheme="majorHAnsi" w:cstheme="majorHAnsi"/>
          <w:sz w:val="24"/>
          <w:szCs w:val="24"/>
          <w:lang w:val="ro-MD"/>
        </w:rPr>
        <w:footnoteReference w:id="53"/>
      </w:r>
      <w:r w:rsidR="00CC1593" w:rsidRPr="00401691">
        <w:rPr>
          <w:rFonts w:asciiTheme="majorHAnsi" w:hAnsiTheme="majorHAnsi" w:cstheme="majorHAnsi"/>
          <w:sz w:val="24"/>
          <w:szCs w:val="24"/>
          <w:lang w:val="ro-MD"/>
        </w:rPr>
        <w:t xml:space="preserve"> </w:t>
      </w:r>
      <w:r w:rsidRPr="00401691">
        <w:rPr>
          <w:rFonts w:asciiTheme="majorHAnsi" w:hAnsiTheme="majorHAnsi" w:cstheme="majorHAnsi"/>
          <w:sz w:val="24"/>
          <w:szCs w:val="24"/>
          <w:lang w:val="ro-MD"/>
        </w:rPr>
        <w:t xml:space="preserve">executorului judecătoresc, prin care </w:t>
      </w:r>
      <w:r w:rsidR="00010C4C" w:rsidRPr="00401691">
        <w:rPr>
          <w:rFonts w:asciiTheme="majorHAnsi" w:hAnsiTheme="majorHAnsi" w:cstheme="majorHAnsi"/>
          <w:sz w:val="24"/>
          <w:szCs w:val="24"/>
          <w:lang w:val="ro-MD"/>
        </w:rPr>
        <w:t xml:space="preserve">a </w:t>
      </w:r>
      <w:r w:rsidRPr="00401691">
        <w:rPr>
          <w:rFonts w:asciiTheme="majorHAnsi" w:hAnsiTheme="majorHAnsi" w:cstheme="majorHAnsi"/>
          <w:sz w:val="24"/>
          <w:szCs w:val="24"/>
          <w:lang w:val="ro-MD"/>
        </w:rPr>
        <w:t>solicit</w:t>
      </w:r>
      <w:r w:rsidR="00010C4C" w:rsidRPr="00401691">
        <w:rPr>
          <w:rFonts w:asciiTheme="majorHAnsi" w:hAnsiTheme="majorHAnsi" w:cstheme="majorHAnsi"/>
          <w:sz w:val="24"/>
          <w:szCs w:val="24"/>
          <w:lang w:val="ro-MD"/>
        </w:rPr>
        <w:t xml:space="preserve">at </w:t>
      </w:r>
      <w:r w:rsidRPr="00401691">
        <w:rPr>
          <w:rFonts w:asciiTheme="majorHAnsi" w:hAnsiTheme="majorHAnsi" w:cstheme="majorHAnsi"/>
          <w:sz w:val="24"/>
          <w:szCs w:val="24"/>
          <w:lang w:val="ro-MD"/>
        </w:rPr>
        <w:t xml:space="preserve">revizuirea procesului de comercializare a bunurilor </w:t>
      </w:r>
      <w:r w:rsidR="00CC1593" w:rsidRPr="00401691">
        <w:rPr>
          <w:rFonts w:asciiTheme="majorHAnsi" w:hAnsiTheme="majorHAnsi" w:cstheme="majorHAnsi"/>
          <w:sz w:val="24"/>
          <w:szCs w:val="24"/>
          <w:lang w:val="ro-MD"/>
        </w:rPr>
        <w:t>în valoare de la 7413,5 mii lei</w:t>
      </w:r>
      <w:r w:rsidRPr="00401691">
        <w:rPr>
          <w:rFonts w:asciiTheme="majorHAnsi" w:hAnsiTheme="majorHAnsi" w:cstheme="majorHAnsi"/>
          <w:sz w:val="24"/>
          <w:szCs w:val="24"/>
          <w:lang w:val="ro-MD"/>
        </w:rPr>
        <w:t xml:space="preserve">, </w:t>
      </w:r>
      <w:r w:rsidR="00CC1593" w:rsidRPr="00401691">
        <w:rPr>
          <w:rFonts w:asciiTheme="majorHAnsi" w:hAnsiTheme="majorHAnsi" w:cstheme="majorHAnsi"/>
          <w:sz w:val="24"/>
          <w:szCs w:val="24"/>
          <w:lang w:val="ro-MD"/>
        </w:rPr>
        <w:t xml:space="preserve">menționându-se </w:t>
      </w:r>
      <w:r w:rsidR="00D2516B">
        <w:rPr>
          <w:rFonts w:asciiTheme="majorHAnsi" w:hAnsiTheme="majorHAnsi" w:cstheme="majorHAnsi"/>
          <w:sz w:val="24"/>
          <w:szCs w:val="24"/>
          <w:lang w:val="ro-MD"/>
        </w:rPr>
        <w:t>despre necesitatea întrunirii</w:t>
      </w:r>
      <w:r w:rsidRPr="00401691">
        <w:rPr>
          <w:rFonts w:asciiTheme="majorHAnsi" w:hAnsiTheme="majorHAnsi" w:cstheme="majorHAnsi"/>
          <w:sz w:val="24"/>
          <w:szCs w:val="24"/>
          <w:lang w:val="ro-MD"/>
        </w:rPr>
        <w:t xml:space="preserve"> condițiilor</w:t>
      </w:r>
      <w:r w:rsidR="00195B02">
        <w:rPr>
          <w:rFonts w:asciiTheme="majorHAnsi" w:hAnsiTheme="majorHAnsi" w:cstheme="majorHAnsi"/>
          <w:sz w:val="24"/>
          <w:szCs w:val="24"/>
          <w:lang w:val="ro-MD"/>
        </w:rPr>
        <w:t xml:space="preserve"> </w:t>
      </w:r>
      <w:r w:rsidR="00195B02">
        <w:rPr>
          <w:rFonts w:asciiTheme="majorHAnsi" w:hAnsiTheme="majorHAnsi" w:cstheme="majorHAnsi"/>
          <w:sz w:val="24"/>
          <w:szCs w:val="24"/>
          <w:lang w:val="ro-MD"/>
        </w:rPr>
        <w:lastRenderedPageBreak/>
        <w:t>legale referitor la reevaluarea</w:t>
      </w:r>
      <w:r w:rsidR="00010C4C" w:rsidRPr="00401691">
        <w:rPr>
          <w:rFonts w:asciiTheme="majorHAnsi" w:hAnsiTheme="majorHAnsi" w:cstheme="majorHAnsi"/>
          <w:sz w:val="24"/>
          <w:szCs w:val="24"/>
          <w:lang w:val="ro-MD"/>
        </w:rPr>
        <w:t xml:space="preserve"> bunurilor. Urmare examinării solicitării înaintate,</w:t>
      </w:r>
      <w:r w:rsidRPr="00401691">
        <w:rPr>
          <w:rFonts w:asciiTheme="majorHAnsi" w:hAnsiTheme="majorHAnsi" w:cstheme="majorHAnsi"/>
          <w:sz w:val="24"/>
          <w:szCs w:val="24"/>
          <w:lang w:val="ro-MD"/>
        </w:rPr>
        <w:t xml:space="preserve"> executorul judecătoresc</w:t>
      </w:r>
      <w:r w:rsidR="00010C4C" w:rsidRPr="00401691">
        <w:rPr>
          <w:rStyle w:val="FootnoteReference"/>
          <w:rFonts w:asciiTheme="majorHAnsi" w:hAnsiTheme="majorHAnsi" w:cstheme="majorHAnsi"/>
          <w:sz w:val="24"/>
          <w:szCs w:val="24"/>
          <w:lang w:val="ro-MD"/>
        </w:rPr>
        <w:footnoteReference w:id="54"/>
      </w:r>
      <w:r w:rsidRPr="00401691">
        <w:rPr>
          <w:rFonts w:asciiTheme="majorHAnsi" w:hAnsiTheme="majorHAnsi" w:cstheme="majorHAnsi"/>
          <w:sz w:val="24"/>
          <w:szCs w:val="24"/>
          <w:lang w:val="ro-MD"/>
        </w:rPr>
        <w:t xml:space="preserve"> a informat SFS </w:t>
      </w:r>
      <w:r w:rsidR="00D271F6">
        <w:rPr>
          <w:rFonts w:asciiTheme="majorHAnsi" w:hAnsiTheme="majorHAnsi" w:cstheme="majorHAnsi"/>
          <w:sz w:val="24"/>
          <w:szCs w:val="24"/>
          <w:lang w:val="ro-MD"/>
        </w:rPr>
        <w:t>despre</w:t>
      </w:r>
      <w:r w:rsidRPr="00401691">
        <w:rPr>
          <w:rFonts w:asciiTheme="majorHAnsi" w:hAnsiTheme="majorHAnsi" w:cstheme="majorHAnsi"/>
          <w:sz w:val="24"/>
          <w:szCs w:val="24"/>
          <w:lang w:val="ro-MD"/>
        </w:rPr>
        <w:t xml:space="preserve"> rezilierea contractului</w:t>
      </w:r>
      <w:r w:rsidRPr="00401691">
        <w:rPr>
          <w:rStyle w:val="FootnoteReference"/>
          <w:rFonts w:asciiTheme="majorHAnsi" w:hAnsiTheme="majorHAnsi" w:cstheme="majorHAnsi"/>
          <w:sz w:val="24"/>
          <w:szCs w:val="24"/>
          <w:lang w:val="ro-MD"/>
        </w:rPr>
        <w:footnoteReference w:id="55"/>
      </w:r>
      <w:r w:rsidRPr="00401691">
        <w:rPr>
          <w:rFonts w:asciiTheme="majorHAnsi" w:hAnsiTheme="majorHAnsi" w:cstheme="majorHAnsi"/>
          <w:sz w:val="24"/>
          <w:szCs w:val="24"/>
          <w:lang w:val="ro-MD"/>
        </w:rPr>
        <w:t xml:space="preserve"> </w:t>
      </w:r>
      <w:r w:rsidR="00D271F6">
        <w:rPr>
          <w:rFonts w:asciiTheme="majorHAnsi" w:hAnsiTheme="majorHAnsi" w:cstheme="majorHAnsi"/>
          <w:sz w:val="24"/>
          <w:szCs w:val="24"/>
          <w:lang w:val="ro-MD"/>
        </w:rPr>
        <w:t xml:space="preserve">încheiat </w:t>
      </w:r>
      <w:r w:rsidRPr="00401691">
        <w:rPr>
          <w:rFonts w:asciiTheme="majorHAnsi" w:hAnsiTheme="majorHAnsi" w:cstheme="majorHAnsi"/>
          <w:sz w:val="24"/>
          <w:szCs w:val="24"/>
          <w:lang w:val="ro-MD"/>
        </w:rPr>
        <w:t>cu agentul economic privind prestarea serviciilor de vânzare în co</w:t>
      </w:r>
      <w:r w:rsidR="00D2516B">
        <w:rPr>
          <w:rFonts w:asciiTheme="majorHAnsi" w:hAnsiTheme="majorHAnsi" w:cstheme="majorHAnsi"/>
          <w:sz w:val="24"/>
          <w:szCs w:val="24"/>
          <w:lang w:val="ro-MD"/>
        </w:rPr>
        <w:t>mision a bunurilor sechestrate.</w:t>
      </w:r>
      <w:r w:rsidRPr="00401691">
        <w:rPr>
          <w:rFonts w:asciiTheme="majorHAnsi" w:hAnsiTheme="majorHAnsi" w:cstheme="majorHAnsi"/>
          <w:sz w:val="24"/>
          <w:szCs w:val="24"/>
          <w:lang w:val="ro-MD"/>
        </w:rPr>
        <w:t xml:space="preserve"> </w:t>
      </w:r>
      <w:r w:rsidR="00E63078">
        <w:rPr>
          <w:rFonts w:asciiTheme="majorHAnsi" w:hAnsiTheme="majorHAnsi" w:cstheme="majorHAnsi"/>
          <w:sz w:val="24"/>
          <w:szCs w:val="24"/>
          <w:lang w:val="ro-MD"/>
        </w:rPr>
        <w:t xml:space="preserve"> </w:t>
      </w:r>
    </w:p>
    <w:p w:rsidR="00CF421B" w:rsidRPr="00401691" w:rsidRDefault="00010C4C" w:rsidP="00891C2F">
      <w:pPr>
        <w:pStyle w:val="NormalWeb"/>
        <w:spacing w:after="0" w:afterAutospacing="0" w:line="276" w:lineRule="auto"/>
        <w:jc w:val="both"/>
        <w:rPr>
          <w:rFonts w:asciiTheme="majorHAnsi" w:hAnsiTheme="majorHAnsi" w:cstheme="majorHAnsi"/>
          <w:lang w:val="ro-MD"/>
        </w:rPr>
      </w:pPr>
      <w:r w:rsidRPr="00401691">
        <w:rPr>
          <w:rStyle w:val="ms-rtefontface-3"/>
          <w:rFonts w:asciiTheme="majorHAnsi" w:hAnsiTheme="majorHAnsi" w:cstheme="majorHAnsi"/>
          <w:lang w:val="ro-MD"/>
        </w:rPr>
        <w:t>A</w:t>
      </w:r>
      <w:r w:rsidR="00CF421B" w:rsidRPr="00401691">
        <w:rPr>
          <w:rStyle w:val="ms-rtefontface-3"/>
          <w:rFonts w:asciiTheme="majorHAnsi" w:hAnsiTheme="majorHAnsi" w:cstheme="majorHAnsi"/>
          <w:lang w:val="ro-MD"/>
        </w:rPr>
        <w:t xml:space="preserve">uditul a constatat și alte omisiuni </w:t>
      </w:r>
      <w:r w:rsidR="00CF421B" w:rsidRPr="00E63078">
        <w:rPr>
          <w:rStyle w:val="ms-rtefontface-3"/>
          <w:rFonts w:asciiTheme="majorHAnsi" w:hAnsiTheme="majorHAnsi" w:cstheme="majorHAnsi"/>
          <w:lang w:val="ro-MD"/>
        </w:rPr>
        <w:t xml:space="preserve">în </w:t>
      </w:r>
      <w:r w:rsidR="00CF421B" w:rsidRPr="00E63078">
        <w:rPr>
          <w:rFonts w:asciiTheme="majorHAnsi" w:hAnsiTheme="majorHAnsi" w:cstheme="majorHAnsi"/>
          <w:lang w:val="ro-MD"/>
        </w:rPr>
        <w:t>Manualul operațional</w:t>
      </w:r>
      <w:r w:rsidR="00CF421B" w:rsidRPr="00401691">
        <w:rPr>
          <w:rFonts w:asciiTheme="majorHAnsi" w:hAnsiTheme="majorHAnsi" w:cstheme="majorHAnsi"/>
          <w:lang w:val="ro-MD"/>
        </w:rPr>
        <w:t xml:space="preserve"> </w:t>
      </w:r>
      <w:r w:rsidR="00E63078">
        <w:rPr>
          <w:rFonts w:asciiTheme="majorHAnsi" w:hAnsiTheme="majorHAnsi" w:cstheme="majorHAnsi"/>
          <w:lang w:val="ro-MD"/>
        </w:rPr>
        <w:t xml:space="preserve">privind </w:t>
      </w:r>
      <w:r w:rsidR="00CF421B" w:rsidRPr="00401691">
        <w:rPr>
          <w:rFonts w:asciiTheme="majorHAnsi" w:hAnsiTheme="majorHAnsi" w:cstheme="majorHAnsi"/>
          <w:lang w:val="ro-MD"/>
        </w:rPr>
        <w:t>managementul arieratelor, care afectează buna fun</w:t>
      </w:r>
      <w:r w:rsidR="00891C2F">
        <w:rPr>
          <w:rFonts w:asciiTheme="majorHAnsi" w:hAnsiTheme="majorHAnsi" w:cstheme="majorHAnsi"/>
          <w:lang w:val="ro-MD"/>
        </w:rPr>
        <w:t>cționare a procesului, și anume</w:t>
      </w:r>
      <w:r w:rsidR="00D271F6">
        <w:rPr>
          <w:rFonts w:asciiTheme="majorHAnsi" w:hAnsiTheme="majorHAnsi" w:cstheme="majorHAnsi"/>
          <w:lang w:val="ro-MD"/>
        </w:rPr>
        <w:t xml:space="preserve">, </w:t>
      </w:r>
      <w:r w:rsidR="00CF421B" w:rsidRPr="00401691">
        <w:rPr>
          <w:rFonts w:asciiTheme="majorHAnsi" w:hAnsiTheme="majorHAnsi" w:cstheme="majorHAnsi"/>
          <w:lang w:val="ro-MD"/>
        </w:rPr>
        <w:t>nereglementarea obligațiilor c</w:t>
      </w:r>
      <w:r w:rsidR="00D271F6">
        <w:rPr>
          <w:rFonts w:asciiTheme="majorHAnsi" w:hAnsiTheme="majorHAnsi" w:cstheme="majorHAnsi"/>
          <w:lang w:val="ro-MD"/>
        </w:rPr>
        <w:t>ar</w:t>
      </w:r>
      <w:r w:rsidR="00CF421B" w:rsidRPr="00401691">
        <w:rPr>
          <w:rFonts w:asciiTheme="majorHAnsi" w:hAnsiTheme="majorHAnsi" w:cstheme="majorHAnsi"/>
          <w:lang w:val="ro-MD"/>
        </w:rPr>
        <w:t>e revin angajaților DGA, în calitatea sa de creditor (i) potrivit art. 44 din Codul de executare și (ii) în cazurile necesității de contestare a actelor executo</w:t>
      </w:r>
      <w:r w:rsidR="00D2516B">
        <w:rPr>
          <w:rFonts w:asciiTheme="majorHAnsi" w:hAnsiTheme="majorHAnsi" w:cstheme="majorHAnsi"/>
          <w:lang w:val="ro-MD"/>
        </w:rPr>
        <w:t xml:space="preserve">rului judecătoresc, în temeiul </w:t>
      </w:r>
      <w:r w:rsidR="00CF421B" w:rsidRPr="00401691">
        <w:rPr>
          <w:rFonts w:asciiTheme="majorHAnsi" w:hAnsiTheme="majorHAnsi" w:cstheme="majorHAnsi"/>
          <w:lang w:val="ro-MD"/>
        </w:rPr>
        <w:t xml:space="preserve">art. 161 din Codul de executare. </w:t>
      </w:r>
    </w:p>
    <w:p w:rsidR="00A25DDD" w:rsidRPr="00401691" w:rsidRDefault="00A25DDD" w:rsidP="00844145">
      <w:pPr>
        <w:spacing w:after="0" w:line="276" w:lineRule="auto"/>
        <w:jc w:val="both"/>
        <w:rPr>
          <w:rFonts w:asciiTheme="majorHAnsi" w:hAnsiTheme="majorHAnsi" w:cstheme="majorHAnsi"/>
          <w:color w:val="1F4E79" w:themeColor="accent1" w:themeShade="80"/>
          <w:sz w:val="28"/>
          <w:szCs w:val="28"/>
          <w:shd w:val="clear" w:color="auto" w:fill="FFFFFF"/>
          <w:lang w:val="ro-MD"/>
        </w:rPr>
      </w:pPr>
    </w:p>
    <w:p w:rsidR="00EC1B6B" w:rsidRPr="007631D9" w:rsidRDefault="002133C7" w:rsidP="00844145">
      <w:pPr>
        <w:pStyle w:val="Heading2"/>
        <w:spacing w:before="0" w:after="120" w:line="276" w:lineRule="auto"/>
        <w:jc w:val="both"/>
        <w:rPr>
          <w:b/>
          <w:color w:val="1F4E79" w:themeColor="accent1" w:themeShade="80"/>
          <w:lang w:val="ro-MD"/>
        </w:rPr>
      </w:pPr>
      <w:bookmarkStart w:id="21" w:name="_Toc48732733"/>
      <w:r w:rsidRPr="007631D9">
        <w:rPr>
          <w:b/>
          <w:color w:val="1F4E79" w:themeColor="accent1" w:themeShade="80"/>
          <w:shd w:val="clear" w:color="auto" w:fill="FFFFFF"/>
          <w:lang w:val="ro-MD"/>
        </w:rPr>
        <w:t xml:space="preserve">Obiectivul specific nr.4: </w:t>
      </w:r>
      <w:r w:rsidR="00927EE2" w:rsidRPr="007631D9">
        <w:rPr>
          <w:b/>
          <w:color w:val="1F4E79" w:themeColor="accent1" w:themeShade="80"/>
          <w:lang w:val="ro-MD"/>
        </w:rPr>
        <w:t>Procesul de pla</w:t>
      </w:r>
      <w:r w:rsidR="00195B02">
        <w:rPr>
          <w:b/>
          <w:color w:val="1F4E79" w:themeColor="accent1" w:themeShade="80"/>
          <w:lang w:val="ro-MD"/>
        </w:rPr>
        <w:t>nificare a controalelor fiscale</w:t>
      </w:r>
      <w:r w:rsidR="00927EE2" w:rsidRPr="007631D9">
        <w:rPr>
          <w:b/>
          <w:color w:val="1F4E79" w:themeColor="accent1" w:themeShade="80"/>
          <w:lang w:val="ro-MD"/>
        </w:rPr>
        <w:t xml:space="preserve"> se</w:t>
      </w:r>
      <w:r w:rsidR="00195B02">
        <w:rPr>
          <w:b/>
          <w:color w:val="1F4E79" w:themeColor="accent1" w:themeShade="80"/>
          <w:lang w:val="ro-MD"/>
        </w:rPr>
        <w:t xml:space="preserve"> efectuează</w:t>
      </w:r>
      <w:r w:rsidR="00927EE2" w:rsidRPr="007631D9">
        <w:rPr>
          <w:b/>
          <w:color w:val="1F4E79" w:themeColor="accent1" w:themeShade="80"/>
          <w:lang w:val="ro-MD"/>
        </w:rPr>
        <w:t xml:space="preserve"> </w:t>
      </w:r>
      <w:r w:rsidRPr="007631D9">
        <w:rPr>
          <w:b/>
          <w:color w:val="1F4E79" w:themeColor="accent1" w:themeShade="80"/>
          <w:lang w:val="ro-MD"/>
        </w:rPr>
        <w:t>în baza managementul</w:t>
      </w:r>
      <w:r w:rsidR="0055363D">
        <w:rPr>
          <w:b/>
          <w:color w:val="1F4E79" w:themeColor="accent1" w:themeShade="80"/>
          <w:lang w:val="ro-MD"/>
        </w:rPr>
        <w:t>ui</w:t>
      </w:r>
      <w:r w:rsidRPr="007631D9">
        <w:rPr>
          <w:b/>
          <w:color w:val="1F4E79" w:themeColor="accent1" w:themeShade="80"/>
          <w:lang w:val="ro-MD"/>
        </w:rPr>
        <w:t xml:space="preserve"> riscurilor</w:t>
      </w:r>
      <w:r w:rsidR="00927EE2" w:rsidRPr="007631D9">
        <w:rPr>
          <w:b/>
          <w:color w:val="1F4E79" w:themeColor="accent1" w:themeShade="80"/>
          <w:lang w:val="ro-MD"/>
        </w:rPr>
        <w:t xml:space="preserve"> de conformare fiscală? </w:t>
      </w:r>
      <w:r w:rsidR="0018686A" w:rsidRPr="007631D9">
        <w:rPr>
          <w:b/>
          <w:color w:val="1F4E79" w:themeColor="accent1" w:themeShade="80"/>
          <w:lang w:val="ro-MD"/>
        </w:rPr>
        <w:t>Organul fiscal</w:t>
      </w:r>
      <w:r w:rsidR="00EC1B6B" w:rsidRPr="007631D9">
        <w:rPr>
          <w:b/>
          <w:color w:val="1F4E79" w:themeColor="accent1" w:themeShade="80"/>
          <w:lang w:val="ro-MD"/>
        </w:rPr>
        <w:t xml:space="preserve"> conlucrează cu o</w:t>
      </w:r>
      <w:r w:rsidR="0018686A" w:rsidRPr="007631D9">
        <w:rPr>
          <w:b/>
          <w:color w:val="1F4E79" w:themeColor="accent1" w:themeShade="80"/>
          <w:lang w:val="ro-MD"/>
        </w:rPr>
        <w:t>rganele de drept ale statului</w:t>
      </w:r>
      <w:r w:rsidR="00EC1B6B" w:rsidRPr="007631D9">
        <w:rPr>
          <w:b/>
          <w:color w:val="1F4E79" w:themeColor="accent1" w:themeShade="80"/>
          <w:lang w:val="ro-MD"/>
        </w:rPr>
        <w:t xml:space="preserve"> în vederea deținerii datelor referitor la materialele</w:t>
      </w:r>
      <w:r w:rsidR="00927EE2" w:rsidRPr="007631D9">
        <w:rPr>
          <w:b/>
          <w:color w:val="1F4E79" w:themeColor="accent1" w:themeShade="80"/>
          <w:lang w:val="ro-MD"/>
        </w:rPr>
        <w:t xml:space="preserve"> controalelor </w:t>
      </w:r>
      <w:r w:rsidR="00EC1B6B" w:rsidRPr="007631D9">
        <w:rPr>
          <w:b/>
          <w:color w:val="1F4E79" w:themeColor="accent1" w:themeShade="80"/>
          <w:lang w:val="ro-MD"/>
        </w:rPr>
        <w:t>remise acestora?</w:t>
      </w:r>
      <w:bookmarkEnd w:id="21"/>
    </w:p>
    <w:tbl>
      <w:tblPr>
        <w:tblW w:w="999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9990"/>
      </w:tblGrid>
      <w:tr w:rsidR="00D23939" w:rsidRPr="00401691" w:rsidTr="007C0EE7">
        <w:trPr>
          <w:trHeight w:val="480"/>
        </w:trPr>
        <w:tc>
          <w:tcPr>
            <w:tcW w:w="9990" w:type="dxa"/>
            <w:tcBorders>
              <w:top w:val="wave" w:sz="6" w:space="0" w:color="auto"/>
              <w:left w:val="wave" w:sz="6" w:space="0" w:color="auto"/>
              <w:bottom w:val="wave" w:sz="6" w:space="0" w:color="auto"/>
            </w:tcBorders>
          </w:tcPr>
          <w:p w:rsidR="002E0738" w:rsidRPr="00401691" w:rsidRDefault="00D23939" w:rsidP="00844145">
            <w:pPr>
              <w:pBdr>
                <w:bar w:val="single" w:sz="4" w:color="auto"/>
              </w:pBdr>
              <w:tabs>
                <w:tab w:val="left" w:pos="1602"/>
              </w:tabs>
              <w:spacing w:line="276" w:lineRule="auto"/>
              <w:ind w:left="96"/>
              <w:jc w:val="both"/>
              <w:rPr>
                <w:rFonts w:asciiTheme="majorHAnsi" w:hAnsiTheme="majorHAnsi" w:cstheme="majorHAnsi"/>
                <w:i/>
                <w:sz w:val="24"/>
                <w:szCs w:val="24"/>
                <w:lang w:val="ro-MD"/>
              </w:rPr>
            </w:pPr>
            <w:r w:rsidRPr="00401691">
              <w:rPr>
                <w:rFonts w:asciiTheme="majorHAnsi" w:hAnsiTheme="majorHAnsi" w:cstheme="majorHAnsi"/>
                <w:i/>
                <w:sz w:val="24"/>
                <w:szCs w:val="24"/>
                <w:lang w:val="ro-MD"/>
              </w:rPr>
              <w:t>Deși SFS a întreprins măsuri privind modernizarea procesului de planificare a controalelor fiscale la agenții economici, totuși</w:t>
            </w:r>
            <w:r w:rsidR="00FB6A9C">
              <w:rPr>
                <w:rFonts w:asciiTheme="majorHAnsi" w:hAnsiTheme="majorHAnsi" w:cstheme="majorHAnsi"/>
                <w:i/>
                <w:sz w:val="24"/>
                <w:szCs w:val="24"/>
                <w:lang w:val="ro-MD"/>
              </w:rPr>
              <w:t>,</w:t>
            </w:r>
            <w:r w:rsidRPr="00401691">
              <w:rPr>
                <w:rFonts w:asciiTheme="majorHAnsi" w:hAnsiTheme="majorHAnsi" w:cstheme="majorHAnsi"/>
                <w:i/>
                <w:sz w:val="24"/>
                <w:szCs w:val="24"/>
                <w:lang w:val="ro-MD"/>
              </w:rPr>
              <w:t xml:space="preserve"> acest proces nu a corespuns în totalitate reglementărilor metodologice aplicabile</w:t>
            </w:r>
            <w:r w:rsidR="002E0738" w:rsidRPr="00401691">
              <w:rPr>
                <w:rFonts w:asciiTheme="majorHAnsi" w:hAnsiTheme="majorHAnsi" w:cstheme="majorHAnsi"/>
                <w:i/>
                <w:sz w:val="24"/>
                <w:szCs w:val="24"/>
                <w:lang w:val="ro-MD"/>
              </w:rPr>
              <w:t>.</w:t>
            </w:r>
            <w:r w:rsidR="00D2516B">
              <w:rPr>
                <w:rFonts w:asciiTheme="majorHAnsi" w:hAnsiTheme="majorHAnsi" w:cstheme="majorHAnsi"/>
                <w:i/>
                <w:sz w:val="24"/>
                <w:szCs w:val="24"/>
                <w:lang w:val="ro-MD"/>
              </w:rPr>
              <w:t xml:space="preserve"> Astfel, auditul a </w:t>
            </w:r>
            <w:r w:rsidR="00FB6A9C">
              <w:rPr>
                <w:rFonts w:asciiTheme="majorHAnsi" w:hAnsiTheme="majorHAnsi" w:cstheme="majorHAnsi"/>
                <w:i/>
                <w:sz w:val="24"/>
                <w:szCs w:val="24"/>
                <w:lang w:val="ro-MD"/>
              </w:rPr>
              <w:t>constatat</w:t>
            </w:r>
            <w:r w:rsidR="00D2516B">
              <w:rPr>
                <w:rFonts w:asciiTheme="majorHAnsi" w:hAnsiTheme="majorHAnsi" w:cstheme="majorHAnsi"/>
                <w:i/>
                <w:sz w:val="24"/>
                <w:szCs w:val="24"/>
                <w:lang w:val="ro-MD"/>
              </w:rPr>
              <w:t xml:space="preserve"> că nu au fost</w:t>
            </w:r>
            <w:r w:rsidRPr="00401691">
              <w:rPr>
                <w:rFonts w:asciiTheme="majorHAnsi" w:hAnsiTheme="majorHAnsi" w:cstheme="majorHAnsi"/>
                <w:i/>
                <w:sz w:val="24"/>
                <w:szCs w:val="24"/>
                <w:lang w:val="ro-MD"/>
              </w:rPr>
              <w:t xml:space="preserve"> utilizate toate riscurile de conformare prestabilite</w:t>
            </w:r>
            <w:r w:rsidR="00FB6A9C">
              <w:rPr>
                <w:rFonts w:asciiTheme="majorHAnsi" w:hAnsiTheme="majorHAnsi" w:cstheme="majorHAnsi"/>
                <w:i/>
                <w:sz w:val="24"/>
                <w:szCs w:val="24"/>
                <w:lang w:val="ro-MD"/>
              </w:rPr>
              <w:t xml:space="preserve"> </w:t>
            </w:r>
            <w:r w:rsidRPr="00401691">
              <w:rPr>
                <w:rFonts w:asciiTheme="majorHAnsi" w:hAnsiTheme="majorHAnsi" w:cstheme="majorHAnsi"/>
                <w:i/>
                <w:sz w:val="24"/>
                <w:szCs w:val="24"/>
                <w:lang w:val="ro-MD"/>
              </w:rPr>
              <w:t xml:space="preserve"> la calcularea scorului de risc a</w:t>
            </w:r>
            <w:r w:rsidR="00FB6A9C">
              <w:rPr>
                <w:rFonts w:asciiTheme="majorHAnsi" w:hAnsiTheme="majorHAnsi" w:cstheme="majorHAnsi"/>
                <w:i/>
                <w:sz w:val="24"/>
                <w:szCs w:val="24"/>
                <w:lang w:val="ro-MD"/>
              </w:rPr>
              <w:t>l</w:t>
            </w:r>
            <w:r w:rsidRPr="00401691">
              <w:rPr>
                <w:rFonts w:asciiTheme="majorHAnsi" w:hAnsiTheme="majorHAnsi" w:cstheme="majorHAnsi"/>
                <w:i/>
                <w:sz w:val="24"/>
                <w:szCs w:val="24"/>
                <w:lang w:val="ro-MD"/>
              </w:rPr>
              <w:t xml:space="preserve"> contribuabililor, fapt care</w:t>
            </w:r>
            <w:r w:rsidR="00FB6A9C">
              <w:rPr>
                <w:rFonts w:asciiTheme="majorHAnsi" w:hAnsiTheme="majorHAnsi" w:cstheme="majorHAnsi"/>
                <w:i/>
                <w:sz w:val="24"/>
                <w:szCs w:val="24"/>
                <w:lang w:val="ro-MD"/>
              </w:rPr>
              <w:t>,</w:t>
            </w:r>
            <w:r w:rsidR="002E0738" w:rsidRPr="00401691">
              <w:rPr>
                <w:rFonts w:asciiTheme="majorHAnsi" w:hAnsiTheme="majorHAnsi" w:cstheme="majorHAnsi"/>
                <w:i/>
                <w:sz w:val="24"/>
                <w:szCs w:val="24"/>
                <w:lang w:val="ro-MD"/>
              </w:rPr>
              <w:t xml:space="preserve"> potrivit explicațiilor SFS</w:t>
            </w:r>
            <w:r w:rsidR="00FB6A9C">
              <w:rPr>
                <w:rFonts w:asciiTheme="majorHAnsi" w:hAnsiTheme="majorHAnsi" w:cstheme="majorHAnsi"/>
                <w:i/>
                <w:sz w:val="24"/>
                <w:szCs w:val="24"/>
                <w:lang w:val="ro-MD"/>
              </w:rPr>
              <w:t>,</w:t>
            </w:r>
            <w:r w:rsidRPr="00401691">
              <w:rPr>
                <w:rFonts w:asciiTheme="majorHAnsi" w:hAnsiTheme="majorHAnsi" w:cstheme="majorHAnsi"/>
                <w:i/>
                <w:sz w:val="24"/>
                <w:szCs w:val="24"/>
                <w:lang w:val="ro-MD"/>
              </w:rPr>
              <w:t xml:space="preserve"> a</w:t>
            </w:r>
            <w:r w:rsidR="00063E96">
              <w:rPr>
                <w:rFonts w:asciiTheme="majorHAnsi" w:hAnsiTheme="majorHAnsi" w:cstheme="majorHAnsi"/>
                <w:i/>
                <w:sz w:val="24"/>
                <w:szCs w:val="24"/>
                <w:lang w:val="ro-MD"/>
              </w:rPr>
              <w:t xml:space="preserve"> fost</w:t>
            </w:r>
            <w:r w:rsidRPr="00401691">
              <w:rPr>
                <w:rFonts w:asciiTheme="majorHAnsi" w:hAnsiTheme="majorHAnsi" w:cstheme="majorHAnsi"/>
                <w:i/>
                <w:sz w:val="24"/>
                <w:szCs w:val="24"/>
                <w:lang w:val="ro-MD"/>
              </w:rPr>
              <w:t xml:space="preserve"> influențat </w:t>
            </w:r>
            <w:r w:rsidR="00063E96">
              <w:rPr>
                <w:rFonts w:asciiTheme="majorHAnsi" w:hAnsiTheme="majorHAnsi" w:cstheme="majorHAnsi"/>
                <w:i/>
                <w:sz w:val="24"/>
                <w:szCs w:val="24"/>
                <w:lang w:val="ro-MD"/>
              </w:rPr>
              <w:t xml:space="preserve">de </w:t>
            </w:r>
            <w:proofErr w:type="spellStart"/>
            <w:r w:rsidR="00063E96">
              <w:rPr>
                <w:rFonts w:asciiTheme="majorHAnsi" w:hAnsiTheme="majorHAnsi" w:cstheme="majorHAnsi"/>
                <w:i/>
                <w:sz w:val="24"/>
                <w:szCs w:val="24"/>
                <w:lang w:val="ro-MD"/>
              </w:rPr>
              <w:t>neautomatizarea</w:t>
            </w:r>
            <w:proofErr w:type="spellEnd"/>
            <w:r w:rsidR="00063E96">
              <w:rPr>
                <w:rFonts w:asciiTheme="majorHAnsi" w:hAnsiTheme="majorHAnsi" w:cstheme="majorHAnsi"/>
                <w:i/>
                <w:sz w:val="24"/>
                <w:szCs w:val="24"/>
                <w:lang w:val="ro-MD"/>
              </w:rPr>
              <w:t xml:space="preserve"> completă a </w:t>
            </w:r>
            <w:r w:rsidRPr="00401691">
              <w:rPr>
                <w:rFonts w:asciiTheme="majorHAnsi" w:hAnsiTheme="majorHAnsi" w:cstheme="majorHAnsi"/>
                <w:i/>
                <w:sz w:val="24"/>
                <w:szCs w:val="24"/>
                <w:lang w:val="ro-MD"/>
              </w:rPr>
              <w:t>procesul</w:t>
            </w:r>
            <w:r w:rsidR="00FB6A9C">
              <w:rPr>
                <w:rFonts w:asciiTheme="majorHAnsi" w:hAnsiTheme="majorHAnsi" w:cstheme="majorHAnsi"/>
                <w:i/>
                <w:sz w:val="24"/>
                <w:szCs w:val="24"/>
                <w:lang w:val="ro-MD"/>
              </w:rPr>
              <w:t>ui</w:t>
            </w:r>
            <w:r w:rsidRPr="00401691">
              <w:rPr>
                <w:rFonts w:asciiTheme="majorHAnsi" w:hAnsiTheme="majorHAnsi" w:cstheme="majorHAnsi"/>
                <w:i/>
                <w:sz w:val="24"/>
                <w:szCs w:val="24"/>
                <w:lang w:val="ro-MD"/>
              </w:rPr>
              <w:t xml:space="preserve"> de selecție a agenților economici</w:t>
            </w:r>
            <w:r w:rsidR="002E0738" w:rsidRPr="00401691">
              <w:rPr>
                <w:rFonts w:asciiTheme="majorHAnsi" w:hAnsiTheme="majorHAnsi" w:cstheme="majorHAnsi"/>
                <w:i/>
                <w:sz w:val="24"/>
                <w:szCs w:val="24"/>
                <w:lang w:val="ro-MD"/>
              </w:rPr>
              <w:t>.</w:t>
            </w:r>
          </w:p>
          <w:p w:rsidR="0041136D" w:rsidRPr="00401691" w:rsidRDefault="00D23939" w:rsidP="001E37F9">
            <w:pPr>
              <w:pBdr>
                <w:bar w:val="single" w:sz="4" w:color="auto"/>
              </w:pBdr>
              <w:tabs>
                <w:tab w:val="left" w:pos="1602"/>
              </w:tabs>
              <w:spacing w:line="276" w:lineRule="auto"/>
              <w:ind w:left="96"/>
              <w:jc w:val="both"/>
              <w:rPr>
                <w:rFonts w:asciiTheme="majorHAnsi" w:hAnsiTheme="majorHAnsi" w:cstheme="majorHAnsi"/>
                <w:i/>
                <w:sz w:val="24"/>
                <w:szCs w:val="24"/>
                <w:lang w:val="ro-MD"/>
              </w:rPr>
            </w:pPr>
            <w:r w:rsidRPr="00401691">
              <w:rPr>
                <w:rFonts w:asciiTheme="majorHAnsi" w:eastAsia="Times New Roman" w:hAnsiTheme="majorHAnsi" w:cstheme="majorHAnsi"/>
                <w:i/>
                <w:sz w:val="24"/>
                <w:szCs w:val="24"/>
                <w:lang w:val="ro-MD" w:eastAsia="ru-RU"/>
              </w:rPr>
              <w:t>Analiza datelor cu privire la rezultatele controalelor fiscale efectuate în anul 2019 relevă o îmbunătățire a indicatorilor care caracterizează</w:t>
            </w:r>
            <w:r w:rsidR="00063E96">
              <w:rPr>
                <w:rFonts w:asciiTheme="majorHAnsi" w:eastAsia="Times New Roman" w:hAnsiTheme="majorHAnsi" w:cstheme="majorHAnsi"/>
                <w:i/>
                <w:sz w:val="24"/>
                <w:szCs w:val="24"/>
                <w:lang w:val="ro-MD" w:eastAsia="ru-RU"/>
              </w:rPr>
              <w:t xml:space="preserve"> activitatea de control fiscal,</w:t>
            </w:r>
            <w:r w:rsidR="002E0738" w:rsidRPr="00401691">
              <w:rPr>
                <w:rFonts w:asciiTheme="majorHAnsi" w:eastAsia="Times New Roman" w:hAnsiTheme="majorHAnsi" w:cstheme="majorHAnsi"/>
                <w:i/>
                <w:sz w:val="24"/>
                <w:szCs w:val="24"/>
                <w:lang w:val="ro-MD" w:eastAsia="ru-RU"/>
              </w:rPr>
              <w:t xml:space="preserve"> concomitent </w:t>
            </w:r>
            <w:r w:rsidR="00063E96">
              <w:rPr>
                <w:rFonts w:asciiTheme="majorHAnsi" w:eastAsia="Times New Roman" w:hAnsiTheme="majorHAnsi" w:cstheme="majorHAnsi"/>
                <w:i/>
                <w:sz w:val="24"/>
                <w:szCs w:val="24"/>
                <w:lang w:val="ro-MD" w:eastAsia="ru-RU"/>
              </w:rPr>
              <w:t xml:space="preserve">stabilindu-se </w:t>
            </w:r>
            <w:r w:rsidR="0041136D" w:rsidRPr="00401691">
              <w:rPr>
                <w:rFonts w:asciiTheme="majorHAnsi" w:eastAsia="Times New Roman" w:hAnsiTheme="majorHAnsi" w:cstheme="majorHAnsi"/>
                <w:i/>
                <w:sz w:val="24"/>
                <w:szCs w:val="24"/>
                <w:lang w:val="ro-MD" w:eastAsia="ru-RU"/>
              </w:rPr>
              <w:t xml:space="preserve">că se </w:t>
            </w:r>
            <w:r w:rsidR="002E0738" w:rsidRPr="00401691">
              <w:rPr>
                <w:rFonts w:asciiTheme="majorHAnsi" w:eastAsia="Times New Roman" w:hAnsiTheme="majorHAnsi" w:cstheme="majorHAnsi"/>
                <w:i/>
                <w:sz w:val="24"/>
                <w:szCs w:val="24"/>
                <w:lang w:val="ro-MD" w:eastAsia="ru-RU"/>
              </w:rPr>
              <w:t>menți</w:t>
            </w:r>
            <w:r w:rsidR="00063E96">
              <w:rPr>
                <w:rFonts w:asciiTheme="majorHAnsi" w:eastAsia="Times New Roman" w:hAnsiTheme="majorHAnsi" w:cstheme="majorHAnsi"/>
                <w:i/>
                <w:sz w:val="24"/>
                <w:szCs w:val="24"/>
                <w:lang w:val="ro-MD" w:eastAsia="ru-RU"/>
              </w:rPr>
              <w:t>ne</w:t>
            </w:r>
            <w:r w:rsidRPr="00401691">
              <w:rPr>
                <w:rFonts w:asciiTheme="majorHAnsi" w:eastAsia="Times New Roman" w:hAnsiTheme="majorHAnsi" w:cstheme="majorHAnsi"/>
                <w:i/>
                <w:sz w:val="24"/>
                <w:szCs w:val="24"/>
                <w:lang w:val="ro-MD" w:eastAsia="ru-RU"/>
              </w:rPr>
              <w:t xml:space="preserve"> o rată relativ mică de încasare a obligațiilor fiscale calculate suplimentar la bugetul de stat</w:t>
            </w:r>
            <w:r w:rsidR="000F7760" w:rsidRPr="00401691">
              <w:rPr>
                <w:rFonts w:asciiTheme="majorHAnsi" w:eastAsia="Times New Roman" w:hAnsiTheme="majorHAnsi" w:cstheme="majorHAnsi"/>
                <w:i/>
                <w:sz w:val="24"/>
                <w:szCs w:val="24"/>
                <w:lang w:val="ro-MD" w:eastAsia="ru-RU"/>
              </w:rPr>
              <w:t>.</w:t>
            </w:r>
            <w:r w:rsidR="0041136D" w:rsidRPr="00401691">
              <w:rPr>
                <w:rFonts w:asciiTheme="majorHAnsi" w:eastAsia="Times New Roman" w:hAnsiTheme="majorHAnsi" w:cstheme="majorHAnsi"/>
                <w:i/>
                <w:sz w:val="24"/>
                <w:szCs w:val="24"/>
                <w:lang w:val="ro-MD" w:eastAsia="ru-RU"/>
              </w:rPr>
              <w:t xml:space="preserve"> </w:t>
            </w:r>
            <w:r w:rsidR="001E5314">
              <w:rPr>
                <w:rFonts w:asciiTheme="majorHAnsi" w:hAnsiTheme="majorHAnsi" w:cstheme="majorHAnsi"/>
                <w:i/>
                <w:sz w:val="24"/>
                <w:szCs w:val="24"/>
                <w:lang w:val="ro-MD"/>
              </w:rPr>
              <w:t>Cu toate că</w:t>
            </w:r>
            <w:r w:rsidR="00937BA7" w:rsidRPr="00401691">
              <w:rPr>
                <w:rFonts w:asciiTheme="majorHAnsi" w:hAnsiTheme="majorHAnsi" w:cstheme="majorHAnsi"/>
                <w:i/>
                <w:sz w:val="24"/>
                <w:szCs w:val="24"/>
                <w:lang w:val="ro-MD"/>
              </w:rPr>
              <w:t xml:space="preserve"> în cadrul controalelor fiscale se constată infracțiuni fiscale, materialele controalelor fiind remise pentru investigare organelor de drept, SFS nu dispune de date privind rezultatele examinării acestora. </w:t>
            </w:r>
            <w:r w:rsidR="002E0738" w:rsidRPr="00401691">
              <w:rPr>
                <w:rFonts w:asciiTheme="majorHAnsi" w:hAnsiTheme="majorHAnsi" w:cstheme="majorHAnsi"/>
                <w:i/>
                <w:sz w:val="24"/>
                <w:szCs w:val="24"/>
                <w:lang w:val="ro-MD"/>
              </w:rPr>
              <w:t>La solicitarea auditului</w:t>
            </w:r>
            <w:r w:rsidR="0041136D" w:rsidRPr="00401691">
              <w:rPr>
                <w:rFonts w:asciiTheme="majorHAnsi" w:hAnsiTheme="majorHAnsi" w:cstheme="majorHAnsi"/>
                <w:i/>
                <w:sz w:val="24"/>
                <w:szCs w:val="24"/>
                <w:lang w:val="ro-MD"/>
              </w:rPr>
              <w:t>,</w:t>
            </w:r>
            <w:r w:rsidR="002E0738" w:rsidRPr="00401691">
              <w:rPr>
                <w:rFonts w:asciiTheme="majorHAnsi" w:hAnsiTheme="majorHAnsi" w:cstheme="majorHAnsi"/>
                <w:i/>
                <w:sz w:val="24"/>
                <w:szCs w:val="24"/>
                <w:lang w:val="ro-MD"/>
              </w:rPr>
              <w:t xml:space="preserve"> SFS nu a prezentat documente care atestă investigare</w:t>
            </w:r>
            <w:r w:rsidR="0041136D" w:rsidRPr="00401691">
              <w:rPr>
                <w:rFonts w:asciiTheme="majorHAnsi" w:hAnsiTheme="majorHAnsi" w:cstheme="majorHAnsi"/>
                <w:i/>
                <w:sz w:val="24"/>
                <w:szCs w:val="24"/>
                <w:lang w:val="ro-MD"/>
              </w:rPr>
              <w:t>a</w:t>
            </w:r>
            <w:r w:rsidR="002E0738" w:rsidRPr="00401691">
              <w:rPr>
                <w:rFonts w:asciiTheme="majorHAnsi" w:hAnsiTheme="majorHAnsi" w:cstheme="majorHAnsi"/>
                <w:i/>
                <w:sz w:val="24"/>
                <w:szCs w:val="24"/>
                <w:lang w:val="ro-MD"/>
              </w:rPr>
              <w:t xml:space="preserve"> </w:t>
            </w:r>
            <w:r w:rsidR="00063E96">
              <w:rPr>
                <w:rFonts w:asciiTheme="majorHAnsi" w:hAnsiTheme="majorHAnsi" w:cstheme="majorHAnsi"/>
                <w:i/>
                <w:sz w:val="24"/>
                <w:szCs w:val="24"/>
                <w:lang w:val="ro-MD"/>
              </w:rPr>
              <w:t xml:space="preserve">infracțiunilor fiscale în </w:t>
            </w:r>
            <w:r w:rsidR="00063E96">
              <w:rPr>
                <w:rFonts w:asciiTheme="majorHAnsi" w:hAnsiTheme="majorHAnsi" w:cstheme="majorHAnsi"/>
                <w:i/>
                <w:sz w:val="24"/>
                <w:szCs w:val="24"/>
                <w:lang w:val="ro-MD"/>
              </w:rPr>
              <w:lastRenderedPageBreak/>
              <w:t xml:space="preserve">valoare </w:t>
            </w:r>
            <w:r w:rsidR="00FB6A9C">
              <w:rPr>
                <w:rFonts w:asciiTheme="majorHAnsi" w:hAnsiTheme="majorHAnsi" w:cstheme="majorHAnsi"/>
                <w:i/>
                <w:sz w:val="24"/>
                <w:szCs w:val="24"/>
                <w:lang w:val="ro-MD"/>
              </w:rPr>
              <w:t xml:space="preserve">de </w:t>
            </w:r>
            <w:r w:rsidR="00063E96">
              <w:rPr>
                <w:rFonts w:asciiTheme="majorHAnsi" w:hAnsiTheme="majorHAnsi" w:cstheme="majorHAnsi"/>
                <w:i/>
                <w:sz w:val="24"/>
                <w:szCs w:val="24"/>
                <w:lang w:val="ro-MD"/>
              </w:rPr>
              <w:t>4078,1 mil. lei</w:t>
            </w:r>
            <w:r w:rsidR="00FB6A9C">
              <w:rPr>
                <w:rFonts w:asciiTheme="majorHAnsi" w:hAnsiTheme="majorHAnsi" w:cstheme="majorHAnsi"/>
                <w:i/>
                <w:sz w:val="24"/>
                <w:szCs w:val="24"/>
                <w:lang w:val="ro-MD"/>
              </w:rPr>
              <w:t>,</w:t>
            </w:r>
            <w:r w:rsidR="0041136D" w:rsidRPr="00401691">
              <w:rPr>
                <w:rFonts w:asciiTheme="majorHAnsi" w:hAnsiTheme="majorHAnsi" w:cstheme="majorHAnsi"/>
                <w:i/>
                <w:sz w:val="24"/>
                <w:szCs w:val="24"/>
                <w:lang w:val="ro-MD"/>
              </w:rPr>
              <w:t xml:space="preserve"> comise de </w:t>
            </w:r>
            <w:r w:rsidR="00FB6A9C">
              <w:rPr>
                <w:rFonts w:asciiTheme="majorHAnsi" w:hAnsiTheme="majorHAnsi" w:cstheme="majorHAnsi"/>
                <w:i/>
                <w:sz w:val="24"/>
                <w:szCs w:val="24"/>
                <w:lang w:val="ro-MD"/>
              </w:rPr>
              <w:t xml:space="preserve">către </w:t>
            </w:r>
            <w:r w:rsidR="00937BA7" w:rsidRPr="00401691">
              <w:rPr>
                <w:rFonts w:asciiTheme="majorHAnsi" w:hAnsiTheme="majorHAnsi" w:cstheme="majorHAnsi"/>
                <w:i/>
                <w:sz w:val="24"/>
                <w:szCs w:val="24"/>
                <w:lang w:val="ro-MD"/>
              </w:rPr>
              <w:t>16 contribuabili</w:t>
            </w:r>
            <w:r w:rsidR="00F06CEE" w:rsidRPr="00401691">
              <w:rPr>
                <w:rFonts w:asciiTheme="majorHAnsi" w:hAnsiTheme="majorHAnsi" w:cstheme="majorHAnsi"/>
                <w:i/>
                <w:sz w:val="24"/>
                <w:szCs w:val="24"/>
                <w:lang w:val="ro-MD"/>
              </w:rPr>
              <w:t>,</w:t>
            </w:r>
            <w:r w:rsidR="00FB6A9C">
              <w:rPr>
                <w:rFonts w:asciiTheme="majorHAnsi" w:hAnsiTheme="majorHAnsi" w:cstheme="majorHAnsi"/>
                <w:i/>
                <w:sz w:val="24"/>
                <w:szCs w:val="24"/>
                <w:lang w:val="ro-MD"/>
              </w:rPr>
              <w:t xml:space="preserve"> </w:t>
            </w:r>
            <w:r w:rsidR="00F06CEE" w:rsidRPr="00401691">
              <w:rPr>
                <w:rFonts w:asciiTheme="majorHAnsi" w:hAnsiTheme="majorHAnsi" w:cstheme="majorHAnsi"/>
                <w:i/>
                <w:sz w:val="24"/>
                <w:szCs w:val="24"/>
                <w:lang w:val="ro-MD"/>
              </w:rPr>
              <w:t>verificați în cadrul controalelor fiscale e</w:t>
            </w:r>
            <w:r w:rsidR="00FB6A9C">
              <w:rPr>
                <w:rFonts w:asciiTheme="majorHAnsi" w:hAnsiTheme="majorHAnsi" w:cstheme="majorHAnsi"/>
                <w:i/>
                <w:sz w:val="24"/>
                <w:szCs w:val="24"/>
                <w:lang w:val="ro-MD"/>
              </w:rPr>
              <w:t>fectu</w:t>
            </w:r>
            <w:r w:rsidR="00F06CEE" w:rsidRPr="00401691">
              <w:rPr>
                <w:rFonts w:asciiTheme="majorHAnsi" w:hAnsiTheme="majorHAnsi" w:cstheme="majorHAnsi"/>
                <w:i/>
                <w:sz w:val="24"/>
                <w:szCs w:val="24"/>
                <w:lang w:val="ro-MD"/>
              </w:rPr>
              <w:t>ate în anii</w:t>
            </w:r>
            <w:r w:rsidR="0041136D" w:rsidRPr="00401691">
              <w:rPr>
                <w:rFonts w:asciiTheme="majorHAnsi" w:hAnsiTheme="majorHAnsi" w:cstheme="majorHAnsi"/>
                <w:i/>
                <w:sz w:val="24"/>
                <w:szCs w:val="24"/>
                <w:lang w:val="ro-MD"/>
              </w:rPr>
              <w:t xml:space="preserve"> 2016</w:t>
            </w:r>
            <w:r w:rsidR="00A9249E">
              <w:rPr>
                <w:rFonts w:asciiTheme="majorHAnsi" w:hAnsiTheme="majorHAnsi" w:cstheme="majorHAnsi"/>
                <w:i/>
                <w:sz w:val="24"/>
                <w:szCs w:val="24"/>
                <w:lang w:val="ro-MD"/>
              </w:rPr>
              <w:t xml:space="preserve"> </w:t>
            </w:r>
            <w:r w:rsidR="001E5314">
              <w:rPr>
                <w:rFonts w:asciiTheme="majorHAnsi" w:hAnsiTheme="majorHAnsi" w:cstheme="majorHAnsi"/>
                <w:i/>
                <w:sz w:val="24"/>
                <w:szCs w:val="24"/>
                <w:lang w:val="ro-MD"/>
              </w:rPr>
              <w:t>–</w:t>
            </w:r>
            <w:r w:rsidR="00A9249E">
              <w:rPr>
                <w:rFonts w:asciiTheme="majorHAnsi" w:hAnsiTheme="majorHAnsi" w:cstheme="majorHAnsi"/>
                <w:i/>
                <w:sz w:val="24"/>
                <w:szCs w:val="24"/>
                <w:lang w:val="ro-MD"/>
              </w:rPr>
              <w:t xml:space="preserve"> </w:t>
            </w:r>
            <w:r w:rsidR="0041136D" w:rsidRPr="00401691">
              <w:rPr>
                <w:rFonts w:asciiTheme="majorHAnsi" w:hAnsiTheme="majorHAnsi" w:cstheme="majorHAnsi"/>
                <w:i/>
                <w:sz w:val="24"/>
                <w:szCs w:val="24"/>
                <w:lang w:val="ro-MD"/>
              </w:rPr>
              <w:t>2018</w:t>
            </w:r>
            <w:r w:rsidR="001E5314">
              <w:rPr>
                <w:rFonts w:asciiTheme="majorHAnsi" w:hAnsiTheme="majorHAnsi" w:cstheme="majorHAnsi"/>
                <w:i/>
                <w:sz w:val="24"/>
                <w:szCs w:val="24"/>
                <w:lang w:val="ro-MD"/>
              </w:rPr>
              <w:t>, care au constata</w:t>
            </w:r>
            <w:r w:rsidR="002E0738" w:rsidRPr="00401691">
              <w:rPr>
                <w:rFonts w:asciiTheme="majorHAnsi" w:hAnsiTheme="majorHAnsi" w:cstheme="majorHAnsi"/>
                <w:i/>
                <w:sz w:val="24"/>
                <w:szCs w:val="24"/>
                <w:lang w:val="ro-MD"/>
              </w:rPr>
              <w:t xml:space="preserve">t infracțiuni fiscale </w:t>
            </w:r>
            <w:r w:rsidR="00F06CEE" w:rsidRPr="00401691">
              <w:rPr>
                <w:rFonts w:asciiTheme="majorHAnsi" w:hAnsiTheme="majorHAnsi" w:cstheme="majorHAnsi"/>
                <w:i/>
                <w:sz w:val="24"/>
                <w:szCs w:val="24"/>
                <w:lang w:val="ro-MD"/>
              </w:rPr>
              <w:t>(„</w:t>
            </w:r>
            <w:proofErr w:type="spellStart"/>
            <w:r w:rsidR="00F06CEE" w:rsidRPr="001E37F9">
              <w:rPr>
                <w:rFonts w:asciiTheme="majorHAnsi" w:hAnsiTheme="majorHAnsi" w:cstheme="majorHAnsi"/>
                <w:i/>
                <w:sz w:val="24"/>
                <w:szCs w:val="24"/>
                <w:lang w:val="ro-MD"/>
              </w:rPr>
              <w:t>pseudoac</w:t>
            </w:r>
            <w:r w:rsidR="00937BA7" w:rsidRPr="001E37F9">
              <w:rPr>
                <w:rFonts w:asciiTheme="majorHAnsi" w:hAnsiTheme="majorHAnsi" w:cstheme="majorHAnsi"/>
                <w:i/>
                <w:sz w:val="24"/>
                <w:szCs w:val="24"/>
                <w:lang w:val="ro-MD"/>
              </w:rPr>
              <w:t>tivitate</w:t>
            </w:r>
            <w:proofErr w:type="spellEnd"/>
            <w:r w:rsidR="00F06CEE" w:rsidRPr="001E37F9">
              <w:rPr>
                <w:rFonts w:asciiTheme="majorHAnsi" w:hAnsiTheme="majorHAnsi" w:cstheme="majorHAnsi"/>
                <w:i/>
                <w:sz w:val="24"/>
                <w:szCs w:val="24"/>
                <w:lang w:val="ro-MD"/>
              </w:rPr>
              <w:t>”)</w:t>
            </w:r>
            <w:r w:rsidR="0041136D" w:rsidRPr="001E37F9">
              <w:rPr>
                <w:rFonts w:asciiTheme="majorHAnsi" w:hAnsiTheme="majorHAnsi" w:cstheme="majorHAnsi"/>
                <w:i/>
                <w:sz w:val="24"/>
                <w:szCs w:val="24"/>
                <w:lang w:val="ro-MD"/>
              </w:rPr>
              <w:t>.</w:t>
            </w:r>
            <w:r w:rsidR="00063E96" w:rsidRPr="001E37F9">
              <w:rPr>
                <w:rFonts w:asciiTheme="majorHAnsi" w:hAnsiTheme="majorHAnsi" w:cstheme="majorHAnsi"/>
                <w:i/>
                <w:sz w:val="24"/>
                <w:szCs w:val="24"/>
                <w:lang w:val="ro-MD"/>
              </w:rPr>
              <w:t xml:space="preserve"> </w:t>
            </w:r>
          </w:p>
        </w:tc>
      </w:tr>
    </w:tbl>
    <w:p w:rsidR="0008623A" w:rsidRPr="007631D9" w:rsidRDefault="001E5314" w:rsidP="00DC000A">
      <w:pPr>
        <w:pStyle w:val="Heading3"/>
        <w:numPr>
          <w:ilvl w:val="1"/>
          <w:numId w:val="32"/>
        </w:numPr>
        <w:spacing w:before="240" w:after="120" w:line="276" w:lineRule="auto"/>
        <w:jc w:val="both"/>
        <w:rPr>
          <w:b/>
        </w:rPr>
      </w:pPr>
      <w:bookmarkStart w:id="22" w:name="_Toc48732734"/>
      <w:r>
        <w:rPr>
          <w:b/>
          <w:lang w:val="en-US"/>
        </w:rPr>
        <w:lastRenderedPageBreak/>
        <w:t xml:space="preserve">. </w:t>
      </w:r>
      <w:r w:rsidR="00DC000A">
        <w:rPr>
          <w:b/>
          <w:lang w:val="en-US"/>
        </w:rPr>
        <w:t>P</w:t>
      </w:r>
      <w:proofErr w:type="spellStart"/>
      <w:r w:rsidR="001E37F9" w:rsidRPr="00DC000A">
        <w:rPr>
          <w:b/>
        </w:rPr>
        <w:t>rocesul</w:t>
      </w:r>
      <w:proofErr w:type="spellEnd"/>
      <w:r w:rsidR="00DC000A" w:rsidRPr="00DC000A">
        <w:rPr>
          <w:b/>
        </w:rPr>
        <w:t xml:space="preserve"> de selecție a agenților economici incluși în </w:t>
      </w:r>
      <w:r w:rsidR="00BB334D">
        <w:rPr>
          <w:b/>
        </w:rPr>
        <w:t>p</w:t>
      </w:r>
      <w:r w:rsidR="00DC000A" w:rsidRPr="00DC000A">
        <w:rPr>
          <w:b/>
        </w:rPr>
        <w:t>lanul de control</w:t>
      </w:r>
      <w:r w:rsidR="00DC000A">
        <w:rPr>
          <w:b/>
        </w:rPr>
        <w:t xml:space="preserve"> necesită a fi îmbunătățit</w:t>
      </w:r>
      <w:bookmarkEnd w:id="22"/>
      <w:r>
        <w:rPr>
          <w:b/>
        </w:rPr>
        <w:t>.</w:t>
      </w:r>
    </w:p>
    <w:p w:rsidR="00956A69" w:rsidRPr="001E37F9" w:rsidRDefault="00956A69" w:rsidP="001E37F9">
      <w:pPr>
        <w:pStyle w:val="ListParagraph"/>
        <w:numPr>
          <w:ilvl w:val="0"/>
          <w:numId w:val="44"/>
        </w:numPr>
        <w:tabs>
          <w:tab w:val="left" w:pos="180"/>
        </w:tabs>
        <w:spacing w:after="120" w:line="276" w:lineRule="auto"/>
        <w:ind w:left="0" w:firstLine="0"/>
        <w:jc w:val="both"/>
        <w:rPr>
          <w:rFonts w:asciiTheme="majorHAnsi" w:hAnsiTheme="majorHAnsi" w:cstheme="majorHAnsi"/>
          <w:i/>
          <w:sz w:val="24"/>
          <w:szCs w:val="24"/>
          <w:lang w:val="ro-MD"/>
        </w:rPr>
      </w:pPr>
      <w:r w:rsidRPr="001E37F9">
        <w:rPr>
          <w:rFonts w:asciiTheme="majorHAnsi" w:hAnsiTheme="majorHAnsi" w:cstheme="majorHAnsi"/>
          <w:sz w:val="24"/>
          <w:szCs w:val="24"/>
          <w:lang w:val="ro-MD"/>
        </w:rPr>
        <w:t xml:space="preserve">Activitatea de control fiscal, ca funcție a SFS, reprezintă o pârghie importantă în asigurarea conformității fiscale, precum și </w:t>
      </w:r>
      <w:r w:rsidR="004D584F">
        <w:rPr>
          <w:rFonts w:asciiTheme="majorHAnsi" w:hAnsiTheme="majorHAnsi" w:cstheme="majorHAnsi"/>
          <w:sz w:val="24"/>
          <w:szCs w:val="24"/>
          <w:lang w:val="ro-MD"/>
        </w:rPr>
        <w:t xml:space="preserve">în </w:t>
      </w:r>
      <w:r w:rsidRPr="001E37F9">
        <w:rPr>
          <w:rFonts w:asciiTheme="majorHAnsi" w:hAnsiTheme="majorHAnsi" w:cstheme="majorHAnsi"/>
          <w:sz w:val="24"/>
          <w:szCs w:val="24"/>
          <w:lang w:val="ro-MD"/>
        </w:rPr>
        <w:t>asigurarea unui nivel corespunzător de colectare a veniturilor bugetare. În acest context, modernizarea instrumentelor de control fiscal reprezintă o preocupare la nivel guv</w:t>
      </w:r>
      <w:r w:rsidR="00063E96" w:rsidRPr="001E37F9">
        <w:rPr>
          <w:rFonts w:asciiTheme="majorHAnsi" w:hAnsiTheme="majorHAnsi" w:cstheme="majorHAnsi"/>
          <w:sz w:val="24"/>
          <w:szCs w:val="24"/>
          <w:lang w:val="ro-MD"/>
        </w:rPr>
        <w:t>ernamental, măsurile de reformă</w:t>
      </w:r>
      <w:r w:rsidRPr="001E37F9">
        <w:rPr>
          <w:rFonts w:asciiTheme="majorHAnsi" w:hAnsiTheme="majorHAnsi" w:cstheme="majorHAnsi"/>
          <w:sz w:val="24"/>
          <w:szCs w:val="24"/>
          <w:lang w:val="ro-MD"/>
        </w:rPr>
        <w:t xml:space="preserve"> </w:t>
      </w:r>
      <w:r w:rsidR="004D584F">
        <w:rPr>
          <w:rFonts w:asciiTheme="majorHAnsi" w:hAnsiTheme="majorHAnsi" w:cstheme="majorHAnsi"/>
          <w:sz w:val="24"/>
          <w:szCs w:val="24"/>
          <w:lang w:val="ro-MD"/>
        </w:rPr>
        <w:t>în</w:t>
      </w:r>
      <w:r w:rsidRPr="001E37F9">
        <w:rPr>
          <w:rFonts w:asciiTheme="majorHAnsi" w:hAnsiTheme="majorHAnsi" w:cstheme="majorHAnsi"/>
          <w:sz w:val="24"/>
          <w:szCs w:val="24"/>
          <w:lang w:val="ro-MD"/>
        </w:rPr>
        <w:t xml:space="preserve"> acest domeniu regăsindu-se în Strategia de dezvoltare a managementului finanțelor </w:t>
      </w:r>
      <w:r w:rsidRPr="000B204E">
        <w:rPr>
          <w:rFonts w:asciiTheme="majorHAnsi" w:hAnsiTheme="majorHAnsi" w:cstheme="majorHAnsi"/>
          <w:sz w:val="24"/>
          <w:szCs w:val="24"/>
          <w:lang w:val="ro-MD"/>
        </w:rPr>
        <w:t>publice</w:t>
      </w:r>
      <w:r w:rsidR="00E63078" w:rsidRPr="000B204E">
        <w:rPr>
          <w:rFonts w:asciiTheme="majorHAnsi" w:hAnsiTheme="majorHAnsi" w:cstheme="majorHAnsi"/>
          <w:sz w:val="24"/>
          <w:szCs w:val="24"/>
          <w:lang w:val="ro-MD"/>
        </w:rPr>
        <w:t xml:space="preserve"> </w:t>
      </w:r>
      <w:r w:rsidRPr="000B204E">
        <w:rPr>
          <w:rFonts w:asciiTheme="majorHAnsi" w:hAnsiTheme="majorHAnsi" w:cstheme="majorHAnsi"/>
          <w:sz w:val="24"/>
          <w:szCs w:val="24"/>
          <w:lang w:val="ro-MD"/>
        </w:rPr>
        <w:t>2013-2020</w:t>
      </w:r>
      <w:r w:rsidRPr="001E37F9">
        <w:rPr>
          <w:rFonts w:asciiTheme="majorHAnsi" w:hAnsiTheme="majorHAnsi" w:cstheme="majorHAnsi"/>
          <w:sz w:val="24"/>
          <w:szCs w:val="24"/>
          <w:lang w:val="ro-MD"/>
        </w:rPr>
        <w:t>, care, la component</w:t>
      </w:r>
      <w:r w:rsidR="00A27271" w:rsidRPr="001E37F9">
        <w:rPr>
          <w:rFonts w:asciiTheme="majorHAnsi" w:hAnsiTheme="majorHAnsi" w:cstheme="majorHAnsi"/>
          <w:sz w:val="24"/>
          <w:szCs w:val="24"/>
          <w:lang w:val="ro-MD"/>
        </w:rPr>
        <w:t xml:space="preserve">a </w:t>
      </w:r>
      <w:r w:rsidR="006433D0" w:rsidRPr="001E37F9">
        <w:rPr>
          <w:rFonts w:asciiTheme="majorHAnsi" w:hAnsiTheme="majorHAnsi" w:cstheme="majorHAnsi"/>
          <w:sz w:val="24"/>
          <w:szCs w:val="24"/>
          <w:lang w:val="ro-MD"/>
        </w:rPr>
        <w:t>5.5</w:t>
      </w:r>
      <w:r w:rsidR="004D584F">
        <w:rPr>
          <w:rFonts w:asciiTheme="majorHAnsi" w:hAnsiTheme="majorHAnsi" w:cstheme="majorHAnsi"/>
          <w:sz w:val="24"/>
          <w:szCs w:val="24"/>
          <w:lang w:val="ro-MD"/>
        </w:rPr>
        <w:t>.</w:t>
      </w:r>
      <w:r w:rsidR="006433D0" w:rsidRPr="001E37F9">
        <w:rPr>
          <w:rFonts w:asciiTheme="majorHAnsi" w:hAnsiTheme="majorHAnsi" w:cstheme="majorHAnsi"/>
          <w:sz w:val="24"/>
          <w:szCs w:val="24"/>
          <w:lang w:val="ro-MD"/>
        </w:rPr>
        <w:t xml:space="preserve"> </w:t>
      </w:r>
      <w:r w:rsidR="00A27271" w:rsidRPr="001E37F9">
        <w:rPr>
          <w:rFonts w:asciiTheme="majorHAnsi" w:hAnsiTheme="majorHAnsi" w:cstheme="majorHAnsi"/>
          <w:sz w:val="24"/>
          <w:szCs w:val="24"/>
          <w:lang w:val="ro-MD"/>
        </w:rPr>
        <w:t xml:space="preserve">„Administrarea veniturilor - </w:t>
      </w:r>
      <w:r w:rsidRPr="001E37F9">
        <w:rPr>
          <w:rFonts w:asciiTheme="majorHAnsi" w:hAnsiTheme="majorHAnsi" w:cstheme="majorHAnsi"/>
          <w:sz w:val="24"/>
          <w:szCs w:val="24"/>
          <w:lang w:val="ro-MD"/>
        </w:rPr>
        <w:t>controlul fiscal”</w:t>
      </w:r>
      <w:r w:rsidRPr="00401691">
        <w:rPr>
          <w:rStyle w:val="FootnoteReference"/>
          <w:rFonts w:asciiTheme="majorHAnsi" w:hAnsiTheme="majorHAnsi" w:cstheme="majorHAnsi"/>
          <w:sz w:val="24"/>
          <w:szCs w:val="24"/>
          <w:lang w:val="ro-MD"/>
        </w:rPr>
        <w:footnoteReference w:id="56"/>
      </w:r>
      <w:r w:rsidR="004D584F">
        <w:rPr>
          <w:rFonts w:asciiTheme="majorHAnsi" w:hAnsiTheme="majorHAnsi" w:cstheme="majorHAnsi"/>
          <w:sz w:val="24"/>
          <w:szCs w:val="24"/>
          <w:lang w:val="ro-MD"/>
        </w:rPr>
        <w:t>,</w:t>
      </w:r>
      <w:r w:rsidR="006433D0" w:rsidRPr="001E37F9">
        <w:rPr>
          <w:rFonts w:asciiTheme="majorHAnsi" w:hAnsiTheme="majorHAnsi" w:cstheme="majorHAnsi"/>
          <w:sz w:val="24"/>
          <w:szCs w:val="24"/>
          <w:lang w:val="ro-MD"/>
        </w:rPr>
        <w:t xml:space="preserve"> pct.5.5.1. </w:t>
      </w:r>
      <w:proofErr w:type="spellStart"/>
      <w:r w:rsidR="006433D0" w:rsidRPr="001E37F9">
        <w:rPr>
          <w:rFonts w:asciiTheme="majorHAnsi" w:hAnsiTheme="majorHAnsi" w:cstheme="majorHAnsi"/>
          <w:sz w:val="24"/>
          <w:szCs w:val="24"/>
          <w:lang w:val="ro-MD"/>
        </w:rPr>
        <w:t>lit.c</w:t>
      </w:r>
      <w:proofErr w:type="spellEnd"/>
      <w:r w:rsidR="006433D0" w:rsidRPr="001E37F9">
        <w:rPr>
          <w:rFonts w:asciiTheme="majorHAnsi" w:hAnsiTheme="majorHAnsi" w:cstheme="majorHAnsi"/>
          <w:sz w:val="24"/>
          <w:szCs w:val="24"/>
          <w:lang w:val="ro-MD"/>
        </w:rPr>
        <w:t xml:space="preserve">) </w:t>
      </w:r>
      <w:r w:rsidR="004D584F">
        <w:rPr>
          <w:rFonts w:asciiTheme="majorHAnsi" w:hAnsiTheme="majorHAnsi" w:cstheme="majorHAnsi"/>
          <w:sz w:val="24"/>
          <w:szCs w:val="24"/>
          <w:lang w:val="ro-MD"/>
        </w:rPr>
        <w:t>s-a</w:t>
      </w:r>
      <w:r w:rsidR="00A27271" w:rsidRPr="001E37F9">
        <w:rPr>
          <w:rFonts w:asciiTheme="majorHAnsi" w:hAnsiTheme="majorHAnsi" w:cstheme="majorHAnsi"/>
          <w:sz w:val="24"/>
          <w:szCs w:val="24"/>
          <w:lang w:val="ro-MD"/>
        </w:rPr>
        <w:t xml:space="preserve"> prevăzut </w:t>
      </w:r>
      <w:r w:rsidRPr="001E37F9">
        <w:rPr>
          <w:rFonts w:asciiTheme="majorHAnsi" w:hAnsiTheme="majorHAnsi" w:cstheme="majorHAnsi"/>
          <w:sz w:val="24"/>
          <w:szCs w:val="24"/>
          <w:lang w:val="ro-MD"/>
        </w:rPr>
        <w:t>că „</w:t>
      </w:r>
      <w:r w:rsidR="006433D0" w:rsidRPr="001E37F9">
        <w:rPr>
          <w:rFonts w:asciiTheme="majorHAnsi" w:hAnsiTheme="majorHAnsi" w:cstheme="majorHAnsi"/>
          <w:i/>
          <w:sz w:val="24"/>
          <w:szCs w:val="24"/>
          <w:lang w:val="ro-MD"/>
        </w:rPr>
        <w:t>P</w:t>
      </w:r>
      <w:r w:rsidRPr="001E37F9">
        <w:rPr>
          <w:rFonts w:asciiTheme="majorHAnsi" w:hAnsiTheme="majorHAnsi" w:cstheme="majorHAnsi"/>
          <w:i/>
          <w:sz w:val="24"/>
          <w:szCs w:val="24"/>
          <w:lang w:val="ro-MD"/>
        </w:rPr>
        <w:t xml:space="preserve">lanul de efectuare a controalelor fiscale este întocmit în baza factorilor de risc, cum ar fi riscuri generale, specifice </w:t>
      </w:r>
      <w:r w:rsidR="00063E96" w:rsidRPr="001E37F9">
        <w:rPr>
          <w:rFonts w:asciiTheme="majorHAnsi" w:hAnsiTheme="majorHAnsi" w:cstheme="majorHAnsi"/>
          <w:i/>
          <w:sz w:val="24"/>
          <w:szCs w:val="24"/>
          <w:lang w:val="ro-MD"/>
        </w:rPr>
        <w:t>și</w:t>
      </w:r>
      <w:r w:rsidRPr="001E37F9">
        <w:rPr>
          <w:rFonts w:asciiTheme="majorHAnsi" w:hAnsiTheme="majorHAnsi" w:cstheme="majorHAnsi"/>
          <w:i/>
          <w:sz w:val="24"/>
          <w:szCs w:val="24"/>
          <w:lang w:val="ro-MD"/>
        </w:rPr>
        <w:t xml:space="preserve"> riscuri privind conformarea TVA, este în vigoare și pe deplin funcțional”.</w:t>
      </w:r>
    </w:p>
    <w:p w:rsidR="00956A69" w:rsidRPr="00401691" w:rsidRDefault="00956A69" w:rsidP="00844145">
      <w:pPr>
        <w:tabs>
          <w:tab w:val="left" w:pos="1602"/>
        </w:tabs>
        <w:spacing w:line="276" w:lineRule="auto"/>
        <w:jc w:val="both"/>
        <w:rPr>
          <w:rFonts w:asciiTheme="majorHAnsi" w:hAnsiTheme="majorHAnsi" w:cstheme="majorHAnsi"/>
          <w:sz w:val="24"/>
          <w:szCs w:val="24"/>
          <w:lang w:val="ro-MD"/>
        </w:rPr>
      </w:pPr>
      <w:r w:rsidRPr="00401691">
        <w:rPr>
          <w:rFonts w:asciiTheme="majorHAnsi" w:hAnsiTheme="majorHAnsi" w:cstheme="majorHAnsi"/>
          <w:sz w:val="24"/>
          <w:szCs w:val="24"/>
          <w:lang w:val="ro-MD"/>
        </w:rPr>
        <w:t xml:space="preserve">Activitățile de control planificate în anul 2019 s-au axat pe monitorizarea comportamentului fiscal al contribuabililor și identificarea contribuabililor cu risc de admitere a încălcărilor fiscale. </w:t>
      </w:r>
    </w:p>
    <w:p w:rsidR="00956A69" w:rsidRPr="00401691" w:rsidRDefault="00956A69" w:rsidP="00844145">
      <w:pPr>
        <w:tabs>
          <w:tab w:val="left" w:pos="1602"/>
        </w:tabs>
        <w:spacing w:line="276" w:lineRule="auto"/>
        <w:jc w:val="both"/>
        <w:rPr>
          <w:rFonts w:asciiTheme="majorHAnsi" w:hAnsiTheme="majorHAnsi" w:cstheme="majorHAnsi"/>
          <w:sz w:val="24"/>
          <w:szCs w:val="24"/>
          <w:lang w:val="ro-MD"/>
        </w:rPr>
      </w:pPr>
      <w:r w:rsidRPr="00401691">
        <w:rPr>
          <w:rFonts w:asciiTheme="majorHAnsi" w:hAnsiTheme="majorHAnsi" w:cstheme="majorHAnsi"/>
          <w:sz w:val="24"/>
          <w:szCs w:val="24"/>
          <w:lang w:val="ro-MD"/>
        </w:rPr>
        <w:t>Echipa de audit a analizat plenitudinea aplicării riscurilor de conformare în scopul planificării anuale a controalelor</w:t>
      </w:r>
      <w:r w:rsidR="004D584F">
        <w:rPr>
          <w:rFonts w:asciiTheme="majorHAnsi" w:hAnsiTheme="majorHAnsi" w:cstheme="majorHAnsi"/>
          <w:sz w:val="24"/>
          <w:szCs w:val="24"/>
          <w:lang w:val="ro-MD"/>
        </w:rPr>
        <w:t xml:space="preserve"> și a relevat</w:t>
      </w:r>
      <w:r w:rsidRPr="00401691">
        <w:rPr>
          <w:rFonts w:asciiTheme="majorHAnsi" w:hAnsiTheme="majorHAnsi" w:cstheme="majorHAnsi"/>
          <w:sz w:val="24"/>
          <w:szCs w:val="24"/>
          <w:lang w:val="ro-MD"/>
        </w:rPr>
        <w:t xml:space="preserve"> că DGC nu a monitorizat acest</w:t>
      </w:r>
      <w:r w:rsidR="00063E96">
        <w:rPr>
          <w:rFonts w:asciiTheme="majorHAnsi" w:hAnsiTheme="majorHAnsi" w:cstheme="majorHAnsi"/>
          <w:sz w:val="24"/>
          <w:szCs w:val="24"/>
          <w:lang w:val="ro-MD"/>
        </w:rPr>
        <w:t xml:space="preserve"> proces, asigurându-se ca CTIF </w:t>
      </w:r>
      <w:r w:rsidRPr="00401691">
        <w:rPr>
          <w:rFonts w:asciiTheme="majorHAnsi" w:hAnsiTheme="majorHAnsi" w:cstheme="majorHAnsi"/>
          <w:sz w:val="24"/>
          <w:szCs w:val="24"/>
          <w:lang w:val="ro-MD"/>
        </w:rPr>
        <w:t xml:space="preserve">aplică toate riscurile reglementate de Normele metodologice. Verificările efectuate </w:t>
      </w:r>
      <w:r w:rsidR="001D3DC3">
        <w:rPr>
          <w:rFonts w:asciiTheme="majorHAnsi" w:hAnsiTheme="majorHAnsi" w:cstheme="majorHAnsi"/>
          <w:sz w:val="24"/>
          <w:szCs w:val="24"/>
          <w:lang w:val="ro-MD"/>
        </w:rPr>
        <w:t>indică</w:t>
      </w:r>
      <w:r w:rsidR="00063E96">
        <w:rPr>
          <w:rFonts w:asciiTheme="majorHAnsi" w:hAnsiTheme="majorHAnsi" w:cstheme="majorHAnsi"/>
          <w:sz w:val="24"/>
          <w:szCs w:val="24"/>
          <w:lang w:val="ro-MD"/>
        </w:rPr>
        <w:t xml:space="preserve"> că nu </w:t>
      </w:r>
      <w:r w:rsidR="00063E96">
        <w:rPr>
          <w:rFonts w:asciiTheme="majorHAnsi" w:hAnsiTheme="majorHAnsi" w:cstheme="majorHAnsi"/>
          <w:sz w:val="24"/>
          <w:szCs w:val="24"/>
          <w:lang w:val="ro-MD"/>
        </w:rPr>
        <w:lastRenderedPageBreak/>
        <w:t>toate riscurile</w:t>
      </w:r>
      <w:r w:rsidRPr="00401691">
        <w:rPr>
          <w:rFonts w:asciiTheme="majorHAnsi" w:hAnsiTheme="majorHAnsi" w:cstheme="majorHAnsi"/>
          <w:sz w:val="24"/>
          <w:szCs w:val="24"/>
          <w:lang w:val="ro-MD"/>
        </w:rPr>
        <w:t xml:space="preserve"> de conformare au fost aplicate față de contribuabili pentru calcu</w:t>
      </w:r>
      <w:r w:rsidR="00063E96">
        <w:rPr>
          <w:rFonts w:asciiTheme="majorHAnsi" w:hAnsiTheme="majorHAnsi" w:cstheme="majorHAnsi"/>
          <w:sz w:val="24"/>
          <w:szCs w:val="24"/>
          <w:lang w:val="ro-MD"/>
        </w:rPr>
        <w:t>larea scorului de risc. Astfel,</w:t>
      </w:r>
      <w:r w:rsidRPr="00401691">
        <w:rPr>
          <w:rFonts w:asciiTheme="majorHAnsi" w:hAnsiTheme="majorHAnsi" w:cstheme="majorHAnsi"/>
          <w:sz w:val="24"/>
          <w:szCs w:val="24"/>
          <w:lang w:val="ro-MD"/>
        </w:rPr>
        <w:t xml:space="preserve"> dacă în procesul de planificare a controalelor la contribuabilii mari nu a fost aplicat un risc de conformare</w:t>
      </w:r>
      <w:r w:rsidRPr="00401691">
        <w:rPr>
          <w:rStyle w:val="FootnoteReference"/>
          <w:rFonts w:asciiTheme="majorHAnsi" w:hAnsiTheme="majorHAnsi" w:cstheme="majorHAnsi"/>
          <w:sz w:val="24"/>
          <w:szCs w:val="24"/>
          <w:lang w:val="ro-MD"/>
        </w:rPr>
        <w:footnoteReference w:id="57"/>
      </w:r>
      <w:r w:rsidRPr="00401691">
        <w:rPr>
          <w:rFonts w:asciiTheme="majorHAnsi" w:hAnsiTheme="majorHAnsi" w:cstheme="majorHAnsi"/>
          <w:sz w:val="24"/>
          <w:szCs w:val="24"/>
          <w:lang w:val="ro-MD"/>
        </w:rPr>
        <w:t xml:space="preserve">, din cei 22 </w:t>
      </w:r>
      <w:r w:rsidR="001D3DC3">
        <w:rPr>
          <w:rFonts w:asciiTheme="majorHAnsi" w:hAnsiTheme="majorHAnsi" w:cstheme="majorHAnsi"/>
          <w:sz w:val="24"/>
          <w:szCs w:val="24"/>
          <w:lang w:val="ro-MD"/>
        </w:rPr>
        <w:t xml:space="preserve">de </w:t>
      </w:r>
      <w:r w:rsidRPr="00401691">
        <w:rPr>
          <w:rFonts w:asciiTheme="majorHAnsi" w:hAnsiTheme="majorHAnsi" w:cstheme="majorHAnsi"/>
          <w:sz w:val="24"/>
          <w:szCs w:val="24"/>
          <w:lang w:val="ro-MD"/>
        </w:rPr>
        <w:t>indicatori utilizați, apoi pentru alte categorii de contribuabili nu s-au utilizat</w:t>
      </w:r>
      <w:r w:rsidR="00D23939" w:rsidRPr="00401691">
        <w:rPr>
          <w:rFonts w:asciiTheme="majorHAnsi" w:hAnsiTheme="majorHAnsi" w:cstheme="majorHAnsi"/>
          <w:sz w:val="24"/>
          <w:szCs w:val="24"/>
          <w:lang w:val="ro-MD"/>
        </w:rPr>
        <w:t xml:space="preserve"> șase</w:t>
      </w:r>
      <w:r w:rsidR="00530854">
        <w:rPr>
          <w:rFonts w:asciiTheme="majorHAnsi" w:hAnsiTheme="majorHAnsi" w:cstheme="majorHAnsi"/>
          <w:sz w:val="24"/>
          <w:szCs w:val="24"/>
          <w:lang w:val="ro-MD"/>
        </w:rPr>
        <w:t xml:space="preserve"> tipuri de </w:t>
      </w:r>
      <w:r w:rsidRPr="00401691">
        <w:rPr>
          <w:rFonts w:asciiTheme="majorHAnsi" w:hAnsiTheme="majorHAnsi" w:cstheme="majorHAnsi"/>
          <w:sz w:val="24"/>
          <w:szCs w:val="24"/>
          <w:lang w:val="ro-MD"/>
        </w:rPr>
        <w:t>riscuri de conformare</w:t>
      </w:r>
      <w:r w:rsidRPr="00401691">
        <w:rPr>
          <w:rStyle w:val="FootnoteReference"/>
          <w:rFonts w:asciiTheme="majorHAnsi" w:hAnsiTheme="majorHAnsi" w:cstheme="majorHAnsi"/>
          <w:sz w:val="24"/>
          <w:szCs w:val="24"/>
          <w:lang w:val="ro-MD"/>
        </w:rPr>
        <w:footnoteReference w:id="58"/>
      </w:r>
      <w:r w:rsidR="001D3DC3">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din cele 41 </w:t>
      </w:r>
      <w:r w:rsidR="00063E96">
        <w:rPr>
          <w:rFonts w:asciiTheme="majorHAnsi" w:hAnsiTheme="majorHAnsi" w:cstheme="majorHAnsi"/>
          <w:sz w:val="24"/>
          <w:szCs w:val="24"/>
          <w:lang w:val="ro-MD"/>
        </w:rPr>
        <w:t>reglementate</w:t>
      </w:r>
      <w:r w:rsidRPr="00401691">
        <w:rPr>
          <w:rFonts w:asciiTheme="majorHAnsi" w:hAnsiTheme="majorHAnsi" w:cstheme="majorHAnsi"/>
          <w:sz w:val="24"/>
          <w:szCs w:val="24"/>
          <w:lang w:val="ro-MD"/>
        </w:rPr>
        <w:t>.</w:t>
      </w:r>
    </w:p>
    <w:p w:rsidR="00D23939" w:rsidRPr="00401691" w:rsidRDefault="004D7F60" w:rsidP="00844145">
      <w:pPr>
        <w:tabs>
          <w:tab w:val="left" w:pos="1602"/>
        </w:tabs>
        <w:spacing w:after="120" w:line="276" w:lineRule="auto"/>
        <w:jc w:val="both"/>
        <w:rPr>
          <w:rFonts w:asciiTheme="majorHAnsi" w:hAnsiTheme="majorHAnsi" w:cstheme="majorHAnsi"/>
          <w:sz w:val="24"/>
          <w:szCs w:val="24"/>
          <w:lang w:val="ro-MD"/>
        </w:rPr>
      </w:pPr>
      <w:r>
        <w:rPr>
          <w:rFonts w:asciiTheme="majorHAnsi" w:hAnsiTheme="majorHAnsi" w:cstheme="majorHAnsi"/>
          <w:sz w:val="24"/>
          <w:szCs w:val="24"/>
          <w:lang w:val="ro-MD"/>
        </w:rPr>
        <w:t>N</w:t>
      </w:r>
      <w:r w:rsidR="00956A69" w:rsidRPr="00401691">
        <w:rPr>
          <w:rFonts w:asciiTheme="majorHAnsi" w:hAnsiTheme="majorHAnsi" w:cstheme="majorHAnsi"/>
          <w:sz w:val="24"/>
          <w:szCs w:val="24"/>
          <w:lang w:val="ro-MD"/>
        </w:rPr>
        <w:t>eaplic</w:t>
      </w:r>
      <w:r>
        <w:rPr>
          <w:rFonts w:asciiTheme="majorHAnsi" w:hAnsiTheme="majorHAnsi" w:cstheme="majorHAnsi"/>
          <w:sz w:val="24"/>
          <w:szCs w:val="24"/>
          <w:lang w:val="ro-MD"/>
        </w:rPr>
        <w:t>area</w:t>
      </w:r>
      <w:r w:rsidR="00956A69" w:rsidRPr="00401691">
        <w:rPr>
          <w:rFonts w:asciiTheme="majorHAnsi" w:hAnsiTheme="majorHAnsi" w:cstheme="majorHAnsi"/>
          <w:sz w:val="24"/>
          <w:szCs w:val="24"/>
          <w:lang w:val="ro-MD"/>
        </w:rPr>
        <w:t xml:space="preserve"> tuturor riscurilor de conform</w:t>
      </w:r>
      <w:r w:rsidR="00063E96">
        <w:rPr>
          <w:rFonts w:asciiTheme="majorHAnsi" w:hAnsiTheme="majorHAnsi" w:cstheme="majorHAnsi"/>
          <w:sz w:val="24"/>
          <w:szCs w:val="24"/>
          <w:lang w:val="ro-MD"/>
        </w:rPr>
        <w:t>are fiscală a influențat</w:t>
      </w:r>
      <w:r w:rsidR="00956A69" w:rsidRPr="00401691">
        <w:rPr>
          <w:rFonts w:asciiTheme="majorHAnsi" w:hAnsiTheme="majorHAnsi" w:cstheme="majorHAnsi"/>
          <w:sz w:val="24"/>
          <w:szCs w:val="24"/>
          <w:lang w:val="ro-MD"/>
        </w:rPr>
        <w:t xml:space="preserve"> valoarea scorului de risc per contribuabil, precum și procesul de selecție a agenților economici incluși în Planul de control.</w:t>
      </w:r>
      <w:r w:rsidR="000523B7">
        <w:rPr>
          <w:rFonts w:asciiTheme="majorHAnsi" w:hAnsiTheme="majorHAnsi" w:cstheme="majorHAnsi"/>
          <w:sz w:val="24"/>
          <w:szCs w:val="24"/>
          <w:lang w:val="ro-MD"/>
        </w:rPr>
        <w:t xml:space="preserve"> </w:t>
      </w:r>
      <w:r w:rsidR="00D23939" w:rsidRPr="00401691">
        <w:rPr>
          <w:rFonts w:asciiTheme="majorHAnsi" w:hAnsiTheme="majorHAnsi" w:cstheme="majorHAnsi"/>
          <w:sz w:val="24"/>
          <w:szCs w:val="24"/>
          <w:lang w:val="ro-MD"/>
        </w:rPr>
        <w:t>Cele menționate denotă necesitatea intensificării și fortificării activităților de control intern instituite de SFS în scopul îmbunătățirii procesului de planificare a controalelor, av</w:t>
      </w:r>
      <w:r w:rsidR="001D3DC3">
        <w:rPr>
          <w:rFonts w:asciiTheme="majorHAnsi" w:hAnsiTheme="majorHAnsi" w:cstheme="majorHAnsi"/>
          <w:sz w:val="24"/>
          <w:szCs w:val="24"/>
          <w:lang w:val="ro-MD"/>
        </w:rPr>
        <w:t>â</w:t>
      </w:r>
      <w:r w:rsidR="00D23939" w:rsidRPr="00401691">
        <w:rPr>
          <w:rFonts w:asciiTheme="majorHAnsi" w:hAnsiTheme="majorHAnsi" w:cstheme="majorHAnsi"/>
          <w:sz w:val="24"/>
          <w:szCs w:val="24"/>
          <w:lang w:val="ro-MD"/>
        </w:rPr>
        <w:t>ndu-se în vedere combinarea instrumen</w:t>
      </w:r>
      <w:r w:rsidR="00194C12">
        <w:rPr>
          <w:rFonts w:asciiTheme="majorHAnsi" w:hAnsiTheme="majorHAnsi" w:cstheme="majorHAnsi"/>
          <w:sz w:val="24"/>
          <w:szCs w:val="24"/>
          <w:lang w:val="ro-MD"/>
        </w:rPr>
        <w:t xml:space="preserve">telor de natură automatizată </w:t>
      </w:r>
      <w:r w:rsidR="00194C12" w:rsidRPr="001556AC">
        <w:rPr>
          <w:rFonts w:asciiTheme="majorHAnsi" w:hAnsiTheme="majorHAnsi" w:cstheme="majorHAnsi"/>
          <w:sz w:val="24"/>
          <w:szCs w:val="24"/>
          <w:lang w:val="ro-MD"/>
        </w:rPr>
        <w:t>și manuală</w:t>
      </w:r>
      <w:r w:rsidR="00D23939" w:rsidRPr="001556AC">
        <w:rPr>
          <w:rFonts w:asciiTheme="majorHAnsi" w:hAnsiTheme="majorHAnsi" w:cstheme="majorHAnsi"/>
          <w:sz w:val="24"/>
          <w:szCs w:val="24"/>
          <w:lang w:val="ro-MD"/>
        </w:rPr>
        <w:t>,</w:t>
      </w:r>
      <w:r w:rsidR="00D23939" w:rsidRPr="00401691">
        <w:rPr>
          <w:rFonts w:asciiTheme="majorHAnsi" w:hAnsiTheme="majorHAnsi" w:cstheme="majorHAnsi"/>
          <w:sz w:val="24"/>
          <w:szCs w:val="24"/>
          <w:lang w:val="ro-MD"/>
        </w:rPr>
        <w:t xml:space="preserve"> care</w:t>
      </w:r>
      <w:r>
        <w:rPr>
          <w:rFonts w:asciiTheme="majorHAnsi" w:hAnsiTheme="majorHAnsi" w:cstheme="majorHAnsi"/>
          <w:sz w:val="24"/>
          <w:szCs w:val="24"/>
          <w:lang w:val="ro-MD"/>
        </w:rPr>
        <w:t>,</w:t>
      </w:r>
      <w:r w:rsidR="00D23939" w:rsidRPr="00401691">
        <w:rPr>
          <w:rFonts w:asciiTheme="majorHAnsi" w:hAnsiTheme="majorHAnsi" w:cstheme="majorHAnsi"/>
          <w:sz w:val="24"/>
          <w:szCs w:val="24"/>
          <w:lang w:val="ro-MD"/>
        </w:rPr>
        <w:t xml:space="preserve"> prin contextul s</w:t>
      </w:r>
      <w:r>
        <w:rPr>
          <w:rFonts w:asciiTheme="majorHAnsi" w:hAnsiTheme="majorHAnsi" w:cstheme="majorHAnsi"/>
          <w:sz w:val="24"/>
          <w:szCs w:val="24"/>
          <w:lang w:val="ro-MD"/>
        </w:rPr>
        <w:t>ă</w:t>
      </w:r>
      <w:r w:rsidR="00D23939" w:rsidRPr="00401691">
        <w:rPr>
          <w:rFonts w:asciiTheme="majorHAnsi" w:hAnsiTheme="majorHAnsi" w:cstheme="majorHAnsi"/>
          <w:sz w:val="24"/>
          <w:szCs w:val="24"/>
          <w:lang w:val="ro-MD"/>
        </w:rPr>
        <w:t>u</w:t>
      </w:r>
      <w:r>
        <w:rPr>
          <w:rFonts w:asciiTheme="majorHAnsi" w:hAnsiTheme="majorHAnsi" w:cstheme="majorHAnsi"/>
          <w:sz w:val="24"/>
          <w:szCs w:val="24"/>
          <w:lang w:val="ro-MD"/>
        </w:rPr>
        <w:t>,</w:t>
      </w:r>
      <w:r w:rsidR="00D23939" w:rsidRPr="00401691">
        <w:rPr>
          <w:rFonts w:asciiTheme="majorHAnsi" w:hAnsiTheme="majorHAnsi" w:cstheme="majorHAnsi"/>
          <w:sz w:val="24"/>
          <w:szCs w:val="24"/>
          <w:lang w:val="ro-MD"/>
        </w:rPr>
        <w:t xml:space="preserve"> este expus erorilor.</w:t>
      </w:r>
    </w:p>
    <w:p w:rsidR="00956A69" w:rsidRPr="00401691" w:rsidRDefault="00956A69" w:rsidP="001E37F9">
      <w:pPr>
        <w:pStyle w:val="ListParagraph"/>
        <w:numPr>
          <w:ilvl w:val="0"/>
          <w:numId w:val="44"/>
        </w:numPr>
        <w:tabs>
          <w:tab w:val="left" w:pos="180"/>
        </w:tabs>
        <w:spacing w:after="120" w:line="276" w:lineRule="auto"/>
        <w:ind w:left="0" w:firstLine="0"/>
        <w:jc w:val="both"/>
        <w:rPr>
          <w:rFonts w:asciiTheme="majorHAnsi" w:hAnsiTheme="majorHAnsi" w:cstheme="majorHAnsi"/>
          <w:noProof/>
          <w:lang w:val="ro-MD"/>
        </w:rPr>
      </w:pPr>
      <w:r w:rsidRPr="00401691">
        <w:rPr>
          <w:rFonts w:asciiTheme="majorHAnsi" w:hAnsiTheme="majorHAnsi" w:cstheme="majorHAnsi"/>
          <w:sz w:val="24"/>
          <w:szCs w:val="24"/>
          <w:lang w:val="ro-MD"/>
        </w:rPr>
        <w:t>Potrivit</w:t>
      </w:r>
      <w:r w:rsidRPr="00401691">
        <w:rPr>
          <w:rFonts w:asciiTheme="majorHAnsi" w:eastAsia="Times New Roman" w:hAnsiTheme="majorHAnsi" w:cstheme="majorHAnsi"/>
          <w:sz w:val="24"/>
          <w:szCs w:val="24"/>
          <w:lang w:val="ro-MD" w:eastAsia="ru-RU"/>
        </w:rPr>
        <w:t xml:space="preserve"> dărilor de seamă cu privire la rezultatele activității de control fiscal, în anul 2019, SFS a efectuat în total 48346 </w:t>
      </w:r>
      <w:r w:rsidR="000D57DD">
        <w:rPr>
          <w:rFonts w:asciiTheme="majorHAnsi" w:eastAsia="Times New Roman" w:hAnsiTheme="majorHAnsi" w:cstheme="majorHAnsi"/>
          <w:sz w:val="24"/>
          <w:szCs w:val="24"/>
          <w:lang w:val="ro-MD" w:eastAsia="ru-RU"/>
        </w:rPr>
        <w:t xml:space="preserve">de </w:t>
      </w:r>
      <w:r w:rsidRPr="00401691">
        <w:rPr>
          <w:rFonts w:asciiTheme="majorHAnsi" w:eastAsia="Times New Roman" w:hAnsiTheme="majorHAnsi" w:cstheme="majorHAnsi"/>
          <w:sz w:val="24"/>
          <w:szCs w:val="24"/>
          <w:lang w:val="ro-MD" w:eastAsia="ru-RU"/>
        </w:rPr>
        <w:t xml:space="preserve">controale, sau numărul acestora majorându-se semnificativ comparativ cu anii 2017-2018, respectiv, cu 10032 și 21462 </w:t>
      </w:r>
      <w:r w:rsidR="000D57DD">
        <w:rPr>
          <w:rFonts w:asciiTheme="majorHAnsi" w:eastAsia="Times New Roman" w:hAnsiTheme="majorHAnsi" w:cstheme="majorHAnsi"/>
          <w:sz w:val="24"/>
          <w:szCs w:val="24"/>
          <w:lang w:val="ro-MD" w:eastAsia="ru-RU"/>
        </w:rPr>
        <w:t xml:space="preserve">de </w:t>
      </w:r>
      <w:r w:rsidRPr="00401691">
        <w:rPr>
          <w:rFonts w:asciiTheme="majorHAnsi" w:eastAsia="Times New Roman" w:hAnsiTheme="majorHAnsi" w:cstheme="majorHAnsi"/>
          <w:sz w:val="24"/>
          <w:szCs w:val="24"/>
          <w:lang w:val="ro-MD" w:eastAsia="ru-RU"/>
        </w:rPr>
        <w:t xml:space="preserve">controale. Creșterea numărului de controale în anul 2019 se datorează efectuării unui număr mai mare </w:t>
      </w:r>
      <w:r w:rsidR="00063E96">
        <w:rPr>
          <w:rFonts w:asciiTheme="majorHAnsi" w:eastAsia="Times New Roman" w:hAnsiTheme="majorHAnsi" w:cstheme="majorHAnsi"/>
          <w:sz w:val="24"/>
          <w:szCs w:val="24"/>
          <w:lang w:val="ro-MD" w:eastAsia="ru-RU"/>
        </w:rPr>
        <w:t>de controa</w:t>
      </w:r>
      <w:r w:rsidR="000D57DD">
        <w:rPr>
          <w:rFonts w:asciiTheme="majorHAnsi" w:eastAsia="Times New Roman" w:hAnsiTheme="majorHAnsi" w:cstheme="majorHAnsi"/>
          <w:sz w:val="24"/>
          <w:szCs w:val="24"/>
          <w:lang w:val="ro-MD" w:eastAsia="ru-RU"/>
        </w:rPr>
        <w:t>l</w:t>
      </w:r>
      <w:r w:rsidR="00063E96">
        <w:rPr>
          <w:rFonts w:asciiTheme="majorHAnsi" w:eastAsia="Times New Roman" w:hAnsiTheme="majorHAnsi" w:cstheme="majorHAnsi"/>
          <w:sz w:val="24"/>
          <w:szCs w:val="24"/>
          <w:lang w:val="ro-MD" w:eastAsia="ru-RU"/>
        </w:rPr>
        <w:t>e camerale</w:t>
      </w:r>
      <w:r w:rsidR="00DE0BEE" w:rsidRPr="00401691">
        <w:rPr>
          <w:rFonts w:asciiTheme="majorHAnsi" w:eastAsia="Times New Roman" w:hAnsiTheme="majorHAnsi" w:cstheme="majorHAnsi"/>
          <w:sz w:val="24"/>
          <w:szCs w:val="24"/>
          <w:lang w:val="ro-MD" w:eastAsia="ru-RU"/>
        </w:rPr>
        <w:t xml:space="preserve"> la contribuabili</w:t>
      </w:r>
      <w:r w:rsidR="00457C12">
        <w:rPr>
          <w:rFonts w:asciiTheme="majorHAnsi" w:eastAsia="Times New Roman" w:hAnsiTheme="majorHAnsi" w:cstheme="majorHAnsi"/>
          <w:sz w:val="24"/>
          <w:szCs w:val="24"/>
          <w:lang w:val="ro-MD" w:eastAsia="ru-RU"/>
        </w:rPr>
        <w:t>,</w:t>
      </w:r>
      <w:r w:rsidR="00DE0BEE" w:rsidRPr="00401691">
        <w:rPr>
          <w:rFonts w:asciiTheme="majorHAnsi" w:eastAsia="Times New Roman" w:hAnsiTheme="majorHAnsi" w:cstheme="majorHAnsi"/>
          <w:sz w:val="24"/>
          <w:szCs w:val="24"/>
          <w:lang w:val="ro-MD" w:eastAsia="ru-RU"/>
        </w:rPr>
        <w:t xml:space="preserve"> fără vizite la </w:t>
      </w:r>
      <w:r w:rsidR="00DE0BEE" w:rsidRPr="00401691">
        <w:rPr>
          <w:rFonts w:asciiTheme="majorHAnsi" w:eastAsia="Times New Roman" w:hAnsiTheme="majorHAnsi" w:cstheme="majorHAnsi"/>
          <w:sz w:val="24"/>
          <w:szCs w:val="24"/>
          <w:lang w:val="ro-MD" w:eastAsia="ru-RU"/>
        </w:rPr>
        <w:lastRenderedPageBreak/>
        <w:t>fața locului.</w:t>
      </w:r>
      <w:r w:rsidR="00B4262E">
        <w:rPr>
          <w:rFonts w:asciiTheme="majorHAnsi" w:eastAsia="Times New Roman" w:hAnsiTheme="majorHAnsi" w:cstheme="majorHAnsi"/>
          <w:sz w:val="24"/>
          <w:szCs w:val="24"/>
          <w:lang w:val="ro-MD" w:eastAsia="ru-RU"/>
        </w:rPr>
        <w:t xml:space="preserve"> Tipurile de controale fiscale e</w:t>
      </w:r>
      <w:r w:rsidR="000D57DD">
        <w:rPr>
          <w:rFonts w:asciiTheme="majorHAnsi" w:eastAsia="Times New Roman" w:hAnsiTheme="majorHAnsi" w:cstheme="majorHAnsi"/>
          <w:sz w:val="24"/>
          <w:szCs w:val="24"/>
          <w:lang w:val="ro-MD" w:eastAsia="ru-RU"/>
        </w:rPr>
        <w:t>fectu</w:t>
      </w:r>
      <w:r w:rsidR="00B4262E">
        <w:rPr>
          <w:rFonts w:asciiTheme="majorHAnsi" w:eastAsia="Times New Roman" w:hAnsiTheme="majorHAnsi" w:cstheme="majorHAnsi"/>
          <w:sz w:val="24"/>
          <w:szCs w:val="24"/>
          <w:lang w:val="ro-MD" w:eastAsia="ru-RU"/>
        </w:rPr>
        <w:t xml:space="preserve">ate de SFS </w:t>
      </w:r>
      <w:r w:rsidR="000D57DD">
        <w:rPr>
          <w:rFonts w:asciiTheme="majorHAnsi" w:eastAsia="Times New Roman" w:hAnsiTheme="majorHAnsi" w:cstheme="majorHAnsi"/>
          <w:sz w:val="24"/>
          <w:szCs w:val="24"/>
          <w:lang w:val="ro-MD" w:eastAsia="ru-RU"/>
        </w:rPr>
        <w:t xml:space="preserve">se prezintă </w:t>
      </w:r>
      <w:r w:rsidR="00B4262E">
        <w:rPr>
          <w:rFonts w:asciiTheme="majorHAnsi" w:eastAsia="Times New Roman" w:hAnsiTheme="majorHAnsi" w:cstheme="majorHAnsi"/>
          <w:sz w:val="24"/>
          <w:szCs w:val="24"/>
          <w:lang w:val="ro-MD" w:eastAsia="ru-RU"/>
        </w:rPr>
        <w:t>structurat în Anexa nr. 8.</w:t>
      </w:r>
    </w:p>
    <w:p w:rsidR="00956A69" w:rsidRPr="00401691" w:rsidRDefault="00956A69" w:rsidP="00844145">
      <w:pPr>
        <w:spacing w:before="120" w:after="120" w:line="276" w:lineRule="auto"/>
        <w:jc w:val="both"/>
        <w:rPr>
          <w:rFonts w:asciiTheme="majorHAnsi" w:hAnsiTheme="majorHAnsi" w:cstheme="majorHAnsi"/>
          <w:sz w:val="24"/>
          <w:szCs w:val="24"/>
          <w:lang w:val="ro-MD"/>
        </w:rPr>
      </w:pPr>
      <w:r w:rsidRPr="00401691">
        <w:rPr>
          <w:rFonts w:asciiTheme="majorHAnsi" w:eastAsia="Times New Roman" w:hAnsiTheme="majorHAnsi" w:cstheme="majorHAnsi"/>
          <w:sz w:val="24"/>
          <w:szCs w:val="24"/>
          <w:lang w:val="ro-MD" w:eastAsia="ru-RU"/>
        </w:rPr>
        <w:t xml:space="preserve">În cadrul a 27770 </w:t>
      </w:r>
      <w:r w:rsidR="000D57DD">
        <w:rPr>
          <w:rFonts w:asciiTheme="majorHAnsi" w:eastAsia="Times New Roman" w:hAnsiTheme="majorHAnsi" w:cstheme="majorHAnsi"/>
          <w:sz w:val="24"/>
          <w:szCs w:val="24"/>
          <w:lang w:val="ro-MD" w:eastAsia="ru-RU"/>
        </w:rPr>
        <w:t xml:space="preserve">de </w:t>
      </w:r>
      <w:r w:rsidRPr="00401691">
        <w:rPr>
          <w:rFonts w:asciiTheme="majorHAnsi" w:eastAsia="Times New Roman" w:hAnsiTheme="majorHAnsi" w:cstheme="majorHAnsi"/>
          <w:sz w:val="24"/>
          <w:szCs w:val="24"/>
          <w:lang w:val="ro-MD" w:eastAsia="ru-RU"/>
        </w:rPr>
        <w:t>controale fiscale au fost depistate încălcări, astfel p</w:t>
      </w:r>
      <w:r w:rsidRPr="00401691">
        <w:rPr>
          <w:rFonts w:asciiTheme="majorHAnsi" w:hAnsiTheme="majorHAnsi" w:cstheme="majorHAnsi"/>
          <w:sz w:val="24"/>
          <w:szCs w:val="24"/>
          <w:lang w:val="ro-MD"/>
        </w:rPr>
        <w:t>onderea controalelor rezultative a constituit 57,</w:t>
      </w:r>
      <w:r w:rsidR="00DE0BEE" w:rsidRPr="00401691">
        <w:rPr>
          <w:rFonts w:asciiTheme="majorHAnsi" w:hAnsiTheme="majorHAnsi" w:cstheme="majorHAnsi"/>
          <w:sz w:val="24"/>
          <w:szCs w:val="24"/>
          <w:lang w:val="ro-MD"/>
        </w:rPr>
        <w:t>4</w:t>
      </w:r>
      <w:r w:rsidRPr="00401691">
        <w:rPr>
          <w:rFonts w:asciiTheme="majorHAnsi" w:hAnsiTheme="majorHAnsi" w:cstheme="majorHAnsi"/>
          <w:sz w:val="24"/>
          <w:szCs w:val="24"/>
          <w:lang w:val="ro-MD"/>
        </w:rPr>
        <w:t xml:space="preserve">% </w:t>
      </w:r>
      <w:r w:rsidR="000D57DD">
        <w:rPr>
          <w:rFonts w:asciiTheme="majorHAnsi" w:hAnsiTheme="majorHAnsi" w:cstheme="majorHAnsi"/>
          <w:sz w:val="24"/>
          <w:szCs w:val="24"/>
          <w:lang w:val="ro-MD"/>
        </w:rPr>
        <w:t xml:space="preserve">. </w:t>
      </w:r>
      <w:r w:rsidRPr="00401691">
        <w:rPr>
          <w:rFonts w:asciiTheme="majorHAnsi" w:hAnsiTheme="majorHAnsi" w:cstheme="majorHAnsi"/>
          <w:sz w:val="24"/>
          <w:szCs w:val="24"/>
          <w:lang w:val="ro-MD"/>
        </w:rPr>
        <w:t>Comparativ cu anul 2018</w:t>
      </w:r>
      <w:r w:rsidR="000D57DD">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nivelul </w:t>
      </w:r>
      <w:proofErr w:type="spellStart"/>
      <w:r w:rsidRPr="00401691">
        <w:rPr>
          <w:rFonts w:asciiTheme="majorHAnsi" w:hAnsiTheme="majorHAnsi" w:cstheme="majorHAnsi"/>
          <w:sz w:val="24"/>
          <w:szCs w:val="24"/>
          <w:lang w:val="ro-MD"/>
        </w:rPr>
        <w:t>rezultativității</w:t>
      </w:r>
      <w:proofErr w:type="spellEnd"/>
      <w:r w:rsidRPr="00401691">
        <w:rPr>
          <w:rFonts w:asciiTheme="majorHAnsi" w:hAnsiTheme="majorHAnsi" w:cstheme="majorHAnsi"/>
          <w:sz w:val="24"/>
          <w:szCs w:val="24"/>
          <w:lang w:val="ro-MD"/>
        </w:rPr>
        <w:t xml:space="preserve"> a crescut cu 4,3 </w:t>
      </w:r>
      <w:proofErr w:type="spellStart"/>
      <w:r w:rsidRPr="00E63078">
        <w:rPr>
          <w:rFonts w:asciiTheme="majorHAnsi" w:hAnsiTheme="majorHAnsi" w:cstheme="majorHAnsi"/>
          <w:sz w:val="24"/>
          <w:szCs w:val="24"/>
          <w:lang w:val="ro-MD"/>
        </w:rPr>
        <w:t>p.p</w:t>
      </w:r>
      <w:r w:rsidR="005C72AE" w:rsidRPr="00E63078">
        <w:rPr>
          <w:rFonts w:asciiTheme="majorHAnsi" w:hAnsiTheme="majorHAnsi" w:cstheme="majorHAnsi"/>
          <w:sz w:val="24"/>
          <w:szCs w:val="24"/>
          <w:lang w:val="ro-MD"/>
        </w:rPr>
        <w:t>.</w:t>
      </w:r>
      <w:proofErr w:type="spellEnd"/>
      <w:r w:rsidRPr="00401691">
        <w:rPr>
          <w:rFonts w:asciiTheme="majorHAnsi" w:hAnsiTheme="majorHAnsi" w:cstheme="majorHAnsi"/>
          <w:sz w:val="24"/>
          <w:szCs w:val="24"/>
          <w:lang w:val="ro-MD"/>
        </w:rPr>
        <w:t xml:space="preserve"> și s-a diminuat cu 3,3 </w:t>
      </w:r>
      <w:proofErr w:type="spellStart"/>
      <w:r w:rsidRPr="00401691">
        <w:rPr>
          <w:rFonts w:asciiTheme="majorHAnsi" w:hAnsiTheme="majorHAnsi" w:cstheme="majorHAnsi"/>
          <w:sz w:val="24"/>
          <w:szCs w:val="24"/>
          <w:lang w:val="ro-MD"/>
        </w:rPr>
        <w:t>p.p</w:t>
      </w:r>
      <w:r w:rsidR="005C72AE">
        <w:rPr>
          <w:rFonts w:asciiTheme="majorHAnsi" w:hAnsiTheme="majorHAnsi" w:cstheme="majorHAnsi"/>
          <w:sz w:val="24"/>
          <w:szCs w:val="24"/>
          <w:lang w:val="ro-MD"/>
        </w:rPr>
        <w:t>.</w:t>
      </w:r>
      <w:proofErr w:type="spellEnd"/>
      <w:r w:rsidRPr="00401691">
        <w:rPr>
          <w:rFonts w:asciiTheme="majorHAnsi" w:hAnsiTheme="majorHAnsi" w:cstheme="majorHAnsi"/>
          <w:sz w:val="24"/>
          <w:szCs w:val="24"/>
          <w:lang w:val="ro-MD"/>
        </w:rPr>
        <w:t xml:space="preserve"> față de anul 2017 (60,7%). Este </w:t>
      </w:r>
      <w:r w:rsidR="000D57DD">
        <w:rPr>
          <w:rFonts w:asciiTheme="majorHAnsi" w:hAnsiTheme="majorHAnsi" w:cstheme="majorHAnsi"/>
          <w:sz w:val="24"/>
          <w:szCs w:val="24"/>
          <w:lang w:val="ro-MD"/>
        </w:rPr>
        <w:t xml:space="preserve">necesar </w:t>
      </w:r>
      <w:r w:rsidRPr="00401691">
        <w:rPr>
          <w:rFonts w:asciiTheme="majorHAnsi" w:hAnsiTheme="majorHAnsi" w:cstheme="majorHAnsi"/>
          <w:sz w:val="24"/>
          <w:szCs w:val="24"/>
          <w:lang w:val="ro-MD"/>
        </w:rPr>
        <w:t xml:space="preserve">de menționat că nivelul </w:t>
      </w:r>
      <w:proofErr w:type="spellStart"/>
      <w:r w:rsidRPr="00401691">
        <w:rPr>
          <w:rFonts w:asciiTheme="majorHAnsi" w:hAnsiTheme="majorHAnsi" w:cstheme="majorHAnsi"/>
          <w:sz w:val="24"/>
          <w:szCs w:val="24"/>
          <w:lang w:val="ro-MD"/>
        </w:rPr>
        <w:t>rezultativității</w:t>
      </w:r>
      <w:proofErr w:type="spellEnd"/>
      <w:r w:rsidRPr="00401691">
        <w:rPr>
          <w:rFonts w:asciiTheme="majorHAnsi" w:hAnsiTheme="majorHAnsi" w:cstheme="majorHAnsi"/>
          <w:sz w:val="24"/>
          <w:szCs w:val="24"/>
          <w:lang w:val="ro-MD"/>
        </w:rPr>
        <w:t xml:space="preserve"> pentru controalele planificate a fost de 49,3%, </w:t>
      </w:r>
      <w:r w:rsidR="005C72AE">
        <w:rPr>
          <w:rFonts w:asciiTheme="majorHAnsi" w:hAnsiTheme="majorHAnsi" w:cstheme="majorHAnsi"/>
          <w:sz w:val="24"/>
          <w:szCs w:val="24"/>
          <w:lang w:val="ro-MD"/>
        </w:rPr>
        <w:t>sau</w:t>
      </w:r>
      <w:r w:rsidRPr="00401691">
        <w:rPr>
          <w:rFonts w:asciiTheme="majorHAnsi" w:hAnsiTheme="majorHAnsi" w:cstheme="majorHAnsi"/>
          <w:sz w:val="24"/>
          <w:szCs w:val="24"/>
          <w:lang w:val="ro-MD"/>
        </w:rPr>
        <w:t xml:space="preserve"> cu 8,1% </w:t>
      </w:r>
      <w:proofErr w:type="spellStart"/>
      <w:r w:rsidRPr="00401691">
        <w:rPr>
          <w:rFonts w:asciiTheme="majorHAnsi" w:hAnsiTheme="majorHAnsi" w:cstheme="majorHAnsi"/>
          <w:sz w:val="24"/>
          <w:szCs w:val="24"/>
          <w:lang w:val="ro-MD"/>
        </w:rPr>
        <w:t>p.p</w:t>
      </w:r>
      <w:r w:rsidR="005C72AE">
        <w:rPr>
          <w:rFonts w:asciiTheme="majorHAnsi" w:hAnsiTheme="majorHAnsi" w:cstheme="majorHAnsi"/>
          <w:sz w:val="24"/>
          <w:szCs w:val="24"/>
          <w:lang w:val="ro-MD"/>
        </w:rPr>
        <w:t>.</w:t>
      </w:r>
      <w:proofErr w:type="spellEnd"/>
      <w:r w:rsidRPr="00401691">
        <w:rPr>
          <w:rFonts w:asciiTheme="majorHAnsi" w:hAnsiTheme="majorHAnsi" w:cstheme="majorHAnsi"/>
          <w:sz w:val="24"/>
          <w:szCs w:val="24"/>
          <w:lang w:val="ro-MD"/>
        </w:rPr>
        <w:t xml:space="preserve"> mai puțin decât procentul mediu înregistrat, cu toate că aceste controale s-au planificat în baza riscurilor de conformare. Cât privește </w:t>
      </w:r>
      <w:proofErr w:type="spellStart"/>
      <w:r w:rsidRPr="00401691">
        <w:rPr>
          <w:rFonts w:asciiTheme="majorHAnsi" w:hAnsiTheme="majorHAnsi" w:cstheme="majorHAnsi"/>
          <w:sz w:val="24"/>
          <w:szCs w:val="24"/>
          <w:lang w:val="ro-MD"/>
        </w:rPr>
        <w:t>rezultativitatea</w:t>
      </w:r>
      <w:proofErr w:type="spellEnd"/>
      <w:r w:rsidRPr="00401691">
        <w:rPr>
          <w:rFonts w:asciiTheme="majorHAnsi" w:hAnsiTheme="majorHAnsi" w:cstheme="majorHAnsi"/>
          <w:sz w:val="24"/>
          <w:szCs w:val="24"/>
          <w:lang w:val="ro-MD"/>
        </w:rPr>
        <w:t xml:space="preserve"> controalelor </w:t>
      </w:r>
      <w:r w:rsidR="00457C12">
        <w:rPr>
          <w:rFonts w:asciiTheme="majorHAnsi" w:hAnsiTheme="majorHAnsi" w:cstheme="majorHAnsi"/>
          <w:sz w:val="24"/>
          <w:szCs w:val="24"/>
          <w:lang w:val="ro-MD"/>
        </w:rPr>
        <w:t>operative</w:t>
      </w:r>
      <w:r w:rsidR="00D7409F">
        <w:rPr>
          <w:rFonts w:asciiTheme="majorHAnsi" w:hAnsiTheme="majorHAnsi" w:cstheme="majorHAnsi"/>
          <w:sz w:val="24"/>
          <w:szCs w:val="24"/>
          <w:lang w:val="ro-MD"/>
        </w:rPr>
        <w:t>, aceasta</w:t>
      </w:r>
      <w:r w:rsidRPr="00401691">
        <w:rPr>
          <w:rFonts w:asciiTheme="majorHAnsi" w:hAnsiTheme="majorHAnsi" w:cstheme="majorHAnsi"/>
          <w:sz w:val="24"/>
          <w:szCs w:val="24"/>
          <w:lang w:val="ro-MD"/>
        </w:rPr>
        <w:t xml:space="preserve"> a </w:t>
      </w:r>
      <w:r w:rsidR="00D7409F">
        <w:rPr>
          <w:rFonts w:asciiTheme="majorHAnsi" w:hAnsiTheme="majorHAnsi" w:cstheme="majorHAnsi"/>
          <w:sz w:val="24"/>
          <w:szCs w:val="24"/>
          <w:lang w:val="ro-MD"/>
        </w:rPr>
        <w:t>constituit</w:t>
      </w:r>
      <w:r w:rsidRPr="00401691">
        <w:rPr>
          <w:rFonts w:asciiTheme="majorHAnsi" w:hAnsiTheme="majorHAnsi" w:cstheme="majorHAnsi"/>
          <w:sz w:val="24"/>
          <w:szCs w:val="24"/>
          <w:lang w:val="ro-MD"/>
        </w:rPr>
        <w:t xml:space="preserve"> 61,8%, </w:t>
      </w:r>
      <w:r w:rsidRPr="00481C66">
        <w:rPr>
          <w:rFonts w:asciiTheme="majorHAnsi" w:hAnsiTheme="majorHAnsi" w:cstheme="majorHAnsi"/>
          <w:sz w:val="24"/>
          <w:szCs w:val="24"/>
          <w:lang w:val="ro-MD"/>
        </w:rPr>
        <w:t>relatând un impact mai mare din activitatea de control fiscal.</w:t>
      </w:r>
      <w:r w:rsidRPr="00401691">
        <w:rPr>
          <w:rFonts w:asciiTheme="majorHAnsi" w:hAnsiTheme="majorHAnsi" w:cstheme="majorHAnsi"/>
          <w:sz w:val="24"/>
          <w:szCs w:val="24"/>
          <w:lang w:val="ro-MD"/>
        </w:rPr>
        <w:t xml:space="preserve"> </w:t>
      </w:r>
    </w:p>
    <w:p w:rsidR="00956A69" w:rsidRPr="00401691" w:rsidRDefault="00956A69" w:rsidP="00844145">
      <w:pPr>
        <w:spacing w:after="0" w:line="276" w:lineRule="auto"/>
        <w:jc w:val="both"/>
        <w:rPr>
          <w:rFonts w:asciiTheme="majorHAnsi" w:hAnsiTheme="majorHAnsi" w:cstheme="majorHAnsi"/>
          <w:sz w:val="24"/>
          <w:szCs w:val="24"/>
          <w:lang w:val="ro-MD"/>
        </w:rPr>
      </w:pPr>
      <w:r w:rsidRPr="00401691">
        <w:rPr>
          <w:rFonts w:asciiTheme="majorHAnsi" w:eastAsia="Times New Roman" w:hAnsiTheme="majorHAnsi" w:cstheme="majorHAnsi"/>
          <w:sz w:val="24"/>
          <w:szCs w:val="24"/>
          <w:lang w:val="ro-MD" w:eastAsia="ru-RU"/>
        </w:rPr>
        <w:t>Deși numărul controalelor fiscale realizate de SFS a crescut semnificativ, precum și</w:t>
      </w:r>
      <w:r w:rsidR="00457C12">
        <w:rPr>
          <w:rFonts w:asciiTheme="majorHAnsi" w:eastAsia="Times New Roman" w:hAnsiTheme="majorHAnsi" w:cstheme="majorHAnsi"/>
          <w:sz w:val="24"/>
          <w:szCs w:val="24"/>
          <w:lang w:val="ro-MD" w:eastAsia="ru-RU"/>
        </w:rPr>
        <w:t xml:space="preserve"> per ansamblu</w:t>
      </w:r>
      <w:r w:rsidRPr="00401691">
        <w:rPr>
          <w:rFonts w:asciiTheme="majorHAnsi" w:eastAsia="Times New Roman" w:hAnsiTheme="majorHAnsi" w:cstheme="majorHAnsi"/>
          <w:sz w:val="24"/>
          <w:szCs w:val="24"/>
          <w:lang w:val="ro-MD" w:eastAsia="ru-RU"/>
        </w:rPr>
        <w:t xml:space="preserve"> </w:t>
      </w:r>
      <w:proofErr w:type="spellStart"/>
      <w:r w:rsidRPr="00401691">
        <w:rPr>
          <w:rFonts w:asciiTheme="majorHAnsi" w:eastAsia="Times New Roman" w:hAnsiTheme="majorHAnsi" w:cstheme="majorHAnsi"/>
          <w:sz w:val="24"/>
          <w:szCs w:val="24"/>
          <w:lang w:val="ro-MD" w:eastAsia="ru-RU"/>
        </w:rPr>
        <w:t>rezultativitatea</w:t>
      </w:r>
      <w:proofErr w:type="spellEnd"/>
      <w:r w:rsidRPr="00401691">
        <w:rPr>
          <w:rFonts w:asciiTheme="majorHAnsi" w:eastAsia="Times New Roman" w:hAnsiTheme="majorHAnsi" w:cstheme="majorHAnsi"/>
          <w:sz w:val="24"/>
          <w:szCs w:val="24"/>
          <w:lang w:val="ro-MD" w:eastAsia="ru-RU"/>
        </w:rPr>
        <w:t xml:space="preserve"> acestora, suma obligațiilor fiscale calculate suplimentar în cadrul controalelor fiscale, în dinamică, s-a diminuat considerabil. Astfel, în anul 2019, s-au calculat suplimentar obligații fiscale în sumă de 539,8 mil. lei, sau valoarea acestora diminuându-se</w:t>
      </w:r>
      <w:r w:rsidR="00105AFD">
        <w:rPr>
          <w:rFonts w:asciiTheme="majorHAnsi" w:eastAsia="Times New Roman" w:hAnsiTheme="majorHAnsi" w:cstheme="majorHAnsi"/>
          <w:sz w:val="24"/>
          <w:szCs w:val="24"/>
          <w:lang w:val="ro-MD" w:eastAsia="ru-RU"/>
        </w:rPr>
        <w:t>,</w:t>
      </w:r>
      <w:r w:rsidRPr="00401691">
        <w:rPr>
          <w:rFonts w:asciiTheme="majorHAnsi" w:eastAsia="Times New Roman" w:hAnsiTheme="majorHAnsi" w:cstheme="majorHAnsi"/>
          <w:sz w:val="24"/>
          <w:szCs w:val="24"/>
          <w:lang w:val="ro-MD" w:eastAsia="ru-RU"/>
        </w:rPr>
        <w:t xml:space="preserve"> comparativ cu</w:t>
      </w:r>
      <w:r w:rsidR="00105AFD">
        <w:rPr>
          <w:rFonts w:asciiTheme="majorHAnsi" w:eastAsia="Times New Roman" w:hAnsiTheme="majorHAnsi" w:cstheme="majorHAnsi"/>
          <w:sz w:val="24"/>
          <w:szCs w:val="24"/>
          <w:lang w:val="ro-MD" w:eastAsia="ru-RU"/>
        </w:rPr>
        <w:t xml:space="preserve"> </w:t>
      </w:r>
      <w:r w:rsidRPr="00401691">
        <w:rPr>
          <w:rFonts w:asciiTheme="majorHAnsi" w:eastAsia="Times New Roman" w:hAnsiTheme="majorHAnsi" w:cstheme="majorHAnsi"/>
          <w:sz w:val="24"/>
          <w:szCs w:val="24"/>
          <w:lang w:val="ro-MD" w:eastAsia="ru-RU"/>
        </w:rPr>
        <w:t>anul 2018</w:t>
      </w:r>
      <w:r w:rsidR="00105AFD">
        <w:rPr>
          <w:rFonts w:asciiTheme="majorHAnsi" w:eastAsia="Times New Roman" w:hAnsiTheme="majorHAnsi" w:cstheme="majorHAnsi"/>
          <w:sz w:val="24"/>
          <w:szCs w:val="24"/>
          <w:lang w:val="ro-MD" w:eastAsia="ru-RU"/>
        </w:rPr>
        <w:t>,</w:t>
      </w:r>
      <w:r w:rsidRPr="00401691">
        <w:rPr>
          <w:rFonts w:asciiTheme="majorHAnsi" w:eastAsia="Times New Roman" w:hAnsiTheme="majorHAnsi" w:cstheme="majorHAnsi"/>
          <w:sz w:val="24"/>
          <w:szCs w:val="24"/>
          <w:lang w:val="ro-MD" w:eastAsia="ru-RU"/>
        </w:rPr>
        <w:t xml:space="preserve"> cu 42,7 mil.lei, iar față de anul 2017 – </w:t>
      </w:r>
      <w:r w:rsidR="00105AFD" w:rsidRPr="00481C66">
        <w:rPr>
          <w:rFonts w:asciiTheme="majorHAnsi" w:eastAsia="Times New Roman" w:hAnsiTheme="majorHAnsi" w:cstheme="majorHAnsi"/>
          <w:sz w:val="24"/>
          <w:szCs w:val="24"/>
          <w:lang w:val="ro-MD" w:eastAsia="ru-RU"/>
        </w:rPr>
        <w:t xml:space="preserve">cu </w:t>
      </w:r>
      <w:r w:rsidRPr="00481C66">
        <w:rPr>
          <w:rFonts w:asciiTheme="majorHAnsi" w:eastAsia="Times New Roman" w:hAnsiTheme="majorHAnsi" w:cstheme="majorHAnsi"/>
          <w:sz w:val="24"/>
          <w:szCs w:val="24"/>
          <w:lang w:val="ro-MD" w:eastAsia="ru-RU"/>
        </w:rPr>
        <w:t>2357,8 mil. lei.</w:t>
      </w:r>
      <w:r w:rsidRPr="00401691">
        <w:rPr>
          <w:rFonts w:asciiTheme="majorHAnsi" w:eastAsia="Times New Roman" w:hAnsiTheme="majorHAnsi" w:cstheme="majorHAnsi"/>
          <w:sz w:val="24"/>
          <w:szCs w:val="24"/>
          <w:lang w:val="ro-MD" w:eastAsia="ru-RU"/>
        </w:rPr>
        <w:t xml:space="preserve"> </w:t>
      </w:r>
    </w:p>
    <w:p w:rsidR="002D3B7E" w:rsidRDefault="00956A69" w:rsidP="00844145">
      <w:pPr>
        <w:pStyle w:val="ListParagraph"/>
        <w:tabs>
          <w:tab w:val="left" w:pos="0"/>
        </w:tabs>
        <w:spacing w:after="120" w:line="276" w:lineRule="auto"/>
        <w:ind w:left="0" w:hanging="187"/>
        <w:contextualSpacing w:val="0"/>
        <w:jc w:val="both"/>
        <w:rPr>
          <w:rFonts w:asciiTheme="majorHAnsi" w:hAnsiTheme="majorHAnsi" w:cstheme="majorHAnsi"/>
          <w:sz w:val="24"/>
          <w:szCs w:val="24"/>
          <w:lang w:val="ro-MD"/>
        </w:rPr>
      </w:pPr>
      <w:r w:rsidRPr="00401691">
        <w:rPr>
          <w:rFonts w:asciiTheme="majorHAnsi" w:hAnsiTheme="majorHAnsi" w:cstheme="majorHAnsi"/>
          <w:sz w:val="24"/>
          <w:szCs w:val="24"/>
          <w:lang w:val="ro-MD"/>
        </w:rPr>
        <w:tab/>
        <w:t>Auditul relevă nivel</w:t>
      </w:r>
      <w:r w:rsidR="00105AFD">
        <w:rPr>
          <w:rFonts w:asciiTheme="majorHAnsi" w:hAnsiTheme="majorHAnsi" w:cstheme="majorHAnsi"/>
          <w:sz w:val="24"/>
          <w:szCs w:val="24"/>
          <w:lang w:val="ro-MD"/>
        </w:rPr>
        <w:t>ul</w:t>
      </w:r>
      <w:r w:rsidRPr="00401691">
        <w:rPr>
          <w:rFonts w:asciiTheme="majorHAnsi" w:hAnsiTheme="majorHAnsi" w:cstheme="majorHAnsi"/>
          <w:sz w:val="24"/>
          <w:szCs w:val="24"/>
          <w:lang w:val="ro-MD"/>
        </w:rPr>
        <w:t xml:space="preserve"> redus de încasare la buget a sumelor calculate suplimentar în rezultatul controalelor</w:t>
      </w:r>
      <w:r w:rsidR="002D3B7E" w:rsidRPr="00401691">
        <w:rPr>
          <w:rFonts w:asciiTheme="majorHAnsi" w:hAnsiTheme="majorHAnsi" w:cstheme="majorHAnsi"/>
          <w:sz w:val="24"/>
          <w:szCs w:val="24"/>
          <w:lang w:val="ro-MD"/>
        </w:rPr>
        <w:t>, datele</w:t>
      </w:r>
      <w:r w:rsidR="005E6A4B">
        <w:rPr>
          <w:rFonts w:asciiTheme="majorHAnsi" w:hAnsiTheme="majorHAnsi" w:cstheme="majorHAnsi"/>
          <w:sz w:val="24"/>
          <w:szCs w:val="24"/>
          <w:lang w:val="ro-MD"/>
        </w:rPr>
        <w:t xml:space="preserve"> </w:t>
      </w:r>
      <w:r w:rsidR="00105AFD">
        <w:rPr>
          <w:rFonts w:asciiTheme="majorHAnsi" w:hAnsiTheme="majorHAnsi" w:cstheme="majorHAnsi"/>
          <w:sz w:val="24"/>
          <w:szCs w:val="24"/>
          <w:lang w:val="ro-MD"/>
        </w:rPr>
        <w:t xml:space="preserve">în acest context </w:t>
      </w:r>
      <w:r w:rsidR="005E6A4B">
        <w:rPr>
          <w:rFonts w:asciiTheme="majorHAnsi" w:hAnsiTheme="majorHAnsi" w:cstheme="majorHAnsi"/>
          <w:sz w:val="24"/>
          <w:szCs w:val="24"/>
          <w:lang w:val="ro-MD"/>
        </w:rPr>
        <w:t xml:space="preserve">fiind expuse în </w:t>
      </w:r>
      <w:r w:rsidR="00105AFD">
        <w:rPr>
          <w:rFonts w:asciiTheme="majorHAnsi" w:hAnsiTheme="majorHAnsi" w:cstheme="majorHAnsi"/>
          <w:sz w:val="24"/>
          <w:szCs w:val="24"/>
          <w:lang w:val="ro-MD"/>
        </w:rPr>
        <w:t>Di</w:t>
      </w:r>
      <w:r w:rsidR="005E6A4B">
        <w:rPr>
          <w:rFonts w:asciiTheme="majorHAnsi" w:hAnsiTheme="majorHAnsi" w:cstheme="majorHAnsi"/>
          <w:sz w:val="24"/>
          <w:szCs w:val="24"/>
          <w:lang w:val="ro-MD"/>
        </w:rPr>
        <w:t>agrama nr. 4.</w:t>
      </w:r>
    </w:p>
    <w:p w:rsidR="00481C66" w:rsidRDefault="00481C66" w:rsidP="00844145">
      <w:pPr>
        <w:pStyle w:val="ListParagraph"/>
        <w:tabs>
          <w:tab w:val="left" w:pos="0"/>
        </w:tabs>
        <w:spacing w:after="120" w:line="276" w:lineRule="auto"/>
        <w:ind w:left="0" w:hanging="187"/>
        <w:contextualSpacing w:val="0"/>
        <w:jc w:val="both"/>
        <w:rPr>
          <w:rFonts w:asciiTheme="majorHAnsi" w:hAnsiTheme="majorHAnsi" w:cstheme="majorHAnsi"/>
          <w:sz w:val="24"/>
          <w:szCs w:val="24"/>
          <w:lang w:val="ro-MD"/>
        </w:rPr>
      </w:pPr>
    </w:p>
    <w:p w:rsidR="00481C66" w:rsidRDefault="00481C66" w:rsidP="00844145">
      <w:pPr>
        <w:pStyle w:val="ListParagraph"/>
        <w:tabs>
          <w:tab w:val="left" w:pos="0"/>
        </w:tabs>
        <w:spacing w:after="120" w:line="276" w:lineRule="auto"/>
        <w:ind w:left="0" w:hanging="187"/>
        <w:contextualSpacing w:val="0"/>
        <w:jc w:val="both"/>
        <w:rPr>
          <w:rFonts w:asciiTheme="majorHAnsi" w:hAnsiTheme="majorHAnsi" w:cstheme="majorHAnsi"/>
          <w:sz w:val="24"/>
          <w:szCs w:val="24"/>
          <w:lang w:val="ro-MD"/>
        </w:rPr>
      </w:pPr>
    </w:p>
    <w:p w:rsidR="00481C66" w:rsidRDefault="00481C66" w:rsidP="00844145">
      <w:pPr>
        <w:pStyle w:val="ListParagraph"/>
        <w:tabs>
          <w:tab w:val="left" w:pos="0"/>
        </w:tabs>
        <w:spacing w:after="120" w:line="276" w:lineRule="auto"/>
        <w:ind w:left="0" w:hanging="187"/>
        <w:contextualSpacing w:val="0"/>
        <w:jc w:val="both"/>
        <w:rPr>
          <w:rFonts w:asciiTheme="majorHAnsi" w:hAnsiTheme="majorHAnsi" w:cstheme="majorHAnsi"/>
          <w:sz w:val="24"/>
          <w:szCs w:val="24"/>
          <w:lang w:val="ro-MD"/>
        </w:rPr>
      </w:pPr>
    </w:p>
    <w:p w:rsidR="00481C66" w:rsidRDefault="00481C66" w:rsidP="00844145">
      <w:pPr>
        <w:pStyle w:val="ListParagraph"/>
        <w:tabs>
          <w:tab w:val="left" w:pos="0"/>
        </w:tabs>
        <w:spacing w:after="120" w:line="276" w:lineRule="auto"/>
        <w:ind w:left="0" w:hanging="187"/>
        <w:contextualSpacing w:val="0"/>
        <w:jc w:val="both"/>
        <w:rPr>
          <w:rFonts w:asciiTheme="majorHAnsi" w:hAnsiTheme="majorHAnsi" w:cstheme="majorHAnsi"/>
          <w:sz w:val="24"/>
          <w:szCs w:val="24"/>
          <w:lang w:val="ro-MD"/>
        </w:rPr>
      </w:pPr>
    </w:p>
    <w:p w:rsidR="001C4176" w:rsidRDefault="001C4176" w:rsidP="00844145">
      <w:pPr>
        <w:pStyle w:val="ListParagraph"/>
        <w:tabs>
          <w:tab w:val="left" w:pos="0"/>
        </w:tabs>
        <w:spacing w:after="120" w:line="276" w:lineRule="auto"/>
        <w:ind w:left="0" w:hanging="187"/>
        <w:contextualSpacing w:val="0"/>
        <w:jc w:val="both"/>
        <w:rPr>
          <w:rFonts w:asciiTheme="majorHAnsi" w:hAnsiTheme="majorHAnsi" w:cstheme="majorHAnsi"/>
          <w:sz w:val="24"/>
          <w:szCs w:val="24"/>
          <w:lang w:val="ro-MD"/>
        </w:rPr>
      </w:pPr>
    </w:p>
    <w:p w:rsidR="00195B02" w:rsidRDefault="00195B02" w:rsidP="00844145">
      <w:pPr>
        <w:pStyle w:val="ListParagraph"/>
        <w:tabs>
          <w:tab w:val="left" w:pos="0"/>
        </w:tabs>
        <w:spacing w:after="120" w:line="276" w:lineRule="auto"/>
        <w:ind w:left="0" w:hanging="187"/>
        <w:contextualSpacing w:val="0"/>
        <w:jc w:val="both"/>
        <w:rPr>
          <w:rFonts w:asciiTheme="majorHAnsi" w:hAnsiTheme="majorHAnsi" w:cstheme="majorHAnsi"/>
          <w:sz w:val="24"/>
          <w:szCs w:val="24"/>
          <w:lang w:val="ro-MD"/>
        </w:rPr>
      </w:pPr>
    </w:p>
    <w:p w:rsidR="005E6A4B" w:rsidRPr="005E6A4B" w:rsidRDefault="005E6A4B" w:rsidP="005E6A4B">
      <w:pPr>
        <w:pStyle w:val="ListParagraph"/>
        <w:tabs>
          <w:tab w:val="left" w:pos="0"/>
        </w:tabs>
        <w:spacing w:after="120" w:line="276" w:lineRule="auto"/>
        <w:ind w:left="0" w:hanging="187"/>
        <w:contextualSpacing w:val="0"/>
        <w:jc w:val="right"/>
        <w:rPr>
          <w:rFonts w:asciiTheme="majorHAnsi" w:hAnsiTheme="majorHAnsi" w:cstheme="majorHAnsi"/>
          <w:i/>
          <w:sz w:val="24"/>
          <w:szCs w:val="24"/>
          <w:lang w:val="ro-MD"/>
        </w:rPr>
      </w:pPr>
      <w:r w:rsidRPr="005E6A4B">
        <w:rPr>
          <w:rFonts w:asciiTheme="majorHAnsi" w:hAnsiTheme="majorHAnsi" w:cstheme="majorHAnsi"/>
          <w:i/>
          <w:sz w:val="24"/>
          <w:szCs w:val="24"/>
          <w:lang w:val="ro-MD"/>
        </w:rPr>
        <w:t>Diagrama nr. 4</w:t>
      </w:r>
    </w:p>
    <w:p w:rsidR="002D3B7E" w:rsidRPr="00401691" w:rsidRDefault="002D3B7E" w:rsidP="00844145">
      <w:pPr>
        <w:pStyle w:val="ListParagraph"/>
        <w:tabs>
          <w:tab w:val="left" w:pos="0"/>
        </w:tabs>
        <w:spacing w:after="120" w:line="276" w:lineRule="auto"/>
        <w:ind w:left="0" w:hanging="187"/>
        <w:contextualSpacing w:val="0"/>
        <w:jc w:val="center"/>
        <w:rPr>
          <w:rFonts w:asciiTheme="majorHAnsi" w:hAnsiTheme="majorHAnsi" w:cstheme="majorHAnsi"/>
          <w:sz w:val="24"/>
          <w:szCs w:val="24"/>
          <w:lang w:val="ro-MD"/>
        </w:rPr>
      </w:pPr>
      <w:r w:rsidRPr="00401691">
        <w:rPr>
          <w:rFonts w:asciiTheme="majorHAnsi" w:hAnsiTheme="majorHAnsi" w:cstheme="majorHAnsi"/>
          <w:noProof/>
        </w:rPr>
        <w:drawing>
          <wp:inline distT="0" distB="0" distL="0" distR="0" wp14:anchorId="42CABE5B" wp14:editId="76F57D20">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D3B7E" w:rsidRPr="005E6A4B" w:rsidRDefault="005E6A4B" w:rsidP="005E6A4B">
      <w:pPr>
        <w:pStyle w:val="ListParagraph"/>
        <w:tabs>
          <w:tab w:val="left" w:pos="0"/>
        </w:tabs>
        <w:spacing w:after="120" w:line="276" w:lineRule="auto"/>
        <w:ind w:left="0" w:firstLine="1350"/>
        <w:contextualSpacing w:val="0"/>
        <w:jc w:val="both"/>
        <w:rPr>
          <w:rFonts w:asciiTheme="majorHAnsi" w:hAnsiTheme="majorHAnsi" w:cstheme="majorHAnsi"/>
          <w:i/>
          <w:sz w:val="20"/>
          <w:szCs w:val="20"/>
          <w:lang w:val="ro-MD"/>
        </w:rPr>
      </w:pPr>
      <w:r w:rsidRPr="005E6A4B">
        <w:rPr>
          <w:rFonts w:asciiTheme="majorHAnsi" w:hAnsiTheme="majorHAnsi" w:cstheme="majorHAnsi"/>
          <w:b/>
          <w:i/>
          <w:sz w:val="20"/>
          <w:szCs w:val="20"/>
          <w:lang w:val="ro-MD"/>
        </w:rPr>
        <w:t>Sursa:</w:t>
      </w:r>
      <w:r w:rsidRPr="005E6A4B">
        <w:rPr>
          <w:rFonts w:asciiTheme="majorHAnsi" w:hAnsiTheme="majorHAnsi" w:cstheme="majorHAnsi"/>
          <w:i/>
          <w:sz w:val="20"/>
          <w:szCs w:val="20"/>
          <w:lang w:val="ro-MD"/>
        </w:rPr>
        <w:t xml:space="preserve"> Date prezentate de SFS</w:t>
      </w:r>
      <w:r>
        <w:rPr>
          <w:rFonts w:asciiTheme="majorHAnsi" w:hAnsiTheme="majorHAnsi" w:cstheme="majorHAnsi"/>
          <w:i/>
          <w:sz w:val="20"/>
          <w:szCs w:val="20"/>
          <w:lang w:val="ro-MD"/>
        </w:rPr>
        <w:t xml:space="preserve"> referitor la </w:t>
      </w:r>
      <w:proofErr w:type="spellStart"/>
      <w:r>
        <w:rPr>
          <w:rFonts w:asciiTheme="majorHAnsi" w:hAnsiTheme="majorHAnsi" w:cstheme="majorHAnsi"/>
          <w:i/>
          <w:sz w:val="20"/>
          <w:szCs w:val="20"/>
          <w:lang w:val="ro-MD"/>
        </w:rPr>
        <w:t>rezultativitatea</w:t>
      </w:r>
      <w:proofErr w:type="spellEnd"/>
      <w:r>
        <w:rPr>
          <w:rFonts w:asciiTheme="majorHAnsi" w:hAnsiTheme="majorHAnsi" w:cstheme="majorHAnsi"/>
          <w:i/>
          <w:sz w:val="20"/>
          <w:szCs w:val="20"/>
          <w:lang w:val="ro-MD"/>
        </w:rPr>
        <w:t xml:space="preserve"> controalelor fiscale în anul 2019</w:t>
      </w:r>
      <w:r w:rsidR="0087154E">
        <w:rPr>
          <w:rFonts w:asciiTheme="majorHAnsi" w:hAnsiTheme="majorHAnsi" w:cstheme="majorHAnsi"/>
          <w:i/>
          <w:sz w:val="20"/>
          <w:szCs w:val="20"/>
          <w:lang w:val="ro-MD"/>
        </w:rPr>
        <w:t>.</w:t>
      </w:r>
    </w:p>
    <w:p w:rsidR="00956A69" w:rsidRPr="009A7B48" w:rsidRDefault="002D3B7E" w:rsidP="00844145">
      <w:pPr>
        <w:pStyle w:val="ListParagraph"/>
        <w:tabs>
          <w:tab w:val="left" w:pos="0"/>
        </w:tabs>
        <w:spacing w:after="120" w:line="276" w:lineRule="auto"/>
        <w:ind w:left="0"/>
        <w:contextualSpacing w:val="0"/>
        <w:jc w:val="both"/>
        <w:rPr>
          <w:rFonts w:asciiTheme="majorHAnsi" w:hAnsiTheme="majorHAnsi" w:cstheme="majorHAnsi"/>
          <w:sz w:val="24"/>
          <w:szCs w:val="24"/>
        </w:rPr>
      </w:pPr>
      <w:r w:rsidRPr="00401691">
        <w:rPr>
          <w:rFonts w:asciiTheme="majorHAnsi" w:hAnsiTheme="majorHAnsi" w:cstheme="majorHAnsi"/>
          <w:sz w:val="24"/>
          <w:szCs w:val="24"/>
          <w:lang w:val="ro-MD"/>
        </w:rPr>
        <w:t xml:space="preserve">Se relevă </w:t>
      </w:r>
      <w:r w:rsidR="00956A69" w:rsidRPr="00401691">
        <w:rPr>
          <w:rFonts w:asciiTheme="majorHAnsi" w:hAnsiTheme="majorHAnsi" w:cstheme="majorHAnsi"/>
          <w:sz w:val="24"/>
          <w:szCs w:val="24"/>
          <w:lang w:val="ro-MD"/>
        </w:rPr>
        <w:t>că în totalul sumelor</w:t>
      </w:r>
      <w:r w:rsidR="0022114D" w:rsidRPr="00401691">
        <w:rPr>
          <w:rFonts w:asciiTheme="majorHAnsi" w:hAnsiTheme="majorHAnsi" w:cstheme="majorHAnsi"/>
          <w:sz w:val="24"/>
          <w:szCs w:val="24"/>
          <w:lang w:val="ro-MD"/>
        </w:rPr>
        <w:t xml:space="preserve"> calculate suplimentar la buget, impozitele și taxele </w:t>
      </w:r>
      <w:r w:rsidR="00956A69" w:rsidRPr="00401691">
        <w:rPr>
          <w:rFonts w:asciiTheme="majorHAnsi" w:hAnsiTheme="majorHAnsi" w:cstheme="majorHAnsi"/>
          <w:sz w:val="24"/>
          <w:szCs w:val="24"/>
          <w:lang w:val="ro-MD"/>
        </w:rPr>
        <w:t>cu grad redus de recuperare</w:t>
      </w:r>
      <w:r w:rsidR="00457C12">
        <w:rPr>
          <w:rFonts w:asciiTheme="majorHAnsi" w:hAnsiTheme="majorHAnsi" w:cstheme="majorHAnsi"/>
          <w:sz w:val="24"/>
          <w:szCs w:val="24"/>
          <w:lang w:val="ro-MD"/>
        </w:rPr>
        <w:t xml:space="preserve"> constituie</w:t>
      </w:r>
      <w:r w:rsidR="00956A69" w:rsidRPr="00401691">
        <w:rPr>
          <w:rFonts w:asciiTheme="majorHAnsi" w:hAnsiTheme="majorHAnsi" w:cstheme="majorHAnsi"/>
          <w:sz w:val="24"/>
          <w:szCs w:val="24"/>
          <w:lang w:val="ro-MD"/>
        </w:rPr>
        <w:t xml:space="preserve"> </w:t>
      </w:r>
      <w:r w:rsidR="0087154E">
        <w:rPr>
          <w:rFonts w:asciiTheme="majorHAnsi" w:hAnsiTheme="majorHAnsi" w:cstheme="majorHAnsi"/>
          <w:sz w:val="24"/>
          <w:szCs w:val="24"/>
          <w:lang w:val="ro-MD"/>
        </w:rPr>
        <w:t xml:space="preserve">suma totală </w:t>
      </w:r>
      <w:r w:rsidR="0055342F">
        <w:rPr>
          <w:rFonts w:asciiTheme="majorHAnsi" w:hAnsiTheme="majorHAnsi" w:cstheme="majorHAnsi"/>
          <w:sz w:val="24"/>
          <w:szCs w:val="24"/>
          <w:lang w:val="ro-MD"/>
        </w:rPr>
        <w:t xml:space="preserve">de </w:t>
      </w:r>
      <w:r w:rsidR="0055342F" w:rsidRPr="00481C66">
        <w:rPr>
          <w:rFonts w:asciiTheme="majorHAnsi" w:hAnsiTheme="majorHAnsi" w:cstheme="majorHAnsi"/>
          <w:sz w:val="24"/>
          <w:szCs w:val="24"/>
          <w:lang w:val="ro-MD"/>
        </w:rPr>
        <w:t>259,8 mil</w:t>
      </w:r>
      <w:r w:rsidR="00457C12" w:rsidRPr="00481C66">
        <w:rPr>
          <w:rFonts w:asciiTheme="majorHAnsi" w:hAnsiTheme="majorHAnsi" w:cstheme="majorHAnsi"/>
          <w:sz w:val="24"/>
          <w:szCs w:val="24"/>
          <w:lang w:val="ro-MD"/>
        </w:rPr>
        <w:t>.</w:t>
      </w:r>
      <w:r w:rsidR="0055342F">
        <w:rPr>
          <w:rFonts w:asciiTheme="majorHAnsi" w:hAnsiTheme="majorHAnsi" w:cstheme="majorHAnsi"/>
          <w:sz w:val="24"/>
          <w:szCs w:val="24"/>
          <w:lang w:val="ro-MD"/>
        </w:rPr>
        <w:t xml:space="preserve"> lei</w:t>
      </w:r>
      <w:r w:rsidR="009A0A94">
        <w:rPr>
          <w:rFonts w:asciiTheme="majorHAnsi" w:hAnsiTheme="majorHAnsi" w:cstheme="majorHAnsi"/>
          <w:sz w:val="24"/>
          <w:szCs w:val="24"/>
          <w:lang w:val="ro-MD"/>
        </w:rPr>
        <w:t xml:space="preserve">, acestea fiind calculate de către organul fiscal prin metode și surse indirecte, sau contribuabililor aflați în procedura de insolvabilitate. </w:t>
      </w:r>
    </w:p>
    <w:p w:rsidR="00BD35DB" w:rsidRPr="007631D9" w:rsidRDefault="00FA298F" w:rsidP="00DC000A">
      <w:pPr>
        <w:pStyle w:val="Heading3"/>
        <w:numPr>
          <w:ilvl w:val="1"/>
          <w:numId w:val="32"/>
        </w:numPr>
        <w:spacing w:before="240" w:after="120" w:line="276" w:lineRule="auto"/>
        <w:jc w:val="both"/>
        <w:rPr>
          <w:rFonts w:cstheme="majorHAnsi"/>
          <w:b/>
        </w:rPr>
      </w:pPr>
      <w:bookmarkStart w:id="23" w:name="_Toc48732735"/>
      <w:r>
        <w:rPr>
          <w:rFonts w:cstheme="majorHAnsi"/>
          <w:b/>
        </w:rPr>
        <w:t xml:space="preserve">. </w:t>
      </w:r>
      <w:r w:rsidR="00DC000A">
        <w:rPr>
          <w:rFonts w:cstheme="majorHAnsi"/>
          <w:b/>
        </w:rPr>
        <w:t xml:space="preserve">SFS nu deține date privind rezultatele </w:t>
      </w:r>
      <w:r w:rsidR="00DC000A" w:rsidRPr="00DC000A">
        <w:rPr>
          <w:rFonts w:cstheme="majorHAnsi"/>
          <w:b/>
        </w:rPr>
        <w:t>investig</w:t>
      </w:r>
      <w:r w:rsidR="00DC000A">
        <w:rPr>
          <w:rFonts w:cstheme="majorHAnsi"/>
          <w:b/>
        </w:rPr>
        <w:t>ării și</w:t>
      </w:r>
      <w:r w:rsidR="00DC000A" w:rsidRPr="00DC000A">
        <w:rPr>
          <w:rFonts w:cstheme="majorHAnsi"/>
          <w:b/>
        </w:rPr>
        <w:t xml:space="preserve"> urm</w:t>
      </w:r>
      <w:r w:rsidR="00DC000A">
        <w:rPr>
          <w:rFonts w:cstheme="majorHAnsi"/>
          <w:b/>
        </w:rPr>
        <w:t xml:space="preserve">ăririi </w:t>
      </w:r>
      <w:r w:rsidR="00DC000A" w:rsidRPr="00DC000A">
        <w:rPr>
          <w:rFonts w:cstheme="majorHAnsi"/>
          <w:b/>
        </w:rPr>
        <w:t>penal</w:t>
      </w:r>
      <w:r w:rsidR="00DC000A">
        <w:rPr>
          <w:rFonts w:cstheme="majorHAnsi"/>
          <w:b/>
        </w:rPr>
        <w:t>e a fraudei fiscale</w:t>
      </w:r>
      <w:r w:rsidR="0043118C">
        <w:rPr>
          <w:rFonts w:cstheme="majorHAnsi"/>
          <w:b/>
        </w:rPr>
        <w:t xml:space="preserve"> de către organele competente</w:t>
      </w:r>
      <w:bookmarkEnd w:id="23"/>
      <w:r w:rsidR="00C22338">
        <w:rPr>
          <w:rFonts w:cstheme="majorHAnsi"/>
          <w:b/>
        </w:rPr>
        <w:t>.</w:t>
      </w:r>
    </w:p>
    <w:p w:rsidR="00BD35DB" w:rsidRPr="00401691" w:rsidRDefault="00BD35DB" w:rsidP="00844145">
      <w:pPr>
        <w:pStyle w:val="NormalWeb"/>
        <w:tabs>
          <w:tab w:val="left" w:pos="0"/>
          <w:tab w:val="left" w:pos="180"/>
          <w:tab w:val="left" w:pos="270"/>
        </w:tabs>
        <w:spacing w:before="0" w:beforeAutospacing="0" w:after="120" w:afterAutospacing="0" w:line="276" w:lineRule="auto"/>
        <w:jc w:val="both"/>
        <w:rPr>
          <w:rFonts w:asciiTheme="majorHAnsi" w:hAnsiTheme="majorHAnsi" w:cstheme="majorHAnsi"/>
          <w:lang w:val="ro-MD"/>
        </w:rPr>
      </w:pPr>
      <w:r w:rsidRPr="00401691">
        <w:rPr>
          <w:rFonts w:asciiTheme="majorHAnsi" w:hAnsiTheme="majorHAnsi" w:cstheme="majorHAnsi"/>
          <w:lang w:val="ro-MD"/>
        </w:rPr>
        <w:t>Potrivit art.132</w:t>
      </w:r>
      <w:r w:rsidRPr="00401691">
        <w:rPr>
          <w:rFonts w:asciiTheme="majorHAnsi" w:hAnsiTheme="majorHAnsi" w:cstheme="majorHAnsi"/>
          <w:vertAlign w:val="superscript"/>
          <w:lang w:val="ro-MD"/>
        </w:rPr>
        <w:t>4</w:t>
      </w:r>
      <w:r w:rsidRPr="00401691">
        <w:rPr>
          <w:rFonts w:asciiTheme="majorHAnsi" w:hAnsiTheme="majorHAnsi" w:cstheme="majorHAnsi"/>
          <w:lang w:val="ro-MD"/>
        </w:rPr>
        <w:t xml:space="preserve"> din Titlul V al Codului </w:t>
      </w:r>
      <w:r w:rsidR="00C22338">
        <w:rPr>
          <w:rFonts w:asciiTheme="majorHAnsi" w:hAnsiTheme="majorHAnsi" w:cstheme="majorHAnsi"/>
          <w:lang w:val="ro-MD"/>
        </w:rPr>
        <w:t>f</w:t>
      </w:r>
      <w:r w:rsidRPr="00401691">
        <w:rPr>
          <w:rFonts w:asciiTheme="majorHAnsi" w:hAnsiTheme="majorHAnsi" w:cstheme="majorHAnsi"/>
          <w:lang w:val="ro-MD"/>
        </w:rPr>
        <w:t>iscal, una di</w:t>
      </w:r>
      <w:r w:rsidR="002418D8">
        <w:rPr>
          <w:rFonts w:asciiTheme="majorHAnsi" w:hAnsiTheme="majorHAnsi" w:cstheme="majorHAnsi"/>
          <w:lang w:val="ro-MD"/>
        </w:rPr>
        <w:t>n</w:t>
      </w:r>
      <w:r w:rsidR="00C22338">
        <w:rPr>
          <w:rFonts w:asciiTheme="majorHAnsi" w:hAnsiTheme="majorHAnsi" w:cstheme="majorHAnsi"/>
          <w:lang w:val="ro-MD"/>
        </w:rPr>
        <w:t>tre</w:t>
      </w:r>
      <w:r w:rsidR="002418D8">
        <w:rPr>
          <w:rFonts w:asciiTheme="majorHAnsi" w:hAnsiTheme="majorHAnsi" w:cstheme="majorHAnsi"/>
          <w:lang w:val="ro-MD"/>
        </w:rPr>
        <w:t xml:space="preserve"> funcțiile de bază a</w:t>
      </w:r>
      <w:r w:rsidR="00C22338">
        <w:rPr>
          <w:rFonts w:asciiTheme="majorHAnsi" w:hAnsiTheme="majorHAnsi" w:cstheme="majorHAnsi"/>
          <w:lang w:val="ro-MD"/>
        </w:rPr>
        <w:t>le</w:t>
      </w:r>
      <w:r w:rsidR="002418D8">
        <w:rPr>
          <w:rFonts w:asciiTheme="majorHAnsi" w:hAnsiTheme="majorHAnsi" w:cstheme="majorHAnsi"/>
          <w:lang w:val="ro-MD"/>
        </w:rPr>
        <w:t xml:space="preserve"> SFS este </w:t>
      </w:r>
      <w:r w:rsidRPr="00401691">
        <w:rPr>
          <w:rFonts w:asciiTheme="majorHAnsi" w:hAnsiTheme="majorHAnsi" w:cstheme="majorHAnsi"/>
          <w:lang w:val="ro-MD"/>
        </w:rPr>
        <w:t xml:space="preserve">constatarea infracțiunilor prevăzute </w:t>
      </w:r>
      <w:r w:rsidR="00C22338">
        <w:rPr>
          <w:rFonts w:asciiTheme="majorHAnsi" w:hAnsiTheme="majorHAnsi" w:cstheme="majorHAnsi"/>
          <w:lang w:val="ro-MD"/>
        </w:rPr>
        <w:t>î</w:t>
      </w:r>
      <w:r w:rsidRPr="00401691">
        <w:rPr>
          <w:rFonts w:asciiTheme="majorHAnsi" w:hAnsiTheme="majorHAnsi" w:cstheme="majorHAnsi"/>
          <w:lang w:val="ro-MD"/>
        </w:rPr>
        <w:t>n Codul penal</w:t>
      </w:r>
      <w:r w:rsidRPr="00401691">
        <w:rPr>
          <w:rStyle w:val="FootnoteReference"/>
          <w:rFonts w:asciiTheme="majorHAnsi" w:hAnsiTheme="majorHAnsi" w:cstheme="majorHAnsi"/>
          <w:lang w:val="ro-MD"/>
        </w:rPr>
        <w:footnoteReference w:id="59"/>
      </w:r>
      <w:r w:rsidRPr="00401691">
        <w:rPr>
          <w:rFonts w:asciiTheme="majorHAnsi" w:hAnsiTheme="majorHAnsi" w:cstheme="majorHAnsi"/>
          <w:lang w:val="ro-MD"/>
        </w:rPr>
        <w:t>, funcție inst</w:t>
      </w:r>
      <w:r w:rsidR="00D2516B">
        <w:rPr>
          <w:rFonts w:asciiTheme="majorHAnsi" w:hAnsiTheme="majorHAnsi" w:cstheme="majorHAnsi"/>
          <w:lang w:val="ro-MD"/>
        </w:rPr>
        <w:t xml:space="preserve">ituită să asigure combaterea </w:t>
      </w:r>
      <w:r w:rsidRPr="00401691">
        <w:rPr>
          <w:rFonts w:asciiTheme="majorHAnsi" w:hAnsiTheme="majorHAnsi" w:cstheme="majorHAnsi"/>
          <w:lang w:val="ro-MD"/>
        </w:rPr>
        <w:t xml:space="preserve">fenomenului de evaziune fiscală și </w:t>
      </w:r>
      <w:r w:rsidR="00C22338">
        <w:rPr>
          <w:rFonts w:asciiTheme="majorHAnsi" w:hAnsiTheme="majorHAnsi" w:cstheme="majorHAnsi"/>
          <w:lang w:val="ro-MD"/>
        </w:rPr>
        <w:t xml:space="preserve">care </w:t>
      </w:r>
      <w:r w:rsidRPr="00401691">
        <w:rPr>
          <w:rFonts w:asciiTheme="majorHAnsi" w:hAnsiTheme="majorHAnsi" w:cstheme="majorHAnsi"/>
          <w:lang w:val="ro-MD"/>
        </w:rPr>
        <w:t xml:space="preserve">se înscrie plenar </w:t>
      </w:r>
      <w:r w:rsidR="002418D8">
        <w:rPr>
          <w:rFonts w:asciiTheme="majorHAnsi" w:hAnsiTheme="majorHAnsi" w:cstheme="majorHAnsi"/>
          <w:lang w:val="ro-MD"/>
        </w:rPr>
        <w:t>în activitatea cotidiană a SFS.</w:t>
      </w:r>
    </w:p>
    <w:p w:rsidR="00BD35DB" w:rsidRPr="00401691" w:rsidRDefault="00BD35DB" w:rsidP="00844145">
      <w:pPr>
        <w:pStyle w:val="NormalWeb"/>
        <w:tabs>
          <w:tab w:val="left" w:pos="0"/>
          <w:tab w:val="left" w:pos="360"/>
        </w:tabs>
        <w:spacing w:before="0" w:beforeAutospacing="0" w:after="120" w:afterAutospacing="0" w:line="276" w:lineRule="auto"/>
        <w:jc w:val="both"/>
        <w:rPr>
          <w:rFonts w:asciiTheme="majorHAnsi" w:hAnsiTheme="majorHAnsi" w:cstheme="majorHAnsi"/>
          <w:i/>
          <w:lang w:val="ro-MD"/>
        </w:rPr>
      </w:pPr>
      <w:r w:rsidRPr="00401691">
        <w:rPr>
          <w:rFonts w:asciiTheme="majorHAnsi" w:hAnsiTheme="majorHAnsi" w:cstheme="majorHAnsi"/>
          <w:lang w:val="ro-MD"/>
        </w:rPr>
        <w:t>Aspectele de consolidare a funcției de constatate și investigare a fraudei fiscale</w:t>
      </w:r>
      <w:r w:rsidR="00C22338">
        <w:rPr>
          <w:rFonts w:asciiTheme="majorHAnsi" w:hAnsiTheme="majorHAnsi" w:cstheme="majorHAnsi"/>
          <w:lang w:val="ro-MD"/>
        </w:rPr>
        <w:t xml:space="preserve"> sunt</w:t>
      </w:r>
      <w:r w:rsidRPr="00401691">
        <w:rPr>
          <w:rFonts w:asciiTheme="majorHAnsi" w:hAnsiTheme="majorHAnsi" w:cstheme="majorHAnsi"/>
          <w:lang w:val="ro-MD"/>
        </w:rPr>
        <w:t xml:space="preserve"> prevăzut</w:t>
      </w:r>
      <w:r w:rsidR="00C22338">
        <w:rPr>
          <w:rFonts w:asciiTheme="majorHAnsi" w:hAnsiTheme="majorHAnsi" w:cstheme="majorHAnsi"/>
          <w:lang w:val="ro-MD"/>
        </w:rPr>
        <w:t>e</w:t>
      </w:r>
      <w:r w:rsidRPr="00401691">
        <w:rPr>
          <w:rFonts w:asciiTheme="majorHAnsi" w:hAnsiTheme="majorHAnsi" w:cstheme="majorHAnsi"/>
          <w:lang w:val="ro-MD"/>
        </w:rPr>
        <w:t xml:space="preserve"> și de Strategia de dezvoltare a managementului finanțelor </w:t>
      </w:r>
      <w:r w:rsidRPr="00481C66">
        <w:rPr>
          <w:rFonts w:asciiTheme="majorHAnsi" w:hAnsiTheme="majorHAnsi" w:cstheme="majorHAnsi"/>
          <w:lang w:val="ro-MD"/>
        </w:rPr>
        <w:t>publice</w:t>
      </w:r>
      <w:r w:rsidR="00481C66" w:rsidRPr="00481C66">
        <w:rPr>
          <w:rFonts w:asciiTheme="majorHAnsi" w:hAnsiTheme="majorHAnsi" w:cstheme="majorHAnsi"/>
          <w:lang w:val="ro-MD"/>
        </w:rPr>
        <w:t xml:space="preserve"> </w:t>
      </w:r>
      <w:r w:rsidRPr="00481C66">
        <w:rPr>
          <w:rFonts w:asciiTheme="majorHAnsi" w:hAnsiTheme="majorHAnsi" w:cstheme="majorHAnsi"/>
          <w:lang w:val="ro-MD"/>
        </w:rPr>
        <w:t>2013-2020</w:t>
      </w:r>
      <w:r w:rsidRPr="00401691">
        <w:rPr>
          <w:rFonts w:asciiTheme="majorHAnsi" w:hAnsiTheme="majorHAnsi" w:cstheme="majorHAnsi"/>
          <w:lang w:val="ro-MD"/>
        </w:rPr>
        <w:t xml:space="preserve">, aprobată prin </w:t>
      </w:r>
      <w:r w:rsidR="00D2516B">
        <w:rPr>
          <w:rFonts w:asciiTheme="majorHAnsi" w:hAnsiTheme="majorHAnsi" w:cstheme="majorHAnsi"/>
          <w:lang w:val="ro-MD"/>
        </w:rPr>
        <w:t>Hotărârea Guvernului nr.573 din</w:t>
      </w:r>
      <w:r w:rsidRPr="00401691">
        <w:rPr>
          <w:rFonts w:asciiTheme="majorHAnsi" w:hAnsiTheme="majorHAnsi" w:cstheme="majorHAnsi"/>
          <w:lang w:val="ro-MD"/>
        </w:rPr>
        <w:t xml:space="preserve"> 06.08.2013. Astfel, în secțiunea nr. 5.5</w:t>
      </w:r>
      <w:r w:rsidR="00C22338">
        <w:rPr>
          <w:rFonts w:asciiTheme="majorHAnsi" w:hAnsiTheme="majorHAnsi" w:cstheme="majorHAnsi"/>
          <w:lang w:val="ro-MD"/>
        </w:rPr>
        <w:t>.</w:t>
      </w:r>
      <w:r w:rsidRPr="00401691">
        <w:rPr>
          <w:rFonts w:asciiTheme="majorHAnsi" w:hAnsiTheme="majorHAnsi" w:cstheme="majorHAnsi"/>
          <w:lang w:val="ro-MD"/>
        </w:rPr>
        <w:t xml:space="preserve"> din Strategie</w:t>
      </w:r>
      <w:r w:rsidR="00C22338">
        <w:rPr>
          <w:rFonts w:asciiTheme="majorHAnsi" w:hAnsiTheme="majorHAnsi" w:cstheme="majorHAnsi"/>
          <w:lang w:val="ro-MD"/>
        </w:rPr>
        <w:t>,</w:t>
      </w:r>
      <w:r w:rsidRPr="00401691">
        <w:rPr>
          <w:rFonts w:asciiTheme="majorHAnsi" w:hAnsiTheme="majorHAnsi" w:cstheme="majorHAnsi"/>
          <w:lang w:val="ro-MD"/>
        </w:rPr>
        <w:t xml:space="preserve"> cu referire la principiile de bază și rezultatele așteptate privind administrarea veniturilor, se stabilește expres că </w:t>
      </w:r>
      <w:r w:rsidRPr="00401691">
        <w:rPr>
          <w:rFonts w:asciiTheme="majorHAnsi" w:hAnsiTheme="majorHAnsi" w:cstheme="majorHAnsi"/>
          <w:i/>
          <w:lang w:val="ro-MD"/>
        </w:rPr>
        <w:t xml:space="preserve">„frauda fiscală și evaziunea sânt identificate sistematic și riguros, investigate și supuse urmăririi penale, în vederea creșterii nivelului general de conformare fiscală”. </w:t>
      </w:r>
    </w:p>
    <w:p w:rsidR="00BD35DB" w:rsidRPr="00401691" w:rsidRDefault="001F3062" w:rsidP="00844145">
      <w:pPr>
        <w:pStyle w:val="NormalWeb"/>
        <w:tabs>
          <w:tab w:val="left" w:pos="0"/>
          <w:tab w:val="left" w:pos="360"/>
        </w:tabs>
        <w:spacing w:before="0" w:beforeAutospacing="0" w:after="120" w:afterAutospacing="0" w:line="276" w:lineRule="auto"/>
        <w:jc w:val="both"/>
        <w:rPr>
          <w:rFonts w:asciiTheme="majorHAnsi" w:hAnsiTheme="majorHAnsi" w:cstheme="majorHAnsi"/>
          <w:lang w:val="ro-MD"/>
        </w:rPr>
      </w:pPr>
      <w:r w:rsidRPr="00401691">
        <w:rPr>
          <w:rFonts w:asciiTheme="majorHAnsi" w:hAnsiTheme="majorHAnsi" w:cstheme="majorHAnsi"/>
          <w:lang w:val="ro-MD"/>
        </w:rPr>
        <w:t>Conform datelor raportate de SFS, în anul 2019, prin întocmirea proceselor verbale de constatare a infracțiunilor, ca rezultat al diminuării impozitelor au fost identificate 86 cazuri de infracțiuni în sumă totală de 171,7 mil. lei</w:t>
      </w:r>
      <w:r w:rsidRPr="001F3062">
        <w:rPr>
          <w:rFonts w:asciiTheme="majorHAnsi" w:hAnsiTheme="majorHAnsi" w:cstheme="majorHAnsi"/>
          <w:lang w:val="ro-MD"/>
        </w:rPr>
        <w:t>. Concomitent, conform informației prezentate de SFS, pe parcursul anilor 2016- 2018, au fost depuse denunțuri în adresa organelor de drept privind frauda fiscală comisă de contribuabili în sumă totală de 9154,4 mil.lei. În</w:t>
      </w:r>
      <w:r w:rsidRPr="00401691">
        <w:rPr>
          <w:rFonts w:asciiTheme="majorHAnsi" w:hAnsiTheme="majorHAnsi" w:cstheme="majorHAnsi"/>
          <w:lang w:val="ro-MD"/>
        </w:rPr>
        <w:t xml:space="preserve"> conformitate cu prevederile art. 262, 263 din Codul de procedură penală, SFS în baza denunțu</w:t>
      </w:r>
      <w:r w:rsidR="00D9664B">
        <w:rPr>
          <w:rFonts w:asciiTheme="majorHAnsi" w:hAnsiTheme="majorHAnsi" w:cstheme="majorHAnsi"/>
          <w:lang w:val="ro-MD"/>
        </w:rPr>
        <w:t>rilor</w:t>
      </w:r>
      <w:r w:rsidRPr="00401691">
        <w:rPr>
          <w:rFonts w:asciiTheme="majorHAnsi" w:hAnsiTheme="majorHAnsi" w:cstheme="majorHAnsi"/>
          <w:lang w:val="ro-MD"/>
        </w:rPr>
        <w:t xml:space="preserve"> a sesizat organele de drept referitor la posibilii indici a infracțiunii prevăzute de art. 327 din Codul penal.</w:t>
      </w:r>
    </w:p>
    <w:p w:rsidR="00BD35DB" w:rsidRPr="00401691" w:rsidRDefault="00BD35DB" w:rsidP="00844145">
      <w:pPr>
        <w:pStyle w:val="NormalWeb"/>
        <w:tabs>
          <w:tab w:val="left" w:pos="0"/>
          <w:tab w:val="left" w:pos="360"/>
        </w:tabs>
        <w:spacing w:before="0" w:beforeAutospacing="0" w:after="0" w:afterAutospacing="0" w:line="276" w:lineRule="auto"/>
        <w:jc w:val="both"/>
        <w:rPr>
          <w:rFonts w:asciiTheme="majorHAnsi" w:hAnsiTheme="majorHAnsi" w:cstheme="majorHAnsi"/>
          <w:lang w:val="ro-MD"/>
        </w:rPr>
      </w:pPr>
      <w:r w:rsidRPr="00401691">
        <w:rPr>
          <w:rFonts w:asciiTheme="majorHAnsi" w:hAnsiTheme="majorHAnsi" w:cstheme="majorHAnsi"/>
          <w:lang w:val="ro-MD"/>
        </w:rPr>
        <w:t xml:space="preserve">În temeiul art.4 din Legea privind controlul financiar public intern nr.229 din 23.09.2010, managerul entității publice este responsabil </w:t>
      </w:r>
      <w:r w:rsidR="00C22338">
        <w:rPr>
          <w:rFonts w:asciiTheme="majorHAnsi" w:hAnsiTheme="majorHAnsi" w:cstheme="majorHAnsi"/>
          <w:lang w:val="ro-MD"/>
        </w:rPr>
        <w:t>de</w:t>
      </w:r>
      <w:r w:rsidRPr="00401691">
        <w:rPr>
          <w:rFonts w:asciiTheme="majorHAnsi" w:hAnsiTheme="majorHAnsi" w:cstheme="majorHAnsi"/>
          <w:lang w:val="ro-MD"/>
        </w:rPr>
        <w:t xml:space="preserve"> asigurarea principiilor bunei guvernări</w:t>
      </w:r>
      <w:r w:rsidRPr="00401691">
        <w:rPr>
          <w:rStyle w:val="FootnoteReference"/>
          <w:rFonts w:asciiTheme="majorHAnsi" w:hAnsiTheme="majorHAnsi" w:cstheme="majorHAnsi"/>
          <w:lang w:val="ro-MD"/>
        </w:rPr>
        <w:footnoteReference w:id="60"/>
      </w:r>
      <w:r w:rsidRPr="00401691">
        <w:rPr>
          <w:rFonts w:asciiTheme="majorHAnsi" w:hAnsiTheme="majorHAnsi" w:cstheme="majorHAnsi"/>
          <w:lang w:val="ro-MD"/>
        </w:rPr>
        <w:t xml:space="preserve"> în organizarea proceselor de bază a</w:t>
      </w:r>
      <w:r w:rsidR="00C22338">
        <w:rPr>
          <w:rFonts w:asciiTheme="majorHAnsi" w:hAnsiTheme="majorHAnsi" w:cstheme="majorHAnsi"/>
          <w:lang w:val="ro-MD"/>
        </w:rPr>
        <w:t>le</w:t>
      </w:r>
      <w:r w:rsidRPr="00401691">
        <w:rPr>
          <w:rFonts w:asciiTheme="majorHAnsi" w:hAnsiTheme="majorHAnsi" w:cstheme="majorHAnsi"/>
          <w:lang w:val="ro-MD"/>
        </w:rPr>
        <w:t xml:space="preserve"> entității publice. În </w:t>
      </w:r>
      <w:r w:rsidR="00E3699E">
        <w:rPr>
          <w:rFonts w:asciiTheme="majorHAnsi" w:hAnsiTheme="majorHAnsi" w:cstheme="majorHAnsi"/>
          <w:lang w:val="ro-MD"/>
        </w:rPr>
        <w:t xml:space="preserve">acest </w:t>
      </w:r>
      <w:r w:rsidRPr="00401691">
        <w:rPr>
          <w:rFonts w:asciiTheme="majorHAnsi" w:hAnsiTheme="majorHAnsi" w:cstheme="majorHAnsi"/>
          <w:lang w:val="ro-MD"/>
        </w:rPr>
        <w:t>context,</w:t>
      </w:r>
      <w:r w:rsidR="00E3699E">
        <w:rPr>
          <w:rFonts w:asciiTheme="majorHAnsi" w:hAnsiTheme="majorHAnsi" w:cstheme="majorHAnsi"/>
          <w:lang w:val="ro-MD"/>
        </w:rPr>
        <w:t xml:space="preserve"> pentru</w:t>
      </w:r>
      <w:r w:rsidRPr="00401691">
        <w:rPr>
          <w:rFonts w:asciiTheme="majorHAnsi" w:hAnsiTheme="majorHAnsi" w:cstheme="majorHAnsi"/>
          <w:lang w:val="ro-MD"/>
        </w:rPr>
        <w:t xml:space="preserve"> </w:t>
      </w:r>
      <w:r w:rsidR="00E3699E">
        <w:rPr>
          <w:rFonts w:asciiTheme="majorHAnsi" w:hAnsiTheme="majorHAnsi" w:cstheme="majorHAnsi"/>
          <w:lang w:val="ro-MD"/>
        </w:rPr>
        <w:t>executarea</w:t>
      </w:r>
      <w:r w:rsidRPr="00401691">
        <w:rPr>
          <w:rFonts w:asciiTheme="majorHAnsi" w:hAnsiTheme="majorHAnsi" w:cstheme="majorHAnsi"/>
          <w:lang w:val="ro-MD"/>
        </w:rPr>
        <w:t xml:space="preserve"> prevederilor Strategiei menționate, </w:t>
      </w:r>
      <w:r w:rsidR="00E3699E">
        <w:rPr>
          <w:rFonts w:asciiTheme="majorHAnsi" w:hAnsiTheme="majorHAnsi" w:cstheme="majorHAnsi"/>
          <w:lang w:val="ro-MD"/>
        </w:rPr>
        <w:t xml:space="preserve">dat fiind </w:t>
      </w:r>
      <w:r w:rsidRPr="00401691">
        <w:rPr>
          <w:rFonts w:asciiTheme="majorHAnsi" w:hAnsiTheme="majorHAnsi" w:cstheme="majorHAnsi"/>
          <w:lang w:val="ro-MD"/>
        </w:rPr>
        <w:t xml:space="preserve"> că SFS are funcția de constatare a infracțiunilor și </w:t>
      </w:r>
      <w:r w:rsidR="00E3699E">
        <w:rPr>
          <w:rFonts w:asciiTheme="majorHAnsi" w:hAnsiTheme="majorHAnsi" w:cstheme="majorHAnsi"/>
          <w:lang w:val="ro-MD"/>
        </w:rPr>
        <w:t xml:space="preserve">de </w:t>
      </w:r>
      <w:r w:rsidRPr="00401691">
        <w:rPr>
          <w:rFonts w:asciiTheme="majorHAnsi" w:hAnsiTheme="majorHAnsi" w:cstheme="majorHAnsi"/>
          <w:lang w:val="ro-MD"/>
        </w:rPr>
        <w:t>remitere</w:t>
      </w:r>
      <w:r w:rsidR="00E3699E">
        <w:rPr>
          <w:rFonts w:asciiTheme="majorHAnsi" w:hAnsiTheme="majorHAnsi" w:cstheme="majorHAnsi"/>
          <w:lang w:val="ro-MD"/>
        </w:rPr>
        <w:t xml:space="preserve"> </w:t>
      </w:r>
      <w:r w:rsidRPr="00401691">
        <w:rPr>
          <w:rFonts w:asciiTheme="majorHAnsi" w:hAnsiTheme="majorHAnsi" w:cstheme="majorHAnsi"/>
          <w:lang w:val="ro-MD"/>
        </w:rPr>
        <w:t>a acestora</w:t>
      </w:r>
      <w:r w:rsidR="00E3699E">
        <w:rPr>
          <w:rFonts w:asciiTheme="majorHAnsi" w:hAnsiTheme="majorHAnsi" w:cstheme="majorHAnsi"/>
          <w:lang w:val="ro-MD"/>
        </w:rPr>
        <w:t>,</w:t>
      </w:r>
      <w:r w:rsidRPr="00401691">
        <w:rPr>
          <w:rFonts w:asciiTheme="majorHAnsi" w:hAnsiTheme="majorHAnsi" w:cstheme="majorHAnsi"/>
          <w:lang w:val="ro-MD"/>
        </w:rPr>
        <w:t xml:space="preserve"> pentru investigare</w:t>
      </w:r>
      <w:r w:rsidR="00E3699E">
        <w:rPr>
          <w:rFonts w:asciiTheme="majorHAnsi" w:hAnsiTheme="majorHAnsi" w:cstheme="majorHAnsi"/>
          <w:lang w:val="ro-MD"/>
        </w:rPr>
        <w:t>,</w:t>
      </w:r>
      <w:r w:rsidRPr="00401691">
        <w:rPr>
          <w:rFonts w:asciiTheme="majorHAnsi" w:hAnsiTheme="majorHAnsi" w:cstheme="majorHAnsi"/>
          <w:lang w:val="ro-MD"/>
        </w:rPr>
        <w:t xml:space="preserve"> organelor de drept, entitatea este responsabilă de organizarea unui proces eficient de comunicare și conlucrare cu organele </w:t>
      </w:r>
      <w:r w:rsidR="006433D0">
        <w:rPr>
          <w:rFonts w:asciiTheme="majorHAnsi" w:hAnsiTheme="majorHAnsi" w:cstheme="majorHAnsi"/>
          <w:lang w:val="ro-MD"/>
        </w:rPr>
        <w:t xml:space="preserve">competente </w:t>
      </w:r>
      <w:r w:rsidRPr="00401691">
        <w:rPr>
          <w:rFonts w:asciiTheme="majorHAnsi" w:hAnsiTheme="majorHAnsi" w:cstheme="majorHAnsi"/>
          <w:lang w:val="ro-MD"/>
        </w:rPr>
        <w:t>privind recuperarea preju</w:t>
      </w:r>
      <w:r w:rsidR="00DF2E13">
        <w:rPr>
          <w:rFonts w:asciiTheme="majorHAnsi" w:hAnsiTheme="majorHAnsi" w:cstheme="majorHAnsi"/>
          <w:lang w:val="ro-MD"/>
        </w:rPr>
        <w:t>diciilor și daunelor aduse BPN.</w:t>
      </w:r>
    </w:p>
    <w:p w:rsidR="00BD35DB" w:rsidRPr="00401691" w:rsidRDefault="00BD35DB" w:rsidP="00844145">
      <w:pPr>
        <w:spacing w:line="276" w:lineRule="auto"/>
        <w:jc w:val="both"/>
        <w:rPr>
          <w:rFonts w:asciiTheme="majorHAnsi" w:hAnsiTheme="majorHAnsi" w:cstheme="majorHAnsi"/>
          <w:sz w:val="24"/>
          <w:szCs w:val="24"/>
          <w:lang w:val="ro-MD"/>
        </w:rPr>
      </w:pPr>
      <w:r w:rsidRPr="00401691">
        <w:rPr>
          <w:rFonts w:asciiTheme="majorHAnsi" w:hAnsiTheme="majorHAnsi" w:cstheme="majorHAnsi"/>
          <w:sz w:val="24"/>
          <w:szCs w:val="24"/>
          <w:lang w:val="ro-MD"/>
        </w:rPr>
        <w:t>Pentru evaluarea implementării controlului intern managerial în cadrul colaborării organului fiscal cu instituțiile de drept a</w:t>
      </w:r>
      <w:r w:rsidR="006433D0">
        <w:rPr>
          <w:rFonts w:asciiTheme="majorHAnsi" w:hAnsiTheme="majorHAnsi" w:cstheme="majorHAnsi"/>
          <w:sz w:val="24"/>
          <w:szCs w:val="24"/>
          <w:lang w:val="ro-MD"/>
        </w:rPr>
        <w:t>le</w:t>
      </w:r>
      <w:r w:rsidRPr="00401691">
        <w:rPr>
          <w:rFonts w:asciiTheme="majorHAnsi" w:hAnsiTheme="majorHAnsi" w:cstheme="majorHAnsi"/>
          <w:sz w:val="24"/>
          <w:szCs w:val="24"/>
          <w:lang w:val="ro-MD"/>
        </w:rPr>
        <w:t xml:space="preserve"> statului, echipa de audit a identificat un eșantion de 1</w:t>
      </w:r>
      <w:r w:rsidR="00DF2E13">
        <w:rPr>
          <w:rFonts w:asciiTheme="majorHAnsi" w:hAnsiTheme="majorHAnsi" w:cstheme="majorHAnsi"/>
          <w:sz w:val="24"/>
          <w:szCs w:val="24"/>
          <w:lang w:val="ro-MD"/>
        </w:rPr>
        <w:t>6</w:t>
      </w:r>
      <w:r w:rsidRPr="00401691">
        <w:rPr>
          <w:rFonts w:asciiTheme="majorHAnsi" w:hAnsiTheme="majorHAnsi" w:cstheme="majorHAnsi"/>
          <w:sz w:val="24"/>
          <w:szCs w:val="24"/>
          <w:lang w:val="ro-MD"/>
        </w:rPr>
        <w:t xml:space="preserve"> contribuabili cu restanțe semnificative, </w:t>
      </w:r>
      <w:r w:rsidR="00E3699E">
        <w:rPr>
          <w:rFonts w:asciiTheme="majorHAnsi" w:hAnsiTheme="majorHAnsi" w:cstheme="majorHAnsi"/>
          <w:sz w:val="24"/>
          <w:szCs w:val="24"/>
          <w:lang w:val="ro-MD"/>
        </w:rPr>
        <w:t xml:space="preserve">a căror </w:t>
      </w:r>
      <w:r w:rsidRPr="00401691">
        <w:rPr>
          <w:rFonts w:asciiTheme="majorHAnsi" w:hAnsiTheme="majorHAnsi" w:cstheme="majorHAnsi"/>
          <w:sz w:val="24"/>
          <w:szCs w:val="24"/>
          <w:lang w:val="ro-MD"/>
        </w:rPr>
        <w:t>va</w:t>
      </w:r>
      <w:r w:rsidR="00DF2E13">
        <w:rPr>
          <w:rFonts w:asciiTheme="majorHAnsi" w:hAnsiTheme="majorHAnsi" w:cstheme="majorHAnsi"/>
          <w:sz w:val="24"/>
          <w:szCs w:val="24"/>
          <w:lang w:val="ro-MD"/>
        </w:rPr>
        <w:t xml:space="preserve">loare a constituit în </w:t>
      </w:r>
      <w:r w:rsidRPr="00401691">
        <w:rPr>
          <w:rFonts w:asciiTheme="majorHAnsi" w:hAnsiTheme="majorHAnsi" w:cstheme="majorHAnsi"/>
          <w:sz w:val="24"/>
          <w:szCs w:val="24"/>
          <w:lang w:val="ro-MD"/>
        </w:rPr>
        <w:t>total</w:t>
      </w:r>
      <w:r w:rsidR="00DF2E13">
        <w:rPr>
          <w:rFonts w:asciiTheme="majorHAnsi" w:hAnsiTheme="majorHAnsi" w:cstheme="majorHAnsi"/>
          <w:sz w:val="24"/>
          <w:szCs w:val="24"/>
          <w:lang w:val="ro-MD"/>
        </w:rPr>
        <w:t xml:space="preserve"> 4078,1 mil. lei,</w:t>
      </w:r>
      <w:r w:rsidRPr="00401691">
        <w:rPr>
          <w:rFonts w:asciiTheme="majorHAnsi" w:hAnsiTheme="majorHAnsi" w:cstheme="majorHAnsi"/>
          <w:sz w:val="24"/>
          <w:szCs w:val="24"/>
          <w:lang w:val="ro-MD"/>
        </w:rPr>
        <w:t xml:space="preserve"> per contribuabil fiind cupri</w:t>
      </w:r>
      <w:r w:rsidR="00DF2E13">
        <w:rPr>
          <w:rFonts w:asciiTheme="majorHAnsi" w:hAnsiTheme="majorHAnsi" w:cstheme="majorHAnsi"/>
          <w:sz w:val="24"/>
          <w:szCs w:val="24"/>
          <w:lang w:val="ro-MD"/>
        </w:rPr>
        <w:t xml:space="preserve">nse </w:t>
      </w:r>
      <w:r w:rsidR="00E3699E">
        <w:rPr>
          <w:rFonts w:asciiTheme="majorHAnsi" w:hAnsiTheme="majorHAnsi" w:cstheme="majorHAnsi"/>
          <w:sz w:val="24"/>
          <w:szCs w:val="24"/>
          <w:lang w:val="ro-MD"/>
        </w:rPr>
        <w:t>între</w:t>
      </w:r>
      <w:r w:rsidR="00DF2E13">
        <w:rPr>
          <w:rFonts w:asciiTheme="majorHAnsi" w:hAnsiTheme="majorHAnsi" w:cstheme="majorHAnsi"/>
          <w:sz w:val="24"/>
          <w:szCs w:val="24"/>
          <w:lang w:val="ro-MD"/>
        </w:rPr>
        <w:t xml:space="preserve"> 88,8 mil. lei</w:t>
      </w:r>
      <w:r w:rsidR="00E3699E">
        <w:rPr>
          <w:rFonts w:asciiTheme="majorHAnsi" w:hAnsiTheme="majorHAnsi" w:cstheme="majorHAnsi"/>
          <w:sz w:val="24"/>
          <w:szCs w:val="24"/>
          <w:lang w:val="ro-MD"/>
        </w:rPr>
        <w:t xml:space="preserve"> și</w:t>
      </w:r>
      <w:r w:rsidRPr="00401691">
        <w:rPr>
          <w:rFonts w:asciiTheme="majorHAnsi" w:hAnsiTheme="majorHAnsi" w:cstheme="majorHAnsi"/>
          <w:sz w:val="24"/>
          <w:szCs w:val="24"/>
          <w:lang w:val="ro-MD"/>
        </w:rPr>
        <w:t xml:space="preserve"> 516,4 mil. lei, </w:t>
      </w:r>
      <w:r w:rsidR="00E3699E">
        <w:rPr>
          <w:rFonts w:asciiTheme="majorHAnsi" w:hAnsiTheme="majorHAnsi" w:cstheme="majorHAnsi"/>
          <w:sz w:val="24"/>
          <w:szCs w:val="24"/>
          <w:lang w:val="ro-MD"/>
        </w:rPr>
        <w:t xml:space="preserve">astfel </w:t>
      </w:r>
      <w:r w:rsidRPr="00401691">
        <w:rPr>
          <w:rFonts w:asciiTheme="majorHAnsi" w:hAnsiTheme="majorHAnsi" w:cstheme="majorHAnsi"/>
          <w:sz w:val="24"/>
          <w:szCs w:val="24"/>
          <w:lang w:val="ro-MD"/>
        </w:rPr>
        <w:t>solicitând</w:t>
      </w:r>
      <w:r w:rsidR="00E3699E">
        <w:rPr>
          <w:rFonts w:asciiTheme="majorHAnsi" w:hAnsiTheme="majorHAnsi" w:cstheme="majorHAnsi"/>
          <w:sz w:val="24"/>
          <w:szCs w:val="24"/>
          <w:lang w:val="ro-MD"/>
        </w:rPr>
        <w:t>u</w:t>
      </w:r>
      <w:r w:rsidRPr="00401691">
        <w:rPr>
          <w:rFonts w:asciiTheme="majorHAnsi" w:hAnsiTheme="majorHAnsi" w:cstheme="majorHAnsi"/>
          <w:sz w:val="24"/>
          <w:szCs w:val="24"/>
          <w:lang w:val="ro-MD"/>
        </w:rPr>
        <w:t>-se informația de la SFS</w:t>
      </w:r>
      <w:r w:rsidRPr="00401691">
        <w:rPr>
          <w:rStyle w:val="FootnoteReference"/>
          <w:rFonts w:asciiTheme="majorHAnsi" w:hAnsiTheme="majorHAnsi" w:cstheme="majorHAnsi"/>
          <w:sz w:val="24"/>
          <w:szCs w:val="24"/>
          <w:lang w:val="ro-MD"/>
        </w:rPr>
        <w:footnoteReference w:id="61"/>
      </w:r>
      <w:r w:rsidRPr="00401691">
        <w:rPr>
          <w:rFonts w:asciiTheme="majorHAnsi" w:hAnsiTheme="majorHAnsi" w:cstheme="majorHAnsi"/>
          <w:sz w:val="24"/>
          <w:szCs w:val="24"/>
          <w:lang w:val="ro-MD"/>
        </w:rPr>
        <w:t>. D</w:t>
      </w:r>
      <w:r w:rsidR="00E13920" w:rsidRPr="00401691">
        <w:rPr>
          <w:rFonts w:asciiTheme="majorHAnsi" w:hAnsiTheme="majorHAnsi" w:cstheme="majorHAnsi"/>
          <w:sz w:val="24"/>
          <w:szCs w:val="24"/>
          <w:lang w:val="ro-MD"/>
        </w:rPr>
        <w:t xml:space="preserve">atele </w:t>
      </w:r>
      <w:r w:rsidR="00182365">
        <w:rPr>
          <w:rFonts w:asciiTheme="majorHAnsi" w:hAnsiTheme="majorHAnsi" w:cstheme="majorHAnsi"/>
          <w:sz w:val="24"/>
          <w:szCs w:val="24"/>
          <w:lang w:val="ro-MD"/>
        </w:rPr>
        <w:t xml:space="preserve">în acest context </w:t>
      </w:r>
      <w:r w:rsidR="00E13920" w:rsidRPr="00401691">
        <w:rPr>
          <w:rFonts w:asciiTheme="majorHAnsi" w:hAnsiTheme="majorHAnsi" w:cstheme="majorHAnsi"/>
          <w:sz w:val="24"/>
          <w:szCs w:val="24"/>
          <w:lang w:val="ro-MD"/>
        </w:rPr>
        <w:t xml:space="preserve">se prezintă </w:t>
      </w:r>
      <w:r w:rsidR="00182365">
        <w:rPr>
          <w:rFonts w:asciiTheme="majorHAnsi" w:hAnsiTheme="majorHAnsi" w:cstheme="majorHAnsi"/>
          <w:sz w:val="24"/>
          <w:szCs w:val="24"/>
          <w:lang w:val="ro-MD"/>
        </w:rPr>
        <w:t xml:space="preserve">detaliat </w:t>
      </w:r>
      <w:r w:rsidR="00E13920" w:rsidRPr="00401691">
        <w:rPr>
          <w:rFonts w:asciiTheme="majorHAnsi" w:hAnsiTheme="majorHAnsi" w:cstheme="majorHAnsi"/>
          <w:sz w:val="24"/>
          <w:szCs w:val="24"/>
          <w:lang w:val="ro-MD"/>
        </w:rPr>
        <w:t xml:space="preserve">în Anexa nr. </w:t>
      </w:r>
      <w:r w:rsidR="001E37F9">
        <w:rPr>
          <w:rFonts w:asciiTheme="majorHAnsi" w:hAnsiTheme="majorHAnsi" w:cstheme="majorHAnsi"/>
          <w:sz w:val="24"/>
          <w:szCs w:val="24"/>
          <w:lang w:val="ro-MD"/>
        </w:rPr>
        <w:t>9</w:t>
      </w:r>
      <w:r w:rsidR="00DF2E13">
        <w:rPr>
          <w:rFonts w:asciiTheme="majorHAnsi" w:hAnsiTheme="majorHAnsi" w:cstheme="majorHAnsi"/>
          <w:sz w:val="24"/>
          <w:szCs w:val="24"/>
          <w:lang w:val="ro-MD"/>
        </w:rPr>
        <w:t xml:space="preserve"> la</w:t>
      </w:r>
      <w:r w:rsidRPr="00401691">
        <w:rPr>
          <w:rFonts w:asciiTheme="majorHAnsi" w:hAnsiTheme="majorHAnsi" w:cstheme="majorHAnsi"/>
          <w:sz w:val="24"/>
          <w:szCs w:val="24"/>
          <w:lang w:val="ro-MD"/>
        </w:rPr>
        <w:t xml:space="preserve"> Raportul de audit.</w:t>
      </w:r>
      <w:r w:rsidR="00DF2E13">
        <w:rPr>
          <w:rFonts w:asciiTheme="majorHAnsi" w:hAnsiTheme="majorHAnsi" w:cstheme="majorHAnsi"/>
          <w:sz w:val="24"/>
          <w:szCs w:val="24"/>
          <w:lang w:val="ro-MD"/>
        </w:rPr>
        <w:t xml:space="preserve"> </w:t>
      </w:r>
      <w:r w:rsidR="00BC3004">
        <w:rPr>
          <w:rFonts w:asciiTheme="majorHAnsi" w:hAnsiTheme="majorHAnsi" w:cstheme="majorHAnsi"/>
          <w:sz w:val="24"/>
          <w:szCs w:val="24"/>
          <w:lang w:val="ro-MD"/>
        </w:rPr>
        <w:t>Examinând</w:t>
      </w:r>
      <w:r w:rsidR="00DF2E13">
        <w:rPr>
          <w:rFonts w:asciiTheme="majorHAnsi" w:hAnsiTheme="majorHAnsi" w:cstheme="majorHAnsi"/>
          <w:sz w:val="24"/>
          <w:szCs w:val="24"/>
          <w:lang w:val="ro-MD"/>
        </w:rPr>
        <w:t xml:space="preserve"> eșantionul selectat, se denotă că organul fiscal nu dispune de documente care justifică comunicarea cu organele de drept </w:t>
      </w:r>
      <w:r w:rsidR="001556AC">
        <w:rPr>
          <w:rFonts w:asciiTheme="majorHAnsi" w:hAnsiTheme="majorHAnsi" w:cstheme="majorHAnsi"/>
          <w:sz w:val="24"/>
          <w:szCs w:val="24"/>
          <w:lang w:val="ro-MD"/>
        </w:rPr>
        <w:t>pri</w:t>
      </w:r>
      <w:r w:rsidR="00D2516B">
        <w:rPr>
          <w:rFonts w:asciiTheme="majorHAnsi" w:hAnsiTheme="majorHAnsi" w:cstheme="majorHAnsi"/>
          <w:sz w:val="24"/>
          <w:szCs w:val="24"/>
          <w:lang w:val="ro-MD"/>
        </w:rPr>
        <w:t xml:space="preserve">vind rezultatele investigării </w:t>
      </w:r>
      <w:r w:rsidR="001556AC">
        <w:rPr>
          <w:rFonts w:asciiTheme="majorHAnsi" w:hAnsiTheme="majorHAnsi" w:cstheme="majorHAnsi"/>
          <w:sz w:val="24"/>
          <w:szCs w:val="24"/>
          <w:lang w:val="ro-MD"/>
        </w:rPr>
        <w:t xml:space="preserve"> materialelor remise organul</w:t>
      </w:r>
      <w:r w:rsidR="00182365">
        <w:rPr>
          <w:rFonts w:asciiTheme="majorHAnsi" w:hAnsiTheme="majorHAnsi" w:cstheme="majorHAnsi"/>
          <w:sz w:val="24"/>
          <w:szCs w:val="24"/>
          <w:lang w:val="ro-MD"/>
        </w:rPr>
        <w:t>ui</w:t>
      </w:r>
      <w:r w:rsidR="001556AC">
        <w:rPr>
          <w:rFonts w:asciiTheme="majorHAnsi" w:hAnsiTheme="majorHAnsi" w:cstheme="majorHAnsi"/>
          <w:sz w:val="24"/>
          <w:szCs w:val="24"/>
          <w:lang w:val="ro-MD"/>
        </w:rPr>
        <w:t xml:space="preserve"> fiscal aferente fraudelor fiscale, </w:t>
      </w:r>
      <w:r w:rsidRPr="00401691">
        <w:rPr>
          <w:rFonts w:asciiTheme="majorHAnsi" w:hAnsiTheme="majorHAnsi" w:cstheme="majorHAnsi"/>
          <w:sz w:val="24"/>
          <w:szCs w:val="24"/>
          <w:lang w:val="ro-MD"/>
        </w:rPr>
        <w:t xml:space="preserve">afirmație susținută prin următoarele constatări: </w:t>
      </w:r>
    </w:p>
    <w:p w:rsidR="00BD35DB" w:rsidRPr="001556AC" w:rsidRDefault="00943B89" w:rsidP="00D570EA">
      <w:pPr>
        <w:pStyle w:val="ListParagraph"/>
        <w:numPr>
          <w:ilvl w:val="0"/>
          <w:numId w:val="12"/>
        </w:numPr>
        <w:tabs>
          <w:tab w:val="left" w:pos="360"/>
        </w:tabs>
        <w:spacing w:after="0" w:line="276" w:lineRule="auto"/>
        <w:contextualSpacing w:val="0"/>
        <w:jc w:val="both"/>
        <w:rPr>
          <w:rFonts w:asciiTheme="majorHAnsi" w:hAnsiTheme="majorHAnsi" w:cstheme="majorHAnsi"/>
          <w:sz w:val="24"/>
          <w:szCs w:val="24"/>
          <w:lang w:val="ro-MD"/>
        </w:rPr>
      </w:pPr>
      <w:r>
        <w:rPr>
          <w:rFonts w:asciiTheme="majorHAnsi" w:hAnsiTheme="majorHAnsi" w:cstheme="majorHAnsi"/>
          <w:sz w:val="24"/>
          <w:szCs w:val="24"/>
          <w:lang w:val="ro-MD"/>
        </w:rPr>
        <w:t>SFS nu are</w:t>
      </w:r>
      <w:r w:rsidR="002A7ECF">
        <w:rPr>
          <w:rFonts w:asciiTheme="majorHAnsi" w:hAnsiTheme="majorHAnsi" w:cstheme="majorHAnsi"/>
          <w:sz w:val="24"/>
          <w:szCs w:val="24"/>
          <w:lang w:val="ro-MD"/>
        </w:rPr>
        <w:t xml:space="preserve"> încheiate</w:t>
      </w:r>
      <w:r>
        <w:rPr>
          <w:rFonts w:asciiTheme="majorHAnsi" w:hAnsiTheme="majorHAnsi" w:cstheme="majorHAnsi"/>
          <w:sz w:val="24"/>
          <w:szCs w:val="24"/>
          <w:lang w:val="ro-MD"/>
        </w:rPr>
        <w:t xml:space="preserve"> Acorduri</w:t>
      </w:r>
      <w:r w:rsidR="00BD35DB" w:rsidRPr="001556AC">
        <w:rPr>
          <w:rFonts w:asciiTheme="majorHAnsi" w:hAnsiTheme="majorHAnsi" w:cstheme="majorHAnsi"/>
          <w:sz w:val="24"/>
          <w:szCs w:val="24"/>
          <w:lang w:val="ro-MD"/>
        </w:rPr>
        <w:t xml:space="preserve"> bilaterale de colaborare cu organele de drept</w:t>
      </w:r>
      <w:r w:rsidR="00182365">
        <w:rPr>
          <w:rFonts w:asciiTheme="majorHAnsi" w:hAnsiTheme="majorHAnsi" w:cstheme="majorHAnsi"/>
          <w:sz w:val="24"/>
          <w:szCs w:val="24"/>
          <w:lang w:val="ro-MD"/>
        </w:rPr>
        <w:t>,</w:t>
      </w:r>
      <w:r w:rsidR="00BD35DB" w:rsidRPr="001556AC">
        <w:rPr>
          <w:rFonts w:asciiTheme="majorHAnsi" w:hAnsiTheme="majorHAnsi" w:cstheme="majorHAnsi"/>
          <w:sz w:val="24"/>
          <w:szCs w:val="24"/>
          <w:lang w:val="ro-MD"/>
        </w:rPr>
        <w:t xml:space="preserve"> în vederea schimbului de informații referitor la derul</w:t>
      </w:r>
      <w:r w:rsidR="00121AF7" w:rsidRPr="001556AC">
        <w:rPr>
          <w:rFonts w:asciiTheme="majorHAnsi" w:hAnsiTheme="majorHAnsi" w:cstheme="majorHAnsi"/>
          <w:sz w:val="24"/>
          <w:szCs w:val="24"/>
          <w:lang w:val="ro-MD"/>
        </w:rPr>
        <w:t>area și etapele investigației (</w:t>
      </w:r>
      <w:r w:rsidR="00D2516B">
        <w:rPr>
          <w:rFonts w:asciiTheme="majorHAnsi" w:hAnsiTheme="majorHAnsi" w:cstheme="majorHAnsi"/>
          <w:sz w:val="24"/>
          <w:szCs w:val="24"/>
          <w:lang w:val="ro-MD"/>
        </w:rPr>
        <w:t>Procuratura Generală</w:t>
      </w:r>
      <w:r w:rsidR="00D2516B" w:rsidRPr="00481C66">
        <w:rPr>
          <w:rFonts w:asciiTheme="majorHAnsi" w:hAnsiTheme="majorHAnsi" w:cstheme="majorHAnsi"/>
          <w:sz w:val="24"/>
          <w:szCs w:val="24"/>
          <w:lang w:val="ro-MD"/>
        </w:rPr>
        <w:t xml:space="preserve">; </w:t>
      </w:r>
      <w:r w:rsidR="00BD35DB" w:rsidRPr="00481C66">
        <w:rPr>
          <w:rFonts w:asciiTheme="majorHAnsi" w:hAnsiTheme="majorHAnsi" w:cstheme="majorHAnsi"/>
          <w:sz w:val="24"/>
          <w:szCs w:val="24"/>
          <w:lang w:val="ro-MD"/>
        </w:rPr>
        <w:t>PCCO</w:t>
      </w:r>
      <w:r w:rsidR="00481C66" w:rsidRPr="00481C66">
        <w:rPr>
          <w:rFonts w:asciiTheme="majorHAnsi" w:hAnsiTheme="majorHAnsi" w:cstheme="majorHAnsi"/>
          <w:sz w:val="24"/>
          <w:szCs w:val="24"/>
          <w:lang w:val="ro-MD"/>
        </w:rPr>
        <w:t>C</w:t>
      </w:r>
      <w:r w:rsidR="00BD35DB" w:rsidRPr="00481C66">
        <w:rPr>
          <w:rFonts w:asciiTheme="majorHAnsi" w:hAnsiTheme="majorHAnsi" w:cstheme="majorHAnsi"/>
          <w:sz w:val="24"/>
          <w:szCs w:val="24"/>
          <w:lang w:val="ro-MD"/>
        </w:rPr>
        <w:t>S,CNA)</w:t>
      </w:r>
      <w:r w:rsidR="001556AC" w:rsidRPr="00481C66">
        <w:rPr>
          <w:rFonts w:asciiTheme="majorHAnsi" w:hAnsiTheme="majorHAnsi" w:cstheme="majorHAnsi"/>
          <w:sz w:val="24"/>
          <w:szCs w:val="24"/>
          <w:lang w:val="ro-MD"/>
        </w:rPr>
        <w:t>,</w:t>
      </w:r>
      <w:r w:rsidR="001556AC" w:rsidRPr="001556AC">
        <w:rPr>
          <w:rFonts w:asciiTheme="majorHAnsi" w:hAnsiTheme="majorHAnsi" w:cstheme="majorHAnsi"/>
          <w:sz w:val="24"/>
          <w:szCs w:val="24"/>
          <w:lang w:val="ro-MD"/>
        </w:rPr>
        <w:t xml:space="preserve"> și</w:t>
      </w:r>
      <w:r w:rsidR="00182365">
        <w:rPr>
          <w:rFonts w:asciiTheme="majorHAnsi" w:hAnsiTheme="majorHAnsi" w:cstheme="majorHAnsi"/>
          <w:sz w:val="24"/>
          <w:szCs w:val="24"/>
          <w:lang w:val="ro-MD"/>
        </w:rPr>
        <w:t>,</w:t>
      </w:r>
      <w:r w:rsidR="001556AC" w:rsidRPr="001556AC">
        <w:rPr>
          <w:rFonts w:asciiTheme="majorHAnsi" w:hAnsiTheme="majorHAnsi" w:cstheme="majorHAnsi"/>
          <w:sz w:val="24"/>
          <w:szCs w:val="24"/>
          <w:lang w:val="ro-MD"/>
        </w:rPr>
        <w:t xml:space="preserve"> respectiv</w:t>
      </w:r>
      <w:r w:rsidR="00182365">
        <w:rPr>
          <w:rFonts w:asciiTheme="majorHAnsi" w:hAnsiTheme="majorHAnsi" w:cstheme="majorHAnsi"/>
          <w:sz w:val="24"/>
          <w:szCs w:val="24"/>
          <w:lang w:val="ro-MD"/>
        </w:rPr>
        <w:t>,</w:t>
      </w:r>
      <w:r w:rsidR="001556AC" w:rsidRPr="001556AC">
        <w:rPr>
          <w:rFonts w:asciiTheme="majorHAnsi" w:hAnsiTheme="majorHAnsi" w:cstheme="majorHAnsi"/>
          <w:sz w:val="24"/>
          <w:szCs w:val="24"/>
          <w:lang w:val="ro-MD"/>
        </w:rPr>
        <w:t xml:space="preserve"> </w:t>
      </w:r>
      <w:r w:rsidR="00BD35DB" w:rsidRPr="001556AC">
        <w:rPr>
          <w:rFonts w:asciiTheme="majorHAnsi" w:hAnsiTheme="majorHAnsi" w:cstheme="majorHAnsi"/>
          <w:sz w:val="24"/>
          <w:szCs w:val="24"/>
          <w:lang w:val="ro-MD"/>
        </w:rPr>
        <w:t xml:space="preserve">nu </w:t>
      </w:r>
      <w:r w:rsidR="001556AC">
        <w:rPr>
          <w:rFonts w:asciiTheme="majorHAnsi" w:hAnsiTheme="majorHAnsi" w:cstheme="majorHAnsi"/>
          <w:sz w:val="24"/>
          <w:szCs w:val="24"/>
          <w:lang w:val="ro-MD"/>
        </w:rPr>
        <w:t xml:space="preserve">deține o </w:t>
      </w:r>
      <w:r w:rsidR="00BD35DB" w:rsidRPr="001556AC">
        <w:rPr>
          <w:rFonts w:asciiTheme="majorHAnsi" w:hAnsiTheme="majorHAnsi" w:cstheme="majorHAnsi"/>
          <w:sz w:val="24"/>
          <w:szCs w:val="24"/>
          <w:lang w:val="ro-MD"/>
        </w:rPr>
        <w:t>proce</w:t>
      </w:r>
      <w:r w:rsidR="001556AC" w:rsidRPr="001556AC">
        <w:rPr>
          <w:rFonts w:asciiTheme="majorHAnsi" w:hAnsiTheme="majorHAnsi" w:cstheme="majorHAnsi"/>
          <w:sz w:val="24"/>
          <w:szCs w:val="24"/>
          <w:lang w:val="ro-MD"/>
        </w:rPr>
        <w:t xml:space="preserve">dură </w:t>
      </w:r>
      <w:r w:rsidR="00BD35DB" w:rsidRPr="001556AC">
        <w:rPr>
          <w:rFonts w:asciiTheme="majorHAnsi" w:hAnsiTheme="majorHAnsi" w:cstheme="majorHAnsi"/>
          <w:sz w:val="24"/>
          <w:szCs w:val="24"/>
          <w:lang w:val="ro-MD"/>
        </w:rPr>
        <w:t xml:space="preserve">de monitorizare a materialelor controalelor fiscale remise în adresa organelor </w:t>
      </w:r>
      <w:r w:rsidR="00182365">
        <w:rPr>
          <w:rFonts w:asciiTheme="majorHAnsi" w:hAnsiTheme="majorHAnsi" w:cstheme="majorHAnsi"/>
          <w:sz w:val="24"/>
          <w:szCs w:val="24"/>
          <w:lang w:val="ro-MD"/>
        </w:rPr>
        <w:t xml:space="preserve">de </w:t>
      </w:r>
      <w:r w:rsidR="00BD35DB" w:rsidRPr="001556AC">
        <w:rPr>
          <w:rFonts w:asciiTheme="majorHAnsi" w:hAnsiTheme="majorHAnsi" w:cstheme="majorHAnsi"/>
          <w:sz w:val="24"/>
          <w:szCs w:val="24"/>
          <w:lang w:val="ro-MD"/>
        </w:rPr>
        <w:t xml:space="preserve">drept și </w:t>
      </w:r>
      <w:r w:rsidR="00182365">
        <w:rPr>
          <w:rFonts w:asciiTheme="majorHAnsi" w:hAnsiTheme="majorHAnsi" w:cstheme="majorHAnsi"/>
          <w:sz w:val="24"/>
          <w:szCs w:val="24"/>
          <w:lang w:val="ro-MD"/>
        </w:rPr>
        <w:t xml:space="preserve">a </w:t>
      </w:r>
      <w:r w:rsidR="00BD35DB" w:rsidRPr="001556AC">
        <w:rPr>
          <w:rFonts w:asciiTheme="majorHAnsi" w:hAnsiTheme="majorHAnsi" w:cstheme="majorHAnsi"/>
          <w:sz w:val="24"/>
          <w:szCs w:val="24"/>
          <w:lang w:val="ro-MD"/>
        </w:rPr>
        <w:t>etapelor de investigație</w:t>
      </w:r>
      <w:r w:rsidR="002A7ECF">
        <w:rPr>
          <w:rFonts w:asciiTheme="majorHAnsi" w:hAnsiTheme="majorHAnsi" w:cstheme="majorHAnsi"/>
          <w:sz w:val="24"/>
          <w:szCs w:val="24"/>
          <w:lang w:val="ro-MD"/>
        </w:rPr>
        <w:t xml:space="preserve"> </w:t>
      </w:r>
      <w:r w:rsidR="00BD35DB" w:rsidRPr="001556AC">
        <w:rPr>
          <w:rFonts w:asciiTheme="majorHAnsi" w:hAnsiTheme="majorHAnsi" w:cstheme="majorHAnsi"/>
          <w:sz w:val="24"/>
          <w:szCs w:val="24"/>
          <w:lang w:val="ro-MD"/>
        </w:rPr>
        <w:t xml:space="preserve">a fraudei fiscale, </w:t>
      </w:r>
      <w:r w:rsidR="00182365">
        <w:rPr>
          <w:rFonts w:asciiTheme="majorHAnsi" w:hAnsiTheme="majorHAnsi" w:cstheme="majorHAnsi"/>
          <w:sz w:val="24"/>
          <w:szCs w:val="24"/>
          <w:lang w:val="ro-MD"/>
        </w:rPr>
        <w:t>pe</w:t>
      </w:r>
      <w:r w:rsidR="00BD35DB" w:rsidRPr="001556AC">
        <w:rPr>
          <w:rFonts w:asciiTheme="majorHAnsi" w:hAnsiTheme="majorHAnsi" w:cstheme="majorHAnsi"/>
          <w:sz w:val="24"/>
          <w:szCs w:val="24"/>
          <w:lang w:val="ro-MD"/>
        </w:rPr>
        <w:t>ntru restituirea prejudiciului cauzat statului;</w:t>
      </w:r>
    </w:p>
    <w:p w:rsidR="00D8260A" w:rsidRPr="00401691" w:rsidRDefault="00DF2E13" w:rsidP="00844145">
      <w:pPr>
        <w:pStyle w:val="ListParagraph"/>
        <w:numPr>
          <w:ilvl w:val="0"/>
          <w:numId w:val="12"/>
        </w:numPr>
        <w:spacing w:after="120" w:line="276" w:lineRule="auto"/>
        <w:contextualSpacing w:val="0"/>
        <w:jc w:val="both"/>
        <w:rPr>
          <w:rFonts w:asciiTheme="majorHAnsi" w:hAnsiTheme="majorHAnsi" w:cstheme="majorHAnsi"/>
          <w:sz w:val="24"/>
          <w:szCs w:val="24"/>
          <w:lang w:val="ro-MD"/>
        </w:rPr>
      </w:pPr>
      <w:r w:rsidRPr="00D8260A">
        <w:rPr>
          <w:rFonts w:asciiTheme="majorHAnsi" w:hAnsiTheme="majorHAnsi" w:cstheme="majorHAnsi"/>
          <w:sz w:val="24"/>
          <w:szCs w:val="24"/>
          <w:lang w:val="ro-MD"/>
        </w:rPr>
        <w:t xml:space="preserve">SFS nu deține </w:t>
      </w:r>
      <w:r w:rsidR="00D8260A">
        <w:rPr>
          <w:rFonts w:asciiTheme="majorHAnsi" w:hAnsiTheme="majorHAnsi" w:cstheme="majorHAnsi"/>
          <w:sz w:val="24"/>
          <w:szCs w:val="24"/>
          <w:lang w:val="ro-MD"/>
        </w:rPr>
        <w:t>o</w:t>
      </w:r>
      <w:r w:rsidRPr="00D8260A">
        <w:rPr>
          <w:rFonts w:asciiTheme="majorHAnsi" w:hAnsiTheme="majorHAnsi" w:cstheme="majorHAnsi"/>
          <w:sz w:val="24"/>
          <w:szCs w:val="24"/>
          <w:lang w:val="ro-MD"/>
        </w:rPr>
        <w:t>rdonanțele</w:t>
      </w:r>
      <w:r w:rsidR="00D8260A" w:rsidRPr="00D8260A">
        <w:rPr>
          <w:rFonts w:asciiTheme="majorHAnsi" w:hAnsiTheme="majorHAnsi" w:cstheme="majorHAnsi"/>
          <w:sz w:val="24"/>
          <w:szCs w:val="24"/>
          <w:lang w:val="ro-MD"/>
        </w:rPr>
        <w:t xml:space="preserve"> respective cu privire la intentarea sau refuz</w:t>
      </w:r>
      <w:r w:rsidR="00182365">
        <w:rPr>
          <w:rFonts w:asciiTheme="majorHAnsi" w:hAnsiTheme="majorHAnsi" w:cstheme="majorHAnsi"/>
          <w:sz w:val="24"/>
          <w:szCs w:val="24"/>
          <w:lang w:val="ro-MD"/>
        </w:rPr>
        <w:t>ul</w:t>
      </w:r>
      <w:r w:rsidR="00D8260A" w:rsidRPr="00D8260A">
        <w:rPr>
          <w:rFonts w:asciiTheme="majorHAnsi" w:hAnsiTheme="majorHAnsi" w:cstheme="majorHAnsi"/>
          <w:sz w:val="24"/>
          <w:szCs w:val="24"/>
          <w:lang w:val="ro-MD"/>
        </w:rPr>
        <w:t xml:space="preserve"> de intentare a cauzei penale pe faptul evaziunii fiscale, corespondența cu organele de drept.</w:t>
      </w:r>
    </w:p>
    <w:p w:rsidR="00D8260A" w:rsidRPr="00401691" w:rsidRDefault="00D8260A" w:rsidP="00844145">
      <w:pPr>
        <w:pStyle w:val="ListParagraph"/>
        <w:tabs>
          <w:tab w:val="left" w:pos="0"/>
        </w:tabs>
        <w:spacing w:line="276" w:lineRule="auto"/>
        <w:ind w:left="0"/>
        <w:jc w:val="both"/>
        <w:rPr>
          <w:rFonts w:asciiTheme="majorHAnsi" w:hAnsiTheme="majorHAnsi" w:cstheme="majorHAnsi"/>
          <w:sz w:val="24"/>
          <w:szCs w:val="24"/>
          <w:lang w:val="ro-MD"/>
        </w:rPr>
      </w:pPr>
      <w:r w:rsidRPr="00401691">
        <w:rPr>
          <w:rFonts w:asciiTheme="majorHAnsi" w:hAnsiTheme="majorHAnsi" w:cstheme="majorHAnsi"/>
          <w:sz w:val="24"/>
          <w:szCs w:val="24"/>
          <w:lang w:val="ro-MD"/>
        </w:rPr>
        <w:t>Astfel</w:t>
      </w:r>
      <w:r>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w:t>
      </w:r>
      <w:r w:rsidR="002A7ECF">
        <w:rPr>
          <w:rFonts w:asciiTheme="majorHAnsi" w:hAnsiTheme="majorHAnsi" w:cstheme="majorHAnsi"/>
          <w:sz w:val="24"/>
          <w:szCs w:val="24"/>
          <w:lang w:val="ro-MD"/>
        </w:rPr>
        <w:t>din</w:t>
      </w:r>
      <w:r w:rsidRPr="00401691">
        <w:rPr>
          <w:rFonts w:asciiTheme="majorHAnsi" w:hAnsiTheme="majorHAnsi" w:cstheme="majorHAnsi"/>
          <w:sz w:val="24"/>
          <w:szCs w:val="24"/>
          <w:lang w:val="ro-MD"/>
        </w:rPr>
        <w:t xml:space="preserve"> materialel</w:t>
      </w:r>
      <w:r w:rsidR="002A7ECF">
        <w:rPr>
          <w:rFonts w:asciiTheme="majorHAnsi" w:hAnsiTheme="majorHAnsi" w:cstheme="majorHAnsi"/>
          <w:sz w:val="24"/>
          <w:szCs w:val="24"/>
          <w:lang w:val="ro-MD"/>
        </w:rPr>
        <w:t>e</w:t>
      </w:r>
      <w:r w:rsidRPr="00401691">
        <w:rPr>
          <w:rFonts w:asciiTheme="majorHAnsi" w:hAnsiTheme="majorHAnsi" w:cstheme="majorHAnsi"/>
          <w:sz w:val="24"/>
          <w:szCs w:val="24"/>
          <w:lang w:val="ro-MD"/>
        </w:rPr>
        <w:t xml:space="preserve"> prezentate de SFS rezultă că </w:t>
      </w:r>
      <w:r w:rsidR="002A7ECF">
        <w:rPr>
          <w:rFonts w:asciiTheme="majorHAnsi" w:hAnsiTheme="majorHAnsi" w:cstheme="majorHAnsi"/>
          <w:sz w:val="24"/>
          <w:szCs w:val="24"/>
          <w:lang w:val="ro-MD"/>
        </w:rPr>
        <w:t>acesta</w:t>
      </w:r>
      <w:r w:rsidRPr="00401691">
        <w:rPr>
          <w:rFonts w:asciiTheme="majorHAnsi" w:hAnsiTheme="majorHAnsi" w:cstheme="majorHAnsi"/>
          <w:sz w:val="24"/>
          <w:szCs w:val="24"/>
          <w:lang w:val="ro-MD"/>
        </w:rPr>
        <w:t xml:space="preserve"> deține </w:t>
      </w:r>
      <w:r>
        <w:rPr>
          <w:rFonts w:asciiTheme="majorHAnsi" w:hAnsiTheme="majorHAnsi" w:cstheme="majorHAnsi"/>
          <w:sz w:val="24"/>
          <w:szCs w:val="24"/>
          <w:lang w:val="ro-MD"/>
        </w:rPr>
        <w:t xml:space="preserve">doar </w:t>
      </w:r>
      <w:r w:rsidRPr="00401691">
        <w:rPr>
          <w:rFonts w:asciiTheme="majorHAnsi" w:hAnsiTheme="majorHAnsi" w:cstheme="majorHAnsi"/>
          <w:sz w:val="24"/>
          <w:szCs w:val="24"/>
          <w:lang w:val="ro-MD"/>
        </w:rPr>
        <w:t xml:space="preserve">scrisorile/sesizările/ denunțurile </w:t>
      </w:r>
      <w:r w:rsidRPr="00D8260A">
        <w:rPr>
          <w:rFonts w:asciiTheme="majorHAnsi" w:hAnsiTheme="majorHAnsi" w:cstheme="majorHAnsi"/>
          <w:sz w:val="24"/>
          <w:szCs w:val="24"/>
          <w:lang w:val="ro-MD"/>
        </w:rPr>
        <w:t>în adresa</w:t>
      </w:r>
      <w:r>
        <w:rPr>
          <w:rFonts w:asciiTheme="majorHAnsi" w:hAnsiTheme="majorHAnsi" w:cstheme="majorHAnsi"/>
          <w:sz w:val="24"/>
          <w:szCs w:val="24"/>
          <w:lang w:val="ro-MD"/>
        </w:rPr>
        <w:t xml:space="preserve"> </w:t>
      </w:r>
      <w:r w:rsidRPr="00401691">
        <w:rPr>
          <w:rFonts w:asciiTheme="majorHAnsi" w:hAnsiTheme="majorHAnsi" w:cstheme="majorHAnsi"/>
          <w:sz w:val="24"/>
          <w:szCs w:val="24"/>
          <w:lang w:val="ro-MD"/>
        </w:rPr>
        <w:t>organelor de drept</w:t>
      </w:r>
      <w:r w:rsidR="002A7ECF">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prin care remite materialele controalelor </w:t>
      </w:r>
      <w:r w:rsidRPr="00D8260A">
        <w:rPr>
          <w:rFonts w:asciiTheme="majorHAnsi" w:hAnsiTheme="majorHAnsi" w:cstheme="majorHAnsi"/>
          <w:sz w:val="24"/>
          <w:szCs w:val="24"/>
          <w:lang w:val="ro-MD"/>
        </w:rPr>
        <w:t xml:space="preserve">efectuate și solicită investigarea acestora, precum și informarea despre </w:t>
      </w:r>
      <w:r w:rsidRPr="00190191">
        <w:rPr>
          <w:rFonts w:asciiTheme="majorHAnsi" w:hAnsiTheme="majorHAnsi" w:cstheme="majorHAnsi"/>
          <w:sz w:val="24"/>
          <w:szCs w:val="24"/>
          <w:lang w:val="ro-MD"/>
        </w:rPr>
        <w:t>acțiunile întreprinse și deciziile adoptate.</w:t>
      </w:r>
    </w:p>
    <w:p w:rsidR="002D3B7E" w:rsidRDefault="00D5711E" w:rsidP="00844145">
      <w:pPr>
        <w:spacing w:after="240" w:line="276" w:lineRule="auto"/>
        <w:jc w:val="both"/>
        <w:rPr>
          <w:rFonts w:asciiTheme="majorHAnsi" w:hAnsiTheme="majorHAnsi" w:cstheme="majorHAnsi"/>
          <w:sz w:val="24"/>
          <w:szCs w:val="24"/>
          <w:lang w:val="ro-MD"/>
        </w:rPr>
      </w:pPr>
      <w:r>
        <w:rPr>
          <w:rFonts w:asciiTheme="majorHAnsi" w:hAnsiTheme="majorHAnsi" w:cstheme="majorHAnsi"/>
          <w:sz w:val="24"/>
          <w:szCs w:val="24"/>
          <w:lang w:val="ro-MD"/>
        </w:rPr>
        <w:t>P</w:t>
      </w:r>
      <w:r w:rsidR="00BD35DB" w:rsidRPr="00401691">
        <w:rPr>
          <w:rFonts w:asciiTheme="majorHAnsi" w:hAnsiTheme="majorHAnsi" w:cstheme="majorHAnsi"/>
          <w:sz w:val="24"/>
          <w:szCs w:val="24"/>
          <w:lang w:val="ro-MD"/>
        </w:rPr>
        <w:t>rocedurile analitice efectuate de audit denotă că SFS a stins restanța fiscală din e</w:t>
      </w:r>
      <w:r>
        <w:rPr>
          <w:rFonts w:asciiTheme="majorHAnsi" w:hAnsiTheme="majorHAnsi" w:cstheme="majorHAnsi"/>
          <w:sz w:val="24"/>
          <w:szCs w:val="24"/>
          <w:lang w:val="ro-MD"/>
        </w:rPr>
        <w:t xml:space="preserve">vidența de bază în sumă totală </w:t>
      </w:r>
      <w:r w:rsidR="00BD35DB" w:rsidRPr="00401691">
        <w:rPr>
          <w:rFonts w:asciiTheme="majorHAnsi" w:hAnsiTheme="majorHAnsi" w:cstheme="majorHAnsi"/>
          <w:sz w:val="24"/>
          <w:szCs w:val="24"/>
          <w:lang w:val="ro-MD"/>
        </w:rPr>
        <w:t>de 4078,1 mil. lei, prin înscrierea acestei sume în evidența specială,</w:t>
      </w:r>
      <w:r>
        <w:rPr>
          <w:rFonts w:asciiTheme="majorHAnsi" w:hAnsiTheme="majorHAnsi" w:cstheme="majorHAnsi"/>
          <w:sz w:val="24"/>
          <w:szCs w:val="24"/>
          <w:lang w:val="ro-MD"/>
        </w:rPr>
        <w:t xml:space="preserve"> </w:t>
      </w:r>
      <w:r w:rsidR="00434567">
        <w:rPr>
          <w:rFonts w:asciiTheme="majorHAnsi" w:hAnsiTheme="majorHAnsi" w:cstheme="majorHAnsi"/>
          <w:sz w:val="24"/>
          <w:szCs w:val="24"/>
          <w:lang w:val="ro-MD"/>
        </w:rPr>
        <w:t xml:space="preserve">doar în </w:t>
      </w:r>
      <w:r>
        <w:rPr>
          <w:rFonts w:asciiTheme="majorHAnsi" w:hAnsiTheme="majorHAnsi" w:cstheme="majorHAnsi"/>
          <w:sz w:val="24"/>
          <w:szCs w:val="24"/>
          <w:lang w:val="ro-MD"/>
        </w:rPr>
        <w:t>baza</w:t>
      </w:r>
      <w:r w:rsidR="00434567">
        <w:rPr>
          <w:rFonts w:asciiTheme="majorHAnsi" w:hAnsiTheme="majorHAnsi" w:cstheme="majorHAnsi"/>
          <w:sz w:val="24"/>
          <w:szCs w:val="24"/>
          <w:lang w:val="ro-MD"/>
        </w:rPr>
        <w:t xml:space="preserve"> </w:t>
      </w:r>
      <w:r>
        <w:rPr>
          <w:rFonts w:asciiTheme="majorHAnsi" w:hAnsiTheme="majorHAnsi" w:cstheme="majorHAnsi"/>
          <w:sz w:val="24"/>
          <w:szCs w:val="24"/>
          <w:lang w:val="ro-MD"/>
        </w:rPr>
        <w:t>încheieri</w:t>
      </w:r>
      <w:r w:rsidR="00434567">
        <w:rPr>
          <w:rFonts w:asciiTheme="majorHAnsi" w:hAnsiTheme="majorHAnsi" w:cstheme="majorHAnsi"/>
          <w:sz w:val="24"/>
          <w:szCs w:val="24"/>
          <w:lang w:val="ro-MD"/>
        </w:rPr>
        <w:t xml:space="preserve">lor </w:t>
      </w:r>
      <w:r w:rsidR="00C17833">
        <w:rPr>
          <w:rFonts w:asciiTheme="majorHAnsi" w:hAnsiTheme="majorHAnsi" w:cstheme="majorHAnsi"/>
          <w:sz w:val="24"/>
          <w:szCs w:val="24"/>
          <w:lang w:val="ro-MD"/>
        </w:rPr>
        <w:t>executorilor</w:t>
      </w:r>
      <w:r>
        <w:rPr>
          <w:rFonts w:asciiTheme="majorHAnsi" w:hAnsiTheme="majorHAnsi" w:cstheme="majorHAnsi"/>
          <w:sz w:val="24"/>
          <w:szCs w:val="24"/>
          <w:lang w:val="ro-MD"/>
        </w:rPr>
        <w:t xml:space="preserve"> judecătorești</w:t>
      </w:r>
      <w:r w:rsidR="00434567">
        <w:rPr>
          <w:rFonts w:asciiTheme="majorHAnsi" w:hAnsiTheme="majorHAnsi" w:cstheme="majorHAnsi"/>
          <w:sz w:val="24"/>
          <w:szCs w:val="24"/>
          <w:lang w:val="ro-MD"/>
        </w:rPr>
        <w:t>, ca motiv invoc</w:t>
      </w:r>
      <w:r w:rsidR="002A7ECF">
        <w:rPr>
          <w:rFonts w:asciiTheme="majorHAnsi" w:hAnsiTheme="majorHAnsi" w:cstheme="majorHAnsi"/>
          <w:sz w:val="24"/>
          <w:szCs w:val="24"/>
          <w:lang w:val="ro-MD"/>
        </w:rPr>
        <w:t>â</w:t>
      </w:r>
      <w:r w:rsidR="00434567">
        <w:rPr>
          <w:rFonts w:asciiTheme="majorHAnsi" w:hAnsiTheme="majorHAnsi" w:cstheme="majorHAnsi"/>
          <w:sz w:val="24"/>
          <w:szCs w:val="24"/>
          <w:lang w:val="ro-MD"/>
        </w:rPr>
        <w:t xml:space="preserve">ndu-se lipsa bunurilor care ar putea fi urmărite. </w:t>
      </w:r>
    </w:p>
    <w:p w:rsidR="00956A69" w:rsidRPr="00440162" w:rsidRDefault="00287EA3" w:rsidP="00844145">
      <w:pPr>
        <w:pStyle w:val="Heading1"/>
        <w:numPr>
          <w:ilvl w:val="0"/>
          <w:numId w:val="32"/>
        </w:numPr>
        <w:spacing w:line="276" w:lineRule="auto"/>
        <w:ind w:left="0" w:firstLine="450"/>
        <w:jc w:val="center"/>
        <w:rPr>
          <w:i w:val="0"/>
          <w:color w:val="1F4E79" w:themeColor="accent1" w:themeShade="80"/>
          <w:sz w:val="24"/>
          <w:szCs w:val="24"/>
          <w:lang w:val="ro-MD"/>
        </w:rPr>
      </w:pPr>
      <w:bookmarkStart w:id="24" w:name="_Toc48732736"/>
      <w:r w:rsidRPr="00440162">
        <w:rPr>
          <w:i w:val="0"/>
          <w:color w:val="1F4E79" w:themeColor="accent1" w:themeShade="80"/>
          <w:sz w:val="24"/>
          <w:szCs w:val="24"/>
          <w:lang w:val="ro-MD"/>
        </w:rPr>
        <w:t>CONCLUZIE GENERALĂ DE AUDIT</w:t>
      </w:r>
      <w:bookmarkEnd w:id="24"/>
    </w:p>
    <w:p w:rsidR="00B50175" w:rsidRPr="00401691" w:rsidRDefault="00E0351D" w:rsidP="00844145">
      <w:pPr>
        <w:shd w:val="clear" w:color="auto" w:fill="FFFFFF"/>
        <w:spacing w:after="0" w:line="276" w:lineRule="auto"/>
        <w:jc w:val="both"/>
        <w:rPr>
          <w:rFonts w:asciiTheme="majorHAnsi" w:hAnsiTheme="majorHAnsi" w:cstheme="majorHAnsi"/>
          <w:sz w:val="24"/>
          <w:szCs w:val="24"/>
          <w:lang w:val="ro-MD"/>
        </w:rPr>
      </w:pPr>
      <w:r w:rsidRPr="00401691">
        <w:rPr>
          <w:rFonts w:asciiTheme="majorHAnsi" w:hAnsiTheme="majorHAnsi" w:cstheme="majorHAnsi"/>
          <w:sz w:val="24"/>
          <w:szCs w:val="24"/>
          <w:lang w:val="ro-MD"/>
        </w:rPr>
        <w:t xml:space="preserve">În baza constatărilor auditului </w:t>
      </w:r>
      <w:r w:rsidR="00B1007E" w:rsidRPr="00401691">
        <w:rPr>
          <w:rFonts w:asciiTheme="majorHAnsi" w:hAnsiTheme="majorHAnsi" w:cstheme="majorHAnsi"/>
          <w:sz w:val="24"/>
          <w:szCs w:val="24"/>
          <w:lang w:val="ro-MD"/>
        </w:rPr>
        <w:t xml:space="preserve">public extern </w:t>
      </w:r>
      <w:r w:rsidRPr="00401691">
        <w:rPr>
          <w:rFonts w:asciiTheme="majorHAnsi" w:hAnsiTheme="majorHAnsi" w:cstheme="majorHAnsi"/>
          <w:sz w:val="24"/>
          <w:szCs w:val="24"/>
          <w:lang w:val="ro-MD"/>
        </w:rPr>
        <w:t>privind conformitatea</w:t>
      </w:r>
      <w:r w:rsidR="0041201E">
        <w:rPr>
          <w:rFonts w:asciiTheme="majorHAnsi" w:hAnsiTheme="majorHAnsi" w:cstheme="majorHAnsi"/>
          <w:sz w:val="24"/>
          <w:szCs w:val="24"/>
          <w:lang w:val="ro-MD"/>
        </w:rPr>
        <w:t xml:space="preserve"> a</w:t>
      </w:r>
      <w:r w:rsidR="00014630" w:rsidRPr="00401691">
        <w:rPr>
          <w:rFonts w:asciiTheme="majorHAnsi" w:hAnsiTheme="majorHAnsi" w:cstheme="majorHAnsi"/>
          <w:sz w:val="24"/>
          <w:szCs w:val="24"/>
          <w:lang w:val="ro-MD"/>
        </w:rPr>
        <w:t>dministr</w:t>
      </w:r>
      <w:r w:rsidR="0041201E">
        <w:rPr>
          <w:rFonts w:asciiTheme="majorHAnsi" w:hAnsiTheme="majorHAnsi" w:cstheme="majorHAnsi"/>
          <w:sz w:val="24"/>
          <w:szCs w:val="24"/>
          <w:lang w:val="ro-MD"/>
        </w:rPr>
        <w:t xml:space="preserve">ării fiscale a </w:t>
      </w:r>
      <w:r w:rsidR="00014630" w:rsidRPr="00401691">
        <w:rPr>
          <w:rFonts w:asciiTheme="majorHAnsi" w:hAnsiTheme="majorHAnsi" w:cstheme="majorHAnsi"/>
          <w:sz w:val="24"/>
          <w:szCs w:val="24"/>
          <w:lang w:val="ro-MD"/>
        </w:rPr>
        <w:t>ven</w:t>
      </w:r>
      <w:r w:rsidR="00F97AC0" w:rsidRPr="00401691">
        <w:rPr>
          <w:rFonts w:asciiTheme="majorHAnsi" w:hAnsiTheme="majorHAnsi" w:cstheme="majorHAnsi"/>
          <w:sz w:val="24"/>
          <w:szCs w:val="24"/>
          <w:lang w:val="ro-MD"/>
        </w:rPr>
        <w:t>iturilor</w:t>
      </w:r>
      <w:r w:rsidR="0041201E">
        <w:rPr>
          <w:rFonts w:asciiTheme="majorHAnsi" w:hAnsiTheme="majorHAnsi" w:cstheme="majorHAnsi"/>
          <w:sz w:val="24"/>
          <w:szCs w:val="24"/>
          <w:lang w:val="ro-MD"/>
        </w:rPr>
        <w:t xml:space="preserve"> </w:t>
      </w:r>
      <w:r w:rsidR="00F97AC0" w:rsidRPr="00401691">
        <w:rPr>
          <w:rFonts w:asciiTheme="majorHAnsi" w:hAnsiTheme="majorHAnsi" w:cstheme="majorHAnsi"/>
          <w:sz w:val="24"/>
          <w:szCs w:val="24"/>
          <w:lang w:val="ro-MD"/>
        </w:rPr>
        <w:t>la bugetul de stat</w:t>
      </w:r>
      <w:r w:rsidR="002A7ECF">
        <w:rPr>
          <w:rFonts w:asciiTheme="majorHAnsi" w:hAnsiTheme="majorHAnsi" w:cstheme="majorHAnsi"/>
          <w:sz w:val="24"/>
          <w:szCs w:val="24"/>
          <w:lang w:val="ro-MD"/>
        </w:rPr>
        <w:t>,</w:t>
      </w:r>
      <w:r w:rsidR="00B1007E" w:rsidRPr="00401691">
        <w:rPr>
          <w:rFonts w:asciiTheme="majorHAnsi" w:hAnsiTheme="majorHAnsi" w:cstheme="majorHAnsi"/>
          <w:sz w:val="24"/>
          <w:szCs w:val="24"/>
          <w:lang w:val="ro-MD"/>
        </w:rPr>
        <w:t xml:space="preserve"> </w:t>
      </w:r>
      <w:r w:rsidRPr="00401691">
        <w:rPr>
          <w:rFonts w:asciiTheme="majorHAnsi" w:hAnsiTheme="majorHAnsi" w:cstheme="majorHAnsi"/>
          <w:sz w:val="24"/>
          <w:szCs w:val="24"/>
          <w:lang w:val="ro-MD"/>
        </w:rPr>
        <w:t xml:space="preserve">se </w:t>
      </w:r>
      <w:r w:rsidR="00B1007E" w:rsidRPr="00401691">
        <w:rPr>
          <w:rFonts w:asciiTheme="majorHAnsi" w:hAnsiTheme="majorHAnsi" w:cstheme="majorHAnsi"/>
          <w:sz w:val="24"/>
          <w:szCs w:val="24"/>
          <w:lang w:val="ro-MD"/>
        </w:rPr>
        <w:t>conchid</w:t>
      </w:r>
      <w:r w:rsidRPr="00401691">
        <w:rPr>
          <w:rFonts w:asciiTheme="majorHAnsi" w:hAnsiTheme="majorHAnsi" w:cstheme="majorHAnsi"/>
          <w:sz w:val="24"/>
          <w:szCs w:val="24"/>
          <w:lang w:val="ro-MD"/>
        </w:rPr>
        <w:t>e</w:t>
      </w:r>
      <w:r w:rsidR="00B1007E" w:rsidRPr="00401691">
        <w:rPr>
          <w:rFonts w:asciiTheme="majorHAnsi" w:hAnsiTheme="majorHAnsi" w:cstheme="majorHAnsi"/>
          <w:sz w:val="24"/>
          <w:szCs w:val="24"/>
          <w:lang w:val="ro-MD"/>
        </w:rPr>
        <w:t xml:space="preserve"> că </w:t>
      </w:r>
      <w:r w:rsidR="00EF1EFC" w:rsidRPr="00401691">
        <w:rPr>
          <w:rFonts w:asciiTheme="majorHAnsi" w:hAnsiTheme="majorHAnsi" w:cstheme="majorHAnsi"/>
          <w:sz w:val="24"/>
          <w:szCs w:val="24"/>
          <w:lang w:val="ro-MD"/>
        </w:rPr>
        <w:t xml:space="preserve">în perioada auditată </w:t>
      </w:r>
      <w:r w:rsidR="00B1007E" w:rsidRPr="00401691">
        <w:rPr>
          <w:rFonts w:asciiTheme="majorHAnsi" w:hAnsiTheme="majorHAnsi" w:cstheme="majorHAnsi"/>
          <w:sz w:val="24"/>
          <w:szCs w:val="24"/>
          <w:lang w:val="ro-MD"/>
        </w:rPr>
        <w:t>SFS</w:t>
      </w:r>
      <w:r w:rsidR="00EF1EFC" w:rsidRPr="00401691">
        <w:rPr>
          <w:rFonts w:asciiTheme="majorHAnsi" w:hAnsiTheme="majorHAnsi" w:cstheme="majorHAnsi"/>
          <w:sz w:val="24"/>
          <w:szCs w:val="24"/>
          <w:lang w:val="ro-MD"/>
        </w:rPr>
        <w:t xml:space="preserve"> a</w:t>
      </w:r>
      <w:r w:rsidR="0041201E">
        <w:rPr>
          <w:rFonts w:asciiTheme="majorHAnsi" w:hAnsiTheme="majorHAnsi" w:cstheme="majorHAnsi"/>
          <w:sz w:val="24"/>
          <w:szCs w:val="24"/>
          <w:lang w:val="ro-MD"/>
        </w:rPr>
        <w:t xml:space="preserve"> dispus de un sistem relativ funcțional din punct</w:t>
      </w:r>
      <w:r w:rsidR="002A7ECF">
        <w:rPr>
          <w:rFonts w:asciiTheme="majorHAnsi" w:hAnsiTheme="majorHAnsi" w:cstheme="majorHAnsi"/>
          <w:sz w:val="24"/>
          <w:szCs w:val="24"/>
          <w:lang w:val="ro-MD"/>
        </w:rPr>
        <w:t xml:space="preserve">ul </w:t>
      </w:r>
      <w:r w:rsidR="0041201E">
        <w:rPr>
          <w:rFonts w:asciiTheme="majorHAnsi" w:hAnsiTheme="majorHAnsi" w:cstheme="majorHAnsi"/>
          <w:sz w:val="24"/>
          <w:szCs w:val="24"/>
          <w:lang w:val="ro-MD"/>
        </w:rPr>
        <w:t xml:space="preserve"> de vedere a</w:t>
      </w:r>
      <w:r w:rsidR="002A7ECF">
        <w:rPr>
          <w:rFonts w:asciiTheme="majorHAnsi" w:hAnsiTheme="majorHAnsi" w:cstheme="majorHAnsi"/>
          <w:sz w:val="24"/>
          <w:szCs w:val="24"/>
          <w:lang w:val="ro-MD"/>
        </w:rPr>
        <w:t>l</w:t>
      </w:r>
      <w:r w:rsidR="0041201E">
        <w:rPr>
          <w:rFonts w:asciiTheme="majorHAnsi" w:hAnsiTheme="majorHAnsi" w:cstheme="majorHAnsi"/>
          <w:sz w:val="24"/>
          <w:szCs w:val="24"/>
          <w:lang w:val="ro-MD"/>
        </w:rPr>
        <w:t xml:space="preserve"> conformității, fiind </w:t>
      </w:r>
      <w:r w:rsidR="00EF1EFC" w:rsidRPr="00401691">
        <w:rPr>
          <w:rFonts w:asciiTheme="majorHAnsi" w:hAnsiTheme="majorHAnsi" w:cstheme="majorHAnsi"/>
          <w:sz w:val="24"/>
          <w:szCs w:val="24"/>
          <w:lang w:val="ro-MD"/>
        </w:rPr>
        <w:t>întreprins</w:t>
      </w:r>
      <w:r w:rsidR="00097522">
        <w:rPr>
          <w:rFonts w:asciiTheme="majorHAnsi" w:hAnsiTheme="majorHAnsi" w:cstheme="majorHAnsi"/>
          <w:sz w:val="24"/>
          <w:szCs w:val="24"/>
          <w:lang w:val="ro-MD"/>
        </w:rPr>
        <w:t>e</w:t>
      </w:r>
      <w:r w:rsidR="00EF1EFC" w:rsidRPr="00401691">
        <w:rPr>
          <w:rFonts w:asciiTheme="majorHAnsi" w:hAnsiTheme="majorHAnsi" w:cstheme="majorHAnsi"/>
          <w:sz w:val="24"/>
          <w:szCs w:val="24"/>
          <w:lang w:val="ro-MD"/>
        </w:rPr>
        <w:t xml:space="preserve"> acțiuni privind </w:t>
      </w:r>
      <w:r w:rsidR="000B2359" w:rsidRPr="00401691">
        <w:rPr>
          <w:rFonts w:asciiTheme="majorHAnsi" w:hAnsiTheme="majorHAnsi" w:cstheme="majorHAnsi"/>
          <w:sz w:val="24"/>
          <w:szCs w:val="24"/>
          <w:lang w:val="ro-MD"/>
        </w:rPr>
        <w:t xml:space="preserve">consolidarea și </w:t>
      </w:r>
      <w:r w:rsidRPr="00401691">
        <w:rPr>
          <w:rFonts w:asciiTheme="majorHAnsi" w:hAnsiTheme="majorHAnsi" w:cstheme="majorHAnsi"/>
          <w:sz w:val="24"/>
          <w:szCs w:val="24"/>
          <w:lang w:val="ro-MD"/>
        </w:rPr>
        <w:t xml:space="preserve">dezvoltarea </w:t>
      </w:r>
      <w:r w:rsidR="000B2359" w:rsidRPr="00401691">
        <w:rPr>
          <w:rFonts w:asciiTheme="majorHAnsi" w:hAnsiTheme="majorHAnsi" w:cstheme="majorHAnsi"/>
          <w:iCs/>
          <w:sz w:val="24"/>
          <w:szCs w:val="24"/>
          <w:lang w:val="ro-MD"/>
        </w:rPr>
        <w:t>controlului intern managerial</w:t>
      </w:r>
      <w:r w:rsidR="000B2359" w:rsidRPr="00401691">
        <w:rPr>
          <w:rFonts w:asciiTheme="majorHAnsi" w:hAnsiTheme="majorHAnsi" w:cstheme="majorHAnsi"/>
          <w:sz w:val="24"/>
          <w:szCs w:val="24"/>
          <w:lang w:val="ro-MD"/>
        </w:rPr>
        <w:t xml:space="preserve"> al instituției aferent administrării fiscale, </w:t>
      </w:r>
      <w:r w:rsidR="007E09AE" w:rsidRPr="00401691">
        <w:rPr>
          <w:rFonts w:asciiTheme="majorHAnsi" w:hAnsiTheme="majorHAnsi" w:cstheme="majorHAnsi"/>
          <w:sz w:val="24"/>
          <w:szCs w:val="24"/>
          <w:lang w:val="ro-MD"/>
        </w:rPr>
        <w:t xml:space="preserve">punându-se accent pe </w:t>
      </w:r>
      <w:r w:rsidR="00EF1EFC" w:rsidRPr="00401691">
        <w:rPr>
          <w:rFonts w:asciiTheme="majorHAnsi" w:hAnsiTheme="majorHAnsi" w:cstheme="majorHAnsi"/>
          <w:sz w:val="24"/>
          <w:szCs w:val="24"/>
          <w:lang w:val="ro-MD"/>
        </w:rPr>
        <w:t xml:space="preserve">modernizarea </w:t>
      </w:r>
      <w:r w:rsidR="00EF4807" w:rsidRPr="00401691">
        <w:rPr>
          <w:rFonts w:asciiTheme="majorHAnsi" w:hAnsiTheme="majorHAnsi" w:cstheme="majorHAnsi"/>
          <w:sz w:val="24"/>
          <w:szCs w:val="24"/>
          <w:lang w:val="ro-MD"/>
        </w:rPr>
        <w:t>și</w:t>
      </w:r>
      <w:r w:rsidR="00EF1EFC" w:rsidRPr="00401691">
        <w:rPr>
          <w:rFonts w:asciiTheme="majorHAnsi" w:hAnsiTheme="majorHAnsi" w:cstheme="majorHAnsi"/>
          <w:sz w:val="24"/>
          <w:szCs w:val="24"/>
          <w:lang w:val="ro-MD"/>
        </w:rPr>
        <w:t xml:space="preserve"> perfecționarea procedurilor</w:t>
      </w:r>
      <w:r w:rsidR="006433D0">
        <w:rPr>
          <w:rFonts w:asciiTheme="majorHAnsi" w:hAnsiTheme="majorHAnsi" w:cstheme="majorHAnsi"/>
          <w:sz w:val="24"/>
          <w:szCs w:val="24"/>
          <w:lang w:val="ro-MD"/>
        </w:rPr>
        <w:t xml:space="preserve"> aplicate</w:t>
      </w:r>
      <w:r w:rsidR="00EF1EFC" w:rsidRPr="00401691">
        <w:rPr>
          <w:rFonts w:asciiTheme="majorHAnsi" w:hAnsiTheme="majorHAnsi" w:cstheme="majorHAnsi"/>
          <w:sz w:val="24"/>
          <w:szCs w:val="24"/>
          <w:lang w:val="ro-MD"/>
        </w:rPr>
        <w:t xml:space="preserve">, </w:t>
      </w:r>
      <w:r w:rsidR="007E09AE" w:rsidRPr="00401691">
        <w:rPr>
          <w:rFonts w:asciiTheme="majorHAnsi" w:hAnsiTheme="majorHAnsi" w:cstheme="majorHAnsi"/>
          <w:sz w:val="24"/>
          <w:szCs w:val="24"/>
          <w:lang w:val="ro-MD"/>
        </w:rPr>
        <w:t>dezvoltarea cadrului normativ intern</w:t>
      </w:r>
      <w:r w:rsidR="00097522">
        <w:rPr>
          <w:rFonts w:asciiTheme="majorHAnsi" w:hAnsiTheme="majorHAnsi" w:cstheme="majorHAnsi"/>
          <w:sz w:val="24"/>
          <w:szCs w:val="24"/>
          <w:lang w:val="ro-MD"/>
        </w:rPr>
        <w:t xml:space="preserve">, </w:t>
      </w:r>
      <w:r w:rsidR="002E5542" w:rsidRPr="00401691">
        <w:rPr>
          <w:rFonts w:asciiTheme="majorHAnsi" w:hAnsiTheme="majorHAnsi" w:cstheme="majorHAnsi"/>
          <w:sz w:val="24"/>
          <w:szCs w:val="24"/>
          <w:lang w:val="ro-MD"/>
        </w:rPr>
        <w:t>ceea ce</w:t>
      </w:r>
      <w:r w:rsidR="00DC3C84">
        <w:rPr>
          <w:rFonts w:asciiTheme="majorHAnsi" w:hAnsiTheme="majorHAnsi" w:cstheme="majorHAnsi"/>
          <w:sz w:val="24"/>
          <w:szCs w:val="24"/>
          <w:lang w:val="ro-MD"/>
        </w:rPr>
        <w:t>,</w:t>
      </w:r>
      <w:r w:rsidR="002E5542" w:rsidRPr="00401691">
        <w:rPr>
          <w:rFonts w:asciiTheme="majorHAnsi" w:hAnsiTheme="majorHAnsi" w:cstheme="majorHAnsi"/>
          <w:sz w:val="24"/>
          <w:szCs w:val="24"/>
          <w:lang w:val="ro-MD"/>
        </w:rPr>
        <w:t xml:space="preserve"> în final</w:t>
      </w:r>
      <w:r w:rsidR="00DC3C84">
        <w:rPr>
          <w:rFonts w:asciiTheme="majorHAnsi" w:hAnsiTheme="majorHAnsi" w:cstheme="majorHAnsi"/>
          <w:sz w:val="24"/>
          <w:szCs w:val="24"/>
          <w:lang w:val="ro-MD"/>
        </w:rPr>
        <w:t>,</w:t>
      </w:r>
      <w:r w:rsidR="002E5542" w:rsidRPr="00401691">
        <w:rPr>
          <w:rFonts w:asciiTheme="majorHAnsi" w:hAnsiTheme="majorHAnsi" w:cstheme="majorHAnsi"/>
          <w:sz w:val="24"/>
          <w:szCs w:val="24"/>
          <w:lang w:val="ro-MD"/>
        </w:rPr>
        <w:t xml:space="preserve"> </w:t>
      </w:r>
      <w:r w:rsidR="00097522">
        <w:rPr>
          <w:rFonts w:asciiTheme="majorHAnsi" w:hAnsiTheme="majorHAnsi" w:cstheme="majorHAnsi"/>
          <w:sz w:val="24"/>
          <w:szCs w:val="24"/>
          <w:lang w:val="ro-MD"/>
        </w:rPr>
        <w:t xml:space="preserve">a </w:t>
      </w:r>
      <w:r w:rsidR="002E5542" w:rsidRPr="00401691">
        <w:rPr>
          <w:rFonts w:asciiTheme="majorHAnsi" w:hAnsiTheme="majorHAnsi" w:cstheme="majorHAnsi"/>
          <w:sz w:val="24"/>
          <w:szCs w:val="24"/>
          <w:lang w:val="ro-MD"/>
        </w:rPr>
        <w:t>asigur</w:t>
      </w:r>
      <w:r w:rsidR="00097522">
        <w:rPr>
          <w:rFonts w:asciiTheme="majorHAnsi" w:hAnsiTheme="majorHAnsi" w:cstheme="majorHAnsi"/>
          <w:sz w:val="24"/>
          <w:szCs w:val="24"/>
          <w:lang w:val="ro-MD"/>
        </w:rPr>
        <w:t>at</w:t>
      </w:r>
      <w:r w:rsidR="002E5542" w:rsidRPr="00401691">
        <w:rPr>
          <w:rFonts w:asciiTheme="majorHAnsi" w:hAnsiTheme="majorHAnsi" w:cstheme="majorHAnsi"/>
          <w:sz w:val="24"/>
          <w:szCs w:val="24"/>
          <w:lang w:val="ro-MD"/>
        </w:rPr>
        <w:t xml:space="preserve"> </w:t>
      </w:r>
      <w:r w:rsidR="007E09AE" w:rsidRPr="00401691">
        <w:rPr>
          <w:rFonts w:asciiTheme="majorHAnsi" w:hAnsiTheme="majorHAnsi" w:cstheme="majorHAnsi"/>
          <w:sz w:val="24"/>
          <w:szCs w:val="24"/>
          <w:lang w:val="ro-MD"/>
        </w:rPr>
        <w:t xml:space="preserve">o mai bună organizare </w:t>
      </w:r>
      <w:r w:rsidR="002E5542" w:rsidRPr="00401691">
        <w:rPr>
          <w:rFonts w:asciiTheme="majorHAnsi" w:hAnsiTheme="majorHAnsi" w:cstheme="majorHAnsi"/>
          <w:sz w:val="24"/>
          <w:szCs w:val="24"/>
          <w:lang w:val="ro-MD"/>
        </w:rPr>
        <w:t xml:space="preserve">a </w:t>
      </w:r>
      <w:r w:rsidR="00097522">
        <w:rPr>
          <w:rFonts w:asciiTheme="majorHAnsi" w:hAnsiTheme="majorHAnsi" w:cstheme="majorHAnsi"/>
          <w:sz w:val="24"/>
          <w:szCs w:val="24"/>
          <w:lang w:val="ro-MD"/>
        </w:rPr>
        <w:t>activității instituției</w:t>
      </w:r>
      <w:r w:rsidR="00EF1EFC" w:rsidRPr="00401691">
        <w:rPr>
          <w:rFonts w:asciiTheme="majorHAnsi" w:hAnsiTheme="majorHAnsi" w:cstheme="majorHAnsi"/>
          <w:sz w:val="24"/>
          <w:szCs w:val="24"/>
          <w:lang w:val="ro-MD"/>
        </w:rPr>
        <w:t>.</w:t>
      </w:r>
      <w:r w:rsidR="00B50175" w:rsidRPr="00401691">
        <w:rPr>
          <w:rFonts w:asciiTheme="majorHAnsi" w:hAnsiTheme="majorHAnsi" w:cstheme="majorHAnsi"/>
          <w:sz w:val="24"/>
          <w:szCs w:val="24"/>
          <w:lang w:val="ro-MD"/>
        </w:rPr>
        <w:t xml:space="preserve"> În</w:t>
      </w:r>
      <w:r w:rsidR="00EF1EFC" w:rsidRPr="00401691">
        <w:rPr>
          <w:rFonts w:asciiTheme="majorHAnsi" w:hAnsiTheme="majorHAnsi" w:cstheme="majorHAnsi"/>
          <w:sz w:val="24"/>
          <w:szCs w:val="24"/>
          <w:lang w:val="ro-MD"/>
        </w:rPr>
        <w:t>să</w:t>
      </w:r>
      <w:r w:rsidR="006A4EC5" w:rsidRPr="00401691">
        <w:rPr>
          <w:rFonts w:asciiTheme="majorHAnsi" w:hAnsiTheme="majorHAnsi" w:cstheme="majorHAnsi"/>
          <w:sz w:val="24"/>
          <w:szCs w:val="24"/>
          <w:lang w:val="ro-MD"/>
        </w:rPr>
        <w:t>,</w:t>
      </w:r>
      <w:r w:rsidR="00EF1EFC" w:rsidRPr="00401691">
        <w:rPr>
          <w:rFonts w:asciiTheme="majorHAnsi" w:hAnsiTheme="majorHAnsi" w:cstheme="majorHAnsi"/>
          <w:sz w:val="24"/>
          <w:szCs w:val="24"/>
          <w:lang w:val="ro-MD"/>
        </w:rPr>
        <w:t xml:space="preserve"> în </w:t>
      </w:r>
      <w:r w:rsidR="00B50175" w:rsidRPr="00401691">
        <w:rPr>
          <w:rFonts w:asciiTheme="majorHAnsi" w:hAnsiTheme="majorHAnsi" w:cstheme="majorHAnsi"/>
          <w:sz w:val="24"/>
          <w:szCs w:val="24"/>
          <w:lang w:val="ro-MD"/>
        </w:rPr>
        <w:t xml:space="preserve">pofida </w:t>
      </w:r>
      <w:r w:rsidR="00EF1EFC" w:rsidRPr="00401691">
        <w:rPr>
          <w:rFonts w:asciiTheme="majorHAnsi" w:hAnsiTheme="majorHAnsi" w:cstheme="majorHAnsi"/>
          <w:sz w:val="24"/>
          <w:szCs w:val="24"/>
          <w:lang w:val="ro-MD"/>
        </w:rPr>
        <w:t>efortului depus</w:t>
      </w:r>
      <w:r w:rsidR="006A4EC5" w:rsidRPr="00401691">
        <w:rPr>
          <w:rFonts w:asciiTheme="majorHAnsi" w:hAnsiTheme="majorHAnsi" w:cstheme="majorHAnsi"/>
          <w:sz w:val="24"/>
          <w:szCs w:val="24"/>
          <w:lang w:val="ro-MD"/>
        </w:rPr>
        <w:t xml:space="preserve"> de conducerea SFS,</w:t>
      </w:r>
      <w:r w:rsidR="00EF1EFC" w:rsidRPr="00401691">
        <w:rPr>
          <w:rFonts w:asciiTheme="majorHAnsi" w:hAnsiTheme="majorHAnsi" w:cstheme="majorHAnsi"/>
          <w:sz w:val="24"/>
          <w:szCs w:val="24"/>
          <w:lang w:val="ro-MD"/>
        </w:rPr>
        <w:t xml:space="preserve"> </w:t>
      </w:r>
      <w:r w:rsidR="00B50175" w:rsidRPr="00401691">
        <w:rPr>
          <w:rFonts w:asciiTheme="majorHAnsi" w:hAnsiTheme="majorHAnsi" w:cstheme="majorHAnsi"/>
          <w:sz w:val="24"/>
          <w:szCs w:val="24"/>
          <w:lang w:val="ro-MD"/>
        </w:rPr>
        <w:t xml:space="preserve">auditul constată </w:t>
      </w:r>
      <w:r w:rsidR="00C3261E" w:rsidRPr="00401691">
        <w:rPr>
          <w:rFonts w:asciiTheme="majorHAnsi" w:hAnsiTheme="majorHAnsi" w:cstheme="majorHAnsi"/>
          <w:sz w:val="24"/>
          <w:szCs w:val="24"/>
          <w:lang w:val="ro-MD"/>
        </w:rPr>
        <w:t>prezența unor</w:t>
      </w:r>
      <w:r w:rsidR="00EF1EFC" w:rsidRPr="00401691">
        <w:rPr>
          <w:rFonts w:asciiTheme="majorHAnsi" w:hAnsiTheme="majorHAnsi" w:cstheme="majorHAnsi"/>
          <w:sz w:val="24"/>
          <w:szCs w:val="24"/>
          <w:lang w:val="ro-MD"/>
        </w:rPr>
        <w:t xml:space="preserve"> </w:t>
      </w:r>
      <w:r w:rsidR="002E5542" w:rsidRPr="00401691">
        <w:rPr>
          <w:rFonts w:asciiTheme="majorHAnsi" w:hAnsiTheme="majorHAnsi" w:cstheme="majorHAnsi"/>
          <w:sz w:val="24"/>
          <w:szCs w:val="24"/>
          <w:lang w:val="ro-MD"/>
        </w:rPr>
        <w:t xml:space="preserve">nereguli și vulnerabilități </w:t>
      </w:r>
      <w:r w:rsidR="00EF1EFC" w:rsidRPr="00401691">
        <w:rPr>
          <w:rFonts w:asciiTheme="majorHAnsi" w:hAnsiTheme="majorHAnsi" w:cstheme="majorHAnsi"/>
          <w:sz w:val="24"/>
          <w:szCs w:val="24"/>
          <w:lang w:val="ro-MD"/>
        </w:rPr>
        <w:t xml:space="preserve">aferente </w:t>
      </w:r>
      <w:r w:rsidR="00B50175" w:rsidRPr="00401691">
        <w:rPr>
          <w:rFonts w:asciiTheme="majorHAnsi" w:hAnsiTheme="majorHAnsi" w:cstheme="majorHAnsi"/>
          <w:sz w:val="24"/>
          <w:szCs w:val="24"/>
          <w:lang w:val="ro-MD"/>
        </w:rPr>
        <w:t>administr</w:t>
      </w:r>
      <w:r w:rsidR="00EF1EFC" w:rsidRPr="00401691">
        <w:rPr>
          <w:rFonts w:asciiTheme="majorHAnsi" w:hAnsiTheme="majorHAnsi" w:cstheme="majorHAnsi"/>
          <w:sz w:val="24"/>
          <w:szCs w:val="24"/>
          <w:lang w:val="ro-MD"/>
        </w:rPr>
        <w:t xml:space="preserve">ării </w:t>
      </w:r>
      <w:r w:rsidR="00B50175" w:rsidRPr="00401691">
        <w:rPr>
          <w:rFonts w:asciiTheme="majorHAnsi" w:hAnsiTheme="majorHAnsi" w:cstheme="majorHAnsi"/>
          <w:sz w:val="24"/>
          <w:szCs w:val="24"/>
          <w:lang w:val="ro-MD"/>
        </w:rPr>
        <w:t>fiscal</w:t>
      </w:r>
      <w:r w:rsidR="00EF1EFC" w:rsidRPr="00401691">
        <w:rPr>
          <w:rFonts w:asciiTheme="majorHAnsi" w:hAnsiTheme="majorHAnsi" w:cstheme="majorHAnsi"/>
          <w:sz w:val="24"/>
          <w:szCs w:val="24"/>
          <w:lang w:val="ro-MD"/>
        </w:rPr>
        <w:t>e</w:t>
      </w:r>
      <w:r w:rsidR="00C3261E" w:rsidRPr="00401691">
        <w:rPr>
          <w:rFonts w:asciiTheme="majorHAnsi" w:hAnsiTheme="majorHAnsi" w:cstheme="majorHAnsi"/>
          <w:sz w:val="24"/>
          <w:szCs w:val="24"/>
          <w:lang w:val="ro-MD"/>
        </w:rPr>
        <w:t>,</w:t>
      </w:r>
      <w:r w:rsidR="00943B89">
        <w:rPr>
          <w:rFonts w:asciiTheme="majorHAnsi" w:hAnsiTheme="majorHAnsi" w:cstheme="majorHAnsi"/>
          <w:sz w:val="24"/>
          <w:szCs w:val="24"/>
          <w:lang w:val="ro-MD"/>
        </w:rPr>
        <w:t xml:space="preserve"> </w:t>
      </w:r>
      <w:r w:rsidR="00B50175" w:rsidRPr="00401691">
        <w:rPr>
          <w:rFonts w:asciiTheme="majorHAnsi" w:hAnsiTheme="majorHAnsi" w:cstheme="majorHAnsi"/>
          <w:sz w:val="24"/>
          <w:szCs w:val="24"/>
          <w:lang w:val="ro-MD"/>
        </w:rPr>
        <w:t>care au rezultat</w:t>
      </w:r>
      <w:r w:rsidR="00C3261E" w:rsidRPr="00401691">
        <w:rPr>
          <w:rFonts w:asciiTheme="majorHAnsi" w:hAnsiTheme="majorHAnsi" w:cstheme="majorHAnsi"/>
          <w:sz w:val="24"/>
          <w:szCs w:val="24"/>
          <w:lang w:val="ro-MD"/>
        </w:rPr>
        <w:t xml:space="preserve"> în</w:t>
      </w:r>
      <w:r w:rsidR="00B50175" w:rsidRPr="00401691">
        <w:rPr>
          <w:rFonts w:asciiTheme="majorHAnsi" w:hAnsiTheme="majorHAnsi" w:cstheme="majorHAnsi"/>
          <w:sz w:val="24"/>
          <w:szCs w:val="24"/>
          <w:lang w:val="ro-MD"/>
        </w:rPr>
        <w:t>:</w:t>
      </w:r>
    </w:p>
    <w:p w:rsidR="00B50175" w:rsidRPr="00401691" w:rsidRDefault="00097522" w:rsidP="00844145">
      <w:pPr>
        <w:pStyle w:val="ListParagraph"/>
        <w:numPr>
          <w:ilvl w:val="0"/>
          <w:numId w:val="15"/>
        </w:numPr>
        <w:shd w:val="clear" w:color="auto" w:fill="FFFFFF"/>
        <w:spacing w:after="0" w:line="276" w:lineRule="auto"/>
        <w:rPr>
          <w:rFonts w:asciiTheme="majorHAnsi" w:hAnsiTheme="majorHAnsi" w:cstheme="majorHAnsi"/>
          <w:sz w:val="24"/>
          <w:szCs w:val="24"/>
          <w:lang w:val="ro-MD"/>
        </w:rPr>
      </w:pPr>
      <w:r>
        <w:rPr>
          <w:rFonts w:asciiTheme="majorHAnsi" w:hAnsiTheme="majorHAnsi" w:cstheme="majorHAnsi"/>
          <w:sz w:val="24"/>
          <w:szCs w:val="24"/>
          <w:lang w:val="ro-MD"/>
        </w:rPr>
        <w:t>n</w:t>
      </w:r>
      <w:r w:rsidR="00B50175" w:rsidRPr="00401691">
        <w:rPr>
          <w:rFonts w:asciiTheme="majorHAnsi" w:hAnsiTheme="majorHAnsi" w:cstheme="majorHAnsi"/>
          <w:sz w:val="24"/>
          <w:szCs w:val="24"/>
          <w:lang w:val="ro-MD"/>
        </w:rPr>
        <w:t>erealizarea</w:t>
      </w:r>
      <w:r w:rsidR="00D4504F">
        <w:rPr>
          <w:rFonts w:asciiTheme="majorHAnsi" w:hAnsiTheme="majorHAnsi" w:cstheme="majorHAnsi"/>
          <w:sz w:val="24"/>
          <w:szCs w:val="24"/>
          <w:lang w:val="ro-MD"/>
        </w:rPr>
        <w:t xml:space="preserve"> </w:t>
      </w:r>
      <w:r w:rsidR="00D4504F" w:rsidRPr="00097522">
        <w:rPr>
          <w:rFonts w:asciiTheme="majorHAnsi" w:hAnsiTheme="majorHAnsi" w:cstheme="majorHAnsi"/>
          <w:sz w:val="24"/>
          <w:szCs w:val="24"/>
          <w:lang w:val="ro-MD"/>
        </w:rPr>
        <w:t>pe deplin</w:t>
      </w:r>
      <w:r w:rsidR="00B50175" w:rsidRPr="00401691">
        <w:rPr>
          <w:rFonts w:asciiTheme="majorHAnsi" w:hAnsiTheme="majorHAnsi" w:cstheme="majorHAnsi"/>
          <w:sz w:val="24"/>
          <w:szCs w:val="24"/>
          <w:lang w:val="ro-MD"/>
        </w:rPr>
        <w:t xml:space="preserve"> </w:t>
      </w:r>
      <w:r w:rsidR="00DC3C84">
        <w:rPr>
          <w:rFonts w:asciiTheme="majorHAnsi" w:hAnsiTheme="majorHAnsi" w:cstheme="majorHAnsi"/>
          <w:sz w:val="24"/>
          <w:szCs w:val="24"/>
          <w:lang w:val="ro-MD"/>
        </w:rPr>
        <w:t xml:space="preserve">a </w:t>
      </w:r>
      <w:r w:rsidR="00B50175" w:rsidRPr="00401691">
        <w:rPr>
          <w:rFonts w:asciiTheme="majorHAnsi" w:hAnsiTheme="majorHAnsi" w:cstheme="majorHAnsi"/>
          <w:sz w:val="24"/>
          <w:szCs w:val="24"/>
          <w:lang w:val="ro-MD"/>
        </w:rPr>
        <w:t>planului de încasare a veniturilor bugetului de stat;</w:t>
      </w:r>
    </w:p>
    <w:p w:rsidR="00097522" w:rsidRDefault="00097522" w:rsidP="00097522">
      <w:pPr>
        <w:pStyle w:val="ListParagraph"/>
        <w:numPr>
          <w:ilvl w:val="0"/>
          <w:numId w:val="15"/>
        </w:numPr>
        <w:shd w:val="clear" w:color="auto" w:fill="FFFFFF"/>
        <w:spacing w:after="0" w:line="276" w:lineRule="auto"/>
        <w:jc w:val="both"/>
        <w:rPr>
          <w:rFonts w:asciiTheme="majorHAnsi" w:hAnsiTheme="majorHAnsi" w:cstheme="majorHAnsi"/>
          <w:sz w:val="24"/>
          <w:szCs w:val="24"/>
          <w:lang w:val="ro-MD"/>
        </w:rPr>
      </w:pPr>
      <w:r w:rsidRPr="004E6B35">
        <w:rPr>
          <w:rFonts w:asciiTheme="majorHAnsi" w:hAnsiTheme="majorHAnsi" w:cstheme="majorHAnsi"/>
          <w:sz w:val="24"/>
          <w:szCs w:val="24"/>
          <w:lang w:val="ro-MD"/>
        </w:rPr>
        <w:t>existența nivel</w:t>
      </w:r>
      <w:r w:rsidR="00DC3C84">
        <w:rPr>
          <w:rFonts w:asciiTheme="majorHAnsi" w:hAnsiTheme="majorHAnsi" w:cstheme="majorHAnsi"/>
          <w:sz w:val="24"/>
          <w:szCs w:val="24"/>
          <w:lang w:val="ro-MD"/>
        </w:rPr>
        <w:t>ului</w:t>
      </w:r>
      <w:r w:rsidRPr="004E6B35">
        <w:rPr>
          <w:rFonts w:asciiTheme="majorHAnsi" w:hAnsiTheme="majorHAnsi" w:cstheme="majorHAnsi"/>
          <w:sz w:val="24"/>
          <w:szCs w:val="24"/>
          <w:lang w:val="ro-MD"/>
        </w:rPr>
        <w:t xml:space="preserve"> ridicat al restanțelor contribuabililor, </w:t>
      </w:r>
      <w:r>
        <w:rPr>
          <w:rFonts w:asciiTheme="majorHAnsi" w:hAnsiTheme="majorHAnsi" w:cstheme="majorHAnsi"/>
          <w:sz w:val="24"/>
          <w:szCs w:val="24"/>
          <w:lang w:val="ro-MD"/>
        </w:rPr>
        <w:t>care s-au diminuat</w:t>
      </w:r>
      <w:r w:rsidR="00DC3C84">
        <w:rPr>
          <w:rFonts w:asciiTheme="majorHAnsi" w:hAnsiTheme="majorHAnsi" w:cstheme="majorHAnsi"/>
          <w:sz w:val="24"/>
          <w:szCs w:val="24"/>
          <w:lang w:val="ro-MD"/>
        </w:rPr>
        <w:t>,</w:t>
      </w:r>
      <w:r>
        <w:rPr>
          <w:rFonts w:asciiTheme="majorHAnsi" w:hAnsiTheme="majorHAnsi" w:cstheme="majorHAnsi"/>
          <w:sz w:val="24"/>
          <w:szCs w:val="24"/>
          <w:lang w:val="ro-MD"/>
        </w:rPr>
        <w:t xml:space="preserve"> comparativ cu soldul la finele anului 2018</w:t>
      </w:r>
      <w:r w:rsidR="00DC3C84">
        <w:rPr>
          <w:rFonts w:asciiTheme="majorHAnsi" w:hAnsiTheme="majorHAnsi" w:cstheme="majorHAnsi"/>
          <w:sz w:val="24"/>
          <w:szCs w:val="24"/>
          <w:lang w:val="ro-MD"/>
        </w:rPr>
        <w:t>,</w:t>
      </w:r>
      <w:r>
        <w:rPr>
          <w:rFonts w:asciiTheme="majorHAnsi" w:hAnsiTheme="majorHAnsi" w:cstheme="majorHAnsi"/>
          <w:sz w:val="24"/>
          <w:szCs w:val="24"/>
          <w:lang w:val="ro-MD"/>
        </w:rPr>
        <w:t xml:space="preserve"> din contul </w:t>
      </w:r>
      <w:r w:rsidRPr="004E6B35">
        <w:rPr>
          <w:rFonts w:asciiTheme="majorHAnsi" w:hAnsiTheme="majorHAnsi" w:cstheme="majorHAnsi"/>
          <w:sz w:val="24"/>
          <w:szCs w:val="24"/>
          <w:lang w:val="ro-MD"/>
        </w:rPr>
        <w:t>stingerii restanțelor din evidența de bază și înscrierii obligațiilor fiscale restante/datorate în evidenț</w:t>
      </w:r>
      <w:r w:rsidR="00DC3C84">
        <w:rPr>
          <w:rFonts w:asciiTheme="majorHAnsi" w:hAnsiTheme="majorHAnsi" w:cstheme="majorHAnsi"/>
          <w:sz w:val="24"/>
          <w:szCs w:val="24"/>
          <w:lang w:val="ro-MD"/>
        </w:rPr>
        <w:t>a</w:t>
      </w:r>
      <w:r w:rsidRPr="004E6B35">
        <w:rPr>
          <w:rFonts w:asciiTheme="majorHAnsi" w:hAnsiTheme="majorHAnsi" w:cstheme="majorHAnsi"/>
          <w:sz w:val="24"/>
          <w:szCs w:val="24"/>
          <w:lang w:val="ro-MD"/>
        </w:rPr>
        <w:t xml:space="preserve"> specială</w:t>
      </w:r>
      <w:r>
        <w:rPr>
          <w:rFonts w:asciiTheme="majorHAnsi" w:hAnsiTheme="majorHAnsi" w:cstheme="majorHAnsi"/>
          <w:sz w:val="24"/>
          <w:szCs w:val="24"/>
          <w:lang w:val="ro-MD"/>
        </w:rPr>
        <w:t>;</w:t>
      </w:r>
    </w:p>
    <w:p w:rsidR="00EF1EFC" w:rsidRPr="00401691" w:rsidRDefault="00EF1EFC" w:rsidP="00E9637F">
      <w:pPr>
        <w:pStyle w:val="ListParagraph"/>
        <w:numPr>
          <w:ilvl w:val="0"/>
          <w:numId w:val="15"/>
        </w:numPr>
        <w:shd w:val="clear" w:color="auto" w:fill="FFFFFF"/>
        <w:spacing w:after="0" w:line="276" w:lineRule="auto"/>
        <w:jc w:val="both"/>
        <w:rPr>
          <w:rFonts w:asciiTheme="majorHAnsi" w:hAnsiTheme="majorHAnsi" w:cstheme="majorHAnsi"/>
          <w:sz w:val="24"/>
          <w:szCs w:val="24"/>
          <w:lang w:val="ro-MD"/>
        </w:rPr>
      </w:pPr>
      <w:r w:rsidRPr="00401691">
        <w:rPr>
          <w:rFonts w:asciiTheme="majorHAnsi" w:hAnsiTheme="majorHAnsi" w:cstheme="majorHAnsi"/>
          <w:sz w:val="24"/>
          <w:szCs w:val="24"/>
          <w:lang w:val="ro-MD"/>
        </w:rPr>
        <w:t>ne</w:t>
      </w:r>
      <w:r w:rsidR="00262ECA" w:rsidRPr="00401691">
        <w:rPr>
          <w:rFonts w:asciiTheme="majorHAnsi" w:hAnsiTheme="majorHAnsi" w:cstheme="majorHAnsi"/>
          <w:sz w:val="24"/>
          <w:szCs w:val="24"/>
          <w:lang w:val="ro-MD"/>
        </w:rPr>
        <w:t xml:space="preserve">exercitarea </w:t>
      </w:r>
      <w:r w:rsidR="006433D0">
        <w:rPr>
          <w:rFonts w:asciiTheme="majorHAnsi" w:hAnsiTheme="majorHAnsi" w:cstheme="majorHAnsi"/>
          <w:sz w:val="24"/>
          <w:szCs w:val="24"/>
          <w:lang w:val="ro-MD"/>
        </w:rPr>
        <w:t xml:space="preserve">pe deplin a </w:t>
      </w:r>
      <w:r w:rsidR="00262ECA" w:rsidRPr="00401691">
        <w:rPr>
          <w:rFonts w:asciiTheme="majorHAnsi" w:hAnsiTheme="majorHAnsi" w:cstheme="majorHAnsi"/>
          <w:sz w:val="24"/>
          <w:szCs w:val="24"/>
          <w:lang w:val="ro-MD"/>
        </w:rPr>
        <w:t xml:space="preserve">atribuției </w:t>
      </w:r>
      <w:r w:rsidRPr="00401691">
        <w:rPr>
          <w:rFonts w:asciiTheme="majorHAnsi" w:hAnsiTheme="majorHAnsi" w:cstheme="majorHAnsi"/>
          <w:sz w:val="24"/>
          <w:szCs w:val="24"/>
          <w:lang w:val="ro-MD"/>
        </w:rPr>
        <w:t>de administrator de venituri</w:t>
      </w:r>
      <w:r w:rsidR="00262ECA" w:rsidRPr="00401691">
        <w:rPr>
          <w:rFonts w:asciiTheme="majorHAnsi" w:hAnsiTheme="majorHAnsi" w:cstheme="majorHAnsi"/>
          <w:sz w:val="24"/>
          <w:szCs w:val="24"/>
          <w:lang w:val="ro-MD"/>
        </w:rPr>
        <w:t xml:space="preserve"> provenite din taxe și plăți pentru serviciile acordate de unele autorități ale statului, </w:t>
      </w:r>
      <w:r w:rsidR="008D6D96" w:rsidRPr="00401691">
        <w:rPr>
          <w:rFonts w:asciiTheme="majorHAnsi" w:hAnsiTheme="majorHAnsi" w:cstheme="majorHAnsi"/>
          <w:sz w:val="24"/>
          <w:szCs w:val="24"/>
          <w:lang w:val="ro-MD"/>
        </w:rPr>
        <w:t xml:space="preserve">precum </w:t>
      </w:r>
      <w:r w:rsidR="00262ECA" w:rsidRPr="00401691">
        <w:rPr>
          <w:rFonts w:asciiTheme="majorHAnsi" w:hAnsiTheme="majorHAnsi" w:cstheme="majorHAnsi"/>
          <w:sz w:val="24"/>
          <w:szCs w:val="24"/>
          <w:lang w:val="ro-MD"/>
        </w:rPr>
        <w:t>și din aplicarea amenzilor</w:t>
      </w:r>
      <w:r w:rsidR="00E9637F">
        <w:rPr>
          <w:rFonts w:asciiTheme="majorHAnsi" w:hAnsiTheme="majorHAnsi" w:cstheme="majorHAnsi"/>
          <w:sz w:val="24"/>
          <w:szCs w:val="24"/>
          <w:lang w:val="ro-MD"/>
        </w:rPr>
        <w:t>;</w:t>
      </w:r>
    </w:p>
    <w:p w:rsidR="00C3261E" w:rsidRPr="00401691" w:rsidRDefault="00C3261E" w:rsidP="00844145">
      <w:pPr>
        <w:pStyle w:val="ListParagraph"/>
        <w:numPr>
          <w:ilvl w:val="0"/>
          <w:numId w:val="15"/>
        </w:numPr>
        <w:shd w:val="clear" w:color="auto" w:fill="FFFFFF"/>
        <w:spacing w:after="0" w:line="276" w:lineRule="auto"/>
        <w:rPr>
          <w:rFonts w:asciiTheme="majorHAnsi" w:hAnsiTheme="majorHAnsi" w:cstheme="majorHAnsi"/>
          <w:sz w:val="24"/>
          <w:szCs w:val="24"/>
          <w:lang w:val="ro-MD"/>
        </w:rPr>
      </w:pPr>
      <w:r w:rsidRPr="00401691">
        <w:rPr>
          <w:rFonts w:asciiTheme="majorHAnsi" w:hAnsiTheme="majorHAnsi" w:cstheme="majorHAnsi"/>
          <w:sz w:val="24"/>
          <w:szCs w:val="24"/>
          <w:lang w:val="ro-MD"/>
        </w:rPr>
        <w:t>stin</w:t>
      </w:r>
      <w:r w:rsidR="00C17833">
        <w:rPr>
          <w:rFonts w:asciiTheme="majorHAnsi" w:hAnsiTheme="majorHAnsi" w:cstheme="majorHAnsi"/>
          <w:sz w:val="24"/>
          <w:szCs w:val="24"/>
          <w:lang w:val="ro-MD"/>
        </w:rPr>
        <w:t>gerea</w:t>
      </w:r>
      <w:r w:rsidR="00E9637F">
        <w:rPr>
          <w:rFonts w:asciiTheme="majorHAnsi" w:hAnsiTheme="majorHAnsi" w:cstheme="majorHAnsi"/>
          <w:sz w:val="24"/>
          <w:szCs w:val="24"/>
          <w:lang w:val="ro-MD"/>
        </w:rPr>
        <w:t xml:space="preserve"> neconformă </w:t>
      </w:r>
      <w:r w:rsidR="00C17833">
        <w:rPr>
          <w:rFonts w:asciiTheme="majorHAnsi" w:hAnsiTheme="majorHAnsi" w:cstheme="majorHAnsi"/>
          <w:sz w:val="24"/>
          <w:szCs w:val="24"/>
          <w:lang w:val="ro-MD"/>
        </w:rPr>
        <w:t>a restanțelor din</w:t>
      </w:r>
      <w:r w:rsidR="00B50175" w:rsidRPr="00401691">
        <w:rPr>
          <w:rFonts w:asciiTheme="majorHAnsi" w:hAnsiTheme="majorHAnsi" w:cstheme="majorHAnsi"/>
          <w:sz w:val="24"/>
          <w:szCs w:val="24"/>
          <w:lang w:val="ro-MD"/>
        </w:rPr>
        <w:t xml:space="preserve"> evidența</w:t>
      </w:r>
      <w:r w:rsidRPr="00401691">
        <w:rPr>
          <w:rFonts w:asciiTheme="majorHAnsi" w:hAnsiTheme="majorHAnsi" w:cstheme="majorHAnsi"/>
          <w:sz w:val="24"/>
          <w:szCs w:val="24"/>
          <w:lang w:val="ro-MD"/>
        </w:rPr>
        <w:t xml:space="preserve"> fiscală de bază, ceea ce denotă </w:t>
      </w:r>
      <w:r w:rsidR="006A4EC5" w:rsidRPr="00401691">
        <w:rPr>
          <w:rFonts w:asciiTheme="majorHAnsi" w:hAnsiTheme="majorHAnsi" w:cstheme="majorHAnsi"/>
          <w:sz w:val="24"/>
          <w:szCs w:val="24"/>
          <w:lang w:val="ro-MD"/>
        </w:rPr>
        <w:t xml:space="preserve">că </w:t>
      </w:r>
      <w:r w:rsidRPr="00401691">
        <w:rPr>
          <w:rFonts w:asciiTheme="majorHAnsi" w:hAnsiTheme="majorHAnsi" w:cstheme="majorHAnsi"/>
          <w:sz w:val="24"/>
          <w:szCs w:val="24"/>
          <w:lang w:val="ro-MD"/>
        </w:rPr>
        <w:t>activități</w:t>
      </w:r>
      <w:r w:rsidR="006A4EC5" w:rsidRPr="00401691">
        <w:rPr>
          <w:rFonts w:asciiTheme="majorHAnsi" w:hAnsiTheme="majorHAnsi" w:cstheme="majorHAnsi"/>
          <w:sz w:val="24"/>
          <w:szCs w:val="24"/>
          <w:lang w:val="ro-MD"/>
        </w:rPr>
        <w:t>le</w:t>
      </w:r>
      <w:r w:rsidRPr="00401691">
        <w:rPr>
          <w:rFonts w:asciiTheme="majorHAnsi" w:hAnsiTheme="majorHAnsi" w:cstheme="majorHAnsi"/>
          <w:sz w:val="24"/>
          <w:szCs w:val="24"/>
          <w:lang w:val="ro-MD"/>
        </w:rPr>
        <w:t xml:space="preserve"> de control</w:t>
      </w:r>
      <w:r w:rsidR="00F5703E">
        <w:rPr>
          <w:rFonts w:asciiTheme="majorHAnsi" w:hAnsiTheme="majorHAnsi" w:cstheme="majorHAnsi"/>
          <w:sz w:val="24"/>
          <w:szCs w:val="24"/>
          <w:lang w:val="ro-MD"/>
        </w:rPr>
        <w:t xml:space="preserve"> intern</w:t>
      </w:r>
      <w:r w:rsidRPr="00401691">
        <w:rPr>
          <w:rFonts w:asciiTheme="majorHAnsi" w:hAnsiTheme="majorHAnsi" w:cstheme="majorHAnsi"/>
          <w:sz w:val="24"/>
          <w:szCs w:val="24"/>
          <w:lang w:val="ro-MD"/>
        </w:rPr>
        <w:t xml:space="preserve"> </w:t>
      </w:r>
      <w:r w:rsidR="006A4EC5" w:rsidRPr="00401691">
        <w:rPr>
          <w:rFonts w:asciiTheme="majorHAnsi" w:hAnsiTheme="majorHAnsi" w:cstheme="majorHAnsi"/>
          <w:sz w:val="24"/>
          <w:szCs w:val="24"/>
          <w:lang w:val="ro-MD"/>
        </w:rPr>
        <w:t xml:space="preserve">sunt </w:t>
      </w:r>
      <w:r w:rsidR="00B50175" w:rsidRPr="00401691">
        <w:rPr>
          <w:rFonts w:asciiTheme="majorHAnsi" w:hAnsiTheme="majorHAnsi" w:cstheme="majorHAnsi"/>
          <w:sz w:val="24"/>
          <w:szCs w:val="24"/>
          <w:lang w:val="ro-MD"/>
        </w:rPr>
        <w:t>sla</w:t>
      </w:r>
      <w:r w:rsidRPr="00401691">
        <w:rPr>
          <w:rFonts w:asciiTheme="majorHAnsi" w:hAnsiTheme="majorHAnsi" w:cstheme="majorHAnsi"/>
          <w:sz w:val="24"/>
          <w:szCs w:val="24"/>
          <w:lang w:val="ro-MD"/>
        </w:rPr>
        <w:t>b</w:t>
      </w:r>
      <w:r w:rsidR="00B50175" w:rsidRPr="00401691">
        <w:rPr>
          <w:rFonts w:asciiTheme="majorHAnsi" w:hAnsiTheme="majorHAnsi" w:cstheme="majorHAnsi"/>
          <w:sz w:val="24"/>
          <w:szCs w:val="24"/>
          <w:lang w:val="ro-MD"/>
        </w:rPr>
        <w:t>e</w:t>
      </w:r>
      <w:r w:rsidR="006A4EC5" w:rsidRPr="00401691">
        <w:rPr>
          <w:rFonts w:asciiTheme="majorHAnsi" w:hAnsiTheme="majorHAnsi" w:cstheme="majorHAnsi"/>
          <w:sz w:val="24"/>
          <w:szCs w:val="24"/>
          <w:lang w:val="ro-MD"/>
        </w:rPr>
        <w:t xml:space="preserve"> și permit</w:t>
      </w:r>
      <w:r w:rsidR="00E9637F">
        <w:rPr>
          <w:rFonts w:asciiTheme="majorHAnsi" w:hAnsiTheme="majorHAnsi" w:cstheme="majorHAnsi"/>
          <w:sz w:val="24"/>
          <w:szCs w:val="24"/>
          <w:lang w:val="ro-MD"/>
        </w:rPr>
        <w:t xml:space="preserve"> erori</w:t>
      </w:r>
      <w:r w:rsidRPr="00401691">
        <w:rPr>
          <w:rFonts w:asciiTheme="majorHAnsi" w:hAnsiTheme="majorHAnsi" w:cstheme="majorHAnsi"/>
          <w:sz w:val="24"/>
          <w:szCs w:val="24"/>
          <w:lang w:val="ro-MD"/>
        </w:rPr>
        <w:t>;</w:t>
      </w:r>
    </w:p>
    <w:p w:rsidR="00C3261E" w:rsidRPr="00401691" w:rsidRDefault="00C3261E" w:rsidP="00844145">
      <w:pPr>
        <w:pStyle w:val="ListParagraph"/>
        <w:numPr>
          <w:ilvl w:val="0"/>
          <w:numId w:val="15"/>
        </w:numPr>
        <w:shd w:val="clear" w:color="auto" w:fill="FFFFFF"/>
        <w:spacing w:after="0" w:line="276" w:lineRule="auto"/>
        <w:rPr>
          <w:rFonts w:asciiTheme="majorHAnsi" w:hAnsiTheme="majorHAnsi" w:cstheme="majorHAnsi"/>
          <w:sz w:val="24"/>
          <w:szCs w:val="24"/>
          <w:lang w:val="ro-MD"/>
        </w:rPr>
      </w:pPr>
      <w:r w:rsidRPr="00401691">
        <w:rPr>
          <w:rFonts w:asciiTheme="majorHAnsi" w:hAnsiTheme="majorHAnsi" w:cstheme="majorHAnsi"/>
          <w:sz w:val="24"/>
          <w:szCs w:val="24"/>
          <w:lang w:val="ro-MD"/>
        </w:rPr>
        <w:t>ne</w:t>
      </w:r>
      <w:r w:rsidR="00B50175" w:rsidRPr="00401691">
        <w:rPr>
          <w:rFonts w:asciiTheme="majorHAnsi" w:hAnsiTheme="majorHAnsi" w:cstheme="majorHAnsi"/>
          <w:sz w:val="24"/>
          <w:szCs w:val="24"/>
          <w:lang w:val="ro-MD"/>
        </w:rPr>
        <w:t>respectarea</w:t>
      </w:r>
      <w:r w:rsidR="00E9637F">
        <w:rPr>
          <w:rFonts w:asciiTheme="majorHAnsi" w:hAnsiTheme="majorHAnsi" w:cstheme="majorHAnsi"/>
          <w:sz w:val="24"/>
          <w:szCs w:val="24"/>
          <w:lang w:val="ro-MD"/>
        </w:rPr>
        <w:t xml:space="preserve"> întocmai a</w:t>
      </w:r>
      <w:r w:rsidR="00B50175" w:rsidRPr="00401691">
        <w:rPr>
          <w:rFonts w:asciiTheme="majorHAnsi" w:hAnsiTheme="majorHAnsi" w:cstheme="majorHAnsi"/>
          <w:sz w:val="24"/>
          <w:szCs w:val="24"/>
          <w:lang w:val="ro-MD"/>
        </w:rPr>
        <w:t xml:space="preserve"> prevederilor legale </w:t>
      </w:r>
      <w:r w:rsidRPr="00401691">
        <w:rPr>
          <w:rFonts w:asciiTheme="majorHAnsi" w:hAnsiTheme="majorHAnsi" w:cstheme="majorHAnsi"/>
          <w:sz w:val="24"/>
          <w:szCs w:val="24"/>
          <w:lang w:val="ro-MD"/>
        </w:rPr>
        <w:t>privind executarea silită a arieratelor, care a</w:t>
      </w:r>
      <w:r w:rsidR="006A4EC5" w:rsidRPr="00401691">
        <w:rPr>
          <w:rFonts w:asciiTheme="majorHAnsi" w:hAnsiTheme="majorHAnsi" w:cstheme="majorHAnsi"/>
          <w:sz w:val="24"/>
          <w:szCs w:val="24"/>
          <w:lang w:val="ro-MD"/>
        </w:rPr>
        <w:t xml:space="preserve">re ca </w:t>
      </w:r>
      <w:r w:rsidRPr="00401691">
        <w:rPr>
          <w:rFonts w:asciiTheme="majorHAnsi" w:hAnsiTheme="majorHAnsi" w:cstheme="majorHAnsi"/>
          <w:sz w:val="24"/>
          <w:szCs w:val="24"/>
          <w:lang w:val="ro-MD"/>
        </w:rPr>
        <w:t>impact nerealizarea veniturilor cuvenite bugetului de stat;</w:t>
      </w:r>
    </w:p>
    <w:p w:rsidR="00E9637F" w:rsidRPr="00481C66" w:rsidRDefault="00E9637F" w:rsidP="00E9637F">
      <w:pPr>
        <w:pStyle w:val="ListParagraph"/>
        <w:numPr>
          <w:ilvl w:val="0"/>
          <w:numId w:val="15"/>
        </w:numPr>
        <w:shd w:val="clear" w:color="auto" w:fill="FFFFFF"/>
        <w:spacing w:after="0" w:line="276" w:lineRule="auto"/>
        <w:jc w:val="both"/>
        <w:rPr>
          <w:rFonts w:asciiTheme="majorHAnsi" w:hAnsiTheme="majorHAnsi" w:cstheme="majorHAnsi"/>
          <w:sz w:val="24"/>
          <w:szCs w:val="24"/>
          <w:lang w:val="ro-MD"/>
        </w:rPr>
      </w:pPr>
      <w:r w:rsidRPr="00481C66">
        <w:rPr>
          <w:rFonts w:asciiTheme="majorHAnsi" w:hAnsiTheme="majorHAnsi" w:cstheme="majorHAnsi"/>
          <w:sz w:val="24"/>
          <w:szCs w:val="24"/>
          <w:lang w:val="ro-MD"/>
        </w:rPr>
        <w:t>necontestarea în modul stabilit de Codul de executare a actelor emise de executorul judecătoresc, prin care au fost afectate interesele statului privind recuperarea la buget</w:t>
      </w:r>
      <w:r w:rsidR="00481C66">
        <w:rPr>
          <w:rFonts w:asciiTheme="majorHAnsi" w:hAnsiTheme="majorHAnsi" w:cstheme="majorHAnsi"/>
          <w:sz w:val="24"/>
          <w:szCs w:val="24"/>
          <w:lang w:val="ro-MD"/>
        </w:rPr>
        <w:t xml:space="preserve"> a datoriilor</w:t>
      </w:r>
      <w:r w:rsidR="008E07FF" w:rsidRPr="00481C66">
        <w:rPr>
          <w:rFonts w:asciiTheme="majorHAnsi" w:hAnsiTheme="majorHAnsi" w:cstheme="majorHAnsi"/>
          <w:sz w:val="24"/>
          <w:szCs w:val="24"/>
          <w:lang w:val="ro-MD"/>
        </w:rPr>
        <w:t>;</w:t>
      </w:r>
    </w:p>
    <w:p w:rsidR="00E9637F" w:rsidRDefault="00E9637F" w:rsidP="00844145">
      <w:pPr>
        <w:pStyle w:val="ListParagraph"/>
        <w:numPr>
          <w:ilvl w:val="0"/>
          <w:numId w:val="15"/>
        </w:numPr>
        <w:shd w:val="clear" w:color="auto" w:fill="FFFFFF"/>
        <w:spacing w:after="0" w:line="276" w:lineRule="auto"/>
        <w:rPr>
          <w:rFonts w:asciiTheme="majorHAnsi" w:hAnsiTheme="majorHAnsi" w:cstheme="majorHAnsi"/>
          <w:sz w:val="24"/>
          <w:szCs w:val="24"/>
          <w:lang w:val="ro-MD"/>
        </w:rPr>
      </w:pPr>
      <w:r w:rsidRPr="004E6B35">
        <w:rPr>
          <w:rFonts w:asciiTheme="majorHAnsi" w:hAnsiTheme="majorHAnsi" w:cstheme="majorHAnsi"/>
          <w:sz w:val="24"/>
          <w:szCs w:val="24"/>
          <w:lang w:val="ro-MD"/>
        </w:rPr>
        <w:t xml:space="preserve">lipsa unor pârghii legale de responsabilizare a contribuabililor care tergiversează comercializarea bunurilor sechestrate silit de </w:t>
      </w:r>
      <w:r w:rsidR="008E07FF">
        <w:rPr>
          <w:rFonts w:asciiTheme="majorHAnsi" w:hAnsiTheme="majorHAnsi" w:cstheme="majorHAnsi"/>
          <w:sz w:val="24"/>
          <w:szCs w:val="24"/>
          <w:lang w:val="ro-MD"/>
        </w:rPr>
        <w:t xml:space="preserve">către </w:t>
      </w:r>
      <w:r w:rsidRPr="004E6B35">
        <w:rPr>
          <w:rFonts w:asciiTheme="majorHAnsi" w:hAnsiTheme="majorHAnsi" w:cstheme="majorHAnsi"/>
          <w:sz w:val="24"/>
          <w:szCs w:val="24"/>
          <w:lang w:val="ro-MD"/>
        </w:rPr>
        <w:t>SFS</w:t>
      </w:r>
      <w:r>
        <w:rPr>
          <w:rFonts w:asciiTheme="majorHAnsi" w:hAnsiTheme="majorHAnsi" w:cstheme="majorHAnsi"/>
          <w:sz w:val="24"/>
          <w:szCs w:val="24"/>
          <w:lang w:val="ro-MD"/>
        </w:rPr>
        <w:t>;</w:t>
      </w:r>
    </w:p>
    <w:p w:rsidR="00BC3004" w:rsidRPr="00D12282" w:rsidRDefault="00E9637F" w:rsidP="00D12282">
      <w:pPr>
        <w:pStyle w:val="ListParagraph"/>
        <w:numPr>
          <w:ilvl w:val="0"/>
          <w:numId w:val="15"/>
        </w:numPr>
        <w:shd w:val="clear" w:color="auto" w:fill="FFFFFF"/>
        <w:spacing w:after="0" w:line="276" w:lineRule="auto"/>
        <w:jc w:val="both"/>
        <w:rPr>
          <w:rFonts w:asciiTheme="majorHAnsi" w:hAnsiTheme="majorHAnsi" w:cstheme="majorHAnsi"/>
          <w:sz w:val="24"/>
          <w:szCs w:val="24"/>
          <w:lang w:val="ro-MD"/>
        </w:rPr>
      </w:pPr>
      <w:r w:rsidRPr="00E9637F">
        <w:rPr>
          <w:rFonts w:asciiTheme="majorHAnsi" w:hAnsiTheme="majorHAnsi" w:cstheme="majorHAnsi"/>
          <w:sz w:val="24"/>
          <w:szCs w:val="24"/>
          <w:lang w:val="ro-MD"/>
        </w:rPr>
        <w:t>lipsa unui mecanism c</w:t>
      </w:r>
      <w:r w:rsidR="008E07FF">
        <w:rPr>
          <w:rFonts w:asciiTheme="majorHAnsi" w:hAnsiTheme="majorHAnsi" w:cstheme="majorHAnsi"/>
          <w:sz w:val="24"/>
          <w:szCs w:val="24"/>
          <w:lang w:val="ro-MD"/>
        </w:rPr>
        <w:t>ar</w:t>
      </w:r>
      <w:r w:rsidRPr="00E9637F">
        <w:rPr>
          <w:rFonts w:asciiTheme="majorHAnsi" w:hAnsiTheme="majorHAnsi" w:cstheme="majorHAnsi"/>
          <w:sz w:val="24"/>
          <w:szCs w:val="24"/>
          <w:lang w:val="ro-MD"/>
        </w:rPr>
        <w:t xml:space="preserve">e ar asigura schimbul de date cu organele de drept </w:t>
      </w:r>
      <w:r>
        <w:rPr>
          <w:rFonts w:asciiTheme="majorHAnsi" w:hAnsiTheme="majorHAnsi" w:cstheme="majorHAnsi"/>
          <w:sz w:val="24"/>
          <w:szCs w:val="24"/>
          <w:lang w:val="ro-MD"/>
        </w:rPr>
        <w:t xml:space="preserve">despre </w:t>
      </w:r>
      <w:r w:rsidR="00D2516B">
        <w:rPr>
          <w:rFonts w:asciiTheme="majorHAnsi" w:hAnsiTheme="majorHAnsi" w:cstheme="majorHAnsi"/>
          <w:sz w:val="24"/>
          <w:szCs w:val="24"/>
          <w:lang w:val="ro-MD"/>
        </w:rPr>
        <w:t xml:space="preserve">investigarea și </w:t>
      </w:r>
      <w:r w:rsidRPr="00E9637F">
        <w:rPr>
          <w:rFonts w:asciiTheme="majorHAnsi" w:hAnsiTheme="majorHAnsi" w:cstheme="majorHAnsi"/>
          <w:sz w:val="24"/>
          <w:szCs w:val="24"/>
          <w:lang w:val="ro-MD"/>
        </w:rPr>
        <w:t>supunerea urmăririi penale a fraudelor</w:t>
      </w:r>
      <w:r w:rsidR="00D12282">
        <w:rPr>
          <w:rFonts w:asciiTheme="majorHAnsi" w:hAnsiTheme="majorHAnsi" w:cstheme="majorHAnsi"/>
          <w:sz w:val="24"/>
          <w:szCs w:val="24"/>
          <w:lang w:val="ro-MD"/>
        </w:rPr>
        <w:t xml:space="preserve"> </w:t>
      </w:r>
      <w:r>
        <w:rPr>
          <w:rFonts w:asciiTheme="majorHAnsi" w:hAnsiTheme="majorHAnsi" w:cstheme="majorHAnsi"/>
          <w:sz w:val="24"/>
          <w:szCs w:val="24"/>
          <w:lang w:val="ro-MD"/>
        </w:rPr>
        <w:t>fiscale</w:t>
      </w:r>
      <w:r w:rsidRPr="00E9637F">
        <w:rPr>
          <w:rFonts w:asciiTheme="majorHAnsi" w:hAnsiTheme="majorHAnsi" w:cstheme="majorHAnsi"/>
          <w:sz w:val="24"/>
          <w:szCs w:val="24"/>
          <w:lang w:val="ro-MD"/>
        </w:rPr>
        <w:t>, în vederea creșterii nivelului general de conformare fiscală</w:t>
      </w:r>
      <w:r w:rsidR="00D12282">
        <w:rPr>
          <w:rFonts w:asciiTheme="majorHAnsi" w:hAnsiTheme="majorHAnsi" w:cstheme="majorHAnsi"/>
          <w:sz w:val="24"/>
          <w:szCs w:val="24"/>
          <w:lang w:val="ro-MD"/>
        </w:rPr>
        <w:t>.</w:t>
      </w:r>
    </w:p>
    <w:p w:rsidR="00330824" w:rsidRPr="00401691" w:rsidRDefault="006A4EC5" w:rsidP="00844145">
      <w:pPr>
        <w:pStyle w:val="ListParagraph"/>
        <w:spacing w:after="0" w:line="276" w:lineRule="auto"/>
        <w:ind w:left="0"/>
        <w:jc w:val="both"/>
        <w:rPr>
          <w:rFonts w:asciiTheme="majorHAnsi" w:hAnsiTheme="majorHAnsi" w:cstheme="majorHAnsi"/>
          <w:i/>
          <w:sz w:val="24"/>
          <w:szCs w:val="24"/>
          <w:lang w:val="ro-MD"/>
        </w:rPr>
      </w:pPr>
      <w:r w:rsidRPr="00401691">
        <w:rPr>
          <w:rFonts w:asciiTheme="majorHAnsi" w:eastAsia="Times New Roman" w:hAnsiTheme="majorHAnsi" w:cstheme="majorHAnsi"/>
          <w:bCs/>
          <w:sz w:val="24"/>
          <w:szCs w:val="24"/>
          <w:lang w:val="ro-MD"/>
        </w:rPr>
        <w:t xml:space="preserve">Aceste situații reduc semnificativ </w:t>
      </w:r>
      <w:r w:rsidRPr="00401691">
        <w:rPr>
          <w:rFonts w:asciiTheme="majorHAnsi" w:hAnsiTheme="majorHAnsi" w:cstheme="majorHAnsi"/>
          <w:sz w:val="24"/>
          <w:szCs w:val="24"/>
          <w:lang w:val="ro-MD"/>
        </w:rPr>
        <w:t>gradul de confo</w:t>
      </w:r>
      <w:r w:rsidR="00943B89">
        <w:rPr>
          <w:rFonts w:asciiTheme="majorHAnsi" w:hAnsiTheme="majorHAnsi" w:cstheme="majorHAnsi"/>
          <w:sz w:val="24"/>
          <w:szCs w:val="24"/>
          <w:lang w:val="ro-MD"/>
        </w:rPr>
        <w:t>rmitate</w:t>
      </w:r>
      <w:r w:rsidRPr="00401691">
        <w:rPr>
          <w:rFonts w:asciiTheme="majorHAnsi" w:hAnsiTheme="majorHAnsi" w:cstheme="majorHAnsi"/>
          <w:sz w:val="24"/>
          <w:szCs w:val="24"/>
          <w:lang w:val="ro-MD"/>
        </w:rPr>
        <w:t xml:space="preserve"> al administrării fiscale, </w:t>
      </w:r>
      <w:r w:rsidR="00BC3004" w:rsidRPr="00401691">
        <w:rPr>
          <w:rFonts w:asciiTheme="majorHAnsi" w:hAnsiTheme="majorHAnsi" w:cstheme="majorHAnsi"/>
          <w:sz w:val="24"/>
          <w:szCs w:val="24"/>
          <w:lang w:val="ro-MD"/>
        </w:rPr>
        <w:t>având</w:t>
      </w:r>
      <w:r w:rsidRPr="00401691">
        <w:rPr>
          <w:rFonts w:asciiTheme="majorHAnsi" w:hAnsiTheme="majorHAnsi" w:cstheme="majorHAnsi"/>
          <w:sz w:val="24"/>
          <w:szCs w:val="24"/>
          <w:lang w:val="ro-MD"/>
        </w:rPr>
        <w:t xml:space="preserve"> impact asupra disciplinei </w:t>
      </w:r>
      <w:r w:rsidR="00330824" w:rsidRPr="00401691">
        <w:rPr>
          <w:rFonts w:asciiTheme="majorHAnsi" w:hAnsiTheme="majorHAnsi" w:cstheme="majorHAnsi"/>
          <w:sz w:val="24"/>
          <w:szCs w:val="24"/>
          <w:lang w:val="ro-MD"/>
        </w:rPr>
        <w:t>operaționale de colectare a veniturilor cuvenite bugetului de stat, exercit</w:t>
      </w:r>
      <w:r w:rsidR="008E07FF">
        <w:rPr>
          <w:rFonts w:asciiTheme="majorHAnsi" w:hAnsiTheme="majorHAnsi" w:cstheme="majorHAnsi"/>
          <w:sz w:val="24"/>
          <w:szCs w:val="24"/>
          <w:lang w:val="ro-MD"/>
        </w:rPr>
        <w:t>ării</w:t>
      </w:r>
      <w:r w:rsidR="00330824" w:rsidRPr="00401691">
        <w:rPr>
          <w:rFonts w:asciiTheme="majorHAnsi" w:hAnsiTheme="majorHAnsi" w:cstheme="majorHAnsi"/>
          <w:sz w:val="24"/>
          <w:szCs w:val="24"/>
          <w:lang w:val="ro-MD"/>
        </w:rPr>
        <w:t xml:space="preserve"> conform</w:t>
      </w:r>
      <w:r w:rsidR="008E07FF">
        <w:rPr>
          <w:rFonts w:asciiTheme="majorHAnsi" w:hAnsiTheme="majorHAnsi" w:cstheme="majorHAnsi"/>
          <w:sz w:val="24"/>
          <w:szCs w:val="24"/>
          <w:lang w:val="ro-MD"/>
        </w:rPr>
        <w:t>e</w:t>
      </w:r>
      <w:r w:rsidR="00330824" w:rsidRPr="00401691">
        <w:rPr>
          <w:rFonts w:asciiTheme="majorHAnsi" w:hAnsiTheme="majorHAnsi" w:cstheme="majorHAnsi"/>
          <w:sz w:val="24"/>
          <w:szCs w:val="24"/>
          <w:lang w:val="ro-MD"/>
        </w:rPr>
        <w:t xml:space="preserve"> a rolului de administrator de venituri provenite din prestarea serviciilor publice de către autoritățile statului, sau din colectarea amenzilor aplicate.</w:t>
      </w:r>
      <w:r w:rsidRPr="00401691">
        <w:rPr>
          <w:rFonts w:asciiTheme="majorHAnsi" w:hAnsiTheme="majorHAnsi" w:cstheme="majorHAnsi"/>
          <w:color w:val="000000"/>
          <w:sz w:val="24"/>
          <w:szCs w:val="24"/>
          <w:lang w:val="ro-MD"/>
        </w:rPr>
        <w:t xml:space="preserve"> </w:t>
      </w:r>
      <w:r w:rsidRPr="00401691">
        <w:rPr>
          <w:rFonts w:asciiTheme="majorHAnsi" w:eastAsia="Times New Roman" w:hAnsiTheme="majorHAnsi" w:cstheme="majorHAnsi"/>
          <w:bCs/>
          <w:sz w:val="24"/>
          <w:szCs w:val="24"/>
          <w:lang w:val="ro-MD"/>
        </w:rPr>
        <w:t xml:space="preserve">Cele menționate de audit determină necesitatea adoptării unor măsuri </w:t>
      </w:r>
      <w:r w:rsidR="00330824" w:rsidRPr="00401691">
        <w:rPr>
          <w:rFonts w:asciiTheme="majorHAnsi" w:eastAsia="Times New Roman" w:hAnsiTheme="majorHAnsi" w:cstheme="majorHAnsi"/>
          <w:bCs/>
          <w:sz w:val="24"/>
          <w:szCs w:val="24"/>
          <w:lang w:val="ro-MD"/>
        </w:rPr>
        <w:t xml:space="preserve">stringente privind îmbunătățirea </w:t>
      </w:r>
      <w:r w:rsidR="00330824" w:rsidRPr="00401691">
        <w:rPr>
          <w:rFonts w:asciiTheme="majorHAnsi" w:hAnsiTheme="majorHAnsi" w:cstheme="majorHAnsi"/>
          <w:sz w:val="24"/>
          <w:szCs w:val="24"/>
          <w:lang w:val="ro-MD"/>
        </w:rPr>
        <w:t xml:space="preserve">politicilor, procedurilor și instrumentelor de administrare fiscală, remedierea unor deficiențe și situații problematice descrise în prezentul </w:t>
      </w:r>
      <w:r w:rsidR="008E07FF">
        <w:rPr>
          <w:rFonts w:asciiTheme="majorHAnsi" w:hAnsiTheme="majorHAnsi" w:cstheme="majorHAnsi"/>
          <w:sz w:val="24"/>
          <w:szCs w:val="24"/>
          <w:lang w:val="ro-MD"/>
        </w:rPr>
        <w:t>R</w:t>
      </w:r>
      <w:r w:rsidR="00330824" w:rsidRPr="00401691">
        <w:rPr>
          <w:rFonts w:asciiTheme="majorHAnsi" w:hAnsiTheme="majorHAnsi" w:cstheme="majorHAnsi"/>
          <w:sz w:val="24"/>
          <w:szCs w:val="24"/>
          <w:lang w:val="ro-MD"/>
        </w:rPr>
        <w:t xml:space="preserve">aport de audit, în scopul consolidării sistemului, inclusiv la componenta </w:t>
      </w:r>
      <w:r w:rsidR="005F1720">
        <w:rPr>
          <w:rFonts w:asciiTheme="majorHAnsi" w:hAnsiTheme="majorHAnsi" w:cstheme="majorHAnsi"/>
          <w:sz w:val="24"/>
          <w:szCs w:val="24"/>
          <w:lang w:val="ro-MD"/>
        </w:rPr>
        <w:t>M</w:t>
      </w:r>
      <w:r w:rsidR="00330824" w:rsidRPr="00401691">
        <w:rPr>
          <w:rFonts w:asciiTheme="majorHAnsi" w:hAnsiTheme="majorHAnsi" w:cstheme="majorHAnsi"/>
          <w:sz w:val="24"/>
          <w:szCs w:val="24"/>
          <w:lang w:val="ro-MD"/>
        </w:rPr>
        <w:t>anagementul operațional al arieratelor.</w:t>
      </w:r>
    </w:p>
    <w:p w:rsidR="00330824" w:rsidRPr="00401691" w:rsidRDefault="00330824" w:rsidP="00844145">
      <w:pPr>
        <w:spacing w:after="0" w:line="276" w:lineRule="auto"/>
        <w:jc w:val="both"/>
        <w:rPr>
          <w:rFonts w:asciiTheme="majorHAnsi" w:hAnsiTheme="majorHAnsi" w:cstheme="majorHAnsi"/>
          <w:i/>
          <w:sz w:val="24"/>
          <w:szCs w:val="24"/>
          <w:lang w:val="ro-MD"/>
        </w:rPr>
      </w:pPr>
      <w:r w:rsidRPr="00401691">
        <w:rPr>
          <w:rFonts w:asciiTheme="majorHAnsi" w:hAnsiTheme="majorHAnsi" w:cstheme="majorHAnsi"/>
          <w:i/>
          <w:sz w:val="24"/>
          <w:szCs w:val="24"/>
          <w:lang w:val="ro-MD"/>
        </w:rPr>
        <w:t xml:space="preserve"> </w:t>
      </w:r>
    </w:p>
    <w:p w:rsidR="002C7B91" w:rsidRPr="00FF3B0A" w:rsidRDefault="00287EA3" w:rsidP="00844145">
      <w:pPr>
        <w:pStyle w:val="Heading1"/>
        <w:numPr>
          <w:ilvl w:val="0"/>
          <w:numId w:val="32"/>
        </w:numPr>
        <w:tabs>
          <w:tab w:val="left" w:pos="630"/>
        </w:tabs>
        <w:spacing w:line="276" w:lineRule="auto"/>
        <w:ind w:left="360" w:hanging="360"/>
        <w:jc w:val="center"/>
        <w:rPr>
          <w:i w:val="0"/>
          <w:color w:val="1F4E79" w:themeColor="accent1" w:themeShade="80"/>
          <w:sz w:val="24"/>
          <w:szCs w:val="24"/>
          <w:lang w:val="ro-MD"/>
        </w:rPr>
      </w:pPr>
      <w:bookmarkStart w:id="25" w:name="_Toc48732737"/>
      <w:r w:rsidRPr="00FF3B0A">
        <w:rPr>
          <w:i w:val="0"/>
          <w:color w:val="1F4E79" w:themeColor="accent1" w:themeShade="80"/>
          <w:sz w:val="24"/>
          <w:szCs w:val="24"/>
          <w:lang w:val="ro-MD"/>
        </w:rPr>
        <w:t>RECOMANDĂRILE DE AUDIT</w:t>
      </w:r>
      <w:bookmarkEnd w:id="25"/>
    </w:p>
    <w:p w:rsidR="001C4176" w:rsidRDefault="00B900C4" w:rsidP="001C4176">
      <w:pPr>
        <w:pStyle w:val="ListParagraph"/>
        <w:tabs>
          <w:tab w:val="left" w:pos="0"/>
          <w:tab w:val="left" w:pos="270"/>
          <w:tab w:val="left" w:pos="360"/>
        </w:tabs>
        <w:spacing w:after="120" w:line="276" w:lineRule="auto"/>
        <w:ind w:left="0"/>
        <w:contextualSpacing w:val="0"/>
        <w:jc w:val="both"/>
        <w:rPr>
          <w:rFonts w:asciiTheme="majorHAnsi" w:hAnsiTheme="majorHAnsi" w:cstheme="majorHAnsi"/>
          <w:sz w:val="24"/>
          <w:szCs w:val="24"/>
          <w:lang w:val="ro-MD"/>
        </w:rPr>
      </w:pPr>
      <w:r w:rsidRPr="00481C66">
        <w:rPr>
          <w:rFonts w:asciiTheme="majorHAnsi" w:hAnsiTheme="majorHAnsi" w:cstheme="majorHAnsi"/>
          <w:sz w:val="24"/>
          <w:szCs w:val="24"/>
          <w:lang w:val="ro-MD"/>
        </w:rPr>
        <w:t>S</w:t>
      </w:r>
      <w:r w:rsidR="001C4176">
        <w:rPr>
          <w:rFonts w:asciiTheme="majorHAnsi" w:hAnsiTheme="majorHAnsi" w:cstheme="majorHAnsi"/>
          <w:sz w:val="24"/>
          <w:szCs w:val="24"/>
          <w:lang w:val="ro-MD"/>
        </w:rPr>
        <w:t>erviciul</w:t>
      </w:r>
      <w:r w:rsidR="005922EE">
        <w:rPr>
          <w:rFonts w:asciiTheme="majorHAnsi" w:hAnsiTheme="majorHAnsi" w:cstheme="majorHAnsi"/>
          <w:sz w:val="24"/>
          <w:szCs w:val="24"/>
          <w:lang w:val="ro-MD"/>
        </w:rPr>
        <w:t>ui</w:t>
      </w:r>
      <w:r w:rsidR="001C4176">
        <w:rPr>
          <w:rFonts w:asciiTheme="majorHAnsi" w:hAnsiTheme="majorHAnsi" w:cstheme="majorHAnsi"/>
          <w:sz w:val="24"/>
          <w:szCs w:val="24"/>
          <w:lang w:val="ro-MD"/>
        </w:rPr>
        <w:t xml:space="preserve"> </w:t>
      </w:r>
      <w:r w:rsidRPr="00481C66">
        <w:rPr>
          <w:rFonts w:asciiTheme="majorHAnsi" w:hAnsiTheme="majorHAnsi" w:cstheme="majorHAnsi"/>
          <w:sz w:val="24"/>
          <w:szCs w:val="24"/>
          <w:lang w:val="ro-MD"/>
        </w:rPr>
        <w:t>F</w:t>
      </w:r>
      <w:r w:rsidR="001C4176">
        <w:rPr>
          <w:rFonts w:asciiTheme="majorHAnsi" w:hAnsiTheme="majorHAnsi" w:cstheme="majorHAnsi"/>
          <w:sz w:val="24"/>
          <w:szCs w:val="24"/>
          <w:lang w:val="ro-MD"/>
        </w:rPr>
        <w:t xml:space="preserve">iscal de </w:t>
      </w:r>
      <w:r w:rsidRPr="00481C66">
        <w:rPr>
          <w:rFonts w:asciiTheme="majorHAnsi" w:hAnsiTheme="majorHAnsi" w:cstheme="majorHAnsi"/>
          <w:sz w:val="24"/>
          <w:szCs w:val="24"/>
          <w:lang w:val="ro-MD"/>
        </w:rPr>
        <w:t>S</w:t>
      </w:r>
      <w:r w:rsidR="001C4176">
        <w:rPr>
          <w:rFonts w:asciiTheme="majorHAnsi" w:hAnsiTheme="majorHAnsi" w:cstheme="majorHAnsi"/>
          <w:sz w:val="24"/>
          <w:szCs w:val="24"/>
          <w:lang w:val="ro-MD"/>
        </w:rPr>
        <w:t>tat:</w:t>
      </w:r>
    </w:p>
    <w:p w:rsidR="00D25B1F" w:rsidRPr="00401691" w:rsidRDefault="001C4176" w:rsidP="00844145">
      <w:pPr>
        <w:pStyle w:val="ListParagraph"/>
        <w:numPr>
          <w:ilvl w:val="0"/>
          <w:numId w:val="6"/>
        </w:numPr>
        <w:tabs>
          <w:tab w:val="left" w:pos="0"/>
          <w:tab w:val="left" w:pos="270"/>
          <w:tab w:val="left" w:pos="360"/>
        </w:tabs>
        <w:spacing w:after="120" w:line="276" w:lineRule="auto"/>
        <w:ind w:left="0" w:firstLine="0"/>
        <w:contextualSpacing w:val="0"/>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 S</w:t>
      </w:r>
      <w:r w:rsidR="00B900C4" w:rsidRPr="00481C66">
        <w:rPr>
          <w:rFonts w:asciiTheme="majorHAnsi" w:hAnsiTheme="majorHAnsi" w:cstheme="majorHAnsi"/>
          <w:sz w:val="24"/>
          <w:szCs w:val="24"/>
          <w:lang w:val="ro-MD"/>
        </w:rPr>
        <w:t>ă instituie</w:t>
      </w:r>
      <w:r w:rsidR="00471AAF" w:rsidRPr="00481C66">
        <w:rPr>
          <w:rFonts w:asciiTheme="majorHAnsi" w:hAnsiTheme="majorHAnsi" w:cstheme="majorHAnsi"/>
          <w:sz w:val="24"/>
          <w:szCs w:val="24"/>
          <w:lang w:val="ro-MD"/>
        </w:rPr>
        <w:t xml:space="preserve"> și să aprobe </w:t>
      </w:r>
      <w:r w:rsidR="00760818" w:rsidRPr="00481C66">
        <w:rPr>
          <w:rFonts w:asciiTheme="majorHAnsi" w:hAnsiTheme="majorHAnsi" w:cstheme="majorHAnsi"/>
          <w:sz w:val="24"/>
          <w:szCs w:val="24"/>
          <w:lang w:val="ro-MD"/>
        </w:rPr>
        <w:t>un mecanism</w:t>
      </w:r>
      <w:r w:rsidR="006433D0" w:rsidRPr="00481C66">
        <w:rPr>
          <w:rFonts w:asciiTheme="majorHAnsi" w:hAnsiTheme="majorHAnsi" w:cstheme="majorHAnsi"/>
          <w:sz w:val="24"/>
          <w:szCs w:val="24"/>
          <w:lang w:val="ro-MD"/>
        </w:rPr>
        <w:t xml:space="preserve"> eficient </w:t>
      </w:r>
      <w:r w:rsidR="00B900C4" w:rsidRPr="00481C66">
        <w:rPr>
          <w:rFonts w:asciiTheme="majorHAnsi" w:hAnsiTheme="majorHAnsi" w:cstheme="majorHAnsi"/>
          <w:sz w:val="24"/>
          <w:szCs w:val="24"/>
          <w:lang w:val="ro-MD"/>
        </w:rPr>
        <w:t>de conlucrare cu autoritățile responsabile de prestarea serviciilor publi</w:t>
      </w:r>
      <w:r w:rsidR="00B900C4" w:rsidRPr="00401691">
        <w:rPr>
          <w:rFonts w:asciiTheme="majorHAnsi" w:hAnsiTheme="majorHAnsi" w:cstheme="majorHAnsi"/>
          <w:sz w:val="24"/>
          <w:szCs w:val="24"/>
          <w:lang w:val="ro-MD"/>
        </w:rPr>
        <w:t xml:space="preserve">ce, </w:t>
      </w:r>
      <w:r w:rsidR="005F1720">
        <w:rPr>
          <w:rFonts w:asciiTheme="majorHAnsi" w:hAnsiTheme="majorHAnsi" w:cstheme="majorHAnsi"/>
          <w:sz w:val="24"/>
          <w:szCs w:val="24"/>
          <w:lang w:val="ro-MD"/>
        </w:rPr>
        <w:t>pe</w:t>
      </w:r>
      <w:r w:rsidR="00B900C4" w:rsidRPr="00401691">
        <w:rPr>
          <w:rFonts w:asciiTheme="majorHAnsi" w:hAnsiTheme="majorHAnsi" w:cstheme="majorHAnsi"/>
          <w:sz w:val="24"/>
          <w:szCs w:val="24"/>
          <w:lang w:val="ro-MD"/>
        </w:rPr>
        <w:t xml:space="preserve">ntru asigurarea </w:t>
      </w:r>
      <w:r w:rsidR="00287EA3" w:rsidRPr="00401691">
        <w:rPr>
          <w:rFonts w:asciiTheme="majorHAnsi" w:hAnsiTheme="majorHAnsi" w:cstheme="majorHAnsi"/>
          <w:sz w:val="24"/>
          <w:szCs w:val="24"/>
          <w:lang w:val="ro-MD"/>
        </w:rPr>
        <w:t>exercitării conforme a rolului de administrator de venituri</w:t>
      </w:r>
      <w:r w:rsidR="005F1720">
        <w:rPr>
          <w:rFonts w:asciiTheme="majorHAnsi" w:hAnsiTheme="majorHAnsi" w:cstheme="majorHAnsi"/>
          <w:sz w:val="24"/>
          <w:szCs w:val="24"/>
          <w:lang w:val="ro-MD"/>
        </w:rPr>
        <w:t>,</w:t>
      </w:r>
      <w:r w:rsidR="00287EA3" w:rsidRPr="00401691">
        <w:rPr>
          <w:rFonts w:asciiTheme="majorHAnsi" w:hAnsiTheme="majorHAnsi" w:cstheme="majorHAnsi"/>
          <w:sz w:val="24"/>
          <w:szCs w:val="24"/>
          <w:lang w:val="ro-MD"/>
        </w:rPr>
        <w:t xml:space="preserve"> prin </w:t>
      </w:r>
      <w:r w:rsidR="00B900C4" w:rsidRPr="00401691">
        <w:rPr>
          <w:rFonts w:asciiTheme="majorHAnsi" w:hAnsiTheme="majorHAnsi" w:cstheme="majorHAnsi"/>
          <w:sz w:val="24"/>
          <w:szCs w:val="24"/>
          <w:lang w:val="ro-MD"/>
        </w:rPr>
        <w:t>calcul</w:t>
      </w:r>
      <w:r w:rsidR="00287EA3" w:rsidRPr="00401691">
        <w:rPr>
          <w:rFonts w:asciiTheme="majorHAnsi" w:hAnsiTheme="majorHAnsi" w:cstheme="majorHAnsi"/>
          <w:sz w:val="24"/>
          <w:szCs w:val="24"/>
          <w:lang w:val="ro-MD"/>
        </w:rPr>
        <w:t>area</w:t>
      </w:r>
      <w:r w:rsidR="00B900C4" w:rsidRPr="00401691">
        <w:rPr>
          <w:rFonts w:asciiTheme="majorHAnsi" w:hAnsiTheme="majorHAnsi" w:cstheme="majorHAnsi"/>
          <w:sz w:val="24"/>
          <w:szCs w:val="24"/>
          <w:lang w:val="ro-MD"/>
        </w:rPr>
        <w:t>, colect</w:t>
      </w:r>
      <w:r w:rsidR="00287EA3" w:rsidRPr="00401691">
        <w:rPr>
          <w:rFonts w:asciiTheme="majorHAnsi" w:hAnsiTheme="majorHAnsi" w:cstheme="majorHAnsi"/>
          <w:sz w:val="24"/>
          <w:szCs w:val="24"/>
          <w:lang w:val="ro-MD"/>
        </w:rPr>
        <w:t xml:space="preserve">area, </w:t>
      </w:r>
      <w:r w:rsidR="00B900C4" w:rsidRPr="00401691">
        <w:rPr>
          <w:rFonts w:asciiTheme="majorHAnsi" w:hAnsiTheme="majorHAnsi" w:cstheme="majorHAnsi"/>
          <w:sz w:val="24"/>
          <w:szCs w:val="24"/>
          <w:lang w:val="ro-MD"/>
        </w:rPr>
        <w:t>evidenț</w:t>
      </w:r>
      <w:r w:rsidR="00287EA3" w:rsidRPr="00401691">
        <w:rPr>
          <w:rFonts w:asciiTheme="majorHAnsi" w:hAnsiTheme="majorHAnsi" w:cstheme="majorHAnsi"/>
          <w:sz w:val="24"/>
          <w:szCs w:val="24"/>
          <w:lang w:val="ro-MD"/>
        </w:rPr>
        <w:t>a</w:t>
      </w:r>
      <w:r w:rsidR="00B900C4" w:rsidRPr="00401691">
        <w:rPr>
          <w:rFonts w:asciiTheme="majorHAnsi" w:hAnsiTheme="majorHAnsi" w:cstheme="majorHAnsi"/>
          <w:sz w:val="24"/>
          <w:szCs w:val="24"/>
          <w:lang w:val="ro-MD"/>
        </w:rPr>
        <w:t xml:space="preserve"> și deținer</w:t>
      </w:r>
      <w:r w:rsidR="00287EA3" w:rsidRPr="00401691">
        <w:rPr>
          <w:rFonts w:asciiTheme="majorHAnsi" w:hAnsiTheme="majorHAnsi" w:cstheme="majorHAnsi"/>
          <w:sz w:val="24"/>
          <w:szCs w:val="24"/>
          <w:lang w:val="ro-MD"/>
        </w:rPr>
        <w:t xml:space="preserve">ea </w:t>
      </w:r>
      <w:r w:rsidR="00B900C4" w:rsidRPr="00401691">
        <w:rPr>
          <w:rFonts w:asciiTheme="majorHAnsi" w:hAnsiTheme="majorHAnsi" w:cstheme="majorHAnsi"/>
          <w:sz w:val="24"/>
          <w:szCs w:val="24"/>
          <w:lang w:val="ro-MD"/>
        </w:rPr>
        <w:t xml:space="preserve">controlului asupra </w:t>
      </w:r>
      <w:r w:rsidR="00471AAF" w:rsidRPr="00401691">
        <w:rPr>
          <w:rFonts w:asciiTheme="majorHAnsi" w:hAnsiTheme="majorHAnsi" w:cstheme="majorHAnsi"/>
          <w:sz w:val="24"/>
          <w:szCs w:val="24"/>
          <w:lang w:val="ro-MD"/>
        </w:rPr>
        <w:t>acestora</w:t>
      </w:r>
      <w:r w:rsidR="006870AA">
        <w:rPr>
          <w:rFonts w:asciiTheme="majorHAnsi" w:hAnsiTheme="majorHAnsi" w:cstheme="majorHAnsi"/>
          <w:sz w:val="24"/>
          <w:szCs w:val="24"/>
          <w:lang w:val="ro-MD"/>
        </w:rPr>
        <w:t xml:space="preserve"> (</w:t>
      </w:r>
      <w:r w:rsidR="006870AA" w:rsidRPr="0012263F">
        <w:rPr>
          <w:rFonts w:asciiTheme="majorHAnsi" w:eastAsia="Calibri" w:hAnsiTheme="majorHAnsi" w:cstheme="majorHAnsi"/>
          <w:bCs/>
          <w:sz w:val="24"/>
          <w:szCs w:val="24"/>
          <w:lang w:val="ro-MD"/>
        </w:rPr>
        <w:t>subcapitolul</w:t>
      </w:r>
      <w:r w:rsidR="006870AA">
        <w:rPr>
          <w:rFonts w:asciiTheme="majorHAnsi" w:eastAsia="Calibri" w:hAnsiTheme="majorHAnsi" w:cstheme="majorHAnsi"/>
          <w:bCs/>
          <w:sz w:val="24"/>
          <w:szCs w:val="24"/>
          <w:lang w:val="ro-MD"/>
        </w:rPr>
        <w:t xml:space="preserve"> 1.3</w:t>
      </w:r>
      <w:r w:rsidR="005F1720">
        <w:rPr>
          <w:rFonts w:asciiTheme="majorHAnsi" w:eastAsia="Calibri" w:hAnsiTheme="majorHAnsi" w:cstheme="majorHAnsi"/>
          <w:bCs/>
          <w:sz w:val="24"/>
          <w:szCs w:val="24"/>
          <w:lang w:val="ro-MD"/>
        </w:rPr>
        <w:t>.</w:t>
      </w:r>
      <w:r w:rsidR="006870AA">
        <w:rPr>
          <w:rFonts w:asciiTheme="majorHAnsi" w:eastAsia="Calibri" w:hAnsiTheme="majorHAnsi" w:cstheme="majorHAnsi"/>
          <w:bCs/>
          <w:sz w:val="24"/>
          <w:szCs w:val="24"/>
          <w:lang w:val="ro-MD"/>
        </w:rPr>
        <w:t>)</w:t>
      </w:r>
      <w:r w:rsidR="00287EA3" w:rsidRPr="00401691">
        <w:rPr>
          <w:rFonts w:asciiTheme="majorHAnsi" w:hAnsiTheme="majorHAnsi" w:cstheme="majorHAnsi"/>
          <w:sz w:val="24"/>
          <w:szCs w:val="24"/>
          <w:lang w:val="ro-MD"/>
        </w:rPr>
        <w:t>.</w:t>
      </w:r>
    </w:p>
    <w:p w:rsidR="00D25B1F" w:rsidRPr="00401691" w:rsidRDefault="00871481" w:rsidP="00844145">
      <w:pPr>
        <w:pStyle w:val="ListParagraph"/>
        <w:numPr>
          <w:ilvl w:val="0"/>
          <w:numId w:val="6"/>
        </w:numPr>
        <w:tabs>
          <w:tab w:val="left" w:pos="0"/>
          <w:tab w:val="left" w:pos="270"/>
          <w:tab w:val="left" w:pos="360"/>
        </w:tabs>
        <w:spacing w:after="120" w:line="276" w:lineRule="auto"/>
        <w:ind w:left="0" w:firstLine="0"/>
        <w:contextualSpacing w:val="0"/>
        <w:jc w:val="both"/>
        <w:rPr>
          <w:rFonts w:asciiTheme="majorHAnsi" w:hAnsiTheme="majorHAnsi" w:cstheme="majorHAnsi"/>
          <w:sz w:val="24"/>
          <w:szCs w:val="24"/>
          <w:lang w:val="ro-MD"/>
        </w:rPr>
      </w:pPr>
      <w:r w:rsidRPr="00481C66">
        <w:rPr>
          <w:rFonts w:asciiTheme="majorHAnsi" w:hAnsiTheme="majorHAnsi" w:cstheme="majorHAnsi"/>
          <w:sz w:val="24"/>
          <w:szCs w:val="24"/>
          <w:lang w:val="ro-MD"/>
        </w:rPr>
        <w:t>Să e</w:t>
      </w:r>
      <w:r w:rsidRPr="00401691">
        <w:rPr>
          <w:rFonts w:asciiTheme="majorHAnsi" w:hAnsiTheme="majorHAnsi" w:cstheme="majorHAnsi"/>
          <w:sz w:val="24"/>
          <w:szCs w:val="24"/>
          <w:lang w:val="ro-MD"/>
        </w:rPr>
        <w:t>fectueze acte de verificar</w:t>
      </w:r>
      <w:r w:rsidR="00760818">
        <w:rPr>
          <w:rFonts w:asciiTheme="majorHAnsi" w:hAnsiTheme="majorHAnsi" w:cstheme="majorHAnsi"/>
          <w:sz w:val="24"/>
          <w:szCs w:val="24"/>
          <w:lang w:val="ro-MD"/>
        </w:rPr>
        <w:t>e</w:t>
      </w:r>
      <w:r w:rsidR="005F1720">
        <w:rPr>
          <w:rFonts w:asciiTheme="majorHAnsi" w:hAnsiTheme="majorHAnsi" w:cstheme="majorHAnsi"/>
          <w:sz w:val="24"/>
          <w:szCs w:val="24"/>
          <w:lang w:val="ro-MD"/>
        </w:rPr>
        <w:t>,</w:t>
      </w:r>
      <w:r w:rsidR="00760818">
        <w:rPr>
          <w:rFonts w:asciiTheme="majorHAnsi" w:hAnsiTheme="majorHAnsi" w:cstheme="majorHAnsi"/>
          <w:sz w:val="24"/>
          <w:szCs w:val="24"/>
          <w:lang w:val="ro-MD"/>
        </w:rPr>
        <w:t xml:space="preserve"> cu instituțiile responsabile </w:t>
      </w:r>
      <w:r w:rsidRPr="00401691">
        <w:rPr>
          <w:rFonts w:asciiTheme="majorHAnsi" w:hAnsiTheme="majorHAnsi" w:cstheme="majorHAnsi"/>
          <w:sz w:val="24"/>
          <w:szCs w:val="24"/>
          <w:lang w:val="ro-MD"/>
        </w:rPr>
        <w:t>de prestarea serviciilor publice</w:t>
      </w:r>
      <w:r w:rsidR="005F1720">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la codurile economice 114525 și 114634</w:t>
      </w:r>
      <w:r w:rsidR="00955B1D" w:rsidRPr="00401691">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w:t>
      </w:r>
      <w:r w:rsidR="00955B1D" w:rsidRPr="00401691">
        <w:rPr>
          <w:rFonts w:asciiTheme="majorHAnsi" w:hAnsiTheme="majorHAnsi" w:cstheme="majorHAnsi"/>
          <w:sz w:val="24"/>
          <w:szCs w:val="24"/>
          <w:lang w:val="ro-MD"/>
        </w:rPr>
        <w:t xml:space="preserve">pentru corectarea sumei soldurilor înregistrate </w:t>
      </w:r>
      <w:r w:rsidR="006D2173">
        <w:rPr>
          <w:rFonts w:asciiTheme="majorHAnsi" w:hAnsiTheme="majorHAnsi" w:cstheme="majorHAnsi"/>
          <w:sz w:val="24"/>
          <w:szCs w:val="24"/>
          <w:lang w:val="ro-MD"/>
        </w:rPr>
        <w:t xml:space="preserve">în </w:t>
      </w:r>
      <w:r w:rsidR="00955B1D" w:rsidRPr="00401691">
        <w:rPr>
          <w:rFonts w:asciiTheme="majorHAnsi" w:hAnsiTheme="majorHAnsi" w:cstheme="majorHAnsi"/>
          <w:sz w:val="24"/>
          <w:szCs w:val="24"/>
          <w:lang w:val="ro-MD"/>
        </w:rPr>
        <w:t>SIA CCC</w:t>
      </w:r>
      <w:r w:rsidR="006870AA">
        <w:rPr>
          <w:rFonts w:asciiTheme="majorHAnsi" w:hAnsiTheme="majorHAnsi" w:cstheme="majorHAnsi"/>
          <w:sz w:val="24"/>
          <w:szCs w:val="24"/>
          <w:lang w:val="ro-MD"/>
        </w:rPr>
        <w:t xml:space="preserve"> (</w:t>
      </w:r>
      <w:r w:rsidR="006870AA" w:rsidRPr="0012263F">
        <w:rPr>
          <w:rFonts w:asciiTheme="majorHAnsi" w:eastAsia="Calibri" w:hAnsiTheme="majorHAnsi" w:cstheme="majorHAnsi"/>
          <w:bCs/>
          <w:sz w:val="24"/>
          <w:szCs w:val="24"/>
          <w:lang w:val="ro-MD"/>
        </w:rPr>
        <w:t>subcapitolul</w:t>
      </w:r>
      <w:r w:rsidR="006870AA">
        <w:rPr>
          <w:rFonts w:asciiTheme="majorHAnsi" w:eastAsia="Calibri" w:hAnsiTheme="majorHAnsi" w:cstheme="majorHAnsi"/>
          <w:bCs/>
          <w:sz w:val="24"/>
          <w:szCs w:val="24"/>
          <w:lang w:val="ro-MD"/>
        </w:rPr>
        <w:t xml:space="preserve"> 1.3</w:t>
      </w:r>
      <w:r w:rsidR="005F1720">
        <w:rPr>
          <w:rFonts w:asciiTheme="majorHAnsi" w:eastAsia="Calibri" w:hAnsiTheme="majorHAnsi" w:cstheme="majorHAnsi"/>
          <w:bCs/>
          <w:sz w:val="24"/>
          <w:szCs w:val="24"/>
          <w:lang w:val="ro-MD"/>
        </w:rPr>
        <w:t>.</w:t>
      </w:r>
      <w:r w:rsidR="006870AA">
        <w:rPr>
          <w:rFonts w:asciiTheme="majorHAnsi" w:eastAsia="Calibri" w:hAnsiTheme="majorHAnsi" w:cstheme="majorHAnsi"/>
          <w:bCs/>
          <w:sz w:val="24"/>
          <w:szCs w:val="24"/>
          <w:lang w:val="ro-MD"/>
        </w:rPr>
        <w:t>)</w:t>
      </w:r>
      <w:r w:rsidR="00955B1D" w:rsidRPr="00401691">
        <w:rPr>
          <w:rFonts w:asciiTheme="majorHAnsi" w:hAnsiTheme="majorHAnsi" w:cstheme="majorHAnsi"/>
          <w:sz w:val="24"/>
          <w:szCs w:val="24"/>
          <w:lang w:val="ro-MD"/>
        </w:rPr>
        <w:t>.</w:t>
      </w:r>
      <w:r w:rsidR="00870146">
        <w:rPr>
          <w:rFonts w:asciiTheme="majorHAnsi" w:hAnsiTheme="majorHAnsi" w:cstheme="majorHAnsi"/>
          <w:sz w:val="24"/>
          <w:szCs w:val="24"/>
          <w:lang w:val="ro-MD"/>
        </w:rPr>
        <w:t xml:space="preserve"> </w:t>
      </w:r>
    </w:p>
    <w:p w:rsidR="00C605B0" w:rsidRDefault="00FB3191" w:rsidP="00C605B0">
      <w:pPr>
        <w:pStyle w:val="ListParagraph"/>
        <w:numPr>
          <w:ilvl w:val="0"/>
          <w:numId w:val="6"/>
        </w:numPr>
        <w:tabs>
          <w:tab w:val="left" w:pos="0"/>
          <w:tab w:val="left" w:pos="270"/>
          <w:tab w:val="left" w:pos="360"/>
        </w:tabs>
        <w:spacing w:after="120" w:line="276" w:lineRule="auto"/>
        <w:ind w:left="0" w:firstLine="0"/>
        <w:contextualSpacing w:val="0"/>
        <w:jc w:val="both"/>
        <w:rPr>
          <w:rFonts w:asciiTheme="majorHAnsi" w:hAnsiTheme="majorHAnsi" w:cstheme="majorHAnsi"/>
          <w:sz w:val="24"/>
          <w:szCs w:val="24"/>
          <w:lang w:val="ro-MD"/>
        </w:rPr>
      </w:pPr>
      <w:r w:rsidRPr="00401691">
        <w:rPr>
          <w:rFonts w:asciiTheme="majorHAnsi" w:hAnsiTheme="majorHAnsi" w:cstheme="majorHAnsi"/>
          <w:sz w:val="24"/>
          <w:szCs w:val="24"/>
          <w:lang w:val="ro-MD"/>
        </w:rPr>
        <w:t>Să elaboreze și să înainteze MF</w:t>
      </w:r>
      <w:r w:rsidR="005F1720">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spre aprobare</w:t>
      </w:r>
      <w:r w:rsidR="005F1720">
        <w:rPr>
          <w:rFonts w:asciiTheme="majorHAnsi" w:hAnsiTheme="majorHAnsi" w:cstheme="majorHAnsi"/>
          <w:sz w:val="24"/>
          <w:szCs w:val="24"/>
          <w:lang w:val="ro-MD"/>
        </w:rPr>
        <w:t>,</w:t>
      </w:r>
      <w:r w:rsidRPr="00401691">
        <w:rPr>
          <w:rFonts w:asciiTheme="majorHAnsi" w:hAnsiTheme="majorHAnsi" w:cstheme="majorHAnsi"/>
          <w:sz w:val="24"/>
          <w:szCs w:val="24"/>
          <w:lang w:val="ro-MD"/>
        </w:rPr>
        <w:t xml:space="preserve"> formularele </w:t>
      </w:r>
      <w:r w:rsidR="005F1720">
        <w:rPr>
          <w:rFonts w:asciiTheme="majorHAnsi" w:hAnsiTheme="majorHAnsi" w:cstheme="majorHAnsi"/>
          <w:sz w:val="24"/>
          <w:szCs w:val="24"/>
          <w:lang w:val="ro-MD"/>
        </w:rPr>
        <w:t>R</w:t>
      </w:r>
      <w:r w:rsidR="00943B89">
        <w:rPr>
          <w:rFonts w:asciiTheme="majorHAnsi" w:hAnsiTheme="majorHAnsi" w:cstheme="majorHAnsi"/>
          <w:sz w:val="24"/>
          <w:szCs w:val="24"/>
          <w:lang w:val="ro-MD"/>
        </w:rPr>
        <w:t xml:space="preserve">apoartelor privind executarea </w:t>
      </w:r>
      <w:r w:rsidRPr="00401691">
        <w:rPr>
          <w:rFonts w:asciiTheme="majorHAnsi" w:hAnsiTheme="majorHAnsi" w:cstheme="majorHAnsi"/>
          <w:sz w:val="24"/>
          <w:szCs w:val="24"/>
          <w:lang w:val="ro-MD"/>
        </w:rPr>
        <w:t>veniturilor și restanțelor administrate de SFS și Normelor metodologice privind modul de întocmire a acestora</w:t>
      </w:r>
      <w:r w:rsidR="006870AA">
        <w:rPr>
          <w:rFonts w:asciiTheme="majorHAnsi" w:hAnsiTheme="majorHAnsi" w:cstheme="majorHAnsi"/>
          <w:sz w:val="24"/>
          <w:szCs w:val="24"/>
          <w:lang w:val="ro-MD"/>
        </w:rPr>
        <w:t xml:space="preserve"> (</w:t>
      </w:r>
      <w:r w:rsidR="006870AA" w:rsidRPr="0012263F">
        <w:rPr>
          <w:rFonts w:asciiTheme="majorHAnsi" w:eastAsia="Calibri" w:hAnsiTheme="majorHAnsi" w:cstheme="majorHAnsi"/>
          <w:bCs/>
          <w:sz w:val="24"/>
          <w:szCs w:val="24"/>
          <w:lang w:val="ro-MD"/>
        </w:rPr>
        <w:t>subcapitol</w:t>
      </w:r>
      <w:r w:rsidR="005F1720">
        <w:rPr>
          <w:rFonts w:asciiTheme="majorHAnsi" w:eastAsia="Calibri" w:hAnsiTheme="majorHAnsi" w:cstheme="majorHAnsi"/>
          <w:bCs/>
          <w:sz w:val="24"/>
          <w:szCs w:val="24"/>
          <w:lang w:val="ro-MD"/>
        </w:rPr>
        <w:t>ele</w:t>
      </w:r>
      <w:r w:rsidR="006870AA">
        <w:rPr>
          <w:rFonts w:asciiTheme="majorHAnsi" w:eastAsia="Calibri" w:hAnsiTheme="majorHAnsi" w:cstheme="majorHAnsi"/>
          <w:bCs/>
          <w:sz w:val="24"/>
          <w:szCs w:val="24"/>
          <w:lang w:val="ro-MD"/>
        </w:rPr>
        <w:t xml:space="preserve"> 1.4</w:t>
      </w:r>
      <w:r w:rsidR="005F1720">
        <w:rPr>
          <w:rFonts w:asciiTheme="majorHAnsi" w:eastAsia="Calibri" w:hAnsiTheme="majorHAnsi" w:cstheme="majorHAnsi"/>
          <w:bCs/>
          <w:sz w:val="24"/>
          <w:szCs w:val="24"/>
          <w:lang w:val="ro-MD"/>
        </w:rPr>
        <w:t>.</w:t>
      </w:r>
      <w:r w:rsidR="006870AA">
        <w:rPr>
          <w:rFonts w:asciiTheme="majorHAnsi" w:eastAsia="Calibri" w:hAnsiTheme="majorHAnsi" w:cstheme="majorHAnsi"/>
          <w:bCs/>
          <w:sz w:val="24"/>
          <w:szCs w:val="24"/>
          <w:lang w:val="ro-MD"/>
        </w:rPr>
        <w:t xml:space="preserve"> și 2.</w:t>
      </w:r>
      <w:r w:rsidR="00F938A4">
        <w:rPr>
          <w:rFonts w:asciiTheme="majorHAnsi" w:eastAsia="Calibri" w:hAnsiTheme="majorHAnsi" w:cstheme="majorHAnsi"/>
          <w:bCs/>
          <w:sz w:val="24"/>
          <w:szCs w:val="24"/>
          <w:lang w:val="ro-MD"/>
        </w:rPr>
        <w:t>2</w:t>
      </w:r>
      <w:r w:rsidR="005F1720">
        <w:rPr>
          <w:rFonts w:asciiTheme="majorHAnsi" w:eastAsia="Calibri" w:hAnsiTheme="majorHAnsi" w:cstheme="majorHAnsi"/>
          <w:bCs/>
          <w:sz w:val="24"/>
          <w:szCs w:val="24"/>
          <w:lang w:val="ro-MD"/>
        </w:rPr>
        <w:t>.</w:t>
      </w:r>
      <w:r w:rsidR="006870AA">
        <w:rPr>
          <w:rFonts w:asciiTheme="majorHAnsi" w:eastAsia="Calibri" w:hAnsiTheme="majorHAnsi" w:cstheme="majorHAnsi"/>
          <w:bCs/>
          <w:sz w:val="24"/>
          <w:szCs w:val="24"/>
          <w:lang w:val="ro-MD"/>
        </w:rPr>
        <w:t>)</w:t>
      </w:r>
      <w:r w:rsidR="005F1720">
        <w:rPr>
          <w:rFonts w:asciiTheme="majorHAnsi" w:hAnsiTheme="majorHAnsi" w:cstheme="majorHAnsi"/>
          <w:sz w:val="24"/>
          <w:szCs w:val="24"/>
          <w:lang w:val="ro-MD"/>
        </w:rPr>
        <w:t>.</w:t>
      </w:r>
      <w:r w:rsidR="00FE5B56">
        <w:rPr>
          <w:rFonts w:asciiTheme="majorHAnsi" w:hAnsiTheme="majorHAnsi" w:cstheme="majorHAnsi"/>
          <w:sz w:val="24"/>
          <w:szCs w:val="24"/>
          <w:lang w:val="ro-MD"/>
        </w:rPr>
        <w:t xml:space="preserve"> </w:t>
      </w:r>
    </w:p>
    <w:p w:rsidR="00D318F2" w:rsidRPr="00D318F2" w:rsidRDefault="00C605B0" w:rsidP="00D318F2">
      <w:pPr>
        <w:pStyle w:val="ListParagraph"/>
        <w:numPr>
          <w:ilvl w:val="0"/>
          <w:numId w:val="6"/>
        </w:numPr>
        <w:tabs>
          <w:tab w:val="left" w:pos="0"/>
          <w:tab w:val="left" w:pos="270"/>
          <w:tab w:val="left" w:pos="360"/>
        </w:tabs>
        <w:spacing w:after="120" w:line="276" w:lineRule="auto"/>
        <w:ind w:left="0" w:firstLine="0"/>
        <w:contextualSpacing w:val="0"/>
        <w:jc w:val="both"/>
        <w:rPr>
          <w:rFonts w:asciiTheme="majorHAnsi" w:hAnsiTheme="majorHAnsi" w:cstheme="majorHAnsi"/>
          <w:sz w:val="24"/>
          <w:szCs w:val="24"/>
          <w:lang w:val="ro-MD"/>
        </w:rPr>
      </w:pPr>
      <w:r w:rsidRPr="00C605B0">
        <w:rPr>
          <w:rFonts w:asciiTheme="majorHAnsi" w:eastAsia="Times New Roman" w:hAnsiTheme="majorHAnsi" w:cstheme="majorHAnsi"/>
          <w:bCs/>
          <w:sz w:val="24"/>
          <w:szCs w:val="24"/>
          <w:lang w:val="ro-MD"/>
        </w:rPr>
        <w:t xml:space="preserve">Să examineze </w:t>
      </w:r>
      <w:r w:rsidR="00AE121A" w:rsidRPr="001556AC">
        <w:rPr>
          <w:rFonts w:asciiTheme="majorHAnsi" w:eastAsia="Times New Roman" w:hAnsiTheme="majorHAnsi" w:cstheme="majorHAnsi"/>
          <w:bCs/>
          <w:sz w:val="24"/>
          <w:szCs w:val="24"/>
          <w:lang w:val="ro-MD"/>
        </w:rPr>
        <w:t>cauzele</w:t>
      </w:r>
      <w:r w:rsidR="00AE121A">
        <w:rPr>
          <w:rFonts w:asciiTheme="majorHAnsi" w:eastAsia="Times New Roman" w:hAnsiTheme="majorHAnsi" w:cstheme="majorHAnsi"/>
          <w:bCs/>
          <w:sz w:val="24"/>
          <w:szCs w:val="24"/>
          <w:lang w:val="ro-MD"/>
        </w:rPr>
        <w:t xml:space="preserve"> </w:t>
      </w:r>
      <w:r w:rsidRPr="00C605B0">
        <w:rPr>
          <w:rFonts w:asciiTheme="majorHAnsi" w:eastAsia="Times New Roman" w:hAnsiTheme="majorHAnsi" w:cstheme="majorHAnsi"/>
          <w:bCs/>
          <w:sz w:val="24"/>
          <w:szCs w:val="24"/>
          <w:lang w:val="ro-MD"/>
        </w:rPr>
        <w:t>care a</w:t>
      </w:r>
      <w:r w:rsidR="00AE121A">
        <w:rPr>
          <w:rFonts w:asciiTheme="majorHAnsi" w:eastAsia="Times New Roman" w:hAnsiTheme="majorHAnsi" w:cstheme="majorHAnsi"/>
          <w:bCs/>
          <w:sz w:val="24"/>
          <w:szCs w:val="24"/>
          <w:lang w:val="ro-MD"/>
        </w:rPr>
        <w:t>u</w:t>
      </w:r>
      <w:r w:rsidRPr="00C605B0">
        <w:rPr>
          <w:rFonts w:asciiTheme="majorHAnsi" w:eastAsia="Times New Roman" w:hAnsiTheme="majorHAnsi" w:cstheme="majorHAnsi"/>
          <w:bCs/>
          <w:sz w:val="24"/>
          <w:szCs w:val="24"/>
          <w:lang w:val="ro-MD"/>
        </w:rPr>
        <w:t xml:space="preserve"> permis excluderea restanței de 8,4 mil. lei din evidența automatizată a SIA CCC și erori la acordarea stimulării fiscale tardive în sumă de 2,2 mil. lei, precum și instituirea controalelor de prevenire a acestor tipuri de neconformități </w:t>
      </w:r>
      <w:r w:rsidRPr="00C605B0">
        <w:rPr>
          <w:rFonts w:asciiTheme="majorHAnsi" w:hAnsiTheme="majorHAnsi" w:cstheme="majorHAnsi"/>
          <w:sz w:val="24"/>
          <w:szCs w:val="24"/>
          <w:lang w:val="ro-MD"/>
        </w:rPr>
        <w:t>(</w:t>
      </w:r>
      <w:r w:rsidRPr="00C605B0">
        <w:rPr>
          <w:rFonts w:asciiTheme="majorHAnsi" w:eastAsia="Calibri" w:hAnsiTheme="majorHAnsi" w:cstheme="majorHAnsi"/>
          <w:bCs/>
          <w:sz w:val="24"/>
          <w:szCs w:val="24"/>
          <w:lang w:val="ro-MD"/>
        </w:rPr>
        <w:t>subcapitolul 2.1</w:t>
      </w:r>
      <w:r w:rsidR="005F1720">
        <w:rPr>
          <w:rFonts w:asciiTheme="majorHAnsi" w:eastAsia="Calibri" w:hAnsiTheme="majorHAnsi" w:cstheme="majorHAnsi"/>
          <w:bCs/>
          <w:sz w:val="24"/>
          <w:szCs w:val="24"/>
          <w:lang w:val="ro-MD"/>
        </w:rPr>
        <w:t>.</w:t>
      </w:r>
      <w:r w:rsidRPr="00C605B0">
        <w:rPr>
          <w:rFonts w:asciiTheme="majorHAnsi" w:eastAsia="Calibri" w:hAnsiTheme="majorHAnsi" w:cstheme="majorHAnsi"/>
          <w:bCs/>
          <w:sz w:val="24"/>
          <w:szCs w:val="24"/>
          <w:lang w:val="ro-MD"/>
        </w:rPr>
        <w:t>)</w:t>
      </w:r>
      <w:r w:rsidRPr="00C605B0">
        <w:rPr>
          <w:rFonts w:asciiTheme="majorHAnsi" w:eastAsia="Times New Roman" w:hAnsiTheme="majorHAnsi" w:cstheme="majorHAnsi"/>
          <w:bCs/>
          <w:sz w:val="24"/>
          <w:szCs w:val="24"/>
          <w:lang w:val="ro-MD"/>
        </w:rPr>
        <w:t>.</w:t>
      </w:r>
    </w:p>
    <w:p w:rsidR="00D318F2" w:rsidRDefault="00190191" w:rsidP="00FE5B56">
      <w:pPr>
        <w:pStyle w:val="ListParagraph"/>
        <w:numPr>
          <w:ilvl w:val="0"/>
          <w:numId w:val="6"/>
        </w:numPr>
        <w:tabs>
          <w:tab w:val="left" w:pos="0"/>
          <w:tab w:val="left" w:pos="270"/>
          <w:tab w:val="left" w:pos="360"/>
        </w:tabs>
        <w:spacing w:after="120" w:line="276" w:lineRule="auto"/>
        <w:ind w:left="0" w:firstLine="0"/>
        <w:contextualSpacing w:val="0"/>
        <w:jc w:val="both"/>
        <w:rPr>
          <w:rStyle w:val="ms-rtefontface-3"/>
          <w:rFonts w:asciiTheme="majorHAnsi" w:hAnsiTheme="majorHAnsi" w:cstheme="majorHAnsi"/>
          <w:sz w:val="24"/>
          <w:szCs w:val="24"/>
          <w:lang w:val="ro-MD" w:eastAsia="x-none"/>
        </w:rPr>
      </w:pPr>
      <w:r>
        <w:rPr>
          <w:rFonts w:asciiTheme="majorHAnsi" w:hAnsiTheme="majorHAnsi" w:cstheme="majorHAnsi"/>
          <w:sz w:val="24"/>
          <w:szCs w:val="24"/>
          <w:lang w:val="ro-MD"/>
        </w:rPr>
        <w:t xml:space="preserve">Să </w:t>
      </w:r>
      <w:r w:rsidR="001556AC">
        <w:rPr>
          <w:rFonts w:asciiTheme="majorHAnsi" w:hAnsiTheme="majorHAnsi" w:cstheme="majorHAnsi"/>
          <w:sz w:val="24"/>
          <w:szCs w:val="24"/>
          <w:lang w:val="ro-MD"/>
        </w:rPr>
        <w:t>revizuiască proce</w:t>
      </w:r>
      <w:r w:rsidR="00D2516B">
        <w:rPr>
          <w:rFonts w:asciiTheme="majorHAnsi" w:hAnsiTheme="majorHAnsi" w:cstheme="majorHAnsi"/>
          <w:sz w:val="24"/>
          <w:szCs w:val="24"/>
          <w:lang w:val="ro-MD"/>
        </w:rPr>
        <w:t>sul de identificare a</w:t>
      </w:r>
      <w:r w:rsidR="0041201E" w:rsidRPr="00401691">
        <w:rPr>
          <w:rFonts w:asciiTheme="majorHAnsi" w:hAnsiTheme="majorHAnsi" w:cstheme="majorHAnsi"/>
          <w:sz w:val="24"/>
          <w:szCs w:val="24"/>
          <w:lang w:val="ro-MD"/>
        </w:rPr>
        <w:t xml:space="preserve"> contribuabililor restanțieri</w:t>
      </w:r>
      <w:r w:rsidR="0041201E">
        <w:rPr>
          <w:rFonts w:asciiTheme="majorHAnsi" w:hAnsiTheme="majorHAnsi" w:cstheme="majorHAnsi"/>
          <w:sz w:val="24"/>
          <w:szCs w:val="24"/>
          <w:lang w:val="ro-MD"/>
        </w:rPr>
        <w:t>, cu elaborarea unor proceduri noi c</w:t>
      </w:r>
      <w:r w:rsidR="00E70FD0">
        <w:rPr>
          <w:rFonts w:asciiTheme="majorHAnsi" w:hAnsiTheme="majorHAnsi" w:cstheme="majorHAnsi"/>
          <w:sz w:val="24"/>
          <w:szCs w:val="24"/>
          <w:lang w:val="ro-MD"/>
        </w:rPr>
        <w:t>ar</w:t>
      </w:r>
      <w:r w:rsidR="0041201E">
        <w:rPr>
          <w:rFonts w:asciiTheme="majorHAnsi" w:hAnsiTheme="majorHAnsi" w:cstheme="majorHAnsi"/>
          <w:sz w:val="24"/>
          <w:szCs w:val="24"/>
          <w:lang w:val="ro-MD"/>
        </w:rPr>
        <w:t>e ar asigura veridicitatea d</w:t>
      </w:r>
      <w:r w:rsidR="0041201E" w:rsidRPr="00401691">
        <w:rPr>
          <w:rFonts w:asciiTheme="majorHAnsi" w:hAnsiTheme="majorHAnsi" w:cstheme="majorHAnsi"/>
          <w:sz w:val="24"/>
          <w:szCs w:val="24"/>
          <w:lang w:val="ro-MD"/>
        </w:rPr>
        <w:t>atel</w:t>
      </w:r>
      <w:r w:rsidR="0041201E">
        <w:rPr>
          <w:rFonts w:asciiTheme="majorHAnsi" w:hAnsiTheme="majorHAnsi" w:cstheme="majorHAnsi"/>
          <w:sz w:val="24"/>
          <w:szCs w:val="24"/>
          <w:lang w:val="ro-MD"/>
        </w:rPr>
        <w:t>or</w:t>
      </w:r>
      <w:r w:rsidR="0041201E" w:rsidRPr="00401691">
        <w:rPr>
          <w:rFonts w:asciiTheme="majorHAnsi" w:hAnsiTheme="majorHAnsi" w:cstheme="majorHAnsi"/>
          <w:sz w:val="24"/>
          <w:szCs w:val="24"/>
          <w:lang w:val="ro-MD"/>
        </w:rPr>
        <w:t xml:space="preserve"> </w:t>
      </w:r>
      <w:r w:rsidR="0041201E">
        <w:rPr>
          <w:rFonts w:asciiTheme="majorHAnsi" w:hAnsiTheme="majorHAnsi" w:cstheme="majorHAnsi"/>
          <w:sz w:val="24"/>
          <w:szCs w:val="24"/>
          <w:lang w:val="ro-MD"/>
        </w:rPr>
        <w:t>pentru inițierea aplicării măsurilor de executare silită</w:t>
      </w:r>
      <w:r w:rsidR="002313C4">
        <w:rPr>
          <w:rFonts w:asciiTheme="majorHAnsi" w:hAnsiTheme="majorHAnsi" w:cstheme="majorHAnsi"/>
          <w:sz w:val="24"/>
          <w:szCs w:val="24"/>
          <w:lang w:val="ro-MD"/>
        </w:rPr>
        <w:t xml:space="preserve"> (</w:t>
      </w:r>
      <w:r w:rsidR="002313C4" w:rsidRPr="0012263F">
        <w:rPr>
          <w:rFonts w:asciiTheme="majorHAnsi" w:eastAsia="Calibri" w:hAnsiTheme="majorHAnsi" w:cstheme="majorHAnsi"/>
          <w:bCs/>
          <w:sz w:val="24"/>
          <w:szCs w:val="24"/>
          <w:lang w:val="ro-MD"/>
        </w:rPr>
        <w:t>subcapitolul</w:t>
      </w:r>
      <w:r w:rsidR="002313C4">
        <w:rPr>
          <w:rFonts w:asciiTheme="majorHAnsi" w:eastAsia="Calibri" w:hAnsiTheme="majorHAnsi" w:cstheme="majorHAnsi"/>
          <w:bCs/>
          <w:sz w:val="24"/>
          <w:szCs w:val="24"/>
          <w:lang w:val="ro-MD"/>
        </w:rPr>
        <w:t xml:space="preserve"> 2.4</w:t>
      </w:r>
      <w:r w:rsidR="00E70FD0">
        <w:rPr>
          <w:rFonts w:asciiTheme="majorHAnsi" w:eastAsia="Calibri" w:hAnsiTheme="majorHAnsi" w:cstheme="majorHAnsi"/>
          <w:bCs/>
          <w:sz w:val="24"/>
          <w:szCs w:val="24"/>
          <w:lang w:val="ro-MD"/>
        </w:rPr>
        <w:t>.</w:t>
      </w:r>
      <w:r w:rsidR="002313C4">
        <w:rPr>
          <w:rFonts w:asciiTheme="majorHAnsi" w:eastAsia="Calibri" w:hAnsiTheme="majorHAnsi" w:cstheme="majorHAnsi"/>
          <w:bCs/>
          <w:sz w:val="24"/>
          <w:szCs w:val="24"/>
          <w:lang w:val="ro-MD"/>
        </w:rPr>
        <w:t>)</w:t>
      </w:r>
      <w:r w:rsidR="00955B1D" w:rsidRPr="00401691">
        <w:rPr>
          <w:rFonts w:asciiTheme="majorHAnsi" w:hAnsiTheme="majorHAnsi" w:cstheme="majorHAnsi"/>
          <w:sz w:val="24"/>
          <w:szCs w:val="24"/>
          <w:lang w:val="ro-MD"/>
        </w:rPr>
        <w:t>.</w:t>
      </w:r>
      <w:r w:rsidR="00C605B0" w:rsidRPr="00401691">
        <w:rPr>
          <w:rStyle w:val="ms-rtefontface-3"/>
          <w:rFonts w:asciiTheme="majorHAnsi" w:hAnsiTheme="majorHAnsi" w:cstheme="majorHAnsi"/>
          <w:sz w:val="24"/>
          <w:szCs w:val="24"/>
          <w:lang w:val="ro-MD" w:eastAsia="x-none"/>
        </w:rPr>
        <w:t xml:space="preserve"> </w:t>
      </w:r>
    </w:p>
    <w:p w:rsidR="00D318F2" w:rsidRPr="00D318F2" w:rsidRDefault="0041201E" w:rsidP="00D318F2">
      <w:pPr>
        <w:pStyle w:val="ListParagraph"/>
        <w:numPr>
          <w:ilvl w:val="0"/>
          <w:numId w:val="6"/>
        </w:numPr>
        <w:tabs>
          <w:tab w:val="left" w:pos="0"/>
          <w:tab w:val="left" w:pos="270"/>
          <w:tab w:val="left" w:pos="360"/>
        </w:tabs>
        <w:spacing w:after="120" w:line="276" w:lineRule="auto"/>
        <w:ind w:left="0" w:firstLine="0"/>
        <w:contextualSpacing w:val="0"/>
        <w:jc w:val="both"/>
        <w:rPr>
          <w:rFonts w:asciiTheme="majorHAnsi" w:hAnsiTheme="majorHAnsi" w:cstheme="majorHAnsi"/>
          <w:sz w:val="24"/>
          <w:szCs w:val="24"/>
          <w:lang w:val="ro-MD" w:eastAsia="x-none"/>
        </w:rPr>
      </w:pPr>
      <w:r w:rsidRPr="0041201E">
        <w:rPr>
          <w:rFonts w:asciiTheme="majorHAnsi" w:hAnsiTheme="majorHAnsi" w:cstheme="majorHAnsi"/>
          <w:sz w:val="24"/>
          <w:szCs w:val="24"/>
          <w:lang w:val="ro-MD" w:eastAsia="x-none"/>
        </w:rPr>
        <w:t>Să</w:t>
      </w:r>
      <w:r w:rsidR="00D318F2" w:rsidRPr="0041201E">
        <w:rPr>
          <w:rFonts w:asciiTheme="majorHAnsi" w:hAnsiTheme="majorHAnsi" w:cstheme="majorHAnsi"/>
          <w:sz w:val="24"/>
          <w:szCs w:val="24"/>
          <w:lang w:val="ro-MD" w:eastAsia="x-none"/>
        </w:rPr>
        <w:t xml:space="preserve"> reexamin</w:t>
      </w:r>
      <w:r w:rsidRPr="0041201E">
        <w:rPr>
          <w:rFonts w:asciiTheme="majorHAnsi" w:hAnsiTheme="majorHAnsi" w:cstheme="majorHAnsi"/>
          <w:sz w:val="24"/>
          <w:szCs w:val="24"/>
          <w:lang w:val="ro-MD" w:eastAsia="x-none"/>
        </w:rPr>
        <w:t>eze</w:t>
      </w:r>
      <w:r>
        <w:rPr>
          <w:rFonts w:asciiTheme="majorHAnsi" w:hAnsiTheme="majorHAnsi" w:cstheme="majorHAnsi"/>
          <w:sz w:val="24"/>
          <w:szCs w:val="24"/>
          <w:lang w:val="ro-MD" w:eastAsia="x-none"/>
        </w:rPr>
        <w:t xml:space="preserve"> situația tuturor</w:t>
      </w:r>
      <w:r w:rsidR="00D318F2" w:rsidRPr="00D318F2">
        <w:rPr>
          <w:rFonts w:asciiTheme="majorHAnsi" w:hAnsiTheme="majorHAnsi" w:cstheme="majorHAnsi"/>
          <w:sz w:val="24"/>
          <w:szCs w:val="24"/>
          <w:lang w:val="ro-MD" w:eastAsia="x-none"/>
        </w:rPr>
        <w:t xml:space="preserve"> contribuabililor restanțieri care dețin cote sociale în capitalul unor societăți cu răspundere limitată și </w:t>
      </w:r>
      <w:r w:rsidR="00E70FD0">
        <w:rPr>
          <w:rFonts w:asciiTheme="majorHAnsi" w:hAnsiTheme="majorHAnsi" w:cstheme="majorHAnsi"/>
          <w:sz w:val="24"/>
          <w:szCs w:val="24"/>
          <w:lang w:val="ro-MD" w:eastAsia="x-none"/>
        </w:rPr>
        <w:t>să</w:t>
      </w:r>
      <w:r w:rsidR="00D318F2" w:rsidRPr="00D318F2">
        <w:rPr>
          <w:rFonts w:asciiTheme="majorHAnsi" w:hAnsiTheme="majorHAnsi" w:cstheme="majorHAnsi"/>
          <w:sz w:val="24"/>
          <w:szCs w:val="24"/>
          <w:lang w:val="ro-MD" w:eastAsia="x-none"/>
        </w:rPr>
        <w:t xml:space="preserve"> aplic</w:t>
      </w:r>
      <w:r w:rsidR="00E70FD0">
        <w:rPr>
          <w:rFonts w:asciiTheme="majorHAnsi" w:hAnsiTheme="majorHAnsi" w:cstheme="majorHAnsi"/>
          <w:sz w:val="24"/>
          <w:szCs w:val="24"/>
          <w:lang w:val="ro-MD" w:eastAsia="x-none"/>
        </w:rPr>
        <w:t>e</w:t>
      </w:r>
      <w:r w:rsidR="00D318F2" w:rsidRPr="00D318F2">
        <w:rPr>
          <w:rFonts w:asciiTheme="majorHAnsi" w:hAnsiTheme="majorHAnsi" w:cstheme="majorHAnsi"/>
          <w:sz w:val="24"/>
          <w:szCs w:val="24"/>
          <w:lang w:val="ro-MD" w:eastAsia="x-none"/>
        </w:rPr>
        <w:t xml:space="preserve"> instrumentele de executare silită asupra cotelor în societăți deținute de restanțieri, conform prevederilor art. 200 alin.(8 ) din Codul </w:t>
      </w:r>
      <w:r w:rsidR="00E70FD0">
        <w:rPr>
          <w:rFonts w:asciiTheme="majorHAnsi" w:hAnsiTheme="majorHAnsi" w:cstheme="majorHAnsi"/>
          <w:sz w:val="24"/>
          <w:szCs w:val="24"/>
          <w:lang w:val="ro-MD" w:eastAsia="x-none"/>
        </w:rPr>
        <w:t>f</w:t>
      </w:r>
      <w:r w:rsidR="00D318F2" w:rsidRPr="00D318F2">
        <w:rPr>
          <w:rFonts w:asciiTheme="majorHAnsi" w:hAnsiTheme="majorHAnsi" w:cstheme="majorHAnsi"/>
          <w:sz w:val="24"/>
          <w:szCs w:val="24"/>
          <w:lang w:val="ro-MD" w:eastAsia="x-none"/>
        </w:rPr>
        <w:t xml:space="preserve">iscal </w:t>
      </w:r>
      <w:r w:rsidR="00D318F2" w:rsidRPr="00D318F2">
        <w:rPr>
          <w:rFonts w:asciiTheme="majorHAnsi" w:hAnsiTheme="majorHAnsi" w:cstheme="majorHAnsi"/>
          <w:sz w:val="24"/>
          <w:szCs w:val="24"/>
          <w:lang w:val="ro-MD"/>
        </w:rPr>
        <w:t>(</w:t>
      </w:r>
      <w:r w:rsidR="00D318F2" w:rsidRPr="00D318F2">
        <w:rPr>
          <w:rFonts w:asciiTheme="majorHAnsi" w:eastAsia="Calibri" w:hAnsiTheme="majorHAnsi" w:cstheme="majorHAnsi"/>
          <w:bCs/>
          <w:sz w:val="24"/>
          <w:szCs w:val="24"/>
          <w:lang w:val="ro-MD"/>
        </w:rPr>
        <w:t>subcapitolul 3.1</w:t>
      </w:r>
      <w:r w:rsidR="00E70FD0">
        <w:rPr>
          <w:rFonts w:asciiTheme="majorHAnsi" w:eastAsia="Calibri" w:hAnsiTheme="majorHAnsi" w:cstheme="majorHAnsi"/>
          <w:bCs/>
          <w:sz w:val="24"/>
          <w:szCs w:val="24"/>
          <w:lang w:val="ro-MD"/>
        </w:rPr>
        <w:t>.</w:t>
      </w:r>
      <w:r w:rsidR="00D318F2" w:rsidRPr="00D318F2">
        <w:rPr>
          <w:rFonts w:asciiTheme="majorHAnsi" w:eastAsia="Calibri" w:hAnsiTheme="majorHAnsi" w:cstheme="majorHAnsi"/>
          <w:bCs/>
          <w:sz w:val="24"/>
          <w:szCs w:val="24"/>
          <w:lang w:val="ro-MD"/>
        </w:rPr>
        <w:t>)</w:t>
      </w:r>
      <w:r w:rsidR="00D318F2" w:rsidRPr="00D318F2">
        <w:rPr>
          <w:rFonts w:asciiTheme="majorHAnsi" w:hAnsiTheme="majorHAnsi" w:cstheme="majorHAnsi"/>
          <w:sz w:val="24"/>
          <w:szCs w:val="24"/>
          <w:lang w:val="ro-MD" w:eastAsia="x-none"/>
        </w:rPr>
        <w:t>.</w:t>
      </w:r>
    </w:p>
    <w:p w:rsidR="00FB3191" w:rsidRPr="00481C66" w:rsidRDefault="00E70FD0" w:rsidP="00D318F2">
      <w:pPr>
        <w:pStyle w:val="ListParagraph"/>
        <w:numPr>
          <w:ilvl w:val="0"/>
          <w:numId w:val="6"/>
        </w:numPr>
        <w:tabs>
          <w:tab w:val="left" w:pos="0"/>
          <w:tab w:val="left" w:pos="270"/>
          <w:tab w:val="left" w:pos="360"/>
        </w:tabs>
        <w:spacing w:after="0" w:line="276" w:lineRule="auto"/>
        <w:ind w:left="0" w:firstLine="0"/>
        <w:jc w:val="both"/>
        <w:rPr>
          <w:rFonts w:asciiTheme="majorHAnsi" w:hAnsiTheme="majorHAnsi" w:cstheme="majorHAnsi"/>
          <w:sz w:val="24"/>
          <w:szCs w:val="24"/>
          <w:lang w:val="ro-MD"/>
        </w:rPr>
      </w:pPr>
      <w:r>
        <w:rPr>
          <w:rFonts w:asciiTheme="majorHAnsi" w:hAnsiTheme="majorHAnsi" w:cstheme="majorHAnsi"/>
          <w:sz w:val="24"/>
          <w:szCs w:val="24"/>
          <w:lang w:val="ro-MD"/>
        </w:rPr>
        <w:t>Să e</w:t>
      </w:r>
      <w:r w:rsidR="00467BBF" w:rsidRPr="00401691">
        <w:rPr>
          <w:rFonts w:asciiTheme="majorHAnsi" w:hAnsiTheme="majorHAnsi" w:cstheme="majorHAnsi"/>
          <w:sz w:val="24"/>
          <w:szCs w:val="24"/>
          <w:lang w:val="ro-MD"/>
        </w:rPr>
        <w:t>fectu</w:t>
      </w:r>
      <w:r>
        <w:rPr>
          <w:rFonts w:asciiTheme="majorHAnsi" w:hAnsiTheme="majorHAnsi" w:cstheme="majorHAnsi"/>
          <w:sz w:val="24"/>
          <w:szCs w:val="24"/>
          <w:lang w:val="ro-MD"/>
        </w:rPr>
        <w:t>eze</w:t>
      </w:r>
      <w:r w:rsidR="00467BBF" w:rsidRPr="00401691">
        <w:rPr>
          <w:rFonts w:asciiTheme="majorHAnsi" w:hAnsiTheme="majorHAnsi" w:cstheme="majorHAnsi"/>
          <w:sz w:val="24"/>
          <w:szCs w:val="24"/>
          <w:lang w:val="ro-MD"/>
        </w:rPr>
        <w:t xml:space="preserve"> misiun</w:t>
      </w:r>
      <w:r>
        <w:rPr>
          <w:rFonts w:asciiTheme="majorHAnsi" w:hAnsiTheme="majorHAnsi" w:cstheme="majorHAnsi"/>
          <w:sz w:val="24"/>
          <w:szCs w:val="24"/>
          <w:lang w:val="ro-MD"/>
        </w:rPr>
        <w:t>e</w:t>
      </w:r>
      <w:r w:rsidR="00467BBF" w:rsidRPr="00401691">
        <w:rPr>
          <w:rFonts w:asciiTheme="majorHAnsi" w:hAnsiTheme="majorHAnsi" w:cstheme="majorHAnsi"/>
          <w:sz w:val="24"/>
          <w:szCs w:val="24"/>
          <w:lang w:val="ro-MD"/>
        </w:rPr>
        <w:t xml:space="preserve"> de audit intern</w:t>
      </w:r>
      <w:r w:rsidR="00481C66">
        <w:rPr>
          <w:rFonts w:asciiTheme="majorHAnsi" w:hAnsiTheme="majorHAnsi" w:cstheme="majorHAnsi"/>
          <w:sz w:val="24"/>
          <w:szCs w:val="24"/>
          <w:lang w:val="ro-MD"/>
        </w:rPr>
        <w:t xml:space="preserve"> </w:t>
      </w:r>
      <w:r w:rsidR="00467BBF" w:rsidRPr="00401691">
        <w:rPr>
          <w:rFonts w:asciiTheme="majorHAnsi" w:hAnsiTheme="majorHAnsi" w:cstheme="majorHAnsi"/>
          <w:sz w:val="24"/>
          <w:szCs w:val="24"/>
          <w:lang w:val="ro-MD"/>
        </w:rPr>
        <w:t xml:space="preserve">în scopul </w:t>
      </w:r>
      <w:r w:rsidR="00467BBF" w:rsidRPr="00481C66">
        <w:rPr>
          <w:rFonts w:asciiTheme="majorHAnsi" w:hAnsiTheme="majorHAnsi" w:cstheme="majorHAnsi"/>
          <w:sz w:val="24"/>
          <w:szCs w:val="24"/>
          <w:lang w:val="ro-MD"/>
        </w:rPr>
        <w:t>evaluării:</w:t>
      </w:r>
    </w:p>
    <w:p w:rsidR="0041201E" w:rsidRDefault="00481C66" w:rsidP="0041201E">
      <w:pPr>
        <w:pStyle w:val="ListParagraph"/>
        <w:numPr>
          <w:ilvl w:val="1"/>
          <w:numId w:val="43"/>
        </w:numPr>
        <w:tabs>
          <w:tab w:val="left" w:pos="0"/>
          <w:tab w:val="left" w:pos="540"/>
          <w:tab w:val="left" w:pos="810"/>
          <w:tab w:val="left" w:pos="900"/>
        </w:tabs>
        <w:spacing w:after="0" w:line="276" w:lineRule="auto"/>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legalității </w:t>
      </w:r>
      <w:r w:rsidR="00467BBF" w:rsidRPr="00481C66">
        <w:rPr>
          <w:rFonts w:asciiTheme="majorHAnsi" w:hAnsiTheme="majorHAnsi" w:cstheme="majorHAnsi"/>
          <w:sz w:val="24"/>
          <w:szCs w:val="24"/>
          <w:lang w:val="ro-MD"/>
        </w:rPr>
        <w:t>raporturilor între SFS și executorii judecătorești privind executarea silită a obligațiilor fiscale restante</w:t>
      </w:r>
      <w:r w:rsidR="00467BBF" w:rsidRPr="0041201E">
        <w:rPr>
          <w:rFonts w:asciiTheme="majorHAnsi" w:hAnsiTheme="majorHAnsi" w:cstheme="majorHAnsi"/>
          <w:sz w:val="24"/>
          <w:szCs w:val="24"/>
          <w:lang w:val="ro-MD"/>
        </w:rPr>
        <w:t>, inclusiv prin analizarea p</w:t>
      </w:r>
      <w:r w:rsidR="009224E5" w:rsidRPr="0041201E">
        <w:rPr>
          <w:rFonts w:asciiTheme="majorHAnsi" w:hAnsiTheme="majorHAnsi" w:cstheme="majorHAnsi"/>
          <w:sz w:val="24"/>
          <w:szCs w:val="24"/>
          <w:lang w:val="ro-MD"/>
        </w:rPr>
        <w:t xml:space="preserve">rofilului riscului de fraudă în </w:t>
      </w:r>
      <w:r w:rsidR="00467BBF" w:rsidRPr="0041201E">
        <w:rPr>
          <w:rFonts w:asciiTheme="majorHAnsi" w:hAnsiTheme="majorHAnsi" w:cstheme="majorHAnsi"/>
          <w:sz w:val="24"/>
          <w:szCs w:val="24"/>
          <w:lang w:val="ro-MD"/>
        </w:rPr>
        <w:t>acțiunile executorilor judecătorești</w:t>
      </w:r>
      <w:r w:rsidR="009224E5" w:rsidRPr="0041201E">
        <w:rPr>
          <w:rFonts w:asciiTheme="majorHAnsi" w:hAnsiTheme="majorHAnsi" w:cstheme="majorHAnsi"/>
          <w:sz w:val="24"/>
          <w:szCs w:val="24"/>
          <w:lang w:val="ro-MD"/>
        </w:rPr>
        <w:t xml:space="preserve"> (</w:t>
      </w:r>
      <w:r w:rsidR="009224E5" w:rsidRPr="0041201E">
        <w:rPr>
          <w:rFonts w:asciiTheme="majorHAnsi" w:eastAsia="Calibri" w:hAnsiTheme="majorHAnsi" w:cstheme="majorHAnsi"/>
          <w:bCs/>
          <w:sz w:val="24"/>
          <w:szCs w:val="24"/>
          <w:lang w:val="ro-MD"/>
        </w:rPr>
        <w:t>subcapitolul 3.3</w:t>
      </w:r>
      <w:r w:rsidR="00E70FD0">
        <w:rPr>
          <w:rFonts w:asciiTheme="majorHAnsi" w:eastAsia="Calibri" w:hAnsiTheme="majorHAnsi" w:cstheme="majorHAnsi"/>
          <w:bCs/>
          <w:sz w:val="24"/>
          <w:szCs w:val="24"/>
          <w:lang w:val="ro-MD"/>
        </w:rPr>
        <w:t>.</w:t>
      </w:r>
      <w:r w:rsidR="009224E5" w:rsidRPr="0041201E">
        <w:rPr>
          <w:rFonts w:asciiTheme="majorHAnsi" w:eastAsia="Calibri" w:hAnsiTheme="majorHAnsi" w:cstheme="majorHAnsi"/>
          <w:bCs/>
          <w:sz w:val="24"/>
          <w:szCs w:val="24"/>
          <w:lang w:val="ro-MD"/>
        </w:rPr>
        <w:t>)</w:t>
      </w:r>
      <w:r w:rsidR="00467BBF" w:rsidRPr="0041201E">
        <w:rPr>
          <w:rFonts w:asciiTheme="majorHAnsi" w:hAnsiTheme="majorHAnsi" w:cstheme="majorHAnsi"/>
          <w:sz w:val="24"/>
          <w:szCs w:val="24"/>
          <w:lang w:val="ro-MD"/>
        </w:rPr>
        <w:t>;</w:t>
      </w:r>
    </w:p>
    <w:p w:rsidR="00467BBF" w:rsidRDefault="00190191" w:rsidP="0041201E">
      <w:pPr>
        <w:pStyle w:val="ListParagraph"/>
        <w:numPr>
          <w:ilvl w:val="1"/>
          <w:numId w:val="43"/>
        </w:numPr>
        <w:tabs>
          <w:tab w:val="left" w:pos="0"/>
          <w:tab w:val="left" w:pos="540"/>
          <w:tab w:val="left" w:pos="810"/>
          <w:tab w:val="left" w:pos="900"/>
        </w:tabs>
        <w:spacing w:after="0" w:line="276" w:lineRule="auto"/>
        <w:jc w:val="both"/>
        <w:rPr>
          <w:rStyle w:val="ms-rtefontface-3"/>
          <w:rFonts w:asciiTheme="majorHAnsi" w:hAnsiTheme="majorHAnsi" w:cstheme="majorHAnsi"/>
          <w:sz w:val="24"/>
          <w:szCs w:val="24"/>
          <w:lang w:val="ro-MD"/>
        </w:rPr>
      </w:pPr>
      <w:r w:rsidRPr="0041201E">
        <w:rPr>
          <w:rStyle w:val="ms-rtefontface-3"/>
          <w:rFonts w:asciiTheme="majorHAnsi" w:hAnsiTheme="majorHAnsi" w:cstheme="majorHAnsi"/>
          <w:sz w:val="24"/>
          <w:szCs w:val="24"/>
          <w:lang w:val="ro-MD"/>
        </w:rPr>
        <w:t>v</w:t>
      </w:r>
      <w:r w:rsidR="00467BBF" w:rsidRPr="0041201E">
        <w:rPr>
          <w:rStyle w:val="ms-rtefontface-3"/>
          <w:rFonts w:asciiTheme="majorHAnsi" w:hAnsiTheme="majorHAnsi" w:cstheme="majorHAnsi"/>
          <w:sz w:val="24"/>
          <w:szCs w:val="24"/>
          <w:lang w:val="ro-MD"/>
        </w:rPr>
        <w:t>eridicit</w:t>
      </w:r>
      <w:r w:rsidRPr="0041201E">
        <w:rPr>
          <w:rStyle w:val="ms-rtefontface-3"/>
          <w:rFonts w:asciiTheme="majorHAnsi" w:hAnsiTheme="majorHAnsi" w:cstheme="majorHAnsi"/>
          <w:sz w:val="24"/>
          <w:szCs w:val="24"/>
          <w:lang w:val="ro-MD"/>
        </w:rPr>
        <w:t xml:space="preserve">ății </w:t>
      </w:r>
      <w:r w:rsidR="00467BBF" w:rsidRPr="0041201E">
        <w:rPr>
          <w:rStyle w:val="ms-rtefontface-3"/>
          <w:rFonts w:asciiTheme="majorHAnsi" w:hAnsiTheme="majorHAnsi" w:cstheme="majorHAnsi"/>
          <w:sz w:val="24"/>
          <w:szCs w:val="24"/>
          <w:lang w:val="ro-MD"/>
        </w:rPr>
        <w:t>restanțelor înregistrate la contul curent a</w:t>
      </w:r>
      <w:r w:rsidR="00E70FD0">
        <w:rPr>
          <w:rStyle w:val="ms-rtefontface-3"/>
          <w:rFonts w:asciiTheme="majorHAnsi" w:hAnsiTheme="majorHAnsi" w:cstheme="majorHAnsi"/>
          <w:sz w:val="24"/>
          <w:szCs w:val="24"/>
          <w:lang w:val="ro-MD"/>
        </w:rPr>
        <w:t>l</w:t>
      </w:r>
      <w:r w:rsidR="00467BBF" w:rsidRPr="0041201E">
        <w:rPr>
          <w:rStyle w:val="ms-rtefontface-3"/>
          <w:rFonts w:asciiTheme="majorHAnsi" w:hAnsiTheme="majorHAnsi" w:cstheme="majorHAnsi"/>
          <w:sz w:val="24"/>
          <w:szCs w:val="24"/>
          <w:lang w:val="ro-MD"/>
        </w:rPr>
        <w:t xml:space="preserve"> persoanelor fizice nerezidente, </w:t>
      </w:r>
      <w:r w:rsidR="00E70FD0">
        <w:rPr>
          <w:rStyle w:val="ms-rtefontface-3"/>
          <w:rFonts w:asciiTheme="majorHAnsi" w:hAnsiTheme="majorHAnsi" w:cstheme="majorHAnsi"/>
          <w:sz w:val="24"/>
          <w:szCs w:val="24"/>
          <w:lang w:val="ro-MD"/>
        </w:rPr>
        <w:t>pe</w:t>
      </w:r>
      <w:r w:rsidR="00467BBF" w:rsidRPr="0041201E">
        <w:rPr>
          <w:rStyle w:val="ms-rtefontface-3"/>
          <w:rFonts w:asciiTheme="majorHAnsi" w:hAnsiTheme="majorHAnsi" w:cstheme="majorHAnsi"/>
          <w:sz w:val="24"/>
          <w:szCs w:val="24"/>
          <w:lang w:val="ro-MD"/>
        </w:rPr>
        <w:t>ntru excluderea erorilor identificate de auditul public extern</w:t>
      </w:r>
      <w:r w:rsidR="00CE3051" w:rsidRPr="0041201E">
        <w:rPr>
          <w:rStyle w:val="ms-rtefontface-3"/>
          <w:rFonts w:asciiTheme="majorHAnsi" w:hAnsiTheme="majorHAnsi" w:cstheme="majorHAnsi"/>
          <w:sz w:val="24"/>
          <w:szCs w:val="24"/>
          <w:lang w:val="ro-MD"/>
        </w:rPr>
        <w:t xml:space="preserve"> </w:t>
      </w:r>
      <w:r w:rsidR="00CE3051" w:rsidRPr="0041201E">
        <w:rPr>
          <w:rFonts w:asciiTheme="majorHAnsi" w:hAnsiTheme="majorHAnsi" w:cstheme="majorHAnsi"/>
          <w:sz w:val="24"/>
          <w:szCs w:val="24"/>
          <w:lang w:val="ro-MD"/>
        </w:rPr>
        <w:t>(</w:t>
      </w:r>
      <w:r w:rsidR="00CE3051" w:rsidRPr="0041201E">
        <w:rPr>
          <w:rFonts w:asciiTheme="majorHAnsi" w:eastAsia="Calibri" w:hAnsiTheme="majorHAnsi" w:cstheme="majorHAnsi"/>
          <w:bCs/>
          <w:sz w:val="24"/>
          <w:szCs w:val="24"/>
          <w:lang w:val="ro-MD"/>
        </w:rPr>
        <w:t>subcapitolul 3.1</w:t>
      </w:r>
      <w:r w:rsidR="00E70FD0">
        <w:rPr>
          <w:rFonts w:asciiTheme="majorHAnsi" w:eastAsia="Calibri" w:hAnsiTheme="majorHAnsi" w:cstheme="majorHAnsi"/>
          <w:bCs/>
          <w:sz w:val="24"/>
          <w:szCs w:val="24"/>
          <w:lang w:val="ro-MD"/>
        </w:rPr>
        <w:t>.</w:t>
      </w:r>
      <w:r w:rsidR="00CE3051" w:rsidRPr="0041201E">
        <w:rPr>
          <w:rFonts w:asciiTheme="majorHAnsi" w:eastAsia="Calibri" w:hAnsiTheme="majorHAnsi" w:cstheme="majorHAnsi"/>
          <w:bCs/>
          <w:sz w:val="24"/>
          <w:szCs w:val="24"/>
          <w:lang w:val="ro-MD"/>
        </w:rPr>
        <w:t>)</w:t>
      </w:r>
      <w:r w:rsidR="00467BBF" w:rsidRPr="0041201E">
        <w:rPr>
          <w:rStyle w:val="ms-rtefontface-3"/>
          <w:rFonts w:asciiTheme="majorHAnsi" w:hAnsiTheme="majorHAnsi" w:cstheme="majorHAnsi"/>
          <w:sz w:val="24"/>
          <w:szCs w:val="24"/>
          <w:lang w:val="ro-MD"/>
        </w:rPr>
        <w:t>.</w:t>
      </w:r>
    </w:p>
    <w:p w:rsidR="00D318F2" w:rsidRDefault="00190191" w:rsidP="00D318F2">
      <w:pPr>
        <w:pStyle w:val="ListParagraph"/>
        <w:numPr>
          <w:ilvl w:val="0"/>
          <w:numId w:val="6"/>
        </w:numPr>
        <w:tabs>
          <w:tab w:val="left" w:pos="0"/>
          <w:tab w:val="left" w:pos="270"/>
          <w:tab w:val="left" w:pos="360"/>
        </w:tabs>
        <w:spacing w:after="120" w:line="276" w:lineRule="auto"/>
        <w:ind w:left="0" w:firstLine="0"/>
        <w:contextualSpacing w:val="0"/>
        <w:jc w:val="both"/>
        <w:rPr>
          <w:rFonts w:asciiTheme="majorHAnsi" w:hAnsiTheme="majorHAnsi" w:cstheme="majorHAnsi"/>
          <w:sz w:val="24"/>
          <w:szCs w:val="24"/>
          <w:lang w:val="ro-MD" w:eastAsia="x-none"/>
        </w:rPr>
      </w:pPr>
      <w:r>
        <w:rPr>
          <w:rFonts w:asciiTheme="majorHAnsi" w:hAnsiTheme="majorHAnsi" w:cstheme="majorHAnsi"/>
          <w:sz w:val="24"/>
          <w:szCs w:val="24"/>
          <w:lang w:val="ro-MD" w:eastAsia="x-none"/>
        </w:rPr>
        <w:t xml:space="preserve">Să elaboreze și să </w:t>
      </w:r>
      <w:r w:rsidR="00FA1FE2" w:rsidRPr="00401691">
        <w:rPr>
          <w:rFonts w:asciiTheme="majorHAnsi" w:hAnsiTheme="majorHAnsi" w:cstheme="majorHAnsi"/>
          <w:sz w:val="24"/>
          <w:szCs w:val="24"/>
          <w:lang w:val="ro-MD" w:eastAsia="x-none"/>
        </w:rPr>
        <w:t>înaint</w:t>
      </w:r>
      <w:r>
        <w:rPr>
          <w:rFonts w:asciiTheme="majorHAnsi" w:hAnsiTheme="majorHAnsi" w:cstheme="majorHAnsi"/>
          <w:sz w:val="24"/>
          <w:szCs w:val="24"/>
          <w:lang w:val="ro-MD" w:eastAsia="x-none"/>
        </w:rPr>
        <w:t>eze p</w:t>
      </w:r>
      <w:r w:rsidR="00FA1FE2" w:rsidRPr="00401691">
        <w:rPr>
          <w:rFonts w:asciiTheme="majorHAnsi" w:hAnsiTheme="majorHAnsi" w:cstheme="majorHAnsi"/>
          <w:sz w:val="24"/>
          <w:szCs w:val="24"/>
          <w:lang w:val="ro-MD" w:eastAsia="x-none"/>
        </w:rPr>
        <w:t xml:space="preserve">ropuneri la </w:t>
      </w:r>
      <w:r w:rsidR="00FA1FE2" w:rsidRPr="00401691">
        <w:rPr>
          <w:rFonts w:asciiTheme="majorHAnsi" w:hAnsiTheme="majorHAnsi" w:cstheme="majorHAnsi"/>
          <w:sz w:val="24"/>
          <w:szCs w:val="24"/>
          <w:lang w:val="ro-MD"/>
        </w:rPr>
        <w:t>Le</w:t>
      </w:r>
      <w:r w:rsidR="00943B89">
        <w:rPr>
          <w:rFonts w:asciiTheme="majorHAnsi" w:hAnsiTheme="majorHAnsi" w:cstheme="majorHAnsi"/>
          <w:sz w:val="24"/>
          <w:szCs w:val="24"/>
          <w:lang w:val="ro-MD"/>
        </w:rPr>
        <w:t>gea insolvabilității nr.149 din</w:t>
      </w:r>
      <w:r w:rsidR="00FA1FE2" w:rsidRPr="00401691">
        <w:rPr>
          <w:rFonts w:asciiTheme="majorHAnsi" w:hAnsiTheme="majorHAnsi" w:cstheme="majorHAnsi"/>
          <w:sz w:val="24"/>
          <w:szCs w:val="24"/>
          <w:lang w:val="ro-MD"/>
        </w:rPr>
        <w:t xml:space="preserve"> 29.06.2012</w:t>
      </w:r>
      <w:r>
        <w:rPr>
          <w:rFonts w:asciiTheme="majorHAnsi" w:hAnsiTheme="majorHAnsi" w:cstheme="majorHAnsi"/>
          <w:sz w:val="24"/>
          <w:szCs w:val="24"/>
          <w:lang w:val="ro-MD"/>
        </w:rPr>
        <w:t>, în scopul corelării acesteia</w:t>
      </w:r>
      <w:r w:rsidR="00FA1FE2" w:rsidRPr="00401691">
        <w:rPr>
          <w:rFonts w:asciiTheme="majorHAnsi" w:hAnsiTheme="majorHAnsi" w:cstheme="majorHAnsi"/>
          <w:sz w:val="24"/>
          <w:szCs w:val="24"/>
          <w:lang w:val="ro-MD"/>
        </w:rPr>
        <w:t xml:space="preserve"> cu prevederile Codului </w:t>
      </w:r>
      <w:r w:rsidR="00E70FD0">
        <w:rPr>
          <w:rFonts w:asciiTheme="majorHAnsi" w:hAnsiTheme="majorHAnsi" w:cstheme="majorHAnsi"/>
          <w:sz w:val="24"/>
          <w:szCs w:val="24"/>
          <w:lang w:val="ro-MD"/>
        </w:rPr>
        <w:t>f</w:t>
      </w:r>
      <w:r w:rsidR="00FA1FE2" w:rsidRPr="00401691">
        <w:rPr>
          <w:rFonts w:asciiTheme="majorHAnsi" w:hAnsiTheme="majorHAnsi" w:cstheme="majorHAnsi"/>
          <w:sz w:val="24"/>
          <w:szCs w:val="24"/>
          <w:lang w:val="ro-MD"/>
        </w:rPr>
        <w:t xml:space="preserve">iscal privind </w:t>
      </w:r>
      <w:r w:rsidR="00FA1FE2" w:rsidRPr="00401691">
        <w:rPr>
          <w:rFonts w:asciiTheme="majorHAnsi" w:eastAsia="Times New Roman" w:hAnsiTheme="majorHAnsi" w:cstheme="majorHAnsi"/>
          <w:bCs/>
          <w:sz w:val="24"/>
          <w:szCs w:val="24"/>
          <w:lang w:val="ro-MD"/>
        </w:rPr>
        <w:t>declanșarea executării silite a obligației fiscale curente, în cazurile în care contribuabilul se află în procedura de insolvabilitate</w:t>
      </w:r>
      <w:r w:rsidR="001C7148">
        <w:rPr>
          <w:rFonts w:asciiTheme="majorHAnsi" w:eastAsia="Times New Roman" w:hAnsiTheme="majorHAnsi" w:cstheme="majorHAnsi"/>
          <w:bCs/>
          <w:sz w:val="24"/>
          <w:szCs w:val="24"/>
          <w:lang w:val="ro-MD"/>
        </w:rPr>
        <w:t xml:space="preserve"> </w:t>
      </w:r>
      <w:r w:rsidR="001C7148">
        <w:rPr>
          <w:rFonts w:asciiTheme="majorHAnsi" w:hAnsiTheme="majorHAnsi" w:cstheme="majorHAnsi"/>
          <w:sz w:val="24"/>
          <w:szCs w:val="24"/>
          <w:lang w:val="ro-MD"/>
        </w:rPr>
        <w:t>(</w:t>
      </w:r>
      <w:r w:rsidR="001C7148" w:rsidRPr="0012263F">
        <w:rPr>
          <w:rFonts w:asciiTheme="majorHAnsi" w:eastAsia="Calibri" w:hAnsiTheme="majorHAnsi" w:cstheme="majorHAnsi"/>
          <w:bCs/>
          <w:sz w:val="24"/>
          <w:szCs w:val="24"/>
          <w:lang w:val="ro-MD"/>
        </w:rPr>
        <w:t>subcapitolul</w:t>
      </w:r>
      <w:r w:rsidR="001C7148">
        <w:rPr>
          <w:rFonts w:asciiTheme="majorHAnsi" w:eastAsia="Calibri" w:hAnsiTheme="majorHAnsi" w:cstheme="majorHAnsi"/>
          <w:bCs/>
          <w:sz w:val="24"/>
          <w:szCs w:val="24"/>
          <w:lang w:val="ro-MD"/>
        </w:rPr>
        <w:t xml:space="preserve"> 3.2</w:t>
      </w:r>
      <w:r w:rsidR="00E70FD0">
        <w:rPr>
          <w:rFonts w:asciiTheme="majorHAnsi" w:eastAsia="Calibri" w:hAnsiTheme="majorHAnsi" w:cstheme="majorHAnsi"/>
          <w:bCs/>
          <w:sz w:val="24"/>
          <w:szCs w:val="24"/>
          <w:lang w:val="ro-MD"/>
        </w:rPr>
        <w:t>.</w:t>
      </w:r>
      <w:r w:rsidR="001C7148">
        <w:rPr>
          <w:rFonts w:asciiTheme="majorHAnsi" w:eastAsia="Calibri" w:hAnsiTheme="majorHAnsi" w:cstheme="majorHAnsi"/>
          <w:bCs/>
          <w:sz w:val="24"/>
          <w:szCs w:val="24"/>
          <w:lang w:val="ro-MD"/>
        </w:rPr>
        <w:t>)</w:t>
      </w:r>
      <w:r w:rsidR="00FA1FE2" w:rsidRPr="00401691">
        <w:rPr>
          <w:rFonts w:asciiTheme="majorHAnsi" w:eastAsia="Times New Roman" w:hAnsiTheme="majorHAnsi" w:cstheme="majorHAnsi"/>
          <w:bCs/>
          <w:sz w:val="24"/>
          <w:szCs w:val="24"/>
          <w:lang w:val="ro-MD"/>
        </w:rPr>
        <w:t>.</w:t>
      </w:r>
    </w:p>
    <w:p w:rsidR="0066465E" w:rsidRPr="00074CA7" w:rsidRDefault="00190191" w:rsidP="00D318F2">
      <w:pPr>
        <w:pStyle w:val="ListParagraph"/>
        <w:numPr>
          <w:ilvl w:val="0"/>
          <w:numId w:val="6"/>
        </w:numPr>
        <w:tabs>
          <w:tab w:val="left" w:pos="0"/>
          <w:tab w:val="left" w:pos="270"/>
          <w:tab w:val="left" w:pos="360"/>
        </w:tabs>
        <w:spacing w:after="0" w:line="276" w:lineRule="auto"/>
        <w:ind w:left="0" w:firstLine="0"/>
        <w:jc w:val="both"/>
        <w:rPr>
          <w:rFonts w:asciiTheme="majorHAnsi" w:hAnsiTheme="majorHAnsi" w:cstheme="majorHAnsi"/>
          <w:sz w:val="24"/>
          <w:szCs w:val="24"/>
          <w:lang w:val="ro-MD" w:eastAsia="x-none"/>
        </w:rPr>
      </w:pPr>
      <w:r w:rsidRPr="00074CA7">
        <w:rPr>
          <w:rFonts w:asciiTheme="majorHAnsi" w:hAnsiTheme="majorHAnsi" w:cstheme="majorHAnsi"/>
          <w:sz w:val="24"/>
          <w:szCs w:val="24"/>
          <w:lang w:val="ro-MD" w:eastAsia="x-none"/>
        </w:rPr>
        <w:t>Să completeze M</w:t>
      </w:r>
      <w:r w:rsidR="00BF62D3" w:rsidRPr="00074CA7">
        <w:rPr>
          <w:rFonts w:asciiTheme="majorHAnsi" w:hAnsiTheme="majorHAnsi" w:cstheme="majorHAnsi"/>
          <w:sz w:val="24"/>
          <w:szCs w:val="24"/>
          <w:lang w:val="ro-MD" w:eastAsia="x-none"/>
        </w:rPr>
        <w:t xml:space="preserve">anualul operațional </w:t>
      </w:r>
      <w:r w:rsidR="00074CA7">
        <w:rPr>
          <w:rFonts w:asciiTheme="majorHAnsi" w:hAnsiTheme="majorHAnsi" w:cstheme="majorHAnsi"/>
          <w:sz w:val="24"/>
          <w:szCs w:val="24"/>
          <w:lang w:val="ro-MD" w:eastAsia="x-none"/>
        </w:rPr>
        <w:t xml:space="preserve">privind </w:t>
      </w:r>
      <w:r w:rsidR="00BF62D3" w:rsidRPr="00074CA7">
        <w:rPr>
          <w:rFonts w:asciiTheme="majorHAnsi" w:hAnsiTheme="majorHAnsi" w:cstheme="majorHAnsi"/>
          <w:sz w:val="24"/>
          <w:szCs w:val="24"/>
          <w:lang w:val="ro-MD" w:eastAsia="x-none"/>
        </w:rPr>
        <w:t>managementul arieratelor cu prevederi exhaustive privind:</w:t>
      </w:r>
    </w:p>
    <w:p w:rsidR="0075440B" w:rsidRDefault="00AF28AF" w:rsidP="0075440B">
      <w:pPr>
        <w:pStyle w:val="ListParagraph"/>
        <w:numPr>
          <w:ilvl w:val="1"/>
          <w:numId w:val="45"/>
        </w:numPr>
        <w:tabs>
          <w:tab w:val="left" w:pos="0"/>
          <w:tab w:val="left" w:pos="720"/>
        </w:tabs>
        <w:spacing w:after="120" w:line="276" w:lineRule="auto"/>
        <w:ind w:firstLine="0"/>
        <w:jc w:val="both"/>
        <w:rPr>
          <w:rFonts w:asciiTheme="majorHAnsi" w:hAnsiTheme="majorHAnsi" w:cstheme="majorHAnsi"/>
          <w:sz w:val="24"/>
          <w:szCs w:val="24"/>
          <w:lang w:val="ro-MD" w:eastAsia="x-none"/>
        </w:rPr>
      </w:pPr>
      <w:r w:rsidRPr="00074CA7">
        <w:rPr>
          <w:rFonts w:asciiTheme="majorHAnsi" w:hAnsiTheme="majorHAnsi" w:cstheme="majorHAnsi"/>
          <w:sz w:val="24"/>
          <w:szCs w:val="24"/>
          <w:lang w:val="ro-MD" w:eastAsia="x-none"/>
        </w:rPr>
        <w:t xml:space="preserve">. </w:t>
      </w:r>
      <w:r w:rsidR="00BD35DB" w:rsidRPr="00074CA7">
        <w:rPr>
          <w:rFonts w:asciiTheme="majorHAnsi" w:hAnsiTheme="majorHAnsi" w:cstheme="majorHAnsi"/>
          <w:sz w:val="24"/>
          <w:szCs w:val="24"/>
          <w:lang w:val="ro-MD" w:eastAsia="x-none"/>
        </w:rPr>
        <w:t>m</w:t>
      </w:r>
      <w:r w:rsidR="00BF62D3" w:rsidRPr="00074CA7">
        <w:rPr>
          <w:rFonts w:asciiTheme="majorHAnsi" w:hAnsiTheme="majorHAnsi" w:cstheme="majorHAnsi"/>
          <w:sz w:val="24"/>
          <w:szCs w:val="24"/>
          <w:lang w:val="ro-MD" w:eastAsia="x-none"/>
        </w:rPr>
        <w:t>odul de conlucrare cu executorii judecătorești</w:t>
      </w:r>
      <w:r w:rsidRPr="00074CA7">
        <w:rPr>
          <w:rFonts w:asciiTheme="majorHAnsi" w:hAnsiTheme="majorHAnsi" w:cstheme="majorHAnsi"/>
          <w:sz w:val="24"/>
          <w:szCs w:val="24"/>
          <w:lang w:val="ro-MD" w:eastAsia="x-none"/>
        </w:rPr>
        <w:t>,</w:t>
      </w:r>
      <w:r w:rsidR="00BF62D3" w:rsidRPr="00074CA7">
        <w:rPr>
          <w:rFonts w:asciiTheme="majorHAnsi" w:hAnsiTheme="majorHAnsi" w:cstheme="majorHAnsi"/>
          <w:sz w:val="24"/>
          <w:szCs w:val="24"/>
          <w:lang w:val="ro-MD" w:eastAsia="x-none"/>
        </w:rPr>
        <w:t xml:space="preserve"> </w:t>
      </w:r>
      <w:r w:rsidR="00BD35DB" w:rsidRPr="00074CA7">
        <w:rPr>
          <w:rFonts w:asciiTheme="majorHAnsi" w:hAnsiTheme="majorHAnsi" w:cstheme="majorHAnsi"/>
          <w:sz w:val="24"/>
          <w:szCs w:val="24"/>
          <w:lang w:val="ro-MD" w:eastAsia="x-none"/>
        </w:rPr>
        <w:t>precum și</w:t>
      </w:r>
      <w:r w:rsidRPr="00074CA7">
        <w:rPr>
          <w:rFonts w:asciiTheme="majorHAnsi" w:hAnsiTheme="majorHAnsi" w:cstheme="majorHAnsi"/>
          <w:sz w:val="24"/>
          <w:szCs w:val="24"/>
          <w:lang w:val="ro-MD" w:eastAsia="x-none"/>
        </w:rPr>
        <w:t xml:space="preserve"> </w:t>
      </w:r>
      <w:r w:rsidR="00BF62D3" w:rsidRPr="00074CA7">
        <w:rPr>
          <w:rFonts w:asciiTheme="majorHAnsi" w:hAnsiTheme="majorHAnsi" w:cstheme="majorHAnsi"/>
          <w:sz w:val="24"/>
          <w:szCs w:val="24"/>
          <w:lang w:val="ro-MD"/>
        </w:rPr>
        <w:t>obligațiil</w:t>
      </w:r>
      <w:r w:rsidRPr="00074CA7">
        <w:rPr>
          <w:rFonts w:asciiTheme="majorHAnsi" w:hAnsiTheme="majorHAnsi" w:cstheme="majorHAnsi"/>
          <w:sz w:val="24"/>
          <w:szCs w:val="24"/>
          <w:lang w:val="ro-MD"/>
        </w:rPr>
        <w:t>e</w:t>
      </w:r>
      <w:r w:rsidR="00BF62D3" w:rsidRPr="00074CA7">
        <w:rPr>
          <w:rFonts w:asciiTheme="majorHAnsi" w:hAnsiTheme="majorHAnsi" w:cstheme="majorHAnsi"/>
          <w:sz w:val="24"/>
          <w:szCs w:val="24"/>
          <w:lang w:val="ro-MD"/>
        </w:rPr>
        <w:t xml:space="preserve"> ce revin angajaților</w:t>
      </w:r>
      <w:r w:rsidR="00BF62D3" w:rsidRPr="0075440B">
        <w:rPr>
          <w:rFonts w:asciiTheme="majorHAnsi" w:hAnsiTheme="majorHAnsi" w:cstheme="majorHAnsi"/>
          <w:sz w:val="24"/>
          <w:szCs w:val="24"/>
          <w:lang w:val="ro-MD"/>
        </w:rPr>
        <w:t xml:space="preserve"> DGA, în calitatea sa de creditor (i) potrivit art. 44 din Codul de executare și (ii) în cazurile necesității de contestare a actelor execut</w:t>
      </w:r>
      <w:r w:rsidR="00D2516B">
        <w:rPr>
          <w:rFonts w:asciiTheme="majorHAnsi" w:hAnsiTheme="majorHAnsi" w:cstheme="majorHAnsi"/>
          <w:sz w:val="24"/>
          <w:szCs w:val="24"/>
          <w:lang w:val="ro-MD"/>
        </w:rPr>
        <w:t>orului judecătoresc, în temeiul</w:t>
      </w:r>
      <w:r w:rsidR="00BF62D3" w:rsidRPr="0075440B">
        <w:rPr>
          <w:rFonts w:asciiTheme="majorHAnsi" w:hAnsiTheme="majorHAnsi" w:cstheme="majorHAnsi"/>
          <w:sz w:val="24"/>
          <w:szCs w:val="24"/>
          <w:lang w:val="ro-MD"/>
        </w:rPr>
        <w:t xml:space="preserve"> art. 161 din Codul de executare</w:t>
      </w:r>
      <w:r w:rsidR="0075440B">
        <w:rPr>
          <w:rFonts w:asciiTheme="majorHAnsi" w:hAnsiTheme="majorHAnsi" w:cstheme="majorHAnsi"/>
          <w:sz w:val="24"/>
          <w:szCs w:val="24"/>
          <w:lang w:val="ro-MD"/>
        </w:rPr>
        <w:t>;</w:t>
      </w:r>
      <w:r w:rsidRPr="00AF28AF">
        <w:rPr>
          <w:rFonts w:asciiTheme="majorHAnsi" w:hAnsiTheme="majorHAnsi" w:cstheme="majorHAnsi"/>
          <w:sz w:val="24"/>
          <w:szCs w:val="24"/>
          <w:highlight w:val="yellow"/>
          <w:lang w:val="ro-MD"/>
        </w:rPr>
        <w:t xml:space="preserve"> </w:t>
      </w:r>
    </w:p>
    <w:p w:rsidR="00071577" w:rsidRPr="00F5250B" w:rsidRDefault="00AF28AF" w:rsidP="0075440B">
      <w:pPr>
        <w:pStyle w:val="ListParagraph"/>
        <w:numPr>
          <w:ilvl w:val="1"/>
          <w:numId w:val="45"/>
        </w:numPr>
        <w:tabs>
          <w:tab w:val="left" w:pos="0"/>
          <w:tab w:val="left" w:pos="720"/>
        </w:tabs>
        <w:spacing w:after="120" w:line="276" w:lineRule="auto"/>
        <w:ind w:firstLine="0"/>
        <w:contextualSpacing w:val="0"/>
        <w:jc w:val="both"/>
        <w:rPr>
          <w:rFonts w:asciiTheme="majorHAnsi" w:hAnsiTheme="majorHAnsi" w:cstheme="majorHAnsi"/>
          <w:sz w:val="24"/>
          <w:szCs w:val="24"/>
          <w:lang w:val="ro-MD" w:eastAsia="x-none"/>
        </w:rPr>
      </w:pPr>
      <w:r>
        <w:rPr>
          <w:rFonts w:asciiTheme="majorHAnsi" w:hAnsiTheme="majorHAnsi" w:cstheme="majorHAnsi"/>
          <w:sz w:val="24"/>
          <w:szCs w:val="24"/>
          <w:lang w:val="ro-MD"/>
        </w:rPr>
        <w:t xml:space="preserve">. </w:t>
      </w:r>
      <w:r w:rsidR="00071577" w:rsidRPr="0075440B">
        <w:rPr>
          <w:rFonts w:asciiTheme="majorHAnsi" w:hAnsiTheme="majorHAnsi" w:cstheme="majorHAnsi"/>
          <w:sz w:val="24"/>
          <w:szCs w:val="24"/>
          <w:lang w:val="ro-MD"/>
        </w:rPr>
        <w:t xml:space="preserve">reglementarea exhaustivă a punerii în aplicare a mecanismului de executare silită a cotelor sociale </w:t>
      </w:r>
      <w:r w:rsidRPr="004836DA">
        <w:rPr>
          <w:rFonts w:asciiTheme="majorHAnsi" w:hAnsiTheme="majorHAnsi" w:cstheme="majorHAnsi"/>
          <w:sz w:val="24"/>
          <w:szCs w:val="24"/>
          <w:lang w:val="ro-MD"/>
        </w:rPr>
        <w:t>(</w:t>
      </w:r>
      <w:r w:rsidRPr="004836DA">
        <w:rPr>
          <w:rFonts w:asciiTheme="majorHAnsi" w:eastAsia="Calibri" w:hAnsiTheme="majorHAnsi" w:cstheme="majorHAnsi"/>
          <w:bCs/>
          <w:sz w:val="24"/>
          <w:szCs w:val="24"/>
          <w:lang w:val="ro-MD"/>
        </w:rPr>
        <w:t>subcapitolele 3.1. și 3.3.)</w:t>
      </w:r>
      <w:r w:rsidRPr="00F5250B">
        <w:rPr>
          <w:rFonts w:asciiTheme="majorHAnsi" w:eastAsia="Calibri" w:hAnsiTheme="majorHAnsi" w:cstheme="majorHAnsi"/>
          <w:bCs/>
          <w:sz w:val="24"/>
          <w:szCs w:val="24"/>
          <w:lang w:val="ro-MD"/>
        </w:rPr>
        <w:t>.</w:t>
      </w:r>
    </w:p>
    <w:p w:rsidR="00D25B1F" w:rsidRPr="00401691" w:rsidRDefault="00190191" w:rsidP="00D318F2">
      <w:pPr>
        <w:pStyle w:val="ListParagraph"/>
        <w:numPr>
          <w:ilvl w:val="0"/>
          <w:numId w:val="6"/>
        </w:numPr>
        <w:tabs>
          <w:tab w:val="left" w:pos="0"/>
          <w:tab w:val="left" w:pos="270"/>
          <w:tab w:val="left" w:pos="360"/>
        </w:tabs>
        <w:spacing w:after="120" w:line="276" w:lineRule="auto"/>
        <w:ind w:left="0" w:firstLine="0"/>
        <w:contextualSpacing w:val="0"/>
        <w:jc w:val="both"/>
        <w:rPr>
          <w:rFonts w:asciiTheme="majorHAnsi" w:hAnsiTheme="majorHAnsi" w:cstheme="majorHAnsi"/>
          <w:sz w:val="24"/>
          <w:szCs w:val="24"/>
          <w:lang w:val="ro-MD" w:eastAsia="x-none"/>
        </w:rPr>
      </w:pPr>
      <w:r>
        <w:rPr>
          <w:rFonts w:asciiTheme="majorHAnsi" w:hAnsiTheme="majorHAnsi" w:cstheme="majorHAnsi"/>
          <w:sz w:val="24"/>
          <w:szCs w:val="24"/>
          <w:lang w:val="ro-MD" w:eastAsia="x-none"/>
        </w:rPr>
        <w:t>Să a</w:t>
      </w:r>
      <w:r w:rsidRPr="00401691">
        <w:rPr>
          <w:rFonts w:asciiTheme="majorHAnsi" w:hAnsiTheme="majorHAnsi" w:cstheme="majorHAnsi"/>
          <w:sz w:val="24"/>
          <w:szCs w:val="24"/>
          <w:lang w:val="ro-MD" w:eastAsia="x-none"/>
        </w:rPr>
        <w:t>utomatiz</w:t>
      </w:r>
      <w:r>
        <w:rPr>
          <w:rFonts w:asciiTheme="majorHAnsi" w:hAnsiTheme="majorHAnsi" w:cstheme="majorHAnsi"/>
          <w:sz w:val="24"/>
          <w:szCs w:val="24"/>
          <w:lang w:val="ro-MD" w:eastAsia="x-none"/>
        </w:rPr>
        <w:t xml:space="preserve">eze integral </w:t>
      </w:r>
      <w:r w:rsidR="001B53FB" w:rsidRPr="00401691">
        <w:rPr>
          <w:rFonts w:asciiTheme="majorHAnsi" w:hAnsiTheme="majorHAnsi" w:cstheme="majorHAnsi"/>
          <w:sz w:val="24"/>
          <w:szCs w:val="24"/>
          <w:lang w:val="ro-MD" w:eastAsia="x-none"/>
        </w:rPr>
        <w:t>procesul de planificare a controalelor fiscale, cu posibilitatea utilizării tuturor riscurilor de conformare</w:t>
      </w:r>
      <w:r w:rsidR="005C6FF4">
        <w:rPr>
          <w:rFonts w:asciiTheme="majorHAnsi" w:hAnsiTheme="majorHAnsi" w:cstheme="majorHAnsi"/>
          <w:sz w:val="24"/>
          <w:szCs w:val="24"/>
          <w:lang w:val="ro-MD" w:eastAsia="x-none"/>
        </w:rPr>
        <w:t xml:space="preserve"> </w:t>
      </w:r>
      <w:r w:rsidR="00DC5851">
        <w:rPr>
          <w:rFonts w:asciiTheme="majorHAnsi" w:hAnsiTheme="majorHAnsi" w:cstheme="majorHAnsi"/>
          <w:sz w:val="24"/>
          <w:szCs w:val="24"/>
          <w:lang w:val="ro-MD"/>
        </w:rPr>
        <w:t>(</w:t>
      </w:r>
      <w:r w:rsidR="00DC5851" w:rsidRPr="0012263F">
        <w:rPr>
          <w:rFonts w:asciiTheme="majorHAnsi" w:eastAsia="Calibri" w:hAnsiTheme="majorHAnsi" w:cstheme="majorHAnsi"/>
          <w:bCs/>
          <w:sz w:val="24"/>
          <w:szCs w:val="24"/>
          <w:lang w:val="ro-MD"/>
        </w:rPr>
        <w:t>subcapitolul</w:t>
      </w:r>
      <w:r w:rsidR="00DC5851">
        <w:rPr>
          <w:rFonts w:asciiTheme="majorHAnsi" w:eastAsia="Calibri" w:hAnsiTheme="majorHAnsi" w:cstheme="majorHAnsi"/>
          <w:bCs/>
          <w:sz w:val="24"/>
          <w:szCs w:val="24"/>
          <w:lang w:val="ro-MD"/>
        </w:rPr>
        <w:t xml:space="preserve"> 4.1</w:t>
      </w:r>
      <w:r w:rsidR="00AF28AF">
        <w:rPr>
          <w:rFonts w:asciiTheme="majorHAnsi" w:eastAsia="Calibri" w:hAnsiTheme="majorHAnsi" w:cstheme="majorHAnsi"/>
          <w:bCs/>
          <w:sz w:val="24"/>
          <w:szCs w:val="24"/>
          <w:lang w:val="ro-MD"/>
        </w:rPr>
        <w:t>.</w:t>
      </w:r>
      <w:r w:rsidR="00DC5851">
        <w:rPr>
          <w:rFonts w:asciiTheme="majorHAnsi" w:eastAsia="Calibri" w:hAnsiTheme="majorHAnsi" w:cstheme="majorHAnsi"/>
          <w:bCs/>
          <w:sz w:val="24"/>
          <w:szCs w:val="24"/>
          <w:lang w:val="ro-MD"/>
        </w:rPr>
        <w:t>)</w:t>
      </w:r>
      <w:r w:rsidR="00DC5851">
        <w:rPr>
          <w:rFonts w:asciiTheme="majorHAnsi" w:hAnsiTheme="majorHAnsi" w:cstheme="majorHAnsi"/>
          <w:sz w:val="24"/>
          <w:szCs w:val="24"/>
          <w:lang w:val="ro-MD" w:eastAsia="x-none"/>
        </w:rPr>
        <w:t>.</w:t>
      </w:r>
    </w:p>
    <w:p w:rsidR="006D742B" w:rsidRDefault="001B53FB" w:rsidP="00D318F2">
      <w:pPr>
        <w:pStyle w:val="ListParagraph"/>
        <w:numPr>
          <w:ilvl w:val="0"/>
          <w:numId w:val="6"/>
        </w:numPr>
        <w:tabs>
          <w:tab w:val="left" w:pos="0"/>
          <w:tab w:val="left" w:pos="270"/>
          <w:tab w:val="left" w:pos="360"/>
        </w:tabs>
        <w:spacing w:after="0" w:line="276" w:lineRule="auto"/>
        <w:ind w:left="0" w:firstLine="0"/>
        <w:jc w:val="both"/>
        <w:rPr>
          <w:rFonts w:asciiTheme="majorHAnsi" w:hAnsiTheme="majorHAnsi" w:cstheme="majorHAnsi"/>
          <w:sz w:val="24"/>
          <w:szCs w:val="24"/>
          <w:lang w:val="ro-MD" w:eastAsia="x-none"/>
        </w:rPr>
      </w:pPr>
      <w:r w:rsidRPr="00401691">
        <w:rPr>
          <w:rFonts w:asciiTheme="majorHAnsi" w:hAnsiTheme="majorHAnsi" w:cstheme="majorHAnsi"/>
          <w:sz w:val="24"/>
          <w:szCs w:val="24"/>
          <w:lang w:val="ro-MD"/>
        </w:rPr>
        <w:t xml:space="preserve">Să întreprindă măsuri privind </w:t>
      </w:r>
      <w:r w:rsidR="006D742B" w:rsidRPr="00401691">
        <w:rPr>
          <w:rFonts w:asciiTheme="majorHAnsi" w:hAnsiTheme="majorHAnsi" w:cstheme="majorHAnsi"/>
          <w:sz w:val="24"/>
          <w:szCs w:val="24"/>
          <w:lang w:val="ro-MD"/>
        </w:rPr>
        <w:t>încheie</w:t>
      </w:r>
      <w:r w:rsidRPr="00401691">
        <w:rPr>
          <w:rFonts w:asciiTheme="majorHAnsi" w:hAnsiTheme="majorHAnsi" w:cstheme="majorHAnsi"/>
          <w:sz w:val="24"/>
          <w:szCs w:val="24"/>
          <w:lang w:val="ro-MD"/>
        </w:rPr>
        <w:t xml:space="preserve">rea </w:t>
      </w:r>
      <w:r w:rsidR="006D742B" w:rsidRPr="00401691">
        <w:rPr>
          <w:rFonts w:asciiTheme="majorHAnsi" w:hAnsiTheme="majorHAnsi" w:cstheme="majorHAnsi"/>
          <w:sz w:val="24"/>
          <w:szCs w:val="24"/>
          <w:lang w:val="ro-MD"/>
        </w:rPr>
        <w:t>Acorduri</w:t>
      </w:r>
      <w:r w:rsidRPr="00401691">
        <w:rPr>
          <w:rFonts w:asciiTheme="majorHAnsi" w:hAnsiTheme="majorHAnsi" w:cstheme="majorHAnsi"/>
          <w:sz w:val="24"/>
          <w:szCs w:val="24"/>
          <w:lang w:val="ro-MD"/>
        </w:rPr>
        <w:t>lor</w:t>
      </w:r>
      <w:r w:rsidR="006D742B" w:rsidRPr="00401691">
        <w:rPr>
          <w:rFonts w:asciiTheme="majorHAnsi" w:hAnsiTheme="majorHAnsi" w:cstheme="majorHAnsi"/>
          <w:sz w:val="24"/>
          <w:szCs w:val="24"/>
          <w:lang w:val="ro-MD"/>
        </w:rPr>
        <w:t xml:space="preserve"> bilaterale de cooperare și schimbul de date cu organele de drept</w:t>
      </w:r>
      <w:r w:rsidR="0041201E">
        <w:rPr>
          <w:rFonts w:asciiTheme="majorHAnsi" w:hAnsiTheme="majorHAnsi" w:cstheme="majorHAnsi"/>
          <w:sz w:val="24"/>
          <w:szCs w:val="24"/>
          <w:lang w:val="ro-MD"/>
        </w:rPr>
        <w:t xml:space="preserve">, urmare cărora va </w:t>
      </w:r>
      <w:r w:rsidRPr="00401691">
        <w:rPr>
          <w:rFonts w:asciiTheme="majorHAnsi" w:hAnsiTheme="majorHAnsi" w:cstheme="majorHAnsi"/>
          <w:sz w:val="24"/>
          <w:szCs w:val="24"/>
          <w:lang w:val="ro-MD"/>
        </w:rPr>
        <w:t>institui o procedură funcțională de monitorizare a materia</w:t>
      </w:r>
      <w:r w:rsidR="002E2FC6">
        <w:rPr>
          <w:rFonts w:asciiTheme="majorHAnsi" w:hAnsiTheme="majorHAnsi" w:cstheme="majorHAnsi"/>
          <w:sz w:val="24"/>
          <w:szCs w:val="24"/>
          <w:lang w:val="ro-MD"/>
        </w:rPr>
        <w:t>lilor remise organelor de drept</w:t>
      </w:r>
      <w:r w:rsidR="00DC5851">
        <w:rPr>
          <w:rFonts w:asciiTheme="majorHAnsi" w:hAnsiTheme="majorHAnsi" w:cstheme="majorHAnsi"/>
          <w:sz w:val="24"/>
          <w:szCs w:val="24"/>
          <w:lang w:val="ro-MD"/>
        </w:rPr>
        <w:t xml:space="preserve"> (</w:t>
      </w:r>
      <w:r w:rsidR="00DC5851" w:rsidRPr="0012263F">
        <w:rPr>
          <w:rFonts w:asciiTheme="majorHAnsi" w:eastAsia="Calibri" w:hAnsiTheme="majorHAnsi" w:cstheme="majorHAnsi"/>
          <w:bCs/>
          <w:sz w:val="24"/>
          <w:szCs w:val="24"/>
          <w:lang w:val="ro-MD"/>
        </w:rPr>
        <w:t>subcapitolul</w:t>
      </w:r>
      <w:r w:rsidR="00DC5851">
        <w:rPr>
          <w:rFonts w:asciiTheme="majorHAnsi" w:eastAsia="Calibri" w:hAnsiTheme="majorHAnsi" w:cstheme="majorHAnsi"/>
          <w:bCs/>
          <w:sz w:val="24"/>
          <w:szCs w:val="24"/>
          <w:lang w:val="ro-MD"/>
        </w:rPr>
        <w:t xml:space="preserve"> 4.</w:t>
      </w:r>
      <w:r w:rsidR="00FA21FB">
        <w:rPr>
          <w:rFonts w:asciiTheme="majorHAnsi" w:eastAsia="Calibri" w:hAnsiTheme="majorHAnsi" w:cstheme="majorHAnsi"/>
          <w:bCs/>
          <w:sz w:val="24"/>
          <w:szCs w:val="24"/>
          <w:lang w:val="ro-MD"/>
        </w:rPr>
        <w:t>2</w:t>
      </w:r>
      <w:r w:rsidR="00AF28AF">
        <w:rPr>
          <w:rFonts w:asciiTheme="majorHAnsi" w:eastAsia="Calibri" w:hAnsiTheme="majorHAnsi" w:cstheme="majorHAnsi"/>
          <w:bCs/>
          <w:sz w:val="24"/>
          <w:szCs w:val="24"/>
          <w:lang w:val="ro-MD"/>
        </w:rPr>
        <w:t>.</w:t>
      </w:r>
      <w:r w:rsidR="00DC5851">
        <w:rPr>
          <w:rFonts w:asciiTheme="majorHAnsi" w:eastAsia="Calibri" w:hAnsiTheme="majorHAnsi" w:cstheme="majorHAnsi"/>
          <w:bCs/>
          <w:sz w:val="24"/>
          <w:szCs w:val="24"/>
          <w:lang w:val="ro-MD"/>
        </w:rPr>
        <w:t>)</w:t>
      </w:r>
      <w:r w:rsidR="00CD2433">
        <w:rPr>
          <w:rFonts w:asciiTheme="majorHAnsi" w:hAnsiTheme="majorHAnsi" w:cstheme="majorHAnsi"/>
          <w:sz w:val="24"/>
          <w:szCs w:val="24"/>
          <w:lang w:val="ro-MD"/>
        </w:rPr>
        <w:t>.</w:t>
      </w:r>
    </w:p>
    <w:p w:rsidR="00844145" w:rsidRPr="0012263F" w:rsidRDefault="00844145" w:rsidP="00844145">
      <w:pPr>
        <w:spacing w:after="0" w:line="276" w:lineRule="auto"/>
        <w:ind w:left="567"/>
        <w:jc w:val="both"/>
        <w:rPr>
          <w:rFonts w:asciiTheme="majorHAnsi" w:eastAsia="Calibri" w:hAnsiTheme="majorHAnsi" w:cstheme="majorHAnsi"/>
          <w:sz w:val="24"/>
          <w:szCs w:val="24"/>
          <w:lang w:val="ro-MD"/>
        </w:rPr>
      </w:pPr>
    </w:p>
    <w:p w:rsidR="00844145" w:rsidRDefault="00844145" w:rsidP="00844145">
      <w:pPr>
        <w:spacing w:after="0" w:line="276" w:lineRule="auto"/>
        <w:ind w:firstLine="142"/>
        <w:rPr>
          <w:rFonts w:asciiTheme="majorHAnsi" w:eastAsia="Times New Roman" w:hAnsiTheme="majorHAnsi" w:cstheme="majorHAnsi"/>
          <w:color w:val="002060"/>
          <w:sz w:val="24"/>
          <w:szCs w:val="24"/>
          <w:lang w:val="ro-MD"/>
        </w:rPr>
      </w:pPr>
      <w:bookmarkStart w:id="26" w:name="_Toc531868187"/>
      <w:r w:rsidRPr="00844145">
        <w:rPr>
          <w:rFonts w:asciiTheme="majorHAnsi" w:eastAsia="Times New Roman" w:hAnsiTheme="majorHAnsi" w:cstheme="majorHAnsi"/>
          <w:b/>
          <w:color w:val="1F4E79" w:themeColor="accent1" w:themeShade="80"/>
          <w:sz w:val="24"/>
          <w:szCs w:val="24"/>
          <w:lang w:val="ro-MD" w:eastAsia="ro-RO"/>
        </w:rPr>
        <w:t>Semnăturile echipei de audit</w:t>
      </w:r>
      <w:r w:rsidRPr="00844145">
        <w:rPr>
          <w:rFonts w:asciiTheme="majorHAnsi" w:eastAsia="Times New Roman" w:hAnsiTheme="majorHAnsi" w:cstheme="majorHAnsi"/>
          <w:color w:val="002060"/>
          <w:sz w:val="24"/>
          <w:szCs w:val="24"/>
          <w:lang w:val="ro-MD"/>
        </w:rPr>
        <w:t>:</w:t>
      </w:r>
      <w:bookmarkEnd w:id="26"/>
    </w:p>
    <w:p w:rsidR="00844145" w:rsidRPr="00844145" w:rsidRDefault="00844145" w:rsidP="00844145">
      <w:pPr>
        <w:spacing w:after="0" w:line="276" w:lineRule="auto"/>
        <w:ind w:firstLine="142"/>
        <w:rPr>
          <w:rFonts w:asciiTheme="majorHAnsi" w:eastAsia="Times New Roman" w:hAnsiTheme="majorHAnsi" w:cstheme="majorHAnsi"/>
          <w:color w:val="002060"/>
          <w:sz w:val="24"/>
          <w:szCs w:val="24"/>
          <w:lang w:val="ro-MD"/>
        </w:rPr>
      </w:pPr>
    </w:p>
    <w:tbl>
      <w:tblPr>
        <w:tblW w:w="10166" w:type="dxa"/>
        <w:tblLook w:val="04A0" w:firstRow="1" w:lastRow="0" w:firstColumn="1" w:lastColumn="0" w:noHBand="0" w:noVBand="1"/>
      </w:tblPr>
      <w:tblGrid>
        <w:gridCol w:w="3505"/>
        <w:gridCol w:w="3107"/>
        <w:gridCol w:w="2473"/>
        <w:gridCol w:w="1081"/>
      </w:tblGrid>
      <w:tr w:rsidR="00844145" w:rsidRPr="00B146F9" w:rsidTr="00844145">
        <w:trPr>
          <w:trHeight w:val="1007"/>
        </w:trPr>
        <w:tc>
          <w:tcPr>
            <w:tcW w:w="3505" w:type="dxa"/>
            <w:shd w:val="clear" w:color="auto" w:fill="auto"/>
          </w:tcPr>
          <w:p w:rsidR="00844145" w:rsidRPr="00513859" w:rsidRDefault="00844145" w:rsidP="00844145">
            <w:pPr>
              <w:spacing w:after="0" w:line="276" w:lineRule="auto"/>
              <w:rPr>
                <w:rFonts w:asciiTheme="majorHAnsi" w:hAnsiTheme="majorHAnsi" w:cstheme="majorHAnsi"/>
                <w:b/>
                <w:i/>
                <w:sz w:val="24"/>
                <w:szCs w:val="24"/>
                <w:lang w:val="ro-MD"/>
              </w:rPr>
            </w:pPr>
            <w:r w:rsidRPr="00513859">
              <w:rPr>
                <w:rFonts w:asciiTheme="majorHAnsi" w:hAnsiTheme="majorHAnsi" w:cstheme="majorHAnsi"/>
                <w:b/>
                <w:i/>
                <w:sz w:val="24"/>
                <w:szCs w:val="24"/>
                <w:lang w:val="ro-MD"/>
              </w:rPr>
              <w:t>Șef</w:t>
            </w:r>
            <w:r>
              <w:rPr>
                <w:rFonts w:asciiTheme="majorHAnsi" w:hAnsiTheme="majorHAnsi" w:cstheme="majorHAnsi"/>
                <w:b/>
                <w:i/>
                <w:sz w:val="24"/>
                <w:szCs w:val="24"/>
                <w:lang w:val="ro-MD"/>
              </w:rPr>
              <w:t>u</w:t>
            </w:r>
            <w:r w:rsidRPr="00513859">
              <w:rPr>
                <w:rFonts w:asciiTheme="majorHAnsi" w:hAnsiTheme="majorHAnsi" w:cstheme="majorHAnsi"/>
                <w:b/>
                <w:i/>
                <w:sz w:val="24"/>
                <w:szCs w:val="24"/>
                <w:lang w:val="ro-MD"/>
              </w:rPr>
              <w:t>l echipei de audit</w:t>
            </w:r>
            <w:r>
              <w:rPr>
                <w:rFonts w:asciiTheme="majorHAnsi" w:hAnsiTheme="majorHAnsi" w:cstheme="majorHAnsi"/>
                <w:b/>
                <w:i/>
                <w:sz w:val="24"/>
                <w:szCs w:val="24"/>
                <w:lang w:val="ro-MD"/>
              </w:rPr>
              <w:t>,</w:t>
            </w:r>
          </w:p>
          <w:p w:rsidR="00844145" w:rsidRPr="00B146F9" w:rsidRDefault="00844145" w:rsidP="00844145">
            <w:pPr>
              <w:spacing w:after="0" w:line="276" w:lineRule="auto"/>
              <w:rPr>
                <w:rFonts w:asciiTheme="majorHAnsi" w:hAnsiTheme="majorHAnsi" w:cstheme="majorHAnsi"/>
                <w:sz w:val="24"/>
                <w:szCs w:val="24"/>
                <w:lang w:val="ro-MD"/>
              </w:rPr>
            </w:pPr>
            <w:r>
              <w:rPr>
                <w:rFonts w:asciiTheme="majorHAnsi" w:eastAsia="Times New Roman" w:hAnsiTheme="majorHAnsi" w:cs="Times New Roman"/>
                <w:sz w:val="24"/>
                <w:szCs w:val="24"/>
                <w:lang w:val="ro-RO" w:eastAsia="ro-MD"/>
              </w:rPr>
              <w:t>ș</w:t>
            </w:r>
            <w:r w:rsidRPr="005C17AA">
              <w:rPr>
                <w:rFonts w:asciiTheme="majorHAnsi" w:eastAsia="Times New Roman" w:hAnsiTheme="majorHAnsi" w:cs="Times New Roman"/>
                <w:sz w:val="24"/>
                <w:szCs w:val="24"/>
                <w:lang w:val="ro-RO" w:eastAsia="ro-MD"/>
              </w:rPr>
              <w:t>ef al Direc</w:t>
            </w:r>
            <w:r>
              <w:rPr>
                <w:rFonts w:asciiTheme="majorHAnsi" w:eastAsia="Times New Roman" w:hAnsiTheme="majorHAnsi" w:cs="Times New Roman"/>
                <w:sz w:val="24"/>
                <w:szCs w:val="24"/>
                <w:lang w:val="ro-RO" w:eastAsia="ro-MD"/>
              </w:rPr>
              <w:t>ț</w:t>
            </w:r>
            <w:r w:rsidRPr="005C17AA">
              <w:rPr>
                <w:rFonts w:asciiTheme="majorHAnsi" w:eastAsia="Times New Roman" w:hAnsiTheme="majorHAnsi" w:cs="Times New Roman"/>
                <w:sz w:val="24"/>
                <w:szCs w:val="24"/>
                <w:lang w:val="ro-RO" w:eastAsia="ro-MD"/>
              </w:rPr>
              <w:t>iei audit I</w:t>
            </w:r>
            <w:r>
              <w:rPr>
                <w:rFonts w:asciiTheme="majorHAnsi" w:eastAsia="Times New Roman" w:hAnsiTheme="majorHAnsi" w:cs="Times New Roman"/>
                <w:sz w:val="24"/>
                <w:szCs w:val="24"/>
                <w:lang w:val="ro-RO" w:eastAsia="ro-MD"/>
              </w:rPr>
              <w:t>I</w:t>
            </w:r>
            <w:r w:rsidRPr="005C17AA">
              <w:rPr>
                <w:rFonts w:asciiTheme="majorHAnsi" w:eastAsia="Times New Roman" w:hAnsiTheme="majorHAnsi" w:cs="Times New Roman"/>
                <w:sz w:val="24"/>
                <w:szCs w:val="24"/>
                <w:lang w:val="ro-RO" w:eastAsia="ro-MD"/>
              </w:rPr>
              <w:t xml:space="preserve"> din cadrul </w:t>
            </w:r>
            <w:r w:rsidRPr="00912CBB">
              <w:rPr>
                <w:rFonts w:asciiTheme="majorHAnsi" w:eastAsia="Times New Roman" w:hAnsiTheme="majorHAnsi" w:cs="Times New Roman"/>
                <w:sz w:val="24"/>
                <w:szCs w:val="24"/>
                <w:lang w:val="ro-RO" w:eastAsia="ro-MD"/>
              </w:rPr>
              <w:t xml:space="preserve">Direcției generale </w:t>
            </w:r>
            <w:r w:rsidRPr="006365EF">
              <w:rPr>
                <w:rFonts w:asciiTheme="majorHAnsi" w:eastAsia="Times New Roman" w:hAnsiTheme="majorHAnsi" w:cs="Times New Roman"/>
                <w:sz w:val="24"/>
                <w:szCs w:val="24"/>
                <w:lang w:val="ro-RO" w:eastAsia="ro-MD"/>
              </w:rPr>
              <w:t xml:space="preserve">de </w:t>
            </w:r>
            <w:r w:rsidRPr="00912CBB">
              <w:rPr>
                <w:rFonts w:asciiTheme="majorHAnsi" w:eastAsia="Times New Roman" w:hAnsiTheme="majorHAnsi" w:cs="Times New Roman"/>
                <w:sz w:val="24"/>
                <w:szCs w:val="24"/>
                <w:lang w:val="ro-RO" w:eastAsia="ro-MD"/>
              </w:rPr>
              <w:t xml:space="preserve">audit </w:t>
            </w:r>
            <w:r>
              <w:rPr>
                <w:rFonts w:asciiTheme="majorHAnsi" w:eastAsia="Times New Roman" w:hAnsiTheme="majorHAnsi" w:cs="Times New Roman"/>
                <w:sz w:val="24"/>
                <w:szCs w:val="24"/>
                <w:lang w:val="ro-RO" w:eastAsia="ro-MD"/>
              </w:rPr>
              <w:t>I</w:t>
            </w:r>
            <w:r w:rsidRPr="00B146F9">
              <w:rPr>
                <w:rFonts w:asciiTheme="majorHAnsi" w:hAnsiTheme="majorHAnsi" w:cstheme="majorHAnsi"/>
                <w:sz w:val="24"/>
                <w:szCs w:val="24"/>
                <w:lang w:val="ro-MD"/>
              </w:rPr>
              <w:t xml:space="preserve"> </w:t>
            </w:r>
          </w:p>
        </w:tc>
        <w:tc>
          <w:tcPr>
            <w:tcW w:w="3107" w:type="dxa"/>
          </w:tcPr>
          <w:p w:rsidR="00844145" w:rsidRPr="00B146F9" w:rsidRDefault="00844145" w:rsidP="00844145">
            <w:pPr>
              <w:spacing w:after="0" w:line="276" w:lineRule="auto"/>
              <w:jc w:val="right"/>
              <w:rPr>
                <w:rFonts w:asciiTheme="majorHAnsi" w:hAnsiTheme="majorHAnsi" w:cstheme="majorHAnsi"/>
                <w:b/>
                <w:sz w:val="24"/>
                <w:szCs w:val="24"/>
                <w:lang w:val="ro-MD"/>
              </w:rPr>
            </w:pPr>
          </w:p>
        </w:tc>
        <w:tc>
          <w:tcPr>
            <w:tcW w:w="2473" w:type="dxa"/>
            <w:shd w:val="clear" w:color="auto" w:fill="auto"/>
          </w:tcPr>
          <w:p w:rsidR="00844145" w:rsidRDefault="00844145" w:rsidP="00844145">
            <w:pPr>
              <w:spacing w:after="0" w:line="276" w:lineRule="auto"/>
              <w:jc w:val="right"/>
              <w:rPr>
                <w:rFonts w:asciiTheme="majorHAnsi" w:hAnsiTheme="majorHAnsi" w:cstheme="majorHAnsi"/>
                <w:b/>
                <w:sz w:val="24"/>
                <w:szCs w:val="24"/>
                <w:lang w:val="ro-MD"/>
              </w:rPr>
            </w:pPr>
            <w:r>
              <w:rPr>
                <w:rFonts w:asciiTheme="majorHAnsi" w:hAnsiTheme="majorHAnsi" w:cstheme="majorHAnsi"/>
                <w:b/>
                <w:sz w:val="24"/>
                <w:szCs w:val="24"/>
                <w:lang w:val="ro-MD"/>
              </w:rPr>
              <w:t>Angela Frunze</w:t>
            </w:r>
          </w:p>
          <w:p w:rsidR="00844145" w:rsidRDefault="00844145" w:rsidP="00844145">
            <w:pPr>
              <w:spacing w:after="0" w:line="276" w:lineRule="auto"/>
              <w:jc w:val="right"/>
              <w:rPr>
                <w:rFonts w:asciiTheme="majorHAnsi" w:hAnsiTheme="majorHAnsi" w:cstheme="majorHAnsi"/>
                <w:b/>
                <w:sz w:val="24"/>
                <w:szCs w:val="24"/>
                <w:lang w:val="ro-MD"/>
              </w:rPr>
            </w:pPr>
          </w:p>
          <w:p w:rsidR="00844145" w:rsidRPr="00B146F9" w:rsidRDefault="00844145" w:rsidP="00844145">
            <w:pPr>
              <w:spacing w:after="0" w:line="276" w:lineRule="auto"/>
              <w:jc w:val="right"/>
              <w:rPr>
                <w:rFonts w:asciiTheme="majorHAnsi" w:hAnsiTheme="majorHAnsi" w:cstheme="majorHAnsi"/>
                <w:b/>
                <w:sz w:val="24"/>
                <w:szCs w:val="24"/>
                <w:lang w:val="ro-MD"/>
              </w:rPr>
            </w:pPr>
          </w:p>
          <w:p w:rsidR="00844145" w:rsidRPr="00B146F9" w:rsidRDefault="00844145" w:rsidP="00844145">
            <w:pPr>
              <w:spacing w:after="0" w:line="276" w:lineRule="auto"/>
              <w:jc w:val="right"/>
              <w:rPr>
                <w:rFonts w:asciiTheme="majorHAnsi" w:hAnsiTheme="majorHAnsi" w:cstheme="majorHAnsi"/>
                <w:i/>
                <w:sz w:val="18"/>
                <w:szCs w:val="18"/>
                <w:lang w:val="ro-MD"/>
              </w:rPr>
            </w:pPr>
          </w:p>
        </w:tc>
        <w:tc>
          <w:tcPr>
            <w:tcW w:w="1081" w:type="dxa"/>
          </w:tcPr>
          <w:p w:rsidR="00844145" w:rsidRDefault="00844145" w:rsidP="00844145">
            <w:pPr>
              <w:spacing w:after="0" w:line="276" w:lineRule="auto"/>
              <w:jc w:val="right"/>
              <w:rPr>
                <w:rFonts w:asciiTheme="majorHAnsi" w:hAnsiTheme="majorHAnsi" w:cstheme="majorHAnsi"/>
                <w:b/>
                <w:sz w:val="24"/>
                <w:szCs w:val="24"/>
                <w:lang w:val="ro-MD"/>
              </w:rPr>
            </w:pPr>
          </w:p>
        </w:tc>
      </w:tr>
      <w:tr w:rsidR="00844145" w:rsidRPr="00B146F9" w:rsidTr="00844145">
        <w:trPr>
          <w:trHeight w:val="282"/>
        </w:trPr>
        <w:tc>
          <w:tcPr>
            <w:tcW w:w="3505" w:type="dxa"/>
            <w:shd w:val="clear" w:color="auto" w:fill="auto"/>
          </w:tcPr>
          <w:p w:rsidR="00844145" w:rsidRPr="00521CA7" w:rsidRDefault="00844145" w:rsidP="00844145">
            <w:pPr>
              <w:spacing w:after="0" w:line="276" w:lineRule="auto"/>
              <w:rPr>
                <w:rFonts w:asciiTheme="majorHAnsi" w:hAnsiTheme="majorHAnsi" w:cstheme="majorHAnsi"/>
                <w:b/>
                <w:i/>
                <w:sz w:val="24"/>
                <w:szCs w:val="24"/>
                <w:lang w:val="ro-MD"/>
              </w:rPr>
            </w:pPr>
            <w:r w:rsidRPr="00521CA7">
              <w:rPr>
                <w:rFonts w:asciiTheme="majorHAnsi" w:hAnsiTheme="majorHAnsi" w:cstheme="majorHAnsi"/>
                <w:b/>
                <w:i/>
                <w:sz w:val="24"/>
                <w:szCs w:val="24"/>
                <w:lang w:val="ro-MD"/>
              </w:rPr>
              <w:t>Membru al echipei</w:t>
            </w:r>
            <w:r>
              <w:rPr>
                <w:rFonts w:asciiTheme="majorHAnsi" w:hAnsiTheme="majorHAnsi" w:cstheme="majorHAnsi"/>
                <w:b/>
                <w:i/>
                <w:sz w:val="24"/>
                <w:szCs w:val="24"/>
                <w:lang w:val="ro-MD"/>
              </w:rPr>
              <w:t>,</w:t>
            </w:r>
          </w:p>
          <w:p w:rsidR="00844145" w:rsidRPr="00B146F9" w:rsidRDefault="00844145" w:rsidP="00844145">
            <w:pPr>
              <w:spacing w:after="0" w:line="276" w:lineRule="auto"/>
              <w:rPr>
                <w:rFonts w:asciiTheme="majorHAnsi" w:hAnsiTheme="majorHAnsi" w:cstheme="majorHAnsi"/>
                <w:sz w:val="24"/>
                <w:szCs w:val="24"/>
                <w:lang w:val="ro-MD"/>
              </w:rPr>
            </w:pPr>
            <w:r w:rsidRPr="00B146F9">
              <w:rPr>
                <w:rFonts w:asciiTheme="majorHAnsi" w:hAnsiTheme="majorHAnsi" w:cstheme="majorHAnsi"/>
                <w:sz w:val="24"/>
                <w:szCs w:val="24"/>
                <w:lang w:val="ro-MD"/>
              </w:rPr>
              <w:t xml:space="preserve">auditor public </w:t>
            </w:r>
            <w:r>
              <w:rPr>
                <w:rFonts w:asciiTheme="majorHAnsi" w:hAnsiTheme="majorHAnsi" w:cstheme="majorHAnsi"/>
                <w:sz w:val="24"/>
                <w:szCs w:val="24"/>
                <w:lang w:val="ro-MD"/>
              </w:rPr>
              <w:t>principal</w:t>
            </w:r>
          </w:p>
        </w:tc>
        <w:tc>
          <w:tcPr>
            <w:tcW w:w="3107" w:type="dxa"/>
          </w:tcPr>
          <w:p w:rsidR="00844145" w:rsidRPr="00B146F9" w:rsidRDefault="00844145" w:rsidP="00844145">
            <w:pPr>
              <w:spacing w:after="0" w:line="276" w:lineRule="auto"/>
              <w:jc w:val="right"/>
              <w:rPr>
                <w:rFonts w:asciiTheme="majorHAnsi" w:hAnsiTheme="majorHAnsi" w:cstheme="majorHAnsi"/>
                <w:b/>
                <w:sz w:val="24"/>
                <w:szCs w:val="24"/>
                <w:lang w:val="ro-MD"/>
              </w:rPr>
            </w:pPr>
          </w:p>
        </w:tc>
        <w:tc>
          <w:tcPr>
            <w:tcW w:w="2473" w:type="dxa"/>
            <w:shd w:val="clear" w:color="auto" w:fill="auto"/>
          </w:tcPr>
          <w:p w:rsidR="00844145" w:rsidRDefault="00844145" w:rsidP="00844145">
            <w:pPr>
              <w:spacing w:after="0" w:line="276" w:lineRule="auto"/>
              <w:jc w:val="right"/>
              <w:rPr>
                <w:rFonts w:asciiTheme="majorHAnsi" w:hAnsiTheme="majorHAnsi" w:cstheme="majorHAnsi"/>
                <w:b/>
                <w:sz w:val="24"/>
                <w:szCs w:val="24"/>
                <w:lang w:val="ro-MD"/>
              </w:rPr>
            </w:pPr>
            <w:r>
              <w:rPr>
                <w:rFonts w:asciiTheme="majorHAnsi" w:hAnsiTheme="majorHAnsi" w:cstheme="majorHAnsi"/>
                <w:b/>
                <w:sz w:val="24"/>
                <w:szCs w:val="24"/>
                <w:lang w:val="ro-MD"/>
              </w:rPr>
              <w:t>Alina Certan</w:t>
            </w:r>
          </w:p>
          <w:p w:rsidR="00844145" w:rsidRDefault="00844145" w:rsidP="00844145">
            <w:pPr>
              <w:spacing w:after="0" w:line="276" w:lineRule="auto"/>
              <w:jc w:val="right"/>
              <w:rPr>
                <w:rFonts w:asciiTheme="majorHAnsi" w:hAnsiTheme="majorHAnsi" w:cstheme="majorHAnsi"/>
                <w:b/>
                <w:sz w:val="24"/>
                <w:szCs w:val="24"/>
                <w:lang w:val="ro-MD"/>
              </w:rPr>
            </w:pPr>
          </w:p>
          <w:p w:rsidR="00844145" w:rsidRPr="00B146F9" w:rsidRDefault="00844145" w:rsidP="00844145">
            <w:pPr>
              <w:spacing w:after="0" w:line="276" w:lineRule="auto"/>
              <w:jc w:val="right"/>
              <w:rPr>
                <w:rFonts w:asciiTheme="majorHAnsi" w:hAnsiTheme="majorHAnsi" w:cstheme="majorHAnsi"/>
                <w:b/>
                <w:sz w:val="24"/>
                <w:szCs w:val="24"/>
                <w:lang w:val="ro-MD"/>
              </w:rPr>
            </w:pPr>
          </w:p>
        </w:tc>
        <w:tc>
          <w:tcPr>
            <w:tcW w:w="1081" w:type="dxa"/>
          </w:tcPr>
          <w:p w:rsidR="00844145" w:rsidRDefault="00844145" w:rsidP="00844145">
            <w:pPr>
              <w:spacing w:after="0" w:line="276" w:lineRule="auto"/>
              <w:jc w:val="right"/>
              <w:rPr>
                <w:rFonts w:asciiTheme="majorHAnsi" w:hAnsiTheme="majorHAnsi" w:cstheme="majorHAnsi"/>
                <w:b/>
                <w:sz w:val="24"/>
                <w:szCs w:val="24"/>
                <w:lang w:val="ro-MD"/>
              </w:rPr>
            </w:pPr>
          </w:p>
        </w:tc>
      </w:tr>
      <w:tr w:rsidR="00844145" w:rsidRPr="00B146F9" w:rsidTr="00844145">
        <w:trPr>
          <w:trHeight w:val="783"/>
        </w:trPr>
        <w:tc>
          <w:tcPr>
            <w:tcW w:w="3505" w:type="dxa"/>
            <w:shd w:val="clear" w:color="auto" w:fill="auto"/>
          </w:tcPr>
          <w:p w:rsidR="00844145" w:rsidRPr="00521CA7" w:rsidRDefault="00844145" w:rsidP="00844145">
            <w:pPr>
              <w:spacing w:after="0" w:line="276" w:lineRule="auto"/>
              <w:jc w:val="both"/>
              <w:rPr>
                <w:rFonts w:asciiTheme="majorHAnsi" w:hAnsiTheme="majorHAnsi" w:cstheme="majorHAnsi"/>
                <w:b/>
                <w:i/>
                <w:sz w:val="24"/>
                <w:szCs w:val="24"/>
                <w:lang w:val="ro-MD"/>
              </w:rPr>
            </w:pPr>
            <w:r w:rsidRPr="00521CA7">
              <w:rPr>
                <w:rFonts w:asciiTheme="majorHAnsi" w:hAnsiTheme="majorHAnsi" w:cstheme="majorHAnsi"/>
                <w:b/>
                <w:i/>
                <w:sz w:val="24"/>
                <w:szCs w:val="24"/>
                <w:lang w:val="ro-MD"/>
              </w:rPr>
              <w:t>Responsabil de audit</w:t>
            </w:r>
            <w:r>
              <w:rPr>
                <w:rFonts w:asciiTheme="majorHAnsi" w:hAnsiTheme="majorHAnsi" w:cstheme="majorHAnsi"/>
                <w:b/>
                <w:i/>
                <w:sz w:val="24"/>
                <w:szCs w:val="24"/>
                <w:lang w:val="ro-MD"/>
              </w:rPr>
              <w:t>,</w:t>
            </w:r>
            <w:r w:rsidRPr="00521CA7">
              <w:rPr>
                <w:rFonts w:asciiTheme="majorHAnsi" w:hAnsiTheme="majorHAnsi" w:cstheme="majorHAnsi"/>
                <w:b/>
                <w:i/>
                <w:sz w:val="24"/>
                <w:szCs w:val="24"/>
                <w:lang w:val="ro-MD"/>
              </w:rPr>
              <w:t xml:space="preserve"> </w:t>
            </w:r>
          </w:p>
          <w:p w:rsidR="00844145" w:rsidRPr="00B146F9" w:rsidRDefault="00844145" w:rsidP="00844145">
            <w:pPr>
              <w:spacing w:after="0" w:line="276" w:lineRule="auto"/>
              <w:rPr>
                <w:rFonts w:asciiTheme="majorHAnsi" w:hAnsiTheme="majorHAnsi" w:cstheme="majorHAnsi"/>
                <w:b/>
                <w:sz w:val="24"/>
                <w:szCs w:val="24"/>
                <w:lang w:val="ro-MD"/>
              </w:rPr>
            </w:pPr>
            <w:r w:rsidRPr="00521CA7">
              <w:rPr>
                <w:rFonts w:asciiTheme="majorHAnsi" w:hAnsiTheme="majorHAnsi" w:cstheme="majorHAnsi"/>
                <w:sz w:val="24"/>
                <w:szCs w:val="24"/>
                <w:lang w:val="ro-MD"/>
              </w:rPr>
              <w:t>șef al Direcției generale de audit</w:t>
            </w:r>
            <w:r>
              <w:rPr>
                <w:rFonts w:asciiTheme="majorHAnsi" w:hAnsiTheme="majorHAnsi" w:cstheme="majorHAnsi"/>
                <w:i/>
                <w:sz w:val="24"/>
                <w:szCs w:val="24"/>
                <w:lang w:val="ro-MD"/>
              </w:rPr>
              <w:t xml:space="preserve"> </w:t>
            </w:r>
            <w:r w:rsidRPr="00844145">
              <w:rPr>
                <w:rFonts w:asciiTheme="majorHAnsi" w:hAnsiTheme="majorHAnsi" w:cstheme="majorHAnsi"/>
                <w:sz w:val="24"/>
                <w:szCs w:val="24"/>
                <w:lang w:val="ro-MD"/>
              </w:rPr>
              <w:t>I</w:t>
            </w:r>
            <w:r w:rsidRPr="00B146F9">
              <w:rPr>
                <w:rFonts w:asciiTheme="majorHAnsi" w:hAnsiTheme="majorHAnsi" w:cstheme="majorHAnsi"/>
                <w:i/>
                <w:sz w:val="24"/>
                <w:szCs w:val="24"/>
                <w:lang w:val="ro-MD"/>
              </w:rPr>
              <w:t xml:space="preserve"> </w:t>
            </w:r>
          </w:p>
          <w:p w:rsidR="00844145" w:rsidRPr="00521CA7" w:rsidRDefault="00844145" w:rsidP="00844145">
            <w:pPr>
              <w:spacing w:after="0" w:line="276" w:lineRule="auto"/>
              <w:jc w:val="both"/>
              <w:rPr>
                <w:rFonts w:asciiTheme="majorHAnsi" w:hAnsiTheme="majorHAnsi" w:cstheme="majorHAnsi"/>
                <w:b/>
                <w:sz w:val="24"/>
                <w:szCs w:val="24"/>
                <w:lang w:val="ro-MD"/>
              </w:rPr>
            </w:pPr>
          </w:p>
        </w:tc>
        <w:tc>
          <w:tcPr>
            <w:tcW w:w="3107" w:type="dxa"/>
          </w:tcPr>
          <w:p w:rsidR="00844145" w:rsidRPr="00B146F9" w:rsidRDefault="00844145" w:rsidP="00844145">
            <w:pPr>
              <w:spacing w:after="0" w:line="276" w:lineRule="auto"/>
              <w:jc w:val="right"/>
              <w:rPr>
                <w:rFonts w:asciiTheme="majorHAnsi" w:hAnsiTheme="majorHAnsi" w:cstheme="majorHAnsi"/>
                <w:b/>
                <w:sz w:val="24"/>
                <w:szCs w:val="24"/>
                <w:lang w:val="ro-MD"/>
              </w:rPr>
            </w:pPr>
          </w:p>
        </w:tc>
        <w:tc>
          <w:tcPr>
            <w:tcW w:w="2473" w:type="dxa"/>
            <w:shd w:val="clear" w:color="auto" w:fill="auto"/>
          </w:tcPr>
          <w:p w:rsidR="00844145" w:rsidRPr="00B146F9" w:rsidRDefault="00844145" w:rsidP="00844145">
            <w:pPr>
              <w:spacing w:after="0" w:line="276" w:lineRule="auto"/>
              <w:jc w:val="right"/>
              <w:rPr>
                <w:rFonts w:asciiTheme="majorHAnsi" w:hAnsiTheme="majorHAnsi" w:cstheme="majorHAnsi"/>
                <w:b/>
                <w:sz w:val="24"/>
                <w:szCs w:val="24"/>
                <w:lang w:val="ro-MD"/>
              </w:rPr>
            </w:pPr>
            <w:r>
              <w:rPr>
                <w:rFonts w:asciiTheme="majorHAnsi" w:hAnsiTheme="majorHAnsi" w:cstheme="majorHAnsi"/>
                <w:b/>
                <w:sz w:val="24"/>
                <w:szCs w:val="24"/>
                <w:lang w:val="ro-MD"/>
              </w:rPr>
              <w:t>Natalia Trofim</w:t>
            </w:r>
          </w:p>
          <w:p w:rsidR="00844145" w:rsidRPr="00B146F9" w:rsidRDefault="00844145" w:rsidP="00844145">
            <w:pPr>
              <w:spacing w:after="0" w:line="276" w:lineRule="auto"/>
              <w:jc w:val="right"/>
              <w:rPr>
                <w:rFonts w:asciiTheme="majorHAnsi" w:hAnsiTheme="majorHAnsi" w:cstheme="majorHAnsi"/>
                <w:i/>
                <w:sz w:val="24"/>
                <w:szCs w:val="24"/>
                <w:lang w:val="ro-MD"/>
              </w:rPr>
            </w:pPr>
          </w:p>
        </w:tc>
        <w:tc>
          <w:tcPr>
            <w:tcW w:w="1081" w:type="dxa"/>
          </w:tcPr>
          <w:p w:rsidR="00844145" w:rsidRPr="00B146F9" w:rsidRDefault="00844145" w:rsidP="00844145">
            <w:pPr>
              <w:spacing w:after="0" w:line="276" w:lineRule="auto"/>
              <w:jc w:val="right"/>
              <w:rPr>
                <w:rFonts w:asciiTheme="majorHAnsi" w:hAnsiTheme="majorHAnsi" w:cstheme="majorHAnsi"/>
                <w:b/>
                <w:sz w:val="24"/>
                <w:szCs w:val="24"/>
                <w:lang w:val="ro-MD"/>
              </w:rPr>
            </w:pPr>
          </w:p>
        </w:tc>
      </w:tr>
    </w:tbl>
    <w:p w:rsidR="00BF62D3" w:rsidRPr="009A218F" w:rsidRDefault="00681EFA" w:rsidP="00844145">
      <w:pPr>
        <w:pStyle w:val="Heading1"/>
        <w:spacing w:line="276" w:lineRule="auto"/>
        <w:jc w:val="center"/>
        <w:rPr>
          <w:color w:val="1F4E79" w:themeColor="accent1" w:themeShade="80"/>
          <w:sz w:val="24"/>
          <w:szCs w:val="24"/>
          <w:lang w:val="ro-MD"/>
        </w:rPr>
      </w:pPr>
      <w:bookmarkStart w:id="27" w:name="_Toc48732738"/>
      <w:r w:rsidRPr="009A218F">
        <w:rPr>
          <w:color w:val="1F4E79" w:themeColor="accent1" w:themeShade="80"/>
          <w:sz w:val="24"/>
          <w:szCs w:val="24"/>
          <w:lang w:val="ro-MD"/>
        </w:rPr>
        <w:t>Anexe</w:t>
      </w:r>
      <w:bookmarkEnd w:id="27"/>
    </w:p>
    <w:p w:rsidR="00C55DF6" w:rsidRPr="00401691" w:rsidRDefault="00C55DF6" w:rsidP="00844145">
      <w:pPr>
        <w:spacing w:after="0" w:line="276" w:lineRule="auto"/>
        <w:jc w:val="right"/>
        <w:rPr>
          <w:rFonts w:asciiTheme="majorHAnsi" w:hAnsiTheme="majorHAnsi" w:cstheme="majorHAnsi"/>
          <w:i/>
          <w:sz w:val="24"/>
          <w:szCs w:val="24"/>
          <w:lang w:val="ro-MD"/>
        </w:rPr>
      </w:pPr>
      <w:r w:rsidRPr="00401691">
        <w:rPr>
          <w:rFonts w:asciiTheme="majorHAnsi" w:hAnsiTheme="majorHAnsi" w:cstheme="majorHAnsi"/>
          <w:i/>
          <w:sz w:val="24"/>
          <w:szCs w:val="24"/>
          <w:lang w:val="ro-MD"/>
        </w:rPr>
        <w:t xml:space="preserve">Anexa nr.1 </w:t>
      </w:r>
    </w:p>
    <w:p w:rsidR="00C55DF6" w:rsidRPr="00401691" w:rsidRDefault="00C55DF6" w:rsidP="00844145">
      <w:pPr>
        <w:tabs>
          <w:tab w:val="left" w:pos="720"/>
        </w:tabs>
        <w:spacing w:after="0" w:line="276" w:lineRule="auto"/>
        <w:ind w:firstLine="720"/>
        <w:jc w:val="center"/>
        <w:rPr>
          <w:rFonts w:asciiTheme="majorHAnsi" w:hAnsiTheme="majorHAnsi" w:cstheme="majorHAnsi"/>
          <w:b/>
          <w:sz w:val="28"/>
          <w:szCs w:val="24"/>
          <w:lang w:val="ro-MD"/>
        </w:rPr>
      </w:pPr>
      <w:r w:rsidRPr="00401691">
        <w:rPr>
          <w:rFonts w:asciiTheme="majorHAnsi" w:hAnsiTheme="majorHAnsi" w:cstheme="majorHAnsi"/>
          <w:b/>
          <w:sz w:val="28"/>
          <w:szCs w:val="24"/>
          <w:lang w:val="ro-MD"/>
        </w:rPr>
        <w:t>Sfera și abordarea auditului</w:t>
      </w:r>
    </w:p>
    <w:p w:rsidR="00C55DF6" w:rsidRPr="00D16206" w:rsidRDefault="00C55DF6" w:rsidP="00844145">
      <w:pPr>
        <w:spacing w:line="276" w:lineRule="auto"/>
        <w:jc w:val="both"/>
        <w:rPr>
          <w:rFonts w:asciiTheme="majorHAnsi" w:hAnsiTheme="majorHAnsi" w:cstheme="majorHAnsi"/>
          <w:sz w:val="24"/>
          <w:szCs w:val="24"/>
          <w:lang w:val="ro-MD"/>
        </w:rPr>
      </w:pPr>
      <w:r w:rsidRPr="00D16206">
        <w:rPr>
          <w:rFonts w:asciiTheme="majorHAnsi" w:hAnsiTheme="majorHAnsi" w:cstheme="majorHAnsi"/>
          <w:sz w:val="24"/>
          <w:szCs w:val="24"/>
          <w:lang w:val="ro-MD"/>
        </w:rPr>
        <w:t>Stabilirea componentelor semnificative de audit s-a efectuat prin utilizarea materialității calitative</w:t>
      </w:r>
      <w:r w:rsidRPr="00D16206">
        <w:rPr>
          <w:rStyle w:val="FootnoteReference"/>
          <w:rFonts w:asciiTheme="majorHAnsi" w:hAnsiTheme="majorHAnsi" w:cstheme="majorHAnsi"/>
          <w:sz w:val="24"/>
          <w:szCs w:val="24"/>
          <w:lang w:val="ro-MD"/>
        </w:rPr>
        <w:footnoteReference w:id="62"/>
      </w:r>
      <w:r w:rsidRPr="00D16206">
        <w:rPr>
          <w:rFonts w:asciiTheme="majorHAnsi" w:hAnsiTheme="majorHAnsi" w:cstheme="majorHAnsi"/>
          <w:sz w:val="24"/>
          <w:szCs w:val="24"/>
          <w:lang w:val="ro-MD"/>
        </w:rPr>
        <w:t>, fiind testate riscurile de neconformitate identificate în rezultatul aplicării raționamentul</w:t>
      </w:r>
      <w:r w:rsidR="006360DE">
        <w:rPr>
          <w:rFonts w:asciiTheme="majorHAnsi" w:hAnsiTheme="majorHAnsi" w:cstheme="majorHAnsi"/>
          <w:sz w:val="24"/>
          <w:szCs w:val="24"/>
          <w:lang w:val="ro-MD"/>
        </w:rPr>
        <w:t>ui</w:t>
      </w:r>
      <w:r w:rsidRPr="00D16206">
        <w:rPr>
          <w:rFonts w:asciiTheme="majorHAnsi" w:hAnsiTheme="majorHAnsi" w:cstheme="majorHAnsi"/>
          <w:sz w:val="24"/>
          <w:szCs w:val="24"/>
          <w:lang w:val="ro-MD"/>
        </w:rPr>
        <w:t xml:space="preserve"> profesional, ghidat de importanța domeniului administrat de SFS și aș</w:t>
      </w:r>
      <w:r w:rsidR="00D2516B">
        <w:rPr>
          <w:rFonts w:asciiTheme="majorHAnsi" w:hAnsiTheme="majorHAnsi" w:cstheme="majorHAnsi"/>
          <w:sz w:val="24"/>
          <w:szCs w:val="24"/>
          <w:lang w:val="ro-MD"/>
        </w:rPr>
        <w:t>teptările/interesul publicului</w:t>
      </w:r>
      <w:r w:rsidRPr="00D16206">
        <w:rPr>
          <w:rFonts w:asciiTheme="majorHAnsi" w:hAnsiTheme="majorHAnsi" w:cstheme="majorHAnsi"/>
          <w:sz w:val="24"/>
          <w:szCs w:val="24"/>
          <w:lang w:val="ro-MD"/>
        </w:rPr>
        <w:t xml:space="preserve"> față de acesta. </w:t>
      </w:r>
    </w:p>
    <w:p w:rsidR="00C55DF6" w:rsidRPr="00D16206" w:rsidRDefault="00C55DF6" w:rsidP="000449AC">
      <w:pPr>
        <w:pStyle w:val="FootnoteText"/>
        <w:tabs>
          <w:tab w:val="left" w:pos="270"/>
        </w:tabs>
        <w:spacing w:after="120" w:line="276" w:lineRule="auto"/>
        <w:jc w:val="both"/>
        <w:rPr>
          <w:rFonts w:cstheme="majorHAnsi"/>
          <w:b/>
          <w:color w:val="1F4E79" w:themeColor="accent1" w:themeShade="80"/>
          <w:sz w:val="24"/>
          <w:szCs w:val="24"/>
          <w:shd w:val="clear" w:color="auto" w:fill="FFFFFF"/>
          <w:lang w:val="ro-MD"/>
        </w:rPr>
      </w:pPr>
      <w:r w:rsidRPr="00D16206">
        <w:rPr>
          <w:rFonts w:cstheme="majorHAnsi"/>
          <w:b/>
          <w:color w:val="1F4E79" w:themeColor="accent1" w:themeShade="80"/>
          <w:sz w:val="24"/>
          <w:szCs w:val="24"/>
          <w:shd w:val="clear" w:color="auto" w:fill="FFFFFF"/>
          <w:lang w:val="ro-MD"/>
        </w:rPr>
        <w:t xml:space="preserve">Oferirea asigurării rezonabile de audit în alte misiuni cu domenii </w:t>
      </w:r>
      <w:proofErr w:type="spellStart"/>
      <w:r w:rsidRPr="00D16206">
        <w:rPr>
          <w:rFonts w:cstheme="majorHAnsi"/>
          <w:b/>
          <w:color w:val="1F4E79" w:themeColor="accent1" w:themeShade="80"/>
          <w:sz w:val="24"/>
          <w:szCs w:val="24"/>
          <w:shd w:val="clear" w:color="auto" w:fill="FFFFFF"/>
          <w:lang w:val="ro-MD"/>
        </w:rPr>
        <w:t>interconexe</w:t>
      </w:r>
      <w:proofErr w:type="spellEnd"/>
    </w:p>
    <w:p w:rsidR="000449AC" w:rsidRPr="00D16206" w:rsidRDefault="00C55DF6" w:rsidP="000449AC">
      <w:pPr>
        <w:pStyle w:val="FootnoteText"/>
        <w:tabs>
          <w:tab w:val="left" w:pos="270"/>
        </w:tabs>
        <w:spacing w:after="120" w:line="276" w:lineRule="auto"/>
        <w:jc w:val="both"/>
        <w:rPr>
          <w:rFonts w:asciiTheme="majorHAnsi" w:eastAsia="Times New Roman" w:hAnsiTheme="majorHAnsi" w:cstheme="majorHAnsi"/>
          <w:sz w:val="24"/>
          <w:lang w:val="ro-MD" w:eastAsia="ru-RU"/>
        </w:rPr>
      </w:pPr>
      <w:r w:rsidRPr="00D16206">
        <w:rPr>
          <w:rFonts w:asciiTheme="majorHAnsi" w:eastAsia="Times New Roman" w:hAnsiTheme="majorHAnsi" w:cstheme="majorHAnsi"/>
          <w:sz w:val="24"/>
          <w:lang w:val="ro-MD" w:eastAsia="ru-RU"/>
        </w:rPr>
        <w:t xml:space="preserve">Reieșind din sarcinile atribuite </w:t>
      </w:r>
      <w:r w:rsidR="006360DE" w:rsidRPr="00D16206">
        <w:rPr>
          <w:rFonts w:asciiTheme="majorHAnsi" w:eastAsia="Times New Roman" w:hAnsiTheme="majorHAnsi" w:cstheme="majorHAnsi"/>
          <w:sz w:val="24"/>
          <w:lang w:val="ro-MD" w:eastAsia="ru-RU"/>
        </w:rPr>
        <w:t xml:space="preserve">suplimentar </w:t>
      </w:r>
      <w:r w:rsidRPr="00D16206">
        <w:rPr>
          <w:rFonts w:asciiTheme="majorHAnsi" w:eastAsia="Times New Roman" w:hAnsiTheme="majorHAnsi" w:cstheme="majorHAnsi"/>
          <w:sz w:val="24"/>
          <w:lang w:val="ro-MD" w:eastAsia="ru-RU"/>
        </w:rPr>
        <w:t>echipei în cadrul unei alte misiuni de audit desfășurate paralel la Raportul Guvernului privind executarea bugetului de stat pe anul 2019, au fost colectate probe pe domeniile semnificative privind corectitudinea datelor raportate de SFS r</w:t>
      </w:r>
      <w:r w:rsidR="00D2516B">
        <w:rPr>
          <w:rFonts w:asciiTheme="majorHAnsi" w:eastAsia="Times New Roman" w:hAnsiTheme="majorHAnsi" w:cstheme="majorHAnsi"/>
          <w:sz w:val="24"/>
          <w:lang w:val="ro-MD" w:eastAsia="ru-RU"/>
        </w:rPr>
        <w:t xml:space="preserve">eferitor la </w:t>
      </w:r>
      <w:r w:rsidRPr="00D16206">
        <w:rPr>
          <w:rFonts w:asciiTheme="majorHAnsi" w:eastAsia="Times New Roman" w:hAnsiTheme="majorHAnsi" w:cstheme="majorHAnsi"/>
          <w:sz w:val="24"/>
          <w:lang w:val="ro-MD" w:eastAsia="ru-RU"/>
        </w:rPr>
        <w:t xml:space="preserve">veniturile </w:t>
      </w:r>
      <w:r w:rsidR="006360DE">
        <w:rPr>
          <w:rFonts w:asciiTheme="majorHAnsi" w:eastAsia="Times New Roman" w:hAnsiTheme="majorHAnsi" w:cstheme="majorHAnsi"/>
          <w:sz w:val="24"/>
          <w:lang w:val="ro-MD" w:eastAsia="ru-RU"/>
        </w:rPr>
        <w:t>î</w:t>
      </w:r>
      <w:r w:rsidRPr="00D16206">
        <w:rPr>
          <w:rFonts w:asciiTheme="majorHAnsi" w:eastAsia="Times New Roman" w:hAnsiTheme="majorHAnsi" w:cstheme="majorHAnsi"/>
          <w:sz w:val="24"/>
          <w:lang w:val="ro-MD" w:eastAsia="ru-RU"/>
        </w:rPr>
        <w:t>ncas</w:t>
      </w:r>
      <w:r w:rsidR="00D2516B">
        <w:rPr>
          <w:rFonts w:asciiTheme="majorHAnsi" w:eastAsia="Times New Roman" w:hAnsiTheme="majorHAnsi" w:cstheme="majorHAnsi"/>
          <w:sz w:val="24"/>
          <w:lang w:val="ro-MD" w:eastAsia="ru-RU"/>
        </w:rPr>
        <w:t xml:space="preserve">ate și restanțele înregistrate </w:t>
      </w:r>
      <w:r w:rsidRPr="00D16206">
        <w:rPr>
          <w:rFonts w:asciiTheme="majorHAnsi" w:eastAsia="Times New Roman" w:hAnsiTheme="majorHAnsi" w:cstheme="majorHAnsi"/>
          <w:sz w:val="24"/>
          <w:lang w:val="ro-MD" w:eastAsia="ru-RU"/>
        </w:rPr>
        <w:t xml:space="preserve">la bugetul de stat în anul 2019. </w:t>
      </w:r>
    </w:p>
    <w:p w:rsidR="000449AC" w:rsidRPr="00D16206" w:rsidRDefault="000449AC" w:rsidP="000449AC">
      <w:pPr>
        <w:pStyle w:val="FootnoteText"/>
        <w:tabs>
          <w:tab w:val="left" w:pos="270"/>
        </w:tabs>
        <w:spacing w:after="120" w:line="276" w:lineRule="auto"/>
        <w:jc w:val="both"/>
        <w:rPr>
          <w:rFonts w:asciiTheme="majorHAnsi" w:eastAsia="Times New Roman" w:hAnsiTheme="majorHAnsi" w:cstheme="majorHAnsi"/>
          <w:sz w:val="24"/>
          <w:szCs w:val="24"/>
          <w:lang w:val="ro-MD" w:eastAsia="ru-RU"/>
        </w:rPr>
      </w:pPr>
      <w:r w:rsidRPr="00D16206">
        <w:rPr>
          <w:rFonts w:cstheme="majorHAnsi"/>
          <w:b/>
          <w:color w:val="1F4E79" w:themeColor="accent1" w:themeShade="80"/>
          <w:sz w:val="24"/>
          <w:szCs w:val="24"/>
          <w:shd w:val="clear" w:color="auto" w:fill="FFFFFF"/>
          <w:lang w:val="ro-MD"/>
        </w:rPr>
        <w:t xml:space="preserve">Limitarea auditului privind verificarea impozitării indirecte a veniturilor </w:t>
      </w:r>
      <w:r w:rsidRPr="00D16206">
        <w:rPr>
          <w:rFonts w:cstheme="majorHAnsi"/>
          <w:b/>
          <w:color w:val="1F4E79" w:themeColor="accent1" w:themeShade="80"/>
          <w:sz w:val="24"/>
          <w:szCs w:val="24"/>
          <w:lang w:val="ro-MD"/>
        </w:rPr>
        <w:t xml:space="preserve">persoanelor fizice </w:t>
      </w:r>
    </w:p>
    <w:p w:rsidR="000449AC" w:rsidRDefault="000449AC" w:rsidP="000449AC">
      <w:pPr>
        <w:widowControl w:val="0"/>
        <w:tabs>
          <w:tab w:val="left" w:pos="720"/>
        </w:tabs>
        <w:autoSpaceDE w:val="0"/>
        <w:autoSpaceDN w:val="0"/>
        <w:adjustRightInd w:val="0"/>
        <w:spacing w:after="0" w:line="276" w:lineRule="auto"/>
        <w:jc w:val="both"/>
        <w:rPr>
          <w:rFonts w:asciiTheme="majorHAnsi" w:hAnsiTheme="majorHAnsi" w:cstheme="majorHAnsi"/>
          <w:color w:val="000000"/>
          <w:sz w:val="24"/>
          <w:szCs w:val="24"/>
          <w:lang w:val="ro-MD"/>
        </w:rPr>
      </w:pPr>
      <w:r w:rsidRPr="00D16206">
        <w:rPr>
          <w:rFonts w:asciiTheme="majorHAnsi" w:hAnsiTheme="majorHAnsi" w:cstheme="majorHAnsi"/>
          <w:color w:val="000000"/>
          <w:sz w:val="24"/>
          <w:szCs w:val="24"/>
          <w:lang w:val="ro-MD"/>
        </w:rPr>
        <w:t>Echipa de audit a fost limitată în auditarea domeniului privind estimarea indirectă a veniturilor impozabile a</w:t>
      </w:r>
      <w:r w:rsidR="00CF03FB">
        <w:rPr>
          <w:rFonts w:asciiTheme="majorHAnsi" w:hAnsiTheme="majorHAnsi" w:cstheme="majorHAnsi"/>
          <w:color w:val="000000"/>
          <w:sz w:val="24"/>
          <w:szCs w:val="24"/>
          <w:lang w:val="ro-MD"/>
        </w:rPr>
        <w:t>le</w:t>
      </w:r>
      <w:r w:rsidRPr="00D16206">
        <w:rPr>
          <w:rFonts w:asciiTheme="majorHAnsi" w:hAnsiTheme="majorHAnsi" w:cstheme="majorHAnsi"/>
          <w:color w:val="000000"/>
          <w:sz w:val="24"/>
          <w:szCs w:val="24"/>
          <w:lang w:val="ro-MD"/>
        </w:rPr>
        <w:t xml:space="preserve"> pe</w:t>
      </w:r>
      <w:r w:rsidR="00D2516B">
        <w:rPr>
          <w:rFonts w:asciiTheme="majorHAnsi" w:hAnsiTheme="majorHAnsi" w:cstheme="majorHAnsi"/>
          <w:color w:val="000000"/>
          <w:sz w:val="24"/>
          <w:szCs w:val="24"/>
          <w:lang w:val="ro-MD"/>
        </w:rPr>
        <w:t xml:space="preserve">rsoanelor fizice de către SFS, </w:t>
      </w:r>
      <w:r w:rsidRPr="00D16206">
        <w:rPr>
          <w:rFonts w:asciiTheme="majorHAnsi" w:hAnsiTheme="majorHAnsi" w:cstheme="majorHAnsi"/>
          <w:color w:val="000000"/>
          <w:sz w:val="24"/>
          <w:szCs w:val="24"/>
          <w:lang w:val="ro-MD"/>
        </w:rPr>
        <w:t xml:space="preserve">deși mecanismul de estimare a veniturilor prin metode și surse indirecte reprezintă un instrument de combatere a evaziunii </w:t>
      </w:r>
      <w:r w:rsidRPr="005C7A4B">
        <w:rPr>
          <w:rFonts w:asciiTheme="majorHAnsi" w:hAnsiTheme="majorHAnsi" w:cstheme="majorHAnsi"/>
          <w:color w:val="000000"/>
          <w:sz w:val="24"/>
          <w:szCs w:val="24"/>
          <w:lang w:val="ro-MD"/>
        </w:rPr>
        <w:t>fiscale</w:t>
      </w:r>
      <w:r w:rsidR="00170B35" w:rsidRPr="005C7A4B">
        <w:rPr>
          <w:rFonts w:asciiTheme="majorHAnsi" w:hAnsiTheme="majorHAnsi" w:cstheme="majorHAnsi"/>
          <w:color w:val="000000"/>
          <w:sz w:val="24"/>
          <w:szCs w:val="24"/>
          <w:lang w:val="ro-MD"/>
        </w:rPr>
        <w:t>. Acest domeniu,</w:t>
      </w:r>
      <w:r w:rsidR="00CF03FB" w:rsidRPr="005C7A4B">
        <w:rPr>
          <w:rFonts w:asciiTheme="majorHAnsi" w:hAnsiTheme="majorHAnsi" w:cstheme="majorHAnsi"/>
          <w:color w:val="000000"/>
          <w:sz w:val="24"/>
          <w:szCs w:val="24"/>
          <w:lang w:val="ro-MD"/>
        </w:rPr>
        <w:t xml:space="preserve"> </w:t>
      </w:r>
      <w:r w:rsidRPr="005C7A4B">
        <w:rPr>
          <w:rFonts w:asciiTheme="majorHAnsi" w:hAnsiTheme="majorHAnsi" w:cstheme="majorHAnsi"/>
          <w:color w:val="000000"/>
          <w:sz w:val="24"/>
          <w:szCs w:val="24"/>
          <w:lang w:val="ro-MD"/>
        </w:rPr>
        <w:t>fiind ide</w:t>
      </w:r>
      <w:r w:rsidRPr="00F5250B">
        <w:rPr>
          <w:rFonts w:asciiTheme="majorHAnsi" w:hAnsiTheme="majorHAnsi" w:cstheme="majorHAnsi"/>
          <w:color w:val="000000"/>
          <w:sz w:val="24"/>
          <w:szCs w:val="24"/>
          <w:lang w:val="ro-MD"/>
        </w:rPr>
        <w:t>ntificat</w:t>
      </w:r>
      <w:r w:rsidRPr="00D16206">
        <w:rPr>
          <w:rFonts w:asciiTheme="majorHAnsi" w:hAnsiTheme="majorHAnsi" w:cstheme="majorHAnsi"/>
          <w:color w:val="000000"/>
          <w:sz w:val="24"/>
          <w:szCs w:val="24"/>
          <w:lang w:val="ro-MD"/>
        </w:rPr>
        <w:t xml:space="preserve"> ca un subiect semnificativ și sensibil prin contextul și natura sa, expus la unele riscuri înalte de fraudă, </w:t>
      </w:r>
      <w:r w:rsidR="006E553C">
        <w:rPr>
          <w:rFonts w:asciiTheme="majorHAnsi" w:hAnsiTheme="majorHAnsi" w:cstheme="majorHAnsi"/>
          <w:color w:val="000000"/>
          <w:sz w:val="24"/>
          <w:szCs w:val="24"/>
          <w:lang w:val="ro-MD"/>
        </w:rPr>
        <w:t xml:space="preserve">a fost selectat de către </w:t>
      </w:r>
      <w:r w:rsidRPr="00D16206">
        <w:rPr>
          <w:rFonts w:asciiTheme="majorHAnsi" w:hAnsiTheme="majorHAnsi" w:cstheme="majorHAnsi"/>
          <w:color w:val="000000"/>
          <w:sz w:val="24"/>
          <w:szCs w:val="24"/>
          <w:lang w:val="ro-MD"/>
        </w:rPr>
        <w:t>echipa de audit pentru auditare</w:t>
      </w:r>
      <w:r w:rsidR="006E553C">
        <w:rPr>
          <w:rFonts w:asciiTheme="majorHAnsi" w:hAnsiTheme="majorHAnsi" w:cstheme="majorHAnsi"/>
          <w:color w:val="000000"/>
          <w:sz w:val="24"/>
          <w:szCs w:val="24"/>
          <w:lang w:val="ro-MD"/>
        </w:rPr>
        <w:t>, î</w:t>
      </w:r>
      <w:r w:rsidRPr="00D16206">
        <w:rPr>
          <w:rFonts w:asciiTheme="majorHAnsi" w:hAnsiTheme="majorHAnsi" w:cstheme="majorHAnsi"/>
          <w:color w:val="000000"/>
          <w:sz w:val="24"/>
          <w:szCs w:val="24"/>
          <w:lang w:val="ro-MD"/>
        </w:rPr>
        <w:t>nsă</w:t>
      </w:r>
      <w:r w:rsidR="006E553C">
        <w:rPr>
          <w:rFonts w:asciiTheme="majorHAnsi" w:hAnsiTheme="majorHAnsi" w:cstheme="majorHAnsi"/>
          <w:color w:val="000000"/>
          <w:sz w:val="24"/>
          <w:szCs w:val="24"/>
          <w:lang w:val="ro-MD"/>
        </w:rPr>
        <w:t xml:space="preserve"> </w:t>
      </w:r>
      <w:r w:rsidRPr="00D16206">
        <w:rPr>
          <w:rFonts w:asciiTheme="majorHAnsi" w:hAnsiTheme="majorHAnsi" w:cstheme="majorHAnsi"/>
          <w:color w:val="000000"/>
          <w:sz w:val="24"/>
          <w:szCs w:val="24"/>
          <w:lang w:val="ro-MD"/>
        </w:rPr>
        <w:t xml:space="preserve">SFS a refuzat să prezinte materialele </w:t>
      </w:r>
      <w:r w:rsidR="006E553C">
        <w:rPr>
          <w:rFonts w:asciiTheme="majorHAnsi" w:hAnsiTheme="majorHAnsi" w:cstheme="majorHAnsi"/>
          <w:color w:val="000000"/>
          <w:sz w:val="24"/>
          <w:szCs w:val="24"/>
          <w:lang w:val="ro-MD"/>
        </w:rPr>
        <w:t>în acest scop</w:t>
      </w:r>
      <w:r w:rsidRPr="00D16206">
        <w:rPr>
          <w:rFonts w:asciiTheme="majorHAnsi" w:hAnsiTheme="majorHAnsi" w:cstheme="majorHAnsi"/>
          <w:color w:val="000000"/>
          <w:sz w:val="24"/>
          <w:szCs w:val="24"/>
          <w:lang w:val="ro-MD"/>
        </w:rPr>
        <w:t>, făcând</w:t>
      </w:r>
      <w:r w:rsidR="006E553C">
        <w:rPr>
          <w:rFonts w:asciiTheme="majorHAnsi" w:hAnsiTheme="majorHAnsi" w:cstheme="majorHAnsi"/>
          <w:color w:val="000000"/>
          <w:sz w:val="24"/>
          <w:szCs w:val="24"/>
          <w:lang w:val="ro-MD"/>
        </w:rPr>
        <w:t xml:space="preserve"> </w:t>
      </w:r>
      <w:r w:rsidRPr="00D16206">
        <w:rPr>
          <w:rFonts w:asciiTheme="majorHAnsi" w:hAnsiTheme="majorHAnsi" w:cstheme="majorHAnsi"/>
          <w:color w:val="000000"/>
          <w:sz w:val="24"/>
          <w:szCs w:val="24"/>
          <w:lang w:val="ro-MD"/>
        </w:rPr>
        <w:t xml:space="preserve"> referință la art.226 </w:t>
      </w:r>
      <w:r w:rsidRPr="00D16206">
        <w:rPr>
          <w:rFonts w:asciiTheme="majorHAnsi" w:hAnsiTheme="majorHAnsi" w:cstheme="majorHAnsi"/>
          <w:color w:val="000000"/>
          <w:sz w:val="24"/>
          <w:szCs w:val="24"/>
          <w:vertAlign w:val="superscript"/>
          <w:lang w:val="ro-MD"/>
        </w:rPr>
        <w:t>16</w:t>
      </w:r>
      <w:r w:rsidR="00D2516B">
        <w:rPr>
          <w:rFonts w:asciiTheme="majorHAnsi" w:hAnsiTheme="majorHAnsi" w:cstheme="majorHAnsi"/>
          <w:color w:val="000000"/>
          <w:sz w:val="24"/>
          <w:szCs w:val="24"/>
          <w:lang w:val="ro-MD"/>
        </w:rPr>
        <w:t xml:space="preserve"> alin. (11) </w:t>
      </w:r>
      <w:r w:rsidRPr="00D16206">
        <w:rPr>
          <w:rFonts w:asciiTheme="majorHAnsi" w:hAnsiTheme="majorHAnsi" w:cstheme="majorHAnsi"/>
          <w:color w:val="000000"/>
          <w:sz w:val="24"/>
          <w:szCs w:val="24"/>
          <w:lang w:val="ro-MD"/>
        </w:rPr>
        <w:t xml:space="preserve">din Codul </w:t>
      </w:r>
      <w:r w:rsidR="006E553C">
        <w:rPr>
          <w:rFonts w:asciiTheme="majorHAnsi" w:hAnsiTheme="majorHAnsi" w:cstheme="majorHAnsi"/>
          <w:color w:val="000000"/>
          <w:sz w:val="24"/>
          <w:szCs w:val="24"/>
          <w:lang w:val="ro-MD"/>
        </w:rPr>
        <w:t>f</w:t>
      </w:r>
      <w:r w:rsidRPr="00D16206">
        <w:rPr>
          <w:rFonts w:asciiTheme="majorHAnsi" w:hAnsiTheme="majorHAnsi" w:cstheme="majorHAnsi"/>
          <w:color w:val="000000"/>
          <w:sz w:val="24"/>
          <w:szCs w:val="24"/>
          <w:lang w:val="ro-MD"/>
        </w:rPr>
        <w:t>iscal, care prevede că orice informație primită de SFS referitor la aspectul estimării indirecte a persoanelor fizice este tratată ca secret fiscal și, prin derogare de la art.131 alin.(5), este prezentată doar organelor de urmărire penală și instanțelor judecătorești</w:t>
      </w:r>
      <w:r w:rsidR="006E553C">
        <w:rPr>
          <w:rFonts w:asciiTheme="majorHAnsi" w:hAnsiTheme="majorHAnsi" w:cstheme="majorHAnsi"/>
          <w:color w:val="000000"/>
          <w:sz w:val="24"/>
          <w:szCs w:val="24"/>
          <w:lang w:val="ro-MD"/>
        </w:rPr>
        <w:t>,</w:t>
      </w:r>
      <w:r w:rsidRPr="00D16206">
        <w:rPr>
          <w:rFonts w:asciiTheme="majorHAnsi" w:hAnsiTheme="majorHAnsi" w:cstheme="majorHAnsi"/>
          <w:color w:val="000000"/>
          <w:sz w:val="24"/>
          <w:szCs w:val="24"/>
          <w:lang w:val="ro-MD"/>
        </w:rPr>
        <w:t xml:space="preserve"> în scopul examinării cazurilor de evaziune fiscală. În contextul expus</w:t>
      </w:r>
      <w:r w:rsidR="006E553C">
        <w:rPr>
          <w:rFonts w:asciiTheme="majorHAnsi" w:hAnsiTheme="majorHAnsi" w:cstheme="majorHAnsi"/>
          <w:color w:val="000000"/>
          <w:sz w:val="24"/>
          <w:szCs w:val="24"/>
          <w:lang w:val="ro-MD"/>
        </w:rPr>
        <w:t>,</w:t>
      </w:r>
      <w:r w:rsidRPr="00D16206">
        <w:rPr>
          <w:rFonts w:asciiTheme="majorHAnsi" w:hAnsiTheme="majorHAnsi" w:cstheme="majorHAnsi"/>
          <w:color w:val="000000"/>
          <w:sz w:val="24"/>
          <w:szCs w:val="24"/>
          <w:lang w:val="ro-MD"/>
        </w:rPr>
        <w:t xml:space="preserve"> se menționează limitarea ariei de auditare în </w:t>
      </w:r>
      <w:r w:rsidR="006E553C">
        <w:rPr>
          <w:rFonts w:asciiTheme="majorHAnsi" w:hAnsiTheme="majorHAnsi" w:cstheme="majorHAnsi"/>
          <w:color w:val="000000"/>
          <w:sz w:val="24"/>
          <w:szCs w:val="24"/>
          <w:lang w:val="ro-MD"/>
        </w:rPr>
        <w:t xml:space="preserve">ce privește </w:t>
      </w:r>
      <w:r w:rsidRPr="00D16206">
        <w:rPr>
          <w:rFonts w:asciiTheme="majorHAnsi" w:hAnsiTheme="majorHAnsi" w:cstheme="majorHAnsi"/>
          <w:color w:val="000000"/>
          <w:sz w:val="24"/>
          <w:szCs w:val="24"/>
          <w:lang w:val="ro-MD"/>
        </w:rPr>
        <w:t xml:space="preserve"> aplicarea de către SFS a instrumentelor de estimare indirectă a veniturilor impozabile a</w:t>
      </w:r>
      <w:r w:rsidR="006E553C">
        <w:rPr>
          <w:rFonts w:asciiTheme="majorHAnsi" w:hAnsiTheme="majorHAnsi" w:cstheme="majorHAnsi"/>
          <w:color w:val="000000"/>
          <w:sz w:val="24"/>
          <w:szCs w:val="24"/>
          <w:lang w:val="ro-MD"/>
        </w:rPr>
        <w:t>le</w:t>
      </w:r>
      <w:r w:rsidRPr="00D16206">
        <w:rPr>
          <w:rFonts w:asciiTheme="majorHAnsi" w:hAnsiTheme="majorHAnsi" w:cstheme="majorHAnsi"/>
          <w:color w:val="000000"/>
          <w:sz w:val="24"/>
          <w:szCs w:val="24"/>
          <w:lang w:val="ro-MD"/>
        </w:rPr>
        <w:t xml:space="preserve"> persoanelor</w:t>
      </w:r>
      <w:r w:rsidRPr="00CE1554">
        <w:rPr>
          <w:rFonts w:asciiTheme="majorHAnsi" w:hAnsiTheme="majorHAnsi" w:cstheme="majorHAnsi"/>
          <w:color w:val="000000"/>
          <w:sz w:val="24"/>
          <w:szCs w:val="24"/>
          <w:lang w:val="ro-MD"/>
        </w:rPr>
        <w:t xml:space="preserve"> fizice, cu toate că Legea privind organizarea și funcționarea Curții de Conturi </w:t>
      </w:r>
      <w:r w:rsidR="006E553C">
        <w:rPr>
          <w:rFonts w:asciiTheme="majorHAnsi" w:hAnsiTheme="majorHAnsi" w:cstheme="majorHAnsi"/>
          <w:color w:val="000000"/>
          <w:sz w:val="24"/>
          <w:szCs w:val="24"/>
          <w:lang w:val="ro-MD"/>
        </w:rPr>
        <w:t xml:space="preserve">a Republicii Moldova </w:t>
      </w:r>
      <w:r w:rsidRPr="00CE1554">
        <w:rPr>
          <w:rFonts w:asciiTheme="majorHAnsi" w:hAnsiTheme="majorHAnsi" w:cstheme="majorHAnsi"/>
          <w:color w:val="000000"/>
          <w:sz w:val="24"/>
          <w:szCs w:val="24"/>
          <w:lang w:val="ro-MD"/>
        </w:rPr>
        <w:t>statuează accesul auditului la orice tip de informații.</w:t>
      </w:r>
    </w:p>
    <w:p w:rsidR="00EC2E90" w:rsidRDefault="00EC2E90" w:rsidP="000449AC">
      <w:pPr>
        <w:widowControl w:val="0"/>
        <w:tabs>
          <w:tab w:val="left" w:pos="720"/>
        </w:tabs>
        <w:autoSpaceDE w:val="0"/>
        <w:autoSpaceDN w:val="0"/>
        <w:adjustRightInd w:val="0"/>
        <w:spacing w:after="0" w:line="276" w:lineRule="auto"/>
        <w:jc w:val="both"/>
        <w:rPr>
          <w:rFonts w:asciiTheme="majorHAnsi" w:hAnsiTheme="majorHAnsi" w:cstheme="majorHAnsi"/>
          <w:color w:val="000000"/>
          <w:sz w:val="24"/>
          <w:szCs w:val="24"/>
          <w:lang w:val="ro-MD"/>
        </w:rPr>
      </w:pPr>
    </w:p>
    <w:p w:rsidR="00EC2E90" w:rsidRDefault="00EC2E90" w:rsidP="000449AC">
      <w:pPr>
        <w:widowControl w:val="0"/>
        <w:tabs>
          <w:tab w:val="left" w:pos="720"/>
        </w:tabs>
        <w:autoSpaceDE w:val="0"/>
        <w:autoSpaceDN w:val="0"/>
        <w:adjustRightInd w:val="0"/>
        <w:spacing w:after="0" w:line="276" w:lineRule="auto"/>
        <w:jc w:val="both"/>
        <w:rPr>
          <w:rFonts w:asciiTheme="majorHAnsi" w:hAnsiTheme="majorHAnsi" w:cstheme="majorHAnsi"/>
          <w:color w:val="000000"/>
          <w:sz w:val="24"/>
          <w:szCs w:val="24"/>
          <w:lang w:val="ro-MD"/>
        </w:rPr>
      </w:pPr>
    </w:p>
    <w:p w:rsidR="00EC2E90" w:rsidRDefault="00EC2E90" w:rsidP="000449AC">
      <w:pPr>
        <w:widowControl w:val="0"/>
        <w:tabs>
          <w:tab w:val="left" w:pos="720"/>
        </w:tabs>
        <w:autoSpaceDE w:val="0"/>
        <w:autoSpaceDN w:val="0"/>
        <w:adjustRightInd w:val="0"/>
        <w:spacing w:after="0" w:line="276" w:lineRule="auto"/>
        <w:jc w:val="both"/>
        <w:rPr>
          <w:rFonts w:asciiTheme="majorHAnsi" w:hAnsiTheme="majorHAnsi" w:cstheme="majorHAnsi"/>
          <w:color w:val="000000"/>
          <w:sz w:val="24"/>
          <w:szCs w:val="24"/>
          <w:lang w:val="ro-MD"/>
        </w:rPr>
      </w:pPr>
    </w:p>
    <w:p w:rsidR="00EC2E90" w:rsidRDefault="00EC2E90" w:rsidP="000449AC">
      <w:pPr>
        <w:widowControl w:val="0"/>
        <w:tabs>
          <w:tab w:val="left" w:pos="720"/>
        </w:tabs>
        <w:autoSpaceDE w:val="0"/>
        <w:autoSpaceDN w:val="0"/>
        <w:adjustRightInd w:val="0"/>
        <w:spacing w:after="0" w:line="276" w:lineRule="auto"/>
        <w:jc w:val="both"/>
        <w:rPr>
          <w:rFonts w:asciiTheme="majorHAnsi" w:hAnsiTheme="majorHAnsi" w:cstheme="majorHAnsi"/>
          <w:color w:val="000000"/>
          <w:sz w:val="24"/>
          <w:szCs w:val="24"/>
          <w:lang w:val="ro-MD"/>
        </w:rPr>
      </w:pPr>
    </w:p>
    <w:p w:rsidR="00EC2E90" w:rsidRDefault="00EC2E90" w:rsidP="000449AC">
      <w:pPr>
        <w:widowControl w:val="0"/>
        <w:tabs>
          <w:tab w:val="left" w:pos="720"/>
        </w:tabs>
        <w:autoSpaceDE w:val="0"/>
        <w:autoSpaceDN w:val="0"/>
        <w:adjustRightInd w:val="0"/>
        <w:spacing w:after="0" w:line="276" w:lineRule="auto"/>
        <w:jc w:val="both"/>
        <w:rPr>
          <w:rFonts w:asciiTheme="majorHAnsi" w:hAnsiTheme="majorHAnsi" w:cstheme="majorHAnsi"/>
          <w:color w:val="000000"/>
          <w:sz w:val="24"/>
          <w:szCs w:val="24"/>
          <w:lang w:val="ro-MD"/>
        </w:rPr>
      </w:pPr>
    </w:p>
    <w:p w:rsidR="00EC2E90" w:rsidRDefault="00EC2E90" w:rsidP="000449AC">
      <w:pPr>
        <w:widowControl w:val="0"/>
        <w:tabs>
          <w:tab w:val="left" w:pos="720"/>
        </w:tabs>
        <w:autoSpaceDE w:val="0"/>
        <w:autoSpaceDN w:val="0"/>
        <w:adjustRightInd w:val="0"/>
        <w:spacing w:after="0" w:line="276" w:lineRule="auto"/>
        <w:jc w:val="both"/>
        <w:rPr>
          <w:rFonts w:asciiTheme="majorHAnsi" w:hAnsiTheme="majorHAnsi" w:cstheme="majorHAnsi"/>
          <w:color w:val="000000"/>
          <w:sz w:val="24"/>
          <w:szCs w:val="24"/>
          <w:lang w:val="ro-MD"/>
        </w:rPr>
      </w:pPr>
    </w:p>
    <w:p w:rsidR="00EC2E90" w:rsidRDefault="00EC2E90" w:rsidP="000449AC">
      <w:pPr>
        <w:widowControl w:val="0"/>
        <w:tabs>
          <w:tab w:val="left" w:pos="720"/>
        </w:tabs>
        <w:autoSpaceDE w:val="0"/>
        <w:autoSpaceDN w:val="0"/>
        <w:adjustRightInd w:val="0"/>
        <w:spacing w:after="0" w:line="276" w:lineRule="auto"/>
        <w:jc w:val="both"/>
        <w:rPr>
          <w:rFonts w:asciiTheme="majorHAnsi" w:hAnsiTheme="majorHAnsi" w:cstheme="majorHAnsi"/>
          <w:color w:val="000000"/>
          <w:sz w:val="24"/>
          <w:szCs w:val="24"/>
          <w:lang w:val="ro-MD"/>
        </w:rPr>
      </w:pPr>
    </w:p>
    <w:p w:rsidR="00EC2E90" w:rsidRDefault="00EC2E90" w:rsidP="000449AC">
      <w:pPr>
        <w:widowControl w:val="0"/>
        <w:tabs>
          <w:tab w:val="left" w:pos="720"/>
        </w:tabs>
        <w:autoSpaceDE w:val="0"/>
        <w:autoSpaceDN w:val="0"/>
        <w:adjustRightInd w:val="0"/>
        <w:spacing w:after="0" w:line="276" w:lineRule="auto"/>
        <w:jc w:val="both"/>
        <w:rPr>
          <w:rFonts w:asciiTheme="majorHAnsi" w:hAnsiTheme="majorHAnsi" w:cstheme="majorHAnsi"/>
          <w:color w:val="000000"/>
          <w:sz w:val="24"/>
          <w:szCs w:val="24"/>
          <w:lang w:val="ro-MD"/>
        </w:rPr>
      </w:pPr>
    </w:p>
    <w:p w:rsidR="00EC2E90" w:rsidRDefault="00EC2E90" w:rsidP="000449AC">
      <w:pPr>
        <w:widowControl w:val="0"/>
        <w:tabs>
          <w:tab w:val="left" w:pos="720"/>
        </w:tabs>
        <w:autoSpaceDE w:val="0"/>
        <w:autoSpaceDN w:val="0"/>
        <w:adjustRightInd w:val="0"/>
        <w:spacing w:after="0" w:line="276" w:lineRule="auto"/>
        <w:jc w:val="both"/>
        <w:rPr>
          <w:rFonts w:asciiTheme="majorHAnsi" w:hAnsiTheme="majorHAnsi" w:cstheme="majorHAnsi"/>
          <w:color w:val="000000"/>
          <w:sz w:val="24"/>
          <w:szCs w:val="24"/>
          <w:lang w:val="ro-MD"/>
        </w:rPr>
      </w:pPr>
    </w:p>
    <w:p w:rsidR="00EC2E90" w:rsidRDefault="00EC2E90" w:rsidP="000449AC">
      <w:pPr>
        <w:widowControl w:val="0"/>
        <w:tabs>
          <w:tab w:val="left" w:pos="720"/>
        </w:tabs>
        <w:autoSpaceDE w:val="0"/>
        <w:autoSpaceDN w:val="0"/>
        <w:adjustRightInd w:val="0"/>
        <w:spacing w:after="0" w:line="276" w:lineRule="auto"/>
        <w:jc w:val="both"/>
        <w:rPr>
          <w:rFonts w:asciiTheme="majorHAnsi" w:hAnsiTheme="majorHAnsi" w:cstheme="majorHAnsi"/>
          <w:color w:val="000000"/>
          <w:sz w:val="24"/>
          <w:szCs w:val="24"/>
          <w:lang w:val="ro-MD"/>
        </w:rPr>
      </w:pPr>
    </w:p>
    <w:p w:rsidR="00EC2E90" w:rsidRDefault="00EC2E90" w:rsidP="000449AC">
      <w:pPr>
        <w:widowControl w:val="0"/>
        <w:tabs>
          <w:tab w:val="left" w:pos="720"/>
        </w:tabs>
        <w:autoSpaceDE w:val="0"/>
        <w:autoSpaceDN w:val="0"/>
        <w:adjustRightInd w:val="0"/>
        <w:spacing w:after="0" w:line="276" w:lineRule="auto"/>
        <w:jc w:val="both"/>
        <w:rPr>
          <w:rFonts w:asciiTheme="majorHAnsi" w:hAnsiTheme="majorHAnsi" w:cstheme="majorHAnsi"/>
          <w:color w:val="000000"/>
          <w:sz w:val="24"/>
          <w:szCs w:val="24"/>
          <w:lang w:val="ro-MD"/>
        </w:rPr>
      </w:pPr>
    </w:p>
    <w:p w:rsidR="00EC2E90" w:rsidRDefault="00EC2E90" w:rsidP="000449AC">
      <w:pPr>
        <w:widowControl w:val="0"/>
        <w:tabs>
          <w:tab w:val="left" w:pos="720"/>
        </w:tabs>
        <w:autoSpaceDE w:val="0"/>
        <w:autoSpaceDN w:val="0"/>
        <w:adjustRightInd w:val="0"/>
        <w:spacing w:after="0" w:line="276" w:lineRule="auto"/>
        <w:jc w:val="both"/>
        <w:rPr>
          <w:rFonts w:asciiTheme="majorHAnsi" w:hAnsiTheme="majorHAnsi" w:cstheme="majorHAnsi"/>
          <w:color w:val="000000"/>
          <w:sz w:val="24"/>
          <w:szCs w:val="24"/>
          <w:lang w:val="ro-MD"/>
        </w:rPr>
      </w:pPr>
    </w:p>
    <w:p w:rsidR="00C55DF6" w:rsidRPr="00401691" w:rsidRDefault="00C55DF6" w:rsidP="00844145">
      <w:pPr>
        <w:spacing w:after="0" w:line="276" w:lineRule="auto"/>
        <w:jc w:val="center"/>
        <w:rPr>
          <w:rFonts w:asciiTheme="majorHAnsi" w:hAnsiTheme="majorHAnsi" w:cstheme="majorHAnsi"/>
          <w:color w:val="1F4E79" w:themeColor="accent1" w:themeShade="80"/>
          <w:sz w:val="26"/>
          <w:szCs w:val="26"/>
          <w:u w:val="single"/>
          <w:lang w:val="ro-MD"/>
        </w:rPr>
      </w:pPr>
      <w:r w:rsidRPr="00401691">
        <w:rPr>
          <w:rFonts w:asciiTheme="majorHAnsi" w:hAnsiTheme="majorHAnsi" w:cstheme="majorHAnsi"/>
          <w:color w:val="1F4E79" w:themeColor="accent1" w:themeShade="80"/>
          <w:sz w:val="26"/>
          <w:szCs w:val="26"/>
          <w:u w:val="single"/>
          <w:lang w:val="ro-MD"/>
        </w:rPr>
        <w:t>Procesele supuse verificării și criteriile aplicate</w:t>
      </w:r>
    </w:p>
    <w:p w:rsidR="00C55DF6" w:rsidRPr="002730CE" w:rsidRDefault="00B72F8C" w:rsidP="00844145">
      <w:pPr>
        <w:spacing w:after="0" w:line="276" w:lineRule="auto"/>
        <w:jc w:val="right"/>
        <w:rPr>
          <w:rFonts w:asciiTheme="majorHAnsi" w:hAnsiTheme="majorHAnsi" w:cstheme="majorHAnsi"/>
          <w:b/>
          <w:sz w:val="20"/>
          <w:szCs w:val="20"/>
          <w:lang w:val="ro-MD"/>
        </w:rPr>
      </w:pPr>
      <w:r w:rsidRPr="002730CE">
        <w:rPr>
          <w:rFonts w:asciiTheme="majorHAnsi" w:hAnsiTheme="majorHAnsi" w:cstheme="majorHAnsi"/>
          <w:b/>
          <w:sz w:val="20"/>
          <w:szCs w:val="20"/>
          <w:lang w:val="ro-MD"/>
        </w:rPr>
        <w:t>(</w:t>
      </w:r>
      <w:r w:rsidR="00C55DF6" w:rsidRPr="002730CE">
        <w:rPr>
          <w:rFonts w:asciiTheme="majorHAnsi" w:hAnsiTheme="majorHAnsi" w:cstheme="majorHAnsi"/>
          <w:b/>
          <w:sz w:val="20"/>
          <w:szCs w:val="20"/>
          <w:lang w:val="ro-MD"/>
        </w:rPr>
        <w:t>mil. lei</w:t>
      </w:r>
      <w:r w:rsidRPr="002730CE">
        <w:rPr>
          <w:rFonts w:asciiTheme="majorHAnsi" w:hAnsiTheme="majorHAnsi" w:cstheme="majorHAnsi"/>
          <w:b/>
          <w:sz w:val="20"/>
          <w:szCs w:val="20"/>
          <w:lang w:val="ro-MD"/>
        </w:rPr>
        <w:t>)</w:t>
      </w:r>
    </w:p>
    <w:tbl>
      <w:tblPr>
        <w:tblStyle w:val="PlainTable5"/>
        <w:tblW w:w="10265" w:type="dxa"/>
        <w:tblInd w:w="-180" w:type="dxa"/>
        <w:tblLook w:val="04A0" w:firstRow="1" w:lastRow="0" w:firstColumn="1" w:lastColumn="0" w:noHBand="0" w:noVBand="1"/>
      </w:tblPr>
      <w:tblGrid>
        <w:gridCol w:w="2430"/>
        <w:gridCol w:w="1080"/>
        <w:gridCol w:w="1350"/>
        <w:gridCol w:w="5405"/>
      </w:tblGrid>
      <w:tr w:rsidR="00A145EF" w:rsidRPr="00A75DCE" w:rsidTr="008E5D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30" w:type="dxa"/>
            <w:tcBorders>
              <w:top w:val="single" w:sz="4" w:space="0" w:color="auto"/>
              <w:left w:val="single" w:sz="4" w:space="0" w:color="auto"/>
            </w:tcBorders>
            <w:shd w:val="clear" w:color="auto" w:fill="BFBFBF" w:themeFill="background1" w:themeFillShade="BF"/>
            <w:vAlign w:val="center"/>
          </w:tcPr>
          <w:p w:rsidR="00A145EF" w:rsidRPr="00A75DCE" w:rsidRDefault="006E553C" w:rsidP="00A145EF">
            <w:pPr>
              <w:spacing w:line="276" w:lineRule="auto"/>
              <w:jc w:val="center"/>
              <w:rPr>
                <w:rFonts w:cstheme="majorHAnsi"/>
                <w:b/>
                <w:sz w:val="20"/>
                <w:szCs w:val="20"/>
                <w:lang w:val="ro-MD"/>
              </w:rPr>
            </w:pPr>
            <w:r>
              <w:rPr>
                <w:rFonts w:cstheme="majorHAnsi"/>
                <w:b/>
                <w:sz w:val="20"/>
                <w:szCs w:val="20"/>
                <w:lang w:val="ro-MD"/>
              </w:rPr>
              <w:t>P</w:t>
            </w:r>
            <w:r w:rsidR="00A145EF" w:rsidRPr="00A75DCE">
              <w:rPr>
                <w:rFonts w:cstheme="majorHAnsi"/>
                <w:b/>
                <w:sz w:val="20"/>
                <w:szCs w:val="20"/>
                <w:lang w:val="ro-MD"/>
              </w:rPr>
              <w:t>rocesele auditate</w:t>
            </w:r>
          </w:p>
        </w:tc>
        <w:tc>
          <w:tcPr>
            <w:tcW w:w="1080" w:type="dxa"/>
            <w:tcBorders>
              <w:top w:val="single" w:sz="4" w:space="0" w:color="auto"/>
            </w:tcBorders>
            <w:shd w:val="clear" w:color="auto" w:fill="BFBFBF" w:themeFill="background1" w:themeFillShade="BF"/>
            <w:vAlign w:val="center"/>
          </w:tcPr>
          <w:p w:rsidR="00A145EF" w:rsidRPr="00A75DCE" w:rsidRDefault="006E553C" w:rsidP="00A145EF">
            <w:pPr>
              <w:spacing w:line="276" w:lineRule="auto"/>
              <w:ind w:left="-109" w:firstLine="109"/>
              <w:jc w:val="center"/>
              <w:cnfStyle w:val="100000000000" w:firstRow="1" w:lastRow="0" w:firstColumn="0" w:lastColumn="0" w:oddVBand="0" w:evenVBand="0" w:oddHBand="0" w:evenHBand="0" w:firstRowFirstColumn="0" w:firstRowLastColumn="0" w:lastRowFirstColumn="0" w:lastRowLastColumn="0"/>
              <w:rPr>
                <w:rFonts w:cstheme="majorHAnsi"/>
                <w:b/>
                <w:sz w:val="20"/>
                <w:szCs w:val="20"/>
                <w:lang w:val="ro-MD"/>
              </w:rPr>
            </w:pPr>
            <w:r>
              <w:rPr>
                <w:rFonts w:cstheme="majorHAnsi"/>
                <w:b/>
                <w:sz w:val="20"/>
                <w:szCs w:val="20"/>
                <w:lang w:val="ro-MD"/>
              </w:rPr>
              <w:t>M</w:t>
            </w:r>
            <w:r w:rsidR="00A145EF" w:rsidRPr="00A75DCE">
              <w:rPr>
                <w:rFonts w:cstheme="majorHAnsi"/>
                <w:b/>
                <w:sz w:val="20"/>
                <w:szCs w:val="20"/>
                <w:lang w:val="ro-MD"/>
              </w:rPr>
              <w:t>ijloace</w:t>
            </w:r>
            <w:r>
              <w:rPr>
                <w:rFonts w:cstheme="majorHAnsi"/>
                <w:b/>
                <w:sz w:val="20"/>
                <w:szCs w:val="20"/>
                <w:lang w:val="ro-MD"/>
              </w:rPr>
              <w:t>le</w:t>
            </w:r>
            <w:r w:rsidR="00A145EF" w:rsidRPr="00A75DCE">
              <w:rPr>
                <w:rFonts w:cstheme="majorHAnsi"/>
                <w:b/>
                <w:sz w:val="20"/>
                <w:szCs w:val="20"/>
                <w:lang w:val="ro-MD"/>
              </w:rPr>
              <w:t xml:space="preserve"> gestionate </w:t>
            </w:r>
          </w:p>
        </w:tc>
        <w:tc>
          <w:tcPr>
            <w:tcW w:w="1350" w:type="dxa"/>
            <w:tcBorders>
              <w:top w:val="single" w:sz="4" w:space="0" w:color="auto"/>
            </w:tcBorders>
            <w:shd w:val="clear" w:color="auto" w:fill="BFBFBF" w:themeFill="background1" w:themeFillShade="BF"/>
            <w:vAlign w:val="center"/>
          </w:tcPr>
          <w:p w:rsidR="00A145EF" w:rsidRPr="00A75DCE" w:rsidRDefault="006E553C" w:rsidP="00A145EF">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ajorHAnsi"/>
                <w:b/>
                <w:sz w:val="20"/>
                <w:szCs w:val="20"/>
                <w:lang w:val="ro-MD"/>
              </w:rPr>
            </w:pPr>
            <w:r>
              <w:rPr>
                <w:rFonts w:cstheme="majorHAnsi"/>
                <w:b/>
                <w:sz w:val="20"/>
                <w:szCs w:val="20"/>
                <w:lang w:val="ro-MD"/>
              </w:rPr>
              <w:t>E</w:t>
            </w:r>
            <w:r w:rsidR="00A145EF" w:rsidRPr="00A75DCE">
              <w:rPr>
                <w:rFonts w:cstheme="majorHAnsi"/>
                <w:b/>
                <w:sz w:val="20"/>
                <w:szCs w:val="20"/>
                <w:lang w:val="ro-MD"/>
              </w:rPr>
              <w:t xml:space="preserve">șantionul supus testării  </w:t>
            </w:r>
          </w:p>
        </w:tc>
        <w:tc>
          <w:tcPr>
            <w:tcW w:w="5405" w:type="dxa"/>
            <w:tcBorders>
              <w:top w:val="single" w:sz="4" w:space="0" w:color="auto"/>
              <w:right w:val="single" w:sz="4" w:space="0" w:color="auto"/>
            </w:tcBorders>
            <w:shd w:val="clear" w:color="auto" w:fill="BFBFBF" w:themeFill="background1" w:themeFillShade="BF"/>
            <w:vAlign w:val="center"/>
          </w:tcPr>
          <w:p w:rsidR="00A145EF" w:rsidRPr="00401691" w:rsidRDefault="006E553C" w:rsidP="00A145EF">
            <w:pPr>
              <w:jc w:val="center"/>
              <w:cnfStyle w:val="100000000000" w:firstRow="1" w:lastRow="0" w:firstColumn="0" w:lastColumn="0" w:oddVBand="0" w:evenVBand="0" w:oddHBand="0" w:evenHBand="0" w:firstRowFirstColumn="0" w:firstRowLastColumn="0" w:lastRowFirstColumn="0" w:lastRowLastColumn="0"/>
              <w:rPr>
                <w:rFonts w:cstheme="majorHAnsi"/>
                <w:b/>
                <w:sz w:val="20"/>
                <w:szCs w:val="20"/>
                <w:lang w:val="ro-MD"/>
              </w:rPr>
            </w:pPr>
            <w:r>
              <w:rPr>
                <w:rFonts w:cstheme="majorHAnsi"/>
                <w:b/>
                <w:sz w:val="20"/>
                <w:szCs w:val="20"/>
                <w:lang w:val="ro-MD"/>
              </w:rPr>
              <w:t>Li</w:t>
            </w:r>
            <w:r w:rsidR="00A145EF">
              <w:rPr>
                <w:rFonts w:cstheme="majorHAnsi"/>
                <w:b/>
                <w:sz w:val="20"/>
                <w:szCs w:val="20"/>
                <w:lang w:val="ro-MD"/>
              </w:rPr>
              <w:t xml:space="preserve">sta actelor normative care au servit </w:t>
            </w:r>
            <w:r>
              <w:rPr>
                <w:rFonts w:cstheme="majorHAnsi"/>
                <w:b/>
                <w:sz w:val="20"/>
                <w:szCs w:val="20"/>
                <w:lang w:val="ro-MD"/>
              </w:rPr>
              <w:t xml:space="preserve">drept </w:t>
            </w:r>
            <w:r w:rsidR="00A145EF">
              <w:rPr>
                <w:rFonts w:cstheme="majorHAnsi"/>
                <w:b/>
                <w:sz w:val="20"/>
                <w:szCs w:val="20"/>
                <w:lang w:val="ro-MD"/>
              </w:rPr>
              <w:t>surse de criterii</w:t>
            </w:r>
          </w:p>
        </w:tc>
      </w:tr>
      <w:tr w:rsidR="004A41A9" w:rsidRPr="00A75DCE" w:rsidTr="00EC2E90">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0265" w:type="dxa"/>
            <w:gridSpan w:val="4"/>
            <w:tcBorders>
              <w:left w:val="single" w:sz="4" w:space="0" w:color="auto"/>
              <w:right w:val="single" w:sz="4" w:space="0" w:color="auto"/>
            </w:tcBorders>
            <w:shd w:val="clear" w:color="auto" w:fill="DEEAF6" w:themeFill="accent1" w:themeFillTint="33"/>
            <w:vAlign w:val="center"/>
          </w:tcPr>
          <w:p w:rsidR="004A41A9" w:rsidRPr="00EC2E90" w:rsidRDefault="00F43AEA" w:rsidP="00381A16">
            <w:pPr>
              <w:jc w:val="both"/>
              <w:rPr>
                <w:rFonts w:cstheme="majorHAnsi"/>
                <w:i w:val="0"/>
                <w:sz w:val="16"/>
                <w:szCs w:val="16"/>
                <w:lang w:val="ro-MD"/>
              </w:rPr>
            </w:pPr>
            <w:r w:rsidRPr="00EC2E90">
              <w:rPr>
                <w:rFonts w:cstheme="majorHAnsi"/>
                <w:i w:val="0"/>
                <w:sz w:val="16"/>
                <w:szCs w:val="16"/>
                <w:lang w:val="ro-MD"/>
              </w:rPr>
              <w:t>(1)</w:t>
            </w:r>
            <w:r w:rsidRPr="00EC2E90">
              <w:rPr>
                <w:rFonts w:cstheme="majorHAnsi"/>
                <w:sz w:val="16"/>
                <w:szCs w:val="16"/>
                <w:lang w:val="ro-MD"/>
              </w:rPr>
              <w:t xml:space="preserve"> </w:t>
            </w:r>
            <w:r w:rsidRPr="00EC2E90">
              <w:rPr>
                <w:rFonts w:cstheme="majorHAnsi"/>
                <w:i w:val="0"/>
                <w:sz w:val="16"/>
                <w:szCs w:val="16"/>
                <w:lang w:val="ro-MD"/>
              </w:rPr>
              <w:t>Estimarea sarcinii de colectare și raportare a veniturilor încasate la bugetul de stat s-a realizat potrivit normelor procedurale/metodologice aplicabile?</w:t>
            </w:r>
          </w:p>
        </w:tc>
      </w:tr>
      <w:tr w:rsidR="00C55DF6" w:rsidRPr="00A75DCE" w:rsidTr="008E5D14">
        <w:tc>
          <w:tcPr>
            <w:cnfStyle w:val="001000000000" w:firstRow="0" w:lastRow="0" w:firstColumn="1" w:lastColumn="0" w:oddVBand="0" w:evenVBand="0" w:oddHBand="0" w:evenHBand="0" w:firstRowFirstColumn="0" w:firstRowLastColumn="0" w:lastRowFirstColumn="0" w:lastRowLastColumn="0"/>
            <w:tcW w:w="2430" w:type="dxa"/>
            <w:tcBorders>
              <w:left w:val="single" w:sz="4" w:space="0" w:color="auto"/>
            </w:tcBorders>
          </w:tcPr>
          <w:p w:rsidR="00C55DF6" w:rsidRPr="00A75DCE" w:rsidRDefault="00C55DF6" w:rsidP="00AD2B4A">
            <w:pPr>
              <w:jc w:val="both"/>
              <w:rPr>
                <w:rFonts w:cstheme="majorHAnsi"/>
                <w:sz w:val="20"/>
                <w:szCs w:val="20"/>
                <w:lang w:val="ro-MD"/>
              </w:rPr>
            </w:pPr>
          </w:p>
          <w:p w:rsidR="00C55DF6" w:rsidRPr="00A75DCE" w:rsidRDefault="00C55DF6" w:rsidP="00AD2B4A">
            <w:pPr>
              <w:jc w:val="both"/>
              <w:rPr>
                <w:rFonts w:cstheme="majorHAnsi"/>
                <w:sz w:val="20"/>
                <w:szCs w:val="20"/>
                <w:lang w:val="ro-MD"/>
              </w:rPr>
            </w:pPr>
            <w:r w:rsidRPr="00A75DCE">
              <w:rPr>
                <w:rFonts w:cstheme="majorHAnsi"/>
                <w:sz w:val="20"/>
                <w:szCs w:val="20"/>
                <w:lang w:val="ro-MD"/>
              </w:rPr>
              <w:t>Plăți la care SFS, în anul 2019, a fost desemnat în calitate de administrator de venituri</w:t>
            </w:r>
          </w:p>
        </w:tc>
        <w:tc>
          <w:tcPr>
            <w:tcW w:w="1080" w:type="dxa"/>
          </w:tcPr>
          <w:p w:rsidR="00C55DF6" w:rsidRPr="00A75DCE" w:rsidRDefault="00C55DF6" w:rsidP="00AD2B4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p>
          <w:p w:rsidR="00C55DF6" w:rsidRPr="00A75DCE" w:rsidRDefault="00C55DF6" w:rsidP="00AD2B4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A75DCE">
              <w:rPr>
                <w:rFonts w:asciiTheme="majorHAnsi" w:hAnsiTheme="majorHAnsi" w:cstheme="majorHAnsi"/>
                <w:sz w:val="20"/>
                <w:szCs w:val="20"/>
                <w:lang w:val="ro-MD"/>
              </w:rPr>
              <w:t xml:space="preserve">302,8 </w:t>
            </w:r>
          </w:p>
          <w:p w:rsidR="00C55DF6" w:rsidRPr="00A75DCE" w:rsidRDefault="00C55DF6" w:rsidP="00AD2B4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p>
        </w:tc>
        <w:tc>
          <w:tcPr>
            <w:tcW w:w="1350" w:type="dxa"/>
          </w:tcPr>
          <w:p w:rsidR="00C55DF6" w:rsidRPr="00A75DCE" w:rsidRDefault="00C55DF6" w:rsidP="00AD2B4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p>
          <w:p w:rsidR="00C55DF6" w:rsidRPr="00A75DCE" w:rsidRDefault="00C55DF6" w:rsidP="00AD2B4A">
            <w:pPr>
              <w:pStyle w:val="ListParagraph"/>
              <w:numPr>
                <w:ilvl w:val="0"/>
                <w:numId w:val="22"/>
              </w:numPr>
              <w:ind w:left="606" w:hanging="2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A75DCE">
              <w:rPr>
                <w:rFonts w:asciiTheme="majorHAnsi" w:hAnsiTheme="majorHAnsi" w:cstheme="majorHAnsi"/>
                <w:sz w:val="20"/>
                <w:szCs w:val="20"/>
                <w:lang w:val="ro-MD"/>
              </w:rPr>
              <w:t>%</w:t>
            </w:r>
          </w:p>
          <w:p w:rsidR="00C55DF6" w:rsidRPr="00A75DCE" w:rsidRDefault="00C55DF6" w:rsidP="00AD2B4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A75DCE">
              <w:rPr>
                <w:rFonts w:asciiTheme="majorHAnsi" w:hAnsiTheme="majorHAnsi" w:cstheme="majorHAnsi"/>
                <w:sz w:val="20"/>
                <w:szCs w:val="20"/>
                <w:lang w:val="ro-MD"/>
              </w:rPr>
              <w:t>126,4 mil. lei</w:t>
            </w:r>
          </w:p>
        </w:tc>
        <w:tc>
          <w:tcPr>
            <w:tcW w:w="5405" w:type="dxa"/>
            <w:tcBorders>
              <w:right w:val="single" w:sz="4" w:space="0" w:color="auto"/>
            </w:tcBorders>
          </w:tcPr>
          <w:p w:rsidR="00C55DF6" w:rsidRPr="00EC2E90" w:rsidRDefault="00C55DF6" w:rsidP="00AD2B4A">
            <w:pPr>
              <w:pStyle w:val="ListParagraph"/>
              <w:numPr>
                <w:ilvl w:val="0"/>
                <w:numId w:val="21"/>
              </w:numPr>
              <w:tabs>
                <w:tab w:val="left" w:pos="174"/>
              </w:tabs>
              <w:ind w:left="72" w:hanging="72"/>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ro-MD"/>
              </w:rPr>
            </w:pPr>
            <w:r w:rsidRPr="00EC2E90">
              <w:rPr>
                <w:rFonts w:asciiTheme="majorHAnsi" w:hAnsiTheme="majorHAnsi" w:cstheme="majorHAnsi"/>
                <w:sz w:val="16"/>
                <w:szCs w:val="16"/>
                <w:lang w:val="ro-MD"/>
              </w:rPr>
              <w:t>TITLUL V</w:t>
            </w:r>
            <w:r w:rsidR="009576F2">
              <w:rPr>
                <w:rFonts w:asciiTheme="majorHAnsi" w:hAnsiTheme="majorHAnsi" w:cstheme="majorHAnsi"/>
                <w:sz w:val="16"/>
                <w:szCs w:val="16"/>
                <w:lang w:val="ro-MD"/>
              </w:rPr>
              <w:t>.</w:t>
            </w:r>
            <w:r w:rsidRPr="00EC2E90">
              <w:rPr>
                <w:rFonts w:asciiTheme="majorHAnsi" w:hAnsiTheme="majorHAnsi" w:cstheme="majorHAnsi"/>
                <w:sz w:val="16"/>
                <w:szCs w:val="16"/>
                <w:lang w:val="ro-MD"/>
              </w:rPr>
              <w:t xml:space="preserve"> Administrarea fiscală din CF;</w:t>
            </w:r>
          </w:p>
          <w:p w:rsidR="00C55DF6" w:rsidRPr="00EC2E90" w:rsidRDefault="0002757C" w:rsidP="00AD2B4A">
            <w:pPr>
              <w:pStyle w:val="ListParagraph"/>
              <w:numPr>
                <w:ilvl w:val="0"/>
                <w:numId w:val="21"/>
              </w:numPr>
              <w:tabs>
                <w:tab w:val="left" w:pos="174"/>
              </w:tabs>
              <w:ind w:left="72" w:hanging="72"/>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ro-MD"/>
              </w:rPr>
            </w:pPr>
            <w:r>
              <w:rPr>
                <w:rFonts w:asciiTheme="majorHAnsi" w:hAnsiTheme="majorHAnsi" w:cstheme="majorHAnsi"/>
                <w:sz w:val="16"/>
                <w:szCs w:val="16"/>
                <w:lang w:val="ro-MD"/>
              </w:rPr>
              <w:t>a</w:t>
            </w:r>
            <w:r w:rsidR="00C55DF6" w:rsidRPr="00EC2E90">
              <w:rPr>
                <w:rFonts w:asciiTheme="majorHAnsi" w:hAnsiTheme="majorHAnsi" w:cstheme="majorHAnsi"/>
                <w:sz w:val="16"/>
                <w:szCs w:val="16"/>
                <w:lang w:val="ro-MD"/>
              </w:rPr>
              <w:t>rt. 3 din Legea finanțelor publice și responsabilității bugetar-fiscale</w:t>
            </w:r>
            <w:r w:rsidR="009576F2">
              <w:rPr>
                <w:rFonts w:asciiTheme="majorHAnsi" w:hAnsiTheme="majorHAnsi" w:cstheme="majorHAnsi"/>
                <w:sz w:val="16"/>
                <w:szCs w:val="16"/>
                <w:lang w:val="ro-MD"/>
              </w:rPr>
              <w:t xml:space="preserve"> </w:t>
            </w:r>
            <w:r w:rsidR="00C55DF6" w:rsidRPr="00EC2E90">
              <w:rPr>
                <w:rFonts w:asciiTheme="majorHAnsi" w:hAnsiTheme="majorHAnsi" w:cstheme="majorHAnsi"/>
                <w:sz w:val="16"/>
                <w:szCs w:val="16"/>
                <w:lang w:val="ro-MD"/>
              </w:rPr>
              <w:t xml:space="preserve"> nr.181/2014;</w:t>
            </w:r>
          </w:p>
          <w:p w:rsidR="00C55DF6" w:rsidRPr="00EC2E90" w:rsidRDefault="00C55DF6" w:rsidP="00870146">
            <w:pPr>
              <w:pStyle w:val="ListParagraph"/>
              <w:numPr>
                <w:ilvl w:val="0"/>
                <w:numId w:val="21"/>
              </w:numPr>
              <w:tabs>
                <w:tab w:val="left" w:pos="174"/>
              </w:tabs>
              <w:ind w:left="72" w:hanging="72"/>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ro-MD"/>
              </w:rPr>
            </w:pPr>
            <w:r w:rsidRPr="00EC2E90">
              <w:rPr>
                <w:rFonts w:asciiTheme="majorHAnsi" w:hAnsiTheme="majorHAnsi" w:cstheme="majorHAnsi"/>
                <w:sz w:val="16"/>
                <w:szCs w:val="16"/>
                <w:lang w:val="ro-MD"/>
              </w:rPr>
              <w:t xml:space="preserve">Ordinul cu privire la modul de achitare și evidență a plăților la bugetul public național prin sistemul </w:t>
            </w:r>
            <w:proofErr w:type="spellStart"/>
            <w:r w:rsidRPr="00EC2E90">
              <w:rPr>
                <w:rFonts w:asciiTheme="majorHAnsi" w:hAnsiTheme="majorHAnsi" w:cstheme="majorHAnsi"/>
                <w:sz w:val="16"/>
                <w:szCs w:val="16"/>
                <w:lang w:val="ro-MD"/>
              </w:rPr>
              <w:t>trezorerial</w:t>
            </w:r>
            <w:proofErr w:type="spellEnd"/>
            <w:r w:rsidRPr="00EC2E90">
              <w:rPr>
                <w:rFonts w:asciiTheme="majorHAnsi" w:hAnsiTheme="majorHAnsi" w:cstheme="majorHAnsi"/>
                <w:sz w:val="16"/>
                <w:szCs w:val="16"/>
                <w:lang w:val="ro-MD"/>
              </w:rPr>
              <w:t xml:space="preserve"> al Ministerului Finanțelor în anul 2019, nr. 205 din 21.12.2018</w:t>
            </w:r>
            <w:r w:rsidR="00D03B41">
              <w:rPr>
                <w:rFonts w:asciiTheme="majorHAnsi" w:hAnsiTheme="majorHAnsi" w:cstheme="majorHAnsi"/>
                <w:sz w:val="16"/>
                <w:szCs w:val="16"/>
                <w:lang w:val="ro-MD"/>
              </w:rPr>
              <w:t>;</w:t>
            </w:r>
          </w:p>
        </w:tc>
      </w:tr>
      <w:tr w:rsidR="0040684A" w:rsidRPr="00A75DCE" w:rsidTr="008E5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left w:val="single" w:sz="4" w:space="0" w:color="auto"/>
            </w:tcBorders>
          </w:tcPr>
          <w:p w:rsidR="005A3F1C" w:rsidRDefault="005A3F1C" w:rsidP="00C65A33">
            <w:pPr>
              <w:ind w:right="-102"/>
              <w:jc w:val="left"/>
              <w:rPr>
                <w:rFonts w:cstheme="majorHAnsi"/>
                <w:sz w:val="20"/>
                <w:szCs w:val="20"/>
                <w:lang w:val="ro-MD"/>
              </w:rPr>
            </w:pPr>
          </w:p>
          <w:p w:rsidR="0040684A" w:rsidRPr="00C65A33" w:rsidRDefault="00C65A33" w:rsidP="00C65A33">
            <w:pPr>
              <w:ind w:right="-102"/>
              <w:jc w:val="left"/>
              <w:rPr>
                <w:rFonts w:cstheme="majorHAnsi"/>
                <w:sz w:val="20"/>
                <w:szCs w:val="20"/>
                <w:lang w:val="ro-MD"/>
              </w:rPr>
            </w:pPr>
            <w:r w:rsidRPr="00C65A33">
              <w:rPr>
                <w:rFonts w:cstheme="majorHAnsi"/>
                <w:sz w:val="20"/>
                <w:szCs w:val="20"/>
                <w:lang w:val="ro-MD"/>
              </w:rPr>
              <w:t>Conformarea con</w:t>
            </w:r>
            <w:r w:rsidR="005A3F1C">
              <w:rPr>
                <w:rFonts w:cstheme="majorHAnsi"/>
                <w:sz w:val="20"/>
                <w:szCs w:val="20"/>
                <w:lang w:val="ro-MD"/>
              </w:rPr>
              <w:t>tribuabililor care nu au depus d</w:t>
            </w:r>
            <w:r w:rsidRPr="00C65A33">
              <w:rPr>
                <w:rFonts w:cstheme="majorHAnsi"/>
                <w:sz w:val="20"/>
                <w:szCs w:val="20"/>
                <w:lang w:val="ro-MD"/>
              </w:rPr>
              <w:t>eclarațiile fiscale cu privire la impozitul pe venit</w:t>
            </w:r>
          </w:p>
        </w:tc>
        <w:tc>
          <w:tcPr>
            <w:tcW w:w="2430" w:type="dxa"/>
            <w:gridSpan w:val="2"/>
          </w:tcPr>
          <w:p w:rsidR="0040684A" w:rsidRPr="00A75DCE" w:rsidRDefault="0040684A" w:rsidP="0040684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A75DCE">
              <w:rPr>
                <w:rFonts w:asciiTheme="majorHAnsi" w:hAnsiTheme="majorHAnsi" w:cstheme="majorHAnsi"/>
                <w:sz w:val="18"/>
                <w:szCs w:val="18"/>
                <w:lang w:val="ro-MD"/>
              </w:rPr>
              <w:t>Analiza cadrului legal</w:t>
            </w:r>
          </w:p>
        </w:tc>
        <w:tc>
          <w:tcPr>
            <w:tcW w:w="5405" w:type="dxa"/>
            <w:tcBorders>
              <w:right w:val="single" w:sz="4" w:space="0" w:color="auto"/>
            </w:tcBorders>
          </w:tcPr>
          <w:p w:rsidR="0040684A" w:rsidRPr="00EC2E90" w:rsidRDefault="0040684A" w:rsidP="0040684A">
            <w:pPr>
              <w:pStyle w:val="FootnoteText"/>
              <w:numPr>
                <w:ilvl w:val="0"/>
                <w:numId w:val="21"/>
              </w:numPr>
              <w:spacing w:line="240" w:lineRule="auto"/>
              <w:ind w:left="162" w:hanging="18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lang w:val="ro-MD"/>
              </w:rPr>
            </w:pPr>
            <w:r w:rsidRPr="00EC2E90">
              <w:rPr>
                <w:rFonts w:asciiTheme="majorHAnsi" w:hAnsiTheme="majorHAnsi" w:cstheme="majorHAnsi"/>
                <w:sz w:val="16"/>
                <w:szCs w:val="16"/>
                <w:lang w:val="ro-MD"/>
              </w:rPr>
              <w:t>Indicația SFS nr. 128 din 26.07.2019 cu privire la conformarea contribuabililor care nu au prezentat dările de seamă cu privire la impozitul pe venit;</w:t>
            </w:r>
          </w:p>
          <w:p w:rsidR="0040684A" w:rsidRPr="00EC2E90" w:rsidRDefault="0002757C" w:rsidP="0040684A">
            <w:pPr>
              <w:pStyle w:val="FootnoteText"/>
              <w:numPr>
                <w:ilvl w:val="0"/>
                <w:numId w:val="21"/>
              </w:numPr>
              <w:spacing w:line="240" w:lineRule="auto"/>
              <w:ind w:left="162" w:hanging="18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lang w:val="ro-MD"/>
              </w:rPr>
            </w:pPr>
            <w:r>
              <w:rPr>
                <w:rFonts w:asciiTheme="majorHAnsi" w:hAnsiTheme="majorHAnsi" w:cstheme="majorHAnsi"/>
                <w:sz w:val="16"/>
                <w:szCs w:val="16"/>
                <w:lang w:val="ro-MD"/>
              </w:rPr>
              <w:t>a</w:t>
            </w:r>
            <w:r w:rsidR="0040684A" w:rsidRPr="00EC2E90">
              <w:rPr>
                <w:rFonts w:asciiTheme="majorHAnsi" w:hAnsiTheme="majorHAnsi" w:cstheme="majorHAnsi"/>
                <w:sz w:val="16"/>
                <w:szCs w:val="16"/>
                <w:lang w:val="ro-MD"/>
              </w:rPr>
              <w:t>rt. 83 „Prezentarea declarației cu privire la impozitul pe venit”; art. 187 „Prezentarea d</w:t>
            </w:r>
            <w:r w:rsidR="00DF55DD">
              <w:rPr>
                <w:rFonts w:asciiTheme="majorHAnsi" w:hAnsiTheme="majorHAnsi" w:cstheme="majorHAnsi"/>
                <w:sz w:val="16"/>
                <w:szCs w:val="16"/>
                <w:lang w:val="ro-MD"/>
              </w:rPr>
              <w:t>ă</w:t>
            </w:r>
            <w:r w:rsidR="0040684A" w:rsidRPr="00EC2E90">
              <w:rPr>
                <w:rFonts w:asciiTheme="majorHAnsi" w:hAnsiTheme="majorHAnsi" w:cstheme="majorHAnsi"/>
                <w:sz w:val="16"/>
                <w:szCs w:val="16"/>
                <w:lang w:val="ro-MD"/>
              </w:rPr>
              <w:t>rii de seam</w:t>
            </w:r>
            <w:r w:rsidR="00DF55DD">
              <w:rPr>
                <w:rFonts w:asciiTheme="majorHAnsi" w:hAnsiTheme="majorHAnsi" w:cstheme="majorHAnsi"/>
                <w:sz w:val="16"/>
                <w:szCs w:val="16"/>
                <w:lang w:val="ro-MD"/>
              </w:rPr>
              <w:t>ă</w:t>
            </w:r>
            <w:r w:rsidR="0040684A" w:rsidRPr="00EC2E90">
              <w:rPr>
                <w:rFonts w:asciiTheme="majorHAnsi" w:hAnsiTheme="majorHAnsi" w:cstheme="majorHAnsi"/>
                <w:sz w:val="16"/>
                <w:szCs w:val="16"/>
                <w:lang w:val="ro-MD"/>
              </w:rPr>
              <w:t xml:space="preserve"> fiscale” din Codul </w:t>
            </w:r>
            <w:r w:rsidR="00DF55DD">
              <w:rPr>
                <w:rFonts w:asciiTheme="majorHAnsi" w:hAnsiTheme="majorHAnsi" w:cstheme="majorHAnsi"/>
                <w:sz w:val="16"/>
                <w:szCs w:val="16"/>
                <w:lang w:val="ro-MD"/>
              </w:rPr>
              <w:t>f</w:t>
            </w:r>
            <w:r w:rsidR="0040684A" w:rsidRPr="00EC2E90">
              <w:rPr>
                <w:rFonts w:asciiTheme="majorHAnsi" w:hAnsiTheme="majorHAnsi" w:cstheme="majorHAnsi"/>
                <w:sz w:val="16"/>
                <w:szCs w:val="16"/>
                <w:lang w:val="ro-MD"/>
              </w:rPr>
              <w:t>iscal;</w:t>
            </w:r>
          </w:p>
          <w:p w:rsidR="0040684A" w:rsidRPr="00EC2E90" w:rsidRDefault="0002757C" w:rsidP="0040684A">
            <w:pPr>
              <w:pStyle w:val="FootnoteText"/>
              <w:numPr>
                <w:ilvl w:val="0"/>
                <w:numId w:val="21"/>
              </w:numPr>
              <w:spacing w:line="240" w:lineRule="auto"/>
              <w:ind w:left="162" w:hanging="18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lang w:val="ro-MD"/>
              </w:rPr>
            </w:pPr>
            <w:r>
              <w:rPr>
                <w:rFonts w:asciiTheme="majorHAnsi" w:hAnsiTheme="majorHAnsi" w:cstheme="majorHAnsi"/>
                <w:sz w:val="16"/>
                <w:szCs w:val="16"/>
                <w:lang w:val="ro-MD"/>
              </w:rPr>
              <w:t>a</w:t>
            </w:r>
            <w:r w:rsidR="0040684A" w:rsidRPr="00EC2E90">
              <w:rPr>
                <w:rFonts w:asciiTheme="majorHAnsi" w:hAnsiTheme="majorHAnsi" w:cstheme="majorHAnsi"/>
                <w:sz w:val="16"/>
                <w:szCs w:val="16"/>
                <w:lang w:val="ro-MD"/>
              </w:rPr>
              <w:t xml:space="preserve">lin. (1), art.260 „Nerespectarea modului de întocmire, de prezentare a dării de seamă fiscale și a facturii fiscale” din Codul </w:t>
            </w:r>
            <w:r w:rsidR="00DF55DD">
              <w:rPr>
                <w:rFonts w:asciiTheme="majorHAnsi" w:hAnsiTheme="majorHAnsi" w:cstheme="majorHAnsi"/>
                <w:sz w:val="16"/>
                <w:szCs w:val="16"/>
                <w:lang w:val="ro-MD"/>
              </w:rPr>
              <w:t>f</w:t>
            </w:r>
            <w:r w:rsidR="0040684A" w:rsidRPr="00EC2E90">
              <w:rPr>
                <w:rFonts w:asciiTheme="majorHAnsi" w:hAnsiTheme="majorHAnsi" w:cstheme="majorHAnsi"/>
                <w:sz w:val="16"/>
                <w:szCs w:val="16"/>
                <w:lang w:val="ro-MD"/>
              </w:rPr>
              <w:t>iscal</w:t>
            </w:r>
            <w:r w:rsidR="00DF55DD">
              <w:rPr>
                <w:rFonts w:asciiTheme="majorHAnsi" w:hAnsiTheme="majorHAnsi" w:cstheme="majorHAnsi"/>
                <w:sz w:val="16"/>
                <w:szCs w:val="16"/>
                <w:lang w:val="ro-MD"/>
              </w:rPr>
              <w:t>;</w:t>
            </w:r>
            <w:r w:rsidR="0040684A" w:rsidRPr="00EC2E90">
              <w:rPr>
                <w:rFonts w:asciiTheme="majorHAnsi" w:hAnsiTheme="majorHAnsi" w:cstheme="majorHAnsi"/>
                <w:sz w:val="16"/>
                <w:szCs w:val="16"/>
                <w:lang w:val="ro-MD"/>
              </w:rPr>
              <w:t xml:space="preserve"> </w:t>
            </w:r>
          </w:p>
          <w:p w:rsidR="0040684A" w:rsidRPr="00EC2E90" w:rsidRDefault="0040684A" w:rsidP="0040684A">
            <w:pPr>
              <w:pStyle w:val="FootnoteText"/>
              <w:numPr>
                <w:ilvl w:val="0"/>
                <w:numId w:val="21"/>
              </w:numPr>
              <w:spacing w:line="240" w:lineRule="auto"/>
              <w:ind w:left="162" w:hanging="18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lang w:val="ro-MD"/>
              </w:rPr>
            </w:pPr>
            <w:r w:rsidRPr="00EC2E90">
              <w:rPr>
                <w:rFonts w:asciiTheme="majorHAnsi" w:hAnsiTheme="majorHAnsi" w:cstheme="majorHAnsi"/>
                <w:sz w:val="16"/>
                <w:szCs w:val="16"/>
                <w:lang w:val="ro-MD"/>
              </w:rPr>
              <w:t>Ordinul SFS nr. 40 din 27.01.2020 cu privire la Manualul privind deservirea contribuabililor.</w:t>
            </w:r>
          </w:p>
        </w:tc>
      </w:tr>
      <w:tr w:rsidR="0091249D" w:rsidRPr="00A75DCE" w:rsidTr="008E5D14">
        <w:trPr>
          <w:trHeight w:val="603"/>
        </w:trPr>
        <w:tc>
          <w:tcPr>
            <w:cnfStyle w:val="001000000000" w:firstRow="0" w:lastRow="0" w:firstColumn="1" w:lastColumn="0" w:oddVBand="0" w:evenVBand="0" w:oddHBand="0" w:evenHBand="0" w:firstRowFirstColumn="0" w:firstRowLastColumn="0" w:lastRowFirstColumn="0" w:lastRowLastColumn="0"/>
            <w:tcW w:w="2430" w:type="dxa"/>
            <w:tcBorders>
              <w:left w:val="single" w:sz="4" w:space="0" w:color="auto"/>
            </w:tcBorders>
          </w:tcPr>
          <w:p w:rsidR="0091249D" w:rsidRPr="00A75DCE" w:rsidRDefault="0091249D" w:rsidP="0091249D">
            <w:pPr>
              <w:jc w:val="both"/>
              <w:rPr>
                <w:rFonts w:cstheme="majorHAnsi"/>
                <w:sz w:val="20"/>
                <w:szCs w:val="20"/>
                <w:lang w:val="ro-MD"/>
              </w:rPr>
            </w:pPr>
            <w:r w:rsidRPr="00A75DCE">
              <w:rPr>
                <w:rFonts w:cstheme="majorHAnsi"/>
                <w:sz w:val="20"/>
                <w:szCs w:val="20"/>
                <w:lang w:val="ro-MD"/>
              </w:rPr>
              <w:t>Planificarea veniturilor bugetului de stat</w:t>
            </w:r>
          </w:p>
        </w:tc>
        <w:tc>
          <w:tcPr>
            <w:tcW w:w="2430" w:type="dxa"/>
            <w:gridSpan w:val="2"/>
          </w:tcPr>
          <w:p w:rsidR="0091249D" w:rsidRPr="00A75DCE" w:rsidRDefault="0091249D" w:rsidP="0091249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A75DCE">
              <w:rPr>
                <w:rFonts w:asciiTheme="majorHAnsi" w:hAnsiTheme="majorHAnsi" w:cstheme="majorHAnsi"/>
                <w:sz w:val="18"/>
                <w:szCs w:val="18"/>
                <w:lang w:val="ro-MD"/>
              </w:rPr>
              <w:t>Proceduri analitice de comparare a datelor</w:t>
            </w:r>
          </w:p>
        </w:tc>
        <w:tc>
          <w:tcPr>
            <w:tcW w:w="5405" w:type="dxa"/>
            <w:tcBorders>
              <w:right w:val="single" w:sz="4" w:space="0" w:color="auto"/>
            </w:tcBorders>
          </w:tcPr>
          <w:p w:rsidR="0091249D" w:rsidRPr="0091249D" w:rsidRDefault="0091249D" w:rsidP="0091249D">
            <w:pPr>
              <w:pStyle w:val="FootnoteText"/>
              <w:numPr>
                <w:ilvl w:val="0"/>
                <w:numId w:val="21"/>
              </w:numPr>
              <w:spacing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ro-MD"/>
              </w:rPr>
            </w:pPr>
            <w:r w:rsidRPr="0091249D">
              <w:rPr>
                <w:rFonts w:asciiTheme="majorHAnsi" w:hAnsiTheme="majorHAnsi" w:cstheme="majorHAnsi"/>
                <w:sz w:val="16"/>
                <w:szCs w:val="16"/>
                <w:lang w:val="ro-MD"/>
              </w:rPr>
              <w:t>Metodologia de estimare a decalajului fiscal, aprobată prin ordinul SFSnr.610 din 27.12.2019;</w:t>
            </w:r>
          </w:p>
          <w:p w:rsidR="0091249D" w:rsidRPr="0091249D" w:rsidRDefault="0091249D" w:rsidP="0091249D">
            <w:pPr>
              <w:pStyle w:val="FootnoteText"/>
              <w:numPr>
                <w:ilvl w:val="0"/>
                <w:numId w:val="21"/>
              </w:numPr>
              <w:spacing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ro-MD"/>
              </w:rPr>
            </w:pPr>
            <w:r w:rsidRPr="0091249D">
              <w:rPr>
                <w:rFonts w:asciiTheme="majorHAnsi" w:hAnsiTheme="majorHAnsi" w:cstheme="majorHAnsi"/>
                <w:sz w:val="16"/>
                <w:szCs w:val="16"/>
                <w:lang w:val="ro-MD"/>
              </w:rPr>
              <w:t>Recomandările metodice privind prognozarea veniturilor și stabilirea sarcinilor de venituri la BPN, aprobate  prin Ordinul SFS, nr.135 din 30.05.2017</w:t>
            </w:r>
          </w:p>
        </w:tc>
      </w:tr>
      <w:tr w:rsidR="0040684A" w:rsidRPr="00A75DCE" w:rsidTr="008E5D14">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0265" w:type="dxa"/>
            <w:gridSpan w:val="4"/>
            <w:tcBorders>
              <w:left w:val="single" w:sz="4" w:space="0" w:color="auto"/>
              <w:right w:val="single" w:sz="4" w:space="0" w:color="auto"/>
            </w:tcBorders>
            <w:shd w:val="clear" w:color="auto" w:fill="DEEAF6" w:themeFill="accent1" w:themeFillTint="33"/>
            <w:vAlign w:val="center"/>
          </w:tcPr>
          <w:p w:rsidR="0040684A" w:rsidRPr="00EC2E90" w:rsidRDefault="00E76E15" w:rsidP="00381A16">
            <w:pPr>
              <w:jc w:val="both"/>
              <w:rPr>
                <w:rFonts w:cstheme="majorHAnsi"/>
                <w:i w:val="0"/>
                <w:sz w:val="16"/>
                <w:szCs w:val="16"/>
                <w:lang w:val="ro-MD"/>
              </w:rPr>
            </w:pPr>
            <w:r w:rsidRPr="00EC2E90">
              <w:rPr>
                <w:rFonts w:cstheme="majorHAnsi"/>
                <w:i w:val="0"/>
                <w:sz w:val="16"/>
                <w:szCs w:val="16"/>
                <w:lang w:val="ro-MD"/>
              </w:rPr>
              <w:t>(2) Organul fiscal a asigurat conformitatea procesului de evidență și raportare a restanțelor?</w:t>
            </w:r>
          </w:p>
        </w:tc>
      </w:tr>
      <w:tr w:rsidR="00A75DCE" w:rsidRPr="00A75DCE" w:rsidTr="008E5D14">
        <w:tc>
          <w:tcPr>
            <w:cnfStyle w:val="001000000000" w:firstRow="0" w:lastRow="0" w:firstColumn="1" w:lastColumn="0" w:oddVBand="0" w:evenVBand="0" w:oddHBand="0" w:evenHBand="0" w:firstRowFirstColumn="0" w:firstRowLastColumn="0" w:lastRowFirstColumn="0" w:lastRowLastColumn="0"/>
            <w:tcW w:w="2430" w:type="dxa"/>
            <w:tcBorders>
              <w:left w:val="single" w:sz="4" w:space="0" w:color="auto"/>
            </w:tcBorders>
          </w:tcPr>
          <w:p w:rsidR="00A75DCE" w:rsidRPr="00A75DCE" w:rsidRDefault="00A75DCE" w:rsidP="00CB6BC1">
            <w:pPr>
              <w:jc w:val="both"/>
              <w:rPr>
                <w:rFonts w:cstheme="majorHAnsi"/>
                <w:sz w:val="20"/>
                <w:szCs w:val="20"/>
                <w:lang w:val="ro-MD"/>
              </w:rPr>
            </w:pPr>
            <w:r w:rsidRPr="00A75DCE">
              <w:rPr>
                <w:rFonts w:cstheme="majorHAnsi"/>
                <w:sz w:val="20"/>
                <w:szCs w:val="20"/>
                <w:lang w:val="ro-MD"/>
              </w:rPr>
              <w:t>Raportarea de către SFS a datelor cu privire la restanțele la bugetul de stat</w:t>
            </w:r>
          </w:p>
        </w:tc>
        <w:tc>
          <w:tcPr>
            <w:tcW w:w="2430" w:type="dxa"/>
            <w:gridSpan w:val="2"/>
          </w:tcPr>
          <w:p w:rsidR="00A75DCE" w:rsidRPr="00A75DCE" w:rsidRDefault="00A75DCE" w:rsidP="00CB6BC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A75DCE">
              <w:rPr>
                <w:rFonts w:asciiTheme="majorHAnsi" w:hAnsiTheme="majorHAnsi" w:cstheme="majorHAnsi"/>
                <w:sz w:val="20"/>
                <w:szCs w:val="20"/>
                <w:lang w:val="ro-MD"/>
              </w:rPr>
              <w:t>802,2                       100 %</w:t>
            </w:r>
          </w:p>
          <w:p w:rsidR="00A75DCE" w:rsidRPr="00A75DCE" w:rsidRDefault="00A75DCE" w:rsidP="00CB6BC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A75DCE">
              <w:rPr>
                <w:rFonts w:asciiTheme="majorHAnsi" w:hAnsiTheme="majorHAnsi" w:cstheme="majorHAnsi"/>
                <w:noProof/>
              </w:rPr>
              <mc:AlternateContent>
                <mc:Choice Requires="wps">
                  <w:drawing>
                    <wp:anchor distT="0" distB="0" distL="114300" distR="114300" simplePos="0" relativeHeight="251668480" behindDoc="0" locked="0" layoutInCell="1" allowOverlap="1" wp14:anchorId="5AD09270" wp14:editId="0E8EB9F1">
                      <wp:simplePos x="0" y="0"/>
                      <wp:positionH relativeFrom="column">
                        <wp:posOffset>-52705</wp:posOffset>
                      </wp:positionH>
                      <wp:positionV relativeFrom="paragraph">
                        <wp:posOffset>95885</wp:posOffset>
                      </wp:positionV>
                      <wp:extent cx="1562100" cy="1409700"/>
                      <wp:effectExtent l="0" t="0" r="19050" b="19050"/>
                      <wp:wrapNone/>
                      <wp:docPr id="12" name="Double Bracket 12"/>
                      <wp:cNvGraphicFramePr/>
                      <a:graphic xmlns:a="http://schemas.openxmlformats.org/drawingml/2006/main">
                        <a:graphicData uri="http://schemas.microsoft.com/office/word/2010/wordprocessingShape">
                          <wps:wsp>
                            <wps:cNvSpPr/>
                            <wps:spPr>
                              <a:xfrm>
                                <a:off x="0" y="0"/>
                                <a:ext cx="1562100" cy="1409700"/>
                              </a:xfrm>
                              <a:prstGeom prst="bracketPair">
                                <a:avLst>
                                  <a:gd name="adj" fmla="val 19299"/>
                                </a:avLst>
                              </a:prstGeom>
                            </wps:spPr>
                            <wps:style>
                              <a:lnRef idx="3">
                                <a:schemeClr val="accent3"/>
                              </a:lnRef>
                              <a:fillRef idx="0">
                                <a:schemeClr val="accent3"/>
                              </a:fillRef>
                              <a:effectRef idx="2">
                                <a:schemeClr val="accent3"/>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A0D15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2" o:spid="_x0000_s1026" type="#_x0000_t185" style="position:absolute;margin-left:-4.15pt;margin-top:7.55pt;width:123pt;height:1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" adj="4169" strokecolor="#a5a5a5 [3206]" strokeweight="1.75pt">
                      <v:shadow on="t" color="black" opacity="18350f" origin=",.5" offset="0"/>
                    </v:shape>
                  </w:pict>
                </mc:Fallback>
              </mc:AlternateContent>
            </w:r>
          </w:p>
          <w:p w:rsidR="00A75DCE" w:rsidRPr="00A75DCE" w:rsidRDefault="00A75DCE" w:rsidP="00CB6BC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lang w:val="ro-MD"/>
              </w:rPr>
            </w:pPr>
            <w:r w:rsidRPr="00A75DCE">
              <w:rPr>
                <w:rFonts w:asciiTheme="majorHAnsi" w:hAnsiTheme="majorHAnsi" w:cstheme="majorHAnsi"/>
                <w:sz w:val="20"/>
                <w:szCs w:val="20"/>
                <w:lang w:val="ro-MD"/>
              </w:rPr>
              <w:t xml:space="preserve">   </w:t>
            </w:r>
            <w:r w:rsidRPr="00A75DCE">
              <w:rPr>
                <w:rFonts w:asciiTheme="majorHAnsi" w:hAnsiTheme="majorHAnsi" w:cstheme="majorHAnsi"/>
                <w:b/>
                <w:sz w:val="18"/>
                <w:szCs w:val="18"/>
                <w:lang w:val="ro-MD"/>
              </w:rPr>
              <w:t>Notă:</w:t>
            </w:r>
          </w:p>
          <w:p w:rsidR="00A75DCE" w:rsidRPr="00A75DCE" w:rsidRDefault="00A75DCE" w:rsidP="00CB6BC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A75DCE">
              <w:rPr>
                <w:rFonts w:asciiTheme="majorHAnsi" w:hAnsiTheme="majorHAnsi" w:cstheme="majorHAnsi"/>
                <w:sz w:val="18"/>
                <w:szCs w:val="18"/>
                <w:lang w:val="ro-MD"/>
              </w:rPr>
              <w:t>Pentru a confirma corectitudinea datelor raportate de SFS privind restanța la bugetul de stat (pe tipuri de venituri potrivit clasificației economice) cu datele din SIA CCC, echipa de audit a utilizat proceduri analitice.</w:t>
            </w:r>
          </w:p>
        </w:tc>
        <w:tc>
          <w:tcPr>
            <w:tcW w:w="5405" w:type="dxa"/>
            <w:tcBorders>
              <w:right w:val="single" w:sz="4" w:space="0" w:color="auto"/>
            </w:tcBorders>
          </w:tcPr>
          <w:p w:rsidR="00A75DCE" w:rsidRPr="00EC2E90" w:rsidRDefault="00A75DCE" w:rsidP="00CB6BC1">
            <w:pPr>
              <w:pStyle w:val="FootnoteText"/>
              <w:numPr>
                <w:ilvl w:val="0"/>
                <w:numId w:val="21"/>
              </w:numPr>
              <w:spacing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ro-MD"/>
              </w:rPr>
            </w:pPr>
            <w:r w:rsidRPr="00EC2E90">
              <w:rPr>
                <w:rFonts w:asciiTheme="majorHAnsi" w:hAnsiTheme="majorHAnsi" w:cstheme="majorHAnsi"/>
                <w:sz w:val="16"/>
                <w:szCs w:val="16"/>
                <w:lang w:val="ro-MD"/>
              </w:rPr>
              <w:t xml:space="preserve">Titlul V din Codul </w:t>
            </w:r>
            <w:r w:rsidR="00D03B41">
              <w:rPr>
                <w:rFonts w:asciiTheme="majorHAnsi" w:hAnsiTheme="majorHAnsi" w:cstheme="majorHAnsi"/>
                <w:sz w:val="16"/>
                <w:szCs w:val="16"/>
                <w:lang w:val="ro-MD"/>
              </w:rPr>
              <w:t>f</w:t>
            </w:r>
            <w:r w:rsidRPr="00EC2E90">
              <w:rPr>
                <w:rFonts w:asciiTheme="majorHAnsi" w:hAnsiTheme="majorHAnsi" w:cstheme="majorHAnsi"/>
                <w:sz w:val="16"/>
                <w:szCs w:val="16"/>
                <w:lang w:val="ro-MD"/>
              </w:rPr>
              <w:t>iscal;</w:t>
            </w:r>
          </w:p>
          <w:p w:rsidR="00A75DCE" w:rsidRPr="005C7A4B" w:rsidRDefault="0002757C" w:rsidP="00CB6BC1">
            <w:pPr>
              <w:pStyle w:val="FootnoteText"/>
              <w:numPr>
                <w:ilvl w:val="0"/>
                <w:numId w:val="21"/>
              </w:numPr>
              <w:spacing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ro-MD"/>
              </w:rPr>
            </w:pPr>
            <w:r w:rsidRPr="005C7A4B">
              <w:rPr>
                <w:rFonts w:asciiTheme="majorHAnsi" w:hAnsiTheme="majorHAnsi" w:cstheme="majorHAnsi"/>
                <w:sz w:val="16"/>
                <w:szCs w:val="16"/>
                <w:lang w:val="ro-MD"/>
              </w:rPr>
              <w:t>a</w:t>
            </w:r>
            <w:r w:rsidR="00A75DCE" w:rsidRPr="005C7A4B">
              <w:rPr>
                <w:rFonts w:asciiTheme="majorHAnsi" w:hAnsiTheme="majorHAnsi" w:cstheme="majorHAnsi"/>
                <w:sz w:val="16"/>
                <w:szCs w:val="16"/>
                <w:lang w:val="ro-MD"/>
              </w:rPr>
              <w:t xml:space="preserve">rticolul 206 alin.(1), </w:t>
            </w:r>
            <w:proofErr w:type="spellStart"/>
            <w:r w:rsidR="00A75DCE" w:rsidRPr="005C7A4B">
              <w:rPr>
                <w:rFonts w:asciiTheme="majorHAnsi" w:hAnsiTheme="majorHAnsi" w:cstheme="majorHAnsi"/>
                <w:sz w:val="16"/>
                <w:szCs w:val="16"/>
                <w:lang w:val="ro-MD"/>
              </w:rPr>
              <w:t>lit.b</w:t>
            </w:r>
            <w:proofErr w:type="spellEnd"/>
            <w:r w:rsidR="00A75DCE" w:rsidRPr="005C7A4B">
              <w:rPr>
                <w:rFonts w:asciiTheme="majorHAnsi" w:hAnsiTheme="majorHAnsi" w:cstheme="majorHAnsi"/>
                <w:sz w:val="16"/>
                <w:szCs w:val="16"/>
                <w:lang w:val="ro-MD"/>
              </w:rPr>
              <w:t>)</w:t>
            </w:r>
            <w:r w:rsidR="005C7A4B" w:rsidRPr="005C7A4B">
              <w:rPr>
                <w:rFonts w:asciiTheme="majorHAnsi" w:hAnsiTheme="majorHAnsi" w:cstheme="majorHAnsi"/>
                <w:sz w:val="16"/>
                <w:szCs w:val="16"/>
                <w:lang w:val="ro-MD"/>
              </w:rPr>
              <w:t xml:space="preserve"> din Codul fiscal</w:t>
            </w:r>
            <w:r w:rsidR="00A75DCE" w:rsidRPr="005C7A4B">
              <w:rPr>
                <w:rFonts w:asciiTheme="majorHAnsi" w:hAnsiTheme="majorHAnsi" w:cstheme="majorHAnsi"/>
                <w:sz w:val="16"/>
                <w:szCs w:val="16"/>
                <w:lang w:val="ro-MD"/>
              </w:rPr>
              <w:t xml:space="preserve">; </w:t>
            </w:r>
          </w:p>
          <w:p w:rsidR="00A75DCE" w:rsidRPr="00EC2E90" w:rsidRDefault="00A75DCE" w:rsidP="00CB6BC1">
            <w:pPr>
              <w:pStyle w:val="FootnoteText"/>
              <w:numPr>
                <w:ilvl w:val="0"/>
                <w:numId w:val="21"/>
              </w:numPr>
              <w:spacing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ro-MD"/>
              </w:rPr>
            </w:pPr>
            <w:r w:rsidRPr="005C7A4B">
              <w:rPr>
                <w:rFonts w:asciiTheme="majorHAnsi" w:hAnsiTheme="majorHAnsi" w:cstheme="majorHAnsi"/>
                <w:sz w:val="16"/>
                <w:szCs w:val="16"/>
                <w:lang w:val="ro-MD"/>
              </w:rPr>
              <w:t>Legea privind controlul fi</w:t>
            </w:r>
            <w:r w:rsidR="00D2516B" w:rsidRPr="005C7A4B">
              <w:rPr>
                <w:rFonts w:asciiTheme="majorHAnsi" w:hAnsiTheme="majorHAnsi" w:cstheme="majorHAnsi"/>
                <w:sz w:val="16"/>
                <w:szCs w:val="16"/>
                <w:lang w:val="ro-MD"/>
              </w:rPr>
              <w:t>nanciar public intern nr</w:t>
            </w:r>
            <w:r w:rsidR="00D2516B">
              <w:rPr>
                <w:rFonts w:asciiTheme="majorHAnsi" w:hAnsiTheme="majorHAnsi" w:cstheme="majorHAnsi"/>
                <w:sz w:val="16"/>
                <w:szCs w:val="16"/>
                <w:lang w:val="ro-MD"/>
              </w:rPr>
              <w:t xml:space="preserve">. 229 din </w:t>
            </w:r>
            <w:r w:rsidRPr="00EC2E90">
              <w:rPr>
                <w:rFonts w:asciiTheme="majorHAnsi" w:hAnsiTheme="majorHAnsi" w:cstheme="majorHAnsi"/>
                <w:sz w:val="16"/>
                <w:szCs w:val="16"/>
                <w:lang w:val="ro-MD"/>
              </w:rPr>
              <w:t>23.09.2010</w:t>
            </w:r>
            <w:r w:rsidR="00D03B41">
              <w:rPr>
                <w:rFonts w:asciiTheme="majorHAnsi" w:hAnsiTheme="majorHAnsi" w:cstheme="majorHAnsi"/>
                <w:sz w:val="16"/>
                <w:szCs w:val="16"/>
                <w:lang w:val="ro-MD"/>
              </w:rPr>
              <w:t>;</w:t>
            </w:r>
            <w:r w:rsidRPr="00EC2E90">
              <w:rPr>
                <w:rFonts w:asciiTheme="majorHAnsi" w:hAnsiTheme="majorHAnsi" w:cstheme="majorHAnsi"/>
                <w:sz w:val="16"/>
                <w:szCs w:val="16"/>
                <w:lang w:val="ro-MD"/>
              </w:rPr>
              <w:t xml:space="preserve"> </w:t>
            </w:r>
          </w:p>
          <w:p w:rsidR="00A75DCE" w:rsidRPr="00EC2E90" w:rsidRDefault="00A75DCE" w:rsidP="00CB6BC1">
            <w:pPr>
              <w:pStyle w:val="FootnoteText"/>
              <w:numPr>
                <w:ilvl w:val="0"/>
                <w:numId w:val="21"/>
              </w:numPr>
              <w:spacing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ro-MD"/>
              </w:rPr>
            </w:pPr>
            <w:r w:rsidRPr="00EC2E90">
              <w:rPr>
                <w:rFonts w:asciiTheme="majorHAnsi" w:hAnsiTheme="majorHAnsi" w:cstheme="majorHAnsi"/>
                <w:sz w:val="16"/>
                <w:szCs w:val="16"/>
                <w:lang w:val="ro-MD"/>
              </w:rPr>
              <w:t>Ordinele interne ale SFS nr.691 din 20.12.2018 și nr. 608 din 27.12. 2019 „Cu privire la aprobarea sistemului de raportare din cadrul SFS”;</w:t>
            </w:r>
          </w:p>
          <w:p w:rsidR="00A75DCE" w:rsidRPr="00EC2E90" w:rsidRDefault="00A75DCE" w:rsidP="00CB6BC1">
            <w:pPr>
              <w:pStyle w:val="FootnoteText"/>
              <w:numPr>
                <w:ilvl w:val="0"/>
                <w:numId w:val="21"/>
              </w:numPr>
              <w:spacing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ro-MD"/>
              </w:rPr>
            </w:pPr>
            <w:r w:rsidRPr="00EC2E90">
              <w:rPr>
                <w:rFonts w:asciiTheme="majorHAnsi" w:hAnsiTheme="majorHAnsi" w:cstheme="majorHAnsi"/>
                <w:sz w:val="16"/>
                <w:szCs w:val="16"/>
                <w:lang w:val="ro-MD"/>
              </w:rPr>
              <w:t>Instrucțiunea privind evidența veniturilor administrate de SFS, aprobată prin Ordinul directorului SFS nr.501 din 27.09.2018</w:t>
            </w:r>
            <w:r w:rsidR="00D03B41">
              <w:rPr>
                <w:rFonts w:asciiTheme="majorHAnsi" w:hAnsiTheme="majorHAnsi" w:cstheme="majorHAnsi"/>
                <w:sz w:val="16"/>
                <w:szCs w:val="16"/>
                <w:lang w:val="ro-MD"/>
              </w:rPr>
              <w:t>;</w:t>
            </w:r>
            <w:r w:rsidRPr="00EC2E90">
              <w:rPr>
                <w:rFonts w:asciiTheme="majorHAnsi" w:hAnsiTheme="majorHAnsi" w:cstheme="majorHAnsi"/>
                <w:sz w:val="16"/>
                <w:szCs w:val="16"/>
                <w:lang w:val="ro-MD"/>
              </w:rPr>
              <w:t xml:space="preserve">   </w:t>
            </w:r>
          </w:p>
          <w:p w:rsidR="00A75DCE" w:rsidRPr="00EC2E90" w:rsidRDefault="00A75DCE" w:rsidP="00CB6BC1">
            <w:pPr>
              <w:pStyle w:val="FootnoteText"/>
              <w:numPr>
                <w:ilvl w:val="0"/>
                <w:numId w:val="21"/>
              </w:numPr>
              <w:spacing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ro-MD"/>
              </w:rPr>
            </w:pPr>
            <w:r w:rsidRPr="00EC2E90">
              <w:rPr>
                <w:rFonts w:asciiTheme="majorHAnsi" w:hAnsiTheme="majorHAnsi" w:cstheme="majorHAnsi"/>
                <w:sz w:val="16"/>
                <w:szCs w:val="16"/>
                <w:lang w:val="ro-MD"/>
              </w:rPr>
              <w:t>Regulamentul privind modul de stingere prin scădere și luarea la evidența specială a obligației fiscale, aprobat prin Ordinul Inspectoratului Fiscal Principal de Stat nr.1108 din 07.12.2015;</w:t>
            </w:r>
          </w:p>
          <w:p w:rsidR="00A75DCE" w:rsidRPr="00EC2E90" w:rsidRDefault="00A75DCE" w:rsidP="00CB6BC1">
            <w:pPr>
              <w:pStyle w:val="FootnoteText"/>
              <w:numPr>
                <w:ilvl w:val="0"/>
                <w:numId w:val="21"/>
              </w:numPr>
              <w:spacing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ro-MD"/>
              </w:rPr>
            </w:pPr>
            <w:r w:rsidRPr="00EC2E90">
              <w:rPr>
                <w:rFonts w:asciiTheme="majorHAnsi" w:hAnsiTheme="majorHAnsi" w:cstheme="majorHAnsi"/>
                <w:sz w:val="16"/>
                <w:szCs w:val="16"/>
                <w:lang w:val="ro-MD"/>
              </w:rPr>
              <w:t>Ordinul Ministerului Finanțelor cu privire la reglementarea înscrierilor în conturile personale a</w:t>
            </w:r>
            <w:r w:rsidR="00E8734B">
              <w:rPr>
                <w:rFonts w:asciiTheme="majorHAnsi" w:hAnsiTheme="majorHAnsi" w:cstheme="majorHAnsi"/>
                <w:sz w:val="16"/>
                <w:szCs w:val="16"/>
                <w:lang w:val="ro-MD"/>
              </w:rPr>
              <w:t>le contribuabililor nr. 103 din</w:t>
            </w:r>
            <w:r w:rsidRPr="00EC2E90">
              <w:rPr>
                <w:rFonts w:asciiTheme="majorHAnsi" w:hAnsiTheme="majorHAnsi" w:cstheme="majorHAnsi"/>
                <w:sz w:val="16"/>
                <w:szCs w:val="16"/>
                <w:lang w:val="ro-MD"/>
              </w:rPr>
              <w:t xml:space="preserve"> 09.12.2005</w:t>
            </w:r>
            <w:r w:rsidR="00D03B41">
              <w:rPr>
                <w:rFonts w:asciiTheme="majorHAnsi" w:hAnsiTheme="majorHAnsi" w:cstheme="majorHAnsi"/>
                <w:sz w:val="16"/>
                <w:szCs w:val="16"/>
                <w:lang w:val="ro-MD"/>
              </w:rPr>
              <w:t>;</w:t>
            </w:r>
          </w:p>
        </w:tc>
      </w:tr>
      <w:tr w:rsidR="00A75DCE" w:rsidRPr="00A75DCE" w:rsidTr="00EC2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left w:val="single" w:sz="4" w:space="0" w:color="auto"/>
            </w:tcBorders>
          </w:tcPr>
          <w:p w:rsidR="00A75DCE" w:rsidRPr="00A75DCE" w:rsidRDefault="00A75DCE" w:rsidP="00CB6BC1">
            <w:pPr>
              <w:jc w:val="both"/>
              <w:rPr>
                <w:rFonts w:cstheme="majorHAnsi"/>
                <w:sz w:val="20"/>
                <w:szCs w:val="20"/>
                <w:lang w:val="ro-MD"/>
              </w:rPr>
            </w:pPr>
            <w:r w:rsidRPr="00A75DCE">
              <w:rPr>
                <w:rFonts w:cstheme="majorHAnsi"/>
                <w:sz w:val="20"/>
                <w:szCs w:val="20"/>
                <w:lang w:val="ro-MD"/>
              </w:rPr>
              <w:t>Amnistia fiscală, inclusiv</w:t>
            </w:r>
          </w:p>
          <w:p w:rsidR="00A75DCE" w:rsidRPr="00A75DCE" w:rsidRDefault="00A75DCE" w:rsidP="00CB6BC1">
            <w:pPr>
              <w:jc w:val="both"/>
              <w:rPr>
                <w:rFonts w:cstheme="majorHAnsi"/>
                <w:sz w:val="20"/>
                <w:szCs w:val="20"/>
                <w:lang w:val="ro-MD"/>
              </w:rPr>
            </w:pPr>
          </w:p>
          <w:p w:rsidR="00A75DCE" w:rsidRPr="00A75DCE" w:rsidRDefault="00A75DCE" w:rsidP="00CB6BC1">
            <w:pPr>
              <w:rPr>
                <w:rFonts w:cstheme="majorHAnsi"/>
                <w:sz w:val="20"/>
                <w:szCs w:val="20"/>
                <w:lang w:val="ro-MD"/>
              </w:rPr>
            </w:pPr>
            <w:r w:rsidRPr="00A75DCE">
              <w:rPr>
                <w:rFonts w:cstheme="majorHAnsi"/>
                <w:sz w:val="20"/>
                <w:szCs w:val="20"/>
                <w:lang w:val="ro-MD"/>
              </w:rPr>
              <w:t>- evidența generală</w:t>
            </w:r>
          </w:p>
          <w:p w:rsidR="00A75DCE" w:rsidRPr="00A75DCE" w:rsidRDefault="00A75DCE" w:rsidP="00CB6BC1">
            <w:pPr>
              <w:rPr>
                <w:rFonts w:cstheme="majorHAnsi"/>
                <w:sz w:val="20"/>
                <w:szCs w:val="20"/>
                <w:lang w:val="ro-MD"/>
              </w:rPr>
            </w:pPr>
          </w:p>
          <w:p w:rsidR="00A75DCE" w:rsidRPr="00A75DCE" w:rsidRDefault="00D03B41" w:rsidP="004836DA">
            <w:pPr>
              <w:jc w:val="center"/>
              <w:rPr>
                <w:rFonts w:cstheme="majorHAnsi"/>
                <w:sz w:val="20"/>
                <w:szCs w:val="20"/>
                <w:lang w:val="ro-MD"/>
              </w:rPr>
            </w:pPr>
            <w:r>
              <w:rPr>
                <w:rFonts w:cstheme="majorHAnsi"/>
                <w:sz w:val="20"/>
                <w:szCs w:val="20"/>
                <w:lang w:val="ro-MD"/>
              </w:rPr>
              <w:t xml:space="preserve">            </w:t>
            </w:r>
            <w:r w:rsidR="00A75DCE" w:rsidRPr="00A75DCE">
              <w:rPr>
                <w:rFonts w:cstheme="majorHAnsi"/>
                <w:sz w:val="20"/>
                <w:szCs w:val="20"/>
                <w:lang w:val="ro-MD"/>
              </w:rPr>
              <w:t>- evidența specială</w:t>
            </w:r>
          </w:p>
        </w:tc>
        <w:tc>
          <w:tcPr>
            <w:tcW w:w="1080" w:type="dxa"/>
          </w:tcPr>
          <w:p w:rsidR="00A75DCE" w:rsidRPr="00A75DCE" w:rsidRDefault="00A75DCE" w:rsidP="00CB6BC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p>
          <w:p w:rsidR="00A75DCE" w:rsidRPr="00A75DCE" w:rsidRDefault="00A75DCE" w:rsidP="00CB6BC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p>
          <w:p w:rsidR="00A75DCE" w:rsidRPr="00A75DCE" w:rsidRDefault="00A75DCE" w:rsidP="00CB6BC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A75DCE">
              <w:rPr>
                <w:rFonts w:asciiTheme="majorHAnsi" w:hAnsiTheme="majorHAnsi" w:cstheme="majorHAnsi"/>
                <w:sz w:val="20"/>
                <w:szCs w:val="20"/>
                <w:lang w:val="ro-MD"/>
              </w:rPr>
              <w:t>126,7</w:t>
            </w:r>
          </w:p>
          <w:p w:rsidR="00A75DCE" w:rsidRPr="00A75DCE" w:rsidRDefault="00A75DCE" w:rsidP="00CB6BC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p>
          <w:p w:rsidR="00A75DCE" w:rsidRPr="00A75DCE" w:rsidRDefault="00A75DCE" w:rsidP="00CB6BC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A75DCE">
              <w:rPr>
                <w:rFonts w:asciiTheme="majorHAnsi" w:hAnsiTheme="majorHAnsi" w:cstheme="majorHAnsi"/>
                <w:sz w:val="20"/>
                <w:szCs w:val="20"/>
                <w:lang w:val="ro-MD"/>
              </w:rPr>
              <w:t>60,7</w:t>
            </w:r>
          </w:p>
        </w:tc>
        <w:tc>
          <w:tcPr>
            <w:tcW w:w="1350" w:type="dxa"/>
          </w:tcPr>
          <w:p w:rsidR="00A75DCE" w:rsidRPr="00A75DCE" w:rsidRDefault="00A75DCE" w:rsidP="00CB6BC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p>
          <w:p w:rsidR="00A75DCE" w:rsidRPr="00A75DCE" w:rsidRDefault="00A75DCE" w:rsidP="00CB6BC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p>
          <w:p w:rsidR="00A75DCE" w:rsidRPr="00A75DCE" w:rsidRDefault="00A75DCE" w:rsidP="00CB6BC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A75DCE">
              <w:rPr>
                <w:rFonts w:asciiTheme="majorHAnsi" w:hAnsiTheme="majorHAnsi" w:cstheme="majorHAnsi"/>
                <w:sz w:val="20"/>
                <w:szCs w:val="20"/>
                <w:lang w:val="ro-MD"/>
              </w:rPr>
              <w:t>72 %</w:t>
            </w:r>
          </w:p>
          <w:p w:rsidR="00A75DCE" w:rsidRPr="00A75DCE" w:rsidRDefault="00A75DCE" w:rsidP="00CB6BC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A75DCE">
              <w:rPr>
                <w:rFonts w:asciiTheme="majorHAnsi" w:hAnsiTheme="majorHAnsi" w:cstheme="majorHAnsi"/>
                <w:sz w:val="20"/>
                <w:szCs w:val="20"/>
                <w:lang w:val="ro-MD"/>
              </w:rPr>
              <w:t>91,2 mil. lei</w:t>
            </w:r>
          </w:p>
          <w:p w:rsidR="00A75DCE" w:rsidRPr="00A75DCE" w:rsidRDefault="00A75DCE" w:rsidP="00CB6BC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A75DCE">
              <w:rPr>
                <w:rFonts w:asciiTheme="majorHAnsi" w:hAnsiTheme="majorHAnsi" w:cstheme="majorHAnsi"/>
                <w:sz w:val="20"/>
                <w:szCs w:val="20"/>
                <w:lang w:val="ro-MD"/>
              </w:rPr>
              <w:t>98%</w:t>
            </w:r>
          </w:p>
          <w:p w:rsidR="00A75DCE" w:rsidRPr="00A75DCE" w:rsidRDefault="00A75DCE" w:rsidP="00CB6BC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A75DCE">
              <w:rPr>
                <w:rFonts w:asciiTheme="majorHAnsi" w:hAnsiTheme="majorHAnsi" w:cstheme="majorHAnsi"/>
                <w:sz w:val="20"/>
                <w:szCs w:val="20"/>
                <w:lang w:val="ro-MD"/>
              </w:rPr>
              <w:t>59,3 mil. lei</w:t>
            </w:r>
          </w:p>
        </w:tc>
        <w:tc>
          <w:tcPr>
            <w:tcW w:w="5405" w:type="dxa"/>
            <w:tcBorders>
              <w:right w:val="single" w:sz="4" w:space="0" w:color="auto"/>
            </w:tcBorders>
          </w:tcPr>
          <w:p w:rsidR="00A75DCE" w:rsidRPr="00EC2E90" w:rsidRDefault="00A75DCE" w:rsidP="00CB6BC1">
            <w:pPr>
              <w:pStyle w:val="FootnoteText"/>
              <w:numPr>
                <w:ilvl w:val="0"/>
                <w:numId w:val="21"/>
              </w:numPr>
              <w:spacing w:line="240" w:lineRule="auto"/>
              <w:ind w:left="162" w:hanging="18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lang w:val="ro-MD"/>
              </w:rPr>
            </w:pPr>
            <w:r w:rsidRPr="00EC2E90">
              <w:rPr>
                <w:rFonts w:asciiTheme="majorHAnsi" w:hAnsiTheme="majorHAnsi" w:cstheme="majorHAnsi"/>
                <w:sz w:val="16"/>
                <w:szCs w:val="16"/>
                <w:lang w:val="ro-MD"/>
              </w:rPr>
              <w:t>Legea nr. 180 din 26.07.2018 privind declararea voluntară și stimularea fiscală;</w:t>
            </w:r>
          </w:p>
          <w:p w:rsidR="00A75DCE" w:rsidRPr="00EC2E90" w:rsidRDefault="00A75DCE" w:rsidP="00CB6BC1">
            <w:pPr>
              <w:pStyle w:val="FootnoteText"/>
              <w:numPr>
                <w:ilvl w:val="0"/>
                <w:numId w:val="21"/>
              </w:numPr>
              <w:spacing w:line="240" w:lineRule="auto"/>
              <w:ind w:left="162" w:hanging="18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lang w:val="ro-MD"/>
              </w:rPr>
            </w:pPr>
            <w:r w:rsidRPr="00EC2E90">
              <w:rPr>
                <w:rFonts w:asciiTheme="majorHAnsi" w:hAnsiTheme="majorHAnsi" w:cstheme="majorHAnsi"/>
                <w:sz w:val="16"/>
                <w:szCs w:val="16"/>
                <w:lang w:val="ro-MD"/>
              </w:rPr>
              <w:t xml:space="preserve">Ordinul MF nr. 158 din 25.09.2018 cu privire la aprobarea Regulamentului privind modalitatea efectuării stimulării fiscale pentru sumele reflectate în Sistemul de </w:t>
            </w:r>
            <w:proofErr w:type="spellStart"/>
            <w:r w:rsidRPr="00EC2E90">
              <w:rPr>
                <w:rFonts w:asciiTheme="majorHAnsi" w:hAnsiTheme="majorHAnsi" w:cstheme="majorHAnsi"/>
                <w:sz w:val="16"/>
                <w:szCs w:val="16"/>
                <w:lang w:val="ro-MD"/>
              </w:rPr>
              <w:t>evidenţă</w:t>
            </w:r>
            <w:proofErr w:type="spellEnd"/>
            <w:r w:rsidRPr="00EC2E90">
              <w:rPr>
                <w:rFonts w:asciiTheme="majorHAnsi" w:hAnsiTheme="majorHAnsi" w:cstheme="majorHAnsi"/>
                <w:sz w:val="16"/>
                <w:szCs w:val="16"/>
                <w:lang w:val="ro-MD"/>
              </w:rPr>
              <w:t xml:space="preserve"> al Serviciului Fiscal de Stat </w:t>
            </w:r>
            <w:proofErr w:type="spellStart"/>
            <w:r w:rsidRPr="00EC2E90">
              <w:rPr>
                <w:rFonts w:asciiTheme="majorHAnsi" w:hAnsiTheme="majorHAnsi" w:cstheme="majorHAnsi"/>
                <w:sz w:val="16"/>
                <w:szCs w:val="16"/>
                <w:lang w:val="ro-MD"/>
              </w:rPr>
              <w:t>şi</w:t>
            </w:r>
            <w:proofErr w:type="spellEnd"/>
            <w:r w:rsidRPr="00EC2E90">
              <w:rPr>
                <w:rFonts w:asciiTheme="majorHAnsi" w:hAnsiTheme="majorHAnsi" w:cstheme="majorHAnsi"/>
                <w:sz w:val="16"/>
                <w:szCs w:val="16"/>
                <w:lang w:val="ro-MD"/>
              </w:rPr>
              <w:t xml:space="preserve"> al Serviciului Vamal</w:t>
            </w:r>
            <w:r w:rsidR="00D03B41">
              <w:rPr>
                <w:rFonts w:asciiTheme="majorHAnsi" w:hAnsiTheme="majorHAnsi" w:cstheme="majorHAnsi"/>
                <w:sz w:val="16"/>
                <w:szCs w:val="16"/>
                <w:lang w:val="ro-MD"/>
              </w:rPr>
              <w:t>;</w:t>
            </w:r>
          </w:p>
        </w:tc>
      </w:tr>
      <w:tr w:rsidR="0040684A" w:rsidRPr="00A75DCE" w:rsidTr="00EC2E90">
        <w:trPr>
          <w:trHeight w:val="64"/>
        </w:trPr>
        <w:tc>
          <w:tcPr>
            <w:cnfStyle w:val="001000000000" w:firstRow="0" w:lastRow="0" w:firstColumn="1" w:lastColumn="0" w:oddVBand="0" w:evenVBand="0" w:oddHBand="0" w:evenHBand="0" w:firstRowFirstColumn="0" w:firstRowLastColumn="0" w:lastRowFirstColumn="0" w:lastRowLastColumn="0"/>
            <w:tcW w:w="2430" w:type="dxa"/>
            <w:tcBorders>
              <w:left w:val="single" w:sz="4" w:space="0" w:color="auto"/>
              <w:bottom w:val="single" w:sz="4" w:space="0" w:color="auto"/>
            </w:tcBorders>
          </w:tcPr>
          <w:p w:rsidR="0040684A" w:rsidRPr="00A75DCE" w:rsidRDefault="0040684A" w:rsidP="0040684A">
            <w:pPr>
              <w:jc w:val="both"/>
              <w:rPr>
                <w:rFonts w:cstheme="majorHAnsi"/>
                <w:sz w:val="20"/>
                <w:szCs w:val="20"/>
                <w:lang w:val="ro-MD"/>
              </w:rPr>
            </w:pPr>
          </w:p>
          <w:p w:rsidR="0040684A" w:rsidRPr="00A75DCE" w:rsidRDefault="0040684A" w:rsidP="0040684A">
            <w:pPr>
              <w:jc w:val="both"/>
              <w:rPr>
                <w:rFonts w:cstheme="majorHAnsi"/>
                <w:sz w:val="20"/>
                <w:szCs w:val="20"/>
                <w:lang w:val="ro-MD"/>
              </w:rPr>
            </w:pPr>
            <w:r w:rsidRPr="00A75DCE">
              <w:rPr>
                <w:rFonts w:cstheme="majorHAnsi"/>
                <w:sz w:val="20"/>
                <w:szCs w:val="20"/>
                <w:lang w:val="ro-MD"/>
              </w:rPr>
              <w:t xml:space="preserve">Analiza restanțelor și întocmirea listelor contribuabililor restanțieri </w:t>
            </w:r>
          </w:p>
        </w:tc>
        <w:tc>
          <w:tcPr>
            <w:tcW w:w="2430" w:type="dxa"/>
            <w:gridSpan w:val="2"/>
            <w:tcBorders>
              <w:bottom w:val="single" w:sz="4" w:space="0" w:color="auto"/>
            </w:tcBorders>
          </w:tcPr>
          <w:p w:rsidR="0040684A" w:rsidRPr="00A75DCE" w:rsidRDefault="0040684A" w:rsidP="0040684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p>
          <w:p w:rsidR="0040684A" w:rsidRPr="00A75DCE" w:rsidRDefault="0040684A" w:rsidP="0040684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A75DCE">
              <w:rPr>
                <w:rFonts w:asciiTheme="majorHAnsi" w:hAnsiTheme="majorHAnsi" w:cstheme="majorHAnsi"/>
                <w:sz w:val="20"/>
                <w:szCs w:val="20"/>
                <w:lang w:val="ro-MD"/>
              </w:rPr>
              <w:t xml:space="preserve">     802,2                     2 %</w:t>
            </w:r>
          </w:p>
          <w:p w:rsidR="0040684A" w:rsidRPr="00A75DCE" w:rsidRDefault="0040684A" w:rsidP="0040684A">
            <w:pPr>
              <w:ind w:right="-1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A75DCE">
              <w:rPr>
                <w:rFonts w:asciiTheme="majorHAnsi" w:hAnsiTheme="majorHAnsi" w:cstheme="majorHAnsi"/>
                <w:sz w:val="20"/>
                <w:szCs w:val="20"/>
                <w:lang w:val="ro-MD"/>
              </w:rPr>
              <w:t xml:space="preserve">                             16,7 mil. lei</w:t>
            </w:r>
          </w:p>
          <w:p w:rsidR="0040684A" w:rsidRPr="00A75DCE" w:rsidRDefault="0040684A" w:rsidP="0040684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p>
          <w:p w:rsidR="0040684A" w:rsidRPr="00A75DCE" w:rsidRDefault="0040684A" w:rsidP="0040684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p>
          <w:p w:rsidR="0040684A" w:rsidRPr="00A75DCE" w:rsidRDefault="0040684A" w:rsidP="0040684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p>
          <w:p w:rsidR="0040684A" w:rsidRPr="00A75DCE" w:rsidRDefault="00A75DCE" w:rsidP="0040684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A75DCE">
              <w:rPr>
                <w:rFonts w:asciiTheme="majorHAnsi" w:hAnsiTheme="majorHAnsi" w:cstheme="majorHAnsi"/>
                <w:noProof/>
              </w:rPr>
              <mc:AlternateContent>
                <mc:Choice Requires="wps">
                  <w:drawing>
                    <wp:anchor distT="0" distB="0" distL="114300" distR="114300" simplePos="0" relativeHeight="251666432" behindDoc="0" locked="0" layoutInCell="1" allowOverlap="1" wp14:anchorId="3F64D3E5" wp14:editId="1A21C778">
                      <wp:simplePos x="0" y="0"/>
                      <wp:positionH relativeFrom="column">
                        <wp:posOffset>-22225</wp:posOffset>
                      </wp:positionH>
                      <wp:positionV relativeFrom="paragraph">
                        <wp:posOffset>40640</wp:posOffset>
                      </wp:positionV>
                      <wp:extent cx="1470660" cy="868680"/>
                      <wp:effectExtent l="0" t="0" r="15240" b="26670"/>
                      <wp:wrapNone/>
                      <wp:docPr id="11" name="Double Bracket 11"/>
                      <wp:cNvGraphicFramePr/>
                      <a:graphic xmlns:a="http://schemas.openxmlformats.org/drawingml/2006/main">
                        <a:graphicData uri="http://schemas.microsoft.com/office/word/2010/wordprocessingShape">
                          <wps:wsp>
                            <wps:cNvSpPr/>
                            <wps:spPr>
                              <a:xfrm>
                                <a:off x="0" y="0"/>
                                <a:ext cx="1470660" cy="868680"/>
                              </a:xfrm>
                              <a:prstGeom prst="bracketPair">
                                <a:avLst/>
                              </a:prstGeom>
                            </wps:spPr>
                            <wps:style>
                              <a:lnRef idx="3">
                                <a:schemeClr val="accent3"/>
                              </a:lnRef>
                              <a:fillRef idx="0">
                                <a:schemeClr val="accent3"/>
                              </a:fillRef>
                              <a:effectRef idx="2">
                                <a:schemeClr val="accent3"/>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75D3B" id="Double Bracket 11" o:spid="_x0000_s1026" type="#_x0000_t185" style="position:absolute;margin-left:-1.75pt;margin-top:3.2pt;width:115.8pt;height:6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" strokecolor="#a5a5a5 [3206]" strokeweight="1.75pt">
                      <v:shadow on="t" color="black" opacity="18350f" origin=",.5" offset="0"/>
                    </v:shape>
                  </w:pict>
                </mc:Fallback>
              </mc:AlternateContent>
            </w:r>
          </w:p>
          <w:p w:rsidR="0040684A" w:rsidRPr="00A75DCE" w:rsidRDefault="0040684A" w:rsidP="0040684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lang w:val="ro-MD"/>
              </w:rPr>
            </w:pPr>
            <w:r w:rsidRPr="00A75DCE">
              <w:rPr>
                <w:rFonts w:asciiTheme="majorHAnsi" w:hAnsiTheme="majorHAnsi" w:cstheme="majorHAnsi"/>
                <w:b/>
                <w:sz w:val="16"/>
                <w:szCs w:val="16"/>
                <w:lang w:val="ro-MD"/>
              </w:rPr>
              <w:t xml:space="preserve">Notă: </w:t>
            </w:r>
          </w:p>
          <w:p w:rsidR="0040684A" w:rsidRPr="00A75DCE" w:rsidRDefault="0040684A" w:rsidP="0040684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A75DCE">
              <w:rPr>
                <w:rFonts w:asciiTheme="majorHAnsi" w:hAnsiTheme="majorHAnsi" w:cstheme="majorHAnsi"/>
                <w:sz w:val="16"/>
                <w:szCs w:val="16"/>
                <w:lang w:val="ro-MD"/>
              </w:rPr>
              <w:t>Echipa de audit a utilizat munca DAI</w:t>
            </w:r>
            <w:r w:rsidR="0002757C">
              <w:rPr>
                <w:rFonts w:asciiTheme="majorHAnsi" w:hAnsiTheme="majorHAnsi" w:cstheme="majorHAnsi"/>
                <w:sz w:val="16"/>
                <w:szCs w:val="16"/>
                <w:lang w:val="ro-MD"/>
              </w:rPr>
              <w:t>,</w:t>
            </w:r>
            <w:r w:rsidRPr="00A75DCE">
              <w:rPr>
                <w:rFonts w:asciiTheme="majorHAnsi" w:hAnsiTheme="majorHAnsi" w:cstheme="majorHAnsi"/>
                <w:sz w:val="16"/>
                <w:szCs w:val="16"/>
                <w:lang w:val="ro-MD"/>
              </w:rPr>
              <w:t xml:space="preserve"> reieșind din ce eșantionul verificat a fost limitat</w:t>
            </w:r>
            <w:r w:rsidRPr="00A75DCE">
              <w:rPr>
                <w:rFonts w:asciiTheme="majorHAnsi" w:hAnsiTheme="majorHAnsi" w:cstheme="majorHAnsi"/>
                <w:sz w:val="18"/>
                <w:szCs w:val="18"/>
                <w:lang w:val="ro-MD"/>
              </w:rPr>
              <w:t>.</w:t>
            </w:r>
          </w:p>
        </w:tc>
        <w:tc>
          <w:tcPr>
            <w:tcW w:w="5405" w:type="dxa"/>
            <w:tcBorders>
              <w:bottom w:val="single" w:sz="4" w:space="0" w:color="auto"/>
              <w:right w:val="single" w:sz="4" w:space="0" w:color="auto"/>
            </w:tcBorders>
          </w:tcPr>
          <w:p w:rsidR="0040684A" w:rsidRPr="00EC2E90" w:rsidRDefault="0040684A" w:rsidP="0040684A">
            <w:pPr>
              <w:pStyle w:val="FootnoteText"/>
              <w:numPr>
                <w:ilvl w:val="0"/>
                <w:numId w:val="21"/>
              </w:numPr>
              <w:spacing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ro-MD"/>
              </w:rPr>
            </w:pPr>
            <w:r w:rsidRPr="00EC2E90">
              <w:rPr>
                <w:rFonts w:asciiTheme="majorHAnsi" w:hAnsiTheme="majorHAnsi" w:cstheme="majorHAnsi"/>
                <w:sz w:val="16"/>
                <w:szCs w:val="16"/>
                <w:lang w:val="ro-MD"/>
              </w:rPr>
              <w:t>Ordinul SFS nr. 253 din 09.08.2017 cu privire la aprobarea modalității de repartizare a contribuabililor restanțieri și a dosarelor acestora</w:t>
            </w:r>
            <w:r w:rsidR="0002757C">
              <w:rPr>
                <w:rFonts w:asciiTheme="majorHAnsi" w:hAnsiTheme="majorHAnsi" w:cstheme="majorHAnsi"/>
                <w:sz w:val="16"/>
                <w:szCs w:val="16"/>
                <w:lang w:val="ro-MD"/>
              </w:rPr>
              <w:t xml:space="preserve"> (</w:t>
            </w:r>
            <w:r w:rsidRPr="00EC2E90">
              <w:rPr>
                <w:rFonts w:asciiTheme="majorHAnsi" w:hAnsiTheme="majorHAnsi" w:cstheme="majorHAnsi"/>
                <w:sz w:val="16"/>
                <w:szCs w:val="16"/>
                <w:lang w:val="ro-MD"/>
              </w:rPr>
              <w:t>cu modificările și completările ulterioare</w:t>
            </w:r>
            <w:r w:rsidR="0002757C">
              <w:rPr>
                <w:rFonts w:asciiTheme="majorHAnsi" w:hAnsiTheme="majorHAnsi" w:cstheme="majorHAnsi"/>
                <w:sz w:val="16"/>
                <w:szCs w:val="16"/>
                <w:lang w:val="ro-MD"/>
              </w:rPr>
              <w:t>)</w:t>
            </w:r>
            <w:r w:rsidRPr="00EC2E90">
              <w:rPr>
                <w:rFonts w:asciiTheme="majorHAnsi" w:hAnsiTheme="majorHAnsi" w:cstheme="majorHAnsi"/>
                <w:sz w:val="16"/>
                <w:szCs w:val="16"/>
                <w:lang w:val="ro-MD"/>
              </w:rPr>
              <w:t>;</w:t>
            </w:r>
          </w:p>
          <w:p w:rsidR="0040684A" w:rsidRPr="00EC2E90" w:rsidRDefault="0040684A" w:rsidP="0040684A">
            <w:pPr>
              <w:pStyle w:val="FootnoteText"/>
              <w:numPr>
                <w:ilvl w:val="0"/>
                <w:numId w:val="21"/>
              </w:numPr>
              <w:spacing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ro-MD"/>
              </w:rPr>
            </w:pPr>
            <w:r w:rsidRPr="00EC2E90">
              <w:rPr>
                <w:rFonts w:asciiTheme="majorHAnsi" w:hAnsiTheme="majorHAnsi" w:cstheme="majorHAnsi"/>
                <w:sz w:val="16"/>
                <w:szCs w:val="16"/>
                <w:lang w:val="ro-MD"/>
              </w:rPr>
              <w:t>Ordinul SFS nr. 42 din 31.01.2018 cu privire la aprobarea Manualului operațional privind managementul arieratelor</w:t>
            </w:r>
            <w:r w:rsidR="0002757C">
              <w:rPr>
                <w:rFonts w:asciiTheme="majorHAnsi" w:hAnsiTheme="majorHAnsi" w:cstheme="majorHAnsi"/>
                <w:sz w:val="16"/>
                <w:szCs w:val="16"/>
                <w:lang w:val="ro-MD"/>
              </w:rPr>
              <w:t xml:space="preserve"> (</w:t>
            </w:r>
            <w:r w:rsidRPr="00EC2E90">
              <w:rPr>
                <w:rFonts w:asciiTheme="majorHAnsi" w:hAnsiTheme="majorHAnsi" w:cstheme="majorHAnsi"/>
                <w:sz w:val="16"/>
                <w:szCs w:val="16"/>
                <w:lang w:val="ro-MD"/>
              </w:rPr>
              <w:t xml:space="preserve">cu modificările </w:t>
            </w:r>
            <w:proofErr w:type="spellStart"/>
            <w:r w:rsidRPr="00EC2E90">
              <w:rPr>
                <w:rFonts w:asciiTheme="majorHAnsi" w:hAnsiTheme="majorHAnsi" w:cstheme="majorHAnsi"/>
                <w:sz w:val="16"/>
                <w:szCs w:val="16"/>
                <w:lang w:val="ro-MD"/>
              </w:rPr>
              <w:t>şi</w:t>
            </w:r>
            <w:proofErr w:type="spellEnd"/>
            <w:r w:rsidRPr="00EC2E90">
              <w:rPr>
                <w:rFonts w:asciiTheme="majorHAnsi" w:hAnsiTheme="majorHAnsi" w:cstheme="majorHAnsi"/>
                <w:sz w:val="16"/>
                <w:szCs w:val="16"/>
                <w:lang w:val="ro-MD"/>
              </w:rPr>
              <w:t xml:space="preserve"> completările ulterioare</w:t>
            </w:r>
            <w:r w:rsidR="0002757C">
              <w:rPr>
                <w:rFonts w:asciiTheme="majorHAnsi" w:hAnsiTheme="majorHAnsi" w:cstheme="majorHAnsi"/>
                <w:sz w:val="16"/>
                <w:szCs w:val="16"/>
                <w:lang w:val="ro-MD"/>
              </w:rPr>
              <w:t>)</w:t>
            </w:r>
            <w:r w:rsidRPr="00EC2E90">
              <w:rPr>
                <w:rFonts w:asciiTheme="majorHAnsi" w:hAnsiTheme="majorHAnsi" w:cstheme="majorHAnsi"/>
                <w:sz w:val="16"/>
                <w:szCs w:val="16"/>
                <w:lang w:val="ro-MD"/>
              </w:rPr>
              <w:t>;</w:t>
            </w:r>
          </w:p>
          <w:p w:rsidR="0040684A" w:rsidRPr="00EC2E90" w:rsidRDefault="0040684A" w:rsidP="0040684A">
            <w:pPr>
              <w:pStyle w:val="FootnoteText"/>
              <w:numPr>
                <w:ilvl w:val="0"/>
                <w:numId w:val="21"/>
              </w:numPr>
              <w:spacing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ro-MD"/>
              </w:rPr>
            </w:pPr>
            <w:r w:rsidRPr="00EC2E90">
              <w:rPr>
                <w:rFonts w:asciiTheme="majorHAnsi" w:hAnsiTheme="majorHAnsi" w:cstheme="majorHAnsi"/>
                <w:sz w:val="16"/>
                <w:szCs w:val="16"/>
                <w:lang w:val="ro-MD"/>
              </w:rPr>
              <w:t>Circulara SFS nr. 26-06/2-08/8636 din 20.11.2017</w:t>
            </w:r>
            <w:r w:rsidR="00D03B41">
              <w:rPr>
                <w:rFonts w:asciiTheme="majorHAnsi" w:hAnsiTheme="majorHAnsi" w:cstheme="majorHAnsi"/>
                <w:sz w:val="16"/>
                <w:szCs w:val="16"/>
                <w:lang w:val="ro-MD"/>
              </w:rPr>
              <w:t>,</w:t>
            </w:r>
            <w:r w:rsidRPr="00EC2E90">
              <w:rPr>
                <w:rFonts w:asciiTheme="majorHAnsi" w:hAnsiTheme="majorHAnsi" w:cstheme="majorHAnsi"/>
                <w:sz w:val="16"/>
                <w:szCs w:val="16"/>
                <w:lang w:val="ro-MD"/>
              </w:rPr>
              <w:t xml:space="preserve"> prin care s-a stabilit forma de prezentare a listei restanțierilor de către DDF către DGA;</w:t>
            </w:r>
          </w:p>
          <w:p w:rsidR="0040684A" w:rsidRPr="00EC2E90" w:rsidRDefault="0040684A" w:rsidP="0040684A">
            <w:pPr>
              <w:pStyle w:val="FootnoteText"/>
              <w:numPr>
                <w:ilvl w:val="0"/>
                <w:numId w:val="21"/>
              </w:numPr>
              <w:spacing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ro-MD"/>
              </w:rPr>
            </w:pPr>
            <w:r w:rsidRPr="00EC2E90">
              <w:rPr>
                <w:rFonts w:asciiTheme="majorHAnsi" w:hAnsiTheme="majorHAnsi" w:cstheme="majorHAnsi"/>
                <w:sz w:val="16"/>
                <w:szCs w:val="16"/>
                <w:lang w:val="ro-MD"/>
              </w:rPr>
              <w:t xml:space="preserve">Circulara SFS nr.26-06/2-08/2053 din 28.11.2017 cu privire la prezentarea listei restanțierilor de către DDF </w:t>
            </w:r>
            <w:r w:rsidR="0002757C">
              <w:rPr>
                <w:rFonts w:asciiTheme="majorHAnsi" w:hAnsiTheme="majorHAnsi" w:cstheme="majorHAnsi"/>
                <w:sz w:val="16"/>
                <w:szCs w:val="16"/>
                <w:lang w:val="ro-MD"/>
              </w:rPr>
              <w:t xml:space="preserve">în </w:t>
            </w:r>
            <w:r w:rsidRPr="00EC2E90">
              <w:rPr>
                <w:rFonts w:asciiTheme="majorHAnsi" w:hAnsiTheme="majorHAnsi" w:cstheme="majorHAnsi"/>
                <w:sz w:val="16"/>
                <w:szCs w:val="16"/>
                <w:lang w:val="ro-MD"/>
              </w:rPr>
              <w:t>adresa DGA din cadrul DGAF mun. Chișinău;</w:t>
            </w:r>
          </w:p>
          <w:p w:rsidR="0040684A" w:rsidRPr="00EC2E90" w:rsidRDefault="0040684A" w:rsidP="0040684A">
            <w:pPr>
              <w:pStyle w:val="FootnoteText"/>
              <w:numPr>
                <w:ilvl w:val="0"/>
                <w:numId w:val="21"/>
              </w:numPr>
              <w:spacing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ro-MD"/>
              </w:rPr>
            </w:pPr>
            <w:r w:rsidRPr="00EC2E90">
              <w:rPr>
                <w:rFonts w:asciiTheme="majorHAnsi" w:hAnsiTheme="majorHAnsi" w:cstheme="majorHAnsi"/>
                <w:sz w:val="16"/>
                <w:szCs w:val="16"/>
                <w:lang w:val="ro-MD"/>
              </w:rPr>
              <w:t>Ordinul SFS nr. 227 din 24.05.2019 cu privire la aprobarea Regulamentului privind lucru</w:t>
            </w:r>
            <w:r w:rsidR="0002757C">
              <w:rPr>
                <w:rFonts w:asciiTheme="majorHAnsi" w:hAnsiTheme="majorHAnsi" w:cstheme="majorHAnsi"/>
                <w:sz w:val="16"/>
                <w:szCs w:val="16"/>
                <w:lang w:val="ro-MD"/>
              </w:rPr>
              <w:t>l</w:t>
            </w:r>
            <w:r w:rsidRPr="00EC2E90">
              <w:rPr>
                <w:rFonts w:asciiTheme="majorHAnsi" w:hAnsiTheme="majorHAnsi" w:cstheme="majorHAnsi"/>
                <w:sz w:val="16"/>
                <w:szCs w:val="16"/>
                <w:lang w:val="ro-MD"/>
              </w:rPr>
              <w:t xml:space="preserve"> cu contribuabilii restanțieri și modul de conlucrare între subdiviziunile SFS;</w:t>
            </w:r>
          </w:p>
          <w:p w:rsidR="0040684A" w:rsidRPr="00EC2E90" w:rsidRDefault="0040684A" w:rsidP="0040684A">
            <w:pPr>
              <w:pStyle w:val="FootnoteText"/>
              <w:numPr>
                <w:ilvl w:val="0"/>
                <w:numId w:val="21"/>
              </w:numPr>
              <w:spacing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ro-MD"/>
              </w:rPr>
            </w:pPr>
            <w:r w:rsidRPr="00EC2E90">
              <w:rPr>
                <w:rFonts w:asciiTheme="majorHAnsi" w:hAnsiTheme="majorHAnsi" w:cstheme="majorHAnsi"/>
                <w:sz w:val="16"/>
                <w:szCs w:val="16"/>
                <w:lang w:val="ro-MD"/>
              </w:rPr>
              <w:t xml:space="preserve">Ordinul SFS nr. 279 din 28.06.2019 </w:t>
            </w:r>
            <w:r w:rsidR="0002757C">
              <w:rPr>
                <w:rFonts w:asciiTheme="majorHAnsi" w:hAnsiTheme="majorHAnsi" w:cstheme="majorHAnsi"/>
                <w:sz w:val="16"/>
                <w:szCs w:val="16"/>
                <w:lang w:val="ro-MD"/>
              </w:rPr>
              <w:t>c</w:t>
            </w:r>
            <w:r w:rsidRPr="00EC2E90">
              <w:rPr>
                <w:rFonts w:asciiTheme="majorHAnsi" w:hAnsiTheme="majorHAnsi" w:cstheme="majorHAnsi"/>
                <w:sz w:val="16"/>
                <w:szCs w:val="16"/>
                <w:lang w:val="ro-MD"/>
              </w:rPr>
              <w:t>u privire la modificarea Ordinului SFS nr. 227 din 24.05.2019;</w:t>
            </w:r>
          </w:p>
          <w:p w:rsidR="0040684A" w:rsidRPr="00EC2E90" w:rsidRDefault="0040684A" w:rsidP="0040684A">
            <w:pPr>
              <w:pStyle w:val="FootnoteText"/>
              <w:numPr>
                <w:ilvl w:val="0"/>
                <w:numId w:val="21"/>
              </w:numPr>
              <w:spacing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ro-MD"/>
              </w:rPr>
            </w:pPr>
            <w:r w:rsidRPr="00EC2E90">
              <w:rPr>
                <w:rFonts w:asciiTheme="majorHAnsi" w:hAnsiTheme="majorHAnsi" w:cstheme="majorHAnsi"/>
                <w:sz w:val="16"/>
                <w:szCs w:val="16"/>
                <w:lang w:val="ro-MD"/>
              </w:rPr>
              <w:t>Ordinul SFS nr. 69 din 28.04.2017 cu privire la aprobarea Regulamentului provizoriu privind lucru</w:t>
            </w:r>
            <w:r w:rsidR="0002757C">
              <w:rPr>
                <w:rFonts w:asciiTheme="majorHAnsi" w:hAnsiTheme="majorHAnsi" w:cstheme="majorHAnsi"/>
                <w:sz w:val="16"/>
                <w:szCs w:val="16"/>
                <w:lang w:val="ro-MD"/>
              </w:rPr>
              <w:t>l</w:t>
            </w:r>
            <w:r w:rsidRPr="00EC2E90">
              <w:rPr>
                <w:rFonts w:asciiTheme="majorHAnsi" w:hAnsiTheme="majorHAnsi" w:cstheme="majorHAnsi"/>
                <w:sz w:val="16"/>
                <w:szCs w:val="16"/>
                <w:lang w:val="ro-MD"/>
              </w:rPr>
              <w:t xml:space="preserve"> cu restanțierii și modul de conlucrare între subdiviziunile SFS</w:t>
            </w:r>
            <w:r w:rsidR="0002757C">
              <w:rPr>
                <w:rFonts w:asciiTheme="majorHAnsi" w:hAnsiTheme="majorHAnsi" w:cstheme="majorHAnsi"/>
                <w:sz w:val="16"/>
                <w:szCs w:val="16"/>
                <w:lang w:val="ro-MD"/>
              </w:rPr>
              <w:t xml:space="preserve"> (</w:t>
            </w:r>
            <w:r w:rsidRPr="00EC2E90">
              <w:rPr>
                <w:rFonts w:asciiTheme="majorHAnsi" w:hAnsiTheme="majorHAnsi" w:cstheme="majorHAnsi"/>
                <w:sz w:val="16"/>
                <w:szCs w:val="16"/>
                <w:lang w:val="ro-MD"/>
              </w:rPr>
              <w:t xml:space="preserve"> cu modificările și completările ulterioare</w:t>
            </w:r>
            <w:r w:rsidR="0002757C">
              <w:rPr>
                <w:rFonts w:asciiTheme="majorHAnsi" w:hAnsiTheme="majorHAnsi" w:cstheme="majorHAnsi"/>
                <w:sz w:val="16"/>
                <w:szCs w:val="16"/>
                <w:lang w:val="ro-MD"/>
              </w:rPr>
              <w:t>)</w:t>
            </w:r>
            <w:r w:rsidRPr="00EC2E90">
              <w:rPr>
                <w:rFonts w:asciiTheme="majorHAnsi" w:hAnsiTheme="majorHAnsi" w:cstheme="majorHAnsi"/>
                <w:sz w:val="16"/>
                <w:szCs w:val="16"/>
                <w:lang w:val="ro-MD"/>
              </w:rPr>
              <w:t>.</w:t>
            </w:r>
          </w:p>
        </w:tc>
      </w:tr>
      <w:tr w:rsidR="00E76E15" w:rsidRPr="00A75DCE" w:rsidTr="00EC2E9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0265" w:type="dxa"/>
            <w:gridSpan w:val="4"/>
            <w:tcBorders>
              <w:top w:val="single" w:sz="4" w:space="0" w:color="auto"/>
              <w:left w:val="single" w:sz="4" w:space="0" w:color="auto"/>
              <w:right w:val="single" w:sz="4" w:space="0" w:color="auto"/>
            </w:tcBorders>
            <w:shd w:val="clear" w:color="auto" w:fill="DEEAF6" w:themeFill="accent1" w:themeFillTint="33"/>
            <w:vAlign w:val="center"/>
          </w:tcPr>
          <w:p w:rsidR="00E76E15" w:rsidRPr="00EC2E90" w:rsidRDefault="00E76E15" w:rsidP="00381A16">
            <w:pPr>
              <w:jc w:val="both"/>
              <w:rPr>
                <w:rFonts w:cstheme="majorHAnsi"/>
                <w:i w:val="0"/>
                <w:sz w:val="16"/>
                <w:szCs w:val="16"/>
                <w:lang w:val="ro-MD"/>
              </w:rPr>
            </w:pPr>
            <w:r w:rsidRPr="00EC2E90">
              <w:rPr>
                <w:rFonts w:cstheme="majorHAnsi"/>
                <w:i w:val="0"/>
                <w:sz w:val="16"/>
                <w:szCs w:val="16"/>
                <w:lang w:val="ro-MD"/>
              </w:rPr>
              <w:t>(3 ) SFS a aplicat toate măsurile legale de executare silită în vederea recuperării arieratelor?</w:t>
            </w:r>
          </w:p>
        </w:tc>
      </w:tr>
      <w:tr w:rsidR="00A75DCE" w:rsidRPr="00A75DCE" w:rsidTr="008E5D14">
        <w:tc>
          <w:tcPr>
            <w:cnfStyle w:val="001000000000" w:firstRow="0" w:lastRow="0" w:firstColumn="1" w:lastColumn="0" w:oddVBand="0" w:evenVBand="0" w:oddHBand="0" w:evenHBand="0" w:firstRowFirstColumn="0" w:firstRowLastColumn="0" w:lastRowFirstColumn="0" w:lastRowLastColumn="0"/>
            <w:tcW w:w="2430" w:type="dxa"/>
            <w:tcBorders>
              <w:left w:val="single" w:sz="4" w:space="0" w:color="auto"/>
            </w:tcBorders>
          </w:tcPr>
          <w:p w:rsidR="0040684A" w:rsidRPr="00A75DCE" w:rsidRDefault="0040684A" w:rsidP="0040684A">
            <w:pPr>
              <w:jc w:val="both"/>
              <w:rPr>
                <w:rFonts w:cstheme="majorHAnsi"/>
                <w:sz w:val="20"/>
                <w:szCs w:val="20"/>
                <w:lang w:val="ro-MD"/>
              </w:rPr>
            </w:pPr>
            <w:r w:rsidRPr="00A75DCE">
              <w:rPr>
                <w:rFonts w:cstheme="majorHAnsi"/>
                <w:sz w:val="20"/>
                <w:szCs w:val="20"/>
                <w:lang w:val="ro-MD"/>
              </w:rPr>
              <w:t>Managementul arieratelor, inclusiv:</w:t>
            </w:r>
          </w:p>
          <w:p w:rsidR="0040684A" w:rsidRPr="00A75DCE" w:rsidRDefault="0040684A" w:rsidP="0040684A">
            <w:pPr>
              <w:jc w:val="both"/>
              <w:rPr>
                <w:rFonts w:cstheme="majorHAnsi"/>
                <w:sz w:val="20"/>
                <w:szCs w:val="20"/>
                <w:lang w:val="ro-MD"/>
              </w:rPr>
            </w:pPr>
          </w:p>
          <w:p w:rsidR="0040684A" w:rsidRPr="00A75DCE" w:rsidRDefault="0040684A" w:rsidP="0040684A">
            <w:pPr>
              <w:pStyle w:val="ListParagraph"/>
              <w:numPr>
                <w:ilvl w:val="0"/>
                <w:numId w:val="23"/>
              </w:numPr>
              <w:tabs>
                <w:tab w:val="left" w:pos="162"/>
                <w:tab w:val="left" w:pos="372"/>
              </w:tabs>
              <w:ind w:left="-18" w:right="-102" w:firstLine="0"/>
              <w:jc w:val="both"/>
              <w:rPr>
                <w:rFonts w:cstheme="majorHAnsi"/>
                <w:sz w:val="20"/>
                <w:szCs w:val="20"/>
                <w:lang w:val="ro-MD"/>
              </w:rPr>
            </w:pPr>
            <w:r w:rsidRPr="00A75DCE">
              <w:rPr>
                <w:rFonts w:cstheme="majorHAnsi"/>
                <w:sz w:val="20"/>
                <w:szCs w:val="20"/>
                <w:lang w:val="ro-MD"/>
              </w:rPr>
              <w:t>măsurile de executare silită</w:t>
            </w:r>
            <w:r w:rsidR="0002757C">
              <w:rPr>
                <w:rFonts w:cstheme="majorHAnsi"/>
                <w:sz w:val="20"/>
                <w:szCs w:val="20"/>
                <w:lang w:val="ro-MD"/>
              </w:rPr>
              <w:t>;</w:t>
            </w:r>
          </w:p>
          <w:p w:rsidR="0040684A" w:rsidRPr="00A75DCE" w:rsidRDefault="0040684A" w:rsidP="0040684A">
            <w:pPr>
              <w:pStyle w:val="ListParagraph"/>
              <w:tabs>
                <w:tab w:val="left" w:pos="180"/>
                <w:tab w:val="left" w:pos="372"/>
              </w:tabs>
              <w:ind w:left="-18"/>
              <w:jc w:val="both"/>
              <w:rPr>
                <w:rFonts w:cstheme="majorHAnsi"/>
                <w:sz w:val="20"/>
                <w:szCs w:val="20"/>
                <w:lang w:val="ro-MD"/>
              </w:rPr>
            </w:pPr>
          </w:p>
          <w:p w:rsidR="0040684A" w:rsidRPr="00A75DCE" w:rsidRDefault="0040684A" w:rsidP="0040684A">
            <w:pPr>
              <w:pStyle w:val="ListParagraph"/>
              <w:numPr>
                <w:ilvl w:val="0"/>
                <w:numId w:val="23"/>
              </w:numPr>
              <w:tabs>
                <w:tab w:val="left" w:pos="180"/>
                <w:tab w:val="left" w:pos="372"/>
              </w:tabs>
              <w:ind w:left="-18" w:firstLine="0"/>
              <w:jc w:val="both"/>
              <w:rPr>
                <w:rFonts w:cstheme="majorHAnsi"/>
                <w:sz w:val="20"/>
                <w:szCs w:val="20"/>
                <w:lang w:val="ro-MD"/>
              </w:rPr>
            </w:pPr>
            <w:r w:rsidRPr="00A75DCE">
              <w:rPr>
                <w:rFonts w:cstheme="majorHAnsi"/>
                <w:sz w:val="20"/>
                <w:szCs w:val="20"/>
                <w:lang w:val="ro-MD"/>
              </w:rPr>
              <w:t>documente</w:t>
            </w:r>
            <w:r w:rsidR="0002757C">
              <w:rPr>
                <w:rFonts w:cstheme="majorHAnsi"/>
                <w:sz w:val="20"/>
                <w:szCs w:val="20"/>
                <w:lang w:val="ro-MD"/>
              </w:rPr>
              <w:t>le</w:t>
            </w:r>
            <w:r w:rsidRPr="00A75DCE">
              <w:rPr>
                <w:rFonts w:cstheme="majorHAnsi"/>
                <w:sz w:val="20"/>
                <w:szCs w:val="20"/>
                <w:lang w:val="ro-MD"/>
              </w:rPr>
              <w:t xml:space="preserve"> executorii remise de către DGA mun. Chișinău spre executare executorilor judecătorești </w:t>
            </w:r>
          </w:p>
          <w:p w:rsidR="0040684A" w:rsidRPr="00A75DCE" w:rsidRDefault="0040684A" w:rsidP="0040684A">
            <w:pPr>
              <w:jc w:val="both"/>
              <w:rPr>
                <w:rFonts w:cstheme="majorHAnsi"/>
                <w:i w:val="0"/>
                <w:iCs w:val="0"/>
                <w:sz w:val="20"/>
                <w:szCs w:val="20"/>
                <w:lang w:val="ro-MD"/>
              </w:rPr>
            </w:pPr>
          </w:p>
        </w:tc>
        <w:tc>
          <w:tcPr>
            <w:tcW w:w="1080" w:type="dxa"/>
          </w:tcPr>
          <w:p w:rsidR="0040684A" w:rsidRPr="00A75DCE" w:rsidRDefault="0040684A" w:rsidP="0040684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p>
          <w:p w:rsidR="0040684A" w:rsidRPr="00A75DCE" w:rsidRDefault="0040684A" w:rsidP="0040684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p>
          <w:p w:rsidR="0040684A" w:rsidRPr="00A75DCE" w:rsidRDefault="0040684A" w:rsidP="0040684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p>
          <w:p w:rsidR="0040684A" w:rsidRPr="00A75DCE" w:rsidRDefault="0040684A" w:rsidP="0040684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A75DCE">
              <w:rPr>
                <w:rFonts w:asciiTheme="majorHAnsi" w:hAnsiTheme="majorHAnsi" w:cstheme="majorHAnsi"/>
                <w:sz w:val="20"/>
                <w:szCs w:val="20"/>
                <w:lang w:val="ro-MD"/>
              </w:rPr>
              <w:t xml:space="preserve">802,2 </w:t>
            </w:r>
          </w:p>
          <w:p w:rsidR="0040684A" w:rsidRPr="00A75DCE" w:rsidRDefault="0040684A" w:rsidP="0040684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p>
          <w:p w:rsidR="0040684A" w:rsidRPr="00A75DCE" w:rsidRDefault="0040684A" w:rsidP="0040684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p>
          <w:p w:rsidR="0040684A" w:rsidRPr="00A75DCE" w:rsidRDefault="0040684A" w:rsidP="0040684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A75DCE">
              <w:rPr>
                <w:rFonts w:asciiTheme="majorHAnsi" w:hAnsiTheme="majorHAnsi" w:cstheme="majorHAnsi"/>
                <w:sz w:val="20"/>
                <w:szCs w:val="20"/>
                <w:lang w:val="ro-MD"/>
              </w:rPr>
              <w:t>887,5</w:t>
            </w:r>
          </w:p>
        </w:tc>
        <w:tc>
          <w:tcPr>
            <w:tcW w:w="1350" w:type="dxa"/>
          </w:tcPr>
          <w:p w:rsidR="0040684A" w:rsidRPr="00A75DCE" w:rsidRDefault="0040684A" w:rsidP="0040684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p>
          <w:p w:rsidR="0040684A" w:rsidRPr="00A75DCE" w:rsidRDefault="0040684A" w:rsidP="0040684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p>
          <w:p w:rsidR="0040684A" w:rsidRPr="00A75DCE" w:rsidRDefault="0040684A" w:rsidP="0040684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p>
          <w:p w:rsidR="0040684A" w:rsidRPr="00A75DCE" w:rsidRDefault="0040684A" w:rsidP="0040684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A75DCE">
              <w:rPr>
                <w:rFonts w:asciiTheme="majorHAnsi" w:hAnsiTheme="majorHAnsi" w:cstheme="majorHAnsi"/>
                <w:sz w:val="20"/>
                <w:szCs w:val="20"/>
                <w:lang w:val="ro-MD"/>
              </w:rPr>
              <w:t>17 %</w:t>
            </w:r>
          </w:p>
          <w:p w:rsidR="0040684A" w:rsidRPr="00A75DCE" w:rsidRDefault="0040684A" w:rsidP="0040684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A75DCE">
              <w:rPr>
                <w:rFonts w:asciiTheme="majorHAnsi" w:hAnsiTheme="majorHAnsi" w:cstheme="majorHAnsi"/>
                <w:sz w:val="20"/>
                <w:szCs w:val="20"/>
                <w:lang w:val="ro-MD"/>
              </w:rPr>
              <w:t>131,1 mil</w:t>
            </w:r>
            <w:r w:rsidR="0002757C">
              <w:rPr>
                <w:rFonts w:asciiTheme="majorHAnsi" w:hAnsiTheme="majorHAnsi" w:cstheme="majorHAnsi"/>
                <w:sz w:val="20"/>
                <w:szCs w:val="20"/>
                <w:lang w:val="ro-MD"/>
              </w:rPr>
              <w:t>.</w:t>
            </w:r>
            <w:r w:rsidRPr="00A75DCE">
              <w:rPr>
                <w:rFonts w:asciiTheme="majorHAnsi" w:hAnsiTheme="majorHAnsi" w:cstheme="majorHAnsi"/>
                <w:sz w:val="20"/>
                <w:szCs w:val="20"/>
                <w:lang w:val="ro-MD"/>
              </w:rPr>
              <w:t xml:space="preserve"> lei</w:t>
            </w:r>
          </w:p>
          <w:p w:rsidR="0040684A" w:rsidRPr="00A75DCE" w:rsidRDefault="0040684A" w:rsidP="0040684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p>
          <w:p w:rsidR="0040684A" w:rsidRPr="00A75DCE" w:rsidRDefault="0040684A" w:rsidP="0040684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A75DCE">
              <w:rPr>
                <w:rFonts w:asciiTheme="majorHAnsi" w:hAnsiTheme="majorHAnsi" w:cstheme="majorHAnsi"/>
                <w:sz w:val="20"/>
                <w:szCs w:val="20"/>
                <w:lang w:val="ro-MD"/>
              </w:rPr>
              <w:t>8%</w:t>
            </w:r>
          </w:p>
          <w:p w:rsidR="0040684A" w:rsidRPr="00A75DCE" w:rsidRDefault="0040684A" w:rsidP="0040684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A75DCE">
              <w:rPr>
                <w:rFonts w:asciiTheme="majorHAnsi" w:hAnsiTheme="majorHAnsi" w:cstheme="majorHAnsi"/>
                <w:sz w:val="20"/>
                <w:szCs w:val="20"/>
                <w:lang w:val="ro-MD"/>
              </w:rPr>
              <w:t>70,9 mil. lei</w:t>
            </w:r>
          </w:p>
          <w:p w:rsidR="0040684A" w:rsidRPr="00A75DCE" w:rsidRDefault="0040684A" w:rsidP="0040684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p>
          <w:p w:rsidR="0040684A" w:rsidRPr="00A75DCE" w:rsidRDefault="0040684A" w:rsidP="0040684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p>
          <w:p w:rsidR="0040684A" w:rsidRPr="00A75DCE" w:rsidRDefault="0040684A" w:rsidP="0040684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p>
          <w:p w:rsidR="0040684A" w:rsidRPr="00A75DCE" w:rsidRDefault="0040684A" w:rsidP="0040684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p>
        </w:tc>
        <w:tc>
          <w:tcPr>
            <w:tcW w:w="5405" w:type="dxa"/>
            <w:tcBorders>
              <w:right w:val="single" w:sz="4" w:space="0" w:color="auto"/>
            </w:tcBorders>
          </w:tcPr>
          <w:p w:rsidR="0040684A" w:rsidRPr="00EC2E90" w:rsidRDefault="0040684A" w:rsidP="0040684A">
            <w:pPr>
              <w:pStyle w:val="FootnoteText"/>
              <w:numPr>
                <w:ilvl w:val="0"/>
                <w:numId w:val="21"/>
              </w:numPr>
              <w:spacing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ro-MD"/>
              </w:rPr>
            </w:pPr>
            <w:r w:rsidRPr="00EC2E90">
              <w:rPr>
                <w:rFonts w:asciiTheme="majorHAnsi" w:hAnsiTheme="majorHAnsi" w:cstheme="majorHAnsi"/>
                <w:sz w:val="16"/>
                <w:szCs w:val="16"/>
                <w:lang w:val="ro-MD"/>
              </w:rPr>
              <w:t xml:space="preserve">Aplicarea tuturor măsurilor de executare silită prevăzute în Capitolul 9 din Titlul V al Codului </w:t>
            </w:r>
            <w:r w:rsidR="0002757C">
              <w:rPr>
                <w:rFonts w:asciiTheme="majorHAnsi" w:hAnsiTheme="majorHAnsi" w:cstheme="majorHAnsi"/>
                <w:sz w:val="16"/>
                <w:szCs w:val="16"/>
                <w:lang w:val="ro-MD"/>
              </w:rPr>
              <w:t>f</w:t>
            </w:r>
            <w:r w:rsidRPr="00EC2E90">
              <w:rPr>
                <w:rFonts w:asciiTheme="majorHAnsi" w:hAnsiTheme="majorHAnsi" w:cstheme="majorHAnsi"/>
                <w:sz w:val="16"/>
                <w:szCs w:val="16"/>
                <w:lang w:val="ro-MD"/>
              </w:rPr>
              <w:t xml:space="preserve">iscal; </w:t>
            </w:r>
          </w:p>
          <w:p w:rsidR="0040684A" w:rsidRPr="00EC2E90" w:rsidRDefault="0040684A" w:rsidP="0040684A">
            <w:pPr>
              <w:pStyle w:val="FootnoteText"/>
              <w:numPr>
                <w:ilvl w:val="0"/>
                <w:numId w:val="21"/>
              </w:numPr>
              <w:spacing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ro-MD"/>
              </w:rPr>
            </w:pPr>
            <w:r w:rsidRPr="00EC2E90">
              <w:rPr>
                <w:rFonts w:asciiTheme="majorHAnsi" w:hAnsiTheme="majorHAnsi" w:cstheme="majorHAnsi"/>
                <w:sz w:val="16"/>
                <w:szCs w:val="16"/>
                <w:lang w:val="ro-MD"/>
              </w:rPr>
              <w:t>Respe</w:t>
            </w:r>
            <w:r w:rsidR="00D2516B">
              <w:rPr>
                <w:rFonts w:asciiTheme="majorHAnsi" w:hAnsiTheme="majorHAnsi" w:cstheme="majorHAnsi"/>
                <w:sz w:val="16"/>
                <w:szCs w:val="16"/>
                <w:lang w:val="ro-MD"/>
              </w:rPr>
              <w:t xml:space="preserve">ctarea prevederilor Manualului </w:t>
            </w:r>
            <w:r w:rsidRPr="00EC2E90">
              <w:rPr>
                <w:rFonts w:asciiTheme="majorHAnsi" w:hAnsiTheme="majorHAnsi" w:cstheme="majorHAnsi"/>
                <w:sz w:val="16"/>
                <w:szCs w:val="16"/>
                <w:lang w:val="ro-MD"/>
              </w:rPr>
              <w:t xml:space="preserve">operațional </w:t>
            </w:r>
            <w:r w:rsidR="0002757C">
              <w:rPr>
                <w:rFonts w:asciiTheme="majorHAnsi" w:hAnsiTheme="majorHAnsi" w:cstheme="majorHAnsi"/>
                <w:sz w:val="16"/>
                <w:szCs w:val="16"/>
                <w:lang w:val="ro-MD"/>
              </w:rPr>
              <w:t xml:space="preserve">privind </w:t>
            </w:r>
            <w:r w:rsidRPr="00EC2E90">
              <w:rPr>
                <w:rFonts w:asciiTheme="majorHAnsi" w:hAnsiTheme="majorHAnsi" w:cstheme="majorHAnsi"/>
                <w:sz w:val="16"/>
                <w:szCs w:val="16"/>
                <w:lang w:val="ro-MD"/>
              </w:rPr>
              <w:t>managementul arieratelor, aprobat prin Ordinul SFS nr.42 din 31.01.2018 (cu modificările și completările ulterioare);</w:t>
            </w:r>
          </w:p>
          <w:p w:rsidR="0040684A" w:rsidRPr="00EC2E90" w:rsidRDefault="0040684A" w:rsidP="0040684A">
            <w:pPr>
              <w:pStyle w:val="FootnoteText"/>
              <w:numPr>
                <w:ilvl w:val="0"/>
                <w:numId w:val="21"/>
              </w:numPr>
              <w:spacing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ro-MD"/>
              </w:rPr>
            </w:pPr>
            <w:r w:rsidRPr="00EC2E90">
              <w:rPr>
                <w:rFonts w:asciiTheme="majorHAnsi" w:hAnsiTheme="majorHAnsi" w:cstheme="majorHAnsi"/>
                <w:sz w:val="16"/>
                <w:szCs w:val="16"/>
                <w:lang w:val="ro-MD"/>
              </w:rPr>
              <w:t>Prevederile Ordinului Inspectoratului Principal de Stat nr. 143 din 13.09.2002 despre aprobarea formularelor de execut</w:t>
            </w:r>
            <w:r w:rsidR="00D2516B">
              <w:rPr>
                <w:rFonts w:asciiTheme="majorHAnsi" w:hAnsiTheme="majorHAnsi" w:cstheme="majorHAnsi"/>
                <w:sz w:val="16"/>
                <w:szCs w:val="16"/>
                <w:lang w:val="ro-MD"/>
              </w:rPr>
              <w:t>are silită a obligației fiscale</w:t>
            </w:r>
            <w:r w:rsidRPr="00EC2E90">
              <w:rPr>
                <w:rFonts w:asciiTheme="majorHAnsi" w:hAnsiTheme="majorHAnsi" w:cstheme="majorHAnsi"/>
                <w:sz w:val="16"/>
                <w:szCs w:val="16"/>
                <w:lang w:val="ro-MD"/>
              </w:rPr>
              <w:t xml:space="preserve"> (cu completările ulterioare);</w:t>
            </w:r>
          </w:p>
          <w:p w:rsidR="0040684A" w:rsidRPr="00EC2E90" w:rsidRDefault="0040684A" w:rsidP="0040684A">
            <w:pPr>
              <w:pStyle w:val="FootnoteText"/>
              <w:numPr>
                <w:ilvl w:val="0"/>
                <w:numId w:val="21"/>
              </w:numPr>
              <w:spacing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ro-MD"/>
              </w:rPr>
            </w:pPr>
            <w:r w:rsidRPr="00EC2E90">
              <w:rPr>
                <w:rFonts w:asciiTheme="majorHAnsi" w:hAnsiTheme="majorHAnsi" w:cstheme="majorHAnsi"/>
                <w:sz w:val="16"/>
                <w:szCs w:val="16"/>
                <w:lang w:val="ro-MD"/>
              </w:rPr>
              <w:t>Regulamentul propriu de funcționare a DGAF sect. Centru, mun. Chișinău din cadrul SFS;</w:t>
            </w:r>
          </w:p>
          <w:p w:rsidR="0040684A" w:rsidRPr="00EC2E90" w:rsidRDefault="00D2516B" w:rsidP="0040684A">
            <w:pPr>
              <w:pStyle w:val="FootnoteText"/>
              <w:numPr>
                <w:ilvl w:val="0"/>
                <w:numId w:val="21"/>
              </w:numPr>
              <w:spacing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ro-MD"/>
              </w:rPr>
            </w:pPr>
            <w:r>
              <w:rPr>
                <w:rFonts w:asciiTheme="majorHAnsi" w:hAnsiTheme="majorHAnsi" w:cstheme="majorHAnsi"/>
                <w:sz w:val="16"/>
                <w:szCs w:val="16"/>
                <w:lang w:val="ro-MD"/>
              </w:rPr>
              <w:t>art.11, art.161 din</w:t>
            </w:r>
            <w:r w:rsidR="0040684A" w:rsidRPr="00EC2E90">
              <w:rPr>
                <w:rFonts w:asciiTheme="majorHAnsi" w:hAnsiTheme="majorHAnsi" w:cstheme="majorHAnsi"/>
                <w:sz w:val="16"/>
                <w:szCs w:val="16"/>
                <w:lang w:val="ro-MD"/>
              </w:rPr>
              <w:t xml:space="preserve"> Codul de executare al RM, aprobat prin Legea nr.443 din 24.12.2004;</w:t>
            </w:r>
          </w:p>
          <w:p w:rsidR="0040684A" w:rsidRPr="00EC2E90" w:rsidRDefault="0040684A" w:rsidP="0040684A">
            <w:pPr>
              <w:pStyle w:val="FootnoteText"/>
              <w:numPr>
                <w:ilvl w:val="0"/>
                <w:numId w:val="21"/>
              </w:numPr>
              <w:spacing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ro-MD"/>
              </w:rPr>
            </w:pPr>
            <w:r w:rsidRPr="00EC2E90">
              <w:rPr>
                <w:rFonts w:asciiTheme="majorHAnsi" w:hAnsiTheme="majorHAnsi" w:cstheme="majorHAnsi"/>
                <w:sz w:val="16"/>
                <w:szCs w:val="16"/>
                <w:lang w:val="ro-MD"/>
              </w:rPr>
              <w:t>art.251 din Codul penal</w:t>
            </w:r>
            <w:r w:rsidR="0002757C">
              <w:rPr>
                <w:rFonts w:asciiTheme="majorHAnsi" w:hAnsiTheme="majorHAnsi" w:cstheme="majorHAnsi"/>
                <w:sz w:val="16"/>
                <w:szCs w:val="16"/>
                <w:lang w:val="ro-MD"/>
              </w:rPr>
              <w:t>,</w:t>
            </w:r>
            <w:r w:rsidRPr="00EC2E90">
              <w:rPr>
                <w:rFonts w:asciiTheme="majorHAnsi" w:hAnsiTheme="majorHAnsi" w:cstheme="majorHAnsi"/>
                <w:sz w:val="16"/>
                <w:szCs w:val="16"/>
                <w:lang w:val="ro-MD"/>
              </w:rPr>
              <w:t xml:space="preserve"> aprobat prin Legea nr. 985 din 18.04.2002;</w:t>
            </w:r>
          </w:p>
          <w:p w:rsidR="0040684A" w:rsidRPr="00EC2E90" w:rsidRDefault="0040684A" w:rsidP="0040684A">
            <w:pPr>
              <w:pStyle w:val="FootnoteText"/>
              <w:numPr>
                <w:ilvl w:val="0"/>
                <w:numId w:val="21"/>
              </w:numPr>
              <w:spacing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ro-MD"/>
              </w:rPr>
            </w:pPr>
            <w:r w:rsidRPr="00EC2E90">
              <w:rPr>
                <w:rFonts w:asciiTheme="majorHAnsi" w:hAnsiTheme="majorHAnsi" w:cstheme="majorHAnsi"/>
                <w:sz w:val="16"/>
                <w:szCs w:val="16"/>
                <w:lang w:val="ro-MD"/>
              </w:rPr>
              <w:t xml:space="preserve">art.131 alin.(5), art.203 din Codul </w:t>
            </w:r>
            <w:r w:rsidR="0002757C">
              <w:rPr>
                <w:rFonts w:asciiTheme="majorHAnsi" w:hAnsiTheme="majorHAnsi" w:cstheme="majorHAnsi"/>
                <w:sz w:val="16"/>
                <w:szCs w:val="16"/>
                <w:lang w:val="ro-MD"/>
              </w:rPr>
              <w:t>f</w:t>
            </w:r>
            <w:r w:rsidRPr="00EC2E90">
              <w:rPr>
                <w:rFonts w:asciiTheme="majorHAnsi" w:hAnsiTheme="majorHAnsi" w:cstheme="majorHAnsi"/>
                <w:sz w:val="16"/>
                <w:szCs w:val="16"/>
                <w:lang w:val="ro-MD"/>
              </w:rPr>
              <w:t>iscal;</w:t>
            </w:r>
          </w:p>
          <w:p w:rsidR="0040684A" w:rsidRPr="00EC2E90" w:rsidRDefault="0040684A" w:rsidP="0040684A">
            <w:pPr>
              <w:pStyle w:val="FootnoteText"/>
              <w:numPr>
                <w:ilvl w:val="0"/>
                <w:numId w:val="21"/>
              </w:numPr>
              <w:spacing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ro-MD"/>
              </w:rPr>
            </w:pPr>
            <w:r w:rsidRPr="00EC2E90">
              <w:rPr>
                <w:rFonts w:asciiTheme="majorHAnsi" w:hAnsiTheme="majorHAnsi" w:cstheme="majorHAnsi"/>
                <w:sz w:val="16"/>
                <w:szCs w:val="16"/>
                <w:lang w:val="ro-MD"/>
              </w:rPr>
              <w:t xml:space="preserve">art.75 </w:t>
            </w:r>
            <w:proofErr w:type="spellStart"/>
            <w:r w:rsidRPr="00EC2E90">
              <w:rPr>
                <w:rFonts w:asciiTheme="majorHAnsi" w:hAnsiTheme="majorHAnsi" w:cstheme="majorHAnsi"/>
                <w:sz w:val="16"/>
                <w:szCs w:val="16"/>
                <w:lang w:val="ro-MD"/>
              </w:rPr>
              <w:t>lit.d</w:t>
            </w:r>
            <w:proofErr w:type="spellEnd"/>
            <w:r w:rsidRPr="00EC2E90">
              <w:rPr>
                <w:rFonts w:asciiTheme="majorHAnsi" w:hAnsiTheme="majorHAnsi" w:cstheme="majorHAnsi"/>
                <w:sz w:val="16"/>
                <w:szCs w:val="16"/>
                <w:lang w:val="ro-MD"/>
              </w:rPr>
              <w:t>) din Legea insolvabilității nr.149 din 29.06.2012;</w:t>
            </w:r>
          </w:p>
          <w:p w:rsidR="0040684A" w:rsidRPr="00EC2E90" w:rsidRDefault="00D2516B" w:rsidP="0040684A">
            <w:pPr>
              <w:pStyle w:val="FootnoteText"/>
              <w:numPr>
                <w:ilvl w:val="0"/>
                <w:numId w:val="21"/>
              </w:numPr>
              <w:spacing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ro-MD"/>
              </w:rPr>
            </w:pPr>
            <w:r>
              <w:rPr>
                <w:rFonts w:asciiTheme="majorHAnsi" w:hAnsiTheme="majorHAnsi" w:cstheme="majorHAnsi"/>
                <w:sz w:val="16"/>
                <w:szCs w:val="16"/>
                <w:lang w:val="ro-MD"/>
              </w:rPr>
              <w:t>Legea nr.171 din</w:t>
            </w:r>
            <w:r w:rsidR="0040684A" w:rsidRPr="00EC2E90">
              <w:rPr>
                <w:rFonts w:asciiTheme="majorHAnsi" w:hAnsiTheme="majorHAnsi" w:cstheme="majorHAnsi"/>
                <w:sz w:val="16"/>
                <w:szCs w:val="16"/>
                <w:lang w:val="ro-MD"/>
              </w:rPr>
              <w:t xml:space="preserve"> 19.12.2019 cu privire la modificarea unor acte legislative</w:t>
            </w:r>
            <w:r w:rsidR="0002757C">
              <w:rPr>
                <w:rFonts w:asciiTheme="majorHAnsi" w:hAnsiTheme="majorHAnsi" w:cstheme="majorHAnsi"/>
                <w:sz w:val="16"/>
                <w:szCs w:val="16"/>
                <w:lang w:val="ro-MD"/>
              </w:rPr>
              <w:t>,</w:t>
            </w:r>
            <w:r w:rsidR="0040684A" w:rsidRPr="00EC2E90">
              <w:rPr>
                <w:rFonts w:asciiTheme="majorHAnsi" w:hAnsiTheme="majorHAnsi" w:cstheme="majorHAnsi"/>
                <w:sz w:val="16"/>
                <w:szCs w:val="16"/>
                <w:lang w:val="ro-MD"/>
              </w:rPr>
              <w:t xml:space="preserve"> au fost operate modificări în art.193 din Codul </w:t>
            </w:r>
            <w:r w:rsidR="0002757C">
              <w:rPr>
                <w:rFonts w:asciiTheme="majorHAnsi" w:hAnsiTheme="majorHAnsi" w:cstheme="majorHAnsi"/>
                <w:sz w:val="16"/>
                <w:szCs w:val="16"/>
                <w:lang w:val="ro-MD"/>
              </w:rPr>
              <w:t>f</w:t>
            </w:r>
            <w:r w:rsidR="0040684A" w:rsidRPr="00EC2E90">
              <w:rPr>
                <w:rFonts w:asciiTheme="majorHAnsi" w:hAnsiTheme="majorHAnsi" w:cstheme="majorHAnsi"/>
                <w:sz w:val="16"/>
                <w:szCs w:val="16"/>
                <w:lang w:val="ro-MD"/>
              </w:rPr>
              <w:t>iscal;</w:t>
            </w:r>
          </w:p>
          <w:p w:rsidR="0040684A" w:rsidRPr="00EC2E90" w:rsidRDefault="0040684A" w:rsidP="0040684A">
            <w:pPr>
              <w:pStyle w:val="FootnoteText"/>
              <w:numPr>
                <w:ilvl w:val="0"/>
                <w:numId w:val="21"/>
              </w:numPr>
              <w:spacing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ro-MD"/>
              </w:rPr>
            </w:pPr>
            <w:r w:rsidRPr="00EC2E90">
              <w:rPr>
                <w:rFonts w:asciiTheme="majorHAnsi" w:hAnsiTheme="majorHAnsi" w:cstheme="majorHAnsi"/>
                <w:sz w:val="16"/>
                <w:szCs w:val="16"/>
                <w:lang w:val="ro-MD"/>
              </w:rPr>
              <w:t>Legea nr.178 din 26.07.2018 cu privire la modificarea unor acte legislative</w:t>
            </w:r>
            <w:r w:rsidR="0002757C">
              <w:rPr>
                <w:rFonts w:asciiTheme="majorHAnsi" w:hAnsiTheme="majorHAnsi" w:cstheme="majorHAnsi"/>
                <w:sz w:val="16"/>
                <w:szCs w:val="16"/>
                <w:lang w:val="ro-MD"/>
              </w:rPr>
              <w:t>,</w:t>
            </w:r>
            <w:r w:rsidRPr="00EC2E90">
              <w:rPr>
                <w:rFonts w:asciiTheme="majorHAnsi" w:hAnsiTheme="majorHAnsi" w:cstheme="majorHAnsi"/>
                <w:sz w:val="16"/>
                <w:szCs w:val="16"/>
                <w:lang w:val="ro-MD"/>
              </w:rPr>
              <w:t xml:space="preserve"> au fost operate modificări în art.203 din Codul </w:t>
            </w:r>
            <w:r w:rsidR="0002757C">
              <w:rPr>
                <w:rFonts w:asciiTheme="majorHAnsi" w:hAnsiTheme="majorHAnsi" w:cstheme="majorHAnsi"/>
                <w:sz w:val="16"/>
                <w:szCs w:val="16"/>
                <w:lang w:val="ro-MD"/>
              </w:rPr>
              <w:t>f</w:t>
            </w:r>
            <w:r w:rsidRPr="00EC2E90">
              <w:rPr>
                <w:rFonts w:asciiTheme="majorHAnsi" w:hAnsiTheme="majorHAnsi" w:cstheme="majorHAnsi"/>
                <w:sz w:val="16"/>
                <w:szCs w:val="16"/>
                <w:lang w:val="ro-MD"/>
              </w:rPr>
              <w:t>iscal.</w:t>
            </w:r>
          </w:p>
        </w:tc>
      </w:tr>
      <w:tr w:rsidR="001229FC" w:rsidRPr="00A75DCE" w:rsidTr="00EC2E90">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0265" w:type="dxa"/>
            <w:gridSpan w:val="4"/>
            <w:tcBorders>
              <w:left w:val="single" w:sz="4" w:space="0" w:color="auto"/>
              <w:right w:val="single" w:sz="4" w:space="0" w:color="auto"/>
            </w:tcBorders>
            <w:shd w:val="clear" w:color="auto" w:fill="DEEAF6" w:themeFill="accent1" w:themeFillTint="33"/>
            <w:vAlign w:val="center"/>
          </w:tcPr>
          <w:p w:rsidR="001229FC" w:rsidRPr="00EC2E90" w:rsidRDefault="001229FC" w:rsidP="00381A16">
            <w:pPr>
              <w:jc w:val="both"/>
              <w:rPr>
                <w:rFonts w:cstheme="majorHAnsi"/>
                <w:i w:val="0"/>
                <w:sz w:val="16"/>
                <w:szCs w:val="16"/>
                <w:lang w:val="ro-MD"/>
              </w:rPr>
            </w:pPr>
            <w:r w:rsidRPr="00EC2E90">
              <w:rPr>
                <w:rFonts w:cstheme="majorHAnsi"/>
                <w:i w:val="0"/>
                <w:sz w:val="16"/>
                <w:szCs w:val="16"/>
                <w:lang w:val="ro-MD"/>
              </w:rPr>
              <w:t>(4) Procesul de planificare a controalelor fiscale se efectuează în baza managementul</w:t>
            </w:r>
            <w:r w:rsidR="0002757C">
              <w:rPr>
                <w:rFonts w:cstheme="majorHAnsi"/>
                <w:i w:val="0"/>
                <w:sz w:val="16"/>
                <w:szCs w:val="16"/>
                <w:lang w:val="ro-MD"/>
              </w:rPr>
              <w:t>ui</w:t>
            </w:r>
            <w:r w:rsidRPr="00EC2E90">
              <w:rPr>
                <w:rFonts w:cstheme="majorHAnsi"/>
                <w:i w:val="0"/>
                <w:sz w:val="16"/>
                <w:szCs w:val="16"/>
                <w:lang w:val="ro-MD"/>
              </w:rPr>
              <w:t xml:space="preserve"> riscurilor de conformare fiscală? Organul fiscal conlucrează cu organele de drept ale statului în vederea deținerii datelor referitor la materialele controalelor remise acestora?</w:t>
            </w:r>
          </w:p>
        </w:tc>
      </w:tr>
      <w:tr w:rsidR="00A75DCE" w:rsidRPr="00A75DCE" w:rsidTr="008E5D14">
        <w:tc>
          <w:tcPr>
            <w:cnfStyle w:val="001000000000" w:firstRow="0" w:lastRow="0" w:firstColumn="1" w:lastColumn="0" w:oddVBand="0" w:evenVBand="0" w:oddHBand="0" w:evenHBand="0" w:firstRowFirstColumn="0" w:firstRowLastColumn="0" w:lastRowFirstColumn="0" w:lastRowLastColumn="0"/>
            <w:tcW w:w="2430" w:type="dxa"/>
            <w:tcBorders>
              <w:left w:val="single" w:sz="4" w:space="0" w:color="auto"/>
            </w:tcBorders>
          </w:tcPr>
          <w:p w:rsidR="00A75DCE" w:rsidRPr="00A75DCE" w:rsidRDefault="00A75DCE" w:rsidP="00A75DCE">
            <w:pPr>
              <w:jc w:val="both"/>
              <w:rPr>
                <w:rFonts w:eastAsia="Times New Roman" w:cstheme="majorHAnsi"/>
                <w:bCs/>
                <w:sz w:val="20"/>
                <w:szCs w:val="20"/>
                <w:lang w:val="ro-MD"/>
              </w:rPr>
            </w:pPr>
          </w:p>
          <w:p w:rsidR="00A75DCE" w:rsidRPr="00A75DCE" w:rsidRDefault="00A75DCE" w:rsidP="00A75DCE">
            <w:pPr>
              <w:jc w:val="both"/>
              <w:rPr>
                <w:rFonts w:cstheme="majorHAnsi"/>
                <w:sz w:val="20"/>
                <w:szCs w:val="20"/>
                <w:lang w:val="ro-MD"/>
              </w:rPr>
            </w:pPr>
            <w:r w:rsidRPr="00A75DCE">
              <w:rPr>
                <w:rFonts w:eastAsia="Times New Roman" w:cstheme="majorHAnsi"/>
                <w:bCs/>
                <w:sz w:val="20"/>
                <w:szCs w:val="20"/>
                <w:lang w:val="ro-MD"/>
              </w:rPr>
              <w:t>Planificarea controalelor fiscale</w:t>
            </w:r>
          </w:p>
        </w:tc>
        <w:tc>
          <w:tcPr>
            <w:tcW w:w="1080" w:type="dxa"/>
          </w:tcPr>
          <w:p w:rsidR="00A75DCE" w:rsidRPr="00A75DCE" w:rsidRDefault="00A75DCE" w:rsidP="00A75DCE">
            <w:pPr>
              <w:ind w:left="-108" w:right="-10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p>
          <w:p w:rsidR="00A75DCE" w:rsidRPr="00A75DCE" w:rsidRDefault="00A75DCE" w:rsidP="00A75DCE">
            <w:pPr>
              <w:ind w:left="-108" w:right="-10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A75DCE">
              <w:rPr>
                <w:rFonts w:asciiTheme="majorHAnsi" w:hAnsiTheme="majorHAnsi" w:cstheme="majorHAnsi"/>
                <w:sz w:val="20"/>
                <w:szCs w:val="20"/>
                <w:lang w:val="ro-MD"/>
              </w:rPr>
              <w:t xml:space="preserve">63 </w:t>
            </w:r>
          </w:p>
          <w:p w:rsidR="00A75DCE" w:rsidRPr="00A75DCE" w:rsidRDefault="00A75DCE" w:rsidP="00A75DCE">
            <w:pPr>
              <w:ind w:left="-108" w:right="-108"/>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A75DCE">
              <w:rPr>
                <w:rFonts w:asciiTheme="majorHAnsi" w:hAnsiTheme="majorHAnsi" w:cstheme="majorHAnsi"/>
                <w:sz w:val="20"/>
                <w:szCs w:val="20"/>
                <w:lang w:val="ro-MD"/>
              </w:rPr>
              <w:t>indicatori</w:t>
            </w:r>
          </w:p>
          <w:p w:rsidR="00A75DCE" w:rsidRPr="00A75DCE" w:rsidRDefault="00A75DCE" w:rsidP="00A75DCE">
            <w:pPr>
              <w:ind w:right="-10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p>
        </w:tc>
        <w:tc>
          <w:tcPr>
            <w:tcW w:w="1350" w:type="dxa"/>
          </w:tcPr>
          <w:p w:rsidR="00A75DCE" w:rsidRPr="00A75DCE" w:rsidRDefault="00A75DCE" w:rsidP="00A75DC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p>
          <w:p w:rsidR="00A75DCE" w:rsidRPr="00A75DCE" w:rsidRDefault="00A75DCE" w:rsidP="00A75DC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A75DCE">
              <w:rPr>
                <w:rFonts w:asciiTheme="majorHAnsi" w:hAnsiTheme="majorHAnsi" w:cstheme="majorHAnsi"/>
                <w:sz w:val="20"/>
                <w:szCs w:val="20"/>
                <w:lang w:val="ro-MD"/>
              </w:rPr>
              <w:t>100 %</w:t>
            </w:r>
          </w:p>
          <w:p w:rsidR="00A75DCE" w:rsidRPr="00A75DCE" w:rsidRDefault="00A75DCE" w:rsidP="00A75DC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p>
          <w:p w:rsidR="00A75DCE" w:rsidRPr="00A75DCE" w:rsidRDefault="00A75DCE" w:rsidP="00A75DC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p>
        </w:tc>
        <w:tc>
          <w:tcPr>
            <w:tcW w:w="5405" w:type="dxa"/>
            <w:tcBorders>
              <w:right w:val="single" w:sz="4" w:space="0" w:color="auto"/>
            </w:tcBorders>
          </w:tcPr>
          <w:p w:rsidR="00A75DCE" w:rsidRPr="00EC2E90" w:rsidRDefault="00A75DCE" w:rsidP="00A75DCE">
            <w:pPr>
              <w:pStyle w:val="FootnoteText"/>
              <w:numPr>
                <w:ilvl w:val="0"/>
                <w:numId w:val="21"/>
              </w:numPr>
              <w:spacing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ro-MD"/>
              </w:rPr>
            </w:pPr>
            <w:r w:rsidRPr="00EC2E90">
              <w:rPr>
                <w:rFonts w:asciiTheme="majorHAnsi" w:hAnsiTheme="majorHAnsi" w:cstheme="majorHAnsi"/>
                <w:sz w:val="16"/>
                <w:szCs w:val="16"/>
                <w:lang w:val="ro-MD"/>
              </w:rPr>
              <w:t>Norme</w:t>
            </w:r>
            <w:r w:rsidR="0065187C">
              <w:rPr>
                <w:rFonts w:asciiTheme="majorHAnsi" w:hAnsiTheme="majorHAnsi" w:cstheme="majorHAnsi"/>
                <w:sz w:val="16"/>
                <w:szCs w:val="16"/>
                <w:lang w:val="ro-MD"/>
              </w:rPr>
              <w:t>le</w:t>
            </w:r>
            <w:r w:rsidRPr="00EC2E90">
              <w:rPr>
                <w:rFonts w:asciiTheme="majorHAnsi" w:hAnsiTheme="majorHAnsi" w:cstheme="majorHAnsi"/>
                <w:sz w:val="16"/>
                <w:szCs w:val="16"/>
                <w:lang w:val="ro-MD"/>
              </w:rPr>
              <w:t xml:space="preserve"> metodologice privi</w:t>
            </w:r>
            <w:r w:rsidR="00D2516B">
              <w:rPr>
                <w:rFonts w:asciiTheme="majorHAnsi" w:hAnsiTheme="majorHAnsi" w:cstheme="majorHAnsi"/>
                <w:sz w:val="16"/>
                <w:szCs w:val="16"/>
                <w:lang w:val="ro-MD"/>
              </w:rPr>
              <w:t>nd determinarea și clasificarea riscurilor de conformare</w:t>
            </w:r>
            <w:r w:rsidRPr="00EC2E90">
              <w:rPr>
                <w:rFonts w:asciiTheme="majorHAnsi" w:hAnsiTheme="majorHAnsi" w:cstheme="majorHAnsi"/>
                <w:sz w:val="16"/>
                <w:szCs w:val="16"/>
                <w:lang w:val="ro-MD"/>
              </w:rPr>
              <w:t xml:space="preserve"> fiscală, aprobat prin Ordinul </w:t>
            </w:r>
            <w:r w:rsidR="005C7A4B">
              <w:rPr>
                <w:rFonts w:asciiTheme="majorHAnsi" w:hAnsiTheme="majorHAnsi" w:cstheme="majorHAnsi"/>
                <w:sz w:val="16"/>
                <w:szCs w:val="16"/>
                <w:lang w:val="ro-MD"/>
              </w:rPr>
              <w:t>IF</w:t>
            </w:r>
            <w:r w:rsidRPr="005C7A4B">
              <w:rPr>
                <w:rFonts w:asciiTheme="majorHAnsi" w:hAnsiTheme="majorHAnsi" w:cstheme="majorHAnsi"/>
                <w:sz w:val="16"/>
                <w:szCs w:val="16"/>
                <w:lang w:val="ro-MD"/>
              </w:rPr>
              <w:t>PS</w:t>
            </w:r>
            <w:r w:rsidRPr="00EC2E90">
              <w:rPr>
                <w:rFonts w:asciiTheme="majorHAnsi" w:hAnsiTheme="majorHAnsi" w:cstheme="majorHAnsi"/>
                <w:sz w:val="16"/>
                <w:szCs w:val="16"/>
                <w:lang w:val="ro-MD"/>
              </w:rPr>
              <w:t xml:space="preserve"> nr.107 din 11.02.2015 ( cu completările ulterioare)</w:t>
            </w:r>
            <w:r w:rsidR="0065187C">
              <w:rPr>
                <w:rFonts w:asciiTheme="majorHAnsi" w:hAnsiTheme="majorHAnsi" w:cstheme="majorHAnsi"/>
                <w:sz w:val="16"/>
                <w:szCs w:val="16"/>
                <w:lang w:val="ro-MD"/>
              </w:rPr>
              <w:t>;</w:t>
            </w:r>
          </w:p>
        </w:tc>
      </w:tr>
      <w:tr w:rsidR="00A75DCE" w:rsidRPr="00A75DCE" w:rsidTr="008E5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left w:val="single" w:sz="4" w:space="0" w:color="auto"/>
              <w:bottom w:val="single" w:sz="4" w:space="0" w:color="auto"/>
            </w:tcBorders>
          </w:tcPr>
          <w:p w:rsidR="0040684A" w:rsidRPr="00A75DCE" w:rsidRDefault="0040684A" w:rsidP="0040684A">
            <w:pPr>
              <w:jc w:val="both"/>
              <w:rPr>
                <w:rFonts w:cstheme="majorHAnsi"/>
                <w:sz w:val="20"/>
                <w:szCs w:val="20"/>
                <w:lang w:val="ro-MD"/>
              </w:rPr>
            </w:pPr>
          </w:p>
          <w:p w:rsidR="0040684A" w:rsidRPr="00A75DCE" w:rsidRDefault="0040684A" w:rsidP="0040684A">
            <w:pPr>
              <w:jc w:val="both"/>
              <w:rPr>
                <w:rFonts w:cstheme="majorHAnsi"/>
                <w:sz w:val="20"/>
                <w:szCs w:val="20"/>
                <w:lang w:val="ro-MD"/>
              </w:rPr>
            </w:pPr>
            <w:r w:rsidRPr="00A75DCE">
              <w:rPr>
                <w:rFonts w:cstheme="majorHAnsi"/>
                <w:sz w:val="20"/>
                <w:szCs w:val="20"/>
                <w:lang w:val="ro-MD"/>
              </w:rPr>
              <w:t>Înaintarea materialelor la organele de drept</w:t>
            </w:r>
          </w:p>
        </w:tc>
        <w:tc>
          <w:tcPr>
            <w:tcW w:w="1080" w:type="dxa"/>
            <w:tcBorders>
              <w:bottom w:val="single" w:sz="4" w:space="0" w:color="auto"/>
            </w:tcBorders>
          </w:tcPr>
          <w:p w:rsidR="0040684A" w:rsidRPr="00A75DCE" w:rsidRDefault="0040684A" w:rsidP="0040684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p>
          <w:p w:rsidR="0040684A" w:rsidRPr="00A75DCE" w:rsidRDefault="0040684A" w:rsidP="0040684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A75DCE">
              <w:rPr>
                <w:rFonts w:asciiTheme="majorHAnsi" w:hAnsiTheme="majorHAnsi" w:cstheme="majorHAnsi"/>
                <w:sz w:val="20"/>
                <w:szCs w:val="20"/>
                <w:lang w:val="ro-MD"/>
              </w:rPr>
              <w:t>5073,6</w:t>
            </w:r>
          </w:p>
        </w:tc>
        <w:tc>
          <w:tcPr>
            <w:tcW w:w="1350" w:type="dxa"/>
            <w:tcBorders>
              <w:bottom w:val="single" w:sz="4" w:space="0" w:color="auto"/>
            </w:tcBorders>
          </w:tcPr>
          <w:p w:rsidR="0040684A" w:rsidRPr="00A75DCE" w:rsidRDefault="0040684A" w:rsidP="0040684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p>
          <w:p w:rsidR="0040684A" w:rsidRPr="00A75DCE" w:rsidRDefault="0040684A" w:rsidP="0040684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A75DCE">
              <w:rPr>
                <w:rFonts w:asciiTheme="majorHAnsi" w:hAnsiTheme="majorHAnsi" w:cstheme="majorHAnsi"/>
                <w:sz w:val="20"/>
                <w:szCs w:val="20"/>
                <w:lang w:val="ro-MD"/>
              </w:rPr>
              <w:t>80 %</w:t>
            </w:r>
          </w:p>
          <w:p w:rsidR="0040684A" w:rsidRPr="00A75DCE" w:rsidRDefault="0040684A" w:rsidP="0040684A">
            <w:pPr>
              <w:ind w:right="-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A75DCE">
              <w:rPr>
                <w:rFonts w:asciiTheme="majorHAnsi" w:hAnsiTheme="majorHAnsi" w:cstheme="majorHAnsi"/>
                <w:sz w:val="20"/>
                <w:szCs w:val="20"/>
                <w:lang w:val="ro-MD"/>
              </w:rPr>
              <w:t>4078,1 mil. lei</w:t>
            </w:r>
          </w:p>
        </w:tc>
        <w:tc>
          <w:tcPr>
            <w:tcW w:w="5405" w:type="dxa"/>
            <w:tcBorders>
              <w:bottom w:val="single" w:sz="4" w:space="0" w:color="auto"/>
              <w:right w:val="single" w:sz="4" w:space="0" w:color="auto"/>
            </w:tcBorders>
          </w:tcPr>
          <w:p w:rsidR="0040684A" w:rsidRPr="00EC2E90" w:rsidRDefault="0040684A" w:rsidP="0040684A">
            <w:pPr>
              <w:pStyle w:val="FootnoteText"/>
              <w:spacing w:line="240" w:lineRule="auto"/>
              <w:ind w:left="162"/>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lang w:val="ro-MD"/>
              </w:rPr>
            </w:pPr>
            <w:r w:rsidRPr="00EC2E90">
              <w:rPr>
                <w:rFonts w:asciiTheme="majorHAnsi" w:hAnsiTheme="majorHAnsi" w:cstheme="majorHAnsi"/>
                <w:sz w:val="16"/>
                <w:szCs w:val="16"/>
                <w:lang w:val="ro-MD"/>
              </w:rPr>
              <w:t xml:space="preserve">art.1324 din Titlul V al Codului </w:t>
            </w:r>
            <w:r w:rsidR="0065187C">
              <w:rPr>
                <w:rFonts w:asciiTheme="majorHAnsi" w:hAnsiTheme="majorHAnsi" w:cstheme="majorHAnsi"/>
                <w:sz w:val="16"/>
                <w:szCs w:val="16"/>
                <w:lang w:val="ro-MD"/>
              </w:rPr>
              <w:t>f</w:t>
            </w:r>
            <w:r w:rsidRPr="00EC2E90">
              <w:rPr>
                <w:rFonts w:asciiTheme="majorHAnsi" w:hAnsiTheme="majorHAnsi" w:cstheme="majorHAnsi"/>
                <w:sz w:val="16"/>
                <w:szCs w:val="16"/>
                <w:lang w:val="ro-MD"/>
              </w:rPr>
              <w:t>iscal;</w:t>
            </w:r>
          </w:p>
          <w:p w:rsidR="0040684A" w:rsidRPr="00EC2E90" w:rsidRDefault="0040684A" w:rsidP="0040684A">
            <w:pPr>
              <w:pStyle w:val="FootnoteText"/>
              <w:spacing w:line="240" w:lineRule="auto"/>
              <w:ind w:left="162"/>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lang w:val="ro-MD"/>
              </w:rPr>
            </w:pPr>
            <w:r w:rsidRPr="00EC2E90">
              <w:rPr>
                <w:rFonts w:asciiTheme="majorHAnsi" w:hAnsiTheme="majorHAnsi" w:cstheme="majorHAnsi"/>
                <w:sz w:val="16"/>
                <w:szCs w:val="16"/>
                <w:lang w:val="ro-MD"/>
              </w:rPr>
              <w:t>art. 241–242, 244, 2441, 250–253 și 3351 din Codul penal;</w:t>
            </w:r>
          </w:p>
          <w:p w:rsidR="0040684A" w:rsidRPr="00EC2E90" w:rsidRDefault="0040684A" w:rsidP="0040684A">
            <w:pPr>
              <w:pStyle w:val="FootnoteText"/>
              <w:spacing w:line="240" w:lineRule="auto"/>
              <w:ind w:left="162"/>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lang w:val="ro-MD"/>
              </w:rPr>
            </w:pPr>
            <w:r w:rsidRPr="00EC2E90">
              <w:rPr>
                <w:rFonts w:asciiTheme="majorHAnsi" w:hAnsiTheme="majorHAnsi" w:cstheme="majorHAnsi"/>
                <w:sz w:val="16"/>
                <w:szCs w:val="16"/>
                <w:lang w:val="ro-MD"/>
              </w:rPr>
              <w:t xml:space="preserve">art.4 din Legea </w:t>
            </w:r>
            <w:r w:rsidRPr="005C7A4B">
              <w:rPr>
                <w:rFonts w:asciiTheme="majorHAnsi" w:hAnsiTheme="majorHAnsi" w:cstheme="majorHAnsi"/>
                <w:sz w:val="16"/>
                <w:szCs w:val="16"/>
                <w:lang w:val="ro-MD"/>
              </w:rPr>
              <w:t>CFPI</w:t>
            </w:r>
            <w:r w:rsidRPr="00EC2E90">
              <w:rPr>
                <w:rFonts w:asciiTheme="majorHAnsi" w:hAnsiTheme="majorHAnsi" w:cstheme="majorHAnsi"/>
                <w:sz w:val="16"/>
                <w:szCs w:val="16"/>
                <w:lang w:val="ro-MD"/>
              </w:rPr>
              <w:t xml:space="preserve"> nr.229 din 23.09.2010;</w:t>
            </w:r>
          </w:p>
          <w:p w:rsidR="0040684A" w:rsidRPr="00EC2E90" w:rsidRDefault="0040684A" w:rsidP="0040684A">
            <w:pPr>
              <w:pStyle w:val="FootnoteText"/>
              <w:spacing w:line="240" w:lineRule="auto"/>
              <w:ind w:left="162"/>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lang w:val="ro-MD"/>
              </w:rPr>
            </w:pPr>
            <w:r w:rsidRPr="00EC2E90">
              <w:rPr>
                <w:rFonts w:asciiTheme="majorHAnsi" w:hAnsiTheme="majorHAnsi" w:cstheme="majorHAnsi"/>
                <w:sz w:val="16"/>
                <w:szCs w:val="16"/>
                <w:lang w:val="ro-MD"/>
              </w:rPr>
              <w:t>Ordinul IFPS nr.1108 din 07.12.2015 cu privire la aprobarea Regulamentului privind modul de stingere prin scădere și luare la evidență specială a obligației fiscale.</w:t>
            </w:r>
          </w:p>
        </w:tc>
      </w:tr>
    </w:tbl>
    <w:p w:rsidR="00C55DF6" w:rsidRPr="00401691" w:rsidRDefault="00C55DF6" w:rsidP="00844145">
      <w:pPr>
        <w:spacing w:after="0" w:line="276" w:lineRule="auto"/>
        <w:jc w:val="right"/>
        <w:rPr>
          <w:rFonts w:asciiTheme="majorHAnsi" w:hAnsiTheme="majorHAnsi" w:cstheme="majorHAnsi"/>
          <w:i/>
          <w:sz w:val="24"/>
          <w:szCs w:val="24"/>
          <w:lang w:val="ro-MD"/>
        </w:rPr>
      </w:pPr>
    </w:p>
    <w:p w:rsidR="00C55DF6" w:rsidRPr="00401691" w:rsidRDefault="00C55DF6" w:rsidP="00844145">
      <w:pPr>
        <w:spacing w:after="0" w:line="276" w:lineRule="auto"/>
        <w:jc w:val="right"/>
        <w:rPr>
          <w:rFonts w:asciiTheme="majorHAnsi" w:hAnsiTheme="majorHAnsi" w:cstheme="majorHAnsi"/>
          <w:i/>
          <w:sz w:val="24"/>
          <w:szCs w:val="24"/>
          <w:lang w:val="ro-MD"/>
        </w:rPr>
        <w:sectPr w:rsidR="00C55DF6" w:rsidRPr="00401691" w:rsidSect="00E734E2">
          <w:footerReference w:type="default" r:id="rId24"/>
          <w:footerReference w:type="first" r:id="rId25"/>
          <w:pgSz w:w="12240" w:h="15840"/>
          <w:pgMar w:top="900" w:right="720" w:bottom="1080" w:left="1354" w:header="720" w:footer="720" w:gutter="0"/>
          <w:cols w:space="720"/>
          <w:titlePg/>
          <w:docGrid w:linePitch="360"/>
        </w:sectPr>
      </w:pPr>
    </w:p>
    <w:p w:rsidR="00C55DF6" w:rsidRPr="00401691" w:rsidRDefault="00C55DF6" w:rsidP="00844145">
      <w:pPr>
        <w:spacing w:after="0" w:line="276" w:lineRule="auto"/>
        <w:jc w:val="right"/>
        <w:rPr>
          <w:rFonts w:asciiTheme="majorHAnsi" w:hAnsiTheme="majorHAnsi" w:cstheme="majorHAnsi"/>
          <w:i/>
          <w:sz w:val="24"/>
          <w:szCs w:val="24"/>
          <w:lang w:val="ro-MD"/>
        </w:rPr>
      </w:pPr>
      <w:r w:rsidRPr="00401691">
        <w:rPr>
          <w:rFonts w:asciiTheme="majorHAnsi" w:hAnsiTheme="majorHAnsi" w:cstheme="majorHAnsi"/>
          <w:i/>
          <w:sz w:val="24"/>
          <w:szCs w:val="24"/>
          <w:lang w:val="ro-MD"/>
        </w:rPr>
        <w:t>Anexa nr. 2</w:t>
      </w:r>
    </w:p>
    <w:p w:rsidR="00C55DF6" w:rsidRPr="00401691" w:rsidRDefault="00C55DF6" w:rsidP="00844145">
      <w:pPr>
        <w:spacing w:after="0" w:line="276" w:lineRule="auto"/>
        <w:ind w:right="49"/>
        <w:jc w:val="center"/>
        <w:rPr>
          <w:rFonts w:asciiTheme="majorHAnsi" w:eastAsia="Times New Roman" w:hAnsiTheme="majorHAnsi" w:cstheme="majorHAnsi"/>
          <w:b/>
          <w:sz w:val="24"/>
          <w:szCs w:val="24"/>
          <w:lang w:val="ro-MD" w:eastAsia="ru-RU"/>
        </w:rPr>
      </w:pPr>
      <w:r w:rsidRPr="00401691">
        <w:rPr>
          <w:rFonts w:asciiTheme="majorHAnsi" w:eastAsia="Times New Roman" w:hAnsiTheme="majorHAnsi" w:cstheme="majorHAnsi"/>
          <w:b/>
          <w:sz w:val="24"/>
          <w:szCs w:val="24"/>
          <w:lang w:val="ro-MD" w:eastAsia="ru-RU"/>
        </w:rPr>
        <w:t>Realizarea veniturilor BPN/BS pe anul 2019, precum și ponderea acestora în PIB</w:t>
      </w:r>
    </w:p>
    <w:p w:rsidR="00C55DF6" w:rsidRPr="00401691" w:rsidRDefault="00C55DF6" w:rsidP="00844145">
      <w:pPr>
        <w:spacing w:after="0" w:line="276" w:lineRule="auto"/>
        <w:ind w:right="49"/>
        <w:jc w:val="right"/>
        <w:rPr>
          <w:rFonts w:asciiTheme="majorHAnsi" w:eastAsia="Times New Roman" w:hAnsiTheme="majorHAnsi" w:cstheme="majorHAnsi"/>
          <w:b/>
          <w:sz w:val="24"/>
          <w:szCs w:val="24"/>
          <w:lang w:val="ro-MD" w:eastAsia="ru-RU"/>
        </w:rPr>
      </w:pPr>
      <w:r w:rsidRPr="00401691">
        <w:rPr>
          <w:rFonts w:asciiTheme="majorHAnsi" w:eastAsia="Times New Roman" w:hAnsiTheme="majorHAnsi" w:cstheme="majorHAnsi"/>
          <w:b/>
          <w:sz w:val="24"/>
          <w:szCs w:val="24"/>
          <w:lang w:val="ro-MD" w:eastAsia="ru-RU"/>
        </w:rPr>
        <w:t>(mil. lei)</w:t>
      </w:r>
    </w:p>
    <w:tbl>
      <w:tblPr>
        <w:tblStyle w:val="GridTable1Light2"/>
        <w:tblW w:w="15378" w:type="dxa"/>
        <w:tblInd w:w="-815" w:type="dxa"/>
        <w:tblLayout w:type="fixed"/>
        <w:tblLook w:val="04A0" w:firstRow="1" w:lastRow="0" w:firstColumn="1" w:lastColumn="0" w:noHBand="0" w:noVBand="1"/>
      </w:tblPr>
      <w:tblGrid>
        <w:gridCol w:w="3426"/>
        <w:gridCol w:w="801"/>
        <w:gridCol w:w="1259"/>
        <w:gridCol w:w="1259"/>
        <w:gridCol w:w="7"/>
        <w:gridCol w:w="1238"/>
        <w:gridCol w:w="1190"/>
        <w:gridCol w:w="1084"/>
        <w:gridCol w:w="1094"/>
        <w:gridCol w:w="1152"/>
        <w:gridCol w:w="1004"/>
        <w:gridCol w:w="6"/>
        <w:gridCol w:w="15"/>
        <w:gridCol w:w="937"/>
        <w:gridCol w:w="6"/>
        <w:gridCol w:w="894"/>
        <w:gridCol w:w="6"/>
      </w:tblGrid>
      <w:tr w:rsidR="00C55DF6" w:rsidRPr="00401691" w:rsidTr="00A353BB">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3426" w:type="dxa"/>
            <w:vMerge w:val="restart"/>
            <w:tcBorders>
              <w:right w:val="thinThickLargeGap" w:sz="24" w:space="0" w:color="auto"/>
            </w:tcBorders>
            <w:shd w:val="clear" w:color="auto" w:fill="F2F2F2" w:themeFill="background1" w:themeFillShade="F2"/>
            <w:vAlign w:val="center"/>
          </w:tcPr>
          <w:p w:rsidR="00C55DF6" w:rsidRPr="00401691" w:rsidRDefault="00C55DF6" w:rsidP="00844145">
            <w:pPr>
              <w:spacing w:line="276" w:lineRule="auto"/>
              <w:jc w:val="center"/>
              <w:rPr>
                <w:rFonts w:asciiTheme="majorHAnsi" w:eastAsia="Times New Roman" w:hAnsiTheme="majorHAnsi" w:cstheme="majorHAnsi"/>
                <w:b w:val="0"/>
                <w:sz w:val="24"/>
                <w:szCs w:val="24"/>
                <w:lang w:val="ro-MD" w:eastAsia="ru-RU"/>
              </w:rPr>
            </w:pPr>
            <w:r w:rsidRPr="00401691">
              <w:rPr>
                <w:rFonts w:asciiTheme="majorHAnsi" w:eastAsia="Times New Roman" w:hAnsiTheme="majorHAnsi" w:cstheme="majorHAnsi"/>
                <w:b w:val="0"/>
                <w:sz w:val="24"/>
                <w:szCs w:val="24"/>
                <w:lang w:val="ro-MD" w:eastAsia="ru-RU"/>
              </w:rPr>
              <w:br w:type="page"/>
              <w:t>Indicatori</w:t>
            </w:r>
          </w:p>
        </w:tc>
        <w:tc>
          <w:tcPr>
            <w:tcW w:w="801" w:type="dxa"/>
            <w:vMerge w:val="restart"/>
            <w:tcBorders>
              <w:left w:val="thinThickLargeGap" w:sz="24" w:space="0" w:color="auto"/>
              <w:right w:val="thinThickLargeGap" w:sz="2" w:space="0" w:color="auto"/>
            </w:tcBorders>
            <w:shd w:val="clear" w:color="auto" w:fill="F2F2F2" w:themeFill="background1" w:themeFillShade="F2"/>
            <w:vAlign w:val="center"/>
          </w:tcPr>
          <w:p w:rsidR="00C55DF6" w:rsidRPr="00401691" w:rsidRDefault="00C55DF6" w:rsidP="00844145">
            <w:pPr>
              <w:spacing w:line="276" w:lineRule="auto"/>
              <w:ind w:left="-103" w:right="-108"/>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sz w:val="24"/>
                <w:szCs w:val="24"/>
                <w:lang w:val="ro-MD" w:eastAsia="ru-RU"/>
              </w:rPr>
            </w:pPr>
            <w:r w:rsidRPr="00401691">
              <w:rPr>
                <w:rFonts w:asciiTheme="majorHAnsi" w:eastAsia="Times New Roman" w:hAnsiTheme="majorHAnsi" w:cstheme="majorHAnsi"/>
                <w:b w:val="0"/>
                <w:sz w:val="24"/>
                <w:szCs w:val="24"/>
                <w:lang w:val="ro-MD" w:eastAsia="ru-RU"/>
              </w:rPr>
              <w:t xml:space="preserve">Cod </w:t>
            </w:r>
          </w:p>
          <w:p w:rsidR="00C55DF6" w:rsidRPr="00401691" w:rsidRDefault="00C55DF6" w:rsidP="00844145">
            <w:pPr>
              <w:spacing w:line="276" w:lineRule="auto"/>
              <w:ind w:left="-103" w:right="-108"/>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sz w:val="24"/>
                <w:szCs w:val="24"/>
                <w:lang w:val="ro-MD" w:eastAsia="ru-RU"/>
              </w:rPr>
            </w:pPr>
            <w:r w:rsidRPr="00401691">
              <w:rPr>
                <w:rFonts w:asciiTheme="majorHAnsi" w:eastAsia="Times New Roman" w:hAnsiTheme="majorHAnsi" w:cstheme="majorHAnsi"/>
                <w:b w:val="0"/>
                <w:sz w:val="24"/>
                <w:szCs w:val="24"/>
                <w:lang w:val="ro-MD" w:eastAsia="ru-RU"/>
              </w:rPr>
              <w:t>ECO</w:t>
            </w:r>
          </w:p>
        </w:tc>
        <w:tc>
          <w:tcPr>
            <w:tcW w:w="2525" w:type="dxa"/>
            <w:gridSpan w:val="3"/>
            <w:tcBorders>
              <w:left w:val="thinThickLargeGap" w:sz="2" w:space="0" w:color="auto"/>
              <w:right w:val="thinThickLargeGap" w:sz="2" w:space="0" w:color="auto"/>
            </w:tcBorders>
            <w:shd w:val="clear" w:color="auto" w:fill="F2F2F2" w:themeFill="background1" w:themeFillShade="F2"/>
            <w:vAlign w:val="center"/>
          </w:tcPr>
          <w:p w:rsidR="00C55DF6" w:rsidRPr="00401691" w:rsidRDefault="00C55DF6" w:rsidP="00844145">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sz w:val="24"/>
                <w:szCs w:val="24"/>
                <w:lang w:val="ro-MD" w:eastAsia="ru-RU"/>
              </w:rPr>
            </w:pPr>
            <w:r w:rsidRPr="00401691">
              <w:rPr>
                <w:rFonts w:asciiTheme="majorHAnsi" w:eastAsia="Times New Roman" w:hAnsiTheme="majorHAnsi" w:cstheme="majorHAnsi"/>
                <w:b w:val="0"/>
                <w:sz w:val="24"/>
                <w:szCs w:val="24"/>
                <w:lang w:val="ro-MD" w:eastAsia="ru-RU"/>
              </w:rPr>
              <w:t>Plan</w:t>
            </w:r>
            <w:r w:rsidR="0065187C">
              <w:rPr>
                <w:rFonts w:asciiTheme="majorHAnsi" w:eastAsia="Times New Roman" w:hAnsiTheme="majorHAnsi" w:cstheme="majorHAnsi"/>
                <w:b w:val="0"/>
                <w:sz w:val="24"/>
                <w:szCs w:val="24"/>
                <w:lang w:val="ro-MD" w:eastAsia="ru-RU"/>
              </w:rPr>
              <w:t>ul</w:t>
            </w:r>
            <w:r w:rsidRPr="00401691">
              <w:rPr>
                <w:rFonts w:asciiTheme="majorHAnsi" w:eastAsia="Times New Roman" w:hAnsiTheme="majorHAnsi" w:cstheme="majorHAnsi"/>
                <w:b w:val="0"/>
                <w:sz w:val="24"/>
                <w:szCs w:val="24"/>
                <w:lang w:val="ro-MD" w:eastAsia="ru-RU"/>
              </w:rPr>
              <w:t xml:space="preserve"> pe anul 2019 </w:t>
            </w:r>
          </w:p>
        </w:tc>
        <w:tc>
          <w:tcPr>
            <w:tcW w:w="2428" w:type="dxa"/>
            <w:gridSpan w:val="2"/>
            <w:tcBorders>
              <w:left w:val="thinThickLargeGap" w:sz="2" w:space="0" w:color="auto"/>
              <w:right w:val="thinThickLargeGap" w:sz="2" w:space="0" w:color="auto"/>
            </w:tcBorders>
            <w:shd w:val="clear" w:color="auto" w:fill="F2F2F2" w:themeFill="background1" w:themeFillShade="F2"/>
            <w:vAlign w:val="center"/>
          </w:tcPr>
          <w:p w:rsidR="00C55DF6" w:rsidRPr="00401691" w:rsidRDefault="00C55DF6" w:rsidP="00844145">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sz w:val="24"/>
                <w:szCs w:val="24"/>
                <w:lang w:val="ro-MD" w:eastAsia="ru-RU"/>
              </w:rPr>
            </w:pPr>
            <w:r w:rsidRPr="00401691">
              <w:rPr>
                <w:rFonts w:asciiTheme="majorHAnsi" w:eastAsia="Times New Roman" w:hAnsiTheme="majorHAnsi" w:cstheme="majorHAnsi"/>
                <w:b w:val="0"/>
                <w:sz w:val="24"/>
                <w:szCs w:val="24"/>
                <w:lang w:val="ro-MD" w:eastAsia="ru-RU"/>
              </w:rPr>
              <w:t>Încasări realizate în anul 2019</w:t>
            </w:r>
          </w:p>
        </w:tc>
        <w:tc>
          <w:tcPr>
            <w:tcW w:w="4355" w:type="dxa"/>
            <w:gridSpan w:val="6"/>
            <w:tcBorders>
              <w:left w:val="thinThickLargeGap" w:sz="2" w:space="0" w:color="auto"/>
              <w:right w:val="thinThickLargeGap" w:sz="2" w:space="0" w:color="auto"/>
            </w:tcBorders>
            <w:shd w:val="clear" w:color="auto" w:fill="F2F2F2" w:themeFill="background1" w:themeFillShade="F2"/>
            <w:vAlign w:val="center"/>
          </w:tcPr>
          <w:p w:rsidR="00C55DF6" w:rsidRPr="00401691" w:rsidRDefault="00C55DF6" w:rsidP="00844145">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sz w:val="24"/>
                <w:szCs w:val="24"/>
                <w:lang w:val="ro-MD" w:eastAsia="ru-RU"/>
              </w:rPr>
            </w:pPr>
            <w:r w:rsidRPr="00401691">
              <w:rPr>
                <w:rFonts w:asciiTheme="majorHAnsi" w:eastAsia="Times New Roman" w:hAnsiTheme="majorHAnsi" w:cstheme="majorHAnsi"/>
                <w:b w:val="0"/>
                <w:sz w:val="24"/>
                <w:szCs w:val="24"/>
                <w:lang w:val="ro-MD" w:eastAsia="ru-RU"/>
              </w:rPr>
              <w:t xml:space="preserve">Nivelul executării planului </w:t>
            </w:r>
            <w:r w:rsidR="0065187C">
              <w:rPr>
                <w:rFonts w:asciiTheme="majorHAnsi" w:eastAsia="Times New Roman" w:hAnsiTheme="majorHAnsi" w:cstheme="majorHAnsi"/>
                <w:b w:val="0"/>
                <w:sz w:val="24"/>
                <w:szCs w:val="24"/>
                <w:lang w:val="ro-MD" w:eastAsia="ru-RU"/>
              </w:rPr>
              <w:t xml:space="preserve">pe </w:t>
            </w:r>
            <w:r w:rsidRPr="00401691">
              <w:rPr>
                <w:rFonts w:asciiTheme="majorHAnsi" w:eastAsia="Times New Roman" w:hAnsiTheme="majorHAnsi" w:cstheme="majorHAnsi"/>
                <w:b w:val="0"/>
                <w:sz w:val="24"/>
                <w:szCs w:val="24"/>
                <w:lang w:val="ro-MD" w:eastAsia="ru-RU"/>
              </w:rPr>
              <w:t>anul 2019</w:t>
            </w:r>
          </w:p>
        </w:tc>
        <w:tc>
          <w:tcPr>
            <w:tcW w:w="1843" w:type="dxa"/>
            <w:gridSpan w:val="4"/>
            <w:tcBorders>
              <w:left w:val="thinThickLargeGap" w:sz="2" w:space="0" w:color="auto"/>
            </w:tcBorders>
            <w:shd w:val="clear" w:color="auto" w:fill="F2F2F2" w:themeFill="background1" w:themeFillShade="F2"/>
          </w:tcPr>
          <w:p w:rsidR="00C55DF6" w:rsidRPr="00401691" w:rsidRDefault="00C55DF6" w:rsidP="00844145">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sz w:val="24"/>
                <w:szCs w:val="24"/>
                <w:lang w:val="ro-MD" w:eastAsia="ru-RU"/>
              </w:rPr>
            </w:pPr>
            <w:r w:rsidRPr="00401691">
              <w:rPr>
                <w:rFonts w:asciiTheme="majorHAnsi" w:eastAsia="Times New Roman" w:hAnsiTheme="majorHAnsi" w:cstheme="majorHAnsi"/>
                <w:b w:val="0"/>
                <w:sz w:val="24"/>
                <w:szCs w:val="24"/>
                <w:lang w:val="ro-MD" w:eastAsia="ru-RU"/>
              </w:rPr>
              <w:t>Ponderea în PIB în anul 2019</w:t>
            </w:r>
          </w:p>
        </w:tc>
      </w:tr>
      <w:tr w:rsidR="00C55DF6" w:rsidRPr="00401691" w:rsidTr="00A353BB">
        <w:tc>
          <w:tcPr>
            <w:cnfStyle w:val="001000000000" w:firstRow="0" w:lastRow="0" w:firstColumn="1" w:lastColumn="0" w:oddVBand="0" w:evenVBand="0" w:oddHBand="0" w:evenHBand="0" w:firstRowFirstColumn="0" w:firstRowLastColumn="0" w:lastRowFirstColumn="0" w:lastRowLastColumn="0"/>
            <w:tcW w:w="3426" w:type="dxa"/>
            <w:vMerge/>
            <w:tcBorders>
              <w:right w:val="thinThickLargeGap" w:sz="24" w:space="0" w:color="auto"/>
            </w:tcBorders>
            <w:shd w:val="clear" w:color="auto" w:fill="auto"/>
            <w:vAlign w:val="center"/>
          </w:tcPr>
          <w:p w:rsidR="00C55DF6" w:rsidRPr="00401691" w:rsidRDefault="00C55DF6" w:rsidP="00844145">
            <w:pPr>
              <w:spacing w:line="276" w:lineRule="auto"/>
              <w:jc w:val="center"/>
              <w:rPr>
                <w:rFonts w:asciiTheme="majorHAnsi" w:eastAsia="Times New Roman" w:hAnsiTheme="majorHAnsi" w:cstheme="majorHAnsi"/>
                <w:b w:val="0"/>
                <w:sz w:val="24"/>
                <w:szCs w:val="24"/>
                <w:lang w:val="ro-MD" w:eastAsia="ru-RU"/>
              </w:rPr>
            </w:pPr>
          </w:p>
        </w:tc>
        <w:tc>
          <w:tcPr>
            <w:tcW w:w="801" w:type="dxa"/>
            <w:vMerge/>
            <w:tcBorders>
              <w:left w:val="thinThickLargeGap" w:sz="24" w:space="0" w:color="auto"/>
              <w:right w:val="thinThickLargeGap" w:sz="2" w:space="0" w:color="auto"/>
            </w:tcBorders>
            <w:shd w:val="clear" w:color="auto" w:fill="auto"/>
            <w:vAlign w:val="center"/>
          </w:tcPr>
          <w:p w:rsidR="00C55DF6" w:rsidRPr="00401691" w:rsidRDefault="00C55DF6" w:rsidP="008441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o-MD" w:eastAsia="ru-RU"/>
              </w:rPr>
            </w:pPr>
          </w:p>
        </w:tc>
        <w:tc>
          <w:tcPr>
            <w:tcW w:w="1259" w:type="dxa"/>
            <w:tcBorders>
              <w:left w:val="thinThickLargeGap" w:sz="2" w:space="0" w:color="auto"/>
            </w:tcBorders>
            <w:shd w:val="clear" w:color="auto" w:fill="auto"/>
            <w:vAlign w:val="center"/>
          </w:tcPr>
          <w:p w:rsidR="00C55DF6" w:rsidRPr="00401691" w:rsidRDefault="00C55DF6" w:rsidP="008441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4"/>
                <w:szCs w:val="24"/>
                <w:lang w:val="ro-MD" w:eastAsia="ru-RU"/>
              </w:rPr>
            </w:pPr>
            <w:r w:rsidRPr="00401691">
              <w:rPr>
                <w:rFonts w:asciiTheme="majorHAnsi" w:eastAsia="Times New Roman" w:hAnsiTheme="majorHAnsi" w:cstheme="majorHAnsi"/>
                <w:color w:val="000000" w:themeColor="text1"/>
                <w:sz w:val="24"/>
                <w:szCs w:val="24"/>
                <w:lang w:val="ro-MD" w:eastAsia="ru-RU"/>
              </w:rPr>
              <w:t>BPN</w:t>
            </w:r>
          </w:p>
        </w:tc>
        <w:tc>
          <w:tcPr>
            <w:tcW w:w="1259" w:type="dxa"/>
            <w:tcBorders>
              <w:right w:val="thinThickLargeGap" w:sz="2" w:space="0" w:color="auto"/>
            </w:tcBorders>
            <w:shd w:val="clear" w:color="auto" w:fill="auto"/>
            <w:vAlign w:val="center"/>
          </w:tcPr>
          <w:p w:rsidR="00C55DF6" w:rsidRPr="00401691" w:rsidRDefault="00C55DF6" w:rsidP="008441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595959" w:themeColor="text1" w:themeTint="A6"/>
                <w:sz w:val="24"/>
                <w:szCs w:val="24"/>
                <w:lang w:val="ro-MD" w:eastAsia="ru-RU"/>
              </w:rPr>
            </w:pPr>
            <w:proofErr w:type="spellStart"/>
            <w:r w:rsidRPr="00401691">
              <w:rPr>
                <w:rFonts w:asciiTheme="majorHAnsi" w:eastAsia="Times New Roman" w:hAnsiTheme="majorHAnsi" w:cstheme="majorHAnsi"/>
                <w:color w:val="595959" w:themeColor="text1" w:themeTint="A6"/>
                <w:sz w:val="24"/>
                <w:szCs w:val="24"/>
                <w:lang w:val="ro-MD" w:eastAsia="ru-RU"/>
              </w:rPr>
              <w:t>incl</w:t>
            </w:r>
            <w:proofErr w:type="spellEnd"/>
            <w:r w:rsidRPr="00401691">
              <w:rPr>
                <w:rFonts w:asciiTheme="majorHAnsi" w:eastAsia="Times New Roman" w:hAnsiTheme="majorHAnsi" w:cstheme="majorHAnsi"/>
                <w:color w:val="595959" w:themeColor="text1" w:themeTint="A6"/>
                <w:sz w:val="24"/>
                <w:szCs w:val="24"/>
                <w:lang w:val="ro-MD" w:eastAsia="ru-RU"/>
              </w:rPr>
              <w:t>. La BS</w:t>
            </w:r>
          </w:p>
        </w:tc>
        <w:tc>
          <w:tcPr>
            <w:tcW w:w="1245" w:type="dxa"/>
            <w:gridSpan w:val="2"/>
            <w:tcBorders>
              <w:left w:val="thinThickLargeGap" w:sz="2" w:space="0" w:color="auto"/>
            </w:tcBorders>
            <w:shd w:val="clear" w:color="auto" w:fill="auto"/>
            <w:vAlign w:val="center"/>
          </w:tcPr>
          <w:p w:rsidR="00C55DF6" w:rsidRPr="00401691" w:rsidRDefault="00C55DF6" w:rsidP="008441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o-MD" w:eastAsia="ru-RU"/>
              </w:rPr>
            </w:pPr>
            <w:r w:rsidRPr="00401691">
              <w:rPr>
                <w:rFonts w:asciiTheme="majorHAnsi" w:eastAsia="Times New Roman" w:hAnsiTheme="majorHAnsi" w:cstheme="majorHAnsi"/>
                <w:sz w:val="24"/>
                <w:szCs w:val="24"/>
                <w:lang w:val="ro-MD" w:eastAsia="ru-RU"/>
              </w:rPr>
              <w:t>BPN</w:t>
            </w:r>
          </w:p>
        </w:tc>
        <w:tc>
          <w:tcPr>
            <w:tcW w:w="1190" w:type="dxa"/>
            <w:tcBorders>
              <w:right w:val="thinThickLargeGap" w:sz="2" w:space="0" w:color="auto"/>
            </w:tcBorders>
            <w:shd w:val="clear" w:color="auto" w:fill="auto"/>
            <w:vAlign w:val="center"/>
          </w:tcPr>
          <w:p w:rsidR="00C55DF6" w:rsidRPr="00401691" w:rsidRDefault="00C55DF6" w:rsidP="008441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o-MD" w:eastAsia="ru-RU"/>
              </w:rPr>
            </w:pPr>
            <w:proofErr w:type="spellStart"/>
            <w:r w:rsidRPr="00401691">
              <w:rPr>
                <w:rFonts w:asciiTheme="majorHAnsi" w:eastAsia="Times New Roman" w:hAnsiTheme="majorHAnsi" w:cstheme="majorHAnsi"/>
                <w:sz w:val="24"/>
                <w:szCs w:val="24"/>
                <w:lang w:val="ro-MD" w:eastAsia="ru-RU"/>
              </w:rPr>
              <w:t>incl</w:t>
            </w:r>
            <w:proofErr w:type="spellEnd"/>
            <w:r w:rsidRPr="00401691">
              <w:rPr>
                <w:rFonts w:asciiTheme="majorHAnsi" w:eastAsia="Times New Roman" w:hAnsiTheme="majorHAnsi" w:cstheme="majorHAnsi"/>
                <w:sz w:val="24"/>
                <w:szCs w:val="24"/>
                <w:lang w:val="ro-MD" w:eastAsia="ru-RU"/>
              </w:rPr>
              <w:t>. La BS</w:t>
            </w:r>
          </w:p>
        </w:tc>
        <w:tc>
          <w:tcPr>
            <w:tcW w:w="2178" w:type="dxa"/>
            <w:gridSpan w:val="2"/>
            <w:tcBorders>
              <w:left w:val="thinThickLargeGap" w:sz="2" w:space="0" w:color="auto"/>
            </w:tcBorders>
            <w:shd w:val="clear" w:color="auto" w:fill="auto"/>
            <w:vAlign w:val="center"/>
          </w:tcPr>
          <w:p w:rsidR="00C55DF6" w:rsidRPr="00401691" w:rsidRDefault="00C55DF6" w:rsidP="008441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o-MD" w:eastAsia="ru-RU"/>
              </w:rPr>
            </w:pPr>
            <w:r w:rsidRPr="00401691">
              <w:rPr>
                <w:rFonts w:asciiTheme="majorHAnsi" w:eastAsia="Times New Roman" w:hAnsiTheme="majorHAnsi" w:cstheme="majorHAnsi"/>
                <w:sz w:val="24"/>
                <w:szCs w:val="24"/>
                <w:lang w:val="ro-MD" w:eastAsia="ru-RU"/>
              </w:rPr>
              <w:t>La BPN, +/-,%</w:t>
            </w:r>
          </w:p>
        </w:tc>
        <w:tc>
          <w:tcPr>
            <w:tcW w:w="2162" w:type="dxa"/>
            <w:gridSpan w:val="3"/>
            <w:tcBorders>
              <w:right w:val="thinThickLargeGap" w:sz="2" w:space="0" w:color="auto"/>
            </w:tcBorders>
            <w:shd w:val="clear" w:color="auto" w:fill="auto"/>
            <w:vAlign w:val="center"/>
          </w:tcPr>
          <w:p w:rsidR="00C55DF6" w:rsidRPr="00401691" w:rsidRDefault="00C55DF6" w:rsidP="008441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o-MD" w:eastAsia="ru-RU"/>
              </w:rPr>
            </w:pPr>
            <w:r w:rsidRPr="00401691">
              <w:rPr>
                <w:rFonts w:asciiTheme="majorHAnsi" w:eastAsia="Times New Roman" w:hAnsiTheme="majorHAnsi" w:cstheme="majorHAnsi"/>
                <w:sz w:val="24"/>
                <w:szCs w:val="24"/>
                <w:lang w:val="ro-MD" w:eastAsia="ru-RU"/>
              </w:rPr>
              <w:t>incl.la BS +/-,%</w:t>
            </w:r>
          </w:p>
        </w:tc>
        <w:tc>
          <w:tcPr>
            <w:tcW w:w="958" w:type="dxa"/>
            <w:gridSpan w:val="3"/>
            <w:tcBorders>
              <w:left w:val="thinThickLargeGap" w:sz="2" w:space="0" w:color="auto"/>
            </w:tcBorders>
            <w:shd w:val="clear" w:color="auto" w:fill="auto"/>
          </w:tcPr>
          <w:p w:rsidR="00C55DF6" w:rsidRPr="00401691" w:rsidRDefault="00C55DF6" w:rsidP="008441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o-MD" w:eastAsia="ru-RU"/>
              </w:rPr>
            </w:pPr>
            <w:r w:rsidRPr="00401691">
              <w:rPr>
                <w:rFonts w:asciiTheme="majorHAnsi" w:eastAsia="Times New Roman" w:hAnsiTheme="majorHAnsi" w:cstheme="majorHAnsi"/>
                <w:sz w:val="24"/>
                <w:szCs w:val="24"/>
                <w:lang w:val="ro-MD" w:eastAsia="ru-RU"/>
              </w:rPr>
              <w:t>BPN</w:t>
            </w:r>
          </w:p>
        </w:tc>
        <w:tc>
          <w:tcPr>
            <w:tcW w:w="900" w:type="dxa"/>
            <w:gridSpan w:val="2"/>
            <w:shd w:val="clear" w:color="auto" w:fill="auto"/>
          </w:tcPr>
          <w:p w:rsidR="00C55DF6" w:rsidRPr="00401691" w:rsidRDefault="00C55DF6" w:rsidP="008441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o-MD" w:eastAsia="ru-RU"/>
              </w:rPr>
            </w:pPr>
            <w:r w:rsidRPr="00401691">
              <w:rPr>
                <w:rFonts w:asciiTheme="majorHAnsi" w:eastAsia="Times New Roman" w:hAnsiTheme="majorHAnsi" w:cstheme="majorHAnsi"/>
                <w:sz w:val="24"/>
                <w:szCs w:val="24"/>
                <w:lang w:val="ro-MD" w:eastAsia="ru-RU"/>
              </w:rPr>
              <w:t>BS</w:t>
            </w:r>
          </w:p>
        </w:tc>
      </w:tr>
      <w:tr w:rsidR="00C55DF6" w:rsidRPr="00401691" w:rsidTr="00A353BB">
        <w:trPr>
          <w:gridAfter w:val="1"/>
          <w:wAfter w:w="6" w:type="dxa"/>
          <w:trHeight w:val="170"/>
        </w:trPr>
        <w:tc>
          <w:tcPr>
            <w:cnfStyle w:val="001000000000" w:firstRow="0" w:lastRow="0" w:firstColumn="1" w:lastColumn="0" w:oddVBand="0" w:evenVBand="0" w:oddHBand="0" w:evenHBand="0" w:firstRowFirstColumn="0" w:firstRowLastColumn="0" w:lastRowFirstColumn="0" w:lastRowLastColumn="0"/>
            <w:tcW w:w="3426" w:type="dxa"/>
            <w:tcBorders>
              <w:bottom w:val="thinThickLargeGap" w:sz="2" w:space="0" w:color="auto"/>
              <w:right w:val="thinThickLargeGap" w:sz="24" w:space="0" w:color="auto"/>
            </w:tcBorders>
            <w:shd w:val="clear" w:color="auto" w:fill="auto"/>
            <w:vAlign w:val="center"/>
          </w:tcPr>
          <w:p w:rsidR="00C55DF6" w:rsidRPr="00401691" w:rsidRDefault="00C55DF6" w:rsidP="00844145">
            <w:pPr>
              <w:spacing w:line="276" w:lineRule="auto"/>
              <w:jc w:val="center"/>
              <w:rPr>
                <w:rFonts w:asciiTheme="majorHAnsi" w:eastAsia="Times New Roman" w:hAnsiTheme="majorHAnsi" w:cstheme="majorHAnsi"/>
                <w:b w:val="0"/>
                <w:i/>
                <w:sz w:val="18"/>
                <w:szCs w:val="18"/>
                <w:lang w:val="ro-MD" w:eastAsia="ru-RU"/>
              </w:rPr>
            </w:pPr>
            <w:r w:rsidRPr="00401691">
              <w:rPr>
                <w:rFonts w:asciiTheme="majorHAnsi" w:eastAsia="Times New Roman" w:hAnsiTheme="majorHAnsi" w:cstheme="majorHAnsi"/>
                <w:b w:val="0"/>
                <w:i/>
                <w:sz w:val="18"/>
                <w:szCs w:val="18"/>
                <w:lang w:val="ro-MD" w:eastAsia="ru-RU"/>
              </w:rPr>
              <w:t>1</w:t>
            </w:r>
          </w:p>
        </w:tc>
        <w:tc>
          <w:tcPr>
            <w:tcW w:w="801" w:type="dxa"/>
            <w:tcBorders>
              <w:left w:val="thinThickLargeGap" w:sz="24" w:space="0" w:color="auto"/>
              <w:bottom w:val="thinThickLargeGap" w:sz="2" w:space="0" w:color="auto"/>
              <w:right w:val="thinThickLargeGap" w:sz="2" w:space="0" w:color="auto"/>
            </w:tcBorders>
            <w:shd w:val="clear" w:color="auto" w:fill="auto"/>
            <w:vAlign w:val="center"/>
          </w:tcPr>
          <w:p w:rsidR="00C55DF6" w:rsidRPr="00401691" w:rsidRDefault="00C55DF6" w:rsidP="008441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8"/>
                <w:szCs w:val="18"/>
                <w:lang w:val="ro-MD" w:eastAsia="ru-RU"/>
              </w:rPr>
            </w:pPr>
            <w:r w:rsidRPr="00401691">
              <w:rPr>
                <w:rFonts w:asciiTheme="majorHAnsi" w:eastAsia="Times New Roman" w:hAnsiTheme="majorHAnsi" w:cstheme="majorHAnsi"/>
                <w:i/>
                <w:sz w:val="18"/>
                <w:szCs w:val="18"/>
                <w:lang w:val="ro-MD" w:eastAsia="ru-RU"/>
              </w:rPr>
              <w:t>2</w:t>
            </w:r>
          </w:p>
        </w:tc>
        <w:tc>
          <w:tcPr>
            <w:tcW w:w="1259" w:type="dxa"/>
            <w:tcBorders>
              <w:left w:val="thinThickLargeGap" w:sz="2" w:space="0" w:color="auto"/>
              <w:bottom w:val="thinThickLargeGap" w:sz="2" w:space="0" w:color="auto"/>
            </w:tcBorders>
            <w:shd w:val="clear" w:color="auto" w:fill="auto"/>
            <w:vAlign w:val="center"/>
          </w:tcPr>
          <w:p w:rsidR="00C55DF6" w:rsidRPr="00401691" w:rsidRDefault="00C55DF6" w:rsidP="008441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themeColor="text1"/>
                <w:sz w:val="18"/>
                <w:szCs w:val="18"/>
                <w:lang w:val="ro-MD" w:eastAsia="ru-RU"/>
              </w:rPr>
            </w:pPr>
            <w:r w:rsidRPr="00401691">
              <w:rPr>
                <w:rFonts w:asciiTheme="majorHAnsi" w:eastAsia="Times New Roman" w:hAnsiTheme="majorHAnsi" w:cstheme="majorHAnsi"/>
                <w:i/>
                <w:color w:val="000000" w:themeColor="text1"/>
                <w:sz w:val="18"/>
                <w:szCs w:val="18"/>
                <w:lang w:val="ro-MD" w:eastAsia="ru-RU"/>
              </w:rPr>
              <w:t>3</w:t>
            </w:r>
          </w:p>
        </w:tc>
        <w:tc>
          <w:tcPr>
            <w:tcW w:w="1259" w:type="dxa"/>
            <w:tcBorders>
              <w:bottom w:val="thinThickLargeGap" w:sz="2" w:space="0" w:color="auto"/>
              <w:right w:val="thinThickLargeGap" w:sz="2" w:space="0" w:color="auto"/>
            </w:tcBorders>
            <w:shd w:val="clear" w:color="auto" w:fill="auto"/>
            <w:vAlign w:val="center"/>
          </w:tcPr>
          <w:p w:rsidR="00C55DF6" w:rsidRPr="00401691" w:rsidRDefault="00C55DF6" w:rsidP="008441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595959" w:themeColor="text1" w:themeTint="A6"/>
                <w:sz w:val="18"/>
                <w:szCs w:val="18"/>
                <w:lang w:val="ro-MD" w:eastAsia="ru-RU"/>
              </w:rPr>
            </w:pPr>
            <w:r w:rsidRPr="00401691">
              <w:rPr>
                <w:rFonts w:asciiTheme="majorHAnsi" w:eastAsia="Times New Roman" w:hAnsiTheme="majorHAnsi" w:cstheme="majorHAnsi"/>
                <w:i/>
                <w:color w:val="595959" w:themeColor="text1" w:themeTint="A6"/>
                <w:sz w:val="18"/>
                <w:szCs w:val="18"/>
                <w:lang w:val="ro-MD" w:eastAsia="ru-RU"/>
              </w:rPr>
              <w:t>4</w:t>
            </w:r>
          </w:p>
        </w:tc>
        <w:tc>
          <w:tcPr>
            <w:tcW w:w="1245" w:type="dxa"/>
            <w:gridSpan w:val="2"/>
            <w:tcBorders>
              <w:left w:val="thinThickLargeGap" w:sz="2" w:space="0" w:color="auto"/>
              <w:bottom w:val="thinThickLargeGap" w:sz="2" w:space="0" w:color="auto"/>
            </w:tcBorders>
            <w:shd w:val="clear" w:color="auto" w:fill="auto"/>
            <w:vAlign w:val="center"/>
          </w:tcPr>
          <w:p w:rsidR="00C55DF6" w:rsidRPr="00401691" w:rsidRDefault="00C55DF6" w:rsidP="008441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8"/>
                <w:szCs w:val="18"/>
                <w:lang w:val="ro-MD" w:eastAsia="ru-RU"/>
              </w:rPr>
            </w:pPr>
            <w:r w:rsidRPr="00401691">
              <w:rPr>
                <w:rFonts w:asciiTheme="majorHAnsi" w:eastAsia="Times New Roman" w:hAnsiTheme="majorHAnsi" w:cstheme="majorHAnsi"/>
                <w:i/>
                <w:sz w:val="18"/>
                <w:szCs w:val="18"/>
                <w:lang w:val="ro-MD" w:eastAsia="ru-RU"/>
              </w:rPr>
              <w:t>5</w:t>
            </w:r>
          </w:p>
        </w:tc>
        <w:tc>
          <w:tcPr>
            <w:tcW w:w="1190" w:type="dxa"/>
            <w:tcBorders>
              <w:bottom w:val="thinThickLargeGap" w:sz="2" w:space="0" w:color="auto"/>
              <w:right w:val="thinThickLargeGap" w:sz="2" w:space="0" w:color="auto"/>
            </w:tcBorders>
            <w:shd w:val="clear" w:color="auto" w:fill="auto"/>
            <w:vAlign w:val="center"/>
          </w:tcPr>
          <w:p w:rsidR="00C55DF6" w:rsidRPr="00401691" w:rsidRDefault="00C55DF6" w:rsidP="008441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8"/>
                <w:szCs w:val="18"/>
                <w:lang w:val="ro-MD" w:eastAsia="ru-RU"/>
              </w:rPr>
            </w:pPr>
            <w:r w:rsidRPr="00401691">
              <w:rPr>
                <w:rFonts w:asciiTheme="majorHAnsi" w:eastAsia="Times New Roman" w:hAnsiTheme="majorHAnsi" w:cstheme="majorHAnsi"/>
                <w:i/>
                <w:sz w:val="18"/>
                <w:szCs w:val="18"/>
                <w:lang w:val="ro-MD" w:eastAsia="ru-RU"/>
              </w:rPr>
              <w:t>6</w:t>
            </w:r>
          </w:p>
        </w:tc>
        <w:tc>
          <w:tcPr>
            <w:tcW w:w="1084" w:type="dxa"/>
            <w:tcBorders>
              <w:left w:val="thinThickLargeGap" w:sz="2" w:space="0" w:color="auto"/>
              <w:bottom w:val="thinThickLargeGap" w:sz="2" w:space="0" w:color="auto"/>
            </w:tcBorders>
            <w:shd w:val="clear" w:color="auto" w:fill="auto"/>
            <w:vAlign w:val="center"/>
          </w:tcPr>
          <w:p w:rsidR="00C55DF6" w:rsidRPr="00401691" w:rsidRDefault="00C55DF6" w:rsidP="008441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18"/>
                <w:szCs w:val="18"/>
                <w:lang w:val="ro-MD"/>
              </w:rPr>
            </w:pPr>
            <w:r w:rsidRPr="00401691">
              <w:rPr>
                <w:rFonts w:asciiTheme="majorHAnsi" w:eastAsia="Times New Roman" w:hAnsiTheme="majorHAnsi" w:cstheme="majorHAnsi"/>
                <w:i/>
                <w:iCs/>
                <w:color w:val="000000"/>
                <w:sz w:val="18"/>
                <w:szCs w:val="18"/>
                <w:lang w:val="ro-MD"/>
              </w:rPr>
              <w:t>7=5-3</w:t>
            </w:r>
          </w:p>
        </w:tc>
        <w:tc>
          <w:tcPr>
            <w:tcW w:w="1094" w:type="dxa"/>
            <w:tcBorders>
              <w:bottom w:val="thinThickLargeGap" w:sz="2" w:space="0" w:color="auto"/>
            </w:tcBorders>
            <w:shd w:val="clear" w:color="auto" w:fill="auto"/>
            <w:vAlign w:val="center"/>
          </w:tcPr>
          <w:p w:rsidR="00C55DF6" w:rsidRPr="00401691" w:rsidRDefault="00C55DF6" w:rsidP="008441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18"/>
                <w:szCs w:val="18"/>
                <w:lang w:val="ro-MD"/>
              </w:rPr>
            </w:pPr>
            <w:r w:rsidRPr="00401691">
              <w:rPr>
                <w:rFonts w:asciiTheme="majorHAnsi" w:eastAsia="Times New Roman" w:hAnsiTheme="majorHAnsi" w:cstheme="majorHAnsi"/>
                <w:i/>
                <w:iCs/>
                <w:color w:val="000000"/>
                <w:sz w:val="18"/>
                <w:szCs w:val="18"/>
                <w:lang w:val="ro-MD"/>
              </w:rPr>
              <w:t>8=5/3*100</w:t>
            </w:r>
          </w:p>
        </w:tc>
        <w:tc>
          <w:tcPr>
            <w:tcW w:w="1152" w:type="dxa"/>
            <w:tcBorders>
              <w:bottom w:val="thinThickLargeGap" w:sz="2" w:space="0" w:color="auto"/>
            </w:tcBorders>
            <w:shd w:val="clear" w:color="auto" w:fill="auto"/>
            <w:vAlign w:val="center"/>
          </w:tcPr>
          <w:p w:rsidR="00C55DF6" w:rsidRPr="00401691" w:rsidRDefault="00C55DF6" w:rsidP="008441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18"/>
                <w:szCs w:val="18"/>
                <w:lang w:val="ro-MD"/>
              </w:rPr>
            </w:pPr>
            <w:r w:rsidRPr="00401691">
              <w:rPr>
                <w:rFonts w:asciiTheme="majorHAnsi" w:eastAsia="Times New Roman" w:hAnsiTheme="majorHAnsi" w:cstheme="majorHAnsi"/>
                <w:i/>
                <w:iCs/>
                <w:color w:val="000000"/>
                <w:sz w:val="18"/>
                <w:szCs w:val="18"/>
                <w:lang w:val="ro-MD"/>
              </w:rPr>
              <w:t>9=6-4</w:t>
            </w:r>
          </w:p>
        </w:tc>
        <w:tc>
          <w:tcPr>
            <w:tcW w:w="1004" w:type="dxa"/>
            <w:tcBorders>
              <w:bottom w:val="thinThickLargeGap" w:sz="2" w:space="0" w:color="auto"/>
              <w:right w:val="thinThickLargeGap" w:sz="2" w:space="0" w:color="auto"/>
            </w:tcBorders>
            <w:shd w:val="clear" w:color="auto" w:fill="auto"/>
            <w:vAlign w:val="center"/>
          </w:tcPr>
          <w:p w:rsidR="00C55DF6" w:rsidRPr="00401691" w:rsidRDefault="00C55DF6" w:rsidP="00844145">
            <w:pPr>
              <w:spacing w:line="276" w:lineRule="auto"/>
              <w:ind w:left="-102" w:right="-4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18"/>
                <w:szCs w:val="18"/>
                <w:lang w:val="ro-MD"/>
              </w:rPr>
            </w:pPr>
            <w:r w:rsidRPr="00401691">
              <w:rPr>
                <w:rFonts w:asciiTheme="majorHAnsi" w:eastAsia="Times New Roman" w:hAnsiTheme="majorHAnsi" w:cstheme="majorHAnsi"/>
                <w:i/>
                <w:iCs/>
                <w:color w:val="000000"/>
                <w:sz w:val="18"/>
                <w:szCs w:val="18"/>
                <w:lang w:val="ro-MD"/>
              </w:rPr>
              <w:t>10=6/4*100</w:t>
            </w:r>
          </w:p>
        </w:tc>
        <w:tc>
          <w:tcPr>
            <w:tcW w:w="958" w:type="dxa"/>
            <w:gridSpan w:val="3"/>
            <w:tcBorders>
              <w:left w:val="thinThickLargeGap" w:sz="2" w:space="0" w:color="auto"/>
              <w:bottom w:val="thinThickLargeGap" w:sz="2" w:space="0" w:color="auto"/>
            </w:tcBorders>
            <w:shd w:val="clear" w:color="auto" w:fill="auto"/>
            <w:vAlign w:val="center"/>
          </w:tcPr>
          <w:p w:rsidR="00C55DF6" w:rsidRPr="00401691" w:rsidRDefault="00C55DF6" w:rsidP="008441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8"/>
                <w:szCs w:val="18"/>
                <w:lang w:val="ro-MD" w:eastAsia="ru-RU"/>
              </w:rPr>
            </w:pPr>
            <w:r w:rsidRPr="00401691">
              <w:rPr>
                <w:rFonts w:asciiTheme="majorHAnsi" w:eastAsia="Times New Roman" w:hAnsiTheme="majorHAnsi" w:cstheme="majorHAnsi"/>
                <w:i/>
                <w:sz w:val="18"/>
                <w:szCs w:val="18"/>
                <w:lang w:val="ro-MD" w:eastAsia="ru-RU"/>
              </w:rPr>
              <w:t>11=5/PIB*100</w:t>
            </w:r>
          </w:p>
        </w:tc>
        <w:tc>
          <w:tcPr>
            <w:tcW w:w="900" w:type="dxa"/>
            <w:gridSpan w:val="2"/>
            <w:tcBorders>
              <w:bottom w:val="thinThickLargeGap" w:sz="2" w:space="0" w:color="auto"/>
            </w:tcBorders>
            <w:shd w:val="clear" w:color="auto" w:fill="auto"/>
            <w:vAlign w:val="center"/>
          </w:tcPr>
          <w:p w:rsidR="00C55DF6" w:rsidRPr="00401691" w:rsidRDefault="00C55DF6" w:rsidP="008441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8"/>
                <w:szCs w:val="18"/>
                <w:lang w:val="ro-MD" w:eastAsia="ru-RU"/>
              </w:rPr>
            </w:pPr>
            <w:r w:rsidRPr="00401691">
              <w:rPr>
                <w:rFonts w:asciiTheme="majorHAnsi" w:eastAsia="Times New Roman" w:hAnsiTheme="majorHAnsi" w:cstheme="majorHAnsi"/>
                <w:i/>
                <w:sz w:val="18"/>
                <w:szCs w:val="18"/>
                <w:lang w:val="ro-MD" w:eastAsia="ru-RU"/>
              </w:rPr>
              <w:t>12=6/PIB*100</w:t>
            </w:r>
          </w:p>
        </w:tc>
      </w:tr>
      <w:tr w:rsidR="00C55DF6" w:rsidRPr="00401691" w:rsidTr="00A353BB">
        <w:trPr>
          <w:gridAfter w:val="1"/>
          <w:wAfter w:w="6" w:type="dxa"/>
          <w:trHeight w:val="530"/>
        </w:trPr>
        <w:tc>
          <w:tcPr>
            <w:cnfStyle w:val="001000000000" w:firstRow="0" w:lastRow="0" w:firstColumn="1" w:lastColumn="0" w:oddVBand="0" w:evenVBand="0" w:oddHBand="0" w:evenHBand="0" w:firstRowFirstColumn="0" w:firstRowLastColumn="0" w:lastRowFirstColumn="0" w:lastRowLastColumn="0"/>
            <w:tcW w:w="3426" w:type="dxa"/>
            <w:tcBorders>
              <w:top w:val="thinThickLargeGap" w:sz="2" w:space="0" w:color="auto"/>
              <w:right w:val="thinThickLargeGap" w:sz="24" w:space="0" w:color="auto"/>
            </w:tcBorders>
            <w:shd w:val="clear" w:color="auto" w:fill="F2F2F2" w:themeFill="background1" w:themeFillShade="F2"/>
          </w:tcPr>
          <w:p w:rsidR="00C55DF6" w:rsidRPr="00401691" w:rsidRDefault="00C55DF6" w:rsidP="00844145">
            <w:pPr>
              <w:spacing w:line="276" w:lineRule="auto"/>
              <w:ind w:right="-105"/>
              <w:jc w:val="both"/>
              <w:rPr>
                <w:rFonts w:asciiTheme="majorHAnsi" w:eastAsia="Times New Roman" w:hAnsiTheme="majorHAnsi" w:cstheme="majorHAnsi"/>
                <w:sz w:val="20"/>
                <w:szCs w:val="20"/>
                <w:lang w:val="ro-MD" w:eastAsia="ru-RU"/>
              </w:rPr>
            </w:pPr>
            <w:r w:rsidRPr="00401691">
              <w:rPr>
                <w:rFonts w:asciiTheme="majorHAnsi" w:eastAsia="Times New Roman" w:hAnsiTheme="majorHAnsi" w:cstheme="majorHAnsi"/>
                <w:sz w:val="20"/>
                <w:szCs w:val="20"/>
                <w:lang w:val="ro-MD" w:eastAsia="ru-RU"/>
              </w:rPr>
              <w:t>VENITURI TOTAL, din care:</w:t>
            </w:r>
          </w:p>
        </w:tc>
        <w:tc>
          <w:tcPr>
            <w:tcW w:w="801" w:type="dxa"/>
            <w:tcBorders>
              <w:top w:val="thinThickLargeGap" w:sz="2" w:space="0" w:color="auto"/>
              <w:left w:val="thinThickLargeGap" w:sz="24" w:space="0" w:color="auto"/>
              <w:right w:val="thinThickLargeGap" w:sz="2" w:space="0" w:color="auto"/>
            </w:tcBorders>
            <w:shd w:val="clear" w:color="auto" w:fill="auto"/>
          </w:tcPr>
          <w:p w:rsidR="00C55DF6" w:rsidRPr="00401691" w:rsidRDefault="00C55DF6" w:rsidP="008441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val="ro-MD"/>
              </w:rPr>
            </w:pPr>
            <w:r w:rsidRPr="00401691">
              <w:rPr>
                <w:rFonts w:asciiTheme="majorHAnsi" w:eastAsia="Times New Roman" w:hAnsiTheme="majorHAnsi" w:cstheme="majorHAnsi"/>
                <w:b/>
                <w:color w:val="000000"/>
                <w:sz w:val="20"/>
                <w:szCs w:val="20"/>
                <w:lang w:val="ro-MD"/>
              </w:rPr>
              <w:t>1</w:t>
            </w:r>
          </w:p>
        </w:tc>
        <w:tc>
          <w:tcPr>
            <w:tcW w:w="1259" w:type="dxa"/>
            <w:tcBorders>
              <w:top w:val="thinThickLargeGap" w:sz="2" w:space="0" w:color="auto"/>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themeColor="text1"/>
                <w:sz w:val="18"/>
                <w:szCs w:val="18"/>
                <w:lang w:val="ro-MD"/>
              </w:rPr>
            </w:pPr>
            <w:r w:rsidRPr="00401691">
              <w:rPr>
                <w:rFonts w:asciiTheme="majorHAnsi" w:hAnsiTheme="majorHAnsi" w:cstheme="majorHAnsi"/>
                <w:b/>
                <w:bCs/>
                <w:color w:val="000000" w:themeColor="text1"/>
                <w:sz w:val="18"/>
                <w:szCs w:val="18"/>
                <w:lang w:val="ro-MD"/>
              </w:rPr>
              <w:t>20,927,356.8</w:t>
            </w:r>
          </w:p>
        </w:tc>
        <w:tc>
          <w:tcPr>
            <w:tcW w:w="1259" w:type="dxa"/>
            <w:tcBorders>
              <w:top w:val="thinThickLargeGap" w:sz="2" w:space="0" w:color="auto"/>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595959" w:themeColor="text1" w:themeTint="A6"/>
                <w:sz w:val="18"/>
                <w:szCs w:val="18"/>
                <w:lang w:val="ro-MD"/>
              </w:rPr>
            </w:pPr>
            <w:r w:rsidRPr="00401691">
              <w:rPr>
                <w:rFonts w:asciiTheme="majorHAnsi" w:hAnsiTheme="majorHAnsi" w:cstheme="majorHAnsi"/>
                <w:b/>
                <w:bCs/>
                <w:color w:val="595959" w:themeColor="text1" w:themeTint="A6"/>
                <w:sz w:val="18"/>
                <w:szCs w:val="18"/>
                <w:lang w:val="ro-MD"/>
              </w:rPr>
              <w:t>17,281,136.2</w:t>
            </w:r>
          </w:p>
        </w:tc>
        <w:tc>
          <w:tcPr>
            <w:tcW w:w="1245" w:type="dxa"/>
            <w:gridSpan w:val="2"/>
            <w:tcBorders>
              <w:top w:val="thinThickLargeGap" w:sz="2" w:space="0" w:color="auto"/>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18"/>
                <w:szCs w:val="18"/>
                <w:lang w:val="ro-MD"/>
              </w:rPr>
            </w:pPr>
            <w:r w:rsidRPr="00401691">
              <w:rPr>
                <w:rFonts w:asciiTheme="majorHAnsi" w:hAnsiTheme="majorHAnsi" w:cstheme="majorHAnsi"/>
                <w:b/>
                <w:bCs/>
                <w:color w:val="000000"/>
                <w:sz w:val="18"/>
                <w:szCs w:val="18"/>
                <w:lang w:val="ro-MD"/>
              </w:rPr>
              <w:t>21,044,50.0</w:t>
            </w:r>
          </w:p>
        </w:tc>
        <w:tc>
          <w:tcPr>
            <w:tcW w:w="1190" w:type="dxa"/>
            <w:tcBorders>
              <w:top w:val="thinThickLargeGap" w:sz="2" w:space="0" w:color="auto"/>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18"/>
                <w:szCs w:val="18"/>
                <w:lang w:val="ro-MD"/>
              </w:rPr>
            </w:pPr>
            <w:r w:rsidRPr="00401691">
              <w:rPr>
                <w:rFonts w:asciiTheme="majorHAnsi" w:hAnsiTheme="majorHAnsi" w:cstheme="majorHAnsi"/>
                <w:b/>
                <w:bCs/>
                <w:color w:val="000000"/>
                <w:sz w:val="18"/>
                <w:szCs w:val="18"/>
                <w:lang w:val="ro-MD"/>
              </w:rPr>
              <w:t>17,236,007.1</w:t>
            </w:r>
          </w:p>
        </w:tc>
        <w:tc>
          <w:tcPr>
            <w:tcW w:w="1084" w:type="dxa"/>
            <w:tcBorders>
              <w:top w:val="thinThickLargeGap" w:sz="2" w:space="0" w:color="auto"/>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117,163.20</w:t>
            </w:r>
          </w:p>
        </w:tc>
        <w:tc>
          <w:tcPr>
            <w:tcW w:w="1094" w:type="dxa"/>
            <w:tcBorders>
              <w:top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100.56</w:t>
            </w:r>
          </w:p>
        </w:tc>
        <w:tc>
          <w:tcPr>
            <w:tcW w:w="1152" w:type="dxa"/>
            <w:tcBorders>
              <w:top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-45,129.10</w:t>
            </w:r>
          </w:p>
        </w:tc>
        <w:tc>
          <w:tcPr>
            <w:tcW w:w="1004" w:type="dxa"/>
            <w:tcBorders>
              <w:top w:val="thinThickLargeGap" w:sz="2" w:space="0" w:color="auto"/>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99.74</w:t>
            </w:r>
          </w:p>
        </w:tc>
        <w:tc>
          <w:tcPr>
            <w:tcW w:w="958" w:type="dxa"/>
            <w:gridSpan w:val="3"/>
            <w:tcBorders>
              <w:top w:val="thinThickLargeGap" w:sz="2" w:space="0" w:color="auto"/>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10.02</w:t>
            </w:r>
          </w:p>
        </w:tc>
        <w:tc>
          <w:tcPr>
            <w:tcW w:w="900" w:type="dxa"/>
            <w:gridSpan w:val="2"/>
            <w:tcBorders>
              <w:top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8.20</w:t>
            </w:r>
          </w:p>
        </w:tc>
      </w:tr>
      <w:tr w:rsidR="00C55DF6" w:rsidRPr="00401691" w:rsidTr="00A353BB">
        <w:trPr>
          <w:gridAfter w:val="1"/>
          <w:wAfter w:w="6" w:type="dxa"/>
        </w:trPr>
        <w:tc>
          <w:tcPr>
            <w:cnfStyle w:val="001000000000" w:firstRow="0" w:lastRow="0" w:firstColumn="1" w:lastColumn="0" w:oddVBand="0" w:evenVBand="0" w:oddHBand="0" w:evenHBand="0" w:firstRowFirstColumn="0" w:firstRowLastColumn="0" w:lastRowFirstColumn="0" w:lastRowLastColumn="0"/>
            <w:tcW w:w="3426" w:type="dxa"/>
            <w:tcBorders>
              <w:right w:val="thinThickLargeGap" w:sz="24" w:space="0" w:color="auto"/>
            </w:tcBorders>
            <w:shd w:val="clear" w:color="auto" w:fill="F2F2F2" w:themeFill="background1" w:themeFillShade="F2"/>
          </w:tcPr>
          <w:p w:rsidR="00C55DF6" w:rsidRPr="00401691" w:rsidRDefault="00C55DF6" w:rsidP="00844145">
            <w:pPr>
              <w:pStyle w:val="ListParagraph"/>
              <w:numPr>
                <w:ilvl w:val="0"/>
                <w:numId w:val="20"/>
              </w:numPr>
              <w:spacing w:line="276" w:lineRule="auto"/>
              <w:ind w:left="438"/>
              <w:jc w:val="both"/>
              <w:rPr>
                <w:rFonts w:asciiTheme="majorHAnsi" w:eastAsia="Times New Roman" w:hAnsiTheme="majorHAnsi" w:cstheme="majorHAnsi"/>
                <w:b w:val="0"/>
                <w:sz w:val="20"/>
                <w:szCs w:val="20"/>
                <w:lang w:val="ro-MD" w:eastAsia="ru-RU"/>
              </w:rPr>
            </w:pPr>
            <w:r w:rsidRPr="00401691">
              <w:rPr>
                <w:rFonts w:asciiTheme="majorHAnsi" w:eastAsia="Times New Roman" w:hAnsiTheme="majorHAnsi" w:cstheme="majorHAnsi"/>
                <w:b w:val="0"/>
                <w:sz w:val="20"/>
                <w:szCs w:val="20"/>
                <w:lang w:val="ro-MD" w:eastAsia="ru-RU"/>
              </w:rPr>
              <w:t>IMPOZITE PE VENIT</w:t>
            </w:r>
          </w:p>
        </w:tc>
        <w:tc>
          <w:tcPr>
            <w:tcW w:w="801" w:type="dxa"/>
            <w:tcBorders>
              <w:left w:val="thinThickLargeGap" w:sz="24" w:space="0" w:color="auto"/>
              <w:right w:val="thinThickLargeGap" w:sz="2" w:space="0" w:color="auto"/>
            </w:tcBorders>
            <w:shd w:val="clear" w:color="auto" w:fill="auto"/>
          </w:tcPr>
          <w:p w:rsidR="00C55DF6" w:rsidRPr="00401691" w:rsidRDefault="00C55DF6" w:rsidP="008441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val="ro-MD" w:eastAsia="ru-RU"/>
              </w:rPr>
            </w:pPr>
            <w:r w:rsidRPr="00401691">
              <w:rPr>
                <w:rFonts w:asciiTheme="majorHAnsi" w:eastAsia="Times New Roman" w:hAnsiTheme="majorHAnsi" w:cstheme="majorHAnsi"/>
                <w:b/>
                <w:color w:val="000000"/>
                <w:sz w:val="20"/>
                <w:szCs w:val="20"/>
                <w:lang w:val="ro-MD" w:eastAsia="ru-RU"/>
              </w:rPr>
              <w:t>111</w:t>
            </w:r>
          </w:p>
        </w:tc>
        <w:tc>
          <w:tcPr>
            <w:tcW w:w="1259" w:type="dxa"/>
            <w:tcBorders>
              <w:left w:val="thinThickLargeGap" w:sz="2" w:space="0" w:color="auto"/>
            </w:tcBorders>
            <w:shd w:val="clear" w:color="auto" w:fill="auto"/>
            <w:vAlign w:val="center"/>
          </w:tcPr>
          <w:p w:rsidR="00C55DF6" w:rsidRPr="00401691" w:rsidRDefault="00C55DF6" w:rsidP="00844145">
            <w:pPr>
              <w:spacing w:line="276" w:lineRule="auto"/>
              <w:jc w:val="right"/>
              <w:outlineLvl w:val="3"/>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themeColor="text1"/>
                <w:sz w:val="18"/>
                <w:szCs w:val="18"/>
                <w:lang w:val="ro-MD"/>
              </w:rPr>
            </w:pPr>
            <w:r w:rsidRPr="00401691">
              <w:rPr>
                <w:rFonts w:asciiTheme="majorHAnsi" w:hAnsiTheme="majorHAnsi" w:cstheme="majorHAnsi"/>
                <w:b/>
                <w:bCs/>
                <w:color w:val="000000" w:themeColor="text1"/>
                <w:sz w:val="18"/>
                <w:szCs w:val="18"/>
                <w:lang w:val="ro-MD"/>
              </w:rPr>
              <w:t>9,307,365.8</w:t>
            </w:r>
          </w:p>
        </w:tc>
        <w:tc>
          <w:tcPr>
            <w:tcW w:w="1259" w:type="dxa"/>
            <w:tcBorders>
              <w:right w:val="thinThickLargeGap" w:sz="2" w:space="0" w:color="auto"/>
            </w:tcBorders>
            <w:shd w:val="clear" w:color="auto" w:fill="auto"/>
            <w:vAlign w:val="center"/>
          </w:tcPr>
          <w:p w:rsidR="00C55DF6" w:rsidRPr="00401691" w:rsidRDefault="00C55DF6" w:rsidP="00844145">
            <w:pPr>
              <w:spacing w:line="276" w:lineRule="auto"/>
              <w:jc w:val="right"/>
              <w:outlineLvl w:val="3"/>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595959" w:themeColor="text1" w:themeTint="A6"/>
                <w:sz w:val="18"/>
                <w:szCs w:val="18"/>
                <w:lang w:val="ro-MD"/>
              </w:rPr>
            </w:pPr>
            <w:r w:rsidRPr="00401691">
              <w:rPr>
                <w:rFonts w:asciiTheme="majorHAnsi" w:hAnsiTheme="majorHAnsi" w:cstheme="majorHAnsi"/>
                <w:b/>
                <w:bCs/>
                <w:color w:val="595959" w:themeColor="text1" w:themeTint="A6"/>
                <w:sz w:val="18"/>
                <w:szCs w:val="18"/>
                <w:lang w:val="ro-MD"/>
              </w:rPr>
              <w:t>6,961,900.0</w:t>
            </w:r>
          </w:p>
        </w:tc>
        <w:tc>
          <w:tcPr>
            <w:tcW w:w="1245" w:type="dxa"/>
            <w:gridSpan w:val="2"/>
            <w:tcBorders>
              <w:left w:val="thinThickLargeGap" w:sz="2" w:space="0" w:color="auto"/>
            </w:tcBorders>
            <w:shd w:val="clear" w:color="auto" w:fill="auto"/>
            <w:vAlign w:val="center"/>
          </w:tcPr>
          <w:p w:rsidR="00C55DF6" w:rsidRPr="00401691" w:rsidRDefault="00C55DF6" w:rsidP="00844145">
            <w:pPr>
              <w:spacing w:line="276" w:lineRule="auto"/>
              <w:jc w:val="right"/>
              <w:outlineLvl w:val="3"/>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8"/>
                <w:szCs w:val="18"/>
                <w:lang w:val="ro-MD"/>
              </w:rPr>
            </w:pPr>
            <w:r w:rsidRPr="00401691">
              <w:rPr>
                <w:rFonts w:asciiTheme="majorHAnsi" w:hAnsiTheme="majorHAnsi" w:cstheme="majorHAnsi"/>
                <w:b/>
                <w:bCs/>
                <w:sz w:val="18"/>
                <w:szCs w:val="18"/>
                <w:lang w:val="ro-MD"/>
              </w:rPr>
              <w:t>9,398,043.9</w:t>
            </w:r>
          </w:p>
        </w:tc>
        <w:tc>
          <w:tcPr>
            <w:tcW w:w="1190" w:type="dxa"/>
            <w:tcBorders>
              <w:right w:val="thinThickLargeGap" w:sz="2" w:space="0" w:color="auto"/>
            </w:tcBorders>
            <w:shd w:val="clear" w:color="auto" w:fill="auto"/>
            <w:vAlign w:val="center"/>
          </w:tcPr>
          <w:p w:rsidR="00C55DF6" w:rsidRPr="00401691" w:rsidRDefault="00C55DF6" w:rsidP="00844145">
            <w:pPr>
              <w:spacing w:line="276" w:lineRule="auto"/>
              <w:jc w:val="right"/>
              <w:outlineLvl w:val="3"/>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8"/>
                <w:szCs w:val="18"/>
                <w:lang w:val="ro-MD"/>
              </w:rPr>
            </w:pPr>
            <w:r w:rsidRPr="00401691">
              <w:rPr>
                <w:rFonts w:asciiTheme="majorHAnsi" w:hAnsiTheme="majorHAnsi" w:cstheme="majorHAnsi"/>
                <w:b/>
                <w:bCs/>
                <w:sz w:val="18"/>
                <w:szCs w:val="18"/>
                <w:lang w:val="ro-MD"/>
              </w:rPr>
              <w:t>6,923,161.0</w:t>
            </w:r>
          </w:p>
        </w:tc>
        <w:tc>
          <w:tcPr>
            <w:tcW w:w="1084" w:type="dxa"/>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90,678.10</w:t>
            </w:r>
          </w:p>
        </w:tc>
        <w:tc>
          <w:tcPr>
            <w:tcW w:w="1094" w:type="dxa"/>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100.97</w:t>
            </w:r>
          </w:p>
        </w:tc>
        <w:tc>
          <w:tcPr>
            <w:tcW w:w="1152" w:type="dxa"/>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-38,739.00</w:t>
            </w:r>
          </w:p>
        </w:tc>
        <w:tc>
          <w:tcPr>
            <w:tcW w:w="1004" w:type="dxa"/>
            <w:tcBorders>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99.44</w:t>
            </w:r>
          </w:p>
        </w:tc>
        <w:tc>
          <w:tcPr>
            <w:tcW w:w="958" w:type="dxa"/>
            <w:gridSpan w:val="3"/>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4.47</w:t>
            </w:r>
          </w:p>
        </w:tc>
        <w:tc>
          <w:tcPr>
            <w:tcW w:w="900" w:type="dxa"/>
            <w:gridSpan w:val="2"/>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3.30</w:t>
            </w:r>
          </w:p>
        </w:tc>
      </w:tr>
      <w:tr w:rsidR="00C55DF6" w:rsidRPr="00401691" w:rsidTr="00A353BB">
        <w:trPr>
          <w:gridAfter w:val="1"/>
          <w:wAfter w:w="6" w:type="dxa"/>
        </w:trPr>
        <w:tc>
          <w:tcPr>
            <w:cnfStyle w:val="001000000000" w:firstRow="0" w:lastRow="0" w:firstColumn="1" w:lastColumn="0" w:oddVBand="0" w:evenVBand="0" w:oddHBand="0" w:evenHBand="0" w:firstRowFirstColumn="0" w:firstRowLastColumn="0" w:lastRowFirstColumn="0" w:lastRowLastColumn="0"/>
            <w:tcW w:w="3426" w:type="dxa"/>
            <w:tcBorders>
              <w:right w:val="thinThickLargeGap" w:sz="24" w:space="0" w:color="auto"/>
            </w:tcBorders>
            <w:shd w:val="clear" w:color="auto" w:fill="F2F2F2" w:themeFill="background1" w:themeFillShade="F2"/>
          </w:tcPr>
          <w:p w:rsidR="00C55DF6" w:rsidRPr="00401691" w:rsidRDefault="00C55DF6" w:rsidP="00844145">
            <w:pPr>
              <w:spacing w:line="276" w:lineRule="auto"/>
              <w:jc w:val="both"/>
              <w:rPr>
                <w:rFonts w:asciiTheme="majorHAnsi" w:eastAsia="Times New Roman" w:hAnsiTheme="majorHAnsi" w:cstheme="majorHAnsi"/>
                <w:b w:val="0"/>
                <w:sz w:val="20"/>
                <w:szCs w:val="20"/>
                <w:lang w:val="ro-MD" w:eastAsia="ru-RU"/>
              </w:rPr>
            </w:pPr>
            <w:r w:rsidRPr="00401691">
              <w:rPr>
                <w:rFonts w:asciiTheme="majorHAnsi" w:eastAsia="Times New Roman" w:hAnsiTheme="majorHAnsi" w:cstheme="majorHAnsi"/>
                <w:b w:val="0"/>
                <w:sz w:val="20"/>
                <w:szCs w:val="20"/>
                <w:lang w:val="ro-MD" w:eastAsia="ru-RU"/>
              </w:rPr>
              <w:t>Impozit pe venitul persoanelor fizice</w:t>
            </w:r>
          </w:p>
        </w:tc>
        <w:tc>
          <w:tcPr>
            <w:tcW w:w="801" w:type="dxa"/>
            <w:tcBorders>
              <w:left w:val="thinThickLargeGap" w:sz="24" w:space="0" w:color="auto"/>
              <w:right w:val="thinThickLargeGap" w:sz="2" w:space="0" w:color="auto"/>
            </w:tcBorders>
            <w:shd w:val="clear" w:color="auto" w:fill="auto"/>
          </w:tcPr>
          <w:p w:rsidR="00C55DF6" w:rsidRPr="00401691" w:rsidRDefault="00C55DF6" w:rsidP="008441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eastAsia="ru-RU"/>
              </w:rPr>
            </w:pPr>
            <w:r w:rsidRPr="00401691">
              <w:rPr>
                <w:rFonts w:asciiTheme="majorHAnsi" w:eastAsia="Times New Roman" w:hAnsiTheme="majorHAnsi" w:cstheme="majorHAnsi"/>
                <w:color w:val="000000"/>
                <w:sz w:val="20"/>
                <w:szCs w:val="20"/>
                <w:lang w:val="ro-MD" w:eastAsia="ru-RU"/>
              </w:rPr>
              <w:t>1111</w:t>
            </w:r>
          </w:p>
        </w:tc>
        <w:tc>
          <w:tcPr>
            <w:tcW w:w="1259" w:type="dxa"/>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ro-MD"/>
              </w:rPr>
            </w:pPr>
            <w:r w:rsidRPr="00401691">
              <w:rPr>
                <w:rFonts w:asciiTheme="majorHAnsi" w:hAnsiTheme="majorHAnsi" w:cstheme="majorHAnsi"/>
                <w:color w:val="000000" w:themeColor="text1"/>
                <w:sz w:val="18"/>
                <w:szCs w:val="18"/>
                <w:lang w:val="ro-MD"/>
              </w:rPr>
              <w:t>3,844,060.3</w:t>
            </w:r>
          </w:p>
        </w:tc>
        <w:tc>
          <w:tcPr>
            <w:tcW w:w="1259" w:type="dxa"/>
            <w:tcBorders>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595959" w:themeColor="text1" w:themeTint="A6"/>
                <w:sz w:val="18"/>
                <w:szCs w:val="18"/>
                <w:lang w:val="ro-MD"/>
              </w:rPr>
            </w:pPr>
            <w:r w:rsidRPr="00401691">
              <w:rPr>
                <w:rFonts w:asciiTheme="majorHAnsi" w:hAnsiTheme="majorHAnsi" w:cstheme="majorHAnsi"/>
                <w:color w:val="595959" w:themeColor="text1" w:themeTint="A6"/>
                <w:sz w:val="18"/>
                <w:szCs w:val="18"/>
                <w:lang w:val="ro-MD"/>
              </w:rPr>
              <w:t>1,666,800.0</w:t>
            </w:r>
          </w:p>
        </w:tc>
        <w:tc>
          <w:tcPr>
            <w:tcW w:w="1245" w:type="dxa"/>
            <w:gridSpan w:val="2"/>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401691">
              <w:rPr>
                <w:rFonts w:asciiTheme="majorHAnsi" w:hAnsiTheme="majorHAnsi" w:cstheme="majorHAnsi"/>
                <w:sz w:val="18"/>
                <w:szCs w:val="18"/>
                <w:lang w:val="ro-MD"/>
              </w:rPr>
              <w:t>4,032,744.8</w:t>
            </w:r>
          </w:p>
        </w:tc>
        <w:tc>
          <w:tcPr>
            <w:tcW w:w="1190" w:type="dxa"/>
            <w:tcBorders>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401691">
              <w:rPr>
                <w:rFonts w:asciiTheme="majorHAnsi" w:hAnsiTheme="majorHAnsi" w:cstheme="majorHAnsi"/>
                <w:sz w:val="18"/>
                <w:szCs w:val="18"/>
                <w:lang w:val="ro-MD"/>
              </w:rPr>
              <w:t>1,673,773.0</w:t>
            </w:r>
          </w:p>
        </w:tc>
        <w:tc>
          <w:tcPr>
            <w:tcW w:w="1084" w:type="dxa"/>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188,684.50</w:t>
            </w:r>
          </w:p>
        </w:tc>
        <w:tc>
          <w:tcPr>
            <w:tcW w:w="1094" w:type="dxa"/>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104.91</w:t>
            </w:r>
          </w:p>
        </w:tc>
        <w:tc>
          <w:tcPr>
            <w:tcW w:w="1152" w:type="dxa"/>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6,973.00</w:t>
            </w:r>
          </w:p>
        </w:tc>
        <w:tc>
          <w:tcPr>
            <w:tcW w:w="1004" w:type="dxa"/>
            <w:tcBorders>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100.42</w:t>
            </w:r>
          </w:p>
        </w:tc>
        <w:tc>
          <w:tcPr>
            <w:tcW w:w="958" w:type="dxa"/>
            <w:gridSpan w:val="3"/>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1.92</w:t>
            </w:r>
          </w:p>
        </w:tc>
        <w:tc>
          <w:tcPr>
            <w:tcW w:w="900" w:type="dxa"/>
            <w:gridSpan w:val="2"/>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0.80</w:t>
            </w:r>
          </w:p>
        </w:tc>
      </w:tr>
      <w:tr w:rsidR="00C55DF6" w:rsidRPr="00401691" w:rsidTr="00A353BB">
        <w:trPr>
          <w:gridAfter w:val="1"/>
          <w:wAfter w:w="6" w:type="dxa"/>
        </w:trPr>
        <w:tc>
          <w:tcPr>
            <w:cnfStyle w:val="001000000000" w:firstRow="0" w:lastRow="0" w:firstColumn="1" w:lastColumn="0" w:oddVBand="0" w:evenVBand="0" w:oddHBand="0" w:evenHBand="0" w:firstRowFirstColumn="0" w:firstRowLastColumn="0" w:lastRowFirstColumn="0" w:lastRowLastColumn="0"/>
            <w:tcW w:w="3426" w:type="dxa"/>
            <w:tcBorders>
              <w:right w:val="thinThickLargeGap" w:sz="24" w:space="0" w:color="auto"/>
            </w:tcBorders>
            <w:shd w:val="clear" w:color="auto" w:fill="F2F2F2" w:themeFill="background1" w:themeFillShade="F2"/>
          </w:tcPr>
          <w:p w:rsidR="00C55DF6" w:rsidRPr="00401691" w:rsidRDefault="00C55DF6" w:rsidP="00844145">
            <w:pPr>
              <w:spacing w:line="276" w:lineRule="auto"/>
              <w:jc w:val="both"/>
              <w:rPr>
                <w:rFonts w:asciiTheme="majorHAnsi" w:eastAsia="Times New Roman" w:hAnsiTheme="majorHAnsi" w:cstheme="majorHAnsi"/>
                <w:b w:val="0"/>
                <w:sz w:val="20"/>
                <w:szCs w:val="20"/>
                <w:lang w:val="ro-MD" w:eastAsia="ru-RU"/>
              </w:rPr>
            </w:pPr>
            <w:r w:rsidRPr="00401691">
              <w:rPr>
                <w:rFonts w:asciiTheme="majorHAnsi" w:eastAsia="Times New Roman" w:hAnsiTheme="majorHAnsi" w:cstheme="majorHAnsi"/>
                <w:b w:val="0"/>
                <w:sz w:val="20"/>
                <w:szCs w:val="20"/>
                <w:lang w:val="ro-MD" w:eastAsia="ru-RU"/>
              </w:rPr>
              <w:t>Impozit pe venitul persoanelor juridice</w:t>
            </w:r>
          </w:p>
        </w:tc>
        <w:tc>
          <w:tcPr>
            <w:tcW w:w="801" w:type="dxa"/>
            <w:tcBorders>
              <w:left w:val="thinThickLargeGap" w:sz="24" w:space="0" w:color="auto"/>
              <w:right w:val="thinThickLargeGap" w:sz="2" w:space="0" w:color="auto"/>
            </w:tcBorders>
            <w:shd w:val="clear" w:color="auto" w:fill="auto"/>
          </w:tcPr>
          <w:p w:rsidR="00C55DF6" w:rsidRPr="00401691" w:rsidRDefault="00C55DF6" w:rsidP="008441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eastAsia="ru-RU"/>
              </w:rPr>
            </w:pPr>
            <w:r w:rsidRPr="00401691">
              <w:rPr>
                <w:rFonts w:asciiTheme="majorHAnsi" w:eastAsia="Times New Roman" w:hAnsiTheme="majorHAnsi" w:cstheme="majorHAnsi"/>
                <w:color w:val="000000"/>
                <w:sz w:val="20"/>
                <w:szCs w:val="20"/>
                <w:lang w:val="ro-MD" w:eastAsia="ru-RU"/>
              </w:rPr>
              <w:t>1112</w:t>
            </w:r>
          </w:p>
        </w:tc>
        <w:tc>
          <w:tcPr>
            <w:tcW w:w="1259" w:type="dxa"/>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ro-MD"/>
              </w:rPr>
            </w:pPr>
            <w:r w:rsidRPr="00401691">
              <w:rPr>
                <w:rFonts w:asciiTheme="majorHAnsi" w:hAnsiTheme="majorHAnsi" w:cstheme="majorHAnsi"/>
                <w:color w:val="000000" w:themeColor="text1"/>
                <w:sz w:val="18"/>
                <w:szCs w:val="18"/>
                <w:lang w:val="ro-MD"/>
              </w:rPr>
              <w:t>5,463,305.5</w:t>
            </w:r>
          </w:p>
        </w:tc>
        <w:tc>
          <w:tcPr>
            <w:tcW w:w="1259" w:type="dxa"/>
            <w:tcBorders>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595959" w:themeColor="text1" w:themeTint="A6"/>
                <w:sz w:val="18"/>
                <w:szCs w:val="18"/>
                <w:lang w:val="ro-MD"/>
              </w:rPr>
            </w:pPr>
            <w:r w:rsidRPr="00401691">
              <w:rPr>
                <w:rFonts w:asciiTheme="majorHAnsi" w:hAnsiTheme="majorHAnsi" w:cstheme="majorHAnsi"/>
                <w:color w:val="595959" w:themeColor="text1" w:themeTint="A6"/>
                <w:sz w:val="18"/>
                <w:szCs w:val="18"/>
                <w:lang w:val="ro-MD"/>
              </w:rPr>
              <w:t>5,295,100.0</w:t>
            </w:r>
          </w:p>
        </w:tc>
        <w:tc>
          <w:tcPr>
            <w:tcW w:w="1245" w:type="dxa"/>
            <w:gridSpan w:val="2"/>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401691">
              <w:rPr>
                <w:rFonts w:asciiTheme="majorHAnsi" w:hAnsiTheme="majorHAnsi" w:cstheme="majorHAnsi"/>
                <w:sz w:val="18"/>
                <w:szCs w:val="18"/>
                <w:lang w:val="ro-MD"/>
              </w:rPr>
              <w:t>5,365,299.1</w:t>
            </w:r>
          </w:p>
        </w:tc>
        <w:tc>
          <w:tcPr>
            <w:tcW w:w="1190" w:type="dxa"/>
            <w:tcBorders>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401691">
              <w:rPr>
                <w:rFonts w:asciiTheme="majorHAnsi" w:hAnsiTheme="majorHAnsi" w:cstheme="majorHAnsi"/>
                <w:sz w:val="18"/>
                <w:szCs w:val="18"/>
                <w:lang w:val="ro-MD"/>
              </w:rPr>
              <w:t>5,249,388.0</w:t>
            </w:r>
          </w:p>
        </w:tc>
        <w:tc>
          <w:tcPr>
            <w:tcW w:w="1084" w:type="dxa"/>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-98,006.40</w:t>
            </w:r>
          </w:p>
        </w:tc>
        <w:tc>
          <w:tcPr>
            <w:tcW w:w="1094" w:type="dxa"/>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98.21</w:t>
            </w:r>
          </w:p>
        </w:tc>
        <w:tc>
          <w:tcPr>
            <w:tcW w:w="1152" w:type="dxa"/>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-45,712.00</w:t>
            </w:r>
          </w:p>
        </w:tc>
        <w:tc>
          <w:tcPr>
            <w:tcW w:w="1004" w:type="dxa"/>
            <w:tcBorders>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99.14</w:t>
            </w:r>
          </w:p>
        </w:tc>
        <w:tc>
          <w:tcPr>
            <w:tcW w:w="958" w:type="dxa"/>
            <w:gridSpan w:val="3"/>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2.55</w:t>
            </w:r>
          </w:p>
        </w:tc>
        <w:tc>
          <w:tcPr>
            <w:tcW w:w="900" w:type="dxa"/>
            <w:gridSpan w:val="2"/>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2.50</w:t>
            </w:r>
          </w:p>
        </w:tc>
      </w:tr>
      <w:tr w:rsidR="00C55DF6" w:rsidRPr="00401691" w:rsidTr="00A353BB">
        <w:trPr>
          <w:gridAfter w:val="1"/>
          <w:wAfter w:w="6" w:type="dxa"/>
        </w:trPr>
        <w:tc>
          <w:tcPr>
            <w:cnfStyle w:val="001000000000" w:firstRow="0" w:lastRow="0" w:firstColumn="1" w:lastColumn="0" w:oddVBand="0" w:evenVBand="0" w:oddHBand="0" w:evenHBand="0" w:firstRowFirstColumn="0" w:firstRowLastColumn="0" w:lastRowFirstColumn="0" w:lastRowLastColumn="0"/>
            <w:tcW w:w="3426" w:type="dxa"/>
            <w:tcBorders>
              <w:right w:val="thinThickLargeGap" w:sz="24" w:space="0" w:color="auto"/>
            </w:tcBorders>
            <w:shd w:val="clear" w:color="auto" w:fill="F2F2F2" w:themeFill="background1" w:themeFillShade="F2"/>
          </w:tcPr>
          <w:p w:rsidR="00C55DF6" w:rsidRPr="00401691" w:rsidRDefault="00C55DF6" w:rsidP="00844145">
            <w:pPr>
              <w:pStyle w:val="ListParagraph"/>
              <w:numPr>
                <w:ilvl w:val="0"/>
                <w:numId w:val="20"/>
              </w:numPr>
              <w:spacing w:line="276" w:lineRule="auto"/>
              <w:ind w:left="438"/>
              <w:jc w:val="both"/>
              <w:rPr>
                <w:rFonts w:asciiTheme="majorHAnsi" w:eastAsia="Times New Roman" w:hAnsiTheme="majorHAnsi" w:cstheme="majorHAnsi"/>
                <w:b w:val="0"/>
                <w:sz w:val="20"/>
                <w:szCs w:val="20"/>
                <w:lang w:val="ro-MD" w:eastAsia="ru-RU"/>
              </w:rPr>
            </w:pPr>
            <w:r w:rsidRPr="00401691">
              <w:rPr>
                <w:rFonts w:asciiTheme="majorHAnsi" w:eastAsia="Times New Roman" w:hAnsiTheme="majorHAnsi" w:cstheme="majorHAnsi"/>
                <w:b w:val="0"/>
                <w:sz w:val="20"/>
                <w:szCs w:val="20"/>
                <w:lang w:val="ro-MD" w:eastAsia="ru-RU"/>
              </w:rPr>
              <w:t>IMPOZITE PE PROPRIETATE</w:t>
            </w:r>
          </w:p>
        </w:tc>
        <w:tc>
          <w:tcPr>
            <w:tcW w:w="801" w:type="dxa"/>
            <w:tcBorders>
              <w:left w:val="thinThickLargeGap" w:sz="24" w:space="0" w:color="auto"/>
              <w:right w:val="thinThickLargeGap" w:sz="2" w:space="0" w:color="auto"/>
            </w:tcBorders>
            <w:shd w:val="clear" w:color="auto" w:fill="auto"/>
          </w:tcPr>
          <w:p w:rsidR="00C55DF6" w:rsidRPr="00401691" w:rsidRDefault="00C55DF6" w:rsidP="008441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val="ro-MD" w:eastAsia="ru-RU"/>
              </w:rPr>
            </w:pPr>
            <w:r w:rsidRPr="00401691">
              <w:rPr>
                <w:rFonts w:asciiTheme="majorHAnsi" w:eastAsia="Times New Roman" w:hAnsiTheme="majorHAnsi" w:cstheme="majorHAnsi"/>
                <w:b/>
                <w:color w:val="000000"/>
                <w:sz w:val="20"/>
                <w:szCs w:val="20"/>
                <w:lang w:val="ro-MD" w:eastAsia="ru-RU"/>
              </w:rPr>
              <w:t>113</w:t>
            </w:r>
          </w:p>
        </w:tc>
        <w:tc>
          <w:tcPr>
            <w:tcW w:w="1259" w:type="dxa"/>
            <w:tcBorders>
              <w:left w:val="thinThickLargeGap" w:sz="2" w:space="0" w:color="auto"/>
            </w:tcBorders>
            <w:shd w:val="clear" w:color="auto" w:fill="auto"/>
            <w:vAlign w:val="center"/>
          </w:tcPr>
          <w:p w:rsidR="00C55DF6" w:rsidRPr="00401691" w:rsidRDefault="00C55DF6" w:rsidP="00844145">
            <w:pPr>
              <w:spacing w:line="276" w:lineRule="auto"/>
              <w:jc w:val="right"/>
              <w:outlineLvl w:val="3"/>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themeColor="text1"/>
                <w:sz w:val="18"/>
                <w:szCs w:val="18"/>
                <w:lang w:val="ro-MD"/>
              </w:rPr>
            </w:pPr>
            <w:r w:rsidRPr="00401691">
              <w:rPr>
                <w:rFonts w:asciiTheme="majorHAnsi" w:hAnsiTheme="majorHAnsi" w:cstheme="majorHAnsi"/>
                <w:b/>
                <w:bCs/>
                <w:color w:val="000000" w:themeColor="text1"/>
                <w:sz w:val="18"/>
                <w:szCs w:val="18"/>
                <w:lang w:val="ro-MD"/>
              </w:rPr>
              <w:t>564,988.0</w:t>
            </w:r>
          </w:p>
        </w:tc>
        <w:tc>
          <w:tcPr>
            <w:tcW w:w="1259" w:type="dxa"/>
            <w:tcBorders>
              <w:right w:val="thinThickLargeGap" w:sz="2" w:space="0" w:color="auto"/>
            </w:tcBorders>
            <w:shd w:val="clear" w:color="auto" w:fill="auto"/>
            <w:vAlign w:val="center"/>
          </w:tcPr>
          <w:p w:rsidR="00C55DF6" w:rsidRPr="00401691" w:rsidRDefault="00C55DF6" w:rsidP="00844145">
            <w:pPr>
              <w:spacing w:line="276" w:lineRule="auto"/>
              <w:jc w:val="right"/>
              <w:outlineLvl w:val="3"/>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595959" w:themeColor="text1" w:themeTint="A6"/>
                <w:sz w:val="18"/>
                <w:szCs w:val="18"/>
                <w:lang w:val="ro-MD"/>
              </w:rPr>
            </w:pPr>
            <w:r w:rsidRPr="00401691">
              <w:rPr>
                <w:rFonts w:asciiTheme="majorHAnsi" w:hAnsiTheme="majorHAnsi" w:cstheme="majorHAnsi"/>
                <w:b/>
                <w:bCs/>
                <w:color w:val="595959" w:themeColor="text1" w:themeTint="A6"/>
                <w:sz w:val="18"/>
                <w:szCs w:val="18"/>
                <w:lang w:val="ro-MD"/>
              </w:rPr>
              <w:t>52,000.0</w:t>
            </w:r>
          </w:p>
        </w:tc>
        <w:tc>
          <w:tcPr>
            <w:tcW w:w="1245" w:type="dxa"/>
            <w:gridSpan w:val="2"/>
            <w:tcBorders>
              <w:left w:val="thinThickLargeGap" w:sz="2" w:space="0" w:color="auto"/>
            </w:tcBorders>
            <w:shd w:val="clear" w:color="auto" w:fill="auto"/>
            <w:vAlign w:val="center"/>
          </w:tcPr>
          <w:p w:rsidR="00C55DF6" w:rsidRPr="00401691" w:rsidRDefault="00C55DF6" w:rsidP="00844145">
            <w:pPr>
              <w:spacing w:line="276" w:lineRule="auto"/>
              <w:jc w:val="right"/>
              <w:outlineLvl w:val="3"/>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8"/>
                <w:szCs w:val="18"/>
                <w:lang w:val="ro-MD"/>
              </w:rPr>
            </w:pPr>
            <w:r w:rsidRPr="00401691">
              <w:rPr>
                <w:rFonts w:asciiTheme="majorHAnsi" w:hAnsiTheme="majorHAnsi" w:cstheme="majorHAnsi"/>
                <w:b/>
                <w:bCs/>
                <w:sz w:val="18"/>
                <w:szCs w:val="18"/>
                <w:lang w:val="ro-MD"/>
              </w:rPr>
              <w:t>579,943.7</w:t>
            </w:r>
          </w:p>
        </w:tc>
        <w:tc>
          <w:tcPr>
            <w:tcW w:w="1190" w:type="dxa"/>
            <w:tcBorders>
              <w:right w:val="thinThickLargeGap" w:sz="2" w:space="0" w:color="auto"/>
            </w:tcBorders>
            <w:shd w:val="clear" w:color="auto" w:fill="auto"/>
            <w:vAlign w:val="center"/>
          </w:tcPr>
          <w:p w:rsidR="00C55DF6" w:rsidRPr="00401691" w:rsidRDefault="00C55DF6" w:rsidP="00844145">
            <w:pPr>
              <w:spacing w:line="276" w:lineRule="auto"/>
              <w:jc w:val="right"/>
              <w:outlineLvl w:val="3"/>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8"/>
                <w:szCs w:val="18"/>
                <w:lang w:val="ro-MD"/>
              </w:rPr>
            </w:pPr>
            <w:r w:rsidRPr="00401691">
              <w:rPr>
                <w:rFonts w:asciiTheme="majorHAnsi" w:hAnsiTheme="majorHAnsi" w:cstheme="majorHAnsi"/>
                <w:b/>
                <w:bCs/>
                <w:sz w:val="18"/>
                <w:szCs w:val="18"/>
                <w:lang w:val="ro-MD"/>
              </w:rPr>
              <w:t>50,820.3</w:t>
            </w:r>
          </w:p>
        </w:tc>
        <w:tc>
          <w:tcPr>
            <w:tcW w:w="1084" w:type="dxa"/>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14,955.70</w:t>
            </w:r>
          </w:p>
        </w:tc>
        <w:tc>
          <w:tcPr>
            <w:tcW w:w="1094" w:type="dxa"/>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102.65</w:t>
            </w:r>
          </w:p>
        </w:tc>
        <w:tc>
          <w:tcPr>
            <w:tcW w:w="1152" w:type="dxa"/>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-1,179.70</w:t>
            </w:r>
          </w:p>
        </w:tc>
        <w:tc>
          <w:tcPr>
            <w:tcW w:w="1004" w:type="dxa"/>
            <w:tcBorders>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97.73</w:t>
            </w:r>
          </w:p>
        </w:tc>
        <w:tc>
          <w:tcPr>
            <w:tcW w:w="958" w:type="dxa"/>
            <w:gridSpan w:val="3"/>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0.28</w:t>
            </w:r>
          </w:p>
        </w:tc>
        <w:tc>
          <w:tcPr>
            <w:tcW w:w="900" w:type="dxa"/>
            <w:gridSpan w:val="2"/>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0.02</w:t>
            </w:r>
          </w:p>
        </w:tc>
      </w:tr>
      <w:tr w:rsidR="00C55DF6" w:rsidRPr="00401691" w:rsidTr="00A353BB">
        <w:trPr>
          <w:gridAfter w:val="1"/>
          <w:wAfter w:w="6" w:type="dxa"/>
        </w:trPr>
        <w:tc>
          <w:tcPr>
            <w:cnfStyle w:val="001000000000" w:firstRow="0" w:lastRow="0" w:firstColumn="1" w:lastColumn="0" w:oddVBand="0" w:evenVBand="0" w:oddHBand="0" w:evenHBand="0" w:firstRowFirstColumn="0" w:firstRowLastColumn="0" w:lastRowFirstColumn="0" w:lastRowLastColumn="0"/>
            <w:tcW w:w="3426" w:type="dxa"/>
            <w:tcBorders>
              <w:right w:val="thinThickLargeGap" w:sz="24" w:space="0" w:color="auto"/>
            </w:tcBorders>
            <w:shd w:val="clear" w:color="auto" w:fill="F2F2F2" w:themeFill="background1" w:themeFillShade="F2"/>
          </w:tcPr>
          <w:p w:rsidR="00C55DF6" w:rsidRPr="00401691" w:rsidRDefault="00C55DF6" w:rsidP="00844145">
            <w:pPr>
              <w:spacing w:line="276" w:lineRule="auto"/>
              <w:jc w:val="both"/>
              <w:rPr>
                <w:rFonts w:asciiTheme="majorHAnsi" w:eastAsia="Times New Roman" w:hAnsiTheme="majorHAnsi" w:cstheme="majorHAnsi"/>
                <w:b w:val="0"/>
                <w:sz w:val="20"/>
                <w:szCs w:val="20"/>
                <w:lang w:val="ro-MD" w:eastAsia="ru-RU"/>
              </w:rPr>
            </w:pPr>
            <w:r w:rsidRPr="00401691">
              <w:rPr>
                <w:rFonts w:asciiTheme="majorHAnsi" w:eastAsia="Times New Roman" w:hAnsiTheme="majorHAnsi" w:cstheme="majorHAnsi"/>
                <w:b w:val="0"/>
                <w:sz w:val="20"/>
                <w:szCs w:val="20"/>
                <w:lang w:val="ro-MD" w:eastAsia="ru-RU"/>
              </w:rPr>
              <w:t>Impozit funciar</w:t>
            </w:r>
          </w:p>
        </w:tc>
        <w:tc>
          <w:tcPr>
            <w:tcW w:w="801" w:type="dxa"/>
            <w:tcBorders>
              <w:left w:val="thinThickLargeGap" w:sz="24" w:space="0" w:color="auto"/>
              <w:right w:val="thinThickLargeGap" w:sz="2" w:space="0" w:color="auto"/>
            </w:tcBorders>
            <w:shd w:val="clear" w:color="auto" w:fill="auto"/>
          </w:tcPr>
          <w:p w:rsidR="00C55DF6" w:rsidRPr="00401691" w:rsidRDefault="00C55DF6" w:rsidP="008441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eastAsia="ru-RU"/>
              </w:rPr>
            </w:pPr>
            <w:r w:rsidRPr="00401691">
              <w:rPr>
                <w:rFonts w:asciiTheme="majorHAnsi" w:eastAsia="Times New Roman" w:hAnsiTheme="majorHAnsi" w:cstheme="majorHAnsi"/>
                <w:color w:val="000000"/>
                <w:sz w:val="20"/>
                <w:szCs w:val="20"/>
                <w:lang w:val="ro-MD" w:eastAsia="ru-RU"/>
              </w:rPr>
              <w:t>1131</w:t>
            </w:r>
          </w:p>
        </w:tc>
        <w:tc>
          <w:tcPr>
            <w:tcW w:w="1259" w:type="dxa"/>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ro-MD"/>
              </w:rPr>
            </w:pPr>
            <w:r w:rsidRPr="00401691">
              <w:rPr>
                <w:rFonts w:asciiTheme="majorHAnsi" w:hAnsiTheme="majorHAnsi" w:cstheme="majorHAnsi"/>
                <w:color w:val="000000" w:themeColor="text1"/>
                <w:sz w:val="18"/>
                <w:szCs w:val="18"/>
                <w:lang w:val="ro-MD"/>
              </w:rPr>
              <w:t>187,309.6</w:t>
            </w:r>
          </w:p>
        </w:tc>
        <w:tc>
          <w:tcPr>
            <w:tcW w:w="1259" w:type="dxa"/>
            <w:tcBorders>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D9D9D9"/>
                <w:sz w:val="18"/>
                <w:szCs w:val="18"/>
                <w:lang w:val="ro-MD"/>
              </w:rPr>
            </w:pPr>
            <w:r w:rsidRPr="00401691">
              <w:rPr>
                <w:rFonts w:asciiTheme="majorHAnsi" w:hAnsiTheme="majorHAnsi" w:cstheme="majorHAnsi"/>
                <w:b/>
                <w:bCs/>
                <w:color w:val="D9D9D9"/>
                <w:sz w:val="18"/>
                <w:szCs w:val="18"/>
                <w:lang w:val="ro-MD"/>
              </w:rPr>
              <w:t>0.0</w:t>
            </w:r>
          </w:p>
        </w:tc>
        <w:tc>
          <w:tcPr>
            <w:tcW w:w="1245" w:type="dxa"/>
            <w:gridSpan w:val="2"/>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401691">
              <w:rPr>
                <w:rFonts w:asciiTheme="majorHAnsi" w:hAnsiTheme="majorHAnsi" w:cstheme="majorHAnsi"/>
                <w:sz w:val="18"/>
                <w:szCs w:val="18"/>
                <w:lang w:val="ro-MD"/>
              </w:rPr>
              <w:t>184,966.1</w:t>
            </w:r>
          </w:p>
        </w:tc>
        <w:tc>
          <w:tcPr>
            <w:tcW w:w="1190" w:type="dxa"/>
            <w:tcBorders>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D9D9D9"/>
                <w:sz w:val="18"/>
                <w:szCs w:val="18"/>
                <w:lang w:val="ro-MD"/>
              </w:rPr>
            </w:pPr>
            <w:r w:rsidRPr="00401691">
              <w:rPr>
                <w:rFonts w:asciiTheme="majorHAnsi" w:hAnsiTheme="majorHAnsi" w:cstheme="majorHAnsi"/>
                <w:b/>
                <w:bCs/>
                <w:color w:val="D9D9D9"/>
                <w:sz w:val="18"/>
                <w:szCs w:val="18"/>
                <w:lang w:val="ro-MD"/>
              </w:rPr>
              <w:t>0.0</w:t>
            </w:r>
          </w:p>
        </w:tc>
        <w:tc>
          <w:tcPr>
            <w:tcW w:w="1084" w:type="dxa"/>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-2,343.50</w:t>
            </w:r>
          </w:p>
        </w:tc>
        <w:tc>
          <w:tcPr>
            <w:tcW w:w="1094" w:type="dxa"/>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98.75</w:t>
            </w:r>
          </w:p>
        </w:tc>
        <w:tc>
          <w:tcPr>
            <w:tcW w:w="1152" w:type="dxa"/>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D9D9D9"/>
                <w:sz w:val="18"/>
                <w:szCs w:val="18"/>
                <w:lang w:val="ro-MD"/>
              </w:rPr>
            </w:pPr>
            <w:r w:rsidRPr="00401691">
              <w:rPr>
                <w:rFonts w:asciiTheme="majorHAnsi" w:eastAsia="Times New Roman" w:hAnsiTheme="majorHAnsi" w:cstheme="majorHAnsi"/>
                <w:color w:val="D9D9D9"/>
                <w:sz w:val="18"/>
                <w:szCs w:val="18"/>
                <w:lang w:val="ro-MD"/>
              </w:rPr>
              <w:t>0</w:t>
            </w:r>
          </w:p>
        </w:tc>
        <w:tc>
          <w:tcPr>
            <w:tcW w:w="1004" w:type="dxa"/>
            <w:tcBorders>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D9D9D9"/>
                <w:sz w:val="18"/>
                <w:szCs w:val="18"/>
                <w:lang w:val="ro-MD"/>
              </w:rPr>
            </w:pPr>
            <w:r w:rsidRPr="00401691">
              <w:rPr>
                <w:rFonts w:asciiTheme="majorHAnsi" w:eastAsia="Times New Roman" w:hAnsiTheme="majorHAnsi" w:cstheme="majorHAnsi"/>
                <w:color w:val="D9D9D9"/>
                <w:sz w:val="18"/>
                <w:szCs w:val="18"/>
                <w:lang w:val="ro-MD"/>
              </w:rPr>
              <w:t>0</w:t>
            </w:r>
          </w:p>
        </w:tc>
        <w:tc>
          <w:tcPr>
            <w:tcW w:w="958" w:type="dxa"/>
            <w:gridSpan w:val="3"/>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0.09</w:t>
            </w:r>
          </w:p>
        </w:tc>
        <w:tc>
          <w:tcPr>
            <w:tcW w:w="900" w:type="dxa"/>
            <w:gridSpan w:val="2"/>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0.00</w:t>
            </w:r>
          </w:p>
        </w:tc>
      </w:tr>
      <w:tr w:rsidR="00C55DF6" w:rsidRPr="00401691" w:rsidTr="00A353BB">
        <w:trPr>
          <w:gridAfter w:val="1"/>
          <w:wAfter w:w="6" w:type="dxa"/>
        </w:trPr>
        <w:tc>
          <w:tcPr>
            <w:cnfStyle w:val="001000000000" w:firstRow="0" w:lastRow="0" w:firstColumn="1" w:lastColumn="0" w:oddVBand="0" w:evenVBand="0" w:oddHBand="0" w:evenHBand="0" w:firstRowFirstColumn="0" w:firstRowLastColumn="0" w:lastRowFirstColumn="0" w:lastRowLastColumn="0"/>
            <w:tcW w:w="3426" w:type="dxa"/>
            <w:tcBorders>
              <w:right w:val="thinThickLargeGap" w:sz="24" w:space="0" w:color="auto"/>
            </w:tcBorders>
            <w:shd w:val="clear" w:color="auto" w:fill="F2F2F2" w:themeFill="background1" w:themeFillShade="F2"/>
          </w:tcPr>
          <w:p w:rsidR="00C55DF6" w:rsidRPr="00401691" w:rsidRDefault="00C55DF6" w:rsidP="00844145">
            <w:pPr>
              <w:spacing w:line="276" w:lineRule="auto"/>
              <w:jc w:val="both"/>
              <w:rPr>
                <w:rFonts w:asciiTheme="majorHAnsi" w:eastAsia="Times New Roman" w:hAnsiTheme="majorHAnsi" w:cstheme="majorHAnsi"/>
                <w:b w:val="0"/>
                <w:sz w:val="20"/>
                <w:szCs w:val="20"/>
                <w:lang w:val="ro-MD" w:eastAsia="ru-RU"/>
              </w:rPr>
            </w:pPr>
            <w:r w:rsidRPr="00401691">
              <w:rPr>
                <w:rFonts w:asciiTheme="majorHAnsi" w:eastAsia="Times New Roman" w:hAnsiTheme="majorHAnsi" w:cstheme="majorHAnsi"/>
                <w:b w:val="0"/>
                <w:sz w:val="20"/>
                <w:szCs w:val="20"/>
                <w:lang w:val="ro-MD" w:eastAsia="ru-RU"/>
              </w:rPr>
              <w:t>Impozitul pe bunurile imobiliare</w:t>
            </w:r>
          </w:p>
        </w:tc>
        <w:tc>
          <w:tcPr>
            <w:tcW w:w="801" w:type="dxa"/>
            <w:tcBorders>
              <w:left w:val="thinThickLargeGap" w:sz="24" w:space="0" w:color="auto"/>
              <w:right w:val="thinThickLargeGap" w:sz="2" w:space="0" w:color="auto"/>
            </w:tcBorders>
            <w:shd w:val="clear" w:color="auto" w:fill="auto"/>
          </w:tcPr>
          <w:p w:rsidR="00C55DF6" w:rsidRPr="00401691" w:rsidRDefault="00C55DF6" w:rsidP="008441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eastAsia="ru-RU"/>
              </w:rPr>
            </w:pPr>
            <w:r w:rsidRPr="00401691">
              <w:rPr>
                <w:rFonts w:asciiTheme="majorHAnsi" w:eastAsia="Times New Roman" w:hAnsiTheme="majorHAnsi" w:cstheme="majorHAnsi"/>
                <w:color w:val="000000"/>
                <w:sz w:val="20"/>
                <w:szCs w:val="20"/>
                <w:lang w:val="ro-MD" w:eastAsia="ru-RU"/>
              </w:rPr>
              <w:t>1132</w:t>
            </w:r>
          </w:p>
        </w:tc>
        <w:tc>
          <w:tcPr>
            <w:tcW w:w="1259" w:type="dxa"/>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ro-MD"/>
              </w:rPr>
            </w:pPr>
            <w:r w:rsidRPr="00401691">
              <w:rPr>
                <w:rFonts w:asciiTheme="majorHAnsi" w:hAnsiTheme="majorHAnsi" w:cstheme="majorHAnsi"/>
                <w:color w:val="000000" w:themeColor="text1"/>
                <w:sz w:val="18"/>
                <w:szCs w:val="18"/>
                <w:lang w:val="ro-MD"/>
              </w:rPr>
              <w:t>324,849.2</w:t>
            </w:r>
          </w:p>
        </w:tc>
        <w:tc>
          <w:tcPr>
            <w:tcW w:w="1259" w:type="dxa"/>
            <w:tcBorders>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D9D9D9"/>
                <w:sz w:val="18"/>
                <w:szCs w:val="18"/>
                <w:lang w:val="ro-MD"/>
              </w:rPr>
            </w:pPr>
            <w:r w:rsidRPr="00401691">
              <w:rPr>
                <w:rFonts w:asciiTheme="majorHAnsi" w:hAnsiTheme="majorHAnsi" w:cstheme="majorHAnsi"/>
                <w:b/>
                <w:bCs/>
                <w:color w:val="D9D9D9"/>
                <w:sz w:val="18"/>
                <w:szCs w:val="18"/>
                <w:lang w:val="ro-MD"/>
              </w:rPr>
              <w:t>0.0</w:t>
            </w:r>
          </w:p>
        </w:tc>
        <w:tc>
          <w:tcPr>
            <w:tcW w:w="1245" w:type="dxa"/>
            <w:gridSpan w:val="2"/>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401691">
              <w:rPr>
                <w:rFonts w:asciiTheme="majorHAnsi" w:hAnsiTheme="majorHAnsi" w:cstheme="majorHAnsi"/>
                <w:sz w:val="18"/>
                <w:szCs w:val="18"/>
                <w:lang w:val="ro-MD"/>
              </w:rPr>
              <w:t>343,253.7</w:t>
            </w:r>
          </w:p>
        </w:tc>
        <w:tc>
          <w:tcPr>
            <w:tcW w:w="1190" w:type="dxa"/>
            <w:tcBorders>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D9D9D9"/>
                <w:sz w:val="18"/>
                <w:szCs w:val="18"/>
                <w:lang w:val="ro-MD"/>
              </w:rPr>
            </w:pPr>
            <w:r w:rsidRPr="00401691">
              <w:rPr>
                <w:rFonts w:asciiTheme="majorHAnsi" w:hAnsiTheme="majorHAnsi" w:cstheme="majorHAnsi"/>
                <w:b/>
                <w:bCs/>
                <w:color w:val="D9D9D9"/>
                <w:sz w:val="18"/>
                <w:szCs w:val="18"/>
                <w:lang w:val="ro-MD"/>
              </w:rPr>
              <w:t>0.0</w:t>
            </w:r>
          </w:p>
        </w:tc>
        <w:tc>
          <w:tcPr>
            <w:tcW w:w="1084" w:type="dxa"/>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18,404.50</w:t>
            </w:r>
          </w:p>
        </w:tc>
        <w:tc>
          <w:tcPr>
            <w:tcW w:w="1094" w:type="dxa"/>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105.67</w:t>
            </w:r>
          </w:p>
        </w:tc>
        <w:tc>
          <w:tcPr>
            <w:tcW w:w="1152" w:type="dxa"/>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D9D9D9"/>
                <w:sz w:val="18"/>
                <w:szCs w:val="18"/>
                <w:lang w:val="ro-MD"/>
              </w:rPr>
            </w:pPr>
            <w:r w:rsidRPr="00401691">
              <w:rPr>
                <w:rFonts w:asciiTheme="majorHAnsi" w:eastAsia="Times New Roman" w:hAnsiTheme="majorHAnsi" w:cstheme="majorHAnsi"/>
                <w:color w:val="D9D9D9"/>
                <w:sz w:val="18"/>
                <w:szCs w:val="18"/>
                <w:lang w:val="ro-MD"/>
              </w:rPr>
              <w:t>0</w:t>
            </w:r>
          </w:p>
        </w:tc>
        <w:tc>
          <w:tcPr>
            <w:tcW w:w="1004" w:type="dxa"/>
            <w:tcBorders>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D9D9D9"/>
                <w:sz w:val="18"/>
                <w:szCs w:val="18"/>
                <w:lang w:val="ro-MD"/>
              </w:rPr>
            </w:pPr>
            <w:r w:rsidRPr="00401691">
              <w:rPr>
                <w:rFonts w:asciiTheme="majorHAnsi" w:eastAsia="Times New Roman" w:hAnsiTheme="majorHAnsi" w:cstheme="majorHAnsi"/>
                <w:color w:val="D9D9D9"/>
                <w:sz w:val="18"/>
                <w:szCs w:val="18"/>
                <w:lang w:val="ro-MD"/>
              </w:rPr>
              <w:t>0</w:t>
            </w:r>
          </w:p>
        </w:tc>
        <w:tc>
          <w:tcPr>
            <w:tcW w:w="958" w:type="dxa"/>
            <w:gridSpan w:val="3"/>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0.16</w:t>
            </w:r>
          </w:p>
        </w:tc>
        <w:tc>
          <w:tcPr>
            <w:tcW w:w="900" w:type="dxa"/>
            <w:gridSpan w:val="2"/>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0.00</w:t>
            </w:r>
          </w:p>
        </w:tc>
      </w:tr>
      <w:tr w:rsidR="00C55DF6" w:rsidRPr="00401691" w:rsidTr="00A353BB">
        <w:trPr>
          <w:gridAfter w:val="1"/>
          <w:wAfter w:w="6" w:type="dxa"/>
        </w:trPr>
        <w:tc>
          <w:tcPr>
            <w:cnfStyle w:val="001000000000" w:firstRow="0" w:lastRow="0" w:firstColumn="1" w:lastColumn="0" w:oddVBand="0" w:evenVBand="0" w:oddHBand="0" w:evenHBand="0" w:firstRowFirstColumn="0" w:firstRowLastColumn="0" w:lastRowFirstColumn="0" w:lastRowLastColumn="0"/>
            <w:tcW w:w="3426" w:type="dxa"/>
            <w:tcBorders>
              <w:right w:val="thinThickLargeGap" w:sz="24" w:space="0" w:color="auto"/>
            </w:tcBorders>
            <w:shd w:val="clear" w:color="auto" w:fill="F2F2F2" w:themeFill="background1" w:themeFillShade="F2"/>
          </w:tcPr>
          <w:p w:rsidR="00C55DF6" w:rsidRPr="00401691" w:rsidRDefault="00C55DF6" w:rsidP="00844145">
            <w:pPr>
              <w:spacing w:line="276" w:lineRule="auto"/>
              <w:jc w:val="both"/>
              <w:rPr>
                <w:rFonts w:asciiTheme="majorHAnsi" w:eastAsia="Times New Roman" w:hAnsiTheme="majorHAnsi" w:cstheme="majorHAnsi"/>
                <w:b w:val="0"/>
                <w:sz w:val="20"/>
                <w:szCs w:val="20"/>
                <w:lang w:val="ro-MD" w:eastAsia="ru-RU"/>
              </w:rPr>
            </w:pPr>
            <w:r w:rsidRPr="00401691">
              <w:rPr>
                <w:rFonts w:asciiTheme="majorHAnsi" w:eastAsia="Times New Roman" w:hAnsiTheme="majorHAnsi" w:cstheme="majorHAnsi"/>
                <w:b w:val="0"/>
                <w:sz w:val="20"/>
                <w:szCs w:val="20"/>
                <w:lang w:val="ro-MD" w:eastAsia="ru-RU"/>
              </w:rPr>
              <w:t>Impozite pe proprietate cu caracter ocazional</w:t>
            </w:r>
          </w:p>
        </w:tc>
        <w:tc>
          <w:tcPr>
            <w:tcW w:w="801" w:type="dxa"/>
            <w:tcBorders>
              <w:left w:val="thinThickLargeGap" w:sz="24" w:space="0" w:color="auto"/>
              <w:right w:val="thinThickLargeGap" w:sz="2" w:space="0" w:color="auto"/>
            </w:tcBorders>
            <w:shd w:val="clear" w:color="auto" w:fill="auto"/>
          </w:tcPr>
          <w:p w:rsidR="00C55DF6" w:rsidRPr="00401691" w:rsidRDefault="00C55DF6" w:rsidP="008441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eastAsia="ru-RU"/>
              </w:rPr>
            </w:pPr>
            <w:r w:rsidRPr="00401691">
              <w:rPr>
                <w:rFonts w:asciiTheme="majorHAnsi" w:eastAsia="Times New Roman" w:hAnsiTheme="majorHAnsi" w:cstheme="majorHAnsi"/>
                <w:color w:val="000000"/>
                <w:sz w:val="20"/>
                <w:szCs w:val="20"/>
                <w:lang w:val="ro-MD" w:eastAsia="ru-RU"/>
              </w:rPr>
              <w:t>1133</w:t>
            </w:r>
          </w:p>
        </w:tc>
        <w:tc>
          <w:tcPr>
            <w:tcW w:w="1259" w:type="dxa"/>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ro-MD"/>
              </w:rPr>
            </w:pPr>
            <w:r w:rsidRPr="00401691">
              <w:rPr>
                <w:rFonts w:asciiTheme="majorHAnsi" w:hAnsiTheme="majorHAnsi" w:cstheme="majorHAnsi"/>
                <w:color w:val="000000" w:themeColor="text1"/>
                <w:sz w:val="18"/>
                <w:szCs w:val="18"/>
                <w:lang w:val="ro-MD"/>
              </w:rPr>
              <w:t>10,829.2</w:t>
            </w:r>
          </w:p>
        </w:tc>
        <w:tc>
          <w:tcPr>
            <w:tcW w:w="1259" w:type="dxa"/>
            <w:tcBorders>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595959" w:themeColor="text1" w:themeTint="A6"/>
                <w:sz w:val="18"/>
                <w:szCs w:val="18"/>
                <w:lang w:val="ro-MD"/>
              </w:rPr>
            </w:pPr>
            <w:r w:rsidRPr="00401691">
              <w:rPr>
                <w:rFonts w:asciiTheme="majorHAnsi" w:hAnsiTheme="majorHAnsi" w:cstheme="majorHAnsi"/>
                <w:color w:val="595959" w:themeColor="text1" w:themeTint="A6"/>
                <w:sz w:val="18"/>
                <w:szCs w:val="18"/>
                <w:lang w:val="ro-MD"/>
              </w:rPr>
              <w:t>10,000.0</w:t>
            </w:r>
          </w:p>
        </w:tc>
        <w:tc>
          <w:tcPr>
            <w:tcW w:w="1245" w:type="dxa"/>
            <w:gridSpan w:val="2"/>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401691">
              <w:rPr>
                <w:rFonts w:asciiTheme="majorHAnsi" w:hAnsiTheme="majorHAnsi" w:cstheme="majorHAnsi"/>
                <w:sz w:val="18"/>
                <w:szCs w:val="18"/>
                <w:lang w:val="ro-MD"/>
              </w:rPr>
              <w:t>10,633.9</w:t>
            </w:r>
          </w:p>
        </w:tc>
        <w:tc>
          <w:tcPr>
            <w:tcW w:w="1190" w:type="dxa"/>
            <w:tcBorders>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401691">
              <w:rPr>
                <w:rFonts w:asciiTheme="majorHAnsi" w:hAnsiTheme="majorHAnsi" w:cstheme="majorHAnsi"/>
                <w:sz w:val="18"/>
                <w:szCs w:val="18"/>
                <w:lang w:val="ro-MD"/>
              </w:rPr>
              <w:t>9,730.3</w:t>
            </w:r>
          </w:p>
        </w:tc>
        <w:tc>
          <w:tcPr>
            <w:tcW w:w="1084" w:type="dxa"/>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-195.30</w:t>
            </w:r>
          </w:p>
        </w:tc>
        <w:tc>
          <w:tcPr>
            <w:tcW w:w="1094" w:type="dxa"/>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98.20</w:t>
            </w:r>
          </w:p>
        </w:tc>
        <w:tc>
          <w:tcPr>
            <w:tcW w:w="1152" w:type="dxa"/>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-269.7</w:t>
            </w:r>
          </w:p>
        </w:tc>
        <w:tc>
          <w:tcPr>
            <w:tcW w:w="1004" w:type="dxa"/>
            <w:tcBorders>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97.30</w:t>
            </w:r>
          </w:p>
        </w:tc>
        <w:tc>
          <w:tcPr>
            <w:tcW w:w="958" w:type="dxa"/>
            <w:gridSpan w:val="3"/>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0.01</w:t>
            </w:r>
          </w:p>
        </w:tc>
        <w:tc>
          <w:tcPr>
            <w:tcW w:w="900" w:type="dxa"/>
            <w:gridSpan w:val="2"/>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0.00</w:t>
            </w:r>
          </w:p>
        </w:tc>
      </w:tr>
      <w:tr w:rsidR="00C55DF6" w:rsidRPr="00401691" w:rsidTr="00A353BB">
        <w:trPr>
          <w:gridAfter w:val="1"/>
          <w:wAfter w:w="6" w:type="dxa"/>
        </w:trPr>
        <w:tc>
          <w:tcPr>
            <w:cnfStyle w:val="001000000000" w:firstRow="0" w:lastRow="0" w:firstColumn="1" w:lastColumn="0" w:oddVBand="0" w:evenVBand="0" w:oddHBand="0" w:evenHBand="0" w:firstRowFirstColumn="0" w:firstRowLastColumn="0" w:lastRowFirstColumn="0" w:lastRowLastColumn="0"/>
            <w:tcW w:w="3426" w:type="dxa"/>
            <w:tcBorders>
              <w:right w:val="thinThickLargeGap" w:sz="24" w:space="0" w:color="auto"/>
            </w:tcBorders>
            <w:shd w:val="clear" w:color="auto" w:fill="F2F2F2" w:themeFill="background1" w:themeFillShade="F2"/>
          </w:tcPr>
          <w:p w:rsidR="00C55DF6" w:rsidRPr="00401691" w:rsidRDefault="00C55DF6" w:rsidP="00844145">
            <w:pPr>
              <w:spacing w:line="276" w:lineRule="auto"/>
              <w:jc w:val="both"/>
              <w:rPr>
                <w:rFonts w:asciiTheme="majorHAnsi" w:eastAsia="Times New Roman" w:hAnsiTheme="majorHAnsi" w:cstheme="majorHAnsi"/>
                <w:b w:val="0"/>
                <w:sz w:val="20"/>
                <w:szCs w:val="20"/>
                <w:lang w:val="ro-MD" w:eastAsia="ru-RU"/>
              </w:rPr>
            </w:pPr>
            <w:r w:rsidRPr="00401691">
              <w:rPr>
                <w:rFonts w:asciiTheme="majorHAnsi" w:eastAsia="Times New Roman" w:hAnsiTheme="majorHAnsi" w:cstheme="majorHAnsi"/>
                <w:b w:val="0"/>
                <w:sz w:val="20"/>
                <w:szCs w:val="20"/>
                <w:lang w:val="ro-MD" w:eastAsia="ru-RU"/>
              </w:rPr>
              <w:t>Alte impozite pe proprietate</w:t>
            </w:r>
          </w:p>
        </w:tc>
        <w:tc>
          <w:tcPr>
            <w:tcW w:w="801" w:type="dxa"/>
            <w:tcBorders>
              <w:left w:val="thinThickLargeGap" w:sz="24" w:space="0" w:color="auto"/>
              <w:right w:val="thinThickLargeGap" w:sz="2" w:space="0" w:color="auto"/>
            </w:tcBorders>
            <w:shd w:val="clear" w:color="auto" w:fill="auto"/>
          </w:tcPr>
          <w:p w:rsidR="00C55DF6" w:rsidRPr="00401691" w:rsidRDefault="00C55DF6" w:rsidP="008441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eastAsia="ru-RU"/>
              </w:rPr>
            </w:pPr>
            <w:r w:rsidRPr="00401691">
              <w:rPr>
                <w:rFonts w:asciiTheme="majorHAnsi" w:eastAsia="Times New Roman" w:hAnsiTheme="majorHAnsi" w:cstheme="majorHAnsi"/>
                <w:color w:val="000000"/>
                <w:sz w:val="20"/>
                <w:szCs w:val="20"/>
                <w:lang w:val="ro-MD" w:eastAsia="ru-RU"/>
              </w:rPr>
              <w:t>1136</w:t>
            </w:r>
          </w:p>
        </w:tc>
        <w:tc>
          <w:tcPr>
            <w:tcW w:w="1259" w:type="dxa"/>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lang w:val="ro-MD"/>
              </w:rPr>
            </w:pPr>
            <w:r w:rsidRPr="00401691">
              <w:rPr>
                <w:rFonts w:asciiTheme="majorHAnsi" w:hAnsiTheme="majorHAnsi" w:cstheme="majorHAnsi"/>
                <w:color w:val="000000" w:themeColor="text1"/>
                <w:sz w:val="18"/>
                <w:szCs w:val="18"/>
                <w:lang w:val="ro-MD"/>
              </w:rPr>
              <w:t>42,000.0</w:t>
            </w:r>
          </w:p>
        </w:tc>
        <w:tc>
          <w:tcPr>
            <w:tcW w:w="1259" w:type="dxa"/>
            <w:tcBorders>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595959" w:themeColor="text1" w:themeTint="A6"/>
                <w:sz w:val="18"/>
                <w:szCs w:val="18"/>
                <w:lang w:val="ro-MD"/>
              </w:rPr>
            </w:pPr>
            <w:r w:rsidRPr="00401691">
              <w:rPr>
                <w:rFonts w:asciiTheme="majorHAnsi" w:hAnsiTheme="majorHAnsi" w:cstheme="majorHAnsi"/>
                <w:color w:val="595959" w:themeColor="text1" w:themeTint="A6"/>
                <w:sz w:val="18"/>
                <w:szCs w:val="18"/>
                <w:lang w:val="ro-MD"/>
              </w:rPr>
              <w:t>42,000.0</w:t>
            </w:r>
          </w:p>
        </w:tc>
        <w:tc>
          <w:tcPr>
            <w:tcW w:w="1245" w:type="dxa"/>
            <w:gridSpan w:val="2"/>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401691">
              <w:rPr>
                <w:rFonts w:asciiTheme="majorHAnsi" w:hAnsiTheme="majorHAnsi" w:cstheme="majorHAnsi"/>
                <w:sz w:val="18"/>
                <w:szCs w:val="18"/>
                <w:lang w:val="ro-MD"/>
              </w:rPr>
              <w:t>41,090.0</w:t>
            </w:r>
          </w:p>
        </w:tc>
        <w:tc>
          <w:tcPr>
            <w:tcW w:w="1190" w:type="dxa"/>
            <w:tcBorders>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401691">
              <w:rPr>
                <w:rFonts w:asciiTheme="majorHAnsi" w:hAnsiTheme="majorHAnsi" w:cstheme="majorHAnsi"/>
                <w:color w:val="000000"/>
                <w:sz w:val="18"/>
                <w:szCs w:val="18"/>
                <w:lang w:val="ro-MD"/>
              </w:rPr>
              <w:t>41,090.0</w:t>
            </w:r>
          </w:p>
        </w:tc>
        <w:tc>
          <w:tcPr>
            <w:tcW w:w="1084" w:type="dxa"/>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-910.00</w:t>
            </w:r>
          </w:p>
        </w:tc>
        <w:tc>
          <w:tcPr>
            <w:tcW w:w="1094" w:type="dxa"/>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97.83</w:t>
            </w:r>
          </w:p>
        </w:tc>
        <w:tc>
          <w:tcPr>
            <w:tcW w:w="1152" w:type="dxa"/>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-910</w:t>
            </w:r>
          </w:p>
        </w:tc>
        <w:tc>
          <w:tcPr>
            <w:tcW w:w="1004" w:type="dxa"/>
            <w:tcBorders>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97.83</w:t>
            </w:r>
          </w:p>
        </w:tc>
        <w:tc>
          <w:tcPr>
            <w:tcW w:w="958" w:type="dxa"/>
            <w:gridSpan w:val="3"/>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0.02</w:t>
            </w:r>
          </w:p>
        </w:tc>
        <w:tc>
          <w:tcPr>
            <w:tcW w:w="900" w:type="dxa"/>
            <w:gridSpan w:val="2"/>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0.02</w:t>
            </w:r>
          </w:p>
        </w:tc>
      </w:tr>
      <w:tr w:rsidR="00C55DF6" w:rsidRPr="00401691" w:rsidTr="00A353BB">
        <w:trPr>
          <w:gridAfter w:val="1"/>
          <w:wAfter w:w="6" w:type="dxa"/>
        </w:trPr>
        <w:tc>
          <w:tcPr>
            <w:cnfStyle w:val="001000000000" w:firstRow="0" w:lastRow="0" w:firstColumn="1" w:lastColumn="0" w:oddVBand="0" w:evenVBand="0" w:oddHBand="0" w:evenHBand="0" w:firstRowFirstColumn="0" w:firstRowLastColumn="0" w:lastRowFirstColumn="0" w:lastRowLastColumn="0"/>
            <w:tcW w:w="3426" w:type="dxa"/>
            <w:tcBorders>
              <w:right w:val="thinThickLargeGap" w:sz="24" w:space="0" w:color="auto"/>
            </w:tcBorders>
            <w:shd w:val="clear" w:color="auto" w:fill="F2F2F2" w:themeFill="background1" w:themeFillShade="F2"/>
          </w:tcPr>
          <w:p w:rsidR="00C55DF6" w:rsidRPr="00401691" w:rsidRDefault="00C55DF6" w:rsidP="00844145">
            <w:pPr>
              <w:pStyle w:val="ListParagraph"/>
              <w:numPr>
                <w:ilvl w:val="0"/>
                <w:numId w:val="20"/>
              </w:numPr>
              <w:spacing w:line="276" w:lineRule="auto"/>
              <w:ind w:left="348" w:hanging="270"/>
              <w:jc w:val="both"/>
              <w:rPr>
                <w:rFonts w:asciiTheme="majorHAnsi" w:eastAsia="Times New Roman" w:hAnsiTheme="majorHAnsi" w:cstheme="majorHAnsi"/>
                <w:b w:val="0"/>
                <w:sz w:val="20"/>
                <w:szCs w:val="20"/>
                <w:lang w:val="ro-MD" w:eastAsia="ru-RU"/>
              </w:rPr>
            </w:pPr>
            <w:r w:rsidRPr="00401691">
              <w:rPr>
                <w:rFonts w:asciiTheme="majorHAnsi" w:eastAsia="Times New Roman" w:hAnsiTheme="majorHAnsi" w:cstheme="majorHAnsi"/>
                <w:b w:val="0"/>
                <w:sz w:val="20"/>
                <w:szCs w:val="20"/>
                <w:lang w:val="ro-MD" w:eastAsia="ru-RU"/>
              </w:rPr>
              <w:t>IMPOZITE ȘI TAXE PE MĂRFURI ȘI SERVICII</w:t>
            </w:r>
          </w:p>
        </w:tc>
        <w:tc>
          <w:tcPr>
            <w:tcW w:w="801" w:type="dxa"/>
            <w:tcBorders>
              <w:left w:val="thinThickLargeGap" w:sz="24" w:space="0" w:color="auto"/>
              <w:right w:val="thinThickLargeGap" w:sz="2" w:space="0" w:color="auto"/>
            </w:tcBorders>
            <w:shd w:val="clear" w:color="auto" w:fill="auto"/>
          </w:tcPr>
          <w:p w:rsidR="00C55DF6" w:rsidRPr="00401691" w:rsidRDefault="00C55DF6" w:rsidP="008441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val="ro-MD" w:eastAsia="ru-RU"/>
              </w:rPr>
            </w:pPr>
            <w:r w:rsidRPr="00401691">
              <w:rPr>
                <w:rFonts w:asciiTheme="majorHAnsi" w:eastAsia="Times New Roman" w:hAnsiTheme="majorHAnsi" w:cstheme="majorHAnsi"/>
                <w:b/>
                <w:color w:val="000000"/>
                <w:sz w:val="20"/>
                <w:szCs w:val="20"/>
                <w:lang w:val="ro-MD" w:eastAsia="ru-RU"/>
              </w:rPr>
              <w:t>114</w:t>
            </w:r>
          </w:p>
        </w:tc>
        <w:tc>
          <w:tcPr>
            <w:tcW w:w="1259" w:type="dxa"/>
            <w:tcBorders>
              <w:left w:val="thinThickLargeGap" w:sz="2" w:space="0" w:color="auto"/>
            </w:tcBorders>
            <w:shd w:val="clear" w:color="auto" w:fill="auto"/>
            <w:vAlign w:val="center"/>
          </w:tcPr>
          <w:p w:rsidR="00C55DF6" w:rsidRPr="00401691" w:rsidRDefault="00C55DF6" w:rsidP="00844145">
            <w:pPr>
              <w:spacing w:line="276" w:lineRule="auto"/>
              <w:jc w:val="right"/>
              <w:outlineLvl w:val="3"/>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themeColor="text1"/>
                <w:sz w:val="18"/>
                <w:szCs w:val="18"/>
                <w:lang w:val="ro-MD"/>
              </w:rPr>
            </w:pPr>
            <w:r w:rsidRPr="00401691">
              <w:rPr>
                <w:rFonts w:asciiTheme="majorHAnsi" w:hAnsiTheme="majorHAnsi" w:cstheme="majorHAnsi"/>
                <w:b/>
                <w:bCs/>
                <w:color w:val="000000" w:themeColor="text1"/>
                <w:sz w:val="18"/>
                <w:szCs w:val="18"/>
                <w:lang w:val="ro-MD"/>
              </w:rPr>
              <w:t>10,112,297.6</w:t>
            </w:r>
          </w:p>
        </w:tc>
        <w:tc>
          <w:tcPr>
            <w:tcW w:w="1259" w:type="dxa"/>
            <w:tcBorders>
              <w:right w:val="thinThickLargeGap" w:sz="2" w:space="0" w:color="auto"/>
            </w:tcBorders>
            <w:shd w:val="clear" w:color="auto" w:fill="auto"/>
            <w:vAlign w:val="center"/>
          </w:tcPr>
          <w:p w:rsidR="00C55DF6" w:rsidRPr="00401691" w:rsidRDefault="00C55DF6" w:rsidP="00844145">
            <w:pPr>
              <w:spacing w:line="276" w:lineRule="auto"/>
              <w:jc w:val="right"/>
              <w:outlineLvl w:val="3"/>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595959" w:themeColor="text1" w:themeTint="A6"/>
                <w:sz w:val="18"/>
                <w:szCs w:val="18"/>
                <w:lang w:val="ro-MD"/>
              </w:rPr>
            </w:pPr>
            <w:r w:rsidRPr="00401691">
              <w:rPr>
                <w:rFonts w:asciiTheme="majorHAnsi" w:hAnsiTheme="majorHAnsi" w:cstheme="majorHAnsi"/>
                <w:b/>
                <w:bCs/>
                <w:color w:val="595959" w:themeColor="text1" w:themeTint="A6"/>
                <w:sz w:val="18"/>
                <w:szCs w:val="18"/>
                <w:lang w:val="ro-MD"/>
              </w:rPr>
              <w:t>9,481,406.9</w:t>
            </w:r>
          </w:p>
        </w:tc>
        <w:tc>
          <w:tcPr>
            <w:tcW w:w="1245" w:type="dxa"/>
            <w:gridSpan w:val="2"/>
            <w:tcBorders>
              <w:left w:val="thinThickLargeGap" w:sz="2" w:space="0" w:color="auto"/>
            </w:tcBorders>
            <w:shd w:val="clear" w:color="auto" w:fill="auto"/>
            <w:vAlign w:val="center"/>
          </w:tcPr>
          <w:p w:rsidR="00C55DF6" w:rsidRPr="00401691" w:rsidRDefault="00C55DF6" w:rsidP="00844145">
            <w:pPr>
              <w:spacing w:line="276" w:lineRule="auto"/>
              <w:jc w:val="right"/>
              <w:outlineLvl w:val="3"/>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8"/>
                <w:szCs w:val="18"/>
                <w:lang w:val="ro-MD"/>
              </w:rPr>
            </w:pPr>
            <w:r w:rsidRPr="00401691">
              <w:rPr>
                <w:rFonts w:asciiTheme="majorHAnsi" w:hAnsiTheme="majorHAnsi" w:cstheme="majorHAnsi"/>
                <w:b/>
                <w:bCs/>
                <w:sz w:val="18"/>
                <w:szCs w:val="18"/>
                <w:lang w:val="ro-MD"/>
              </w:rPr>
              <w:t>10,078,943.3</w:t>
            </w:r>
          </w:p>
        </w:tc>
        <w:tc>
          <w:tcPr>
            <w:tcW w:w="1190" w:type="dxa"/>
            <w:tcBorders>
              <w:right w:val="thinThickLargeGap" w:sz="2" w:space="0" w:color="auto"/>
            </w:tcBorders>
            <w:shd w:val="clear" w:color="auto" w:fill="auto"/>
            <w:vAlign w:val="center"/>
          </w:tcPr>
          <w:p w:rsidR="00C55DF6" w:rsidRPr="00401691" w:rsidRDefault="00C55DF6" w:rsidP="00844145">
            <w:pPr>
              <w:spacing w:line="276" w:lineRule="auto"/>
              <w:jc w:val="right"/>
              <w:outlineLvl w:val="3"/>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8"/>
                <w:szCs w:val="18"/>
                <w:lang w:val="ro-MD"/>
              </w:rPr>
            </w:pPr>
            <w:r w:rsidRPr="00401691">
              <w:rPr>
                <w:rFonts w:asciiTheme="majorHAnsi" w:hAnsiTheme="majorHAnsi" w:cstheme="majorHAnsi"/>
                <w:b/>
                <w:bCs/>
                <w:sz w:val="18"/>
                <w:szCs w:val="18"/>
                <w:lang w:val="ro-MD"/>
              </w:rPr>
              <w:t>9,445,989.7</w:t>
            </w:r>
          </w:p>
        </w:tc>
        <w:tc>
          <w:tcPr>
            <w:tcW w:w="1084" w:type="dxa"/>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-33,354.30</w:t>
            </w:r>
          </w:p>
        </w:tc>
        <w:tc>
          <w:tcPr>
            <w:tcW w:w="1094" w:type="dxa"/>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99.67</w:t>
            </w:r>
          </w:p>
        </w:tc>
        <w:tc>
          <w:tcPr>
            <w:tcW w:w="1152" w:type="dxa"/>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-35,417.20</w:t>
            </w:r>
          </w:p>
        </w:tc>
        <w:tc>
          <w:tcPr>
            <w:tcW w:w="1004" w:type="dxa"/>
            <w:tcBorders>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99.63</w:t>
            </w:r>
          </w:p>
        </w:tc>
        <w:tc>
          <w:tcPr>
            <w:tcW w:w="958" w:type="dxa"/>
            <w:gridSpan w:val="3"/>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4.80</w:t>
            </w:r>
          </w:p>
        </w:tc>
        <w:tc>
          <w:tcPr>
            <w:tcW w:w="900" w:type="dxa"/>
            <w:gridSpan w:val="2"/>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4.50</w:t>
            </w:r>
          </w:p>
        </w:tc>
      </w:tr>
      <w:tr w:rsidR="00C55DF6" w:rsidRPr="00401691" w:rsidTr="00A353BB">
        <w:trPr>
          <w:gridAfter w:val="1"/>
          <w:wAfter w:w="6" w:type="dxa"/>
        </w:trPr>
        <w:tc>
          <w:tcPr>
            <w:cnfStyle w:val="001000000000" w:firstRow="0" w:lastRow="0" w:firstColumn="1" w:lastColumn="0" w:oddVBand="0" w:evenVBand="0" w:oddHBand="0" w:evenHBand="0" w:firstRowFirstColumn="0" w:firstRowLastColumn="0" w:lastRowFirstColumn="0" w:lastRowLastColumn="0"/>
            <w:tcW w:w="3426" w:type="dxa"/>
            <w:tcBorders>
              <w:right w:val="thinThickLargeGap" w:sz="24" w:space="0" w:color="auto"/>
            </w:tcBorders>
            <w:shd w:val="clear" w:color="auto" w:fill="F2F2F2" w:themeFill="background1" w:themeFillShade="F2"/>
          </w:tcPr>
          <w:p w:rsidR="00C55DF6" w:rsidRPr="00401691" w:rsidRDefault="00C55DF6" w:rsidP="00844145">
            <w:pPr>
              <w:spacing w:line="276" w:lineRule="auto"/>
              <w:jc w:val="both"/>
              <w:rPr>
                <w:rFonts w:asciiTheme="majorHAnsi" w:eastAsia="Times New Roman" w:hAnsiTheme="majorHAnsi" w:cstheme="majorHAnsi"/>
                <w:b w:val="0"/>
                <w:sz w:val="20"/>
                <w:szCs w:val="20"/>
                <w:lang w:val="ro-MD" w:eastAsia="ru-RU"/>
              </w:rPr>
            </w:pPr>
            <w:r w:rsidRPr="00401691">
              <w:rPr>
                <w:rFonts w:asciiTheme="majorHAnsi" w:eastAsia="Times New Roman" w:hAnsiTheme="majorHAnsi" w:cstheme="majorHAnsi"/>
                <w:b w:val="0"/>
                <w:sz w:val="20"/>
                <w:szCs w:val="20"/>
                <w:lang w:val="ro-MD" w:eastAsia="ru-RU"/>
              </w:rPr>
              <w:t>Taxa pe valoarea adăugată</w:t>
            </w:r>
          </w:p>
        </w:tc>
        <w:tc>
          <w:tcPr>
            <w:tcW w:w="801" w:type="dxa"/>
            <w:tcBorders>
              <w:left w:val="thinThickLargeGap" w:sz="24" w:space="0" w:color="auto"/>
              <w:right w:val="thinThickLargeGap" w:sz="2" w:space="0" w:color="auto"/>
            </w:tcBorders>
            <w:shd w:val="clear" w:color="auto" w:fill="auto"/>
          </w:tcPr>
          <w:p w:rsidR="00C55DF6" w:rsidRPr="00401691" w:rsidRDefault="00C55DF6" w:rsidP="008441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eastAsia="ru-RU"/>
              </w:rPr>
            </w:pPr>
            <w:r w:rsidRPr="00401691">
              <w:rPr>
                <w:rFonts w:asciiTheme="majorHAnsi" w:eastAsia="Times New Roman" w:hAnsiTheme="majorHAnsi" w:cstheme="majorHAnsi"/>
                <w:color w:val="000000"/>
                <w:sz w:val="20"/>
                <w:szCs w:val="20"/>
                <w:lang w:val="ro-MD" w:eastAsia="ru-RU"/>
              </w:rPr>
              <w:t>1141</w:t>
            </w:r>
          </w:p>
        </w:tc>
        <w:tc>
          <w:tcPr>
            <w:tcW w:w="1259" w:type="dxa"/>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18"/>
                <w:szCs w:val="18"/>
                <w:lang w:val="ro-MD"/>
              </w:rPr>
            </w:pPr>
            <w:r w:rsidRPr="00401691">
              <w:rPr>
                <w:rFonts w:asciiTheme="majorHAnsi" w:hAnsiTheme="majorHAnsi" w:cstheme="majorHAnsi"/>
                <w:bCs/>
                <w:color w:val="000000" w:themeColor="text1"/>
                <w:sz w:val="18"/>
                <w:szCs w:val="18"/>
                <w:lang w:val="ro-MD"/>
              </w:rPr>
              <w:t>7,764,374.0</w:t>
            </w:r>
          </w:p>
        </w:tc>
        <w:tc>
          <w:tcPr>
            <w:tcW w:w="1259" w:type="dxa"/>
            <w:tcBorders>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595959" w:themeColor="text1" w:themeTint="A6"/>
                <w:sz w:val="18"/>
                <w:szCs w:val="18"/>
                <w:lang w:val="ro-MD"/>
              </w:rPr>
            </w:pPr>
            <w:r w:rsidRPr="00401691">
              <w:rPr>
                <w:rFonts w:asciiTheme="majorHAnsi" w:hAnsiTheme="majorHAnsi" w:cstheme="majorHAnsi"/>
                <w:bCs/>
                <w:color w:val="595959" w:themeColor="text1" w:themeTint="A6"/>
                <w:sz w:val="18"/>
                <w:szCs w:val="18"/>
                <w:lang w:val="ro-MD"/>
              </w:rPr>
              <w:t>7,657,600.0</w:t>
            </w:r>
          </w:p>
        </w:tc>
        <w:tc>
          <w:tcPr>
            <w:tcW w:w="1245" w:type="dxa"/>
            <w:gridSpan w:val="2"/>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lang w:val="ro-MD"/>
              </w:rPr>
            </w:pPr>
            <w:r w:rsidRPr="00401691">
              <w:rPr>
                <w:rFonts w:asciiTheme="majorHAnsi" w:hAnsiTheme="majorHAnsi" w:cstheme="majorHAnsi"/>
                <w:bCs/>
                <w:sz w:val="18"/>
                <w:szCs w:val="18"/>
                <w:lang w:val="ro-MD"/>
              </w:rPr>
              <w:t>7,633,465.8</w:t>
            </w:r>
          </w:p>
        </w:tc>
        <w:tc>
          <w:tcPr>
            <w:tcW w:w="1190" w:type="dxa"/>
            <w:tcBorders>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lang w:val="ro-MD"/>
              </w:rPr>
            </w:pPr>
            <w:r w:rsidRPr="00401691">
              <w:rPr>
                <w:rFonts w:asciiTheme="majorHAnsi" w:hAnsiTheme="majorHAnsi" w:cstheme="majorHAnsi"/>
                <w:bCs/>
                <w:sz w:val="18"/>
                <w:szCs w:val="18"/>
                <w:lang w:val="ro-MD"/>
              </w:rPr>
              <w:t>7,546,797.4</w:t>
            </w:r>
          </w:p>
        </w:tc>
        <w:tc>
          <w:tcPr>
            <w:tcW w:w="1084" w:type="dxa"/>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-130,908.20</w:t>
            </w:r>
          </w:p>
        </w:tc>
        <w:tc>
          <w:tcPr>
            <w:tcW w:w="1094" w:type="dxa"/>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98.31</w:t>
            </w:r>
          </w:p>
        </w:tc>
        <w:tc>
          <w:tcPr>
            <w:tcW w:w="1152" w:type="dxa"/>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-110,802.60</w:t>
            </w:r>
          </w:p>
        </w:tc>
        <w:tc>
          <w:tcPr>
            <w:tcW w:w="1004" w:type="dxa"/>
            <w:tcBorders>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98.55</w:t>
            </w:r>
          </w:p>
        </w:tc>
        <w:tc>
          <w:tcPr>
            <w:tcW w:w="958" w:type="dxa"/>
            <w:gridSpan w:val="3"/>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3.63</w:t>
            </w:r>
          </w:p>
        </w:tc>
        <w:tc>
          <w:tcPr>
            <w:tcW w:w="900" w:type="dxa"/>
            <w:gridSpan w:val="2"/>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3.59</w:t>
            </w:r>
          </w:p>
        </w:tc>
      </w:tr>
      <w:tr w:rsidR="00C55DF6" w:rsidRPr="00401691" w:rsidTr="00A353BB">
        <w:trPr>
          <w:gridAfter w:val="1"/>
          <w:wAfter w:w="6" w:type="dxa"/>
        </w:trPr>
        <w:tc>
          <w:tcPr>
            <w:cnfStyle w:val="001000000000" w:firstRow="0" w:lastRow="0" w:firstColumn="1" w:lastColumn="0" w:oddVBand="0" w:evenVBand="0" w:oddHBand="0" w:evenHBand="0" w:firstRowFirstColumn="0" w:firstRowLastColumn="0" w:lastRowFirstColumn="0" w:lastRowLastColumn="0"/>
            <w:tcW w:w="3426" w:type="dxa"/>
            <w:tcBorders>
              <w:right w:val="thinThickLargeGap" w:sz="24" w:space="0" w:color="auto"/>
            </w:tcBorders>
            <w:shd w:val="clear" w:color="auto" w:fill="F2F2F2" w:themeFill="background1" w:themeFillShade="F2"/>
          </w:tcPr>
          <w:p w:rsidR="00C55DF6" w:rsidRPr="00401691" w:rsidRDefault="00C55DF6" w:rsidP="00844145">
            <w:pPr>
              <w:spacing w:line="276" w:lineRule="auto"/>
              <w:jc w:val="both"/>
              <w:rPr>
                <w:rFonts w:asciiTheme="majorHAnsi" w:eastAsia="Times New Roman" w:hAnsiTheme="majorHAnsi" w:cstheme="majorHAnsi"/>
                <w:b w:val="0"/>
                <w:sz w:val="20"/>
                <w:szCs w:val="20"/>
                <w:lang w:val="ro-MD" w:eastAsia="ru-RU"/>
              </w:rPr>
            </w:pPr>
            <w:r w:rsidRPr="00401691">
              <w:rPr>
                <w:rFonts w:asciiTheme="majorHAnsi" w:eastAsia="Times New Roman" w:hAnsiTheme="majorHAnsi" w:cstheme="majorHAnsi"/>
                <w:b w:val="0"/>
                <w:sz w:val="20"/>
                <w:szCs w:val="20"/>
                <w:lang w:val="ro-MD" w:eastAsia="ru-RU"/>
              </w:rPr>
              <w:t>Accize</w:t>
            </w:r>
          </w:p>
        </w:tc>
        <w:tc>
          <w:tcPr>
            <w:tcW w:w="801" w:type="dxa"/>
            <w:tcBorders>
              <w:left w:val="thinThickLargeGap" w:sz="24" w:space="0" w:color="auto"/>
              <w:right w:val="thinThickLargeGap" w:sz="2" w:space="0" w:color="auto"/>
            </w:tcBorders>
            <w:shd w:val="clear" w:color="auto" w:fill="auto"/>
          </w:tcPr>
          <w:p w:rsidR="00C55DF6" w:rsidRPr="00401691" w:rsidRDefault="00C55DF6" w:rsidP="008441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eastAsia="ru-RU"/>
              </w:rPr>
            </w:pPr>
            <w:r w:rsidRPr="00401691">
              <w:rPr>
                <w:rFonts w:asciiTheme="majorHAnsi" w:eastAsia="Times New Roman" w:hAnsiTheme="majorHAnsi" w:cstheme="majorHAnsi"/>
                <w:color w:val="000000"/>
                <w:sz w:val="20"/>
                <w:szCs w:val="20"/>
                <w:lang w:val="ro-MD" w:eastAsia="ru-RU"/>
              </w:rPr>
              <w:t>1142</w:t>
            </w:r>
          </w:p>
        </w:tc>
        <w:tc>
          <w:tcPr>
            <w:tcW w:w="1259" w:type="dxa"/>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18"/>
                <w:szCs w:val="18"/>
                <w:lang w:val="ro-MD"/>
              </w:rPr>
            </w:pPr>
            <w:r w:rsidRPr="00401691">
              <w:rPr>
                <w:rFonts w:asciiTheme="majorHAnsi" w:hAnsiTheme="majorHAnsi" w:cstheme="majorHAnsi"/>
                <w:bCs/>
                <w:color w:val="000000" w:themeColor="text1"/>
                <w:sz w:val="18"/>
                <w:szCs w:val="18"/>
                <w:lang w:val="ro-MD"/>
              </w:rPr>
              <w:t>533,337.6</w:t>
            </w:r>
          </w:p>
        </w:tc>
        <w:tc>
          <w:tcPr>
            <w:tcW w:w="1259" w:type="dxa"/>
            <w:tcBorders>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595959" w:themeColor="text1" w:themeTint="A6"/>
                <w:sz w:val="18"/>
                <w:szCs w:val="18"/>
                <w:lang w:val="ro-MD"/>
              </w:rPr>
            </w:pPr>
            <w:r w:rsidRPr="00401691">
              <w:rPr>
                <w:rFonts w:asciiTheme="majorHAnsi" w:hAnsiTheme="majorHAnsi" w:cstheme="majorHAnsi"/>
                <w:bCs/>
                <w:color w:val="595959" w:themeColor="text1" w:themeTint="A6"/>
                <w:sz w:val="18"/>
                <w:szCs w:val="18"/>
                <w:lang w:val="ro-MD"/>
              </w:rPr>
              <w:t>531,026.0</w:t>
            </w:r>
          </w:p>
        </w:tc>
        <w:tc>
          <w:tcPr>
            <w:tcW w:w="1245" w:type="dxa"/>
            <w:gridSpan w:val="2"/>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lang w:val="ro-MD"/>
              </w:rPr>
            </w:pPr>
            <w:r w:rsidRPr="00401691">
              <w:rPr>
                <w:rFonts w:asciiTheme="majorHAnsi" w:hAnsiTheme="majorHAnsi" w:cstheme="majorHAnsi"/>
                <w:bCs/>
                <w:sz w:val="18"/>
                <w:szCs w:val="18"/>
                <w:lang w:val="ro-MD"/>
              </w:rPr>
              <w:t>555,031.7</w:t>
            </w:r>
          </w:p>
        </w:tc>
        <w:tc>
          <w:tcPr>
            <w:tcW w:w="1190" w:type="dxa"/>
            <w:tcBorders>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lang w:val="ro-MD"/>
              </w:rPr>
            </w:pPr>
            <w:r w:rsidRPr="00401691">
              <w:rPr>
                <w:rFonts w:asciiTheme="majorHAnsi" w:hAnsiTheme="majorHAnsi" w:cstheme="majorHAnsi"/>
                <w:bCs/>
                <w:sz w:val="18"/>
                <w:szCs w:val="18"/>
                <w:lang w:val="ro-MD"/>
              </w:rPr>
              <w:t>553,234.5</w:t>
            </w:r>
          </w:p>
        </w:tc>
        <w:tc>
          <w:tcPr>
            <w:tcW w:w="1084" w:type="dxa"/>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21,694.10</w:t>
            </w:r>
          </w:p>
        </w:tc>
        <w:tc>
          <w:tcPr>
            <w:tcW w:w="1094" w:type="dxa"/>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104.07</w:t>
            </w:r>
          </w:p>
        </w:tc>
        <w:tc>
          <w:tcPr>
            <w:tcW w:w="1152" w:type="dxa"/>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22,208.50</w:t>
            </w:r>
          </w:p>
        </w:tc>
        <w:tc>
          <w:tcPr>
            <w:tcW w:w="1004" w:type="dxa"/>
            <w:tcBorders>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104.18</w:t>
            </w:r>
          </w:p>
        </w:tc>
        <w:tc>
          <w:tcPr>
            <w:tcW w:w="958" w:type="dxa"/>
            <w:gridSpan w:val="3"/>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0.26</w:t>
            </w:r>
          </w:p>
        </w:tc>
        <w:tc>
          <w:tcPr>
            <w:tcW w:w="900" w:type="dxa"/>
            <w:gridSpan w:val="2"/>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0.26</w:t>
            </w:r>
          </w:p>
        </w:tc>
      </w:tr>
      <w:tr w:rsidR="00C55DF6" w:rsidRPr="00401691" w:rsidTr="00A353BB">
        <w:trPr>
          <w:gridAfter w:val="1"/>
          <w:wAfter w:w="6" w:type="dxa"/>
        </w:trPr>
        <w:tc>
          <w:tcPr>
            <w:cnfStyle w:val="001000000000" w:firstRow="0" w:lastRow="0" w:firstColumn="1" w:lastColumn="0" w:oddVBand="0" w:evenVBand="0" w:oddHBand="0" w:evenHBand="0" w:firstRowFirstColumn="0" w:firstRowLastColumn="0" w:lastRowFirstColumn="0" w:lastRowLastColumn="0"/>
            <w:tcW w:w="3426" w:type="dxa"/>
            <w:tcBorders>
              <w:right w:val="thinThickLargeGap" w:sz="24" w:space="0" w:color="auto"/>
            </w:tcBorders>
            <w:shd w:val="clear" w:color="auto" w:fill="F2F2F2" w:themeFill="background1" w:themeFillShade="F2"/>
          </w:tcPr>
          <w:p w:rsidR="00C55DF6" w:rsidRPr="00401691" w:rsidRDefault="00C55DF6" w:rsidP="00844145">
            <w:pPr>
              <w:spacing w:line="276" w:lineRule="auto"/>
              <w:jc w:val="both"/>
              <w:rPr>
                <w:rFonts w:asciiTheme="majorHAnsi" w:eastAsia="Times New Roman" w:hAnsiTheme="majorHAnsi" w:cstheme="majorHAnsi"/>
                <w:b w:val="0"/>
                <w:sz w:val="20"/>
                <w:szCs w:val="20"/>
                <w:lang w:val="ro-MD" w:eastAsia="ru-RU"/>
              </w:rPr>
            </w:pPr>
            <w:r w:rsidRPr="00401691">
              <w:rPr>
                <w:rFonts w:asciiTheme="majorHAnsi" w:eastAsia="Times New Roman" w:hAnsiTheme="majorHAnsi" w:cstheme="majorHAnsi"/>
                <w:b w:val="0"/>
                <w:sz w:val="20"/>
                <w:szCs w:val="20"/>
                <w:lang w:val="ro-MD" w:eastAsia="ru-RU"/>
              </w:rPr>
              <w:t xml:space="preserve">Taxe pentru servicii specifice </w:t>
            </w:r>
          </w:p>
        </w:tc>
        <w:tc>
          <w:tcPr>
            <w:tcW w:w="801" w:type="dxa"/>
            <w:tcBorders>
              <w:left w:val="thinThickLargeGap" w:sz="24" w:space="0" w:color="auto"/>
              <w:right w:val="thinThickLargeGap" w:sz="2" w:space="0" w:color="auto"/>
            </w:tcBorders>
            <w:shd w:val="clear" w:color="auto" w:fill="auto"/>
          </w:tcPr>
          <w:p w:rsidR="00C55DF6" w:rsidRPr="00401691" w:rsidRDefault="00C55DF6" w:rsidP="008441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eastAsia="ru-RU"/>
              </w:rPr>
            </w:pPr>
            <w:r w:rsidRPr="00401691">
              <w:rPr>
                <w:rFonts w:asciiTheme="majorHAnsi" w:eastAsia="Times New Roman" w:hAnsiTheme="majorHAnsi" w:cstheme="majorHAnsi"/>
                <w:color w:val="000000"/>
                <w:sz w:val="20"/>
                <w:szCs w:val="20"/>
                <w:lang w:val="ro-MD" w:eastAsia="ru-RU"/>
              </w:rPr>
              <w:t>1144</w:t>
            </w:r>
          </w:p>
        </w:tc>
        <w:tc>
          <w:tcPr>
            <w:tcW w:w="1259" w:type="dxa"/>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18"/>
                <w:szCs w:val="18"/>
                <w:lang w:val="ro-MD"/>
              </w:rPr>
            </w:pPr>
            <w:r w:rsidRPr="00401691">
              <w:rPr>
                <w:rFonts w:asciiTheme="majorHAnsi" w:hAnsiTheme="majorHAnsi" w:cstheme="majorHAnsi"/>
                <w:bCs/>
                <w:color w:val="000000" w:themeColor="text1"/>
                <w:sz w:val="18"/>
                <w:szCs w:val="18"/>
                <w:lang w:val="ro-MD"/>
              </w:rPr>
              <w:t>443,404.2</w:t>
            </w:r>
          </w:p>
        </w:tc>
        <w:tc>
          <w:tcPr>
            <w:tcW w:w="1259" w:type="dxa"/>
            <w:tcBorders>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595959" w:themeColor="text1" w:themeTint="A6"/>
                <w:sz w:val="18"/>
                <w:szCs w:val="18"/>
                <w:lang w:val="ro-MD"/>
              </w:rPr>
            </w:pPr>
            <w:r w:rsidRPr="00401691">
              <w:rPr>
                <w:rFonts w:asciiTheme="majorHAnsi" w:hAnsiTheme="majorHAnsi" w:cstheme="majorHAnsi"/>
                <w:bCs/>
                <w:color w:val="595959" w:themeColor="text1" w:themeTint="A6"/>
                <w:sz w:val="18"/>
                <w:szCs w:val="18"/>
                <w:lang w:val="ro-MD"/>
              </w:rPr>
              <w:t>250.0</w:t>
            </w:r>
          </w:p>
        </w:tc>
        <w:tc>
          <w:tcPr>
            <w:tcW w:w="1245" w:type="dxa"/>
            <w:gridSpan w:val="2"/>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lang w:val="ro-MD"/>
              </w:rPr>
            </w:pPr>
            <w:r w:rsidRPr="00401691">
              <w:rPr>
                <w:rFonts w:asciiTheme="majorHAnsi" w:hAnsiTheme="majorHAnsi" w:cstheme="majorHAnsi"/>
                <w:bCs/>
                <w:sz w:val="18"/>
                <w:szCs w:val="18"/>
                <w:lang w:val="ro-MD"/>
              </w:rPr>
              <w:t>457,230.9</w:t>
            </w:r>
          </w:p>
        </w:tc>
        <w:tc>
          <w:tcPr>
            <w:tcW w:w="1190" w:type="dxa"/>
            <w:tcBorders>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lang w:val="ro-MD"/>
              </w:rPr>
            </w:pPr>
            <w:r w:rsidRPr="00401691">
              <w:rPr>
                <w:rFonts w:asciiTheme="majorHAnsi" w:hAnsiTheme="majorHAnsi" w:cstheme="majorHAnsi"/>
                <w:bCs/>
                <w:sz w:val="18"/>
                <w:szCs w:val="18"/>
                <w:lang w:val="ro-MD"/>
              </w:rPr>
              <w:t>177.8</w:t>
            </w:r>
          </w:p>
        </w:tc>
        <w:tc>
          <w:tcPr>
            <w:tcW w:w="1084" w:type="dxa"/>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13,826.70</w:t>
            </w:r>
          </w:p>
        </w:tc>
        <w:tc>
          <w:tcPr>
            <w:tcW w:w="1094" w:type="dxa"/>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103.12</w:t>
            </w:r>
          </w:p>
        </w:tc>
        <w:tc>
          <w:tcPr>
            <w:tcW w:w="1152" w:type="dxa"/>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-72.2</w:t>
            </w:r>
          </w:p>
        </w:tc>
        <w:tc>
          <w:tcPr>
            <w:tcW w:w="1004" w:type="dxa"/>
            <w:tcBorders>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71.12</w:t>
            </w:r>
          </w:p>
        </w:tc>
        <w:tc>
          <w:tcPr>
            <w:tcW w:w="958" w:type="dxa"/>
            <w:gridSpan w:val="3"/>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0.22</w:t>
            </w:r>
          </w:p>
        </w:tc>
        <w:tc>
          <w:tcPr>
            <w:tcW w:w="900" w:type="dxa"/>
            <w:gridSpan w:val="2"/>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0.00</w:t>
            </w:r>
          </w:p>
        </w:tc>
      </w:tr>
      <w:tr w:rsidR="00C55DF6" w:rsidRPr="00401691" w:rsidTr="00A353BB">
        <w:trPr>
          <w:gridAfter w:val="1"/>
          <w:wAfter w:w="6" w:type="dxa"/>
        </w:trPr>
        <w:tc>
          <w:tcPr>
            <w:cnfStyle w:val="001000000000" w:firstRow="0" w:lastRow="0" w:firstColumn="1" w:lastColumn="0" w:oddVBand="0" w:evenVBand="0" w:oddHBand="0" w:evenHBand="0" w:firstRowFirstColumn="0" w:firstRowLastColumn="0" w:lastRowFirstColumn="0" w:lastRowLastColumn="0"/>
            <w:tcW w:w="3426" w:type="dxa"/>
            <w:tcBorders>
              <w:right w:val="thinThickLargeGap" w:sz="24" w:space="0" w:color="auto"/>
            </w:tcBorders>
            <w:shd w:val="clear" w:color="auto" w:fill="F2F2F2" w:themeFill="background1" w:themeFillShade="F2"/>
          </w:tcPr>
          <w:p w:rsidR="00C55DF6" w:rsidRPr="00401691" w:rsidRDefault="00C55DF6" w:rsidP="00844145">
            <w:pPr>
              <w:spacing w:line="276" w:lineRule="auto"/>
              <w:jc w:val="both"/>
              <w:rPr>
                <w:rFonts w:asciiTheme="majorHAnsi" w:eastAsia="Times New Roman" w:hAnsiTheme="majorHAnsi" w:cstheme="majorHAnsi"/>
                <w:b w:val="0"/>
                <w:sz w:val="20"/>
                <w:szCs w:val="20"/>
                <w:lang w:val="ro-MD" w:eastAsia="ru-RU"/>
              </w:rPr>
            </w:pPr>
            <w:r w:rsidRPr="00401691">
              <w:rPr>
                <w:rFonts w:asciiTheme="majorHAnsi" w:eastAsia="Times New Roman" w:hAnsiTheme="majorHAnsi" w:cstheme="majorHAnsi"/>
                <w:b w:val="0"/>
                <w:sz w:val="20"/>
                <w:szCs w:val="20"/>
                <w:lang w:val="ro-MD" w:eastAsia="ru-RU"/>
              </w:rPr>
              <w:t>Taxe și plăți pentru utilizarea mărfurilor și pentru practicarea unor genuri de activitate</w:t>
            </w:r>
          </w:p>
        </w:tc>
        <w:tc>
          <w:tcPr>
            <w:tcW w:w="801" w:type="dxa"/>
            <w:tcBorders>
              <w:left w:val="thinThickLargeGap" w:sz="24" w:space="0" w:color="auto"/>
              <w:right w:val="thinThickLargeGap" w:sz="2" w:space="0" w:color="auto"/>
            </w:tcBorders>
            <w:shd w:val="clear" w:color="auto" w:fill="auto"/>
          </w:tcPr>
          <w:p w:rsidR="00C55DF6" w:rsidRPr="00401691" w:rsidRDefault="00C55DF6" w:rsidP="008441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eastAsia="ru-RU"/>
              </w:rPr>
            </w:pPr>
            <w:r w:rsidRPr="00401691">
              <w:rPr>
                <w:rFonts w:asciiTheme="majorHAnsi" w:eastAsia="Times New Roman" w:hAnsiTheme="majorHAnsi" w:cstheme="majorHAnsi"/>
                <w:color w:val="000000"/>
                <w:sz w:val="20"/>
                <w:szCs w:val="20"/>
                <w:lang w:val="ro-MD" w:eastAsia="ru-RU"/>
              </w:rPr>
              <w:t>1145</w:t>
            </w:r>
          </w:p>
        </w:tc>
        <w:tc>
          <w:tcPr>
            <w:tcW w:w="1259" w:type="dxa"/>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18"/>
                <w:szCs w:val="18"/>
                <w:lang w:val="ro-MD"/>
              </w:rPr>
            </w:pPr>
            <w:r w:rsidRPr="00401691">
              <w:rPr>
                <w:rFonts w:asciiTheme="majorHAnsi" w:hAnsiTheme="majorHAnsi" w:cstheme="majorHAnsi"/>
                <w:bCs/>
                <w:color w:val="000000" w:themeColor="text1"/>
                <w:sz w:val="18"/>
                <w:szCs w:val="18"/>
                <w:lang w:val="ro-MD"/>
              </w:rPr>
              <w:t>426,943.1</w:t>
            </w:r>
          </w:p>
        </w:tc>
        <w:tc>
          <w:tcPr>
            <w:tcW w:w="1259" w:type="dxa"/>
            <w:tcBorders>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595959" w:themeColor="text1" w:themeTint="A6"/>
                <w:sz w:val="18"/>
                <w:szCs w:val="18"/>
                <w:lang w:val="ro-MD"/>
              </w:rPr>
            </w:pPr>
            <w:r w:rsidRPr="00401691">
              <w:rPr>
                <w:rFonts w:asciiTheme="majorHAnsi" w:hAnsiTheme="majorHAnsi" w:cstheme="majorHAnsi"/>
                <w:bCs/>
                <w:color w:val="595959" w:themeColor="text1" w:themeTint="A6"/>
                <w:sz w:val="18"/>
                <w:szCs w:val="18"/>
                <w:lang w:val="ro-MD"/>
              </w:rPr>
              <w:t>388,035.9</w:t>
            </w:r>
          </w:p>
        </w:tc>
        <w:tc>
          <w:tcPr>
            <w:tcW w:w="1245" w:type="dxa"/>
            <w:gridSpan w:val="2"/>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lang w:val="ro-MD"/>
              </w:rPr>
            </w:pPr>
            <w:r w:rsidRPr="00401691">
              <w:rPr>
                <w:rFonts w:asciiTheme="majorHAnsi" w:hAnsiTheme="majorHAnsi" w:cstheme="majorHAnsi"/>
                <w:bCs/>
                <w:sz w:val="18"/>
                <w:szCs w:val="18"/>
                <w:lang w:val="ro-MD"/>
              </w:rPr>
              <w:t>441,132.7</w:t>
            </w:r>
          </w:p>
        </w:tc>
        <w:tc>
          <w:tcPr>
            <w:tcW w:w="1190" w:type="dxa"/>
            <w:tcBorders>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lang w:val="ro-MD"/>
              </w:rPr>
            </w:pPr>
            <w:r w:rsidRPr="00401691">
              <w:rPr>
                <w:rFonts w:asciiTheme="majorHAnsi" w:hAnsiTheme="majorHAnsi" w:cstheme="majorHAnsi"/>
                <w:bCs/>
                <w:sz w:val="18"/>
                <w:szCs w:val="18"/>
                <w:lang w:val="ro-MD"/>
              </w:rPr>
              <w:t>397,812.2</w:t>
            </w:r>
          </w:p>
        </w:tc>
        <w:tc>
          <w:tcPr>
            <w:tcW w:w="1084" w:type="dxa"/>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14,189.60</w:t>
            </w:r>
          </w:p>
        </w:tc>
        <w:tc>
          <w:tcPr>
            <w:tcW w:w="1094" w:type="dxa"/>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103.32</w:t>
            </w:r>
          </w:p>
        </w:tc>
        <w:tc>
          <w:tcPr>
            <w:tcW w:w="1152" w:type="dxa"/>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9,776.30</w:t>
            </w:r>
          </w:p>
        </w:tc>
        <w:tc>
          <w:tcPr>
            <w:tcW w:w="1004" w:type="dxa"/>
            <w:tcBorders>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102.52</w:t>
            </w:r>
          </w:p>
        </w:tc>
        <w:tc>
          <w:tcPr>
            <w:tcW w:w="958" w:type="dxa"/>
            <w:gridSpan w:val="3"/>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0.21</w:t>
            </w:r>
          </w:p>
        </w:tc>
        <w:tc>
          <w:tcPr>
            <w:tcW w:w="900" w:type="dxa"/>
            <w:gridSpan w:val="2"/>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0.19</w:t>
            </w:r>
          </w:p>
        </w:tc>
      </w:tr>
      <w:tr w:rsidR="00C55DF6" w:rsidRPr="00401691" w:rsidTr="00A353BB">
        <w:trPr>
          <w:gridAfter w:val="1"/>
          <w:wAfter w:w="6" w:type="dxa"/>
          <w:trHeight w:val="98"/>
        </w:trPr>
        <w:tc>
          <w:tcPr>
            <w:cnfStyle w:val="001000000000" w:firstRow="0" w:lastRow="0" w:firstColumn="1" w:lastColumn="0" w:oddVBand="0" w:evenVBand="0" w:oddHBand="0" w:evenHBand="0" w:firstRowFirstColumn="0" w:firstRowLastColumn="0" w:lastRowFirstColumn="0" w:lastRowLastColumn="0"/>
            <w:tcW w:w="3426" w:type="dxa"/>
            <w:tcBorders>
              <w:right w:val="thinThickLargeGap" w:sz="24" w:space="0" w:color="auto"/>
            </w:tcBorders>
            <w:shd w:val="clear" w:color="auto" w:fill="F2F2F2" w:themeFill="background1" w:themeFillShade="F2"/>
          </w:tcPr>
          <w:p w:rsidR="00C55DF6" w:rsidRPr="00401691" w:rsidRDefault="00C55DF6" w:rsidP="00844145">
            <w:pPr>
              <w:spacing w:line="276" w:lineRule="auto"/>
              <w:jc w:val="both"/>
              <w:rPr>
                <w:rFonts w:asciiTheme="majorHAnsi" w:eastAsia="Times New Roman" w:hAnsiTheme="majorHAnsi" w:cstheme="majorHAnsi"/>
                <w:b w:val="0"/>
                <w:sz w:val="20"/>
                <w:szCs w:val="20"/>
                <w:lang w:val="ro-MD" w:eastAsia="ru-RU"/>
              </w:rPr>
            </w:pPr>
            <w:r w:rsidRPr="00401691">
              <w:rPr>
                <w:rFonts w:asciiTheme="majorHAnsi" w:eastAsia="Times New Roman" w:hAnsiTheme="majorHAnsi" w:cstheme="majorHAnsi"/>
                <w:b w:val="0"/>
                <w:sz w:val="20"/>
                <w:szCs w:val="20"/>
                <w:lang w:val="ro-MD" w:eastAsia="ru-RU"/>
              </w:rPr>
              <w:t>Alte taxe pentru mărfuri și servicii</w:t>
            </w:r>
          </w:p>
        </w:tc>
        <w:tc>
          <w:tcPr>
            <w:tcW w:w="801" w:type="dxa"/>
            <w:tcBorders>
              <w:left w:val="thinThickLargeGap" w:sz="24" w:space="0" w:color="auto"/>
              <w:right w:val="thinThickLargeGap" w:sz="2" w:space="0" w:color="auto"/>
            </w:tcBorders>
            <w:shd w:val="clear" w:color="auto" w:fill="auto"/>
          </w:tcPr>
          <w:p w:rsidR="00C55DF6" w:rsidRPr="00401691" w:rsidRDefault="00C55DF6" w:rsidP="008441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eastAsia="ru-RU"/>
              </w:rPr>
            </w:pPr>
            <w:r w:rsidRPr="00401691">
              <w:rPr>
                <w:rFonts w:asciiTheme="majorHAnsi" w:eastAsia="Times New Roman" w:hAnsiTheme="majorHAnsi" w:cstheme="majorHAnsi"/>
                <w:color w:val="000000"/>
                <w:sz w:val="20"/>
                <w:szCs w:val="20"/>
                <w:lang w:val="ro-MD" w:eastAsia="ru-RU"/>
              </w:rPr>
              <w:t>1146</w:t>
            </w:r>
          </w:p>
        </w:tc>
        <w:tc>
          <w:tcPr>
            <w:tcW w:w="1259" w:type="dxa"/>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18"/>
                <w:szCs w:val="18"/>
                <w:lang w:val="ro-MD"/>
              </w:rPr>
            </w:pPr>
            <w:r w:rsidRPr="00401691">
              <w:rPr>
                <w:rFonts w:asciiTheme="majorHAnsi" w:hAnsiTheme="majorHAnsi" w:cstheme="majorHAnsi"/>
                <w:bCs/>
                <w:color w:val="000000" w:themeColor="text1"/>
                <w:sz w:val="18"/>
                <w:szCs w:val="18"/>
                <w:lang w:val="ro-MD"/>
              </w:rPr>
              <w:t>944,238.6</w:t>
            </w:r>
          </w:p>
        </w:tc>
        <w:tc>
          <w:tcPr>
            <w:tcW w:w="1259" w:type="dxa"/>
            <w:tcBorders>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595959" w:themeColor="text1" w:themeTint="A6"/>
                <w:sz w:val="18"/>
                <w:szCs w:val="18"/>
                <w:lang w:val="ro-MD"/>
              </w:rPr>
            </w:pPr>
            <w:r w:rsidRPr="00401691">
              <w:rPr>
                <w:rFonts w:asciiTheme="majorHAnsi" w:hAnsiTheme="majorHAnsi" w:cstheme="majorHAnsi"/>
                <w:bCs/>
                <w:color w:val="595959" w:themeColor="text1" w:themeTint="A6"/>
                <w:sz w:val="18"/>
                <w:szCs w:val="18"/>
                <w:lang w:val="ro-MD"/>
              </w:rPr>
              <w:t>904,495.0</w:t>
            </w:r>
          </w:p>
        </w:tc>
        <w:tc>
          <w:tcPr>
            <w:tcW w:w="1245" w:type="dxa"/>
            <w:gridSpan w:val="2"/>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lang w:val="ro-MD"/>
              </w:rPr>
            </w:pPr>
            <w:r w:rsidRPr="00401691">
              <w:rPr>
                <w:rFonts w:asciiTheme="majorHAnsi" w:hAnsiTheme="majorHAnsi" w:cstheme="majorHAnsi"/>
                <w:bCs/>
                <w:sz w:val="18"/>
                <w:szCs w:val="18"/>
                <w:lang w:val="ro-MD"/>
              </w:rPr>
              <w:t>992,082.1</w:t>
            </w:r>
          </w:p>
        </w:tc>
        <w:tc>
          <w:tcPr>
            <w:tcW w:w="1190" w:type="dxa"/>
            <w:tcBorders>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lang w:val="ro-MD"/>
              </w:rPr>
            </w:pPr>
            <w:r w:rsidRPr="00401691">
              <w:rPr>
                <w:rFonts w:asciiTheme="majorHAnsi" w:hAnsiTheme="majorHAnsi" w:cstheme="majorHAnsi"/>
                <w:bCs/>
                <w:sz w:val="18"/>
                <w:szCs w:val="18"/>
                <w:lang w:val="ro-MD"/>
              </w:rPr>
              <w:t>947,967.9</w:t>
            </w:r>
          </w:p>
        </w:tc>
        <w:tc>
          <w:tcPr>
            <w:tcW w:w="1084" w:type="dxa"/>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47,843.50</w:t>
            </w:r>
          </w:p>
        </w:tc>
        <w:tc>
          <w:tcPr>
            <w:tcW w:w="1094" w:type="dxa"/>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105.07</w:t>
            </w:r>
          </w:p>
        </w:tc>
        <w:tc>
          <w:tcPr>
            <w:tcW w:w="1152" w:type="dxa"/>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401691">
              <w:rPr>
                <w:rFonts w:asciiTheme="majorHAnsi" w:eastAsia="Times New Roman" w:hAnsiTheme="majorHAnsi" w:cstheme="majorHAnsi"/>
                <w:sz w:val="18"/>
                <w:szCs w:val="18"/>
                <w:lang w:val="ro-MD"/>
              </w:rPr>
              <w:t>43,472.90</w:t>
            </w:r>
          </w:p>
        </w:tc>
        <w:tc>
          <w:tcPr>
            <w:tcW w:w="1004" w:type="dxa"/>
            <w:tcBorders>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104.81</w:t>
            </w:r>
          </w:p>
        </w:tc>
        <w:tc>
          <w:tcPr>
            <w:tcW w:w="958" w:type="dxa"/>
            <w:gridSpan w:val="3"/>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0.47</w:t>
            </w:r>
          </w:p>
        </w:tc>
        <w:tc>
          <w:tcPr>
            <w:tcW w:w="900" w:type="dxa"/>
            <w:gridSpan w:val="2"/>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0.45</w:t>
            </w:r>
          </w:p>
        </w:tc>
      </w:tr>
      <w:tr w:rsidR="00C55DF6" w:rsidRPr="00401691" w:rsidTr="00A353BB">
        <w:trPr>
          <w:gridAfter w:val="1"/>
          <w:wAfter w:w="6" w:type="dxa"/>
        </w:trPr>
        <w:tc>
          <w:tcPr>
            <w:cnfStyle w:val="001000000000" w:firstRow="0" w:lastRow="0" w:firstColumn="1" w:lastColumn="0" w:oddVBand="0" w:evenVBand="0" w:oddHBand="0" w:evenHBand="0" w:firstRowFirstColumn="0" w:firstRowLastColumn="0" w:lastRowFirstColumn="0" w:lastRowLastColumn="0"/>
            <w:tcW w:w="3426" w:type="dxa"/>
            <w:tcBorders>
              <w:right w:val="thinThickLargeGap" w:sz="24" w:space="0" w:color="auto"/>
            </w:tcBorders>
            <w:shd w:val="clear" w:color="auto" w:fill="F2F2F2" w:themeFill="background1" w:themeFillShade="F2"/>
          </w:tcPr>
          <w:p w:rsidR="00C55DF6" w:rsidRPr="00401691" w:rsidRDefault="00C55DF6" w:rsidP="00844145">
            <w:pPr>
              <w:pStyle w:val="ListParagraph"/>
              <w:numPr>
                <w:ilvl w:val="0"/>
                <w:numId w:val="20"/>
              </w:numPr>
              <w:spacing w:line="276" w:lineRule="auto"/>
              <w:ind w:left="438"/>
              <w:jc w:val="both"/>
              <w:rPr>
                <w:rFonts w:asciiTheme="majorHAnsi" w:eastAsia="Times New Roman" w:hAnsiTheme="majorHAnsi" w:cstheme="majorHAnsi"/>
                <w:b w:val="0"/>
                <w:sz w:val="20"/>
                <w:szCs w:val="20"/>
                <w:lang w:val="ro-MD" w:eastAsia="ru-RU"/>
              </w:rPr>
            </w:pPr>
            <w:r w:rsidRPr="00401691">
              <w:rPr>
                <w:rFonts w:asciiTheme="majorHAnsi" w:eastAsia="Times New Roman" w:hAnsiTheme="majorHAnsi" w:cstheme="majorHAnsi"/>
                <w:b w:val="0"/>
                <w:sz w:val="20"/>
                <w:szCs w:val="20"/>
                <w:lang w:val="ro-MD" w:eastAsia="ru-RU"/>
              </w:rPr>
              <w:t>VENITURI DIN PROPRIETATE</w:t>
            </w:r>
          </w:p>
        </w:tc>
        <w:tc>
          <w:tcPr>
            <w:tcW w:w="801" w:type="dxa"/>
            <w:tcBorders>
              <w:left w:val="thinThickLargeGap" w:sz="24" w:space="0" w:color="auto"/>
              <w:right w:val="thinThickLargeGap" w:sz="2" w:space="0" w:color="auto"/>
            </w:tcBorders>
            <w:shd w:val="clear" w:color="auto" w:fill="auto"/>
          </w:tcPr>
          <w:p w:rsidR="00C55DF6" w:rsidRPr="00401691" w:rsidRDefault="00C55DF6" w:rsidP="008441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val="ro-MD" w:eastAsia="ru-RU"/>
              </w:rPr>
            </w:pPr>
            <w:r w:rsidRPr="00401691">
              <w:rPr>
                <w:rFonts w:asciiTheme="majorHAnsi" w:eastAsia="Times New Roman" w:hAnsiTheme="majorHAnsi" w:cstheme="majorHAnsi"/>
                <w:b/>
                <w:color w:val="000000"/>
                <w:sz w:val="20"/>
                <w:szCs w:val="20"/>
                <w:lang w:val="ro-MD" w:eastAsia="ru-RU"/>
              </w:rPr>
              <w:t>141</w:t>
            </w:r>
          </w:p>
        </w:tc>
        <w:tc>
          <w:tcPr>
            <w:tcW w:w="1259" w:type="dxa"/>
            <w:tcBorders>
              <w:left w:val="thinThickLargeGap" w:sz="2" w:space="0" w:color="auto"/>
            </w:tcBorders>
            <w:shd w:val="clear" w:color="auto" w:fill="auto"/>
            <w:vAlign w:val="center"/>
          </w:tcPr>
          <w:p w:rsidR="00C55DF6" w:rsidRPr="00401691" w:rsidRDefault="00C55DF6" w:rsidP="00844145">
            <w:pPr>
              <w:spacing w:line="276" w:lineRule="auto"/>
              <w:jc w:val="right"/>
              <w:outlineLvl w:val="3"/>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themeColor="text1"/>
                <w:sz w:val="18"/>
                <w:szCs w:val="18"/>
                <w:lang w:val="ro-MD"/>
              </w:rPr>
            </w:pPr>
            <w:r w:rsidRPr="00401691">
              <w:rPr>
                <w:rFonts w:asciiTheme="majorHAnsi" w:hAnsiTheme="majorHAnsi" w:cstheme="majorHAnsi"/>
                <w:b/>
                <w:bCs/>
                <w:color w:val="000000" w:themeColor="text1"/>
                <w:sz w:val="18"/>
                <w:szCs w:val="18"/>
                <w:lang w:val="ro-MD"/>
              </w:rPr>
              <w:t>247,285.4</w:t>
            </w:r>
          </w:p>
        </w:tc>
        <w:tc>
          <w:tcPr>
            <w:tcW w:w="1259" w:type="dxa"/>
            <w:tcBorders>
              <w:right w:val="thinThickLargeGap" w:sz="2" w:space="0" w:color="auto"/>
            </w:tcBorders>
            <w:shd w:val="clear" w:color="auto" w:fill="auto"/>
            <w:vAlign w:val="center"/>
          </w:tcPr>
          <w:p w:rsidR="00C55DF6" w:rsidRPr="00401691" w:rsidRDefault="00C55DF6" w:rsidP="00844145">
            <w:pPr>
              <w:spacing w:line="276" w:lineRule="auto"/>
              <w:jc w:val="right"/>
              <w:outlineLvl w:val="3"/>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595959" w:themeColor="text1" w:themeTint="A6"/>
                <w:sz w:val="18"/>
                <w:szCs w:val="18"/>
                <w:lang w:val="ro-MD"/>
              </w:rPr>
            </w:pPr>
            <w:r w:rsidRPr="00401691">
              <w:rPr>
                <w:rFonts w:asciiTheme="majorHAnsi" w:hAnsiTheme="majorHAnsi" w:cstheme="majorHAnsi"/>
                <w:b/>
                <w:bCs/>
                <w:color w:val="595959" w:themeColor="text1" w:themeTint="A6"/>
                <w:sz w:val="18"/>
                <w:szCs w:val="18"/>
                <w:lang w:val="ro-MD"/>
              </w:rPr>
              <w:t>131,909.7</w:t>
            </w:r>
          </w:p>
        </w:tc>
        <w:tc>
          <w:tcPr>
            <w:tcW w:w="1245" w:type="dxa"/>
            <w:gridSpan w:val="2"/>
            <w:tcBorders>
              <w:left w:val="thinThickLargeGap" w:sz="2" w:space="0" w:color="auto"/>
            </w:tcBorders>
            <w:shd w:val="clear" w:color="auto" w:fill="auto"/>
            <w:vAlign w:val="center"/>
          </w:tcPr>
          <w:p w:rsidR="00C55DF6" w:rsidRPr="00401691" w:rsidRDefault="00C55DF6" w:rsidP="00844145">
            <w:pPr>
              <w:spacing w:line="276" w:lineRule="auto"/>
              <w:jc w:val="right"/>
              <w:outlineLvl w:val="3"/>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8"/>
                <w:szCs w:val="18"/>
                <w:lang w:val="ro-MD"/>
              </w:rPr>
            </w:pPr>
            <w:r w:rsidRPr="00401691">
              <w:rPr>
                <w:rFonts w:asciiTheme="majorHAnsi" w:hAnsiTheme="majorHAnsi" w:cstheme="majorHAnsi"/>
                <w:b/>
                <w:bCs/>
                <w:sz w:val="18"/>
                <w:szCs w:val="18"/>
                <w:lang w:val="ro-MD"/>
              </w:rPr>
              <w:t>263,678.9</w:t>
            </w:r>
          </w:p>
        </w:tc>
        <w:tc>
          <w:tcPr>
            <w:tcW w:w="1190" w:type="dxa"/>
            <w:tcBorders>
              <w:right w:val="thinThickLargeGap" w:sz="2" w:space="0" w:color="auto"/>
            </w:tcBorders>
            <w:shd w:val="clear" w:color="auto" w:fill="auto"/>
            <w:vAlign w:val="center"/>
          </w:tcPr>
          <w:p w:rsidR="00C55DF6" w:rsidRPr="00401691" w:rsidRDefault="00C55DF6" w:rsidP="00844145">
            <w:pPr>
              <w:spacing w:line="276" w:lineRule="auto"/>
              <w:jc w:val="right"/>
              <w:outlineLvl w:val="3"/>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8"/>
                <w:szCs w:val="18"/>
                <w:lang w:val="ro-MD"/>
              </w:rPr>
            </w:pPr>
            <w:r w:rsidRPr="00401691">
              <w:rPr>
                <w:rFonts w:asciiTheme="majorHAnsi" w:hAnsiTheme="majorHAnsi" w:cstheme="majorHAnsi"/>
                <w:b/>
                <w:bCs/>
                <w:sz w:val="18"/>
                <w:szCs w:val="18"/>
                <w:lang w:val="ro-MD"/>
              </w:rPr>
              <w:t>137,763.0</w:t>
            </w:r>
          </w:p>
        </w:tc>
        <w:tc>
          <w:tcPr>
            <w:tcW w:w="1084" w:type="dxa"/>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16,393.50</w:t>
            </w:r>
          </w:p>
        </w:tc>
        <w:tc>
          <w:tcPr>
            <w:tcW w:w="1094" w:type="dxa"/>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106.63</w:t>
            </w:r>
          </w:p>
        </w:tc>
        <w:tc>
          <w:tcPr>
            <w:tcW w:w="1152" w:type="dxa"/>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5,853.30</w:t>
            </w:r>
          </w:p>
        </w:tc>
        <w:tc>
          <w:tcPr>
            <w:tcW w:w="1004" w:type="dxa"/>
            <w:tcBorders>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104.44</w:t>
            </w:r>
          </w:p>
        </w:tc>
        <w:tc>
          <w:tcPr>
            <w:tcW w:w="958" w:type="dxa"/>
            <w:gridSpan w:val="3"/>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0.13</w:t>
            </w:r>
          </w:p>
        </w:tc>
        <w:tc>
          <w:tcPr>
            <w:tcW w:w="900" w:type="dxa"/>
            <w:gridSpan w:val="2"/>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0.07</w:t>
            </w:r>
          </w:p>
        </w:tc>
      </w:tr>
      <w:tr w:rsidR="00C55DF6" w:rsidRPr="00401691" w:rsidTr="00A353BB">
        <w:trPr>
          <w:gridAfter w:val="1"/>
          <w:wAfter w:w="6" w:type="dxa"/>
        </w:trPr>
        <w:tc>
          <w:tcPr>
            <w:cnfStyle w:val="001000000000" w:firstRow="0" w:lastRow="0" w:firstColumn="1" w:lastColumn="0" w:oddVBand="0" w:evenVBand="0" w:oddHBand="0" w:evenHBand="0" w:firstRowFirstColumn="0" w:firstRowLastColumn="0" w:lastRowFirstColumn="0" w:lastRowLastColumn="0"/>
            <w:tcW w:w="3426" w:type="dxa"/>
            <w:tcBorders>
              <w:right w:val="thinThickLargeGap" w:sz="24" w:space="0" w:color="auto"/>
            </w:tcBorders>
            <w:shd w:val="clear" w:color="auto" w:fill="F2F2F2" w:themeFill="background1" w:themeFillShade="F2"/>
          </w:tcPr>
          <w:p w:rsidR="00C55DF6" w:rsidRPr="00401691" w:rsidRDefault="00C55DF6" w:rsidP="00844145">
            <w:pPr>
              <w:spacing w:line="276" w:lineRule="auto"/>
              <w:jc w:val="both"/>
              <w:rPr>
                <w:rFonts w:asciiTheme="majorHAnsi" w:eastAsia="Times New Roman" w:hAnsiTheme="majorHAnsi" w:cstheme="majorHAnsi"/>
                <w:b w:val="0"/>
                <w:sz w:val="20"/>
                <w:szCs w:val="20"/>
                <w:lang w:val="ro-MD" w:eastAsia="ru-RU"/>
              </w:rPr>
            </w:pPr>
            <w:r w:rsidRPr="00401691">
              <w:rPr>
                <w:rFonts w:asciiTheme="majorHAnsi" w:eastAsia="Times New Roman" w:hAnsiTheme="majorHAnsi" w:cstheme="majorHAnsi"/>
                <w:b w:val="0"/>
                <w:sz w:val="20"/>
                <w:szCs w:val="20"/>
                <w:lang w:val="ro-MD" w:eastAsia="ru-RU"/>
              </w:rPr>
              <w:t>Dividende primite</w:t>
            </w:r>
          </w:p>
        </w:tc>
        <w:tc>
          <w:tcPr>
            <w:tcW w:w="801" w:type="dxa"/>
            <w:tcBorders>
              <w:left w:val="thinThickLargeGap" w:sz="24" w:space="0" w:color="auto"/>
              <w:right w:val="thinThickLargeGap" w:sz="2" w:space="0" w:color="auto"/>
            </w:tcBorders>
            <w:shd w:val="clear" w:color="auto" w:fill="auto"/>
          </w:tcPr>
          <w:p w:rsidR="00C55DF6" w:rsidRPr="00401691" w:rsidRDefault="00C55DF6" w:rsidP="008441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eastAsia="ru-RU"/>
              </w:rPr>
            </w:pPr>
            <w:r w:rsidRPr="00401691">
              <w:rPr>
                <w:rFonts w:asciiTheme="majorHAnsi" w:eastAsia="Times New Roman" w:hAnsiTheme="majorHAnsi" w:cstheme="majorHAnsi"/>
                <w:color w:val="000000"/>
                <w:sz w:val="20"/>
                <w:szCs w:val="20"/>
                <w:lang w:val="ro-MD" w:eastAsia="ru-RU"/>
              </w:rPr>
              <w:t>1412</w:t>
            </w:r>
          </w:p>
        </w:tc>
        <w:tc>
          <w:tcPr>
            <w:tcW w:w="1259" w:type="dxa"/>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18"/>
                <w:szCs w:val="18"/>
                <w:lang w:val="ro-MD"/>
              </w:rPr>
            </w:pPr>
            <w:r w:rsidRPr="00401691">
              <w:rPr>
                <w:rFonts w:asciiTheme="majorHAnsi" w:hAnsiTheme="majorHAnsi" w:cstheme="majorHAnsi"/>
                <w:bCs/>
                <w:color w:val="000000" w:themeColor="text1"/>
                <w:sz w:val="18"/>
                <w:szCs w:val="18"/>
                <w:lang w:val="ro-MD"/>
              </w:rPr>
              <w:t>141,610.9</w:t>
            </w:r>
          </w:p>
        </w:tc>
        <w:tc>
          <w:tcPr>
            <w:tcW w:w="1259" w:type="dxa"/>
            <w:tcBorders>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595959" w:themeColor="text1" w:themeTint="A6"/>
                <w:sz w:val="18"/>
                <w:szCs w:val="18"/>
                <w:lang w:val="ro-MD"/>
              </w:rPr>
            </w:pPr>
            <w:r w:rsidRPr="00401691">
              <w:rPr>
                <w:rFonts w:asciiTheme="majorHAnsi" w:hAnsiTheme="majorHAnsi" w:cstheme="majorHAnsi"/>
                <w:bCs/>
                <w:color w:val="595959" w:themeColor="text1" w:themeTint="A6"/>
                <w:sz w:val="18"/>
                <w:szCs w:val="18"/>
                <w:lang w:val="ro-MD"/>
              </w:rPr>
              <w:t>131,270.0</w:t>
            </w:r>
          </w:p>
        </w:tc>
        <w:tc>
          <w:tcPr>
            <w:tcW w:w="1245" w:type="dxa"/>
            <w:gridSpan w:val="2"/>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lang w:val="ro-MD"/>
              </w:rPr>
            </w:pPr>
            <w:r w:rsidRPr="00401691">
              <w:rPr>
                <w:rFonts w:asciiTheme="majorHAnsi" w:hAnsiTheme="majorHAnsi" w:cstheme="majorHAnsi"/>
                <w:bCs/>
                <w:sz w:val="18"/>
                <w:szCs w:val="18"/>
                <w:lang w:val="ro-MD"/>
              </w:rPr>
              <w:t>146,755.1</w:t>
            </w:r>
          </w:p>
        </w:tc>
        <w:tc>
          <w:tcPr>
            <w:tcW w:w="1190" w:type="dxa"/>
            <w:tcBorders>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lang w:val="ro-MD"/>
              </w:rPr>
            </w:pPr>
            <w:r w:rsidRPr="00401691">
              <w:rPr>
                <w:rFonts w:asciiTheme="majorHAnsi" w:hAnsiTheme="majorHAnsi" w:cstheme="majorHAnsi"/>
                <w:bCs/>
                <w:sz w:val="18"/>
                <w:szCs w:val="18"/>
                <w:lang w:val="ro-MD"/>
              </w:rPr>
              <w:t>137,511.5</w:t>
            </w:r>
          </w:p>
        </w:tc>
        <w:tc>
          <w:tcPr>
            <w:tcW w:w="1084" w:type="dxa"/>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5,144.20</w:t>
            </w:r>
          </w:p>
        </w:tc>
        <w:tc>
          <w:tcPr>
            <w:tcW w:w="1094" w:type="dxa"/>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103.63</w:t>
            </w:r>
          </w:p>
        </w:tc>
        <w:tc>
          <w:tcPr>
            <w:tcW w:w="1152" w:type="dxa"/>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6,241.50</w:t>
            </w:r>
          </w:p>
        </w:tc>
        <w:tc>
          <w:tcPr>
            <w:tcW w:w="1004" w:type="dxa"/>
            <w:tcBorders>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104.75</w:t>
            </w:r>
          </w:p>
        </w:tc>
        <w:tc>
          <w:tcPr>
            <w:tcW w:w="958" w:type="dxa"/>
            <w:gridSpan w:val="3"/>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0.07</w:t>
            </w:r>
          </w:p>
        </w:tc>
        <w:tc>
          <w:tcPr>
            <w:tcW w:w="900" w:type="dxa"/>
            <w:gridSpan w:val="2"/>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0.07</w:t>
            </w:r>
          </w:p>
        </w:tc>
      </w:tr>
      <w:tr w:rsidR="00C55DF6" w:rsidRPr="00401691" w:rsidTr="00A353BB">
        <w:trPr>
          <w:gridAfter w:val="1"/>
          <w:wAfter w:w="6" w:type="dxa"/>
        </w:trPr>
        <w:tc>
          <w:tcPr>
            <w:cnfStyle w:val="001000000000" w:firstRow="0" w:lastRow="0" w:firstColumn="1" w:lastColumn="0" w:oddVBand="0" w:evenVBand="0" w:oddHBand="0" w:evenHBand="0" w:firstRowFirstColumn="0" w:firstRowLastColumn="0" w:lastRowFirstColumn="0" w:lastRowLastColumn="0"/>
            <w:tcW w:w="3426" w:type="dxa"/>
            <w:tcBorders>
              <w:right w:val="thinThickLargeGap" w:sz="24" w:space="0" w:color="auto"/>
            </w:tcBorders>
            <w:shd w:val="clear" w:color="auto" w:fill="F2F2F2" w:themeFill="background1" w:themeFillShade="F2"/>
          </w:tcPr>
          <w:p w:rsidR="00C55DF6" w:rsidRPr="00401691" w:rsidRDefault="00C55DF6" w:rsidP="00844145">
            <w:pPr>
              <w:spacing w:line="276" w:lineRule="auto"/>
              <w:jc w:val="both"/>
              <w:rPr>
                <w:rFonts w:asciiTheme="majorHAnsi" w:eastAsia="Times New Roman" w:hAnsiTheme="majorHAnsi" w:cstheme="majorHAnsi"/>
                <w:b w:val="0"/>
                <w:sz w:val="20"/>
                <w:szCs w:val="20"/>
                <w:lang w:val="ro-MD" w:eastAsia="ru-RU"/>
              </w:rPr>
            </w:pPr>
            <w:r w:rsidRPr="00401691">
              <w:rPr>
                <w:rFonts w:asciiTheme="majorHAnsi" w:eastAsia="Times New Roman" w:hAnsiTheme="majorHAnsi" w:cstheme="majorHAnsi"/>
                <w:b w:val="0"/>
                <w:sz w:val="20"/>
                <w:szCs w:val="20"/>
                <w:lang w:val="ro-MD" w:eastAsia="ru-RU"/>
              </w:rPr>
              <w:t>Renta</w:t>
            </w:r>
          </w:p>
        </w:tc>
        <w:tc>
          <w:tcPr>
            <w:tcW w:w="801" w:type="dxa"/>
            <w:tcBorders>
              <w:left w:val="thinThickLargeGap" w:sz="24" w:space="0" w:color="auto"/>
              <w:right w:val="thinThickLargeGap" w:sz="2" w:space="0" w:color="auto"/>
            </w:tcBorders>
            <w:shd w:val="clear" w:color="auto" w:fill="auto"/>
          </w:tcPr>
          <w:p w:rsidR="00C55DF6" w:rsidRPr="00401691" w:rsidRDefault="00C55DF6" w:rsidP="008441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eastAsia="ru-RU"/>
              </w:rPr>
            </w:pPr>
            <w:r w:rsidRPr="00401691">
              <w:rPr>
                <w:rFonts w:asciiTheme="majorHAnsi" w:eastAsia="Times New Roman" w:hAnsiTheme="majorHAnsi" w:cstheme="majorHAnsi"/>
                <w:color w:val="000000"/>
                <w:sz w:val="20"/>
                <w:szCs w:val="20"/>
                <w:lang w:val="ro-MD" w:eastAsia="ru-RU"/>
              </w:rPr>
              <w:t>1415</w:t>
            </w:r>
          </w:p>
        </w:tc>
        <w:tc>
          <w:tcPr>
            <w:tcW w:w="1259" w:type="dxa"/>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18"/>
                <w:szCs w:val="18"/>
                <w:lang w:val="ro-MD"/>
              </w:rPr>
            </w:pPr>
            <w:r w:rsidRPr="00401691">
              <w:rPr>
                <w:rFonts w:asciiTheme="majorHAnsi" w:hAnsiTheme="majorHAnsi" w:cstheme="majorHAnsi"/>
                <w:bCs/>
                <w:color w:val="000000" w:themeColor="text1"/>
                <w:sz w:val="18"/>
                <w:szCs w:val="18"/>
                <w:lang w:val="ro-MD"/>
              </w:rPr>
              <w:t>105,674.6</w:t>
            </w:r>
          </w:p>
        </w:tc>
        <w:tc>
          <w:tcPr>
            <w:tcW w:w="1259" w:type="dxa"/>
            <w:tcBorders>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595959" w:themeColor="text1" w:themeTint="A6"/>
                <w:sz w:val="18"/>
                <w:szCs w:val="18"/>
                <w:lang w:val="ro-MD"/>
              </w:rPr>
            </w:pPr>
            <w:r w:rsidRPr="00401691">
              <w:rPr>
                <w:rFonts w:asciiTheme="majorHAnsi" w:hAnsiTheme="majorHAnsi" w:cstheme="majorHAnsi"/>
                <w:bCs/>
                <w:color w:val="595959" w:themeColor="text1" w:themeTint="A6"/>
                <w:sz w:val="18"/>
                <w:szCs w:val="18"/>
                <w:lang w:val="ro-MD"/>
              </w:rPr>
              <w:t>639.7</w:t>
            </w:r>
          </w:p>
        </w:tc>
        <w:tc>
          <w:tcPr>
            <w:tcW w:w="1245" w:type="dxa"/>
            <w:gridSpan w:val="2"/>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lang w:val="ro-MD"/>
              </w:rPr>
            </w:pPr>
            <w:r w:rsidRPr="00401691">
              <w:rPr>
                <w:rFonts w:asciiTheme="majorHAnsi" w:hAnsiTheme="majorHAnsi" w:cstheme="majorHAnsi"/>
                <w:bCs/>
                <w:sz w:val="18"/>
                <w:szCs w:val="18"/>
                <w:lang w:val="ro-MD"/>
              </w:rPr>
              <w:t>116,923.8</w:t>
            </w:r>
          </w:p>
        </w:tc>
        <w:tc>
          <w:tcPr>
            <w:tcW w:w="1190" w:type="dxa"/>
            <w:tcBorders>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401691">
              <w:rPr>
                <w:rFonts w:asciiTheme="majorHAnsi" w:hAnsiTheme="majorHAnsi" w:cstheme="majorHAnsi"/>
                <w:color w:val="000000"/>
                <w:sz w:val="18"/>
                <w:szCs w:val="18"/>
                <w:lang w:val="ro-MD"/>
              </w:rPr>
              <w:t>251.5</w:t>
            </w:r>
          </w:p>
        </w:tc>
        <w:tc>
          <w:tcPr>
            <w:tcW w:w="1084" w:type="dxa"/>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11,249.30</w:t>
            </w:r>
          </w:p>
        </w:tc>
        <w:tc>
          <w:tcPr>
            <w:tcW w:w="1094" w:type="dxa"/>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110.65</w:t>
            </w:r>
          </w:p>
        </w:tc>
        <w:tc>
          <w:tcPr>
            <w:tcW w:w="1152" w:type="dxa"/>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-388.2</w:t>
            </w:r>
          </w:p>
        </w:tc>
        <w:tc>
          <w:tcPr>
            <w:tcW w:w="1004" w:type="dxa"/>
            <w:tcBorders>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39.32</w:t>
            </w:r>
          </w:p>
        </w:tc>
        <w:tc>
          <w:tcPr>
            <w:tcW w:w="958" w:type="dxa"/>
            <w:gridSpan w:val="3"/>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0.06</w:t>
            </w:r>
          </w:p>
        </w:tc>
        <w:tc>
          <w:tcPr>
            <w:tcW w:w="900" w:type="dxa"/>
            <w:gridSpan w:val="2"/>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0.00</w:t>
            </w:r>
          </w:p>
        </w:tc>
      </w:tr>
      <w:tr w:rsidR="00C55DF6" w:rsidRPr="00401691" w:rsidTr="00A353BB">
        <w:trPr>
          <w:gridAfter w:val="1"/>
          <w:wAfter w:w="6" w:type="dxa"/>
        </w:trPr>
        <w:tc>
          <w:tcPr>
            <w:cnfStyle w:val="001000000000" w:firstRow="0" w:lastRow="0" w:firstColumn="1" w:lastColumn="0" w:oddVBand="0" w:evenVBand="0" w:oddHBand="0" w:evenHBand="0" w:firstRowFirstColumn="0" w:firstRowLastColumn="0" w:lastRowFirstColumn="0" w:lastRowLastColumn="0"/>
            <w:tcW w:w="3426" w:type="dxa"/>
            <w:tcBorders>
              <w:right w:val="thinThickLargeGap" w:sz="24" w:space="0" w:color="auto"/>
            </w:tcBorders>
            <w:shd w:val="clear" w:color="auto" w:fill="F2F2F2" w:themeFill="background1" w:themeFillShade="F2"/>
          </w:tcPr>
          <w:p w:rsidR="00C55DF6" w:rsidRPr="00401691" w:rsidRDefault="00C55DF6" w:rsidP="00844145">
            <w:pPr>
              <w:pStyle w:val="ListParagraph"/>
              <w:numPr>
                <w:ilvl w:val="0"/>
                <w:numId w:val="20"/>
              </w:numPr>
              <w:spacing w:line="276" w:lineRule="auto"/>
              <w:ind w:left="438"/>
              <w:jc w:val="both"/>
              <w:rPr>
                <w:rFonts w:asciiTheme="majorHAnsi" w:eastAsia="Times New Roman" w:hAnsiTheme="majorHAnsi" w:cstheme="majorHAnsi"/>
                <w:b w:val="0"/>
                <w:sz w:val="20"/>
                <w:szCs w:val="20"/>
                <w:lang w:val="ro-MD" w:eastAsia="ru-RU"/>
              </w:rPr>
            </w:pPr>
            <w:r w:rsidRPr="00401691">
              <w:rPr>
                <w:rFonts w:asciiTheme="majorHAnsi" w:eastAsia="Times New Roman" w:hAnsiTheme="majorHAnsi" w:cstheme="majorHAnsi"/>
                <w:b w:val="0"/>
                <w:sz w:val="20"/>
                <w:szCs w:val="20"/>
                <w:lang w:val="ro-MD" w:eastAsia="ru-RU"/>
              </w:rPr>
              <w:t>VENITURI DIN VÂNZAREA MĂRFURILOR ȘI SERVICIILOR</w:t>
            </w:r>
          </w:p>
        </w:tc>
        <w:tc>
          <w:tcPr>
            <w:tcW w:w="801" w:type="dxa"/>
            <w:tcBorders>
              <w:left w:val="thinThickLargeGap" w:sz="24" w:space="0" w:color="auto"/>
              <w:right w:val="thinThickLargeGap" w:sz="2" w:space="0" w:color="auto"/>
            </w:tcBorders>
            <w:shd w:val="clear" w:color="auto" w:fill="auto"/>
          </w:tcPr>
          <w:p w:rsidR="00C55DF6" w:rsidRPr="00401691" w:rsidRDefault="00C55DF6" w:rsidP="008441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val="ro-MD" w:eastAsia="ru-RU"/>
              </w:rPr>
            </w:pPr>
            <w:r w:rsidRPr="00401691">
              <w:rPr>
                <w:rFonts w:asciiTheme="majorHAnsi" w:eastAsia="Times New Roman" w:hAnsiTheme="majorHAnsi" w:cstheme="majorHAnsi"/>
                <w:b/>
                <w:color w:val="000000"/>
                <w:sz w:val="20"/>
                <w:szCs w:val="20"/>
                <w:lang w:val="ro-MD" w:eastAsia="ru-RU"/>
              </w:rPr>
              <w:t>142</w:t>
            </w:r>
          </w:p>
        </w:tc>
        <w:tc>
          <w:tcPr>
            <w:tcW w:w="1259" w:type="dxa"/>
            <w:tcBorders>
              <w:left w:val="thinThickLargeGap" w:sz="2" w:space="0" w:color="auto"/>
            </w:tcBorders>
            <w:shd w:val="clear" w:color="auto" w:fill="auto"/>
            <w:vAlign w:val="center"/>
          </w:tcPr>
          <w:p w:rsidR="00C55DF6" w:rsidRPr="00401691" w:rsidRDefault="00C55DF6" w:rsidP="00844145">
            <w:pPr>
              <w:spacing w:line="276" w:lineRule="auto"/>
              <w:jc w:val="right"/>
              <w:outlineLvl w:val="3"/>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themeColor="text1"/>
                <w:sz w:val="18"/>
                <w:szCs w:val="18"/>
                <w:lang w:val="ro-MD"/>
              </w:rPr>
            </w:pPr>
            <w:r w:rsidRPr="00401691">
              <w:rPr>
                <w:rFonts w:asciiTheme="majorHAnsi" w:hAnsiTheme="majorHAnsi" w:cstheme="majorHAnsi"/>
                <w:b/>
                <w:bCs/>
                <w:color w:val="000000" w:themeColor="text1"/>
                <w:sz w:val="18"/>
                <w:szCs w:val="18"/>
                <w:lang w:val="ro-MD"/>
              </w:rPr>
              <w:t>229,669.6</w:t>
            </w:r>
          </w:p>
        </w:tc>
        <w:tc>
          <w:tcPr>
            <w:tcW w:w="1259" w:type="dxa"/>
            <w:tcBorders>
              <w:right w:val="thinThickLargeGap" w:sz="2" w:space="0" w:color="auto"/>
            </w:tcBorders>
            <w:shd w:val="clear" w:color="auto" w:fill="auto"/>
            <w:vAlign w:val="center"/>
          </w:tcPr>
          <w:p w:rsidR="00C55DF6" w:rsidRPr="00401691" w:rsidRDefault="00C55DF6" w:rsidP="00844145">
            <w:pPr>
              <w:spacing w:line="276" w:lineRule="auto"/>
              <w:jc w:val="right"/>
              <w:outlineLvl w:val="3"/>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595959" w:themeColor="text1" w:themeTint="A6"/>
                <w:sz w:val="18"/>
                <w:szCs w:val="18"/>
                <w:lang w:val="ro-MD"/>
              </w:rPr>
            </w:pPr>
            <w:r w:rsidRPr="00401691">
              <w:rPr>
                <w:rFonts w:asciiTheme="majorHAnsi" w:hAnsiTheme="majorHAnsi" w:cstheme="majorHAnsi"/>
                <w:b/>
                <w:bCs/>
                <w:color w:val="595959" w:themeColor="text1" w:themeTint="A6"/>
                <w:sz w:val="18"/>
                <w:szCs w:val="18"/>
                <w:lang w:val="ro-MD"/>
              </w:rPr>
              <w:t>208,950.0</w:t>
            </w:r>
          </w:p>
        </w:tc>
        <w:tc>
          <w:tcPr>
            <w:tcW w:w="1245" w:type="dxa"/>
            <w:gridSpan w:val="2"/>
            <w:tcBorders>
              <w:left w:val="thinThickLargeGap" w:sz="2" w:space="0" w:color="auto"/>
            </w:tcBorders>
            <w:shd w:val="clear" w:color="auto" w:fill="auto"/>
            <w:vAlign w:val="center"/>
          </w:tcPr>
          <w:p w:rsidR="00C55DF6" w:rsidRPr="00401691" w:rsidRDefault="00C55DF6" w:rsidP="00844145">
            <w:pPr>
              <w:spacing w:line="276" w:lineRule="auto"/>
              <w:jc w:val="right"/>
              <w:outlineLvl w:val="3"/>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8"/>
                <w:szCs w:val="18"/>
                <w:lang w:val="ro-MD"/>
              </w:rPr>
            </w:pPr>
            <w:r w:rsidRPr="00401691">
              <w:rPr>
                <w:rFonts w:asciiTheme="majorHAnsi" w:hAnsiTheme="majorHAnsi" w:cstheme="majorHAnsi"/>
                <w:b/>
                <w:bCs/>
                <w:sz w:val="18"/>
                <w:szCs w:val="18"/>
                <w:lang w:val="ro-MD"/>
              </w:rPr>
              <w:t>274,509.8</w:t>
            </w:r>
          </w:p>
        </w:tc>
        <w:tc>
          <w:tcPr>
            <w:tcW w:w="1190" w:type="dxa"/>
            <w:tcBorders>
              <w:right w:val="thinThickLargeGap" w:sz="2" w:space="0" w:color="auto"/>
            </w:tcBorders>
            <w:shd w:val="clear" w:color="auto" w:fill="auto"/>
            <w:vAlign w:val="center"/>
          </w:tcPr>
          <w:p w:rsidR="00C55DF6" w:rsidRPr="00401691" w:rsidRDefault="00C55DF6" w:rsidP="00844145">
            <w:pPr>
              <w:spacing w:line="276" w:lineRule="auto"/>
              <w:jc w:val="right"/>
              <w:outlineLvl w:val="3"/>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8"/>
                <w:szCs w:val="18"/>
                <w:lang w:val="ro-MD"/>
              </w:rPr>
            </w:pPr>
            <w:r w:rsidRPr="00401691">
              <w:rPr>
                <w:rFonts w:asciiTheme="majorHAnsi" w:hAnsiTheme="majorHAnsi" w:cstheme="majorHAnsi"/>
                <w:b/>
                <w:bCs/>
                <w:sz w:val="18"/>
                <w:szCs w:val="18"/>
                <w:lang w:val="ro-MD"/>
              </w:rPr>
              <w:t>251,051.8</w:t>
            </w:r>
          </w:p>
        </w:tc>
        <w:tc>
          <w:tcPr>
            <w:tcW w:w="1084" w:type="dxa"/>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44,840.20</w:t>
            </w:r>
          </w:p>
        </w:tc>
        <w:tc>
          <w:tcPr>
            <w:tcW w:w="1094" w:type="dxa"/>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119.52</w:t>
            </w:r>
          </w:p>
        </w:tc>
        <w:tc>
          <w:tcPr>
            <w:tcW w:w="1152" w:type="dxa"/>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42,101.80</w:t>
            </w:r>
          </w:p>
        </w:tc>
        <w:tc>
          <w:tcPr>
            <w:tcW w:w="1004" w:type="dxa"/>
            <w:tcBorders>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120.15</w:t>
            </w:r>
          </w:p>
        </w:tc>
        <w:tc>
          <w:tcPr>
            <w:tcW w:w="958" w:type="dxa"/>
            <w:gridSpan w:val="3"/>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0.13</w:t>
            </w:r>
          </w:p>
        </w:tc>
        <w:tc>
          <w:tcPr>
            <w:tcW w:w="900" w:type="dxa"/>
            <w:gridSpan w:val="2"/>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0.12</w:t>
            </w:r>
          </w:p>
        </w:tc>
      </w:tr>
      <w:tr w:rsidR="00C55DF6" w:rsidRPr="00401691" w:rsidTr="00A353BB">
        <w:trPr>
          <w:gridAfter w:val="1"/>
          <w:wAfter w:w="6" w:type="dxa"/>
        </w:trPr>
        <w:tc>
          <w:tcPr>
            <w:cnfStyle w:val="001000000000" w:firstRow="0" w:lastRow="0" w:firstColumn="1" w:lastColumn="0" w:oddVBand="0" w:evenVBand="0" w:oddHBand="0" w:evenHBand="0" w:firstRowFirstColumn="0" w:firstRowLastColumn="0" w:lastRowFirstColumn="0" w:lastRowLastColumn="0"/>
            <w:tcW w:w="3426" w:type="dxa"/>
            <w:tcBorders>
              <w:right w:val="thinThickLargeGap" w:sz="24" w:space="0" w:color="auto"/>
            </w:tcBorders>
            <w:shd w:val="clear" w:color="auto" w:fill="F2F2F2" w:themeFill="background1" w:themeFillShade="F2"/>
          </w:tcPr>
          <w:p w:rsidR="00C55DF6" w:rsidRPr="00401691" w:rsidRDefault="00C55DF6" w:rsidP="00844145">
            <w:pPr>
              <w:spacing w:line="276" w:lineRule="auto"/>
              <w:jc w:val="both"/>
              <w:rPr>
                <w:rFonts w:asciiTheme="majorHAnsi" w:eastAsia="Times New Roman" w:hAnsiTheme="majorHAnsi" w:cstheme="majorHAnsi"/>
                <w:b w:val="0"/>
                <w:sz w:val="20"/>
                <w:szCs w:val="20"/>
                <w:lang w:val="ro-MD" w:eastAsia="ru-RU"/>
              </w:rPr>
            </w:pPr>
            <w:r w:rsidRPr="00401691">
              <w:rPr>
                <w:rFonts w:asciiTheme="majorHAnsi" w:eastAsia="Times New Roman" w:hAnsiTheme="majorHAnsi" w:cstheme="majorHAnsi"/>
                <w:b w:val="0"/>
                <w:sz w:val="20"/>
                <w:szCs w:val="20"/>
                <w:lang w:val="ro-MD" w:eastAsia="ru-RU"/>
              </w:rPr>
              <w:t>Taxe și plăți administrative</w:t>
            </w:r>
          </w:p>
        </w:tc>
        <w:tc>
          <w:tcPr>
            <w:tcW w:w="801" w:type="dxa"/>
            <w:tcBorders>
              <w:left w:val="thinThickLargeGap" w:sz="24" w:space="0" w:color="auto"/>
              <w:right w:val="thinThickLargeGap" w:sz="2" w:space="0" w:color="auto"/>
            </w:tcBorders>
            <w:shd w:val="clear" w:color="auto" w:fill="auto"/>
          </w:tcPr>
          <w:p w:rsidR="00C55DF6" w:rsidRPr="00401691" w:rsidRDefault="00C55DF6" w:rsidP="008441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eastAsia="ru-RU"/>
              </w:rPr>
            </w:pPr>
            <w:r w:rsidRPr="00401691">
              <w:rPr>
                <w:rFonts w:asciiTheme="majorHAnsi" w:eastAsia="Times New Roman" w:hAnsiTheme="majorHAnsi" w:cstheme="majorHAnsi"/>
                <w:color w:val="000000"/>
                <w:sz w:val="20"/>
                <w:szCs w:val="20"/>
                <w:lang w:val="ro-MD" w:eastAsia="ru-RU"/>
              </w:rPr>
              <w:t>1422</w:t>
            </w:r>
          </w:p>
        </w:tc>
        <w:tc>
          <w:tcPr>
            <w:tcW w:w="1259" w:type="dxa"/>
            <w:tcBorders>
              <w:left w:val="thinThickLargeGap" w:sz="2" w:space="0" w:color="auto"/>
            </w:tcBorders>
            <w:shd w:val="clear" w:color="auto" w:fill="auto"/>
            <w:vAlign w:val="center"/>
          </w:tcPr>
          <w:p w:rsidR="00C55DF6" w:rsidRPr="00401691" w:rsidRDefault="00C55DF6" w:rsidP="00844145">
            <w:pPr>
              <w:spacing w:line="276" w:lineRule="auto"/>
              <w:jc w:val="right"/>
              <w:outlineLvl w:val="3"/>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18"/>
                <w:szCs w:val="18"/>
                <w:lang w:val="ro-MD"/>
              </w:rPr>
            </w:pPr>
            <w:r w:rsidRPr="00401691">
              <w:rPr>
                <w:rFonts w:asciiTheme="majorHAnsi" w:hAnsiTheme="majorHAnsi" w:cstheme="majorHAnsi"/>
                <w:bCs/>
                <w:color w:val="000000" w:themeColor="text1"/>
                <w:sz w:val="18"/>
                <w:szCs w:val="18"/>
                <w:lang w:val="ro-MD"/>
              </w:rPr>
              <w:t>229,669.6</w:t>
            </w:r>
          </w:p>
        </w:tc>
        <w:tc>
          <w:tcPr>
            <w:tcW w:w="1259" w:type="dxa"/>
            <w:tcBorders>
              <w:right w:val="thinThickLargeGap" w:sz="2" w:space="0" w:color="auto"/>
            </w:tcBorders>
            <w:shd w:val="clear" w:color="auto" w:fill="auto"/>
            <w:vAlign w:val="center"/>
          </w:tcPr>
          <w:p w:rsidR="00C55DF6" w:rsidRPr="00401691" w:rsidRDefault="00C55DF6" w:rsidP="00844145">
            <w:pPr>
              <w:spacing w:line="276" w:lineRule="auto"/>
              <w:jc w:val="right"/>
              <w:outlineLvl w:val="3"/>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595959" w:themeColor="text1" w:themeTint="A6"/>
                <w:sz w:val="18"/>
                <w:szCs w:val="18"/>
                <w:lang w:val="ro-MD"/>
              </w:rPr>
            </w:pPr>
            <w:r w:rsidRPr="00401691">
              <w:rPr>
                <w:rFonts w:asciiTheme="majorHAnsi" w:hAnsiTheme="majorHAnsi" w:cstheme="majorHAnsi"/>
                <w:bCs/>
                <w:color w:val="595959" w:themeColor="text1" w:themeTint="A6"/>
                <w:sz w:val="18"/>
                <w:szCs w:val="18"/>
                <w:lang w:val="ro-MD"/>
              </w:rPr>
              <w:t>208,950.0</w:t>
            </w:r>
          </w:p>
        </w:tc>
        <w:tc>
          <w:tcPr>
            <w:tcW w:w="1245" w:type="dxa"/>
            <w:gridSpan w:val="2"/>
            <w:tcBorders>
              <w:left w:val="thinThickLargeGap" w:sz="2" w:space="0" w:color="auto"/>
            </w:tcBorders>
            <w:shd w:val="clear" w:color="auto" w:fill="auto"/>
            <w:vAlign w:val="center"/>
          </w:tcPr>
          <w:p w:rsidR="00C55DF6" w:rsidRPr="00401691" w:rsidRDefault="00C55DF6" w:rsidP="00844145">
            <w:pPr>
              <w:spacing w:line="276" w:lineRule="auto"/>
              <w:jc w:val="right"/>
              <w:outlineLvl w:val="3"/>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lang w:val="ro-MD"/>
              </w:rPr>
            </w:pPr>
            <w:r w:rsidRPr="00401691">
              <w:rPr>
                <w:rFonts w:asciiTheme="majorHAnsi" w:hAnsiTheme="majorHAnsi" w:cstheme="majorHAnsi"/>
                <w:bCs/>
                <w:sz w:val="18"/>
                <w:szCs w:val="18"/>
                <w:lang w:val="ro-MD"/>
              </w:rPr>
              <w:t>274,509.8</w:t>
            </w:r>
          </w:p>
        </w:tc>
        <w:tc>
          <w:tcPr>
            <w:tcW w:w="1190" w:type="dxa"/>
            <w:tcBorders>
              <w:right w:val="thinThickLargeGap" w:sz="2" w:space="0" w:color="auto"/>
            </w:tcBorders>
            <w:shd w:val="clear" w:color="auto" w:fill="auto"/>
            <w:vAlign w:val="center"/>
          </w:tcPr>
          <w:p w:rsidR="00C55DF6" w:rsidRPr="00401691" w:rsidRDefault="00C55DF6" w:rsidP="00844145">
            <w:pPr>
              <w:spacing w:line="276" w:lineRule="auto"/>
              <w:jc w:val="right"/>
              <w:outlineLvl w:val="3"/>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lang w:val="ro-MD"/>
              </w:rPr>
            </w:pPr>
            <w:r w:rsidRPr="00401691">
              <w:rPr>
                <w:rFonts w:asciiTheme="majorHAnsi" w:hAnsiTheme="majorHAnsi" w:cstheme="majorHAnsi"/>
                <w:bCs/>
                <w:sz w:val="18"/>
                <w:szCs w:val="18"/>
                <w:lang w:val="ro-MD"/>
              </w:rPr>
              <w:t>251,051.8</w:t>
            </w:r>
          </w:p>
        </w:tc>
        <w:tc>
          <w:tcPr>
            <w:tcW w:w="1084" w:type="dxa"/>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44,840.20</w:t>
            </w:r>
          </w:p>
        </w:tc>
        <w:tc>
          <w:tcPr>
            <w:tcW w:w="1094" w:type="dxa"/>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119.52</w:t>
            </w:r>
          </w:p>
        </w:tc>
        <w:tc>
          <w:tcPr>
            <w:tcW w:w="1152" w:type="dxa"/>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42,101.80</w:t>
            </w:r>
          </w:p>
        </w:tc>
        <w:tc>
          <w:tcPr>
            <w:tcW w:w="1004" w:type="dxa"/>
            <w:tcBorders>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120.15</w:t>
            </w:r>
          </w:p>
        </w:tc>
        <w:tc>
          <w:tcPr>
            <w:tcW w:w="958" w:type="dxa"/>
            <w:gridSpan w:val="3"/>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0.13</w:t>
            </w:r>
          </w:p>
        </w:tc>
        <w:tc>
          <w:tcPr>
            <w:tcW w:w="900" w:type="dxa"/>
            <w:gridSpan w:val="2"/>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0.12</w:t>
            </w:r>
          </w:p>
        </w:tc>
      </w:tr>
      <w:tr w:rsidR="00C55DF6" w:rsidRPr="00401691" w:rsidTr="00A353BB">
        <w:trPr>
          <w:gridAfter w:val="1"/>
          <w:wAfter w:w="6" w:type="dxa"/>
        </w:trPr>
        <w:tc>
          <w:tcPr>
            <w:cnfStyle w:val="001000000000" w:firstRow="0" w:lastRow="0" w:firstColumn="1" w:lastColumn="0" w:oddVBand="0" w:evenVBand="0" w:oddHBand="0" w:evenHBand="0" w:firstRowFirstColumn="0" w:firstRowLastColumn="0" w:lastRowFirstColumn="0" w:lastRowLastColumn="0"/>
            <w:tcW w:w="3426" w:type="dxa"/>
            <w:tcBorders>
              <w:right w:val="thinThickLargeGap" w:sz="24" w:space="0" w:color="auto"/>
            </w:tcBorders>
            <w:shd w:val="clear" w:color="auto" w:fill="F2F2F2" w:themeFill="background1" w:themeFillShade="F2"/>
          </w:tcPr>
          <w:p w:rsidR="00C55DF6" w:rsidRPr="00401691" w:rsidRDefault="00C55DF6" w:rsidP="00844145">
            <w:pPr>
              <w:pStyle w:val="ListParagraph"/>
              <w:numPr>
                <w:ilvl w:val="0"/>
                <w:numId w:val="20"/>
              </w:numPr>
              <w:spacing w:line="276" w:lineRule="auto"/>
              <w:ind w:left="438"/>
              <w:jc w:val="both"/>
              <w:rPr>
                <w:rFonts w:asciiTheme="majorHAnsi" w:eastAsia="Times New Roman" w:hAnsiTheme="majorHAnsi" w:cstheme="majorHAnsi"/>
                <w:b w:val="0"/>
                <w:sz w:val="20"/>
                <w:szCs w:val="20"/>
                <w:lang w:val="ro-MD" w:eastAsia="ru-RU"/>
              </w:rPr>
            </w:pPr>
            <w:r w:rsidRPr="00401691">
              <w:rPr>
                <w:rFonts w:asciiTheme="majorHAnsi" w:eastAsia="Times New Roman" w:hAnsiTheme="majorHAnsi" w:cstheme="majorHAnsi"/>
                <w:b w:val="0"/>
                <w:sz w:val="20"/>
                <w:szCs w:val="20"/>
                <w:lang w:val="ro-MD" w:eastAsia="ru-RU"/>
              </w:rPr>
              <w:t>AMENZI ȘI SANCȚIUNI</w:t>
            </w:r>
          </w:p>
        </w:tc>
        <w:tc>
          <w:tcPr>
            <w:tcW w:w="801" w:type="dxa"/>
            <w:tcBorders>
              <w:left w:val="thinThickLargeGap" w:sz="24" w:space="0" w:color="auto"/>
              <w:right w:val="thinThickLargeGap" w:sz="2" w:space="0" w:color="auto"/>
            </w:tcBorders>
            <w:shd w:val="clear" w:color="auto" w:fill="auto"/>
          </w:tcPr>
          <w:p w:rsidR="00C55DF6" w:rsidRPr="00401691" w:rsidRDefault="00C55DF6" w:rsidP="008441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val="ro-MD" w:eastAsia="ru-RU"/>
              </w:rPr>
            </w:pPr>
            <w:r w:rsidRPr="00401691">
              <w:rPr>
                <w:rFonts w:asciiTheme="majorHAnsi" w:eastAsia="Times New Roman" w:hAnsiTheme="majorHAnsi" w:cstheme="majorHAnsi"/>
                <w:b/>
                <w:color w:val="000000"/>
                <w:sz w:val="20"/>
                <w:szCs w:val="20"/>
                <w:lang w:val="ro-MD" w:eastAsia="ru-RU"/>
              </w:rPr>
              <w:t>143</w:t>
            </w:r>
          </w:p>
        </w:tc>
        <w:tc>
          <w:tcPr>
            <w:tcW w:w="1259" w:type="dxa"/>
            <w:tcBorders>
              <w:left w:val="thinThickLargeGap" w:sz="2" w:space="0" w:color="auto"/>
            </w:tcBorders>
            <w:shd w:val="clear" w:color="auto" w:fill="auto"/>
            <w:vAlign w:val="center"/>
          </w:tcPr>
          <w:p w:rsidR="00C55DF6" w:rsidRPr="00401691" w:rsidRDefault="00C55DF6" w:rsidP="00844145">
            <w:pPr>
              <w:spacing w:line="276" w:lineRule="auto"/>
              <w:jc w:val="right"/>
              <w:outlineLvl w:val="3"/>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themeColor="text1"/>
                <w:sz w:val="18"/>
                <w:szCs w:val="18"/>
                <w:lang w:val="ro-MD"/>
              </w:rPr>
            </w:pPr>
            <w:r w:rsidRPr="00401691">
              <w:rPr>
                <w:rFonts w:asciiTheme="majorHAnsi" w:hAnsiTheme="majorHAnsi" w:cstheme="majorHAnsi"/>
                <w:b/>
                <w:bCs/>
                <w:color w:val="000000" w:themeColor="text1"/>
                <w:sz w:val="18"/>
                <w:szCs w:val="18"/>
                <w:lang w:val="ro-MD"/>
              </w:rPr>
              <w:t>372,594.8</w:t>
            </w:r>
          </w:p>
        </w:tc>
        <w:tc>
          <w:tcPr>
            <w:tcW w:w="1259" w:type="dxa"/>
            <w:tcBorders>
              <w:right w:val="thinThickLargeGap" w:sz="2" w:space="0" w:color="auto"/>
            </w:tcBorders>
            <w:shd w:val="clear" w:color="auto" w:fill="auto"/>
            <w:vAlign w:val="center"/>
          </w:tcPr>
          <w:p w:rsidR="00C55DF6" w:rsidRPr="00401691" w:rsidRDefault="00C55DF6" w:rsidP="00844145">
            <w:pPr>
              <w:spacing w:line="276" w:lineRule="auto"/>
              <w:jc w:val="right"/>
              <w:outlineLvl w:val="3"/>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595959" w:themeColor="text1" w:themeTint="A6"/>
                <w:sz w:val="18"/>
                <w:szCs w:val="18"/>
                <w:lang w:val="ro-MD"/>
              </w:rPr>
            </w:pPr>
            <w:r w:rsidRPr="00401691">
              <w:rPr>
                <w:rFonts w:asciiTheme="majorHAnsi" w:hAnsiTheme="majorHAnsi" w:cstheme="majorHAnsi"/>
                <w:b/>
                <w:bCs/>
                <w:color w:val="595959" w:themeColor="text1" w:themeTint="A6"/>
                <w:sz w:val="18"/>
                <w:szCs w:val="18"/>
                <w:lang w:val="ro-MD"/>
              </w:rPr>
              <w:t>370,252.3</w:t>
            </w:r>
          </w:p>
        </w:tc>
        <w:tc>
          <w:tcPr>
            <w:tcW w:w="1245" w:type="dxa"/>
            <w:gridSpan w:val="2"/>
            <w:tcBorders>
              <w:left w:val="thinThickLargeGap" w:sz="2" w:space="0" w:color="auto"/>
            </w:tcBorders>
            <w:shd w:val="clear" w:color="auto" w:fill="auto"/>
            <w:vAlign w:val="center"/>
          </w:tcPr>
          <w:p w:rsidR="00C55DF6" w:rsidRPr="00401691" w:rsidRDefault="00C55DF6" w:rsidP="00844145">
            <w:pPr>
              <w:spacing w:line="276" w:lineRule="auto"/>
              <w:jc w:val="right"/>
              <w:outlineLvl w:val="3"/>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8"/>
                <w:szCs w:val="18"/>
                <w:lang w:val="ro-MD"/>
              </w:rPr>
            </w:pPr>
            <w:r w:rsidRPr="00401691">
              <w:rPr>
                <w:rFonts w:asciiTheme="majorHAnsi" w:hAnsiTheme="majorHAnsi" w:cstheme="majorHAnsi"/>
                <w:b/>
                <w:bCs/>
                <w:sz w:val="18"/>
                <w:szCs w:val="18"/>
                <w:lang w:val="ro-MD"/>
              </w:rPr>
              <w:t>347,869.6</w:t>
            </w:r>
          </w:p>
        </w:tc>
        <w:tc>
          <w:tcPr>
            <w:tcW w:w="1190" w:type="dxa"/>
            <w:tcBorders>
              <w:right w:val="thinThickLargeGap" w:sz="2" w:space="0" w:color="auto"/>
            </w:tcBorders>
            <w:shd w:val="clear" w:color="auto" w:fill="auto"/>
            <w:vAlign w:val="center"/>
          </w:tcPr>
          <w:p w:rsidR="00C55DF6" w:rsidRPr="00401691" w:rsidRDefault="00C55DF6" w:rsidP="00844145">
            <w:pPr>
              <w:spacing w:line="276" w:lineRule="auto"/>
              <w:jc w:val="right"/>
              <w:outlineLvl w:val="3"/>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8"/>
                <w:szCs w:val="18"/>
                <w:lang w:val="ro-MD"/>
              </w:rPr>
            </w:pPr>
            <w:r w:rsidRPr="00401691">
              <w:rPr>
                <w:rFonts w:asciiTheme="majorHAnsi" w:hAnsiTheme="majorHAnsi" w:cstheme="majorHAnsi"/>
                <w:b/>
                <w:bCs/>
                <w:sz w:val="18"/>
                <w:szCs w:val="18"/>
                <w:lang w:val="ro-MD"/>
              </w:rPr>
              <w:t>345,246.3</w:t>
            </w:r>
          </w:p>
        </w:tc>
        <w:tc>
          <w:tcPr>
            <w:tcW w:w="1084" w:type="dxa"/>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-24,725.20</w:t>
            </w:r>
          </w:p>
        </w:tc>
        <w:tc>
          <w:tcPr>
            <w:tcW w:w="1094" w:type="dxa"/>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93.36</w:t>
            </w:r>
          </w:p>
        </w:tc>
        <w:tc>
          <w:tcPr>
            <w:tcW w:w="1152" w:type="dxa"/>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-25,006.00</w:t>
            </w:r>
          </w:p>
        </w:tc>
        <w:tc>
          <w:tcPr>
            <w:tcW w:w="1004" w:type="dxa"/>
            <w:tcBorders>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93.25</w:t>
            </w:r>
          </w:p>
        </w:tc>
        <w:tc>
          <w:tcPr>
            <w:tcW w:w="958" w:type="dxa"/>
            <w:gridSpan w:val="3"/>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0.17</w:t>
            </w:r>
          </w:p>
        </w:tc>
        <w:tc>
          <w:tcPr>
            <w:tcW w:w="900" w:type="dxa"/>
            <w:gridSpan w:val="2"/>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0.16</w:t>
            </w:r>
          </w:p>
        </w:tc>
      </w:tr>
      <w:tr w:rsidR="00C55DF6" w:rsidRPr="00401691" w:rsidTr="00A353BB">
        <w:trPr>
          <w:gridAfter w:val="1"/>
          <w:wAfter w:w="6" w:type="dxa"/>
        </w:trPr>
        <w:tc>
          <w:tcPr>
            <w:cnfStyle w:val="001000000000" w:firstRow="0" w:lastRow="0" w:firstColumn="1" w:lastColumn="0" w:oddVBand="0" w:evenVBand="0" w:oddHBand="0" w:evenHBand="0" w:firstRowFirstColumn="0" w:firstRowLastColumn="0" w:lastRowFirstColumn="0" w:lastRowLastColumn="0"/>
            <w:tcW w:w="3426" w:type="dxa"/>
            <w:tcBorders>
              <w:right w:val="thinThickLargeGap" w:sz="24" w:space="0" w:color="auto"/>
            </w:tcBorders>
            <w:shd w:val="clear" w:color="auto" w:fill="F2F2F2" w:themeFill="background1" w:themeFillShade="F2"/>
          </w:tcPr>
          <w:p w:rsidR="00C55DF6" w:rsidRPr="00401691" w:rsidRDefault="00C55DF6" w:rsidP="00844145">
            <w:pPr>
              <w:spacing w:line="276" w:lineRule="auto"/>
              <w:jc w:val="both"/>
              <w:rPr>
                <w:rFonts w:asciiTheme="majorHAnsi" w:eastAsia="Times New Roman" w:hAnsiTheme="majorHAnsi" w:cstheme="majorHAnsi"/>
                <w:b w:val="0"/>
                <w:sz w:val="20"/>
                <w:szCs w:val="20"/>
                <w:lang w:val="ro-MD" w:eastAsia="ru-RU"/>
              </w:rPr>
            </w:pPr>
            <w:r w:rsidRPr="00401691">
              <w:rPr>
                <w:rFonts w:asciiTheme="majorHAnsi" w:eastAsia="Times New Roman" w:hAnsiTheme="majorHAnsi" w:cstheme="majorHAnsi"/>
                <w:b w:val="0"/>
                <w:sz w:val="20"/>
                <w:szCs w:val="20"/>
                <w:lang w:val="ro-MD" w:eastAsia="ru-RU"/>
              </w:rPr>
              <w:t>Amenzi și sancțiuni contravenționale</w:t>
            </w:r>
          </w:p>
        </w:tc>
        <w:tc>
          <w:tcPr>
            <w:tcW w:w="801" w:type="dxa"/>
            <w:tcBorders>
              <w:left w:val="thinThickLargeGap" w:sz="24" w:space="0" w:color="auto"/>
              <w:right w:val="thinThickLargeGap" w:sz="2" w:space="0" w:color="auto"/>
            </w:tcBorders>
            <w:shd w:val="clear" w:color="auto" w:fill="auto"/>
          </w:tcPr>
          <w:p w:rsidR="00C55DF6" w:rsidRPr="00401691" w:rsidRDefault="00C55DF6" w:rsidP="008441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eastAsia="ru-RU"/>
              </w:rPr>
            </w:pPr>
            <w:r w:rsidRPr="00401691">
              <w:rPr>
                <w:rFonts w:asciiTheme="majorHAnsi" w:eastAsia="Times New Roman" w:hAnsiTheme="majorHAnsi" w:cstheme="majorHAnsi"/>
                <w:color w:val="000000"/>
                <w:sz w:val="20"/>
                <w:szCs w:val="20"/>
                <w:lang w:val="ro-MD" w:eastAsia="ru-RU"/>
              </w:rPr>
              <w:t>1431</w:t>
            </w:r>
          </w:p>
        </w:tc>
        <w:tc>
          <w:tcPr>
            <w:tcW w:w="1259" w:type="dxa"/>
            <w:tcBorders>
              <w:left w:val="thinThickLargeGap" w:sz="2" w:space="0" w:color="auto"/>
            </w:tcBorders>
            <w:shd w:val="clear" w:color="auto" w:fill="auto"/>
            <w:vAlign w:val="center"/>
          </w:tcPr>
          <w:p w:rsidR="00C55DF6" w:rsidRPr="00401691" w:rsidRDefault="00C55DF6" w:rsidP="00844145">
            <w:pPr>
              <w:spacing w:line="276" w:lineRule="auto"/>
              <w:jc w:val="right"/>
              <w:outlineLvl w:val="3"/>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18"/>
                <w:szCs w:val="18"/>
                <w:lang w:val="ro-MD"/>
              </w:rPr>
            </w:pPr>
            <w:r w:rsidRPr="00401691">
              <w:rPr>
                <w:rFonts w:asciiTheme="majorHAnsi" w:hAnsiTheme="majorHAnsi" w:cstheme="majorHAnsi"/>
                <w:bCs/>
                <w:color w:val="000000" w:themeColor="text1"/>
                <w:sz w:val="18"/>
                <w:szCs w:val="18"/>
                <w:lang w:val="ro-MD"/>
              </w:rPr>
              <w:t>77,299.2</w:t>
            </w:r>
          </w:p>
        </w:tc>
        <w:tc>
          <w:tcPr>
            <w:tcW w:w="1259" w:type="dxa"/>
            <w:tcBorders>
              <w:right w:val="thinThickLargeGap" w:sz="2" w:space="0" w:color="auto"/>
            </w:tcBorders>
            <w:shd w:val="clear" w:color="auto" w:fill="auto"/>
            <w:vAlign w:val="center"/>
          </w:tcPr>
          <w:p w:rsidR="00C55DF6" w:rsidRPr="00401691" w:rsidRDefault="00C55DF6" w:rsidP="00844145">
            <w:pPr>
              <w:spacing w:line="276" w:lineRule="auto"/>
              <w:jc w:val="right"/>
              <w:outlineLvl w:val="3"/>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595959" w:themeColor="text1" w:themeTint="A6"/>
                <w:sz w:val="18"/>
                <w:szCs w:val="18"/>
                <w:lang w:val="ro-MD"/>
              </w:rPr>
            </w:pPr>
            <w:r w:rsidRPr="00401691">
              <w:rPr>
                <w:rFonts w:asciiTheme="majorHAnsi" w:hAnsiTheme="majorHAnsi" w:cstheme="majorHAnsi"/>
                <w:bCs/>
                <w:color w:val="595959" w:themeColor="text1" w:themeTint="A6"/>
                <w:sz w:val="18"/>
                <w:szCs w:val="18"/>
                <w:lang w:val="ro-MD"/>
              </w:rPr>
              <w:t>75,054.0</w:t>
            </w:r>
          </w:p>
        </w:tc>
        <w:tc>
          <w:tcPr>
            <w:tcW w:w="1245" w:type="dxa"/>
            <w:gridSpan w:val="2"/>
            <w:tcBorders>
              <w:left w:val="thinThickLargeGap" w:sz="2" w:space="0" w:color="auto"/>
            </w:tcBorders>
            <w:shd w:val="clear" w:color="auto" w:fill="auto"/>
            <w:vAlign w:val="center"/>
          </w:tcPr>
          <w:p w:rsidR="00C55DF6" w:rsidRPr="00401691" w:rsidRDefault="00C55DF6" w:rsidP="00844145">
            <w:pPr>
              <w:spacing w:line="276" w:lineRule="auto"/>
              <w:jc w:val="right"/>
              <w:outlineLvl w:val="3"/>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lang w:val="ro-MD"/>
              </w:rPr>
            </w:pPr>
            <w:r w:rsidRPr="00401691">
              <w:rPr>
                <w:rFonts w:asciiTheme="majorHAnsi" w:hAnsiTheme="majorHAnsi" w:cstheme="majorHAnsi"/>
                <w:bCs/>
                <w:sz w:val="18"/>
                <w:szCs w:val="18"/>
                <w:lang w:val="ro-MD"/>
              </w:rPr>
              <w:t>81,396.9</w:t>
            </w:r>
          </w:p>
        </w:tc>
        <w:tc>
          <w:tcPr>
            <w:tcW w:w="1190" w:type="dxa"/>
            <w:tcBorders>
              <w:right w:val="thinThickLargeGap" w:sz="2" w:space="0" w:color="auto"/>
            </w:tcBorders>
            <w:shd w:val="clear" w:color="auto" w:fill="auto"/>
            <w:vAlign w:val="center"/>
          </w:tcPr>
          <w:p w:rsidR="00C55DF6" w:rsidRPr="00401691" w:rsidRDefault="00C55DF6" w:rsidP="00844145">
            <w:pPr>
              <w:spacing w:line="276" w:lineRule="auto"/>
              <w:jc w:val="right"/>
              <w:outlineLvl w:val="3"/>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lang w:val="ro-MD"/>
              </w:rPr>
            </w:pPr>
            <w:r w:rsidRPr="00401691">
              <w:rPr>
                <w:rFonts w:asciiTheme="majorHAnsi" w:hAnsiTheme="majorHAnsi" w:cstheme="majorHAnsi"/>
                <w:bCs/>
                <w:sz w:val="18"/>
                <w:szCs w:val="18"/>
                <w:lang w:val="ro-MD"/>
              </w:rPr>
              <w:t>78,877.5</w:t>
            </w:r>
          </w:p>
        </w:tc>
        <w:tc>
          <w:tcPr>
            <w:tcW w:w="1084" w:type="dxa"/>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4,097.70</w:t>
            </w:r>
          </w:p>
        </w:tc>
        <w:tc>
          <w:tcPr>
            <w:tcW w:w="1094" w:type="dxa"/>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105.30</w:t>
            </w:r>
          </w:p>
        </w:tc>
        <w:tc>
          <w:tcPr>
            <w:tcW w:w="1152" w:type="dxa"/>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3,823.50</w:t>
            </w:r>
          </w:p>
        </w:tc>
        <w:tc>
          <w:tcPr>
            <w:tcW w:w="1004" w:type="dxa"/>
            <w:tcBorders>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105.09</w:t>
            </w:r>
          </w:p>
        </w:tc>
        <w:tc>
          <w:tcPr>
            <w:tcW w:w="958" w:type="dxa"/>
            <w:gridSpan w:val="3"/>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0.04</w:t>
            </w:r>
          </w:p>
        </w:tc>
        <w:tc>
          <w:tcPr>
            <w:tcW w:w="900" w:type="dxa"/>
            <w:gridSpan w:val="2"/>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0.04</w:t>
            </w:r>
          </w:p>
        </w:tc>
      </w:tr>
      <w:tr w:rsidR="00C55DF6" w:rsidRPr="00401691" w:rsidTr="00A353BB">
        <w:trPr>
          <w:gridAfter w:val="1"/>
          <w:wAfter w:w="6" w:type="dxa"/>
        </w:trPr>
        <w:tc>
          <w:tcPr>
            <w:cnfStyle w:val="001000000000" w:firstRow="0" w:lastRow="0" w:firstColumn="1" w:lastColumn="0" w:oddVBand="0" w:evenVBand="0" w:oddHBand="0" w:evenHBand="0" w:firstRowFirstColumn="0" w:firstRowLastColumn="0" w:lastRowFirstColumn="0" w:lastRowLastColumn="0"/>
            <w:tcW w:w="3426" w:type="dxa"/>
            <w:tcBorders>
              <w:right w:val="thinThickLargeGap" w:sz="24" w:space="0" w:color="auto"/>
            </w:tcBorders>
            <w:shd w:val="clear" w:color="auto" w:fill="F2F2F2" w:themeFill="background1" w:themeFillShade="F2"/>
          </w:tcPr>
          <w:p w:rsidR="00C55DF6" w:rsidRPr="00401691" w:rsidRDefault="00C55DF6" w:rsidP="00844145">
            <w:pPr>
              <w:spacing w:line="276" w:lineRule="auto"/>
              <w:jc w:val="both"/>
              <w:rPr>
                <w:rFonts w:asciiTheme="majorHAnsi" w:eastAsia="Times New Roman" w:hAnsiTheme="majorHAnsi" w:cstheme="majorHAnsi"/>
                <w:b w:val="0"/>
                <w:bCs w:val="0"/>
                <w:sz w:val="20"/>
                <w:szCs w:val="20"/>
                <w:lang w:val="ro-MD" w:eastAsia="ru-RU"/>
              </w:rPr>
            </w:pPr>
            <w:r w:rsidRPr="00401691">
              <w:rPr>
                <w:rFonts w:asciiTheme="majorHAnsi" w:eastAsia="Times New Roman" w:hAnsiTheme="majorHAnsi" w:cstheme="majorHAnsi"/>
                <w:b w:val="0"/>
                <w:bCs w:val="0"/>
                <w:sz w:val="20"/>
                <w:szCs w:val="20"/>
                <w:lang w:val="ro-MD" w:eastAsia="ru-RU"/>
              </w:rPr>
              <w:t>Amenzi pentru încălcarea traficului rutier</w:t>
            </w:r>
          </w:p>
        </w:tc>
        <w:tc>
          <w:tcPr>
            <w:tcW w:w="801" w:type="dxa"/>
            <w:tcBorders>
              <w:left w:val="thinThickLargeGap" w:sz="24" w:space="0" w:color="auto"/>
              <w:right w:val="thinThickLargeGap" w:sz="2" w:space="0" w:color="auto"/>
            </w:tcBorders>
            <w:shd w:val="clear" w:color="auto" w:fill="auto"/>
          </w:tcPr>
          <w:p w:rsidR="00C55DF6" w:rsidRPr="00401691" w:rsidRDefault="00C55DF6" w:rsidP="008441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eastAsia="ru-RU"/>
              </w:rPr>
            </w:pPr>
            <w:r w:rsidRPr="00401691">
              <w:rPr>
                <w:rFonts w:asciiTheme="majorHAnsi" w:eastAsia="Times New Roman" w:hAnsiTheme="majorHAnsi" w:cstheme="majorHAnsi"/>
                <w:color w:val="000000"/>
                <w:sz w:val="20"/>
                <w:szCs w:val="20"/>
                <w:lang w:val="ro-MD" w:eastAsia="ru-RU"/>
              </w:rPr>
              <w:t>1432</w:t>
            </w:r>
          </w:p>
        </w:tc>
        <w:tc>
          <w:tcPr>
            <w:tcW w:w="1259" w:type="dxa"/>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18"/>
                <w:szCs w:val="18"/>
                <w:lang w:val="ro-MD"/>
              </w:rPr>
            </w:pPr>
            <w:r w:rsidRPr="00401691">
              <w:rPr>
                <w:rFonts w:asciiTheme="majorHAnsi" w:hAnsiTheme="majorHAnsi" w:cstheme="majorHAnsi"/>
                <w:bCs/>
                <w:color w:val="000000" w:themeColor="text1"/>
                <w:sz w:val="18"/>
                <w:szCs w:val="18"/>
                <w:lang w:val="ro-MD"/>
              </w:rPr>
              <w:t>94,604.3</w:t>
            </w:r>
          </w:p>
        </w:tc>
        <w:tc>
          <w:tcPr>
            <w:tcW w:w="1259" w:type="dxa"/>
            <w:tcBorders>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595959" w:themeColor="text1" w:themeTint="A6"/>
                <w:sz w:val="18"/>
                <w:szCs w:val="18"/>
                <w:lang w:val="ro-MD"/>
              </w:rPr>
            </w:pPr>
            <w:r w:rsidRPr="00401691">
              <w:rPr>
                <w:rFonts w:asciiTheme="majorHAnsi" w:hAnsiTheme="majorHAnsi" w:cstheme="majorHAnsi"/>
                <w:bCs/>
                <w:color w:val="595959" w:themeColor="text1" w:themeTint="A6"/>
                <w:sz w:val="18"/>
                <w:szCs w:val="18"/>
                <w:lang w:val="ro-MD"/>
              </w:rPr>
              <w:t>94,600.0</w:t>
            </w:r>
          </w:p>
        </w:tc>
        <w:tc>
          <w:tcPr>
            <w:tcW w:w="1245" w:type="dxa"/>
            <w:gridSpan w:val="2"/>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lang w:val="ro-MD"/>
              </w:rPr>
            </w:pPr>
            <w:r w:rsidRPr="00401691">
              <w:rPr>
                <w:rFonts w:asciiTheme="majorHAnsi" w:hAnsiTheme="majorHAnsi" w:cstheme="majorHAnsi"/>
                <w:bCs/>
                <w:sz w:val="18"/>
                <w:szCs w:val="18"/>
                <w:lang w:val="ro-MD"/>
              </w:rPr>
              <w:t>74,844.9</w:t>
            </w:r>
          </w:p>
        </w:tc>
        <w:tc>
          <w:tcPr>
            <w:tcW w:w="1190" w:type="dxa"/>
            <w:tcBorders>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lang w:val="ro-MD"/>
              </w:rPr>
            </w:pPr>
            <w:r w:rsidRPr="00401691">
              <w:rPr>
                <w:rFonts w:asciiTheme="majorHAnsi" w:hAnsiTheme="majorHAnsi" w:cstheme="majorHAnsi"/>
                <w:bCs/>
                <w:sz w:val="18"/>
                <w:szCs w:val="18"/>
                <w:lang w:val="ro-MD"/>
              </w:rPr>
              <w:t>74,840.7</w:t>
            </w:r>
          </w:p>
        </w:tc>
        <w:tc>
          <w:tcPr>
            <w:tcW w:w="1084" w:type="dxa"/>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-19,759.40</w:t>
            </w:r>
          </w:p>
        </w:tc>
        <w:tc>
          <w:tcPr>
            <w:tcW w:w="1094" w:type="dxa"/>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79.11</w:t>
            </w:r>
          </w:p>
        </w:tc>
        <w:tc>
          <w:tcPr>
            <w:tcW w:w="1152" w:type="dxa"/>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-19,759.30</w:t>
            </w:r>
          </w:p>
        </w:tc>
        <w:tc>
          <w:tcPr>
            <w:tcW w:w="1004" w:type="dxa"/>
            <w:tcBorders>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79.11</w:t>
            </w:r>
          </w:p>
        </w:tc>
        <w:tc>
          <w:tcPr>
            <w:tcW w:w="958" w:type="dxa"/>
            <w:gridSpan w:val="3"/>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0.04</w:t>
            </w:r>
          </w:p>
        </w:tc>
        <w:tc>
          <w:tcPr>
            <w:tcW w:w="900" w:type="dxa"/>
            <w:gridSpan w:val="2"/>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0.04</w:t>
            </w:r>
          </w:p>
        </w:tc>
      </w:tr>
      <w:tr w:rsidR="00C55DF6" w:rsidRPr="00401691" w:rsidTr="00A353BB">
        <w:trPr>
          <w:gridAfter w:val="1"/>
          <w:wAfter w:w="6" w:type="dxa"/>
        </w:trPr>
        <w:tc>
          <w:tcPr>
            <w:cnfStyle w:val="001000000000" w:firstRow="0" w:lastRow="0" w:firstColumn="1" w:lastColumn="0" w:oddVBand="0" w:evenVBand="0" w:oddHBand="0" w:evenHBand="0" w:firstRowFirstColumn="0" w:firstRowLastColumn="0" w:lastRowFirstColumn="0" w:lastRowLastColumn="0"/>
            <w:tcW w:w="3426" w:type="dxa"/>
            <w:tcBorders>
              <w:right w:val="thinThickLargeGap" w:sz="24" w:space="0" w:color="auto"/>
            </w:tcBorders>
            <w:shd w:val="clear" w:color="auto" w:fill="F2F2F2" w:themeFill="background1" w:themeFillShade="F2"/>
          </w:tcPr>
          <w:p w:rsidR="00C55DF6" w:rsidRPr="00401691" w:rsidRDefault="00C55DF6" w:rsidP="00844145">
            <w:pPr>
              <w:spacing w:line="276" w:lineRule="auto"/>
              <w:jc w:val="both"/>
              <w:rPr>
                <w:rFonts w:asciiTheme="majorHAnsi" w:eastAsia="Times New Roman" w:hAnsiTheme="majorHAnsi" w:cstheme="majorHAnsi"/>
                <w:b w:val="0"/>
                <w:bCs w:val="0"/>
                <w:sz w:val="20"/>
                <w:szCs w:val="20"/>
                <w:lang w:val="ro-MD" w:eastAsia="ru-RU"/>
              </w:rPr>
            </w:pPr>
            <w:r w:rsidRPr="00401691">
              <w:rPr>
                <w:rFonts w:asciiTheme="majorHAnsi" w:eastAsia="Times New Roman" w:hAnsiTheme="majorHAnsi" w:cstheme="majorHAnsi"/>
                <w:b w:val="0"/>
                <w:bCs w:val="0"/>
                <w:sz w:val="20"/>
                <w:szCs w:val="20"/>
                <w:lang w:val="ro-MD" w:eastAsia="ru-RU"/>
              </w:rPr>
              <w:t>Amenzi aplicate de organele de control</w:t>
            </w:r>
          </w:p>
        </w:tc>
        <w:tc>
          <w:tcPr>
            <w:tcW w:w="801" w:type="dxa"/>
            <w:tcBorders>
              <w:left w:val="thinThickLargeGap" w:sz="24" w:space="0" w:color="auto"/>
              <w:right w:val="thinThickLargeGap" w:sz="2" w:space="0" w:color="auto"/>
            </w:tcBorders>
            <w:shd w:val="clear" w:color="auto" w:fill="auto"/>
          </w:tcPr>
          <w:p w:rsidR="00C55DF6" w:rsidRPr="00401691" w:rsidRDefault="00C55DF6" w:rsidP="008441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eastAsia="ru-RU"/>
              </w:rPr>
            </w:pPr>
            <w:r w:rsidRPr="00401691">
              <w:rPr>
                <w:rFonts w:asciiTheme="majorHAnsi" w:eastAsia="Times New Roman" w:hAnsiTheme="majorHAnsi" w:cstheme="majorHAnsi"/>
                <w:color w:val="000000"/>
                <w:sz w:val="20"/>
                <w:szCs w:val="20"/>
                <w:lang w:val="ro-MD" w:eastAsia="ru-RU"/>
              </w:rPr>
              <w:t>1433</w:t>
            </w:r>
          </w:p>
        </w:tc>
        <w:tc>
          <w:tcPr>
            <w:tcW w:w="1259" w:type="dxa"/>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18"/>
                <w:szCs w:val="18"/>
                <w:lang w:val="ro-MD"/>
              </w:rPr>
            </w:pPr>
            <w:r w:rsidRPr="00401691">
              <w:rPr>
                <w:rFonts w:asciiTheme="majorHAnsi" w:hAnsiTheme="majorHAnsi" w:cstheme="majorHAnsi"/>
                <w:bCs/>
                <w:color w:val="000000" w:themeColor="text1"/>
                <w:sz w:val="18"/>
                <w:szCs w:val="18"/>
                <w:lang w:val="ro-MD"/>
              </w:rPr>
              <w:t>136,428.3</w:t>
            </w:r>
          </w:p>
        </w:tc>
        <w:tc>
          <w:tcPr>
            <w:tcW w:w="1259" w:type="dxa"/>
            <w:tcBorders>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595959" w:themeColor="text1" w:themeTint="A6"/>
                <w:sz w:val="18"/>
                <w:szCs w:val="18"/>
                <w:lang w:val="ro-MD"/>
              </w:rPr>
            </w:pPr>
            <w:r w:rsidRPr="00401691">
              <w:rPr>
                <w:rFonts w:asciiTheme="majorHAnsi" w:hAnsiTheme="majorHAnsi" w:cstheme="majorHAnsi"/>
                <w:bCs/>
                <w:color w:val="595959" w:themeColor="text1" w:themeTint="A6"/>
                <w:sz w:val="18"/>
                <w:szCs w:val="18"/>
                <w:lang w:val="ro-MD"/>
              </w:rPr>
              <w:t>136,428.3</w:t>
            </w:r>
          </w:p>
        </w:tc>
        <w:tc>
          <w:tcPr>
            <w:tcW w:w="1245" w:type="dxa"/>
            <w:gridSpan w:val="2"/>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lang w:val="ro-MD"/>
              </w:rPr>
            </w:pPr>
            <w:r w:rsidRPr="00401691">
              <w:rPr>
                <w:rFonts w:asciiTheme="majorHAnsi" w:hAnsiTheme="majorHAnsi" w:cstheme="majorHAnsi"/>
                <w:bCs/>
                <w:sz w:val="18"/>
                <w:szCs w:val="18"/>
                <w:lang w:val="ro-MD"/>
              </w:rPr>
              <w:t>126,343.7</w:t>
            </w:r>
          </w:p>
        </w:tc>
        <w:tc>
          <w:tcPr>
            <w:tcW w:w="1190" w:type="dxa"/>
            <w:tcBorders>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lang w:val="ro-MD"/>
              </w:rPr>
            </w:pPr>
            <w:r w:rsidRPr="00401691">
              <w:rPr>
                <w:rFonts w:asciiTheme="majorHAnsi" w:hAnsiTheme="majorHAnsi" w:cstheme="majorHAnsi"/>
                <w:bCs/>
                <w:sz w:val="18"/>
                <w:szCs w:val="18"/>
                <w:lang w:val="ro-MD"/>
              </w:rPr>
              <w:t>126,337.7</w:t>
            </w:r>
          </w:p>
        </w:tc>
        <w:tc>
          <w:tcPr>
            <w:tcW w:w="1084" w:type="dxa"/>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-10,084.60</w:t>
            </w:r>
          </w:p>
        </w:tc>
        <w:tc>
          <w:tcPr>
            <w:tcW w:w="1094" w:type="dxa"/>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92.61</w:t>
            </w:r>
          </w:p>
        </w:tc>
        <w:tc>
          <w:tcPr>
            <w:tcW w:w="1152" w:type="dxa"/>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-10,090.60</w:t>
            </w:r>
          </w:p>
        </w:tc>
        <w:tc>
          <w:tcPr>
            <w:tcW w:w="1004" w:type="dxa"/>
            <w:tcBorders>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92.60</w:t>
            </w:r>
          </w:p>
        </w:tc>
        <w:tc>
          <w:tcPr>
            <w:tcW w:w="958" w:type="dxa"/>
            <w:gridSpan w:val="3"/>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0.06</w:t>
            </w:r>
          </w:p>
        </w:tc>
        <w:tc>
          <w:tcPr>
            <w:tcW w:w="900" w:type="dxa"/>
            <w:gridSpan w:val="2"/>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0.06</w:t>
            </w:r>
          </w:p>
        </w:tc>
      </w:tr>
      <w:tr w:rsidR="00C55DF6" w:rsidRPr="00401691" w:rsidTr="00A353BB">
        <w:trPr>
          <w:gridAfter w:val="1"/>
          <w:wAfter w:w="6" w:type="dxa"/>
        </w:trPr>
        <w:tc>
          <w:tcPr>
            <w:cnfStyle w:val="001000000000" w:firstRow="0" w:lastRow="0" w:firstColumn="1" w:lastColumn="0" w:oddVBand="0" w:evenVBand="0" w:oddHBand="0" w:evenHBand="0" w:firstRowFirstColumn="0" w:firstRowLastColumn="0" w:lastRowFirstColumn="0" w:lastRowLastColumn="0"/>
            <w:tcW w:w="3426" w:type="dxa"/>
            <w:tcBorders>
              <w:right w:val="thinThickLargeGap" w:sz="24" w:space="0" w:color="auto"/>
            </w:tcBorders>
            <w:shd w:val="clear" w:color="auto" w:fill="F2F2F2" w:themeFill="background1" w:themeFillShade="F2"/>
          </w:tcPr>
          <w:p w:rsidR="00C55DF6" w:rsidRPr="00401691" w:rsidRDefault="00C55DF6" w:rsidP="00844145">
            <w:pPr>
              <w:spacing w:line="276" w:lineRule="auto"/>
              <w:jc w:val="both"/>
              <w:rPr>
                <w:rFonts w:asciiTheme="majorHAnsi" w:eastAsia="Times New Roman" w:hAnsiTheme="majorHAnsi" w:cstheme="majorHAnsi"/>
                <w:b w:val="0"/>
                <w:sz w:val="20"/>
                <w:szCs w:val="20"/>
                <w:lang w:val="ro-MD" w:eastAsia="ru-RU"/>
              </w:rPr>
            </w:pPr>
            <w:r w:rsidRPr="00401691">
              <w:rPr>
                <w:rFonts w:asciiTheme="majorHAnsi" w:eastAsia="Times New Roman" w:hAnsiTheme="majorHAnsi" w:cstheme="majorHAnsi"/>
                <w:b w:val="0"/>
                <w:sz w:val="20"/>
                <w:szCs w:val="20"/>
                <w:lang w:val="ro-MD" w:eastAsia="ru-RU"/>
              </w:rPr>
              <w:t>Amenzi aplicate de alte organe de stat</w:t>
            </w:r>
          </w:p>
        </w:tc>
        <w:tc>
          <w:tcPr>
            <w:tcW w:w="801" w:type="dxa"/>
            <w:tcBorders>
              <w:left w:val="thinThickLargeGap" w:sz="24" w:space="0" w:color="auto"/>
              <w:right w:val="thinThickLargeGap" w:sz="2" w:space="0" w:color="auto"/>
            </w:tcBorders>
            <w:shd w:val="clear" w:color="auto" w:fill="auto"/>
          </w:tcPr>
          <w:p w:rsidR="00C55DF6" w:rsidRPr="00401691" w:rsidRDefault="00C55DF6" w:rsidP="008441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eastAsia="ru-RU"/>
              </w:rPr>
            </w:pPr>
            <w:r w:rsidRPr="00401691">
              <w:rPr>
                <w:rFonts w:asciiTheme="majorHAnsi" w:eastAsia="Times New Roman" w:hAnsiTheme="majorHAnsi" w:cstheme="majorHAnsi"/>
                <w:color w:val="000000"/>
                <w:sz w:val="20"/>
                <w:szCs w:val="20"/>
                <w:lang w:val="ro-MD" w:eastAsia="ru-RU"/>
              </w:rPr>
              <w:t>1434</w:t>
            </w:r>
          </w:p>
        </w:tc>
        <w:tc>
          <w:tcPr>
            <w:tcW w:w="1259" w:type="dxa"/>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18"/>
                <w:szCs w:val="18"/>
                <w:lang w:val="ro-MD"/>
              </w:rPr>
            </w:pPr>
            <w:r w:rsidRPr="00401691">
              <w:rPr>
                <w:rFonts w:asciiTheme="majorHAnsi" w:hAnsiTheme="majorHAnsi" w:cstheme="majorHAnsi"/>
                <w:bCs/>
                <w:color w:val="000000" w:themeColor="text1"/>
                <w:sz w:val="18"/>
                <w:szCs w:val="18"/>
                <w:lang w:val="ro-MD"/>
              </w:rPr>
              <w:t>64,263.0</w:t>
            </w:r>
          </w:p>
        </w:tc>
        <w:tc>
          <w:tcPr>
            <w:tcW w:w="1259" w:type="dxa"/>
            <w:tcBorders>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595959" w:themeColor="text1" w:themeTint="A6"/>
                <w:sz w:val="18"/>
                <w:szCs w:val="18"/>
                <w:lang w:val="ro-MD"/>
              </w:rPr>
            </w:pPr>
            <w:r w:rsidRPr="00401691">
              <w:rPr>
                <w:rFonts w:asciiTheme="majorHAnsi" w:hAnsiTheme="majorHAnsi" w:cstheme="majorHAnsi"/>
                <w:bCs/>
                <w:color w:val="595959" w:themeColor="text1" w:themeTint="A6"/>
                <w:sz w:val="18"/>
                <w:szCs w:val="18"/>
                <w:lang w:val="ro-MD"/>
              </w:rPr>
              <w:t>64,170.0</w:t>
            </w:r>
          </w:p>
        </w:tc>
        <w:tc>
          <w:tcPr>
            <w:tcW w:w="1245" w:type="dxa"/>
            <w:gridSpan w:val="2"/>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lang w:val="ro-MD"/>
              </w:rPr>
            </w:pPr>
            <w:r w:rsidRPr="00401691">
              <w:rPr>
                <w:rFonts w:asciiTheme="majorHAnsi" w:hAnsiTheme="majorHAnsi" w:cstheme="majorHAnsi"/>
                <w:bCs/>
                <w:sz w:val="18"/>
                <w:szCs w:val="18"/>
                <w:lang w:val="ro-MD"/>
              </w:rPr>
              <w:t>65,284.0</w:t>
            </w:r>
          </w:p>
        </w:tc>
        <w:tc>
          <w:tcPr>
            <w:tcW w:w="1190" w:type="dxa"/>
            <w:tcBorders>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lang w:val="ro-MD"/>
              </w:rPr>
            </w:pPr>
            <w:r w:rsidRPr="00401691">
              <w:rPr>
                <w:rFonts w:asciiTheme="majorHAnsi" w:hAnsiTheme="majorHAnsi" w:cstheme="majorHAnsi"/>
                <w:bCs/>
                <w:sz w:val="18"/>
                <w:szCs w:val="18"/>
                <w:lang w:val="ro-MD"/>
              </w:rPr>
              <w:t>65,190.4</w:t>
            </w:r>
          </w:p>
        </w:tc>
        <w:tc>
          <w:tcPr>
            <w:tcW w:w="1084" w:type="dxa"/>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1,021.00</w:t>
            </w:r>
          </w:p>
        </w:tc>
        <w:tc>
          <w:tcPr>
            <w:tcW w:w="1094" w:type="dxa"/>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101.59</w:t>
            </w:r>
          </w:p>
        </w:tc>
        <w:tc>
          <w:tcPr>
            <w:tcW w:w="1152" w:type="dxa"/>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1,020.40</w:t>
            </w:r>
          </w:p>
        </w:tc>
        <w:tc>
          <w:tcPr>
            <w:tcW w:w="1004" w:type="dxa"/>
            <w:tcBorders>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101.59</w:t>
            </w:r>
          </w:p>
        </w:tc>
        <w:tc>
          <w:tcPr>
            <w:tcW w:w="958" w:type="dxa"/>
            <w:gridSpan w:val="3"/>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0.03</w:t>
            </w:r>
          </w:p>
        </w:tc>
        <w:tc>
          <w:tcPr>
            <w:tcW w:w="900" w:type="dxa"/>
            <w:gridSpan w:val="2"/>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0.03</w:t>
            </w:r>
          </w:p>
        </w:tc>
      </w:tr>
      <w:tr w:rsidR="00C55DF6" w:rsidRPr="00401691" w:rsidTr="00A353BB">
        <w:trPr>
          <w:gridAfter w:val="1"/>
          <w:wAfter w:w="6" w:type="dxa"/>
        </w:trPr>
        <w:tc>
          <w:tcPr>
            <w:cnfStyle w:val="001000000000" w:firstRow="0" w:lastRow="0" w:firstColumn="1" w:lastColumn="0" w:oddVBand="0" w:evenVBand="0" w:oddHBand="0" w:evenHBand="0" w:firstRowFirstColumn="0" w:firstRowLastColumn="0" w:lastRowFirstColumn="0" w:lastRowLastColumn="0"/>
            <w:tcW w:w="3426" w:type="dxa"/>
            <w:tcBorders>
              <w:right w:val="thinThickLargeGap" w:sz="24" w:space="0" w:color="auto"/>
            </w:tcBorders>
            <w:shd w:val="clear" w:color="auto" w:fill="F2F2F2" w:themeFill="background1" w:themeFillShade="F2"/>
          </w:tcPr>
          <w:p w:rsidR="00C55DF6" w:rsidRPr="00401691" w:rsidRDefault="00C55DF6" w:rsidP="00844145">
            <w:pPr>
              <w:spacing w:line="276" w:lineRule="auto"/>
              <w:jc w:val="both"/>
              <w:rPr>
                <w:rFonts w:asciiTheme="majorHAnsi" w:eastAsia="Times New Roman" w:hAnsiTheme="majorHAnsi" w:cstheme="majorHAnsi"/>
                <w:b w:val="0"/>
                <w:sz w:val="20"/>
                <w:szCs w:val="20"/>
                <w:lang w:val="ro-MD" w:eastAsia="ru-RU"/>
              </w:rPr>
            </w:pPr>
            <w:r w:rsidRPr="00401691">
              <w:rPr>
                <w:rFonts w:asciiTheme="majorHAnsi" w:eastAsia="Times New Roman" w:hAnsiTheme="majorHAnsi" w:cstheme="majorHAnsi"/>
                <w:b w:val="0"/>
                <w:sz w:val="20"/>
                <w:szCs w:val="20"/>
                <w:lang w:val="ro-MD" w:eastAsia="ru-RU"/>
              </w:rPr>
              <w:t>Alte venituri și venituri neidentificate</w:t>
            </w:r>
          </w:p>
        </w:tc>
        <w:tc>
          <w:tcPr>
            <w:tcW w:w="801" w:type="dxa"/>
            <w:tcBorders>
              <w:left w:val="thinThickLargeGap" w:sz="24" w:space="0" w:color="auto"/>
              <w:right w:val="thinThickLargeGap" w:sz="2" w:space="0" w:color="auto"/>
            </w:tcBorders>
            <w:shd w:val="clear" w:color="auto" w:fill="auto"/>
          </w:tcPr>
          <w:p w:rsidR="00C55DF6" w:rsidRPr="00401691" w:rsidRDefault="00C55DF6" w:rsidP="008441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val="ro-MD" w:eastAsia="ru-RU"/>
              </w:rPr>
            </w:pPr>
            <w:r w:rsidRPr="00401691">
              <w:rPr>
                <w:rFonts w:asciiTheme="majorHAnsi" w:eastAsia="Times New Roman" w:hAnsiTheme="majorHAnsi" w:cstheme="majorHAnsi"/>
                <w:b/>
                <w:color w:val="000000"/>
                <w:sz w:val="20"/>
                <w:szCs w:val="20"/>
                <w:lang w:val="ro-MD" w:eastAsia="ru-RU"/>
              </w:rPr>
              <w:t>145</w:t>
            </w:r>
          </w:p>
        </w:tc>
        <w:tc>
          <w:tcPr>
            <w:tcW w:w="1259" w:type="dxa"/>
            <w:tcBorders>
              <w:left w:val="thinThickLargeGap" w:sz="2" w:space="0" w:color="auto"/>
            </w:tcBorders>
            <w:shd w:val="clear" w:color="auto" w:fill="auto"/>
            <w:vAlign w:val="center"/>
          </w:tcPr>
          <w:p w:rsidR="00C55DF6" w:rsidRPr="00401691" w:rsidRDefault="00C55DF6" w:rsidP="00844145">
            <w:pPr>
              <w:spacing w:line="276" w:lineRule="auto"/>
              <w:jc w:val="right"/>
              <w:outlineLvl w:val="3"/>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themeColor="text1"/>
                <w:sz w:val="18"/>
                <w:szCs w:val="18"/>
                <w:lang w:val="ro-MD"/>
              </w:rPr>
            </w:pPr>
            <w:r w:rsidRPr="00401691">
              <w:rPr>
                <w:rFonts w:asciiTheme="majorHAnsi" w:hAnsiTheme="majorHAnsi" w:cstheme="majorHAnsi"/>
                <w:b/>
                <w:bCs/>
                <w:color w:val="000000" w:themeColor="text1"/>
                <w:sz w:val="18"/>
                <w:szCs w:val="18"/>
                <w:lang w:val="ro-MD"/>
              </w:rPr>
              <w:t>93,155.5</w:t>
            </w:r>
          </w:p>
        </w:tc>
        <w:tc>
          <w:tcPr>
            <w:tcW w:w="1259" w:type="dxa"/>
            <w:tcBorders>
              <w:right w:val="thinThickLargeGap" w:sz="2" w:space="0" w:color="auto"/>
            </w:tcBorders>
            <w:shd w:val="clear" w:color="auto" w:fill="auto"/>
            <w:vAlign w:val="center"/>
          </w:tcPr>
          <w:p w:rsidR="00C55DF6" w:rsidRPr="00401691" w:rsidRDefault="00C55DF6" w:rsidP="00844145">
            <w:pPr>
              <w:spacing w:line="276" w:lineRule="auto"/>
              <w:jc w:val="right"/>
              <w:outlineLvl w:val="3"/>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595959" w:themeColor="text1" w:themeTint="A6"/>
                <w:sz w:val="18"/>
                <w:szCs w:val="18"/>
                <w:lang w:val="ro-MD"/>
              </w:rPr>
            </w:pPr>
            <w:r w:rsidRPr="00401691">
              <w:rPr>
                <w:rFonts w:asciiTheme="majorHAnsi" w:hAnsiTheme="majorHAnsi" w:cstheme="majorHAnsi"/>
                <w:b/>
                <w:bCs/>
                <w:color w:val="595959" w:themeColor="text1" w:themeTint="A6"/>
                <w:sz w:val="18"/>
                <w:szCs w:val="18"/>
                <w:lang w:val="ro-MD"/>
              </w:rPr>
              <w:t>74,717.3</w:t>
            </w:r>
          </w:p>
        </w:tc>
        <w:tc>
          <w:tcPr>
            <w:tcW w:w="1245" w:type="dxa"/>
            <w:gridSpan w:val="2"/>
            <w:tcBorders>
              <w:left w:val="thinThickLargeGap" w:sz="2" w:space="0" w:color="auto"/>
            </w:tcBorders>
            <w:shd w:val="clear" w:color="auto" w:fill="auto"/>
            <w:vAlign w:val="center"/>
          </w:tcPr>
          <w:p w:rsidR="00C55DF6" w:rsidRPr="00401691" w:rsidRDefault="00C55DF6" w:rsidP="00844145">
            <w:pPr>
              <w:spacing w:line="276" w:lineRule="auto"/>
              <w:jc w:val="right"/>
              <w:outlineLvl w:val="3"/>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8"/>
                <w:szCs w:val="18"/>
                <w:lang w:val="ro-MD"/>
              </w:rPr>
            </w:pPr>
            <w:r w:rsidRPr="00401691">
              <w:rPr>
                <w:rFonts w:asciiTheme="majorHAnsi" w:hAnsiTheme="majorHAnsi" w:cstheme="majorHAnsi"/>
                <w:b/>
                <w:bCs/>
                <w:sz w:val="18"/>
                <w:szCs w:val="18"/>
                <w:lang w:val="ro-MD"/>
              </w:rPr>
              <w:t>101,530.8</w:t>
            </w:r>
          </w:p>
        </w:tc>
        <w:tc>
          <w:tcPr>
            <w:tcW w:w="1190" w:type="dxa"/>
            <w:tcBorders>
              <w:right w:val="thinThickLargeGap" w:sz="2" w:space="0" w:color="auto"/>
            </w:tcBorders>
            <w:shd w:val="clear" w:color="auto" w:fill="auto"/>
            <w:vAlign w:val="center"/>
          </w:tcPr>
          <w:p w:rsidR="00C55DF6" w:rsidRPr="00401691" w:rsidRDefault="00C55DF6" w:rsidP="00844145">
            <w:pPr>
              <w:spacing w:line="276" w:lineRule="auto"/>
              <w:jc w:val="right"/>
              <w:outlineLvl w:val="3"/>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8"/>
                <w:szCs w:val="18"/>
                <w:lang w:val="ro-MD"/>
              </w:rPr>
            </w:pPr>
            <w:r w:rsidRPr="00401691">
              <w:rPr>
                <w:rFonts w:asciiTheme="majorHAnsi" w:hAnsiTheme="majorHAnsi" w:cstheme="majorHAnsi"/>
                <w:b/>
                <w:bCs/>
                <w:sz w:val="18"/>
                <w:szCs w:val="18"/>
                <w:lang w:val="ro-MD"/>
              </w:rPr>
              <w:t>81,974.9</w:t>
            </w:r>
          </w:p>
        </w:tc>
        <w:tc>
          <w:tcPr>
            <w:tcW w:w="1084" w:type="dxa"/>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8,375.20</w:t>
            </w:r>
          </w:p>
        </w:tc>
        <w:tc>
          <w:tcPr>
            <w:tcW w:w="1094" w:type="dxa"/>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108.99</w:t>
            </w:r>
          </w:p>
        </w:tc>
        <w:tc>
          <w:tcPr>
            <w:tcW w:w="1152" w:type="dxa"/>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7,257.60</w:t>
            </w:r>
          </w:p>
        </w:tc>
        <w:tc>
          <w:tcPr>
            <w:tcW w:w="1004" w:type="dxa"/>
            <w:tcBorders>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109.71</w:t>
            </w:r>
          </w:p>
        </w:tc>
        <w:tc>
          <w:tcPr>
            <w:tcW w:w="958" w:type="dxa"/>
            <w:gridSpan w:val="3"/>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0.05</w:t>
            </w:r>
          </w:p>
        </w:tc>
        <w:tc>
          <w:tcPr>
            <w:tcW w:w="900" w:type="dxa"/>
            <w:gridSpan w:val="2"/>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0.04</w:t>
            </w:r>
          </w:p>
        </w:tc>
      </w:tr>
      <w:tr w:rsidR="00C55DF6" w:rsidRPr="00401691" w:rsidTr="00A353BB">
        <w:trPr>
          <w:gridAfter w:val="1"/>
          <w:wAfter w:w="6" w:type="dxa"/>
        </w:trPr>
        <w:tc>
          <w:tcPr>
            <w:cnfStyle w:val="001000000000" w:firstRow="0" w:lastRow="0" w:firstColumn="1" w:lastColumn="0" w:oddVBand="0" w:evenVBand="0" w:oddHBand="0" w:evenHBand="0" w:firstRowFirstColumn="0" w:firstRowLastColumn="0" w:lastRowFirstColumn="0" w:lastRowLastColumn="0"/>
            <w:tcW w:w="3426" w:type="dxa"/>
            <w:tcBorders>
              <w:right w:val="thinThickLargeGap" w:sz="24" w:space="0" w:color="auto"/>
            </w:tcBorders>
            <w:shd w:val="clear" w:color="auto" w:fill="F2F2F2" w:themeFill="background1" w:themeFillShade="F2"/>
          </w:tcPr>
          <w:p w:rsidR="00C55DF6" w:rsidRPr="00401691" w:rsidRDefault="00C55DF6" w:rsidP="00844145">
            <w:pPr>
              <w:pStyle w:val="ListParagraph"/>
              <w:numPr>
                <w:ilvl w:val="0"/>
                <w:numId w:val="20"/>
              </w:numPr>
              <w:spacing w:line="276" w:lineRule="auto"/>
              <w:ind w:left="438"/>
              <w:jc w:val="both"/>
              <w:rPr>
                <w:rFonts w:asciiTheme="majorHAnsi" w:eastAsia="Times New Roman" w:hAnsiTheme="majorHAnsi" w:cstheme="majorHAnsi"/>
                <w:sz w:val="20"/>
                <w:szCs w:val="20"/>
                <w:lang w:val="ro-MD" w:eastAsia="ru-RU"/>
              </w:rPr>
            </w:pPr>
            <w:r w:rsidRPr="00401691">
              <w:rPr>
                <w:rFonts w:asciiTheme="majorHAnsi" w:eastAsia="Times New Roman" w:hAnsiTheme="majorHAnsi" w:cstheme="majorHAnsi"/>
                <w:sz w:val="20"/>
                <w:szCs w:val="20"/>
                <w:lang w:val="ro-MD" w:eastAsia="ru-RU"/>
              </w:rPr>
              <w:t>Total BASS</w:t>
            </w:r>
          </w:p>
        </w:tc>
        <w:tc>
          <w:tcPr>
            <w:tcW w:w="801" w:type="dxa"/>
            <w:tcBorders>
              <w:left w:val="thinThickLargeGap" w:sz="24" w:space="0" w:color="auto"/>
              <w:right w:val="thinThickLargeGap" w:sz="2" w:space="0" w:color="auto"/>
            </w:tcBorders>
            <w:shd w:val="clear" w:color="auto" w:fill="auto"/>
          </w:tcPr>
          <w:p w:rsidR="00C55DF6" w:rsidRPr="00401691" w:rsidRDefault="00C55DF6" w:rsidP="008441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val="ro-MD" w:eastAsia="ru-RU"/>
              </w:rPr>
            </w:pPr>
          </w:p>
        </w:tc>
        <w:tc>
          <w:tcPr>
            <w:tcW w:w="1259" w:type="dxa"/>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themeColor="text1"/>
                <w:sz w:val="18"/>
                <w:szCs w:val="18"/>
                <w:lang w:val="ro-MD"/>
              </w:rPr>
            </w:pPr>
            <w:r w:rsidRPr="00401691">
              <w:rPr>
                <w:rFonts w:asciiTheme="majorHAnsi" w:hAnsiTheme="majorHAnsi" w:cstheme="majorHAnsi"/>
                <w:b/>
                <w:bCs/>
                <w:color w:val="000000" w:themeColor="text1"/>
                <w:sz w:val="18"/>
                <w:szCs w:val="18"/>
                <w:lang w:val="ro-MD"/>
              </w:rPr>
              <w:t>13,395,452.6</w:t>
            </w:r>
          </w:p>
        </w:tc>
        <w:tc>
          <w:tcPr>
            <w:tcW w:w="1259" w:type="dxa"/>
            <w:tcBorders>
              <w:right w:val="thinThickLargeGap" w:sz="6"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D9D9D9"/>
                <w:sz w:val="18"/>
                <w:szCs w:val="18"/>
                <w:lang w:val="ro-MD"/>
              </w:rPr>
            </w:pPr>
            <w:r w:rsidRPr="00401691">
              <w:rPr>
                <w:rFonts w:asciiTheme="majorHAnsi" w:hAnsiTheme="majorHAnsi" w:cstheme="majorHAnsi"/>
                <w:b/>
                <w:bCs/>
                <w:color w:val="D9D9D9"/>
                <w:sz w:val="18"/>
                <w:szCs w:val="18"/>
                <w:lang w:val="ro-MD"/>
              </w:rPr>
              <w:t>0.0</w:t>
            </w:r>
          </w:p>
        </w:tc>
        <w:tc>
          <w:tcPr>
            <w:tcW w:w="1245" w:type="dxa"/>
            <w:gridSpan w:val="2"/>
            <w:tcBorders>
              <w:left w:val="thinThickLargeGap" w:sz="6"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18"/>
                <w:szCs w:val="18"/>
                <w:lang w:val="ro-MD"/>
              </w:rPr>
            </w:pPr>
            <w:r w:rsidRPr="00401691">
              <w:rPr>
                <w:rFonts w:asciiTheme="majorHAnsi" w:hAnsiTheme="majorHAnsi" w:cstheme="majorHAnsi"/>
                <w:b/>
                <w:bCs/>
                <w:color w:val="000000"/>
                <w:sz w:val="18"/>
                <w:szCs w:val="18"/>
                <w:lang w:val="ro-MD"/>
              </w:rPr>
              <w:t>13,403,366.3</w:t>
            </w:r>
          </w:p>
        </w:tc>
        <w:tc>
          <w:tcPr>
            <w:tcW w:w="1190" w:type="dxa"/>
            <w:tcBorders>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D9D9D9"/>
                <w:sz w:val="18"/>
                <w:szCs w:val="18"/>
                <w:lang w:val="ro-MD"/>
              </w:rPr>
            </w:pPr>
            <w:r w:rsidRPr="00401691">
              <w:rPr>
                <w:rFonts w:asciiTheme="majorHAnsi" w:hAnsiTheme="majorHAnsi" w:cstheme="majorHAnsi"/>
                <w:b/>
                <w:bCs/>
                <w:color w:val="D9D9D9"/>
                <w:sz w:val="18"/>
                <w:szCs w:val="18"/>
                <w:lang w:val="ro-MD"/>
              </w:rPr>
              <w:t>0.0</w:t>
            </w:r>
          </w:p>
        </w:tc>
        <w:tc>
          <w:tcPr>
            <w:tcW w:w="1084" w:type="dxa"/>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7,913.70</w:t>
            </w:r>
          </w:p>
        </w:tc>
        <w:tc>
          <w:tcPr>
            <w:tcW w:w="1094" w:type="dxa"/>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100.06</w:t>
            </w:r>
          </w:p>
        </w:tc>
        <w:tc>
          <w:tcPr>
            <w:tcW w:w="1152" w:type="dxa"/>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D9D9D9"/>
                <w:sz w:val="18"/>
                <w:szCs w:val="18"/>
                <w:lang w:val="ro-MD"/>
              </w:rPr>
            </w:pPr>
            <w:r w:rsidRPr="00401691">
              <w:rPr>
                <w:rFonts w:asciiTheme="majorHAnsi" w:eastAsia="Times New Roman" w:hAnsiTheme="majorHAnsi" w:cstheme="majorHAnsi"/>
                <w:color w:val="D9D9D9"/>
                <w:sz w:val="18"/>
                <w:szCs w:val="18"/>
                <w:lang w:val="ro-MD"/>
              </w:rPr>
              <w:t>0</w:t>
            </w:r>
          </w:p>
        </w:tc>
        <w:tc>
          <w:tcPr>
            <w:tcW w:w="1004" w:type="dxa"/>
            <w:tcBorders>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D9D9D9"/>
                <w:sz w:val="18"/>
                <w:szCs w:val="18"/>
                <w:lang w:val="ro-MD"/>
              </w:rPr>
            </w:pPr>
            <w:r w:rsidRPr="00401691">
              <w:rPr>
                <w:rFonts w:asciiTheme="majorHAnsi" w:eastAsia="Times New Roman" w:hAnsiTheme="majorHAnsi" w:cstheme="majorHAnsi"/>
                <w:color w:val="D9D9D9"/>
                <w:sz w:val="18"/>
                <w:szCs w:val="18"/>
                <w:lang w:val="ro-MD"/>
              </w:rPr>
              <w:t>0</w:t>
            </w:r>
          </w:p>
        </w:tc>
        <w:tc>
          <w:tcPr>
            <w:tcW w:w="958" w:type="dxa"/>
            <w:gridSpan w:val="3"/>
            <w:tcBorders>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6.38</w:t>
            </w:r>
          </w:p>
        </w:tc>
        <w:tc>
          <w:tcPr>
            <w:tcW w:w="900" w:type="dxa"/>
            <w:gridSpan w:val="2"/>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D9D9D9"/>
                <w:sz w:val="18"/>
                <w:szCs w:val="18"/>
                <w:lang w:val="ro-MD"/>
              </w:rPr>
            </w:pPr>
            <w:r w:rsidRPr="00401691">
              <w:rPr>
                <w:rFonts w:asciiTheme="majorHAnsi" w:eastAsia="Times New Roman" w:hAnsiTheme="majorHAnsi" w:cstheme="majorHAnsi"/>
                <w:color w:val="D9D9D9"/>
                <w:sz w:val="18"/>
                <w:szCs w:val="18"/>
                <w:lang w:val="ro-MD"/>
              </w:rPr>
              <w:t>0</w:t>
            </w:r>
          </w:p>
        </w:tc>
      </w:tr>
      <w:tr w:rsidR="00C55DF6" w:rsidRPr="00401691" w:rsidTr="00A353BB">
        <w:trPr>
          <w:gridAfter w:val="1"/>
          <w:wAfter w:w="6" w:type="dxa"/>
        </w:trPr>
        <w:tc>
          <w:tcPr>
            <w:cnfStyle w:val="001000000000" w:firstRow="0" w:lastRow="0" w:firstColumn="1" w:lastColumn="0" w:oddVBand="0" w:evenVBand="0" w:oddHBand="0" w:evenHBand="0" w:firstRowFirstColumn="0" w:firstRowLastColumn="0" w:lastRowFirstColumn="0" w:lastRowLastColumn="0"/>
            <w:tcW w:w="3426" w:type="dxa"/>
            <w:tcBorders>
              <w:bottom w:val="thinThickLargeGap" w:sz="12" w:space="0" w:color="auto"/>
              <w:right w:val="thinThickLargeGap" w:sz="24" w:space="0" w:color="auto"/>
            </w:tcBorders>
            <w:shd w:val="clear" w:color="auto" w:fill="F2F2F2" w:themeFill="background1" w:themeFillShade="F2"/>
          </w:tcPr>
          <w:p w:rsidR="00C55DF6" w:rsidRPr="00401691" w:rsidRDefault="00C55DF6" w:rsidP="00844145">
            <w:pPr>
              <w:pStyle w:val="ListParagraph"/>
              <w:numPr>
                <w:ilvl w:val="0"/>
                <w:numId w:val="20"/>
              </w:numPr>
              <w:spacing w:line="276" w:lineRule="auto"/>
              <w:ind w:left="438"/>
              <w:jc w:val="both"/>
              <w:rPr>
                <w:rFonts w:asciiTheme="majorHAnsi" w:eastAsia="Times New Roman" w:hAnsiTheme="majorHAnsi" w:cstheme="majorHAnsi"/>
                <w:sz w:val="20"/>
                <w:szCs w:val="20"/>
                <w:lang w:val="ro-MD" w:eastAsia="ru-RU"/>
              </w:rPr>
            </w:pPr>
            <w:r w:rsidRPr="00401691">
              <w:rPr>
                <w:rFonts w:asciiTheme="majorHAnsi" w:eastAsia="Times New Roman" w:hAnsiTheme="majorHAnsi" w:cstheme="majorHAnsi"/>
                <w:sz w:val="20"/>
                <w:szCs w:val="20"/>
                <w:lang w:val="ro-MD" w:eastAsia="ru-RU"/>
              </w:rPr>
              <w:t xml:space="preserve">Total </w:t>
            </w:r>
            <w:r w:rsidRPr="005C7A4B">
              <w:rPr>
                <w:rFonts w:asciiTheme="majorHAnsi" w:eastAsia="Times New Roman" w:hAnsiTheme="majorHAnsi" w:cstheme="majorHAnsi"/>
                <w:sz w:val="20"/>
                <w:szCs w:val="20"/>
                <w:lang w:val="ro-MD" w:eastAsia="ru-RU"/>
              </w:rPr>
              <w:t>F</w:t>
            </w:r>
            <w:r w:rsidR="0065187C" w:rsidRPr="005C7A4B">
              <w:rPr>
                <w:rFonts w:asciiTheme="majorHAnsi" w:eastAsia="Times New Roman" w:hAnsiTheme="majorHAnsi" w:cstheme="majorHAnsi"/>
                <w:sz w:val="20"/>
                <w:szCs w:val="20"/>
                <w:lang w:val="ro-MD" w:eastAsia="ru-RU"/>
              </w:rPr>
              <w:t>A</w:t>
            </w:r>
            <w:r w:rsidRPr="005C7A4B">
              <w:rPr>
                <w:rFonts w:asciiTheme="majorHAnsi" w:eastAsia="Times New Roman" w:hAnsiTheme="majorHAnsi" w:cstheme="majorHAnsi"/>
                <w:sz w:val="20"/>
                <w:szCs w:val="20"/>
                <w:lang w:val="ro-MD" w:eastAsia="ru-RU"/>
              </w:rPr>
              <w:t>OAM</w:t>
            </w:r>
          </w:p>
        </w:tc>
        <w:tc>
          <w:tcPr>
            <w:tcW w:w="801" w:type="dxa"/>
            <w:tcBorders>
              <w:left w:val="thinThickLargeGap" w:sz="24" w:space="0" w:color="auto"/>
              <w:bottom w:val="thinThickLargeGap" w:sz="12" w:space="0" w:color="auto"/>
              <w:right w:val="thinThickLargeGap" w:sz="2" w:space="0" w:color="auto"/>
            </w:tcBorders>
            <w:shd w:val="clear" w:color="auto" w:fill="auto"/>
          </w:tcPr>
          <w:p w:rsidR="00C55DF6" w:rsidRPr="00401691" w:rsidRDefault="00C55DF6" w:rsidP="008441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val="ro-MD" w:eastAsia="ru-RU"/>
              </w:rPr>
            </w:pPr>
          </w:p>
        </w:tc>
        <w:tc>
          <w:tcPr>
            <w:tcW w:w="1259" w:type="dxa"/>
            <w:tcBorders>
              <w:left w:val="thinThickLargeGap" w:sz="2" w:space="0" w:color="auto"/>
              <w:bottom w:val="thinThickLargeGap" w:sz="1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themeColor="text1"/>
                <w:sz w:val="18"/>
                <w:szCs w:val="18"/>
                <w:lang w:val="ro-MD"/>
              </w:rPr>
            </w:pPr>
            <w:r w:rsidRPr="00401691">
              <w:rPr>
                <w:rFonts w:asciiTheme="majorHAnsi" w:hAnsiTheme="majorHAnsi" w:cstheme="majorHAnsi"/>
                <w:b/>
                <w:bCs/>
                <w:color w:val="000000" w:themeColor="text1"/>
                <w:sz w:val="18"/>
                <w:szCs w:val="18"/>
                <w:lang w:val="ro-MD"/>
              </w:rPr>
              <w:t>4,740,400.0</w:t>
            </w:r>
          </w:p>
        </w:tc>
        <w:tc>
          <w:tcPr>
            <w:tcW w:w="1259" w:type="dxa"/>
            <w:tcBorders>
              <w:bottom w:val="thinThickLargeGap" w:sz="12" w:space="0" w:color="auto"/>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D9D9D9"/>
                <w:sz w:val="18"/>
                <w:szCs w:val="18"/>
                <w:lang w:val="ro-MD"/>
              </w:rPr>
            </w:pPr>
            <w:r w:rsidRPr="00401691">
              <w:rPr>
                <w:rFonts w:asciiTheme="majorHAnsi" w:hAnsiTheme="majorHAnsi" w:cstheme="majorHAnsi"/>
                <w:b/>
                <w:bCs/>
                <w:color w:val="D9D9D9"/>
                <w:sz w:val="18"/>
                <w:szCs w:val="18"/>
                <w:lang w:val="ro-MD"/>
              </w:rPr>
              <w:t>0.0</w:t>
            </w:r>
          </w:p>
        </w:tc>
        <w:tc>
          <w:tcPr>
            <w:tcW w:w="1245" w:type="dxa"/>
            <w:gridSpan w:val="2"/>
            <w:tcBorders>
              <w:left w:val="thinThickLargeGap" w:sz="2" w:space="0" w:color="auto"/>
              <w:bottom w:val="thinThickLargeGap" w:sz="1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18"/>
                <w:szCs w:val="18"/>
                <w:lang w:val="ro-MD"/>
              </w:rPr>
            </w:pPr>
            <w:r w:rsidRPr="00401691">
              <w:rPr>
                <w:rFonts w:asciiTheme="majorHAnsi" w:hAnsiTheme="majorHAnsi" w:cstheme="majorHAnsi"/>
                <w:b/>
                <w:bCs/>
                <w:color w:val="000000"/>
                <w:sz w:val="18"/>
                <w:szCs w:val="18"/>
                <w:lang w:val="ro-MD"/>
              </w:rPr>
              <w:t>4,687,167.0</w:t>
            </w:r>
          </w:p>
        </w:tc>
        <w:tc>
          <w:tcPr>
            <w:tcW w:w="1190" w:type="dxa"/>
            <w:tcBorders>
              <w:bottom w:val="thinThickLargeGap" w:sz="12" w:space="0" w:color="auto"/>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D9D9D9"/>
                <w:sz w:val="18"/>
                <w:szCs w:val="18"/>
                <w:lang w:val="ro-MD"/>
              </w:rPr>
            </w:pPr>
            <w:r w:rsidRPr="00401691">
              <w:rPr>
                <w:rFonts w:asciiTheme="majorHAnsi" w:hAnsiTheme="majorHAnsi" w:cstheme="majorHAnsi"/>
                <w:b/>
                <w:bCs/>
                <w:color w:val="D9D9D9"/>
                <w:sz w:val="18"/>
                <w:szCs w:val="18"/>
                <w:lang w:val="ro-MD"/>
              </w:rPr>
              <w:t>0.0</w:t>
            </w:r>
          </w:p>
        </w:tc>
        <w:tc>
          <w:tcPr>
            <w:tcW w:w="1084" w:type="dxa"/>
            <w:tcBorders>
              <w:left w:val="thinThickLargeGap" w:sz="2" w:space="0" w:color="auto"/>
              <w:bottom w:val="thinThickLargeGap" w:sz="1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-53,233.00</w:t>
            </w:r>
          </w:p>
        </w:tc>
        <w:tc>
          <w:tcPr>
            <w:tcW w:w="1094" w:type="dxa"/>
            <w:tcBorders>
              <w:bottom w:val="thinThickLargeGap" w:sz="1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98.88</w:t>
            </w:r>
          </w:p>
        </w:tc>
        <w:tc>
          <w:tcPr>
            <w:tcW w:w="1152" w:type="dxa"/>
            <w:tcBorders>
              <w:bottom w:val="thinThickLargeGap" w:sz="1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D9D9D9"/>
                <w:sz w:val="18"/>
                <w:szCs w:val="18"/>
                <w:lang w:val="ro-MD"/>
              </w:rPr>
            </w:pPr>
            <w:r w:rsidRPr="00401691">
              <w:rPr>
                <w:rFonts w:asciiTheme="majorHAnsi" w:eastAsia="Times New Roman" w:hAnsiTheme="majorHAnsi" w:cstheme="majorHAnsi"/>
                <w:color w:val="D9D9D9"/>
                <w:sz w:val="18"/>
                <w:szCs w:val="18"/>
                <w:lang w:val="ro-MD"/>
              </w:rPr>
              <w:t>0</w:t>
            </w:r>
          </w:p>
        </w:tc>
        <w:tc>
          <w:tcPr>
            <w:tcW w:w="1004" w:type="dxa"/>
            <w:tcBorders>
              <w:bottom w:val="thinThickLargeGap" w:sz="12" w:space="0" w:color="auto"/>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D9D9D9"/>
                <w:sz w:val="18"/>
                <w:szCs w:val="18"/>
                <w:lang w:val="ro-MD"/>
              </w:rPr>
            </w:pPr>
            <w:r w:rsidRPr="00401691">
              <w:rPr>
                <w:rFonts w:asciiTheme="majorHAnsi" w:eastAsia="Times New Roman" w:hAnsiTheme="majorHAnsi" w:cstheme="majorHAnsi"/>
                <w:color w:val="D9D9D9"/>
                <w:sz w:val="18"/>
                <w:szCs w:val="18"/>
                <w:lang w:val="ro-MD"/>
              </w:rPr>
              <w:t>0</w:t>
            </w:r>
          </w:p>
        </w:tc>
        <w:tc>
          <w:tcPr>
            <w:tcW w:w="958" w:type="dxa"/>
            <w:gridSpan w:val="3"/>
            <w:tcBorders>
              <w:left w:val="thinThickLargeGap" w:sz="2" w:space="0" w:color="auto"/>
              <w:bottom w:val="thinThickLargeGap" w:sz="1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2.23</w:t>
            </w:r>
          </w:p>
        </w:tc>
        <w:tc>
          <w:tcPr>
            <w:tcW w:w="900" w:type="dxa"/>
            <w:gridSpan w:val="2"/>
            <w:tcBorders>
              <w:bottom w:val="thinThickLargeGap" w:sz="1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D9D9D9"/>
                <w:sz w:val="18"/>
                <w:szCs w:val="18"/>
                <w:lang w:val="ro-MD"/>
              </w:rPr>
            </w:pPr>
            <w:r w:rsidRPr="00401691">
              <w:rPr>
                <w:rFonts w:asciiTheme="majorHAnsi" w:eastAsia="Times New Roman" w:hAnsiTheme="majorHAnsi" w:cstheme="majorHAnsi"/>
                <w:color w:val="D9D9D9"/>
                <w:sz w:val="18"/>
                <w:szCs w:val="18"/>
                <w:lang w:val="ro-MD"/>
              </w:rPr>
              <w:t>0</w:t>
            </w:r>
          </w:p>
        </w:tc>
      </w:tr>
      <w:tr w:rsidR="00C55DF6" w:rsidRPr="00401691" w:rsidTr="00A353BB">
        <w:trPr>
          <w:gridAfter w:val="1"/>
          <w:wAfter w:w="6" w:type="dxa"/>
        </w:trPr>
        <w:tc>
          <w:tcPr>
            <w:cnfStyle w:val="001000000000" w:firstRow="0" w:lastRow="0" w:firstColumn="1" w:lastColumn="0" w:oddVBand="0" w:evenVBand="0" w:oddHBand="0" w:evenHBand="0" w:firstRowFirstColumn="0" w:firstRowLastColumn="0" w:lastRowFirstColumn="0" w:lastRowLastColumn="0"/>
            <w:tcW w:w="3426" w:type="dxa"/>
            <w:tcBorders>
              <w:top w:val="thinThickLargeGap" w:sz="12" w:space="0" w:color="auto"/>
              <w:right w:val="thinThickLargeGap" w:sz="24" w:space="0" w:color="auto"/>
            </w:tcBorders>
            <w:shd w:val="clear" w:color="auto" w:fill="F2F2F2" w:themeFill="background1" w:themeFillShade="F2"/>
          </w:tcPr>
          <w:p w:rsidR="00C55DF6" w:rsidRPr="00401691" w:rsidRDefault="00C55DF6" w:rsidP="00844145">
            <w:pPr>
              <w:spacing w:line="276" w:lineRule="auto"/>
              <w:jc w:val="both"/>
              <w:rPr>
                <w:rFonts w:asciiTheme="majorHAnsi" w:hAnsiTheme="majorHAnsi" w:cstheme="majorHAnsi"/>
                <w:bCs w:val="0"/>
                <w:color w:val="000000"/>
                <w:sz w:val="20"/>
                <w:szCs w:val="20"/>
                <w:lang w:val="ro-MD"/>
              </w:rPr>
            </w:pPr>
            <w:r w:rsidRPr="00401691">
              <w:rPr>
                <w:rFonts w:asciiTheme="majorHAnsi" w:hAnsiTheme="majorHAnsi" w:cstheme="majorHAnsi"/>
                <w:bCs w:val="0"/>
                <w:color w:val="000000"/>
                <w:sz w:val="20"/>
                <w:szCs w:val="20"/>
                <w:lang w:val="ro-MD"/>
              </w:rPr>
              <w:t xml:space="preserve">TOTAL VENITURI ÎNCASATE LA BPN </w:t>
            </w:r>
          </w:p>
          <w:p w:rsidR="00C55DF6" w:rsidRPr="00401691" w:rsidRDefault="00C55DF6" w:rsidP="00844145">
            <w:pPr>
              <w:spacing w:line="276" w:lineRule="auto"/>
              <w:jc w:val="both"/>
              <w:rPr>
                <w:rFonts w:asciiTheme="majorHAnsi" w:eastAsia="Times New Roman" w:hAnsiTheme="majorHAnsi" w:cstheme="majorHAnsi"/>
                <w:sz w:val="20"/>
                <w:szCs w:val="20"/>
                <w:lang w:val="ro-MD" w:eastAsia="ru-RU"/>
              </w:rPr>
            </w:pPr>
          </w:p>
        </w:tc>
        <w:tc>
          <w:tcPr>
            <w:tcW w:w="801" w:type="dxa"/>
            <w:tcBorders>
              <w:top w:val="thinThickLargeGap" w:sz="12" w:space="0" w:color="auto"/>
              <w:left w:val="thinThickLargeGap" w:sz="24" w:space="0" w:color="auto"/>
              <w:right w:val="thinThickLargeGap" w:sz="2" w:space="0" w:color="auto"/>
            </w:tcBorders>
            <w:shd w:val="clear" w:color="auto" w:fill="auto"/>
          </w:tcPr>
          <w:p w:rsidR="00C55DF6" w:rsidRPr="00401691" w:rsidRDefault="00C55DF6" w:rsidP="008441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val="ro-MD" w:eastAsia="ru-RU"/>
              </w:rPr>
            </w:pPr>
          </w:p>
        </w:tc>
        <w:tc>
          <w:tcPr>
            <w:tcW w:w="1259" w:type="dxa"/>
            <w:tcBorders>
              <w:top w:val="thinThickLargeGap" w:sz="12" w:space="0" w:color="auto"/>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themeColor="text1"/>
                <w:sz w:val="18"/>
                <w:szCs w:val="18"/>
                <w:lang w:val="ro-MD"/>
              </w:rPr>
            </w:pPr>
            <w:r w:rsidRPr="00401691">
              <w:rPr>
                <w:rFonts w:asciiTheme="majorHAnsi" w:hAnsiTheme="majorHAnsi" w:cstheme="majorHAnsi"/>
                <w:b/>
                <w:bCs/>
                <w:color w:val="000000" w:themeColor="text1"/>
                <w:sz w:val="18"/>
                <w:szCs w:val="18"/>
                <w:lang w:val="ro-MD"/>
              </w:rPr>
              <w:t>39,063,209.4</w:t>
            </w:r>
          </w:p>
        </w:tc>
        <w:tc>
          <w:tcPr>
            <w:tcW w:w="1259" w:type="dxa"/>
            <w:tcBorders>
              <w:top w:val="thinThickLargeGap" w:sz="12" w:space="0" w:color="auto"/>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595959" w:themeColor="text1" w:themeTint="A6"/>
                <w:sz w:val="18"/>
                <w:szCs w:val="18"/>
                <w:lang w:val="ro-MD"/>
              </w:rPr>
            </w:pPr>
            <w:r w:rsidRPr="00401691">
              <w:rPr>
                <w:rFonts w:asciiTheme="majorHAnsi" w:hAnsiTheme="majorHAnsi" w:cstheme="majorHAnsi"/>
                <w:b/>
                <w:bCs/>
                <w:color w:val="595959" w:themeColor="text1" w:themeTint="A6"/>
                <w:sz w:val="18"/>
                <w:szCs w:val="18"/>
                <w:lang w:val="ro-MD"/>
              </w:rPr>
              <w:t>17,281,136.2</w:t>
            </w:r>
          </w:p>
        </w:tc>
        <w:tc>
          <w:tcPr>
            <w:tcW w:w="1245" w:type="dxa"/>
            <w:gridSpan w:val="2"/>
            <w:tcBorders>
              <w:top w:val="thinThickLargeGap" w:sz="12" w:space="0" w:color="auto"/>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18"/>
                <w:szCs w:val="18"/>
                <w:lang w:val="ro-MD"/>
              </w:rPr>
            </w:pPr>
            <w:r w:rsidRPr="00401691">
              <w:rPr>
                <w:rFonts w:asciiTheme="majorHAnsi" w:hAnsiTheme="majorHAnsi" w:cstheme="majorHAnsi"/>
                <w:b/>
                <w:bCs/>
                <w:color w:val="000000"/>
                <w:sz w:val="18"/>
                <w:szCs w:val="18"/>
                <w:lang w:val="ro-MD"/>
              </w:rPr>
              <w:t>39,135,053.3</w:t>
            </w:r>
          </w:p>
        </w:tc>
        <w:tc>
          <w:tcPr>
            <w:tcW w:w="1190" w:type="dxa"/>
            <w:tcBorders>
              <w:top w:val="thinThickLargeGap" w:sz="12" w:space="0" w:color="auto"/>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18"/>
                <w:szCs w:val="18"/>
                <w:lang w:val="ro-MD"/>
              </w:rPr>
            </w:pPr>
            <w:r w:rsidRPr="00401691">
              <w:rPr>
                <w:rFonts w:asciiTheme="majorHAnsi" w:hAnsiTheme="majorHAnsi" w:cstheme="majorHAnsi"/>
                <w:b/>
                <w:bCs/>
                <w:color w:val="000000"/>
                <w:sz w:val="18"/>
                <w:szCs w:val="18"/>
                <w:lang w:val="ro-MD"/>
              </w:rPr>
              <w:t>17,236,007.1</w:t>
            </w:r>
          </w:p>
        </w:tc>
        <w:tc>
          <w:tcPr>
            <w:tcW w:w="1084" w:type="dxa"/>
            <w:tcBorders>
              <w:top w:val="thinThickLargeGap" w:sz="12" w:space="0" w:color="auto"/>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71,843.90</w:t>
            </w:r>
          </w:p>
        </w:tc>
        <w:tc>
          <w:tcPr>
            <w:tcW w:w="1094" w:type="dxa"/>
            <w:tcBorders>
              <w:top w:val="thinThickLargeGap" w:sz="1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100.20%</w:t>
            </w:r>
          </w:p>
        </w:tc>
        <w:tc>
          <w:tcPr>
            <w:tcW w:w="1152" w:type="dxa"/>
            <w:tcBorders>
              <w:top w:val="thinThickLargeGap" w:sz="1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-45,129.10</w:t>
            </w:r>
          </w:p>
        </w:tc>
        <w:tc>
          <w:tcPr>
            <w:tcW w:w="1004" w:type="dxa"/>
            <w:tcBorders>
              <w:top w:val="thinThickLargeGap" w:sz="12" w:space="0" w:color="auto"/>
              <w:righ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99.74</w:t>
            </w:r>
          </w:p>
        </w:tc>
        <w:tc>
          <w:tcPr>
            <w:tcW w:w="958" w:type="dxa"/>
            <w:gridSpan w:val="3"/>
            <w:tcBorders>
              <w:top w:val="thinThickLargeGap" w:sz="12" w:space="0" w:color="auto"/>
              <w:left w:val="thinThickLargeGap" w:sz="2" w:space="0" w:color="auto"/>
            </w:tcBorders>
            <w:shd w:val="clear" w:color="auto" w:fill="auto"/>
            <w:vAlign w:val="center"/>
          </w:tcPr>
          <w:p w:rsidR="00C55DF6" w:rsidRPr="00401691" w:rsidRDefault="00C55DF6" w:rsidP="008441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18.63</w:t>
            </w:r>
          </w:p>
        </w:tc>
        <w:tc>
          <w:tcPr>
            <w:tcW w:w="900" w:type="dxa"/>
            <w:gridSpan w:val="2"/>
            <w:tcBorders>
              <w:top w:val="thinThickLargeGap" w:sz="12" w:space="0" w:color="auto"/>
            </w:tcBorders>
            <w:shd w:val="clear" w:color="auto" w:fill="auto"/>
            <w:vAlign w:val="center"/>
          </w:tcPr>
          <w:p w:rsidR="00C55DF6" w:rsidRPr="00401691" w:rsidRDefault="00C55DF6" w:rsidP="008441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8.20</w:t>
            </w:r>
          </w:p>
        </w:tc>
      </w:tr>
    </w:tbl>
    <w:p w:rsidR="00C55DF6" w:rsidRPr="00401691" w:rsidRDefault="00C55DF6" w:rsidP="00844145">
      <w:pPr>
        <w:spacing w:after="0" w:line="276" w:lineRule="auto"/>
        <w:jc w:val="both"/>
        <w:rPr>
          <w:rFonts w:asciiTheme="majorHAnsi" w:eastAsia="Times New Roman" w:hAnsiTheme="majorHAnsi" w:cstheme="majorHAnsi"/>
          <w:sz w:val="18"/>
          <w:szCs w:val="18"/>
          <w:lang w:val="ro-MD" w:eastAsia="ru-RU"/>
        </w:rPr>
      </w:pPr>
      <w:r w:rsidRPr="00401691">
        <w:rPr>
          <w:rFonts w:asciiTheme="majorHAnsi" w:eastAsia="Times New Roman" w:hAnsiTheme="majorHAnsi" w:cstheme="majorHAnsi"/>
          <w:b/>
          <w:sz w:val="18"/>
          <w:szCs w:val="18"/>
          <w:lang w:val="ro-MD" w:eastAsia="ru-RU"/>
        </w:rPr>
        <w:t xml:space="preserve">* </w:t>
      </w:r>
      <w:r w:rsidRPr="00401691">
        <w:rPr>
          <w:rFonts w:asciiTheme="majorHAnsi" w:eastAsia="Times New Roman" w:hAnsiTheme="majorHAnsi" w:cstheme="majorHAnsi"/>
          <w:sz w:val="18"/>
          <w:szCs w:val="18"/>
          <w:lang w:val="ro-MD" w:eastAsia="ru-RU"/>
        </w:rPr>
        <w:t>Produsul intern brut luat în calcul pentru anul 2019, conform datelor BNS</w:t>
      </w:r>
      <w:r w:rsidR="005D4EE6">
        <w:rPr>
          <w:rFonts w:asciiTheme="majorHAnsi" w:eastAsia="Times New Roman" w:hAnsiTheme="majorHAnsi" w:cstheme="majorHAnsi"/>
          <w:sz w:val="18"/>
          <w:szCs w:val="18"/>
          <w:lang w:val="ro-MD" w:eastAsia="ru-RU"/>
        </w:rPr>
        <w:t>,</w:t>
      </w:r>
      <w:r w:rsidRPr="00401691">
        <w:rPr>
          <w:rFonts w:asciiTheme="majorHAnsi" w:eastAsia="Times New Roman" w:hAnsiTheme="majorHAnsi" w:cstheme="majorHAnsi"/>
          <w:sz w:val="18"/>
          <w:szCs w:val="18"/>
          <w:lang w:val="ro-MD" w:eastAsia="ru-RU"/>
        </w:rPr>
        <w:t xml:space="preserve"> este de 210,099.0 mil. </w:t>
      </w:r>
      <w:r w:rsidR="005D4EE6">
        <w:rPr>
          <w:rFonts w:asciiTheme="majorHAnsi" w:eastAsia="Times New Roman" w:hAnsiTheme="majorHAnsi" w:cstheme="majorHAnsi"/>
          <w:sz w:val="18"/>
          <w:szCs w:val="18"/>
          <w:lang w:val="ro-MD" w:eastAsia="ru-RU"/>
        </w:rPr>
        <w:t>lei.</w:t>
      </w:r>
    </w:p>
    <w:p w:rsidR="00C55DF6" w:rsidRPr="004A41A9" w:rsidRDefault="00C55DF6" w:rsidP="00844145">
      <w:pPr>
        <w:spacing w:after="0" w:line="276" w:lineRule="auto"/>
        <w:jc w:val="both"/>
        <w:rPr>
          <w:rFonts w:asciiTheme="majorHAnsi" w:eastAsia="Times New Roman" w:hAnsiTheme="majorHAnsi" w:cstheme="majorHAnsi"/>
          <w:i/>
          <w:sz w:val="18"/>
          <w:szCs w:val="18"/>
          <w:lang w:val="ro-MD" w:eastAsia="ru-RU"/>
        </w:rPr>
      </w:pPr>
      <w:r w:rsidRPr="004A41A9">
        <w:rPr>
          <w:rFonts w:asciiTheme="majorHAnsi" w:eastAsia="Times New Roman" w:hAnsiTheme="majorHAnsi" w:cstheme="majorHAnsi"/>
          <w:b/>
          <w:i/>
          <w:sz w:val="18"/>
          <w:szCs w:val="18"/>
          <w:lang w:val="ro-MD" w:eastAsia="ru-RU"/>
        </w:rPr>
        <w:t>Sursă:</w:t>
      </w:r>
      <w:r w:rsidRPr="004A41A9">
        <w:rPr>
          <w:rFonts w:asciiTheme="majorHAnsi" w:eastAsia="Times New Roman" w:hAnsiTheme="majorHAnsi" w:cstheme="majorHAnsi"/>
          <w:i/>
          <w:sz w:val="18"/>
          <w:szCs w:val="18"/>
          <w:lang w:val="ro-MD" w:eastAsia="ru-RU"/>
        </w:rPr>
        <w:t xml:space="preserve"> Date generalizate de echipa de audit conform Rapoartelor privind executarea bugetului de stat pe anul 2019, Formularul nr.2.</w:t>
      </w:r>
    </w:p>
    <w:p w:rsidR="00C55DF6" w:rsidRPr="00401691" w:rsidRDefault="00C55DF6" w:rsidP="00844145">
      <w:pPr>
        <w:spacing w:after="0" w:line="276" w:lineRule="auto"/>
        <w:jc w:val="both"/>
        <w:rPr>
          <w:rFonts w:asciiTheme="majorHAnsi" w:hAnsiTheme="majorHAnsi" w:cstheme="majorHAnsi"/>
          <w:i/>
          <w:sz w:val="24"/>
          <w:szCs w:val="24"/>
          <w:lang w:val="ro-MD"/>
        </w:rPr>
      </w:pPr>
    </w:p>
    <w:p w:rsidR="00C55DF6" w:rsidRPr="00401691" w:rsidRDefault="00C55DF6" w:rsidP="00844145">
      <w:pPr>
        <w:spacing w:after="0" w:line="276" w:lineRule="auto"/>
        <w:jc w:val="right"/>
        <w:rPr>
          <w:rFonts w:asciiTheme="majorHAnsi" w:hAnsiTheme="majorHAnsi" w:cstheme="majorHAnsi"/>
          <w:i/>
          <w:sz w:val="24"/>
          <w:szCs w:val="24"/>
          <w:lang w:val="ro-MD"/>
        </w:rPr>
      </w:pPr>
    </w:p>
    <w:p w:rsidR="00C55DF6" w:rsidRPr="00401691" w:rsidRDefault="00C55DF6" w:rsidP="00844145">
      <w:pPr>
        <w:spacing w:after="0" w:line="276" w:lineRule="auto"/>
        <w:jc w:val="right"/>
        <w:rPr>
          <w:rFonts w:asciiTheme="majorHAnsi" w:hAnsiTheme="majorHAnsi" w:cstheme="majorHAnsi"/>
          <w:i/>
          <w:sz w:val="24"/>
          <w:szCs w:val="24"/>
          <w:lang w:val="ro-MD"/>
        </w:rPr>
      </w:pPr>
    </w:p>
    <w:p w:rsidR="00C55DF6" w:rsidRPr="00401691" w:rsidRDefault="00C55DF6" w:rsidP="00844145">
      <w:pPr>
        <w:spacing w:after="0" w:line="276" w:lineRule="auto"/>
        <w:jc w:val="right"/>
        <w:rPr>
          <w:rFonts w:asciiTheme="majorHAnsi" w:hAnsiTheme="majorHAnsi" w:cstheme="majorHAnsi"/>
          <w:i/>
          <w:sz w:val="24"/>
          <w:szCs w:val="24"/>
          <w:lang w:val="ro-MD"/>
        </w:rPr>
      </w:pPr>
    </w:p>
    <w:p w:rsidR="00C55DF6" w:rsidRPr="00401691" w:rsidRDefault="00C55DF6" w:rsidP="00844145">
      <w:pPr>
        <w:spacing w:after="0" w:line="276" w:lineRule="auto"/>
        <w:jc w:val="right"/>
        <w:rPr>
          <w:rFonts w:asciiTheme="majorHAnsi" w:hAnsiTheme="majorHAnsi" w:cstheme="majorHAnsi"/>
          <w:i/>
          <w:sz w:val="24"/>
          <w:szCs w:val="24"/>
          <w:lang w:val="ro-MD"/>
        </w:rPr>
        <w:sectPr w:rsidR="00C55DF6" w:rsidRPr="00401691" w:rsidSect="00A353BB">
          <w:pgSz w:w="15840" w:h="12240" w:orient="landscape"/>
          <w:pgMar w:top="1354" w:right="1138" w:bottom="850" w:left="1138" w:header="720" w:footer="720" w:gutter="0"/>
          <w:cols w:space="720"/>
          <w:docGrid w:linePitch="360"/>
        </w:sectPr>
      </w:pPr>
    </w:p>
    <w:p w:rsidR="00C55DF6" w:rsidRPr="00401691" w:rsidRDefault="00C55DF6" w:rsidP="00844145">
      <w:pPr>
        <w:spacing w:after="0" w:line="276" w:lineRule="auto"/>
        <w:jc w:val="right"/>
        <w:rPr>
          <w:rFonts w:asciiTheme="majorHAnsi" w:hAnsiTheme="majorHAnsi" w:cstheme="majorHAnsi"/>
          <w:i/>
          <w:sz w:val="24"/>
          <w:szCs w:val="24"/>
          <w:lang w:val="ro-MD"/>
        </w:rPr>
      </w:pPr>
      <w:r w:rsidRPr="00401691">
        <w:rPr>
          <w:rFonts w:asciiTheme="majorHAnsi" w:hAnsiTheme="majorHAnsi" w:cstheme="majorHAnsi"/>
          <w:i/>
          <w:sz w:val="24"/>
          <w:szCs w:val="24"/>
          <w:lang w:val="ro-MD"/>
        </w:rPr>
        <w:t>Anexa nr. 3</w:t>
      </w:r>
    </w:p>
    <w:tbl>
      <w:tblPr>
        <w:tblW w:w="10073" w:type="dxa"/>
        <w:tblLook w:val="04A0" w:firstRow="1" w:lastRow="0" w:firstColumn="1" w:lastColumn="0" w:noHBand="0" w:noVBand="1"/>
      </w:tblPr>
      <w:tblGrid>
        <w:gridCol w:w="640"/>
        <w:gridCol w:w="6200"/>
        <w:gridCol w:w="1046"/>
        <w:gridCol w:w="754"/>
        <w:gridCol w:w="1407"/>
        <w:gridCol w:w="26"/>
      </w:tblGrid>
      <w:tr w:rsidR="00924FD8" w:rsidRPr="00401691" w:rsidTr="006D2173">
        <w:trPr>
          <w:trHeight w:val="288"/>
        </w:trPr>
        <w:tc>
          <w:tcPr>
            <w:tcW w:w="10073" w:type="dxa"/>
            <w:gridSpan w:val="6"/>
            <w:tcBorders>
              <w:top w:val="nil"/>
              <w:left w:val="nil"/>
              <w:bottom w:val="nil"/>
              <w:right w:val="nil"/>
            </w:tcBorders>
          </w:tcPr>
          <w:p w:rsidR="00924FD8" w:rsidRPr="00AA4F71" w:rsidRDefault="00924FD8" w:rsidP="00844145">
            <w:pPr>
              <w:spacing w:after="0" w:line="276" w:lineRule="auto"/>
              <w:jc w:val="center"/>
              <w:rPr>
                <w:rFonts w:asciiTheme="majorHAnsi" w:eastAsia="Times New Roman" w:hAnsiTheme="majorHAnsi" w:cstheme="majorHAnsi"/>
                <w:b/>
                <w:iCs/>
                <w:color w:val="000000"/>
                <w:sz w:val="24"/>
                <w:szCs w:val="24"/>
                <w:lang w:val="ro-MD"/>
              </w:rPr>
            </w:pPr>
            <w:r w:rsidRPr="00AA4F71">
              <w:rPr>
                <w:rFonts w:asciiTheme="majorHAnsi" w:eastAsia="Times New Roman" w:hAnsiTheme="majorHAnsi" w:cstheme="majorHAnsi"/>
                <w:b/>
                <w:iCs/>
                <w:color w:val="000000"/>
                <w:sz w:val="24"/>
                <w:szCs w:val="24"/>
                <w:lang w:val="ro-MD"/>
              </w:rPr>
              <w:t xml:space="preserve">Informația </w:t>
            </w:r>
            <w:r w:rsidR="005D4EE6">
              <w:rPr>
                <w:rFonts w:asciiTheme="majorHAnsi" w:eastAsia="Times New Roman" w:hAnsiTheme="majorHAnsi" w:cstheme="majorHAnsi"/>
                <w:b/>
                <w:iCs/>
                <w:color w:val="000000"/>
                <w:sz w:val="24"/>
                <w:szCs w:val="24"/>
                <w:lang w:val="ro-MD"/>
              </w:rPr>
              <w:t>privind</w:t>
            </w:r>
            <w:r w:rsidRPr="00AA4F71">
              <w:rPr>
                <w:rFonts w:asciiTheme="majorHAnsi" w:eastAsia="Times New Roman" w:hAnsiTheme="majorHAnsi" w:cstheme="majorHAnsi"/>
                <w:b/>
                <w:iCs/>
                <w:color w:val="000000"/>
                <w:sz w:val="24"/>
                <w:szCs w:val="24"/>
                <w:lang w:val="ro-MD"/>
              </w:rPr>
              <w:t xml:space="preserve"> facilitățil</w:t>
            </w:r>
            <w:r w:rsidR="005D4EE6">
              <w:rPr>
                <w:rFonts w:asciiTheme="majorHAnsi" w:eastAsia="Times New Roman" w:hAnsiTheme="majorHAnsi" w:cstheme="majorHAnsi"/>
                <w:b/>
                <w:iCs/>
                <w:color w:val="000000"/>
                <w:sz w:val="24"/>
                <w:szCs w:val="24"/>
                <w:lang w:val="ro-MD"/>
              </w:rPr>
              <w:t>e</w:t>
            </w:r>
            <w:r w:rsidRPr="00AA4F71">
              <w:rPr>
                <w:rFonts w:asciiTheme="majorHAnsi" w:eastAsia="Times New Roman" w:hAnsiTheme="majorHAnsi" w:cstheme="majorHAnsi"/>
                <w:b/>
                <w:iCs/>
                <w:color w:val="000000"/>
                <w:sz w:val="24"/>
                <w:szCs w:val="24"/>
                <w:lang w:val="ro-MD"/>
              </w:rPr>
              <w:t xml:space="preserve"> fiscale la TVA în anul 2019</w:t>
            </w:r>
          </w:p>
        </w:tc>
      </w:tr>
      <w:tr w:rsidR="00C55DF6" w:rsidRPr="00401691" w:rsidTr="00A353BB">
        <w:trPr>
          <w:gridAfter w:val="1"/>
          <w:wAfter w:w="26" w:type="dxa"/>
          <w:trHeight w:val="288"/>
        </w:trPr>
        <w:tc>
          <w:tcPr>
            <w:tcW w:w="640" w:type="dxa"/>
            <w:tcBorders>
              <w:top w:val="nil"/>
              <w:left w:val="nil"/>
              <w:bottom w:val="nil"/>
              <w:right w:val="nil"/>
            </w:tcBorders>
            <w:shd w:val="clear" w:color="auto" w:fill="auto"/>
            <w:noWrap/>
            <w:vAlign w:val="bottom"/>
            <w:hideMark/>
          </w:tcPr>
          <w:p w:rsidR="00C55DF6" w:rsidRPr="00401691" w:rsidRDefault="00C55DF6" w:rsidP="00844145">
            <w:pPr>
              <w:spacing w:after="0" w:line="276" w:lineRule="auto"/>
              <w:rPr>
                <w:rFonts w:asciiTheme="majorHAnsi" w:eastAsia="Times New Roman" w:hAnsiTheme="majorHAnsi" w:cstheme="majorHAnsi"/>
                <w:i/>
                <w:iCs/>
                <w:color w:val="000000"/>
                <w:sz w:val="18"/>
                <w:szCs w:val="18"/>
                <w:lang w:val="ro-MD"/>
              </w:rPr>
            </w:pPr>
          </w:p>
        </w:tc>
        <w:tc>
          <w:tcPr>
            <w:tcW w:w="6200" w:type="dxa"/>
            <w:tcBorders>
              <w:top w:val="nil"/>
              <w:left w:val="nil"/>
              <w:bottom w:val="nil"/>
              <w:right w:val="nil"/>
            </w:tcBorders>
            <w:shd w:val="clear" w:color="auto" w:fill="auto"/>
            <w:noWrap/>
            <w:vAlign w:val="bottom"/>
            <w:hideMark/>
          </w:tcPr>
          <w:p w:rsidR="00C55DF6" w:rsidRPr="00401691" w:rsidRDefault="00C55DF6" w:rsidP="00844145">
            <w:pPr>
              <w:spacing w:after="0" w:line="276" w:lineRule="auto"/>
              <w:rPr>
                <w:rFonts w:asciiTheme="majorHAnsi" w:eastAsia="Times New Roman" w:hAnsiTheme="majorHAnsi" w:cstheme="majorHAnsi"/>
                <w:sz w:val="18"/>
                <w:szCs w:val="18"/>
                <w:lang w:val="ro-MD"/>
              </w:rPr>
            </w:pPr>
          </w:p>
        </w:tc>
        <w:tc>
          <w:tcPr>
            <w:tcW w:w="1046" w:type="dxa"/>
            <w:tcBorders>
              <w:top w:val="nil"/>
              <w:left w:val="nil"/>
              <w:bottom w:val="nil"/>
              <w:right w:val="nil"/>
            </w:tcBorders>
            <w:shd w:val="clear" w:color="auto" w:fill="auto"/>
            <w:noWrap/>
            <w:vAlign w:val="bottom"/>
            <w:hideMark/>
          </w:tcPr>
          <w:p w:rsidR="00C55DF6" w:rsidRPr="00401691" w:rsidRDefault="00C55DF6" w:rsidP="00844145">
            <w:pPr>
              <w:spacing w:after="0" w:line="276" w:lineRule="auto"/>
              <w:rPr>
                <w:rFonts w:asciiTheme="majorHAnsi" w:eastAsia="Times New Roman" w:hAnsiTheme="majorHAnsi" w:cstheme="majorHAnsi"/>
                <w:sz w:val="18"/>
                <w:szCs w:val="18"/>
                <w:lang w:val="ro-MD"/>
              </w:rPr>
            </w:pPr>
          </w:p>
        </w:tc>
        <w:tc>
          <w:tcPr>
            <w:tcW w:w="754" w:type="dxa"/>
            <w:tcBorders>
              <w:top w:val="nil"/>
              <w:left w:val="nil"/>
              <w:bottom w:val="single" w:sz="4" w:space="0" w:color="auto"/>
              <w:right w:val="nil"/>
            </w:tcBorders>
          </w:tcPr>
          <w:p w:rsidR="00C55DF6" w:rsidRPr="00401691" w:rsidRDefault="00C55DF6" w:rsidP="00844145">
            <w:pPr>
              <w:spacing w:after="0" w:line="276" w:lineRule="auto"/>
              <w:rPr>
                <w:rFonts w:asciiTheme="majorHAnsi" w:eastAsia="Times New Roman" w:hAnsiTheme="majorHAnsi" w:cstheme="majorHAnsi"/>
                <w:sz w:val="18"/>
                <w:szCs w:val="18"/>
                <w:lang w:val="ro-MD"/>
              </w:rPr>
            </w:pPr>
          </w:p>
        </w:tc>
        <w:tc>
          <w:tcPr>
            <w:tcW w:w="1407" w:type="dxa"/>
            <w:tcBorders>
              <w:top w:val="nil"/>
              <w:left w:val="nil"/>
              <w:bottom w:val="nil"/>
              <w:right w:val="nil"/>
            </w:tcBorders>
            <w:shd w:val="clear" w:color="auto" w:fill="auto"/>
            <w:noWrap/>
            <w:vAlign w:val="bottom"/>
            <w:hideMark/>
          </w:tcPr>
          <w:p w:rsidR="00C55DF6" w:rsidRPr="00401691" w:rsidRDefault="00C55DF6" w:rsidP="00844145">
            <w:pPr>
              <w:spacing w:after="0" w:line="276" w:lineRule="auto"/>
              <w:rPr>
                <w:rFonts w:asciiTheme="majorHAnsi" w:eastAsia="Times New Roman" w:hAnsiTheme="majorHAnsi" w:cstheme="majorHAnsi"/>
                <w:sz w:val="18"/>
                <w:szCs w:val="18"/>
                <w:lang w:val="ro-MD"/>
              </w:rPr>
            </w:pPr>
          </w:p>
        </w:tc>
      </w:tr>
      <w:tr w:rsidR="00C55DF6" w:rsidRPr="00401691" w:rsidTr="00A353BB">
        <w:trPr>
          <w:gridAfter w:val="1"/>
          <w:wAfter w:w="26" w:type="dxa"/>
          <w:trHeight w:val="449"/>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C55DF6" w:rsidRPr="00401691" w:rsidRDefault="00C55DF6" w:rsidP="00844145">
            <w:pPr>
              <w:spacing w:after="0" w:line="276" w:lineRule="auto"/>
              <w:jc w:val="center"/>
              <w:rPr>
                <w:rFonts w:asciiTheme="majorHAnsi" w:eastAsia="Times New Roman" w:hAnsiTheme="majorHAnsi" w:cstheme="majorHAnsi"/>
                <w:b/>
                <w:color w:val="000000"/>
                <w:sz w:val="18"/>
                <w:szCs w:val="18"/>
                <w:lang w:val="ro-MD"/>
              </w:rPr>
            </w:pPr>
            <w:r w:rsidRPr="00401691">
              <w:rPr>
                <w:rFonts w:asciiTheme="majorHAnsi" w:eastAsia="Times New Roman" w:hAnsiTheme="majorHAnsi" w:cstheme="majorHAnsi"/>
                <w:b/>
                <w:color w:val="000000"/>
                <w:sz w:val="18"/>
                <w:szCs w:val="18"/>
                <w:lang w:val="ro-MD"/>
              </w:rPr>
              <w:t>N</w:t>
            </w:r>
            <w:r w:rsidR="005D4EE6">
              <w:rPr>
                <w:rFonts w:asciiTheme="majorHAnsi" w:eastAsia="Times New Roman" w:hAnsiTheme="majorHAnsi" w:cstheme="majorHAnsi"/>
                <w:b/>
                <w:color w:val="000000"/>
                <w:sz w:val="18"/>
                <w:szCs w:val="18"/>
                <w:lang w:val="ro-MD"/>
              </w:rPr>
              <w:t>r. d</w:t>
            </w:r>
            <w:r w:rsidRPr="00401691">
              <w:rPr>
                <w:rFonts w:asciiTheme="majorHAnsi" w:eastAsia="Times New Roman" w:hAnsiTheme="majorHAnsi" w:cstheme="majorHAnsi"/>
                <w:b/>
                <w:color w:val="000000"/>
                <w:sz w:val="18"/>
                <w:szCs w:val="18"/>
                <w:lang w:val="ro-MD"/>
              </w:rPr>
              <w:t>/o</w:t>
            </w:r>
          </w:p>
        </w:tc>
        <w:tc>
          <w:tcPr>
            <w:tcW w:w="6200" w:type="dxa"/>
            <w:tcBorders>
              <w:top w:val="single" w:sz="4" w:space="0" w:color="auto"/>
              <w:left w:val="nil"/>
              <w:bottom w:val="single" w:sz="4" w:space="0" w:color="auto"/>
              <w:right w:val="single" w:sz="4" w:space="0" w:color="auto"/>
            </w:tcBorders>
            <w:shd w:val="clear" w:color="auto" w:fill="auto"/>
            <w:hideMark/>
          </w:tcPr>
          <w:p w:rsidR="00C55DF6" w:rsidRPr="00401691" w:rsidRDefault="00C55DF6" w:rsidP="00844145">
            <w:pPr>
              <w:spacing w:after="0" w:line="276" w:lineRule="auto"/>
              <w:jc w:val="center"/>
              <w:rPr>
                <w:rFonts w:asciiTheme="majorHAnsi" w:eastAsia="Times New Roman" w:hAnsiTheme="majorHAnsi" w:cstheme="majorHAnsi"/>
                <w:b/>
                <w:color w:val="000000"/>
                <w:sz w:val="18"/>
                <w:szCs w:val="18"/>
                <w:lang w:val="ro-MD"/>
              </w:rPr>
            </w:pPr>
            <w:r w:rsidRPr="00401691">
              <w:rPr>
                <w:rFonts w:asciiTheme="majorHAnsi" w:eastAsia="Times New Roman" w:hAnsiTheme="majorHAnsi" w:cstheme="majorHAnsi"/>
                <w:b/>
                <w:color w:val="000000"/>
                <w:sz w:val="18"/>
                <w:szCs w:val="18"/>
                <w:lang w:val="ro-MD"/>
              </w:rPr>
              <w:t xml:space="preserve">Descrierea facilității </w:t>
            </w:r>
          </w:p>
        </w:tc>
        <w:tc>
          <w:tcPr>
            <w:tcW w:w="1046" w:type="dxa"/>
            <w:tcBorders>
              <w:top w:val="single" w:sz="4" w:space="0" w:color="auto"/>
              <w:left w:val="nil"/>
              <w:bottom w:val="single" w:sz="4" w:space="0" w:color="auto"/>
              <w:right w:val="single" w:sz="4" w:space="0" w:color="auto"/>
            </w:tcBorders>
            <w:shd w:val="clear" w:color="auto" w:fill="auto"/>
            <w:hideMark/>
          </w:tcPr>
          <w:p w:rsidR="00C55DF6" w:rsidRPr="00401691" w:rsidRDefault="00C55DF6" w:rsidP="00844145">
            <w:pPr>
              <w:spacing w:after="0" w:line="276" w:lineRule="auto"/>
              <w:jc w:val="center"/>
              <w:rPr>
                <w:rFonts w:asciiTheme="majorHAnsi" w:eastAsia="Times New Roman" w:hAnsiTheme="majorHAnsi" w:cstheme="majorHAnsi"/>
                <w:b/>
                <w:color w:val="000000"/>
                <w:sz w:val="18"/>
                <w:szCs w:val="18"/>
                <w:lang w:val="ro-MD"/>
              </w:rPr>
            </w:pPr>
            <w:r w:rsidRPr="00401691">
              <w:rPr>
                <w:rFonts w:asciiTheme="majorHAnsi" w:eastAsia="Times New Roman" w:hAnsiTheme="majorHAnsi" w:cstheme="majorHAnsi"/>
                <w:b/>
                <w:color w:val="000000"/>
                <w:sz w:val="18"/>
                <w:szCs w:val="18"/>
                <w:lang w:val="ro-MD"/>
              </w:rPr>
              <w:t>Cod facilitate</w:t>
            </w:r>
          </w:p>
        </w:tc>
        <w:tc>
          <w:tcPr>
            <w:tcW w:w="754" w:type="dxa"/>
            <w:tcBorders>
              <w:top w:val="single" w:sz="4" w:space="0" w:color="auto"/>
              <w:left w:val="nil"/>
              <w:bottom w:val="single" w:sz="4" w:space="0" w:color="auto"/>
              <w:right w:val="single" w:sz="4" w:space="0" w:color="auto"/>
            </w:tcBorders>
          </w:tcPr>
          <w:p w:rsidR="00C55DF6" w:rsidRPr="00401691" w:rsidRDefault="00C55DF6" w:rsidP="00844145">
            <w:pPr>
              <w:spacing w:after="0" w:line="276" w:lineRule="auto"/>
              <w:jc w:val="center"/>
              <w:rPr>
                <w:rFonts w:asciiTheme="majorHAnsi" w:eastAsia="Times New Roman" w:hAnsiTheme="majorHAnsi" w:cstheme="majorHAnsi"/>
                <w:b/>
                <w:color w:val="000000"/>
                <w:sz w:val="18"/>
                <w:szCs w:val="18"/>
                <w:lang w:val="ro-MD"/>
              </w:rPr>
            </w:pPr>
            <w:r w:rsidRPr="00401691">
              <w:rPr>
                <w:rFonts w:asciiTheme="majorHAnsi" w:eastAsia="Times New Roman" w:hAnsiTheme="majorHAnsi" w:cstheme="majorHAnsi"/>
                <w:b/>
                <w:color w:val="000000"/>
                <w:sz w:val="18"/>
                <w:szCs w:val="18"/>
                <w:lang w:val="ro-MD"/>
              </w:rPr>
              <w:t>Temei legal</w:t>
            </w:r>
          </w:p>
        </w:tc>
        <w:tc>
          <w:tcPr>
            <w:tcW w:w="1407" w:type="dxa"/>
            <w:tcBorders>
              <w:top w:val="single" w:sz="4" w:space="0" w:color="auto"/>
              <w:left w:val="single" w:sz="4" w:space="0" w:color="auto"/>
              <w:bottom w:val="single" w:sz="4" w:space="0" w:color="auto"/>
              <w:right w:val="single" w:sz="4" w:space="0" w:color="auto"/>
            </w:tcBorders>
            <w:shd w:val="clear" w:color="auto" w:fill="auto"/>
            <w:hideMark/>
          </w:tcPr>
          <w:p w:rsidR="00C55DF6" w:rsidRPr="00401691" w:rsidRDefault="00C55DF6" w:rsidP="00844145">
            <w:pPr>
              <w:spacing w:after="0" w:line="276" w:lineRule="auto"/>
              <w:jc w:val="center"/>
              <w:rPr>
                <w:rFonts w:asciiTheme="majorHAnsi" w:eastAsia="Times New Roman" w:hAnsiTheme="majorHAnsi" w:cstheme="majorHAnsi"/>
                <w:b/>
                <w:color w:val="000000"/>
                <w:sz w:val="18"/>
                <w:szCs w:val="18"/>
                <w:lang w:val="ro-MD"/>
              </w:rPr>
            </w:pPr>
            <w:r w:rsidRPr="00401691">
              <w:rPr>
                <w:rFonts w:asciiTheme="majorHAnsi" w:eastAsia="Times New Roman" w:hAnsiTheme="majorHAnsi" w:cstheme="majorHAnsi"/>
                <w:b/>
                <w:color w:val="000000"/>
                <w:sz w:val="18"/>
                <w:szCs w:val="18"/>
                <w:lang w:val="ro-MD"/>
              </w:rPr>
              <w:t>Suma facilității acordate în anul 2019, lei</w:t>
            </w:r>
          </w:p>
        </w:tc>
      </w:tr>
      <w:tr w:rsidR="00C55DF6" w:rsidRPr="00401691" w:rsidTr="00A353BB">
        <w:trPr>
          <w:gridAfter w:val="1"/>
          <w:wAfter w:w="26" w:type="dxa"/>
          <w:trHeight w:val="288"/>
        </w:trPr>
        <w:tc>
          <w:tcPr>
            <w:tcW w:w="640" w:type="dxa"/>
            <w:tcBorders>
              <w:top w:val="nil"/>
              <w:left w:val="single" w:sz="4" w:space="0" w:color="auto"/>
              <w:bottom w:val="single" w:sz="4" w:space="0" w:color="auto"/>
              <w:right w:val="single" w:sz="4" w:space="0" w:color="auto"/>
            </w:tcBorders>
            <w:shd w:val="clear" w:color="auto" w:fill="auto"/>
            <w:noWrap/>
            <w:hideMark/>
          </w:tcPr>
          <w:p w:rsidR="00C55DF6" w:rsidRPr="00401691" w:rsidRDefault="00C55DF6" w:rsidP="00844145">
            <w:pPr>
              <w:spacing w:after="0" w:line="276"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w:t>
            </w:r>
            <w:r w:rsidR="005D4EE6">
              <w:rPr>
                <w:rFonts w:asciiTheme="majorHAnsi" w:eastAsia="Times New Roman" w:hAnsiTheme="majorHAnsi" w:cstheme="majorHAnsi"/>
                <w:color w:val="000000"/>
                <w:sz w:val="18"/>
                <w:szCs w:val="18"/>
                <w:lang w:val="ro-MD"/>
              </w:rPr>
              <w:t>.</w:t>
            </w:r>
          </w:p>
        </w:tc>
        <w:tc>
          <w:tcPr>
            <w:tcW w:w="6200" w:type="dxa"/>
            <w:tcBorders>
              <w:top w:val="nil"/>
              <w:left w:val="nil"/>
              <w:bottom w:val="single" w:sz="4" w:space="0" w:color="auto"/>
              <w:right w:val="single" w:sz="4" w:space="0" w:color="auto"/>
            </w:tcBorders>
            <w:shd w:val="clear" w:color="auto" w:fill="auto"/>
            <w:noWrap/>
            <w:hideMark/>
          </w:tcPr>
          <w:p w:rsidR="00C55DF6" w:rsidRPr="00401691" w:rsidRDefault="00C55DF6" w:rsidP="00844145">
            <w:pPr>
              <w:pStyle w:val="NormalWeb"/>
              <w:spacing w:line="276" w:lineRule="auto"/>
              <w:jc w:val="both"/>
              <w:rPr>
                <w:rFonts w:asciiTheme="majorHAnsi" w:hAnsiTheme="majorHAnsi" w:cstheme="majorHAnsi"/>
                <w:color w:val="000000"/>
                <w:sz w:val="18"/>
                <w:szCs w:val="18"/>
                <w:lang w:val="ro-MD"/>
              </w:rPr>
            </w:pPr>
            <w:r w:rsidRPr="00401691">
              <w:rPr>
                <w:rFonts w:asciiTheme="majorHAnsi" w:hAnsiTheme="majorHAnsi" w:cstheme="majorHAnsi"/>
                <w:color w:val="000000"/>
                <w:sz w:val="18"/>
                <w:szCs w:val="18"/>
                <w:lang w:val="ro-MD"/>
              </w:rPr>
              <w:t xml:space="preserve"> 6) </w:t>
            </w:r>
            <w:r w:rsidRPr="00401691">
              <w:rPr>
                <w:rFonts w:asciiTheme="majorHAnsi" w:hAnsiTheme="majorHAnsi" w:cstheme="majorHAnsi"/>
                <w:sz w:val="18"/>
                <w:szCs w:val="18"/>
                <w:lang w:val="ro-MD"/>
              </w:rPr>
              <w:t>serviciile (acțiunile) întreprinse de către autoritățile abilitate, pentru care se aplică taxa de stat; toate tipurile de activități legate de taxele și plățile încasate de stat pentru acordare de licențe, înregistrare și eliberare de brevete, precum și taxele și plățile încasate de autoritățile administrației publice centrale și locale; serviciile în domeniul protecției obiectelor proprietății intelectuale, prestate de către Agenția de Stat pentru Proprietatea Intelectuală; activitatea profesională în sectorul justiției; serviciile de înregistrare în registrul bunurilor imobiliare și de eliberare a extraselor din acest registru; serviciile de înregistrare de stat a persoanelor juridice și a întreprinzătorilor individuali și de furnizare a informației din registrele de stat respective</w:t>
            </w:r>
            <w:r w:rsidR="005D4EE6">
              <w:rPr>
                <w:rFonts w:asciiTheme="majorHAnsi" w:hAnsiTheme="majorHAnsi" w:cstheme="majorHAnsi"/>
                <w:sz w:val="18"/>
                <w:szCs w:val="18"/>
                <w:lang w:val="ro-MD"/>
              </w:rPr>
              <w:t>;</w:t>
            </w:r>
          </w:p>
        </w:tc>
        <w:tc>
          <w:tcPr>
            <w:tcW w:w="1046" w:type="dxa"/>
            <w:tcBorders>
              <w:top w:val="nil"/>
              <w:left w:val="nil"/>
              <w:bottom w:val="single" w:sz="4" w:space="0" w:color="auto"/>
              <w:right w:val="single" w:sz="4" w:space="0" w:color="auto"/>
            </w:tcBorders>
            <w:shd w:val="clear" w:color="auto" w:fill="auto"/>
            <w:noWrap/>
            <w:hideMark/>
          </w:tcPr>
          <w:p w:rsidR="00C55DF6" w:rsidRPr="00401691" w:rsidRDefault="00C55DF6" w:rsidP="00844145">
            <w:pPr>
              <w:spacing w:after="0" w:line="276" w:lineRule="auto"/>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CFTVA006</w:t>
            </w:r>
          </w:p>
        </w:tc>
        <w:tc>
          <w:tcPr>
            <w:tcW w:w="754" w:type="dxa"/>
            <w:tcBorders>
              <w:top w:val="single" w:sz="4" w:space="0" w:color="auto"/>
              <w:left w:val="nil"/>
              <w:bottom w:val="single" w:sz="4" w:space="0" w:color="auto"/>
              <w:right w:val="single" w:sz="4" w:space="0" w:color="auto"/>
            </w:tcBorders>
          </w:tcPr>
          <w:p w:rsidR="00C55DF6" w:rsidRPr="00401691" w:rsidRDefault="00366AE8" w:rsidP="00844145">
            <w:pPr>
              <w:spacing w:after="0" w:line="276" w:lineRule="auto"/>
              <w:ind w:left="-72"/>
              <w:rPr>
                <w:rFonts w:asciiTheme="majorHAnsi" w:eastAsia="Times New Roman" w:hAnsiTheme="majorHAnsi" w:cstheme="majorHAnsi"/>
                <w:color w:val="000000"/>
                <w:sz w:val="16"/>
                <w:szCs w:val="16"/>
                <w:lang w:val="ro-MD"/>
              </w:rPr>
            </w:pPr>
            <w:r>
              <w:rPr>
                <w:rFonts w:asciiTheme="majorHAnsi" w:eastAsia="Times New Roman" w:hAnsiTheme="majorHAnsi" w:cstheme="majorHAnsi"/>
                <w:color w:val="000000"/>
                <w:sz w:val="16"/>
                <w:szCs w:val="16"/>
                <w:lang w:val="ro-MD"/>
              </w:rPr>
              <w:t>CF, art. 103</w:t>
            </w:r>
            <w:r w:rsidR="00C55DF6" w:rsidRPr="00401691">
              <w:rPr>
                <w:rFonts w:asciiTheme="majorHAnsi" w:eastAsia="Times New Roman" w:hAnsiTheme="majorHAnsi" w:cstheme="majorHAnsi"/>
                <w:color w:val="000000"/>
                <w:sz w:val="16"/>
                <w:szCs w:val="16"/>
                <w:lang w:val="ro-MD"/>
              </w:rPr>
              <w:t xml:space="preserve"> (6)</w:t>
            </w:r>
          </w:p>
        </w:tc>
        <w:tc>
          <w:tcPr>
            <w:tcW w:w="1407" w:type="dxa"/>
            <w:tcBorders>
              <w:top w:val="nil"/>
              <w:left w:val="single" w:sz="4" w:space="0" w:color="auto"/>
              <w:bottom w:val="single" w:sz="4" w:space="0" w:color="auto"/>
              <w:right w:val="single" w:sz="4" w:space="0" w:color="auto"/>
            </w:tcBorders>
            <w:shd w:val="clear" w:color="auto" w:fill="auto"/>
            <w:noWrap/>
            <w:hideMark/>
          </w:tcPr>
          <w:p w:rsidR="00C55DF6" w:rsidRPr="00401691" w:rsidRDefault="00C55DF6" w:rsidP="00844145">
            <w:pPr>
              <w:spacing w:after="0" w:line="276"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791,600.0</w:t>
            </w:r>
          </w:p>
        </w:tc>
      </w:tr>
      <w:tr w:rsidR="00C55DF6" w:rsidRPr="00401691" w:rsidTr="00A353BB">
        <w:trPr>
          <w:gridAfter w:val="1"/>
          <w:wAfter w:w="26" w:type="dxa"/>
          <w:trHeight w:val="288"/>
        </w:trPr>
        <w:tc>
          <w:tcPr>
            <w:tcW w:w="640" w:type="dxa"/>
            <w:tcBorders>
              <w:top w:val="nil"/>
              <w:left w:val="single" w:sz="4" w:space="0" w:color="auto"/>
              <w:bottom w:val="single" w:sz="4" w:space="0" w:color="auto"/>
              <w:right w:val="single" w:sz="4" w:space="0" w:color="auto"/>
            </w:tcBorders>
            <w:shd w:val="clear" w:color="auto" w:fill="auto"/>
            <w:noWrap/>
            <w:hideMark/>
          </w:tcPr>
          <w:p w:rsidR="00C55DF6" w:rsidRPr="00401691" w:rsidRDefault="00C55DF6" w:rsidP="00844145">
            <w:pPr>
              <w:spacing w:after="0" w:line="276" w:lineRule="auto"/>
              <w:jc w:val="right"/>
              <w:rPr>
                <w:rFonts w:asciiTheme="majorHAnsi" w:eastAsia="Times New Roman" w:hAnsiTheme="majorHAnsi" w:cstheme="majorHAnsi"/>
                <w:color w:val="000000"/>
                <w:sz w:val="18"/>
                <w:szCs w:val="18"/>
                <w:lang w:val="ro-MD"/>
              </w:rPr>
            </w:pPr>
            <w:r w:rsidRPr="005C7A4B">
              <w:rPr>
                <w:rFonts w:asciiTheme="majorHAnsi" w:eastAsia="Times New Roman" w:hAnsiTheme="majorHAnsi" w:cstheme="majorHAnsi"/>
                <w:color w:val="000000"/>
                <w:sz w:val="18"/>
                <w:szCs w:val="18"/>
                <w:lang w:val="ro-MD"/>
              </w:rPr>
              <w:t>2</w:t>
            </w:r>
            <w:r w:rsidR="005D4EE6" w:rsidRPr="005C7A4B">
              <w:rPr>
                <w:rFonts w:asciiTheme="majorHAnsi" w:eastAsia="Times New Roman" w:hAnsiTheme="majorHAnsi" w:cstheme="majorHAnsi"/>
                <w:color w:val="000000"/>
                <w:sz w:val="18"/>
                <w:szCs w:val="18"/>
                <w:lang w:val="ro-MD"/>
              </w:rPr>
              <w:t>.</w:t>
            </w:r>
          </w:p>
        </w:tc>
        <w:tc>
          <w:tcPr>
            <w:tcW w:w="6200" w:type="dxa"/>
            <w:tcBorders>
              <w:top w:val="nil"/>
              <w:left w:val="nil"/>
              <w:bottom w:val="single" w:sz="4" w:space="0" w:color="auto"/>
              <w:right w:val="single" w:sz="4" w:space="0" w:color="auto"/>
            </w:tcBorders>
            <w:shd w:val="clear" w:color="auto" w:fill="auto"/>
            <w:noWrap/>
            <w:hideMark/>
          </w:tcPr>
          <w:p w:rsidR="00C55DF6" w:rsidRPr="00401691" w:rsidRDefault="00C55DF6" w:rsidP="00844145">
            <w:pPr>
              <w:pStyle w:val="NormalWeb"/>
              <w:spacing w:line="276" w:lineRule="auto"/>
              <w:jc w:val="both"/>
              <w:rPr>
                <w:rFonts w:asciiTheme="majorHAnsi" w:hAnsiTheme="majorHAnsi" w:cstheme="majorHAnsi"/>
                <w:color w:val="000000"/>
                <w:sz w:val="18"/>
                <w:szCs w:val="18"/>
                <w:lang w:val="ro-MD"/>
              </w:rPr>
            </w:pPr>
            <w:r w:rsidRPr="00401691">
              <w:rPr>
                <w:rFonts w:asciiTheme="majorHAnsi" w:hAnsiTheme="majorHAnsi" w:cstheme="majorHAnsi"/>
                <w:color w:val="000000"/>
                <w:sz w:val="18"/>
                <w:szCs w:val="18"/>
                <w:lang w:val="ro-MD"/>
              </w:rPr>
              <w:t> 8) proprietatea confiscată, proprietatea fără stăpân, proprietatea trecută în posesiunea statului cu drept de succesiune, comorile</w:t>
            </w:r>
            <w:r w:rsidR="005D4EE6">
              <w:rPr>
                <w:rFonts w:asciiTheme="majorHAnsi" w:hAnsiTheme="majorHAnsi" w:cstheme="majorHAnsi"/>
                <w:color w:val="000000"/>
                <w:sz w:val="18"/>
                <w:szCs w:val="18"/>
                <w:lang w:val="ro-MD"/>
              </w:rPr>
              <w:t>;</w:t>
            </w:r>
          </w:p>
        </w:tc>
        <w:tc>
          <w:tcPr>
            <w:tcW w:w="1046" w:type="dxa"/>
            <w:tcBorders>
              <w:top w:val="nil"/>
              <w:left w:val="nil"/>
              <w:bottom w:val="single" w:sz="4" w:space="0" w:color="auto"/>
              <w:right w:val="single" w:sz="4" w:space="0" w:color="auto"/>
            </w:tcBorders>
            <w:shd w:val="clear" w:color="auto" w:fill="auto"/>
            <w:noWrap/>
            <w:hideMark/>
          </w:tcPr>
          <w:p w:rsidR="00C55DF6" w:rsidRPr="00401691" w:rsidRDefault="00C55DF6" w:rsidP="00844145">
            <w:pPr>
              <w:spacing w:after="0" w:line="276" w:lineRule="auto"/>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CFTVA007</w:t>
            </w:r>
          </w:p>
        </w:tc>
        <w:tc>
          <w:tcPr>
            <w:tcW w:w="754" w:type="dxa"/>
            <w:tcBorders>
              <w:top w:val="single" w:sz="4" w:space="0" w:color="auto"/>
              <w:left w:val="nil"/>
              <w:bottom w:val="single" w:sz="4" w:space="0" w:color="auto"/>
              <w:right w:val="single" w:sz="4" w:space="0" w:color="auto"/>
            </w:tcBorders>
          </w:tcPr>
          <w:p w:rsidR="00C55DF6" w:rsidRPr="00401691" w:rsidRDefault="00C55DF6" w:rsidP="00844145">
            <w:pPr>
              <w:spacing w:after="0" w:line="276" w:lineRule="auto"/>
              <w:ind w:left="-72"/>
              <w:rPr>
                <w:rFonts w:asciiTheme="majorHAnsi" w:eastAsia="Times New Roman" w:hAnsiTheme="majorHAnsi" w:cstheme="majorHAnsi"/>
                <w:color w:val="000000"/>
                <w:sz w:val="16"/>
                <w:szCs w:val="16"/>
                <w:lang w:val="ro-MD"/>
              </w:rPr>
            </w:pPr>
            <w:r w:rsidRPr="00401691">
              <w:rPr>
                <w:rFonts w:asciiTheme="majorHAnsi" w:eastAsia="Times New Roman" w:hAnsiTheme="majorHAnsi" w:cstheme="majorHAnsi"/>
                <w:color w:val="000000"/>
                <w:sz w:val="16"/>
                <w:szCs w:val="16"/>
                <w:lang w:val="ro-MD"/>
              </w:rPr>
              <w:t xml:space="preserve">CF, </w:t>
            </w:r>
            <w:r w:rsidR="00366AE8">
              <w:rPr>
                <w:rFonts w:asciiTheme="majorHAnsi" w:eastAsia="Times New Roman" w:hAnsiTheme="majorHAnsi" w:cstheme="majorHAnsi"/>
                <w:color w:val="000000"/>
                <w:sz w:val="16"/>
                <w:szCs w:val="16"/>
                <w:lang w:val="ro-MD"/>
              </w:rPr>
              <w:t>art. 103</w:t>
            </w:r>
            <w:r w:rsidRPr="00401691">
              <w:rPr>
                <w:rFonts w:asciiTheme="majorHAnsi" w:eastAsia="Times New Roman" w:hAnsiTheme="majorHAnsi" w:cstheme="majorHAnsi"/>
                <w:color w:val="000000"/>
                <w:sz w:val="16"/>
                <w:szCs w:val="16"/>
                <w:lang w:val="ro-MD"/>
              </w:rPr>
              <w:t xml:space="preserve"> (8)</w:t>
            </w:r>
          </w:p>
        </w:tc>
        <w:tc>
          <w:tcPr>
            <w:tcW w:w="1407" w:type="dxa"/>
            <w:tcBorders>
              <w:top w:val="nil"/>
              <w:left w:val="single" w:sz="4" w:space="0" w:color="auto"/>
              <w:bottom w:val="single" w:sz="4" w:space="0" w:color="auto"/>
              <w:right w:val="single" w:sz="4" w:space="0" w:color="auto"/>
            </w:tcBorders>
            <w:shd w:val="clear" w:color="auto" w:fill="auto"/>
            <w:noWrap/>
            <w:hideMark/>
          </w:tcPr>
          <w:p w:rsidR="00C55DF6" w:rsidRPr="00401691" w:rsidRDefault="00C55DF6" w:rsidP="00844145">
            <w:pPr>
              <w:spacing w:after="0" w:line="276"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2,217,100.0</w:t>
            </w:r>
          </w:p>
        </w:tc>
      </w:tr>
      <w:tr w:rsidR="00C55DF6" w:rsidRPr="00401691" w:rsidTr="00A353BB">
        <w:trPr>
          <w:gridAfter w:val="1"/>
          <w:wAfter w:w="26" w:type="dxa"/>
          <w:trHeight w:val="288"/>
        </w:trPr>
        <w:tc>
          <w:tcPr>
            <w:tcW w:w="640" w:type="dxa"/>
            <w:tcBorders>
              <w:top w:val="nil"/>
              <w:left w:val="single" w:sz="4" w:space="0" w:color="auto"/>
              <w:bottom w:val="single" w:sz="4" w:space="0" w:color="auto"/>
              <w:right w:val="single" w:sz="4" w:space="0" w:color="auto"/>
            </w:tcBorders>
            <w:shd w:val="clear" w:color="auto" w:fill="auto"/>
            <w:noWrap/>
            <w:hideMark/>
          </w:tcPr>
          <w:p w:rsidR="00C55DF6" w:rsidRPr="00401691" w:rsidRDefault="005D4EE6" w:rsidP="00844145">
            <w:pPr>
              <w:spacing w:after="0" w:line="276" w:lineRule="auto"/>
              <w:jc w:val="right"/>
              <w:rPr>
                <w:rFonts w:asciiTheme="majorHAnsi" w:eastAsia="Times New Roman" w:hAnsiTheme="majorHAnsi" w:cstheme="majorHAnsi"/>
                <w:color w:val="000000"/>
                <w:sz w:val="18"/>
                <w:szCs w:val="18"/>
                <w:lang w:val="ro-MD"/>
              </w:rPr>
            </w:pPr>
            <w:r w:rsidRPr="005C7A4B">
              <w:rPr>
                <w:rFonts w:asciiTheme="majorHAnsi" w:eastAsia="Times New Roman" w:hAnsiTheme="majorHAnsi" w:cstheme="majorHAnsi"/>
                <w:color w:val="000000"/>
                <w:sz w:val="18"/>
                <w:szCs w:val="18"/>
                <w:lang w:val="ro-MD"/>
              </w:rPr>
              <w:t>3.</w:t>
            </w:r>
          </w:p>
        </w:tc>
        <w:tc>
          <w:tcPr>
            <w:tcW w:w="6200" w:type="dxa"/>
            <w:tcBorders>
              <w:top w:val="nil"/>
              <w:left w:val="nil"/>
              <w:bottom w:val="single" w:sz="4" w:space="0" w:color="auto"/>
              <w:right w:val="single" w:sz="4" w:space="0" w:color="auto"/>
            </w:tcBorders>
            <w:shd w:val="clear" w:color="auto" w:fill="auto"/>
            <w:noWrap/>
            <w:hideMark/>
          </w:tcPr>
          <w:p w:rsidR="00C55DF6" w:rsidRPr="00401691" w:rsidRDefault="00C55DF6" w:rsidP="00844145">
            <w:pPr>
              <w:spacing w:line="276"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 13)</w:t>
            </w:r>
            <w:r w:rsidRPr="00401691">
              <w:rPr>
                <w:rFonts w:asciiTheme="majorHAnsi" w:hAnsiTheme="majorHAnsi" w:cstheme="majorHAnsi"/>
                <w:sz w:val="18"/>
                <w:szCs w:val="18"/>
                <w:lang w:val="ro-MD"/>
              </w:rPr>
              <w:t xml:space="preserve"> </w:t>
            </w:r>
            <w:r w:rsidRPr="00401691">
              <w:rPr>
                <w:rFonts w:asciiTheme="majorHAnsi" w:eastAsia="Times New Roman" w:hAnsiTheme="majorHAnsi" w:cstheme="majorHAnsi"/>
                <w:sz w:val="18"/>
                <w:szCs w:val="18"/>
                <w:lang w:val="ro-MD"/>
              </w:rPr>
              <w:t>serviciile poștale, inclusiv distribuirea pensiilor, subvențiilor, indemnizațiilor;</w:t>
            </w:r>
          </w:p>
        </w:tc>
        <w:tc>
          <w:tcPr>
            <w:tcW w:w="1046" w:type="dxa"/>
            <w:tcBorders>
              <w:top w:val="nil"/>
              <w:left w:val="nil"/>
              <w:bottom w:val="single" w:sz="4" w:space="0" w:color="auto"/>
              <w:right w:val="single" w:sz="4" w:space="0" w:color="auto"/>
            </w:tcBorders>
            <w:shd w:val="clear" w:color="auto" w:fill="auto"/>
            <w:noWrap/>
            <w:hideMark/>
          </w:tcPr>
          <w:p w:rsidR="00C55DF6" w:rsidRPr="00401691" w:rsidRDefault="00C55DF6" w:rsidP="00844145">
            <w:pPr>
              <w:spacing w:after="0" w:line="276" w:lineRule="auto"/>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CFTVA012</w:t>
            </w:r>
          </w:p>
        </w:tc>
        <w:tc>
          <w:tcPr>
            <w:tcW w:w="754" w:type="dxa"/>
            <w:tcBorders>
              <w:top w:val="single" w:sz="4" w:space="0" w:color="auto"/>
              <w:left w:val="nil"/>
              <w:bottom w:val="single" w:sz="4" w:space="0" w:color="auto"/>
              <w:right w:val="single" w:sz="4" w:space="0" w:color="auto"/>
            </w:tcBorders>
          </w:tcPr>
          <w:p w:rsidR="00C55DF6" w:rsidRPr="00401691" w:rsidRDefault="00366AE8" w:rsidP="00844145">
            <w:pPr>
              <w:spacing w:after="0" w:line="276" w:lineRule="auto"/>
              <w:ind w:left="-72" w:right="-54"/>
              <w:rPr>
                <w:rFonts w:asciiTheme="majorHAnsi" w:eastAsia="Times New Roman" w:hAnsiTheme="majorHAnsi" w:cstheme="majorHAnsi"/>
                <w:color w:val="000000"/>
                <w:sz w:val="16"/>
                <w:szCs w:val="16"/>
                <w:lang w:val="ro-MD"/>
              </w:rPr>
            </w:pPr>
            <w:r>
              <w:rPr>
                <w:rFonts w:asciiTheme="majorHAnsi" w:eastAsia="Times New Roman" w:hAnsiTheme="majorHAnsi" w:cstheme="majorHAnsi"/>
                <w:color w:val="000000"/>
                <w:sz w:val="16"/>
                <w:szCs w:val="16"/>
                <w:lang w:val="ro-MD"/>
              </w:rPr>
              <w:t xml:space="preserve">CF, art. 103 </w:t>
            </w:r>
            <w:r w:rsidR="00C55DF6" w:rsidRPr="00401691">
              <w:rPr>
                <w:rFonts w:asciiTheme="majorHAnsi" w:eastAsia="Times New Roman" w:hAnsiTheme="majorHAnsi" w:cstheme="majorHAnsi"/>
                <w:color w:val="000000"/>
                <w:sz w:val="16"/>
                <w:szCs w:val="16"/>
                <w:lang w:val="ro-MD"/>
              </w:rPr>
              <w:t>(13)</w:t>
            </w:r>
          </w:p>
        </w:tc>
        <w:tc>
          <w:tcPr>
            <w:tcW w:w="1407" w:type="dxa"/>
            <w:tcBorders>
              <w:top w:val="nil"/>
              <w:left w:val="single" w:sz="4" w:space="0" w:color="auto"/>
              <w:bottom w:val="single" w:sz="4" w:space="0" w:color="auto"/>
              <w:right w:val="single" w:sz="4" w:space="0" w:color="auto"/>
            </w:tcBorders>
            <w:shd w:val="clear" w:color="auto" w:fill="auto"/>
            <w:noWrap/>
            <w:hideMark/>
          </w:tcPr>
          <w:p w:rsidR="00C55DF6" w:rsidRPr="00401691" w:rsidRDefault="00C55DF6" w:rsidP="00844145">
            <w:pPr>
              <w:spacing w:after="0" w:line="276"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88,445,700.0</w:t>
            </w:r>
          </w:p>
        </w:tc>
      </w:tr>
      <w:tr w:rsidR="00C55DF6" w:rsidRPr="00401691" w:rsidTr="00A353BB">
        <w:trPr>
          <w:gridAfter w:val="1"/>
          <w:wAfter w:w="26" w:type="dxa"/>
          <w:trHeight w:val="288"/>
        </w:trPr>
        <w:tc>
          <w:tcPr>
            <w:tcW w:w="640" w:type="dxa"/>
            <w:tcBorders>
              <w:top w:val="nil"/>
              <w:left w:val="single" w:sz="4" w:space="0" w:color="auto"/>
              <w:bottom w:val="single" w:sz="4" w:space="0" w:color="auto"/>
              <w:right w:val="single" w:sz="4" w:space="0" w:color="auto"/>
            </w:tcBorders>
            <w:shd w:val="clear" w:color="auto" w:fill="auto"/>
            <w:noWrap/>
            <w:hideMark/>
          </w:tcPr>
          <w:p w:rsidR="00C55DF6" w:rsidRPr="00401691" w:rsidRDefault="005D4EE6" w:rsidP="00844145">
            <w:pPr>
              <w:spacing w:after="0" w:line="276" w:lineRule="auto"/>
              <w:jc w:val="right"/>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4.</w:t>
            </w:r>
          </w:p>
        </w:tc>
        <w:tc>
          <w:tcPr>
            <w:tcW w:w="6200" w:type="dxa"/>
            <w:tcBorders>
              <w:top w:val="nil"/>
              <w:left w:val="nil"/>
              <w:bottom w:val="single" w:sz="4" w:space="0" w:color="auto"/>
              <w:right w:val="single" w:sz="4" w:space="0" w:color="auto"/>
            </w:tcBorders>
            <w:shd w:val="clear" w:color="auto" w:fill="auto"/>
            <w:noWrap/>
            <w:hideMark/>
          </w:tcPr>
          <w:p w:rsidR="00C55DF6" w:rsidRPr="00401691" w:rsidRDefault="00C55DF6" w:rsidP="00844145">
            <w:pPr>
              <w:pStyle w:val="NormalWeb"/>
              <w:spacing w:line="276" w:lineRule="auto"/>
              <w:jc w:val="both"/>
              <w:rPr>
                <w:rFonts w:asciiTheme="majorHAnsi" w:hAnsiTheme="majorHAnsi" w:cstheme="majorHAnsi"/>
                <w:sz w:val="18"/>
                <w:szCs w:val="18"/>
                <w:lang w:val="ro-MD"/>
              </w:rPr>
            </w:pPr>
            <w:r w:rsidRPr="00401691">
              <w:rPr>
                <w:rFonts w:asciiTheme="majorHAnsi" w:hAnsiTheme="majorHAnsi" w:cstheme="majorHAnsi"/>
                <w:color w:val="000000"/>
                <w:sz w:val="18"/>
                <w:szCs w:val="18"/>
                <w:lang w:val="ro-MD"/>
              </w:rPr>
              <w:t> 15)</w:t>
            </w:r>
            <w:r w:rsidRPr="00401691">
              <w:rPr>
                <w:rFonts w:asciiTheme="majorHAnsi" w:hAnsiTheme="majorHAnsi" w:cstheme="majorHAnsi"/>
                <w:sz w:val="18"/>
                <w:szCs w:val="18"/>
                <w:lang w:val="ro-MD"/>
              </w:rPr>
              <w:t>serviciile de înhumare și incinerare a corpurilor umane sau animale și activități conexe: pregătirea cadavrelor către înhumare sau incinerare, îmbălsămarea și servicii oferite de întreprinderile de pompe funebre; închirierea încăperilor în saloanele pentru răposați; închirierea sau vânzarea locurilor de veci; întreținerea mormintelor; amenajarea și întreținerea cimitirelor; transportarea cadavrelor; ritualurile și ceremoniile efectuate de organizațiile religioase; organizarea funeraliilor și ceremoniilor de incinerare; confecționarea și/sau livrarea sicrielor, coroanelor</w:t>
            </w:r>
            <w:r w:rsidR="00AA7965">
              <w:rPr>
                <w:rFonts w:asciiTheme="majorHAnsi" w:hAnsiTheme="majorHAnsi" w:cstheme="majorHAnsi"/>
                <w:sz w:val="18"/>
                <w:szCs w:val="18"/>
                <w:lang w:val="ro-MD"/>
              </w:rPr>
              <w:t>;</w:t>
            </w:r>
          </w:p>
        </w:tc>
        <w:tc>
          <w:tcPr>
            <w:tcW w:w="1046" w:type="dxa"/>
            <w:tcBorders>
              <w:top w:val="nil"/>
              <w:left w:val="nil"/>
              <w:bottom w:val="single" w:sz="4" w:space="0" w:color="auto"/>
              <w:right w:val="single" w:sz="4" w:space="0" w:color="auto"/>
            </w:tcBorders>
            <w:shd w:val="clear" w:color="auto" w:fill="auto"/>
            <w:noWrap/>
            <w:hideMark/>
          </w:tcPr>
          <w:p w:rsidR="00C55DF6" w:rsidRPr="00401691" w:rsidRDefault="00C55DF6" w:rsidP="00844145">
            <w:pPr>
              <w:spacing w:after="0" w:line="276" w:lineRule="auto"/>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CFTVA014</w:t>
            </w:r>
          </w:p>
        </w:tc>
        <w:tc>
          <w:tcPr>
            <w:tcW w:w="754" w:type="dxa"/>
            <w:tcBorders>
              <w:top w:val="single" w:sz="4" w:space="0" w:color="auto"/>
              <w:left w:val="nil"/>
              <w:bottom w:val="single" w:sz="4" w:space="0" w:color="auto"/>
              <w:right w:val="single" w:sz="4" w:space="0" w:color="auto"/>
            </w:tcBorders>
          </w:tcPr>
          <w:p w:rsidR="00C55DF6" w:rsidRPr="00401691" w:rsidRDefault="00366AE8" w:rsidP="00844145">
            <w:pPr>
              <w:spacing w:after="0" w:line="276" w:lineRule="auto"/>
              <w:ind w:left="-72"/>
              <w:rPr>
                <w:rFonts w:asciiTheme="majorHAnsi" w:eastAsia="Times New Roman" w:hAnsiTheme="majorHAnsi" w:cstheme="majorHAnsi"/>
                <w:color w:val="000000"/>
                <w:sz w:val="16"/>
                <w:szCs w:val="16"/>
                <w:lang w:val="ro-MD"/>
              </w:rPr>
            </w:pPr>
            <w:r>
              <w:rPr>
                <w:rFonts w:asciiTheme="majorHAnsi" w:eastAsia="Times New Roman" w:hAnsiTheme="majorHAnsi" w:cstheme="majorHAnsi"/>
                <w:color w:val="000000"/>
                <w:sz w:val="16"/>
                <w:szCs w:val="16"/>
                <w:lang w:val="ro-MD"/>
              </w:rPr>
              <w:t>CF, art. 103</w:t>
            </w:r>
            <w:r w:rsidR="00C55DF6" w:rsidRPr="00401691">
              <w:rPr>
                <w:rFonts w:asciiTheme="majorHAnsi" w:eastAsia="Times New Roman" w:hAnsiTheme="majorHAnsi" w:cstheme="majorHAnsi"/>
                <w:color w:val="000000"/>
                <w:sz w:val="16"/>
                <w:szCs w:val="16"/>
                <w:lang w:val="ro-MD"/>
              </w:rPr>
              <w:t xml:space="preserve"> (15)</w:t>
            </w:r>
          </w:p>
        </w:tc>
        <w:tc>
          <w:tcPr>
            <w:tcW w:w="1407" w:type="dxa"/>
            <w:tcBorders>
              <w:top w:val="nil"/>
              <w:left w:val="single" w:sz="4" w:space="0" w:color="auto"/>
              <w:bottom w:val="single" w:sz="4" w:space="0" w:color="auto"/>
              <w:right w:val="single" w:sz="4" w:space="0" w:color="auto"/>
            </w:tcBorders>
            <w:shd w:val="clear" w:color="auto" w:fill="auto"/>
            <w:noWrap/>
            <w:hideMark/>
          </w:tcPr>
          <w:p w:rsidR="00C55DF6" w:rsidRPr="00401691" w:rsidRDefault="00C55DF6" w:rsidP="00844145">
            <w:pPr>
              <w:spacing w:after="0" w:line="276"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4,565,300.0</w:t>
            </w:r>
          </w:p>
        </w:tc>
      </w:tr>
      <w:tr w:rsidR="00C55DF6" w:rsidRPr="00401691" w:rsidTr="00A353BB">
        <w:trPr>
          <w:gridAfter w:val="1"/>
          <w:wAfter w:w="26" w:type="dxa"/>
          <w:trHeight w:val="288"/>
        </w:trPr>
        <w:tc>
          <w:tcPr>
            <w:tcW w:w="640" w:type="dxa"/>
            <w:tcBorders>
              <w:top w:val="nil"/>
              <w:left w:val="single" w:sz="4" w:space="0" w:color="auto"/>
              <w:bottom w:val="nil"/>
              <w:right w:val="single" w:sz="4" w:space="0" w:color="auto"/>
            </w:tcBorders>
            <w:shd w:val="clear" w:color="auto" w:fill="auto"/>
            <w:hideMark/>
          </w:tcPr>
          <w:p w:rsidR="00C55DF6" w:rsidRPr="00401691" w:rsidRDefault="005D4EE6" w:rsidP="00844145">
            <w:pPr>
              <w:spacing w:after="0" w:line="276" w:lineRule="auto"/>
              <w:jc w:val="right"/>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5.</w:t>
            </w:r>
          </w:p>
        </w:tc>
        <w:tc>
          <w:tcPr>
            <w:tcW w:w="6200" w:type="dxa"/>
            <w:vMerge w:val="restart"/>
            <w:tcBorders>
              <w:top w:val="nil"/>
              <w:left w:val="single" w:sz="4" w:space="0" w:color="auto"/>
              <w:bottom w:val="single" w:sz="4" w:space="0" w:color="000000"/>
              <w:right w:val="single" w:sz="4" w:space="0" w:color="auto"/>
            </w:tcBorders>
            <w:shd w:val="clear" w:color="auto" w:fill="auto"/>
            <w:noWrap/>
            <w:hideMark/>
          </w:tcPr>
          <w:p w:rsidR="00C55DF6" w:rsidRPr="00401691" w:rsidRDefault="00C55DF6" w:rsidP="00844145">
            <w:pPr>
              <w:spacing w:after="0" w:line="276"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sz w:val="18"/>
                <w:szCs w:val="18"/>
                <w:lang w:val="ro-MD"/>
              </w:rPr>
              <w:t>18)energia electrică importată și livrată către operatorul rețelei de transport și de sistem, operatorii rețelelor de distribuție și furnizorii energiei electrice și energia electrică importată de operatorul rețelei de transport și de sistem, de operatorii rețelelor de distribuție și furnizorii energiei electrice, cu excepția serviciilor de transport și de distribuție a energiei electrice;</w:t>
            </w:r>
          </w:p>
        </w:tc>
        <w:tc>
          <w:tcPr>
            <w:tcW w:w="1046" w:type="dxa"/>
            <w:vMerge w:val="restart"/>
            <w:tcBorders>
              <w:top w:val="nil"/>
              <w:left w:val="single" w:sz="4" w:space="0" w:color="auto"/>
              <w:bottom w:val="single" w:sz="4" w:space="0" w:color="000000"/>
              <w:right w:val="single" w:sz="4" w:space="0" w:color="auto"/>
            </w:tcBorders>
            <w:shd w:val="clear" w:color="auto" w:fill="auto"/>
            <w:noWrap/>
            <w:hideMark/>
          </w:tcPr>
          <w:p w:rsidR="00C55DF6" w:rsidRPr="00401691" w:rsidRDefault="00C55DF6" w:rsidP="00844145">
            <w:pPr>
              <w:spacing w:after="0" w:line="276" w:lineRule="auto"/>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CFTVA017</w:t>
            </w:r>
          </w:p>
        </w:tc>
        <w:tc>
          <w:tcPr>
            <w:tcW w:w="754" w:type="dxa"/>
            <w:vMerge w:val="restart"/>
            <w:tcBorders>
              <w:top w:val="single" w:sz="4" w:space="0" w:color="auto"/>
              <w:left w:val="nil"/>
              <w:right w:val="single" w:sz="4" w:space="0" w:color="auto"/>
            </w:tcBorders>
          </w:tcPr>
          <w:p w:rsidR="00C55DF6" w:rsidRPr="00401691" w:rsidRDefault="00366AE8" w:rsidP="00844145">
            <w:pPr>
              <w:spacing w:after="0" w:line="276" w:lineRule="auto"/>
              <w:ind w:left="-72"/>
              <w:rPr>
                <w:rFonts w:asciiTheme="majorHAnsi" w:eastAsia="Times New Roman" w:hAnsiTheme="majorHAnsi" w:cstheme="majorHAnsi"/>
                <w:color w:val="000000"/>
                <w:sz w:val="16"/>
                <w:szCs w:val="16"/>
                <w:lang w:val="ro-MD"/>
              </w:rPr>
            </w:pPr>
            <w:r>
              <w:rPr>
                <w:rFonts w:asciiTheme="majorHAnsi" w:eastAsia="Times New Roman" w:hAnsiTheme="majorHAnsi" w:cstheme="majorHAnsi"/>
                <w:color w:val="000000"/>
                <w:sz w:val="16"/>
                <w:szCs w:val="16"/>
                <w:lang w:val="ro-MD"/>
              </w:rPr>
              <w:t>CF, art. 103</w:t>
            </w:r>
            <w:r w:rsidR="00C55DF6" w:rsidRPr="00401691">
              <w:rPr>
                <w:rFonts w:asciiTheme="majorHAnsi" w:eastAsia="Times New Roman" w:hAnsiTheme="majorHAnsi" w:cstheme="majorHAnsi"/>
                <w:color w:val="000000"/>
                <w:sz w:val="16"/>
                <w:szCs w:val="16"/>
                <w:lang w:val="ro-MD"/>
              </w:rPr>
              <w:t xml:space="preserve"> (18)</w:t>
            </w:r>
          </w:p>
        </w:tc>
        <w:tc>
          <w:tcPr>
            <w:tcW w:w="1407" w:type="dxa"/>
            <w:tcBorders>
              <w:top w:val="nil"/>
              <w:left w:val="single" w:sz="4" w:space="0" w:color="auto"/>
              <w:bottom w:val="single" w:sz="4" w:space="0" w:color="auto"/>
              <w:right w:val="single" w:sz="4" w:space="0" w:color="auto"/>
            </w:tcBorders>
            <w:shd w:val="clear" w:color="auto" w:fill="auto"/>
            <w:noWrap/>
            <w:hideMark/>
          </w:tcPr>
          <w:p w:rsidR="00C55DF6" w:rsidRPr="00401691" w:rsidRDefault="00C55DF6" w:rsidP="00844145">
            <w:pPr>
              <w:spacing w:after="0" w:line="276"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757,301,400.0</w:t>
            </w:r>
          </w:p>
        </w:tc>
      </w:tr>
      <w:tr w:rsidR="00C55DF6" w:rsidRPr="00401691" w:rsidTr="00A353BB">
        <w:trPr>
          <w:gridAfter w:val="1"/>
          <w:wAfter w:w="26" w:type="dxa"/>
          <w:trHeight w:val="288"/>
        </w:trPr>
        <w:tc>
          <w:tcPr>
            <w:tcW w:w="640" w:type="dxa"/>
            <w:tcBorders>
              <w:top w:val="nil"/>
              <w:left w:val="single" w:sz="4" w:space="0" w:color="auto"/>
              <w:bottom w:val="single" w:sz="4" w:space="0" w:color="auto"/>
              <w:right w:val="single" w:sz="4" w:space="0" w:color="auto"/>
            </w:tcBorders>
            <w:shd w:val="clear" w:color="auto" w:fill="auto"/>
            <w:hideMark/>
          </w:tcPr>
          <w:p w:rsidR="00C55DF6" w:rsidRPr="00401691" w:rsidRDefault="00C55DF6" w:rsidP="00844145">
            <w:pPr>
              <w:spacing w:after="0" w:line="276" w:lineRule="auto"/>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 </w:t>
            </w:r>
          </w:p>
        </w:tc>
        <w:tc>
          <w:tcPr>
            <w:tcW w:w="6200" w:type="dxa"/>
            <w:vMerge/>
            <w:tcBorders>
              <w:top w:val="nil"/>
              <w:left w:val="single" w:sz="4" w:space="0" w:color="auto"/>
              <w:bottom w:val="single" w:sz="4" w:space="0" w:color="000000"/>
              <w:right w:val="single" w:sz="4" w:space="0" w:color="auto"/>
            </w:tcBorders>
            <w:hideMark/>
          </w:tcPr>
          <w:p w:rsidR="00C55DF6" w:rsidRPr="00401691" w:rsidRDefault="00C55DF6" w:rsidP="00844145">
            <w:pPr>
              <w:spacing w:after="0" w:line="276" w:lineRule="auto"/>
              <w:jc w:val="both"/>
              <w:rPr>
                <w:rFonts w:asciiTheme="majorHAnsi" w:eastAsia="Times New Roman" w:hAnsiTheme="majorHAnsi" w:cstheme="majorHAnsi"/>
                <w:color w:val="000000"/>
                <w:sz w:val="18"/>
                <w:szCs w:val="18"/>
                <w:lang w:val="ro-MD"/>
              </w:rPr>
            </w:pPr>
          </w:p>
        </w:tc>
        <w:tc>
          <w:tcPr>
            <w:tcW w:w="1046" w:type="dxa"/>
            <w:vMerge/>
            <w:tcBorders>
              <w:top w:val="nil"/>
              <w:left w:val="single" w:sz="4" w:space="0" w:color="auto"/>
              <w:bottom w:val="single" w:sz="4" w:space="0" w:color="000000"/>
              <w:right w:val="single" w:sz="4" w:space="0" w:color="auto"/>
            </w:tcBorders>
            <w:hideMark/>
          </w:tcPr>
          <w:p w:rsidR="00C55DF6" w:rsidRPr="00401691" w:rsidRDefault="00C55DF6" w:rsidP="00844145">
            <w:pPr>
              <w:spacing w:after="0" w:line="276" w:lineRule="auto"/>
              <w:rPr>
                <w:rFonts w:asciiTheme="majorHAnsi" w:eastAsia="Times New Roman" w:hAnsiTheme="majorHAnsi" w:cstheme="majorHAnsi"/>
                <w:color w:val="000000"/>
                <w:sz w:val="18"/>
                <w:szCs w:val="18"/>
                <w:lang w:val="ro-MD"/>
              </w:rPr>
            </w:pPr>
          </w:p>
        </w:tc>
        <w:tc>
          <w:tcPr>
            <w:tcW w:w="754" w:type="dxa"/>
            <w:vMerge/>
            <w:tcBorders>
              <w:left w:val="nil"/>
              <w:bottom w:val="single" w:sz="4" w:space="0" w:color="auto"/>
              <w:right w:val="single" w:sz="4" w:space="0" w:color="auto"/>
            </w:tcBorders>
          </w:tcPr>
          <w:p w:rsidR="00C55DF6" w:rsidRPr="00401691" w:rsidRDefault="00C55DF6" w:rsidP="00844145">
            <w:pPr>
              <w:spacing w:after="0" w:line="276" w:lineRule="auto"/>
              <w:rPr>
                <w:rFonts w:asciiTheme="majorHAnsi" w:eastAsia="Times New Roman" w:hAnsiTheme="majorHAnsi" w:cstheme="majorHAnsi"/>
                <w:color w:val="000000"/>
                <w:sz w:val="16"/>
                <w:szCs w:val="16"/>
                <w:lang w:val="ro-MD"/>
              </w:rPr>
            </w:pPr>
          </w:p>
        </w:tc>
        <w:tc>
          <w:tcPr>
            <w:tcW w:w="1407" w:type="dxa"/>
            <w:tcBorders>
              <w:top w:val="nil"/>
              <w:left w:val="single" w:sz="4" w:space="0" w:color="auto"/>
              <w:bottom w:val="single" w:sz="4" w:space="0" w:color="auto"/>
              <w:right w:val="single" w:sz="4" w:space="0" w:color="auto"/>
            </w:tcBorders>
            <w:shd w:val="clear" w:color="auto" w:fill="auto"/>
            <w:noWrap/>
            <w:hideMark/>
          </w:tcPr>
          <w:p w:rsidR="00C55DF6" w:rsidRPr="00401691" w:rsidRDefault="00C55DF6" w:rsidP="00844145">
            <w:pPr>
              <w:spacing w:after="0" w:line="276"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533,752,200.0</w:t>
            </w:r>
          </w:p>
        </w:tc>
      </w:tr>
      <w:tr w:rsidR="00C55DF6" w:rsidRPr="00401691" w:rsidTr="00A353BB">
        <w:trPr>
          <w:gridAfter w:val="1"/>
          <w:wAfter w:w="26" w:type="dxa"/>
          <w:trHeight w:val="288"/>
        </w:trPr>
        <w:tc>
          <w:tcPr>
            <w:tcW w:w="640" w:type="dxa"/>
            <w:tcBorders>
              <w:top w:val="nil"/>
              <w:left w:val="single" w:sz="4" w:space="0" w:color="auto"/>
              <w:bottom w:val="single" w:sz="4" w:space="0" w:color="auto"/>
              <w:right w:val="single" w:sz="4" w:space="0" w:color="auto"/>
            </w:tcBorders>
            <w:shd w:val="clear" w:color="auto" w:fill="auto"/>
            <w:noWrap/>
            <w:hideMark/>
          </w:tcPr>
          <w:p w:rsidR="00C55DF6" w:rsidRPr="00401691" w:rsidRDefault="005D4EE6" w:rsidP="00844145">
            <w:pPr>
              <w:spacing w:after="0" w:line="276" w:lineRule="auto"/>
              <w:jc w:val="right"/>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6.</w:t>
            </w:r>
          </w:p>
        </w:tc>
        <w:tc>
          <w:tcPr>
            <w:tcW w:w="6200" w:type="dxa"/>
            <w:tcBorders>
              <w:top w:val="nil"/>
              <w:left w:val="nil"/>
              <w:bottom w:val="single" w:sz="4" w:space="0" w:color="auto"/>
              <w:right w:val="single" w:sz="4" w:space="0" w:color="auto"/>
            </w:tcBorders>
            <w:shd w:val="clear" w:color="auto" w:fill="auto"/>
            <w:noWrap/>
            <w:hideMark/>
          </w:tcPr>
          <w:p w:rsidR="00C55DF6" w:rsidRPr="00401691" w:rsidRDefault="00C55DF6" w:rsidP="00844145">
            <w:pPr>
              <w:pStyle w:val="NormalWeb"/>
              <w:spacing w:line="276" w:lineRule="auto"/>
              <w:jc w:val="both"/>
              <w:rPr>
                <w:rFonts w:asciiTheme="majorHAnsi" w:hAnsiTheme="majorHAnsi" w:cstheme="majorHAnsi"/>
                <w:color w:val="000000"/>
                <w:sz w:val="18"/>
                <w:szCs w:val="18"/>
                <w:lang w:val="ro-MD"/>
              </w:rPr>
            </w:pPr>
            <w:r w:rsidRPr="00401691">
              <w:rPr>
                <w:rFonts w:asciiTheme="majorHAnsi" w:hAnsiTheme="majorHAnsi" w:cstheme="majorHAnsi"/>
                <w:color w:val="000000"/>
                <w:sz w:val="18"/>
                <w:szCs w:val="18"/>
                <w:lang w:val="ro-MD"/>
              </w:rPr>
              <w:t> 22)</w:t>
            </w:r>
            <w:r w:rsidRPr="00401691">
              <w:rPr>
                <w:rFonts w:asciiTheme="majorHAnsi" w:hAnsiTheme="majorHAnsi" w:cstheme="majorHAnsi"/>
                <w:sz w:val="18"/>
                <w:szCs w:val="18"/>
                <w:lang w:val="ro-MD"/>
              </w:rPr>
              <w:t xml:space="preserve"> serviciile livrate de către cooperativele agricole de prestări servicii, înființate în conformitate cu art.87 din Legea nr.73-XV din 12 aprilie 2001 privind cooperativele de întreprinzător, membrilor acestei cooperative, cu condiția că cel puțin 75% din valoarea totală a livrărilor cooperativei constituie valoarea mărfurilor </w:t>
            </w:r>
            <w:proofErr w:type="spellStart"/>
            <w:r w:rsidRPr="00401691">
              <w:rPr>
                <w:rFonts w:asciiTheme="majorHAnsi" w:hAnsiTheme="majorHAnsi" w:cstheme="majorHAnsi"/>
                <w:sz w:val="18"/>
                <w:szCs w:val="18"/>
                <w:lang w:val="ro-MD"/>
              </w:rPr>
              <w:t>şi</w:t>
            </w:r>
            <w:proofErr w:type="spellEnd"/>
            <w:r w:rsidRPr="00401691">
              <w:rPr>
                <w:rFonts w:asciiTheme="majorHAnsi" w:hAnsiTheme="majorHAnsi" w:cstheme="majorHAnsi"/>
                <w:sz w:val="18"/>
                <w:szCs w:val="18"/>
                <w:lang w:val="ro-MD"/>
              </w:rPr>
              <w:t xml:space="preserve"> serviciilor livrate membrilor cooperativei și valoarea mărfurilor livrate cooperativei de către membrii acesteia;</w:t>
            </w:r>
          </w:p>
        </w:tc>
        <w:tc>
          <w:tcPr>
            <w:tcW w:w="1046" w:type="dxa"/>
            <w:tcBorders>
              <w:top w:val="nil"/>
              <w:left w:val="nil"/>
              <w:bottom w:val="single" w:sz="4" w:space="0" w:color="auto"/>
              <w:right w:val="single" w:sz="4" w:space="0" w:color="auto"/>
            </w:tcBorders>
            <w:shd w:val="clear" w:color="auto" w:fill="auto"/>
            <w:noWrap/>
            <w:hideMark/>
          </w:tcPr>
          <w:p w:rsidR="00C55DF6" w:rsidRPr="00401691" w:rsidRDefault="00C55DF6" w:rsidP="00844145">
            <w:pPr>
              <w:spacing w:after="0" w:line="276" w:lineRule="auto"/>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CFTVA021</w:t>
            </w:r>
          </w:p>
        </w:tc>
        <w:tc>
          <w:tcPr>
            <w:tcW w:w="754" w:type="dxa"/>
            <w:tcBorders>
              <w:top w:val="single" w:sz="4" w:space="0" w:color="auto"/>
              <w:left w:val="nil"/>
              <w:bottom w:val="single" w:sz="4" w:space="0" w:color="auto"/>
              <w:right w:val="single" w:sz="4" w:space="0" w:color="auto"/>
            </w:tcBorders>
          </w:tcPr>
          <w:p w:rsidR="00C55DF6" w:rsidRPr="00401691" w:rsidRDefault="00366AE8" w:rsidP="00844145">
            <w:pPr>
              <w:spacing w:after="0" w:line="276" w:lineRule="auto"/>
              <w:ind w:left="-72"/>
              <w:rPr>
                <w:rFonts w:asciiTheme="majorHAnsi" w:eastAsia="Times New Roman" w:hAnsiTheme="majorHAnsi" w:cstheme="majorHAnsi"/>
                <w:color w:val="000000"/>
                <w:sz w:val="16"/>
                <w:szCs w:val="16"/>
                <w:lang w:val="ro-MD"/>
              </w:rPr>
            </w:pPr>
            <w:r>
              <w:rPr>
                <w:rFonts w:asciiTheme="majorHAnsi" w:eastAsia="Times New Roman" w:hAnsiTheme="majorHAnsi" w:cstheme="majorHAnsi"/>
                <w:color w:val="000000"/>
                <w:sz w:val="16"/>
                <w:szCs w:val="16"/>
                <w:lang w:val="ro-MD"/>
              </w:rPr>
              <w:t>CF, art. 103</w:t>
            </w:r>
            <w:r w:rsidR="00C55DF6" w:rsidRPr="00401691">
              <w:rPr>
                <w:rFonts w:asciiTheme="majorHAnsi" w:eastAsia="Times New Roman" w:hAnsiTheme="majorHAnsi" w:cstheme="majorHAnsi"/>
                <w:color w:val="000000"/>
                <w:sz w:val="16"/>
                <w:szCs w:val="16"/>
                <w:lang w:val="ro-MD"/>
              </w:rPr>
              <w:t xml:space="preserve"> (22)</w:t>
            </w:r>
          </w:p>
        </w:tc>
        <w:tc>
          <w:tcPr>
            <w:tcW w:w="1407" w:type="dxa"/>
            <w:tcBorders>
              <w:top w:val="nil"/>
              <w:left w:val="single" w:sz="4" w:space="0" w:color="auto"/>
              <w:bottom w:val="single" w:sz="4" w:space="0" w:color="auto"/>
              <w:right w:val="single" w:sz="4" w:space="0" w:color="auto"/>
            </w:tcBorders>
            <w:shd w:val="clear" w:color="auto" w:fill="auto"/>
            <w:noWrap/>
            <w:hideMark/>
          </w:tcPr>
          <w:p w:rsidR="00C55DF6" w:rsidRPr="00401691" w:rsidRDefault="00C55DF6" w:rsidP="00844145">
            <w:pPr>
              <w:spacing w:after="0" w:line="276"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461,948,200.0</w:t>
            </w:r>
          </w:p>
        </w:tc>
      </w:tr>
      <w:tr w:rsidR="00C55DF6" w:rsidRPr="00401691" w:rsidTr="00A353BB">
        <w:trPr>
          <w:gridAfter w:val="1"/>
          <w:wAfter w:w="26" w:type="dxa"/>
          <w:trHeight w:val="288"/>
        </w:trPr>
        <w:tc>
          <w:tcPr>
            <w:tcW w:w="640" w:type="dxa"/>
            <w:tcBorders>
              <w:top w:val="nil"/>
              <w:left w:val="single" w:sz="4" w:space="0" w:color="auto"/>
              <w:bottom w:val="single" w:sz="4" w:space="0" w:color="auto"/>
              <w:right w:val="single" w:sz="4" w:space="0" w:color="auto"/>
            </w:tcBorders>
            <w:shd w:val="clear" w:color="auto" w:fill="auto"/>
            <w:noWrap/>
            <w:hideMark/>
          </w:tcPr>
          <w:p w:rsidR="00C55DF6" w:rsidRPr="00401691" w:rsidRDefault="005D4EE6" w:rsidP="00844145">
            <w:pPr>
              <w:spacing w:after="0" w:line="276" w:lineRule="auto"/>
              <w:jc w:val="right"/>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7.</w:t>
            </w:r>
          </w:p>
        </w:tc>
        <w:tc>
          <w:tcPr>
            <w:tcW w:w="6200" w:type="dxa"/>
            <w:tcBorders>
              <w:top w:val="nil"/>
              <w:left w:val="nil"/>
              <w:bottom w:val="single" w:sz="4" w:space="0" w:color="auto"/>
              <w:right w:val="single" w:sz="4" w:space="0" w:color="auto"/>
            </w:tcBorders>
            <w:shd w:val="clear" w:color="auto" w:fill="auto"/>
            <w:noWrap/>
            <w:hideMark/>
          </w:tcPr>
          <w:p w:rsidR="00C55DF6" w:rsidRPr="00401691" w:rsidRDefault="00C55DF6" w:rsidP="00844145">
            <w:pPr>
              <w:spacing w:after="0" w:line="276"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 Se scutește de TVA fără drept de deducere plasarea și comercializarea mărfurilor în magazinele duty-free</w:t>
            </w:r>
            <w:r w:rsidR="00AA7965">
              <w:rPr>
                <w:rFonts w:asciiTheme="majorHAnsi" w:eastAsia="Times New Roman" w:hAnsiTheme="majorHAnsi" w:cstheme="majorHAnsi"/>
                <w:color w:val="000000"/>
                <w:sz w:val="18"/>
                <w:szCs w:val="18"/>
                <w:lang w:val="ro-MD"/>
              </w:rPr>
              <w:t>;</w:t>
            </w:r>
          </w:p>
        </w:tc>
        <w:tc>
          <w:tcPr>
            <w:tcW w:w="1046" w:type="dxa"/>
            <w:tcBorders>
              <w:top w:val="nil"/>
              <w:left w:val="nil"/>
              <w:bottom w:val="single" w:sz="4" w:space="0" w:color="auto"/>
              <w:right w:val="single" w:sz="4" w:space="0" w:color="auto"/>
            </w:tcBorders>
            <w:shd w:val="clear" w:color="auto" w:fill="auto"/>
            <w:noWrap/>
            <w:hideMark/>
          </w:tcPr>
          <w:p w:rsidR="00C55DF6" w:rsidRPr="00401691" w:rsidRDefault="00C55DF6" w:rsidP="00844145">
            <w:pPr>
              <w:spacing w:after="0" w:line="276" w:lineRule="auto"/>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CFTVA039</w:t>
            </w:r>
          </w:p>
        </w:tc>
        <w:tc>
          <w:tcPr>
            <w:tcW w:w="754" w:type="dxa"/>
            <w:tcBorders>
              <w:top w:val="single" w:sz="4" w:space="0" w:color="auto"/>
              <w:left w:val="nil"/>
              <w:bottom w:val="single" w:sz="4" w:space="0" w:color="auto"/>
              <w:right w:val="single" w:sz="4" w:space="0" w:color="auto"/>
            </w:tcBorders>
          </w:tcPr>
          <w:p w:rsidR="00C55DF6" w:rsidRPr="00401691" w:rsidRDefault="00366AE8" w:rsidP="00844145">
            <w:pPr>
              <w:spacing w:after="0" w:line="276" w:lineRule="auto"/>
              <w:ind w:left="-72"/>
              <w:rPr>
                <w:rFonts w:asciiTheme="majorHAnsi" w:eastAsia="Times New Roman" w:hAnsiTheme="majorHAnsi" w:cstheme="majorHAnsi"/>
                <w:color w:val="000000"/>
                <w:sz w:val="16"/>
                <w:szCs w:val="16"/>
                <w:lang w:val="ro-MD"/>
              </w:rPr>
            </w:pPr>
            <w:r>
              <w:rPr>
                <w:rFonts w:asciiTheme="majorHAnsi" w:eastAsia="Times New Roman" w:hAnsiTheme="majorHAnsi" w:cstheme="majorHAnsi"/>
                <w:color w:val="000000"/>
                <w:sz w:val="16"/>
                <w:szCs w:val="16"/>
                <w:lang w:val="ro-MD"/>
              </w:rPr>
              <w:t>CF, art. 103</w:t>
            </w:r>
            <w:r w:rsidR="00C55DF6" w:rsidRPr="00401691">
              <w:rPr>
                <w:rFonts w:asciiTheme="majorHAnsi" w:eastAsia="Times New Roman" w:hAnsiTheme="majorHAnsi" w:cstheme="majorHAnsi"/>
                <w:color w:val="000000"/>
                <w:sz w:val="16"/>
                <w:szCs w:val="16"/>
                <w:lang w:val="ro-MD"/>
              </w:rPr>
              <w:t xml:space="preserve"> (6)</w:t>
            </w:r>
          </w:p>
        </w:tc>
        <w:tc>
          <w:tcPr>
            <w:tcW w:w="1407" w:type="dxa"/>
            <w:tcBorders>
              <w:top w:val="nil"/>
              <w:left w:val="single" w:sz="4" w:space="0" w:color="auto"/>
              <w:bottom w:val="single" w:sz="4" w:space="0" w:color="auto"/>
              <w:right w:val="single" w:sz="4" w:space="0" w:color="auto"/>
            </w:tcBorders>
            <w:shd w:val="clear" w:color="auto" w:fill="auto"/>
            <w:noWrap/>
            <w:hideMark/>
          </w:tcPr>
          <w:p w:rsidR="00C55DF6" w:rsidRPr="00401691" w:rsidRDefault="00C55DF6" w:rsidP="00844145">
            <w:pPr>
              <w:spacing w:after="0" w:line="276"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74,291,700.0</w:t>
            </w:r>
          </w:p>
        </w:tc>
      </w:tr>
      <w:tr w:rsidR="00C55DF6" w:rsidRPr="00401691" w:rsidTr="00A353BB">
        <w:trPr>
          <w:gridAfter w:val="1"/>
          <w:wAfter w:w="26" w:type="dxa"/>
          <w:trHeight w:val="288"/>
        </w:trPr>
        <w:tc>
          <w:tcPr>
            <w:tcW w:w="640" w:type="dxa"/>
            <w:tcBorders>
              <w:top w:val="nil"/>
              <w:left w:val="single" w:sz="4" w:space="0" w:color="auto"/>
              <w:bottom w:val="single" w:sz="4" w:space="0" w:color="auto"/>
              <w:right w:val="single" w:sz="4" w:space="0" w:color="auto"/>
            </w:tcBorders>
            <w:shd w:val="clear" w:color="auto" w:fill="auto"/>
            <w:noWrap/>
            <w:hideMark/>
          </w:tcPr>
          <w:p w:rsidR="00C55DF6" w:rsidRPr="00401691" w:rsidRDefault="005D4EE6" w:rsidP="00844145">
            <w:pPr>
              <w:spacing w:after="0" w:line="276" w:lineRule="auto"/>
              <w:jc w:val="right"/>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8.</w:t>
            </w:r>
          </w:p>
        </w:tc>
        <w:tc>
          <w:tcPr>
            <w:tcW w:w="6200" w:type="dxa"/>
            <w:tcBorders>
              <w:top w:val="nil"/>
              <w:left w:val="nil"/>
              <w:bottom w:val="single" w:sz="4" w:space="0" w:color="auto"/>
              <w:right w:val="single" w:sz="4" w:space="0" w:color="auto"/>
            </w:tcBorders>
            <w:shd w:val="clear" w:color="auto" w:fill="auto"/>
            <w:noWrap/>
            <w:hideMark/>
          </w:tcPr>
          <w:p w:rsidR="00C55DF6" w:rsidRPr="00401691" w:rsidRDefault="00C55DF6" w:rsidP="00E8734B">
            <w:pPr>
              <w:spacing w:after="0" w:line="276"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 Se scutește de TVA fără drept de deducere materia primă, materialele, articolele de completare și accesoriile necesare procesului propriu de producție, importate de către organizațiile și întreprinderile societăților nevăzătorilor, societăților surzilor și societăților invalizilor, de asemenea</w:t>
            </w:r>
            <w:r w:rsidR="00AA7965">
              <w:rPr>
                <w:rFonts w:asciiTheme="majorHAnsi" w:eastAsia="Times New Roman" w:hAnsiTheme="majorHAnsi" w:cstheme="majorHAnsi"/>
                <w:color w:val="000000"/>
                <w:sz w:val="18"/>
                <w:szCs w:val="18"/>
                <w:lang w:val="ro-MD"/>
              </w:rPr>
              <w:t>,</w:t>
            </w:r>
            <w:r w:rsidRPr="00401691">
              <w:rPr>
                <w:rFonts w:asciiTheme="majorHAnsi" w:eastAsia="Times New Roman" w:hAnsiTheme="majorHAnsi" w:cstheme="majorHAnsi"/>
                <w:color w:val="000000"/>
                <w:sz w:val="18"/>
                <w:szCs w:val="18"/>
                <w:lang w:val="ro-MD"/>
              </w:rPr>
              <w:t xml:space="preserve"> se scutesc organizațiile și întreprinderile menționate de la vărsarea la buget a sumei TVA pentru mărfurile produse și serviciile prestate, conform listei organizațiilor și întreprinderilor </w:t>
            </w:r>
            <w:r w:rsidR="00E8734B">
              <w:rPr>
                <w:rFonts w:asciiTheme="majorHAnsi" w:eastAsia="Times New Roman" w:hAnsiTheme="majorHAnsi" w:cstheme="majorHAnsi"/>
                <w:color w:val="000000"/>
                <w:sz w:val="18"/>
                <w:szCs w:val="18"/>
                <w:lang w:val="ro-MD"/>
              </w:rPr>
              <w:t>respective, aprobată de Guvern.</w:t>
            </w:r>
          </w:p>
        </w:tc>
        <w:tc>
          <w:tcPr>
            <w:tcW w:w="1046" w:type="dxa"/>
            <w:tcBorders>
              <w:top w:val="nil"/>
              <w:left w:val="nil"/>
              <w:bottom w:val="single" w:sz="4" w:space="0" w:color="auto"/>
              <w:right w:val="single" w:sz="4" w:space="0" w:color="auto"/>
            </w:tcBorders>
            <w:shd w:val="clear" w:color="auto" w:fill="auto"/>
            <w:noWrap/>
            <w:hideMark/>
          </w:tcPr>
          <w:p w:rsidR="00C55DF6" w:rsidRPr="00401691" w:rsidRDefault="00C55DF6" w:rsidP="00844145">
            <w:pPr>
              <w:spacing w:after="0" w:line="276" w:lineRule="auto"/>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L1417012</w:t>
            </w:r>
          </w:p>
        </w:tc>
        <w:tc>
          <w:tcPr>
            <w:tcW w:w="754" w:type="dxa"/>
            <w:tcBorders>
              <w:top w:val="single" w:sz="4" w:space="0" w:color="auto"/>
              <w:left w:val="nil"/>
              <w:bottom w:val="single" w:sz="4" w:space="0" w:color="auto"/>
              <w:right w:val="single" w:sz="4" w:space="0" w:color="auto"/>
            </w:tcBorders>
          </w:tcPr>
          <w:p w:rsidR="00C55DF6" w:rsidRPr="005C7A4B" w:rsidRDefault="00C55DF6" w:rsidP="00844145">
            <w:pPr>
              <w:spacing w:after="0" w:line="276" w:lineRule="auto"/>
              <w:ind w:left="-72" w:right="-108"/>
              <w:rPr>
                <w:rFonts w:asciiTheme="majorHAnsi" w:eastAsia="Times New Roman" w:hAnsiTheme="majorHAnsi" w:cstheme="majorHAnsi"/>
                <w:color w:val="000000"/>
                <w:sz w:val="16"/>
                <w:szCs w:val="16"/>
                <w:lang w:val="ro-MD"/>
              </w:rPr>
            </w:pPr>
            <w:r w:rsidRPr="005C7A4B">
              <w:rPr>
                <w:rFonts w:asciiTheme="majorHAnsi" w:eastAsia="Times New Roman" w:hAnsiTheme="majorHAnsi" w:cstheme="majorHAnsi"/>
                <w:color w:val="000000"/>
                <w:sz w:val="16"/>
                <w:szCs w:val="16"/>
                <w:lang w:val="ro-MD"/>
              </w:rPr>
              <w:t>art. 4 (18) Legea nr. 1417-XIII din 1997</w:t>
            </w:r>
          </w:p>
        </w:tc>
        <w:tc>
          <w:tcPr>
            <w:tcW w:w="1407" w:type="dxa"/>
            <w:tcBorders>
              <w:top w:val="nil"/>
              <w:left w:val="single" w:sz="4" w:space="0" w:color="auto"/>
              <w:bottom w:val="single" w:sz="4" w:space="0" w:color="auto"/>
              <w:right w:val="single" w:sz="4" w:space="0" w:color="auto"/>
            </w:tcBorders>
            <w:shd w:val="clear" w:color="auto" w:fill="auto"/>
            <w:noWrap/>
            <w:hideMark/>
          </w:tcPr>
          <w:p w:rsidR="00C55DF6" w:rsidRPr="00401691" w:rsidRDefault="00C55DF6" w:rsidP="00844145">
            <w:pPr>
              <w:spacing w:after="0" w:line="276"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10,952,700.0</w:t>
            </w:r>
          </w:p>
        </w:tc>
      </w:tr>
      <w:tr w:rsidR="00C55DF6" w:rsidRPr="00401691" w:rsidTr="00A353BB">
        <w:trPr>
          <w:gridAfter w:val="1"/>
          <w:wAfter w:w="26" w:type="dxa"/>
          <w:trHeight w:val="288"/>
        </w:trPr>
        <w:tc>
          <w:tcPr>
            <w:tcW w:w="684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C55DF6" w:rsidRPr="00401691" w:rsidRDefault="00C55DF6" w:rsidP="00844145">
            <w:pPr>
              <w:spacing w:after="0" w:line="276" w:lineRule="auto"/>
              <w:jc w:val="right"/>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Total</w:t>
            </w:r>
          </w:p>
        </w:tc>
        <w:tc>
          <w:tcPr>
            <w:tcW w:w="1046" w:type="dxa"/>
            <w:tcBorders>
              <w:top w:val="nil"/>
              <w:left w:val="nil"/>
              <w:bottom w:val="single" w:sz="4" w:space="0" w:color="auto"/>
              <w:right w:val="single" w:sz="4" w:space="0" w:color="auto"/>
            </w:tcBorders>
            <w:shd w:val="clear" w:color="auto" w:fill="auto"/>
            <w:noWrap/>
            <w:hideMark/>
          </w:tcPr>
          <w:p w:rsidR="00C55DF6" w:rsidRPr="00401691" w:rsidRDefault="00C55DF6" w:rsidP="00844145">
            <w:pPr>
              <w:spacing w:after="0" w:line="276" w:lineRule="auto"/>
              <w:jc w:val="center"/>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w:t>
            </w:r>
          </w:p>
        </w:tc>
        <w:tc>
          <w:tcPr>
            <w:tcW w:w="754" w:type="dxa"/>
            <w:tcBorders>
              <w:top w:val="single" w:sz="4" w:space="0" w:color="auto"/>
              <w:left w:val="nil"/>
              <w:bottom w:val="single" w:sz="4" w:space="0" w:color="auto"/>
              <w:right w:val="single" w:sz="4" w:space="0" w:color="auto"/>
            </w:tcBorders>
          </w:tcPr>
          <w:p w:rsidR="00C55DF6" w:rsidRPr="00401691" w:rsidRDefault="00C55DF6" w:rsidP="00844145">
            <w:pPr>
              <w:spacing w:after="0" w:line="276" w:lineRule="auto"/>
              <w:jc w:val="center"/>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w:t>
            </w:r>
          </w:p>
        </w:tc>
        <w:tc>
          <w:tcPr>
            <w:tcW w:w="1407" w:type="dxa"/>
            <w:tcBorders>
              <w:top w:val="nil"/>
              <w:left w:val="single" w:sz="4" w:space="0" w:color="auto"/>
              <w:bottom w:val="single" w:sz="4" w:space="0" w:color="auto"/>
              <w:right w:val="single" w:sz="4" w:space="0" w:color="auto"/>
            </w:tcBorders>
            <w:shd w:val="clear" w:color="auto" w:fill="auto"/>
            <w:noWrap/>
            <w:hideMark/>
          </w:tcPr>
          <w:p w:rsidR="00C55DF6" w:rsidRPr="00401691" w:rsidRDefault="00C55DF6" w:rsidP="00844145">
            <w:pPr>
              <w:spacing w:after="0" w:line="276" w:lineRule="auto"/>
              <w:ind w:right="-54"/>
              <w:jc w:val="right"/>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1,934,265,900.0</w:t>
            </w:r>
          </w:p>
        </w:tc>
      </w:tr>
    </w:tbl>
    <w:p w:rsidR="00C55DF6" w:rsidRPr="00401691" w:rsidRDefault="00C55DF6" w:rsidP="00844145">
      <w:pPr>
        <w:spacing w:after="0" w:line="276" w:lineRule="auto"/>
        <w:jc w:val="right"/>
        <w:rPr>
          <w:rFonts w:asciiTheme="majorHAnsi" w:hAnsiTheme="majorHAnsi" w:cstheme="majorHAnsi"/>
          <w:i/>
          <w:sz w:val="24"/>
          <w:szCs w:val="24"/>
          <w:lang w:val="ro-MD"/>
        </w:rPr>
      </w:pPr>
    </w:p>
    <w:p w:rsidR="00C55DF6" w:rsidRPr="00401691" w:rsidRDefault="00C55DF6" w:rsidP="00844145">
      <w:pPr>
        <w:spacing w:after="0" w:line="276" w:lineRule="auto"/>
        <w:jc w:val="right"/>
        <w:rPr>
          <w:rFonts w:asciiTheme="majorHAnsi" w:hAnsiTheme="majorHAnsi" w:cstheme="majorHAnsi"/>
          <w:i/>
          <w:sz w:val="24"/>
          <w:szCs w:val="24"/>
          <w:lang w:val="ro-MD"/>
        </w:rPr>
      </w:pPr>
    </w:p>
    <w:p w:rsidR="00C55DF6" w:rsidRPr="00401691" w:rsidRDefault="00C55DF6" w:rsidP="00844145">
      <w:pPr>
        <w:spacing w:after="0" w:line="276" w:lineRule="auto"/>
        <w:jc w:val="right"/>
        <w:rPr>
          <w:rFonts w:asciiTheme="majorHAnsi" w:hAnsiTheme="majorHAnsi" w:cstheme="majorHAnsi"/>
          <w:i/>
          <w:sz w:val="24"/>
          <w:szCs w:val="24"/>
          <w:lang w:val="ro-MD"/>
        </w:rPr>
      </w:pPr>
      <w:r w:rsidRPr="00401691">
        <w:rPr>
          <w:rFonts w:asciiTheme="majorHAnsi" w:hAnsiTheme="majorHAnsi" w:cstheme="majorHAnsi"/>
          <w:i/>
          <w:sz w:val="24"/>
          <w:szCs w:val="24"/>
          <w:lang w:val="ro-MD"/>
        </w:rPr>
        <w:t>Anexa nr. 4</w:t>
      </w:r>
    </w:p>
    <w:p w:rsidR="002E31B8" w:rsidRPr="00401691" w:rsidRDefault="002E31B8" w:rsidP="002E31B8">
      <w:pPr>
        <w:jc w:val="center"/>
        <w:rPr>
          <w:rFonts w:asciiTheme="majorHAnsi" w:hAnsiTheme="majorHAnsi" w:cstheme="majorHAnsi"/>
          <w:b/>
          <w:sz w:val="24"/>
          <w:szCs w:val="24"/>
          <w:lang w:val="ro-MD"/>
        </w:rPr>
      </w:pPr>
      <w:r w:rsidRPr="00401691">
        <w:rPr>
          <w:rFonts w:asciiTheme="majorHAnsi" w:hAnsiTheme="majorHAnsi" w:cstheme="majorHAnsi"/>
          <w:b/>
          <w:sz w:val="24"/>
          <w:szCs w:val="24"/>
          <w:lang w:val="ro-MD"/>
        </w:rPr>
        <w:t>Tipurile de amenzi aplicate de instituții ale statului</w:t>
      </w:r>
      <w:r w:rsidR="00AA7965">
        <w:rPr>
          <w:rFonts w:asciiTheme="majorHAnsi" w:hAnsiTheme="majorHAnsi" w:cstheme="majorHAnsi"/>
          <w:b/>
          <w:sz w:val="24"/>
          <w:szCs w:val="24"/>
          <w:lang w:val="ro-MD"/>
        </w:rPr>
        <w:t xml:space="preserve"> al căror </w:t>
      </w:r>
      <w:r w:rsidRPr="00401691">
        <w:rPr>
          <w:rFonts w:asciiTheme="majorHAnsi" w:hAnsiTheme="majorHAnsi" w:cstheme="majorHAnsi"/>
          <w:b/>
          <w:sz w:val="24"/>
          <w:szCs w:val="24"/>
          <w:lang w:val="ro-MD"/>
        </w:rPr>
        <w:t>administrator este SFS</w:t>
      </w:r>
    </w:p>
    <w:tbl>
      <w:tblPr>
        <w:tblW w:w="10080" w:type="dxa"/>
        <w:tblInd w:w="-95" w:type="dxa"/>
        <w:tblLayout w:type="fixed"/>
        <w:tblLook w:val="04A0" w:firstRow="1" w:lastRow="0" w:firstColumn="1" w:lastColumn="0" w:noHBand="0" w:noVBand="1"/>
      </w:tblPr>
      <w:tblGrid>
        <w:gridCol w:w="630"/>
        <w:gridCol w:w="990"/>
        <w:gridCol w:w="6480"/>
        <w:gridCol w:w="1980"/>
      </w:tblGrid>
      <w:tr w:rsidR="002E31B8" w:rsidRPr="00401691" w:rsidTr="00CB6BC1">
        <w:trPr>
          <w:trHeight w:val="539"/>
        </w:trPr>
        <w:tc>
          <w:tcPr>
            <w:tcW w:w="63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E31B8" w:rsidRPr="00401691" w:rsidRDefault="002E31B8" w:rsidP="00CB6BC1">
            <w:pPr>
              <w:jc w:val="center"/>
              <w:rPr>
                <w:rFonts w:asciiTheme="majorHAnsi" w:hAnsiTheme="majorHAnsi" w:cstheme="majorHAnsi"/>
                <w:i/>
                <w:lang w:val="ro-MD"/>
              </w:rPr>
            </w:pPr>
            <w:r w:rsidRPr="00401691">
              <w:rPr>
                <w:rFonts w:asciiTheme="majorHAnsi" w:hAnsiTheme="majorHAnsi" w:cstheme="majorHAnsi"/>
                <w:i/>
                <w:lang w:val="ro-MD"/>
              </w:rPr>
              <w:t>N</w:t>
            </w:r>
            <w:r w:rsidR="00AA7965">
              <w:rPr>
                <w:rFonts w:asciiTheme="majorHAnsi" w:hAnsiTheme="majorHAnsi" w:cstheme="majorHAnsi"/>
                <w:i/>
                <w:lang w:val="ro-MD"/>
              </w:rPr>
              <w:t>r. d</w:t>
            </w:r>
            <w:r w:rsidRPr="00401691">
              <w:rPr>
                <w:rFonts w:asciiTheme="majorHAnsi" w:hAnsiTheme="majorHAnsi" w:cstheme="majorHAnsi"/>
                <w:i/>
                <w:lang w:val="ro-MD"/>
              </w:rPr>
              <w:t>/</w:t>
            </w:r>
            <w:r w:rsidR="00AA7965">
              <w:rPr>
                <w:rFonts w:asciiTheme="majorHAnsi" w:hAnsiTheme="majorHAnsi" w:cstheme="majorHAnsi"/>
                <w:i/>
                <w:lang w:val="ro-MD"/>
              </w:rPr>
              <w:t>o</w:t>
            </w:r>
          </w:p>
        </w:tc>
        <w:tc>
          <w:tcPr>
            <w:tcW w:w="990" w:type="dxa"/>
            <w:tcBorders>
              <w:top w:val="single" w:sz="4" w:space="0" w:color="auto"/>
              <w:left w:val="nil"/>
              <w:bottom w:val="single" w:sz="4" w:space="0" w:color="auto"/>
              <w:right w:val="single" w:sz="4" w:space="0" w:color="auto"/>
            </w:tcBorders>
            <w:shd w:val="clear" w:color="auto" w:fill="D9E2F3" w:themeFill="accent5" w:themeFillTint="33"/>
            <w:vAlign w:val="center"/>
            <w:hideMark/>
          </w:tcPr>
          <w:p w:rsidR="002E31B8" w:rsidRPr="00401691" w:rsidRDefault="002E31B8" w:rsidP="00CB6BC1">
            <w:pPr>
              <w:spacing w:after="0" w:line="240" w:lineRule="auto"/>
              <w:jc w:val="center"/>
              <w:rPr>
                <w:rFonts w:asciiTheme="majorHAnsi" w:eastAsia="Times New Roman" w:hAnsiTheme="majorHAnsi" w:cstheme="majorHAnsi"/>
                <w:i/>
                <w:color w:val="000000"/>
                <w:lang w:val="ro-MD"/>
              </w:rPr>
            </w:pPr>
            <w:r w:rsidRPr="00401691">
              <w:rPr>
                <w:rFonts w:asciiTheme="majorHAnsi" w:eastAsia="Times New Roman" w:hAnsiTheme="majorHAnsi" w:cstheme="majorHAnsi"/>
                <w:i/>
                <w:color w:val="000000"/>
                <w:lang w:val="ro-MD"/>
              </w:rPr>
              <w:t>Cod clasific.</w:t>
            </w:r>
          </w:p>
        </w:tc>
        <w:tc>
          <w:tcPr>
            <w:tcW w:w="6480" w:type="dxa"/>
            <w:tcBorders>
              <w:top w:val="single" w:sz="4" w:space="0" w:color="auto"/>
              <w:left w:val="nil"/>
              <w:bottom w:val="single" w:sz="4" w:space="0" w:color="auto"/>
              <w:right w:val="single" w:sz="4" w:space="0" w:color="auto"/>
            </w:tcBorders>
            <w:shd w:val="clear" w:color="auto" w:fill="D9E2F3" w:themeFill="accent5" w:themeFillTint="33"/>
            <w:vAlign w:val="center"/>
            <w:hideMark/>
          </w:tcPr>
          <w:p w:rsidR="002E31B8" w:rsidRPr="00401691" w:rsidRDefault="002E31B8" w:rsidP="00CB6BC1">
            <w:pPr>
              <w:spacing w:after="0" w:line="240" w:lineRule="auto"/>
              <w:jc w:val="center"/>
              <w:rPr>
                <w:rFonts w:asciiTheme="majorHAnsi" w:eastAsia="Times New Roman" w:hAnsiTheme="majorHAnsi" w:cstheme="majorHAnsi"/>
                <w:i/>
                <w:color w:val="000000"/>
                <w:lang w:val="ro-MD"/>
              </w:rPr>
            </w:pPr>
            <w:r w:rsidRPr="00401691">
              <w:rPr>
                <w:rFonts w:asciiTheme="majorHAnsi" w:eastAsia="Times New Roman" w:hAnsiTheme="majorHAnsi" w:cstheme="majorHAnsi"/>
                <w:i/>
                <w:color w:val="000000"/>
                <w:lang w:val="ro-MD"/>
              </w:rPr>
              <w:t>Denumirea venitului</w:t>
            </w:r>
          </w:p>
        </w:tc>
        <w:tc>
          <w:tcPr>
            <w:tcW w:w="1980" w:type="dxa"/>
            <w:tcBorders>
              <w:top w:val="single" w:sz="4" w:space="0" w:color="auto"/>
              <w:left w:val="nil"/>
              <w:bottom w:val="single" w:sz="4" w:space="0" w:color="auto"/>
              <w:right w:val="single" w:sz="4" w:space="0" w:color="auto"/>
            </w:tcBorders>
            <w:shd w:val="clear" w:color="auto" w:fill="D9E2F3" w:themeFill="accent5" w:themeFillTint="33"/>
            <w:vAlign w:val="center"/>
            <w:hideMark/>
          </w:tcPr>
          <w:p w:rsidR="002E31B8" w:rsidRPr="00401691" w:rsidRDefault="002E31B8" w:rsidP="00CB6BC1">
            <w:pPr>
              <w:spacing w:after="0" w:line="240" w:lineRule="auto"/>
              <w:jc w:val="center"/>
              <w:rPr>
                <w:rFonts w:asciiTheme="majorHAnsi" w:eastAsia="Times New Roman" w:hAnsiTheme="majorHAnsi" w:cstheme="majorHAnsi"/>
                <w:i/>
                <w:color w:val="000000"/>
                <w:lang w:val="ro-MD"/>
              </w:rPr>
            </w:pPr>
            <w:r w:rsidRPr="00401691">
              <w:rPr>
                <w:rFonts w:asciiTheme="majorHAnsi" w:eastAsia="Times New Roman" w:hAnsiTheme="majorHAnsi" w:cstheme="majorHAnsi"/>
                <w:i/>
                <w:color w:val="000000"/>
                <w:lang w:val="ro-MD"/>
              </w:rPr>
              <w:t>Încasat 2019</w:t>
            </w:r>
          </w:p>
          <w:p w:rsidR="002E31B8" w:rsidRPr="00401691" w:rsidRDefault="002E31B8" w:rsidP="00CB6BC1">
            <w:pPr>
              <w:spacing w:after="0" w:line="240" w:lineRule="auto"/>
              <w:jc w:val="center"/>
              <w:rPr>
                <w:rFonts w:asciiTheme="majorHAnsi" w:eastAsia="Times New Roman" w:hAnsiTheme="majorHAnsi" w:cstheme="majorHAnsi"/>
                <w:i/>
                <w:color w:val="000000"/>
                <w:lang w:val="ro-MD"/>
              </w:rPr>
            </w:pPr>
            <w:r w:rsidRPr="00401691">
              <w:rPr>
                <w:rFonts w:asciiTheme="majorHAnsi" w:eastAsia="Times New Roman" w:hAnsiTheme="majorHAnsi" w:cstheme="majorHAnsi"/>
                <w:i/>
                <w:color w:val="000000"/>
                <w:lang w:val="ro-MD"/>
              </w:rPr>
              <w:t>(mii lei)</w:t>
            </w:r>
          </w:p>
        </w:tc>
      </w:tr>
      <w:tr w:rsidR="002E31B8" w:rsidRPr="00401691" w:rsidTr="00CB6BC1">
        <w:trPr>
          <w:trHeight w:val="530"/>
        </w:trPr>
        <w:tc>
          <w:tcPr>
            <w:tcW w:w="630" w:type="dxa"/>
            <w:tcBorders>
              <w:top w:val="nil"/>
              <w:left w:val="single" w:sz="4" w:space="0" w:color="auto"/>
              <w:bottom w:val="single" w:sz="4" w:space="0" w:color="auto"/>
              <w:right w:val="single" w:sz="4" w:space="0" w:color="auto"/>
            </w:tcBorders>
            <w:shd w:val="clear" w:color="auto" w:fill="auto"/>
            <w:vAlign w:val="center"/>
          </w:tcPr>
          <w:p w:rsidR="002E31B8" w:rsidRPr="00D573BF" w:rsidRDefault="002E31B8" w:rsidP="00CB6BC1">
            <w:pPr>
              <w:pStyle w:val="ListParagraph"/>
              <w:numPr>
                <w:ilvl w:val="0"/>
                <w:numId w:val="5"/>
              </w:numPr>
              <w:spacing w:after="0" w:line="240" w:lineRule="auto"/>
              <w:rPr>
                <w:rFonts w:asciiTheme="majorHAnsi" w:eastAsia="Times New Roman" w:hAnsiTheme="majorHAnsi" w:cstheme="majorHAnsi"/>
                <w:color w:val="000000"/>
                <w:sz w:val="18"/>
                <w:szCs w:val="18"/>
                <w:lang w:val="ro-MD"/>
              </w:rPr>
            </w:pPr>
          </w:p>
        </w:tc>
        <w:tc>
          <w:tcPr>
            <w:tcW w:w="990" w:type="dxa"/>
            <w:tcBorders>
              <w:top w:val="nil"/>
              <w:left w:val="nil"/>
              <w:bottom w:val="single" w:sz="4" w:space="0" w:color="auto"/>
              <w:right w:val="single" w:sz="4" w:space="0" w:color="auto"/>
            </w:tcBorders>
            <w:shd w:val="clear" w:color="auto" w:fill="auto"/>
            <w:vAlign w:val="center"/>
          </w:tcPr>
          <w:p w:rsidR="002E31B8" w:rsidRPr="00D573BF" w:rsidRDefault="002E31B8" w:rsidP="00CB6BC1">
            <w:pPr>
              <w:spacing w:after="0" w:line="240" w:lineRule="auto"/>
              <w:rPr>
                <w:rFonts w:asciiTheme="majorHAnsi" w:eastAsia="Times New Roman" w:hAnsiTheme="majorHAnsi" w:cstheme="majorHAnsi"/>
                <w:color w:val="000000"/>
                <w:sz w:val="18"/>
                <w:szCs w:val="18"/>
                <w:lang w:val="ro-MD"/>
              </w:rPr>
            </w:pPr>
            <w:r w:rsidRPr="00D573BF">
              <w:rPr>
                <w:rFonts w:asciiTheme="majorHAnsi" w:eastAsia="Times New Roman" w:hAnsiTheme="majorHAnsi" w:cstheme="majorHAnsi"/>
                <w:color w:val="000000"/>
                <w:sz w:val="18"/>
                <w:szCs w:val="18"/>
                <w:lang w:val="ro-MD"/>
              </w:rPr>
              <w:t>114525</w:t>
            </w:r>
          </w:p>
        </w:tc>
        <w:tc>
          <w:tcPr>
            <w:tcW w:w="6480" w:type="dxa"/>
            <w:tcBorders>
              <w:top w:val="nil"/>
              <w:left w:val="nil"/>
              <w:bottom w:val="single" w:sz="4" w:space="0" w:color="auto"/>
              <w:right w:val="single" w:sz="4" w:space="0" w:color="auto"/>
            </w:tcBorders>
            <w:shd w:val="clear" w:color="auto" w:fill="auto"/>
            <w:vAlign w:val="center"/>
          </w:tcPr>
          <w:p w:rsidR="002E31B8" w:rsidRPr="00D573BF" w:rsidRDefault="002E31B8" w:rsidP="00CB6BC1">
            <w:pPr>
              <w:spacing w:after="0" w:line="240" w:lineRule="auto"/>
              <w:jc w:val="both"/>
              <w:rPr>
                <w:rFonts w:asciiTheme="majorHAnsi" w:eastAsia="Times New Roman" w:hAnsiTheme="majorHAnsi" w:cstheme="majorHAnsi"/>
                <w:color w:val="000000"/>
                <w:sz w:val="18"/>
                <w:szCs w:val="18"/>
                <w:lang w:val="ro-MD"/>
              </w:rPr>
            </w:pPr>
            <w:r w:rsidRPr="00D573BF">
              <w:rPr>
                <w:rFonts w:asciiTheme="majorHAnsi" w:eastAsia="Times New Roman" w:hAnsiTheme="majorHAnsi" w:cstheme="majorHAnsi"/>
                <w:color w:val="000000"/>
                <w:sz w:val="18"/>
                <w:szCs w:val="18"/>
                <w:lang w:val="ro-MD"/>
              </w:rPr>
              <w:t xml:space="preserve">Taxa de eliberare pentru transporturi rutiere internaționale </w:t>
            </w:r>
          </w:p>
        </w:tc>
        <w:tc>
          <w:tcPr>
            <w:tcW w:w="1980" w:type="dxa"/>
            <w:tcBorders>
              <w:top w:val="nil"/>
              <w:left w:val="nil"/>
              <w:bottom w:val="single" w:sz="4" w:space="0" w:color="auto"/>
              <w:right w:val="single" w:sz="4" w:space="0" w:color="auto"/>
            </w:tcBorders>
            <w:shd w:val="clear" w:color="auto" w:fill="auto"/>
            <w:vAlign w:val="center"/>
          </w:tcPr>
          <w:p w:rsidR="002E31B8" w:rsidRPr="00D573BF" w:rsidRDefault="002E31B8" w:rsidP="00CB6BC1">
            <w:pPr>
              <w:spacing w:after="0" w:line="240" w:lineRule="auto"/>
              <w:jc w:val="right"/>
              <w:rPr>
                <w:rFonts w:asciiTheme="majorHAnsi" w:hAnsiTheme="majorHAnsi" w:cstheme="majorHAnsi"/>
                <w:sz w:val="18"/>
                <w:szCs w:val="18"/>
                <w:lang w:val="ro-MD"/>
              </w:rPr>
            </w:pPr>
            <w:r w:rsidRPr="00D573BF">
              <w:rPr>
                <w:rFonts w:asciiTheme="majorHAnsi" w:hAnsiTheme="majorHAnsi" w:cstheme="majorHAnsi"/>
                <w:sz w:val="18"/>
                <w:szCs w:val="18"/>
                <w:lang w:val="ro-MD"/>
              </w:rPr>
              <w:t>58642.8</w:t>
            </w:r>
          </w:p>
        </w:tc>
      </w:tr>
      <w:tr w:rsidR="002E31B8" w:rsidRPr="00401691" w:rsidTr="00CB6BC1">
        <w:trPr>
          <w:trHeight w:val="576"/>
        </w:trPr>
        <w:tc>
          <w:tcPr>
            <w:tcW w:w="630" w:type="dxa"/>
            <w:tcBorders>
              <w:top w:val="nil"/>
              <w:left w:val="single" w:sz="4" w:space="0" w:color="auto"/>
              <w:bottom w:val="single" w:sz="4" w:space="0" w:color="auto"/>
              <w:right w:val="single" w:sz="4" w:space="0" w:color="auto"/>
            </w:tcBorders>
            <w:shd w:val="clear" w:color="auto" w:fill="auto"/>
            <w:vAlign w:val="center"/>
          </w:tcPr>
          <w:p w:rsidR="002E31B8" w:rsidRPr="00D573BF" w:rsidRDefault="002E31B8" w:rsidP="00CB6BC1">
            <w:pPr>
              <w:pStyle w:val="ListParagraph"/>
              <w:numPr>
                <w:ilvl w:val="0"/>
                <w:numId w:val="5"/>
              </w:numPr>
              <w:spacing w:after="0" w:line="240" w:lineRule="auto"/>
              <w:jc w:val="both"/>
              <w:rPr>
                <w:rFonts w:asciiTheme="majorHAnsi" w:eastAsia="Times New Roman" w:hAnsiTheme="majorHAnsi" w:cstheme="majorHAnsi"/>
                <w:color w:val="000000"/>
                <w:sz w:val="18"/>
                <w:szCs w:val="18"/>
                <w:lang w:val="ro-MD"/>
              </w:rPr>
            </w:pPr>
          </w:p>
        </w:tc>
        <w:tc>
          <w:tcPr>
            <w:tcW w:w="990" w:type="dxa"/>
            <w:tcBorders>
              <w:top w:val="nil"/>
              <w:left w:val="nil"/>
              <w:bottom w:val="single" w:sz="4" w:space="0" w:color="auto"/>
              <w:right w:val="single" w:sz="4" w:space="0" w:color="auto"/>
            </w:tcBorders>
            <w:shd w:val="clear" w:color="auto" w:fill="auto"/>
            <w:vAlign w:val="center"/>
          </w:tcPr>
          <w:p w:rsidR="002E31B8" w:rsidRPr="00D573BF" w:rsidRDefault="002E31B8" w:rsidP="00CB6BC1">
            <w:pPr>
              <w:spacing w:after="0" w:line="240" w:lineRule="auto"/>
              <w:jc w:val="both"/>
              <w:rPr>
                <w:rFonts w:asciiTheme="majorHAnsi" w:eastAsia="Times New Roman" w:hAnsiTheme="majorHAnsi" w:cstheme="majorHAnsi"/>
                <w:color w:val="000000"/>
                <w:sz w:val="18"/>
                <w:szCs w:val="18"/>
                <w:lang w:val="ro-MD"/>
              </w:rPr>
            </w:pPr>
            <w:r w:rsidRPr="00D573BF">
              <w:rPr>
                <w:rFonts w:asciiTheme="majorHAnsi" w:eastAsia="Times New Roman" w:hAnsiTheme="majorHAnsi" w:cstheme="majorHAnsi"/>
                <w:color w:val="000000"/>
                <w:sz w:val="18"/>
                <w:szCs w:val="18"/>
                <w:lang w:val="ro-MD"/>
              </w:rPr>
              <w:t>114634</w:t>
            </w:r>
          </w:p>
        </w:tc>
        <w:tc>
          <w:tcPr>
            <w:tcW w:w="6480" w:type="dxa"/>
            <w:tcBorders>
              <w:top w:val="nil"/>
              <w:left w:val="nil"/>
              <w:bottom w:val="single" w:sz="4" w:space="0" w:color="auto"/>
              <w:right w:val="single" w:sz="4" w:space="0" w:color="auto"/>
            </w:tcBorders>
            <w:shd w:val="clear" w:color="auto" w:fill="auto"/>
            <w:vAlign w:val="center"/>
          </w:tcPr>
          <w:p w:rsidR="002E31B8" w:rsidRPr="00D573BF" w:rsidRDefault="002E31B8" w:rsidP="00CB6BC1">
            <w:pPr>
              <w:spacing w:after="0" w:line="240" w:lineRule="auto"/>
              <w:jc w:val="both"/>
              <w:rPr>
                <w:rFonts w:asciiTheme="majorHAnsi" w:eastAsia="Times New Roman" w:hAnsiTheme="majorHAnsi" w:cstheme="majorHAnsi"/>
                <w:color w:val="000000"/>
                <w:sz w:val="18"/>
                <w:szCs w:val="18"/>
                <w:lang w:val="ro-MD"/>
              </w:rPr>
            </w:pPr>
            <w:r w:rsidRPr="00D573BF">
              <w:rPr>
                <w:rFonts w:asciiTheme="majorHAnsi" w:eastAsia="Times New Roman" w:hAnsiTheme="majorHAnsi" w:cstheme="majorHAnsi"/>
                <w:color w:val="000000"/>
                <w:sz w:val="18"/>
                <w:szCs w:val="18"/>
                <w:lang w:val="ro-MD"/>
              </w:rPr>
              <w:t xml:space="preserve"> Taxa pentru</w:t>
            </w:r>
            <w:r w:rsidR="00366AE8">
              <w:rPr>
                <w:rFonts w:asciiTheme="majorHAnsi" w:eastAsia="Times New Roman" w:hAnsiTheme="majorHAnsi" w:cstheme="majorHAnsi"/>
                <w:color w:val="000000"/>
                <w:sz w:val="18"/>
                <w:szCs w:val="18"/>
                <w:lang w:val="ro-MD"/>
              </w:rPr>
              <w:t xml:space="preserve"> folosirea drumurilor de către </w:t>
            </w:r>
            <w:r w:rsidRPr="00D573BF">
              <w:rPr>
                <w:rFonts w:asciiTheme="majorHAnsi" w:eastAsia="Times New Roman" w:hAnsiTheme="majorHAnsi" w:cstheme="majorHAnsi"/>
                <w:color w:val="000000"/>
                <w:sz w:val="18"/>
                <w:szCs w:val="18"/>
                <w:lang w:val="ro-MD"/>
              </w:rPr>
              <w:t>autovehiculele înmat</w:t>
            </w:r>
            <w:r w:rsidR="00366AE8">
              <w:rPr>
                <w:rFonts w:asciiTheme="majorHAnsi" w:eastAsia="Times New Roman" w:hAnsiTheme="majorHAnsi" w:cstheme="majorHAnsi"/>
                <w:color w:val="000000"/>
                <w:sz w:val="18"/>
                <w:szCs w:val="18"/>
                <w:lang w:val="ro-MD"/>
              </w:rPr>
              <w:t>riculate</w:t>
            </w:r>
            <w:r w:rsidRPr="00D573BF">
              <w:rPr>
                <w:rFonts w:asciiTheme="majorHAnsi" w:eastAsia="Times New Roman" w:hAnsiTheme="majorHAnsi" w:cstheme="majorHAnsi"/>
                <w:color w:val="000000"/>
                <w:sz w:val="18"/>
                <w:szCs w:val="18"/>
                <w:lang w:val="ro-MD"/>
              </w:rPr>
              <w:t xml:space="preserve"> în Republica Moldova a căror masă totală, sarcină </w:t>
            </w:r>
            <w:proofErr w:type="spellStart"/>
            <w:r w:rsidRPr="00D573BF">
              <w:rPr>
                <w:rFonts w:asciiTheme="majorHAnsi" w:eastAsia="Times New Roman" w:hAnsiTheme="majorHAnsi" w:cstheme="majorHAnsi"/>
                <w:color w:val="000000"/>
                <w:sz w:val="18"/>
                <w:szCs w:val="18"/>
                <w:lang w:val="ro-MD"/>
              </w:rPr>
              <w:t>masică</w:t>
            </w:r>
            <w:proofErr w:type="spellEnd"/>
            <w:r w:rsidRPr="00D573BF">
              <w:rPr>
                <w:rFonts w:asciiTheme="majorHAnsi" w:eastAsia="Times New Roman" w:hAnsiTheme="majorHAnsi" w:cstheme="majorHAnsi"/>
                <w:color w:val="000000"/>
                <w:sz w:val="18"/>
                <w:szCs w:val="18"/>
                <w:lang w:val="ro-MD"/>
              </w:rPr>
              <w:t xml:space="preserve"> pe ax</w:t>
            </w:r>
            <w:r w:rsidR="00AA7965">
              <w:rPr>
                <w:rFonts w:asciiTheme="majorHAnsi" w:eastAsia="Times New Roman" w:hAnsiTheme="majorHAnsi" w:cstheme="majorHAnsi"/>
                <w:color w:val="000000"/>
                <w:sz w:val="18"/>
                <w:szCs w:val="18"/>
                <w:lang w:val="ro-MD"/>
              </w:rPr>
              <w:t>ă</w:t>
            </w:r>
            <w:r w:rsidRPr="00D573BF">
              <w:rPr>
                <w:rFonts w:asciiTheme="majorHAnsi" w:eastAsia="Times New Roman" w:hAnsiTheme="majorHAnsi" w:cstheme="majorHAnsi"/>
                <w:color w:val="000000"/>
                <w:sz w:val="18"/>
                <w:szCs w:val="18"/>
                <w:lang w:val="ro-MD"/>
              </w:rPr>
              <w:t xml:space="preserve"> sau ale căror dimensiuni depășesc limitele admise </w:t>
            </w:r>
          </w:p>
        </w:tc>
        <w:tc>
          <w:tcPr>
            <w:tcW w:w="1980" w:type="dxa"/>
            <w:tcBorders>
              <w:top w:val="nil"/>
              <w:left w:val="nil"/>
              <w:bottom w:val="single" w:sz="4" w:space="0" w:color="auto"/>
              <w:right w:val="single" w:sz="4" w:space="0" w:color="auto"/>
            </w:tcBorders>
            <w:shd w:val="clear" w:color="auto" w:fill="auto"/>
            <w:vAlign w:val="center"/>
          </w:tcPr>
          <w:p w:rsidR="002E31B8" w:rsidRPr="00D573BF" w:rsidRDefault="002E31B8" w:rsidP="00CB6BC1">
            <w:pPr>
              <w:spacing w:after="0" w:line="240" w:lineRule="auto"/>
              <w:jc w:val="right"/>
              <w:rPr>
                <w:rFonts w:asciiTheme="majorHAnsi" w:eastAsia="Times New Roman" w:hAnsiTheme="majorHAnsi" w:cstheme="majorHAnsi"/>
                <w:color w:val="000000"/>
                <w:sz w:val="18"/>
                <w:szCs w:val="18"/>
                <w:lang w:val="ro-MD"/>
              </w:rPr>
            </w:pPr>
            <w:r w:rsidRPr="00D573BF">
              <w:rPr>
                <w:rFonts w:asciiTheme="majorHAnsi" w:eastAsia="Times New Roman" w:hAnsiTheme="majorHAnsi" w:cstheme="majorHAnsi"/>
                <w:color w:val="000000"/>
                <w:sz w:val="18"/>
                <w:szCs w:val="18"/>
                <w:lang w:val="ro-MD"/>
              </w:rPr>
              <w:t>6336,2</w:t>
            </w:r>
          </w:p>
        </w:tc>
      </w:tr>
      <w:tr w:rsidR="002E31B8" w:rsidRPr="00401691" w:rsidTr="00CB6BC1">
        <w:trPr>
          <w:trHeight w:val="576"/>
        </w:trPr>
        <w:tc>
          <w:tcPr>
            <w:tcW w:w="630" w:type="dxa"/>
            <w:tcBorders>
              <w:top w:val="nil"/>
              <w:left w:val="single" w:sz="4" w:space="0" w:color="auto"/>
              <w:bottom w:val="single" w:sz="4" w:space="0" w:color="auto"/>
              <w:right w:val="single" w:sz="4" w:space="0" w:color="auto"/>
            </w:tcBorders>
            <w:shd w:val="clear" w:color="auto" w:fill="auto"/>
            <w:vAlign w:val="center"/>
          </w:tcPr>
          <w:p w:rsidR="002E31B8" w:rsidRPr="00D573BF" w:rsidRDefault="002E31B8" w:rsidP="00CB6BC1">
            <w:pPr>
              <w:pStyle w:val="ListParagraph"/>
              <w:numPr>
                <w:ilvl w:val="0"/>
                <w:numId w:val="5"/>
              </w:numPr>
              <w:spacing w:after="0" w:line="240" w:lineRule="auto"/>
              <w:rPr>
                <w:rFonts w:asciiTheme="majorHAnsi" w:eastAsia="Times New Roman" w:hAnsiTheme="majorHAnsi" w:cstheme="majorHAnsi"/>
                <w:color w:val="000000"/>
                <w:sz w:val="18"/>
                <w:szCs w:val="18"/>
                <w:lang w:val="ro-MD"/>
              </w:rPr>
            </w:pPr>
          </w:p>
        </w:tc>
        <w:tc>
          <w:tcPr>
            <w:tcW w:w="990" w:type="dxa"/>
            <w:tcBorders>
              <w:top w:val="nil"/>
              <w:left w:val="nil"/>
              <w:bottom w:val="single" w:sz="4" w:space="0" w:color="auto"/>
              <w:right w:val="single" w:sz="4" w:space="0" w:color="auto"/>
            </w:tcBorders>
            <w:shd w:val="clear" w:color="auto" w:fill="auto"/>
            <w:vAlign w:val="center"/>
            <w:hideMark/>
          </w:tcPr>
          <w:p w:rsidR="002E31B8" w:rsidRPr="00D573BF" w:rsidRDefault="002E31B8" w:rsidP="00CB6BC1">
            <w:pPr>
              <w:spacing w:after="0" w:line="240" w:lineRule="auto"/>
              <w:rPr>
                <w:rFonts w:asciiTheme="majorHAnsi" w:eastAsia="Times New Roman" w:hAnsiTheme="majorHAnsi" w:cstheme="majorHAnsi"/>
                <w:color w:val="000000"/>
                <w:sz w:val="18"/>
                <w:szCs w:val="18"/>
                <w:lang w:val="ro-MD"/>
              </w:rPr>
            </w:pPr>
            <w:r w:rsidRPr="00D573BF">
              <w:rPr>
                <w:rFonts w:asciiTheme="majorHAnsi" w:eastAsia="Times New Roman" w:hAnsiTheme="majorHAnsi" w:cstheme="majorHAnsi"/>
                <w:color w:val="000000"/>
                <w:sz w:val="18"/>
                <w:szCs w:val="18"/>
                <w:lang w:val="ro-MD"/>
              </w:rPr>
              <w:t>143113</w:t>
            </w:r>
          </w:p>
        </w:tc>
        <w:tc>
          <w:tcPr>
            <w:tcW w:w="6480" w:type="dxa"/>
            <w:tcBorders>
              <w:top w:val="nil"/>
              <w:left w:val="nil"/>
              <w:bottom w:val="single" w:sz="4" w:space="0" w:color="auto"/>
              <w:right w:val="single" w:sz="4" w:space="0" w:color="auto"/>
            </w:tcBorders>
            <w:shd w:val="clear" w:color="auto" w:fill="auto"/>
            <w:vAlign w:val="center"/>
            <w:hideMark/>
          </w:tcPr>
          <w:p w:rsidR="002E31B8" w:rsidRPr="00D573BF" w:rsidRDefault="002E31B8" w:rsidP="00CB6BC1">
            <w:pPr>
              <w:spacing w:after="0" w:line="240" w:lineRule="auto"/>
              <w:jc w:val="both"/>
              <w:rPr>
                <w:rFonts w:asciiTheme="majorHAnsi" w:eastAsia="Times New Roman" w:hAnsiTheme="majorHAnsi" w:cstheme="majorHAnsi"/>
                <w:color w:val="000000"/>
                <w:sz w:val="18"/>
                <w:szCs w:val="18"/>
                <w:lang w:val="ro-MD"/>
              </w:rPr>
            </w:pPr>
            <w:r w:rsidRPr="00D573BF">
              <w:rPr>
                <w:rFonts w:asciiTheme="majorHAnsi" w:eastAsia="Times New Roman" w:hAnsiTheme="majorHAnsi" w:cstheme="majorHAnsi"/>
                <w:color w:val="000000"/>
                <w:sz w:val="18"/>
                <w:szCs w:val="18"/>
                <w:lang w:val="ro-MD"/>
              </w:rPr>
              <w:t xml:space="preserve">Amenzi aplicate de către agenții constatatori din cadrul subdiviziunilor Inspectoratului </w:t>
            </w:r>
            <w:r w:rsidR="00AA7965">
              <w:rPr>
                <w:rFonts w:asciiTheme="majorHAnsi" w:eastAsia="Times New Roman" w:hAnsiTheme="majorHAnsi" w:cstheme="majorHAnsi"/>
                <w:color w:val="000000"/>
                <w:sz w:val="18"/>
                <w:szCs w:val="18"/>
                <w:lang w:val="ro-MD"/>
              </w:rPr>
              <w:t>G</w:t>
            </w:r>
            <w:r w:rsidRPr="00D573BF">
              <w:rPr>
                <w:rFonts w:asciiTheme="majorHAnsi" w:eastAsia="Times New Roman" w:hAnsiTheme="majorHAnsi" w:cstheme="majorHAnsi"/>
                <w:color w:val="000000"/>
                <w:sz w:val="18"/>
                <w:szCs w:val="18"/>
                <w:lang w:val="ro-MD"/>
              </w:rPr>
              <w:t xml:space="preserve">eneral al </w:t>
            </w:r>
            <w:r w:rsidR="00AA7965">
              <w:rPr>
                <w:rFonts w:asciiTheme="majorHAnsi" w:eastAsia="Times New Roman" w:hAnsiTheme="majorHAnsi" w:cstheme="majorHAnsi"/>
                <w:color w:val="000000"/>
                <w:sz w:val="18"/>
                <w:szCs w:val="18"/>
                <w:lang w:val="ro-MD"/>
              </w:rPr>
              <w:t>P</w:t>
            </w:r>
            <w:r w:rsidRPr="00D573BF">
              <w:rPr>
                <w:rFonts w:asciiTheme="majorHAnsi" w:eastAsia="Times New Roman" w:hAnsiTheme="majorHAnsi" w:cstheme="majorHAnsi"/>
                <w:color w:val="000000"/>
                <w:sz w:val="18"/>
                <w:szCs w:val="18"/>
                <w:lang w:val="ro-MD"/>
              </w:rPr>
              <w:t>oli</w:t>
            </w:r>
            <w:r w:rsidR="00AA7965">
              <w:rPr>
                <w:rFonts w:asciiTheme="majorHAnsi" w:eastAsia="Times New Roman" w:hAnsiTheme="majorHAnsi" w:cstheme="majorHAnsi"/>
                <w:color w:val="000000"/>
                <w:sz w:val="18"/>
                <w:szCs w:val="18"/>
                <w:lang w:val="ro-MD"/>
              </w:rPr>
              <w:t>ț</w:t>
            </w:r>
            <w:r w:rsidRPr="00D573BF">
              <w:rPr>
                <w:rFonts w:asciiTheme="majorHAnsi" w:eastAsia="Times New Roman" w:hAnsiTheme="majorHAnsi" w:cstheme="majorHAnsi"/>
                <w:color w:val="000000"/>
                <w:sz w:val="18"/>
                <w:szCs w:val="18"/>
                <w:lang w:val="ro-MD"/>
              </w:rPr>
              <w:t>iei</w:t>
            </w:r>
          </w:p>
        </w:tc>
        <w:tc>
          <w:tcPr>
            <w:tcW w:w="1980" w:type="dxa"/>
            <w:tcBorders>
              <w:top w:val="nil"/>
              <w:left w:val="nil"/>
              <w:bottom w:val="single" w:sz="4" w:space="0" w:color="auto"/>
              <w:right w:val="single" w:sz="4" w:space="0" w:color="auto"/>
            </w:tcBorders>
            <w:shd w:val="clear" w:color="auto" w:fill="auto"/>
            <w:vAlign w:val="center"/>
            <w:hideMark/>
          </w:tcPr>
          <w:p w:rsidR="002E31B8" w:rsidRPr="00D573BF" w:rsidRDefault="002E31B8" w:rsidP="00CB6BC1">
            <w:pPr>
              <w:spacing w:after="0" w:line="240" w:lineRule="auto"/>
              <w:jc w:val="right"/>
              <w:rPr>
                <w:rFonts w:asciiTheme="majorHAnsi" w:eastAsia="Times New Roman" w:hAnsiTheme="majorHAnsi" w:cstheme="majorHAnsi"/>
                <w:color w:val="000000"/>
                <w:sz w:val="18"/>
                <w:szCs w:val="18"/>
                <w:lang w:val="ro-MD"/>
              </w:rPr>
            </w:pPr>
            <w:r w:rsidRPr="00D573BF">
              <w:rPr>
                <w:rFonts w:asciiTheme="majorHAnsi" w:eastAsia="Times New Roman" w:hAnsiTheme="majorHAnsi" w:cstheme="majorHAnsi"/>
                <w:color w:val="000000"/>
                <w:sz w:val="18"/>
                <w:szCs w:val="18"/>
                <w:lang w:val="ro-MD"/>
              </w:rPr>
              <w:t>43656.8</w:t>
            </w:r>
          </w:p>
        </w:tc>
      </w:tr>
      <w:tr w:rsidR="002E31B8" w:rsidRPr="00401691" w:rsidTr="00CB6BC1">
        <w:trPr>
          <w:trHeight w:val="566"/>
        </w:trPr>
        <w:tc>
          <w:tcPr>
            <w:tcW w:w="630" w:type="dxa"/>
            <w:tcBorders>
              <w:top w:val="nil"/>
              <w:left w:val="single" w:sz="4" w:space="0" w:color="auto"/>
              <w:bottom w:val="single" w:sz="4" w:space="0" w:color="auto"/>
              <w:right w:val="single" w:sz="4" w:space="0" w:color="auto"/>
            </w:tcBorders>
            <w:shd w:val="clear" w:color="auto" w:fill="auto"/>
            <w:vAlign w:val="center"/>
          </w:tcPr>
          <w:p w:rsidR="002E31B8" w:rsidRPr="00D573BF" w:rsidRDefault="002E31B8" w:rsidP="00CB6BC1">
            <w:pPr>
              <w:pStyle w:val="ListParagraph"/>
              <w:numPr>
                <w:ilvl w:val="0"/>
                <w:numId w:val="5"/>
              </w:numPr>
              <w:spacing w:after="0" w:line="240" w:lineRule="auto"/>
              <w:rPr>
                <w:rFonts w:asciiTheme="majorHAnsi" w:eastAsia="Times New Roman" w:hAnsiTheme="majorHAnsi" w:cstheme="majorHAnsi"/>
                <w:color w:val="000000"/>
                <w:sz w:val="18"/>
                <w:szCs w:val="18"/>
                <w:lang w:val="ro-MD"/>
              </w:rPr>
            </w:pPr>
          </w:p>
        </w:tc>
        <w:tc>
          <w:tcPr>
            <w:tcW w:w="990" w:type="dxa"/>
            <w:tcBorders>
              <w:top w:val="nil"/>
              <w:left w:val="nil"/>
              <w:bottom w:val="single" w:sz="4" w:space="0" w:color="auto"/>
              <w:right w:val="single" w:sz="4" w:space="0" w:color="auto"/>
            </w:tcBorders>
            <w:shd w:val="clear" w:color="auto" w:fill="auto"/>
            <w:vAlign w:val="center"/>
            <w:hideMark/>
          </w:tcPr>
          <w:p w:rsidR="002E31B8" w:rsidRPr="00D573BF" w:rsidRDefault="002E31B8" w:rsidP="00CB6BC1">
            <w:pPr>
              <w:spacing w:after="0" w:line="240" w:lineRule="auto"/>
              <w:rPr>
                <w:rFonts w:asciiTheme="majorHAnsi" w:eastAsia="Times New Roman" w:hAnsiTheme="majorHAnsi" w:cstheme="majorHAnsi"/>
                <w:color w:val="000000"/>
                <w:sz w:val="18"/>
                <w:szCs w:val="18"/>
                <w:lang w:val="ro-MD"/>
              </w:rPr>
            </w:pPr>
            <w:r w:rsidRPr="00D573BF">
              <w:rPr>
                <w:rFonts w:asciiTheme="majorHAnsi" w:eastAsia="Times New Roman" w:hAnsiTheme="majorHAnsi" w:cstheme="majorHAnsi"/>
                <w:color w:val="000000"/>
                <w:sz w:val="18"/>
                <w:szCs w:val="18"/>
                <w:lang w:val="ro-MD"/>
              </w:rPr>
              <w:t>143114</w:t>
            </w:r>
          </w:p>
        </w:tc>
        <w:tc>
          <w:tcPr>
            <w:tcW w:w="6480" w:type="dxa"/>
            <w:tcBorders>
              <w:top w:val="nil"/>
              <w:left w:val="nil"/>
              <w:bottom w:val="single" w:sz="4" w:space="0" w:color="auto"/>
              <w:right w:val="single" w:sz="4" w:space="0" w:color="auto"/>
            </w:tcBorders>
            <w:shd w:val="clear" w:color="auto" w:fill="auto"/>
            <w:vAlign w:val="center"/>
            <w:hideMark/>
          </w:tcPr>
          <w:p w:rsidR="002E31B8" w:rsidRPr="00D573BF" w:rsidRDefault="002E31B8" w:rsidP="00CB6BC1">
            <w:pPr>
              <w:spacing w:after="0" w:line="240" w:lineRule="auto"/>
              <w:jc w:val="both"/>
              <w:rPr>
                <w:rFonts w:asciiTheme="majorHAnsi" w:eastAsia="Times New Roman" w:hAnsiTheme="majorHAnsi" w:cstheme="majorHAnsi"/>
                <w:color w:val="000000"/>
                <w:sz w:val="18"/>
                <w:szCs w:val="18"/>
                <w:lang w:val="ro-MD"/>
              </w:rPr>
            </w:pPr>
            <w:r w:rsidRPr="00D573BF">
              <w:rPr>
                <w:rFonts w:asciiTheme="majorHAnsi" w:eastAsia="Times New Roman" w:hAnsiTheme="majorHAnsi" w:cstheme="majorHAnsi"/>
                <w:color w:val="000000"/>
                <w:sz w:val="18"/>
                <w:szCs w:val="18"/>
                <w:lang w:val="ro-MD"/>
              </w:rPr>
              <w:t>Amenzi aplicate de către agenți</w:t>
            </w:r>
            <w:r w:rsidR="00AA7965">
              <w:rPr>
                <w:rFonts w:asciiTheme="majorHAnsi" w:eastAsia="Times New Roman" w:hAnsiTheme="majorHAnsi" w:cstheme="majorHAnsi"/>
                <w:color w:val="000000"/>
                <w:sz w:val="18"/>
                <w:szCs w:val="18"/>
                <w:lang w:val="ro-MD"/>
              </w:rPr>
              <w:t>i</w:t>
            </w:r>
            <w:r w:rsidRPr="00D573BF">
              <w:rPr>
                <w:rFonts w:asciiTheme="majorHAnsi" w:eastAsia="Times New Roman" w:hAnsiTheme="majorHAnsi" w:cstheme="majorHAnsi"/>
                <w:color w:val="000000"/>
                <w:sz w:val="18"/>
                <w:szCs w:val="18"/>
                <w:lang w:val="ro-MD"/>
              </w:rPr>
              <w:t xml:space="preserve"> constatatori din cadrul autorității administrative "Agenția național</w:t>
            </w:r>
            <w:r w:rsidR="00AA7965">
              <w:rPr>
                <w:rFonts w:asciiTheme="majorHAnsi" w:eastAsia="Times New Roman" w:hAnsiTheme="majorHAnsi" w:cstheme="majorHAnsi"/>
                <w:color w:val="000000"/>
                <w:sz w:val="18"/>
                <w:szCs w:val="18"/>
                <w:lang w:val="ro-MD"/>
              </w:rPr>
              <w:t>ă</w:t>
            </w:r>
            <w:r w:rsidRPr="00D573BF">
              <w:rPr>
                <w:rFonts w:asciiTheme="majorHAnsi" w:eastAsia="Times New Roman" w:hAnsiTheme="majorHAnsi" w:cstheme="majorHAnsi"/>
                <w:color w:val="000000"/>
                <w:sz w:val="18"/>
                <w:szCs w:val="18"/>
                <w:lang w:val="ro-MD"/>
              </w:rPr>
              <w:t xml:space="preserve"> transport auto", încasate la bugetul de stat</w:t>
            </w:r>
          </w:p>
        </w:tc>
        <w:tc>
          <w:tcPr>
            <w:tcW w:w="1980" w:type="dxa"/>
            <w:tcBorders>
              <w:top w:val="nil"/>
              <w:left w:val="nil"/>
              <w:bottom w:val="single" w:sz="4" w:space="0" w:color="auto"/>
              <w:right w:val="single" w:sz="4" w:space="0" w:color="auto"/>
            </w:tcBorders>
            <w:shd w:val="clear" w:color="auto" w:fill="auto"/>
            <w:vAlign w:val="center"/>
            <w:hideMark/>
          </w:tcPr>
          <w:p w:rsidR="002E31B8" w:rsidRPr="00D573BF" w:rsidRDefault="002E31B8" w:rsidP="00CB6BC1">
            <w:pPr>
              <w:spacing w:after="0" w:line="240" w:lineRule="auto"/>
              <w:jc w:val="right"/>
              <w:rPr>
                <w:rFonts w:asciiTheme="majorHAnsi" w:eastAsia="Times New Roman" w:hAnsiTheme="majorHAnsi" w:cstheme="majorHAnsi"/>
                <w:color w:val="000000"/>
                <w:sz w:val="18"/>
                <w:szCs w:val="18"/>
                <w:lang w:val="ro-MD"/>
              </w:rPr>
            </w:pPr>
            <w:r w:rsidRPr="00D573BF">
              <w:rPr>
                <w:rFonts w:asciiTheme="majorHAnsi" w:eastAsia="Times New Roman" w:hAnsiTheme="majorHAnsi" w:cstheme="majorHAnsi"/>
                <w:color w:val="000000"/>
                <w:sz w:val="18"/>
                <w:szCs w:val="18"/>
                <w:lang w:val="ro-MD"/>
              </w:rPr>
              <w:t>13384.9</w:t>
            </w:r>
          </w:p>
        </w:tc>
      </w:tr>
      <w:tr w:rsidR="002E31B8" w:rsidRPr="00401691" w:rsidTr="00CB6BC1">
        <w:trPr>
          <w:trHeight w:val="288"/>
        </w:trPr>
        <w:tc>
          <w:tcPr>
            <w:tcW w:w="630" w:type="dxa"/>
            <w:tcBorders>
              <w:top w:val="nil"/>
              <w:left w:val="single" w:sz="4" w:space="0" w:color="auto"/>
              <w:bottom w:val="single" w:sz="4" w:space="0" w:color="auto"/>
              <w:right w:val="single" w:sz="4" w:space="0" w:color="auto"/>
            </w:tcBorders>
            <w:shd w:val="clear" w:color="auto" w:fill="auto"/>
            <w:vAlign w:val="center"/>
          </w:tcPr>
          <w:p w:rsidR="002E31B8" w:rsidRPr="00D573BF" w:rsidRDefault="002E31B8" w:rsidP="00CB6BC1">
            <w:pPr>
              <w:pStyle w:val="ListParagraph"/>
              <w:numPr>
                <w:ilvl w:val="0"/>
                <w:numId w:val="5"/>
              </w:numPr>
              <w:spacing w:after="0" w:line="240" w:lineRule="auto"/>
              <w:rPr>
                <w:rFonts w:asciiTheme="majorHAnsi" w:eastAsia="Times New Roman" w:hAnsiTheme="majorHAnsi" w:cstheme="majorHAnsi"/>
                <w:color w:val="000000"/>
                <w:sz w:val="18"/>
                <w:szCs w:val="18"/>
                <w:lang w:val="ro-MD"/>
              </w:rPr>
            </w:pPr>
          </w:p>
        </w:tc>
        <w:tc>
          <w:tcPr>
            <w:tcW w:w="990" w:type="dxa"/>
            <w:tcBorders>
              <w:top w:val="nil"/>
              <w:left w:val="nil"/>
              <w:bottom w:val="single" w:sz="4" w:space="0" w:color="auto"/>
              <w:right w:val="single" w:sz="4" w:space="0" w:color="auto"/>
            </w:tcBorders>
            <w:shd w:val="clear" w:color="auto" w:fill="auto"/>
            <w:vAlign w:val="center"/>
            <w:hideMark/>
          </w:tcPr>
          <w:p w:rsidR="002E31B8" w:rsidRPr="00D573BF" w:rsidRDefault="002E31B8" w:rsidP="00CB6BC1">
            <w:pPr>
              <w:spacing w:after="0" w:line="240" w:lineRule="auto"/>
              <w:rPr>
                <w:rFonts w:asciiTheme="majorHAnsi" w:eastAsia="Times New Roman" w:hAnsiTheme="majorHAnsi" w:cstheme="majorHAnsi"/>
                <w:color w:val="000000"/>
                <w:sz w:val="18"/>
                <w:szCs w:val="18"/>
                <w:lang w:val="ro-MD"/>
              </w:rPr>
            </w:pPr>
            <w:r w:rsidRPr="00D573BF">
              <w:rPr>
                <w:rFonts w:asciiTheme="majorHAnsi" w:eastAsia="Times New Roman" w:hAnsiTheme="majorHAnsi" w:cstheme="majorHAnsi"/>
                <w:color w:val="000000"/>
                <w:sz w:val="18"/>
                <w:szCs w:val="18"/>
                <w:lang w:val="ro-MD"/>
              </w:rPr>
              <w:t>143116</w:t>
            </w:r>
          </w:p>
        </w:tc>
        <w:tc>
          <w:tcPr>
            <w:tcW w:w="6480" w:type="dxa"/>
            <w:tcBorders>
              <w:top w:val="nil"/>
              <w:left w:val="nil"/>
              <w:bottom w:val="single" w:sz="4" w:space="0" w:color="auto"/>
              <w:right w:val="single" w:sz="4" w:space="0" w:color="auto"/>
            </w:tcBorders>
            <w:shd w:val="clear" w:color="auto" w:fill="auto"/>
            <w:vAlign w:val="center"/>
            <w:hideMark/>
          </w:tcPr>
          <w:p w:rsidR="002E31B8" w:rsidRPr="00D573BF" w:rsidRDefault="00366AE8" w:rsidP="00CB6BC1">
            <w:pPr>
              <w:spacing w:after="0" w:line="240" w:lineRule="auto"/>
              <w:jc w:val="both"/>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Amenzi aplicate de</w:t>
            </w:r>
            <w:r w:rsidR="002E31B8" w:rsidRPr="00D573BF">
              <w:rPr>
                <w:rFonts w:asciiTheme="majorHAnsi" w:eastAsia="Times New Roman" w:hAnsiTheme="majorHAnsi" w:cstheme="majorHAnsi"/>
                <w:color w:val="000000"/>
                <w:sz w:val="18"/>
                <w:szCs w:val="18"/>
                <w:lang w:val="ro-MD"/>
              </w:rPr>
              <w:t xml:space="preserve"> Inspectoratul pentru Protecția Mediului</w:t>
            </w:r>
          </w:p>
        </w:tc>
        <w:tc>
          <w:tcPr>
            <w:tcW w:w="1980" w:type="dxa"/>
            <w:tcBorders>
              <w:top w:val="nil"/>
              <w:left w:val="nil"/>
              <w:bottom w:val="single" w:sz="4" w:space="0" w:color="auto"/>
              <w:right w:val="single" w:sz="4" w:space="0" w:color="auto"/>
            </w:tcBorders>
            <w:shd w:val="clear" w:color="auto" w:fill="auto"/>
            <w:vAlign w:val="center"/>
            <w:hideMark/>
          </w:tcPr>
          <w:p w:rsidR="002E31B8" w:rsidRPr="00D573BF" w:rsidRDefault="002E31B8" w:rsidP="00CB6BC1">
            <w:pPr>
              <w:spacing w:after="0" w:line="240" w:lineRule="auto"/>
              <w:jc w:val="right"/>
              <w:rPr>
                <w:rFonts w:asciiTheme="majorHAnsi" w:eastAsia="Times New Roman" w:hAnsiTheme="majorHAnsi" w:cstheme="majorHAnsi"/>
                <w:color w:val="000000"/>
                <w:sz w:val="18"/>
                <w:szCs w:val="18"/>
                <w:lang w:val="ro-MD"/>
              </w:rPr>
            </w:pPr>
            <w:r w:rsidRPr="00D573BF">
              <w:rPr>
                <w:rFonts w:asciiTheme="majorHAnsi" w:eastAsia="Times New Roman" w:hAnsiTheme="majorHAnsi" w:cstheme="majorHAnsi"/>
                <w:color w:val="000000"/>
                <w:sz w:val="18"/>
                <w:szCs w:val="18"/>
                <w:lang w:val="ro-MD"/>
              </w:rPr>
              <w:t>4785.7</w:t>
            </w:r>
          </w:p>
        </w:tc>
      </w:tr>
      <w:tr w:rsidR="002E31B8" w:rsidRPr="00401691" w:rsidTr="00CB6BC1">
        <w:trPr>
          <w:trHeight w:val="288"/>
        </w:trPr>
        <w:tc>
          <w:tcPr>
            <w:tcW w:w="630" w:type="dxa"/>
            <w:tcBorders>
              <w:top w:val="nil"/>
              <w:left w:val="single" w:sz="4" w:space="0" w:color="auto"/>
              <w:bottom w:val="single" w:sz="4" w:space="0" w:color="auto"/>
              <w:right w:val="single" w:sz="4" w:space="0" w:color="auto"/>
            </w:tcBorders>
            <w:shd w:val="clear" w:color="auto" w:fill="auto"/>
            <w:vAlign w:val="center"/>
          </w:tcPr>
          <w:p w:rsidR="002E31B8" w:rsidRPr="00D573BF" w:rsidRDefault="002E31B8" w:rsidP="00CB6BC1">
            <w:pPr>
              <w:pStyle w:val="ListParagraph"/>
              <w:numPr>
                <w:ilvl w:val="0"/>
                <w:numId w:val="5"/>
              </w:numPr>
              <w:spacing w:after="0" w:line="240" w:lineRule="auto"/>
              <w:rPr>
                <w:rFonts w:asciiTheme="majorHAnsi" w:eastAsia="Times New Roman" w:hAnsiTheme="majorHAnsi" w:cstheme="majorHAnsi"/>
                <w:color w:val="000000"/>
                <w:sz w:val="18"/>
                <w:szCs w:val="18"/>
                <w:lang w:val="ro-MD"/>
              </w:rPr>
            </w:pPr>
          </w:p>
        </w:tc>
        <w:tc>
          <w:tcPr>
            <w:tcW w:w="990" w:type="dxa"/>
            <w:tcBorders>
              <w:top w:val="nil"/>
              <w:left w:val="nil"/>
              <w:bottom w:val="single" w:sz="4" w:space="0" w:color="auto"/>
              <w:right w:val="single" w:sz="4" w:space="0" w:color="auto"/>
            </w:tcBorders>
            <w:shd w:val="clear" w:color="auto" w:fill="auto"/>
            <w:vAlign w:val="center"/>
            <w:hideMark/>
          </w:tcPr>
          <w:p w:rsidR="002E31B8" w:rsidRPr="00D573BF" w:rsidRDefault="002E31B8" w:rsidP="00CB6BC1">
            <w:pPr>
              <w:spacing w:after="0" w:line="240" w:lineRule="auto"/>
              <w:rPr>
                <w:rFonts w:asciiTheme="majorHAnsi" w:eastAsia="Times New Roman" w:hAnsiTheme="majorHAnsi" w:cstheme="majorHAnsi"/>
                <w:color w:val="000000"/>
                <w:sz w:val="18"/>
                <w:szCs w:val="18"/>
                <w:lang w:val="ro-MD"/>
              </w:rPr>
            </w:pPr>
            <w:r w:rsidRPr="00D573BF">
              <w:rPr>
                <w:rFonts w:asciiTheme="majorHAnsi" w:eastAsia="Times New Roman" w:hAnsiTheme="majorHAnsi" w:cstheme="majorHAnsi"/>
                <w:color w:val="000000"/>
                <w:sz w:val="18"/>
                <w:szCs w:val="18"/>
                <w:lang w:val="ro-MD"/>
              </w:rPr>
              <w:t>143117</w:t>
            </w:r>
          </w:p>
        </w:tc>
        <w:tc>
          <w:tcPr>
            <w:tcW w:w="6480" w:type="dxa"/>
            <w:tcBorders>
              <w:top w:val="nil"/>
              <w:left w:val="nil"/>
              <w:bottom w:val="single" w:sz="4" w:space="0" w:color="auto"/>
              <w:right w:val="single" w:sz="4" w:space="0" w:color="auto"/>
            </w:tcBorders>
            <w:shd w:val="clear" w:color="auto" w:fill="auto"/>
            <w:vAlign w:val="center"/>
            <w:hideMark/>
          </w:tcPr>
          <w:p w:rsidR="002E31B8" w:rsidRPr="00D573BF" w:rsidRDefault="002E31B8" w:rsidP="00CB6BC1">
            <w:pPr>
              <w:spacing w:after="0" w:line="240" w:lineRule="auto"/>
              <w:jc w:val="both"/>
              <w:rPr>
                <w:rFonts w:asciiTheme="majorHAnsi" w:eastAsia="Times New Roman" w:hAnsiTheme="majorHAnsi" w:cstheme="majorHAnsi"/>
                <w:color w:val="000000"/>
                <w:sz w:val="18"/>
                <w:szCs w:val="18"/>
                <w:lang w:val="ro-MD"/>
              </w:rPr>
            </w:pPr>
            <w:r w:rsidRPr="00D573BF">
              <w:rPr>
                <w:rFonts w:asciiTheme="majorHAnsi" w:eastAsia="Times New Roman" w:hAnsiTheme="majorHAnsi" w:cstheme="majorHAnsi"/>
                <w:color w:val="000000"/>
                <w:sz w:val="18"/>
                <w:szCs w:val="18"/>
                <w:lang w:val="ro-MD"/>
              </w:rPr>
              <w:t>Amenzi aplicate de Consiliul Concuren</w:t>
            </w:r>
            <w:r w:rsidR="00AA7965">
              <w:rPr>
                <w:rFonts w:asciiTheme="majorHAnsi" w:eastAsia="Times New Roman" w:hAnsiTheme="majorHAnsi" w:cstheme="majorHAnsi"/>
                <w:color w:val="000000"/>
                <w:sz w:val="18"/>
                <w:szCs w:val="18"/>
                <w:lang w:val="ro-MD"/>
              </w:rPr>
              <w:t>ț</w:t>
            </w:r>
            <w:r w:rsidRPr="00D573BF">
              <w:rPr>
                <w:rFonts w:asciiTheme="majorHAnsi" w:eastAsia="Times New Roman" w:hAnsiTheme="majorHAnsi" w:cstheme="majorHAnsi"/>
                <w:color w:val="000000"/>
                <w:sz w:val="18"/>
                <w:szCs w:val="18"/>
                <w:lang w:val="ro-MD"/>
              </w:rPr>
              <w:t>ei</w:t>
            </w:r>
          </w:p>
        </w:tc>
        <w:tc>
          <w:tcPr>
            <w:tcW w:w="1980" w:type="dxa"/>
            <w:tcBorders>
              <w:top w:val="nil"/>
              <w:left w:val="nil"/>
              <w:bottom w:val="single" w:sz="4" w:space="0" w:color="auto"/>
              <w:right w:val="single" w:sz="4" w:space="0" w:color="auto"/>
            </w:tcBorders>
            <w:shd w:val="clear" w:color="auto" w:fill="auto"/>
            <w:vAlign w:val="center"/>
            <w:hideMark/>
          </w:tcPr>
          <w:p w:rsidR="002E31B8" w:rsidRPr="00D573BF" w:rsidRDefault="002E31B8" w:rsidP="00CB6BC1">
            <w:pPr>
              <w:spacing w:after="0" w:line="240" w:lineRule="auto"/>
              <w:jc w:val="right"/>
              <w:rPr>
                <w:rFonts w:asciiTheme="majorHAnsi" w:eastAsia="Times New Roman" w:hAnsiTheme="majorHAnsi" w:cstheme="majorHAnsi"/>
                <w:color w:val="000000"/>
                <w:sz w:val="18"/>
                <w:szCs w:val="18"/>
                <w:lang w:val="ro-MD"/>
              </w:rPr>
            </w:pPr>
            <w:r w:rsidRPr="00D573BF">
              <w:rPr>
                <w:rFonts w:asciiTheme="majorHAnsi" w:eastAsia="Times New Roman" w:hAnsiTheme="majorHAnsi" w:cstheme="majorHAnsi"/>
                <w:color w:val="000000"/>
                <w:sz w:val="18"/>
                <w:szCs w:val="18"/>
                <w:lang w:val="ro-MD"/>
              </w:rPr>
              <w:t>4148.6</w:t>
            </w:r>
          </w:p>
        </w:tc>
      </w:tr>
      <w:tr w:rsidR="002E31B8" w:rsidRPr="00401691" w:rsidTr="00CB6BC1">
        <w:trPr>
          <w:trHeight w:val="288"/>
        </w:trPr>
        <w:tc>
          <w:tcPr>
            <w:tcW w:w="630" w:type="dxa"/>
            <w:tcBorders>
              <w:top w:val="nil"/>
              <w:left w:val="single" w:sz="4" w:space="0" w:color="auto"/>
              <w:bottom w:val="single" w:sz="4" w:space="0" w:color="auto"/>
              <w:right w:val="single" w:sz="4" w:space="0" w:color="auto"/>
            </w:tcBorders>
            <w:shd w:val="clear" w:color="auto" w:fill="auto"/>
            <w:vAlign w:val="center"/>
          </w:tcPr>
          <w:p w:rsidR="002E31B8" w:rsidRPr="00D573BF" w:rsidRDefault="002E31B8" w:rsidP="00CB6BC1">
            <w:pPr>
              <w:pStyle w:val="ListParagraph"/>
              <w:numPr>
                <w:ilvl w:val="0"/>
                <w:numId w:val="5"/>
              </w:numPr>
              <w:spacing w:after="0" w:line="240" w:lineRule="auto"/>
              <w:rPr>
                <w:rFonts w:asciiTheme="majorHAnsi" w:eastAsia="Times New Roman" w:hAnsiTheme="majorHAnsi" w:cstheme="majorHAnsi"/>
                <w:color w:val="000000"/>
                <w:sz w:val="18"/>
                <w:szCs w:val="18"/>
                <w:lang w:val="ro-MD"/>
              </w:rPr>
            </w:pPr>
          </w:p>
        </w:tc>
        <w:tc>
          <w:tcPr>
            <w:tcW w:w="990" w:type="dxa"/>
            <w:tcBorders>
              <w:top w:val="nil"/>
              <w:left w:val="nil"/>
              <w:bottom w:val="single" w:sz="4" w:space="0" w:color="auto"/>
              <w:right w:val="single" w:sz="4" w:space="0" w:color="auto"/>
            </w:tcBorders>
            <w:shd w:val="clear" w:color="auto" w:fill="auto"/>
            <w:vAlign w:val="center"/>
            <w:hideMark/>
          </w:tcPr>
          <w:p w:rsidR="002E31B8" w:rsidRPr="00D573BF" w:rsidRDefault="002E31B8" w:rsidP="00CB6BC1">
            <w:pPr>
              <w:spacing w:after="0" w:line="240" w:lineRule="auto"/>
              <w:rPr>
                <w:rFonts w:asciiTheme="majorHAnsi" w:eastAsia="Times New Roman" w:hAnsiTheme="majorHAnsi" w:cstheme="majorHAnsi"/>
                <w:color w:val="000000"/>
                <w:sz w:val="18"/>
                <w:szCs w:val="18"/>
                <w:lang w:val="ro-MD"/>
              </w:rPr>
            </w:pPr>
            <w:r w:rsidRPr="00D573BF">
              <w:rPr>
                <w:rFonts w:asciiTheme="majorHAnsi" w:eastAsia="Times New Roman" w:hAnsiTheme="majorHAnsi" w:cstheme="majorHAnsi"/>
                <w:color w:val="000000"/>
                <w:sz w:val="18"/>
                <w:szCs w:val="18"/>
                <w:lang w:val="ro-MD"/>
              </w:rPr>
              <w:t>143210</w:t>
            </w:r>
          </w:p>
        </w:tc>
        <w:tc>
          <w:tcPr>
            <w:tcW w:w="6480" w:type="dxa"/>
            <w:tcBorders>
              <w:top w:val="nil"/>
              <w:left w:val="nil"/>
              <w:bottom w:val="single" w:sz="4" w:space="0" w:color="auto"/>
              <w:right w:val="single" w:sz="4" w:space="0" w:color="auto"/>
            </w:tcBorders>
            <w:shd w:val="clear" w:color="auto" w:fill="auto"/>
            <w:vAlign w:val="center"/>
            <w:hideMark/>
          </w:tcPr>
          <w:p w:rsidR="002E31B8" w:rsidRPr="00D573BF" w:rsidRDefault="002E31B8" w:rsidP="00CB6BC1">
            <w:pPr>
              <w:spacing w:after="0" w:line="240" w:lineRule="auto"/>
              <w:jc w:val="both"/>
              <w:rPr>
                <w:rFonts w:asciiTheme="majorHAnsi" w:eastAsia="Times New Roman" w:hAnsiTheme="majorHAnsi" w:cstheme="majorHAnsi"/>
                <w:color w:val="000000"/>
                <w:sz w:val="18"/>
                <w:szCs w:val="18"/>
                <w:lang w:val="ro-MD"/>
              </w:rPr>
            </w:pPr>
            <w:r w:rsidRPr="00D573BF">
              <w:rPr>
                <w:rFonts w:asciiTheme="majorHAnsi" w:eastAsia="Times New Roman" w:hAnsiTheme="majorHAnsi" w:cstheme="majorHAnsi"/>
                <w:color w:val="000000"/>
                <w:sz w:val="18"/>
                <w:szCs w:val="18"/>
                <w:lang w:val="ro-MD"/>
              </w:rPr>
              <w:t>Amenzi aplicate de Inspectoratul Național de Patrulare</w:t>
            </w:r>
          </w:p>
        </w:tc>
        <w:tc>
          <w:tcPr>
            <w:tcW w:w="1980" w:type="dxa"/>
            <w:tcBorders>
              <w:top w:val="nil"/>
              <w:left w:val="nil"/>
              <w:bottom w:val="single" w:sz="4" w:space="0" w:color="auto"/>
              <w:right w:val="single" w:sz="4" w:space="0" w:color="auto"/>
            </w:tcBorders>
            <w:shd w:val="clear" w:color="auto" w:fill="auto"/>
            <w:vAlign w:val="center"/>
            <w:hideMark/>
          </w:tcPr>
          <w:p w:rsidR="002E31B8" w:rsidRPr="00D573BF" w:rsidRDefault="002E31B8" w:rsidP="00CB6BC1">
            <w:pPr>
              <w:spacing w:after="0" w:line="240" w:lineRule="auto"/>
              <w:jc w:val="right"/>
              <w:rPr>
                <w:rFonts w:asciiTheme="majorHAnsi" w:eastAsia="Times New Roman" w:hAnsiTheme="majorHAnsi" w:cstheme="majorHAnsi"/>
                <w:color w:val="000000"/>
                <w:sz w:val="18"/>
                <w:szCs w:val="18"/>
                <w:lang w:val="ro-MD"/>
              </w:rPr>
            </w:pPr>
            <w:r w:rsidRPr="00D573BF">
              <w:rPr>
                <w:rFonts w:asciiTheme="majorHAnsi" w:eastAsia="Times New Roman" w:hAnsiTheme="majorHAnsi" w:cstheme="majorHAnsi"/>
                <w:color w:val="000000"/>
                <w:sz w:val="18"/>
                <w:szCs w:val="18"/>
                <w:lang w:val="ro-MD"/>
              </w:rPr>
              <w:t>59640.6</w:t>
            </w:r>
          </w:p>
        </w:tc>
      </w:tr>
      <w:tr w:rsidR="002E31B8" w:rsidRPr="00401691" w:rsidTr="00CB6BC1">
        <w:trPr>
          <w:trHeight w:val="359"/>
        </w:trPr>
        <w:tc>
          <w:tcPr>
            <w:tcW w:w="630" w:type="dxa"/>
            <w:tcBorders>
              <w:top w:val="nil"/>
              <w:left w:val="single" w:sz="4" w:space="0" w:color="auto"/>
              <w:bottom w:val="single" w:sz="4" w:space="0" w:color="auto"/>
              <w:right w:val="single" w:sz="4" w:space="0" w:color="auto"/>
            </w:tcBorders>
            <w:shd w:val="clear" w:color="auto" w:fill="auto"/>
            <w:vAlign w:val="center"/>
          </w:tcPr>
          <w:p w:rsidR="002E31B8" w:rsidRPr="00D573BF" w:rsidRDefault="002E31B8" w:rsidP="00CB6BC1">
            <w:pPr>
              <w:pStyle w:val="ListParagraph"/>
              <w:numPr>
                <w:ilvl w:val="0"/>
                <w:numId w:val="5"/>
              </w:numPr>
              <w:spacing w:after="0" w:line="240" w:lineRule="auto"/>
              <w:rPr>
                <w:rFonts w:asciiTheme="majorHAnsi" w:eastAsia="Times New Roman" w:hAnsiTheme="majorHAnsi" w:cstheme="majorHAnsi"/>
                <w:color w:val="000000"/>
                <w:sz w:val="18"/>
                <w:szCs w:val="18"/>
                <w:lang w:val="ro-MD"/>
              </w:rPr>
            </w:pPr>
          </w:p>
        </w:tc>
        <w:tc>
          <w:tcPr>
            <w:tcW w:w="990" w:type="dxa"/>
            <w:tcBorders>
              <w:top w:val="nil"/>
              <w:left w:val="nil"/>
              <w:bottom w:val="single" w:sz="4" w:space="0" w:color="auto"/>
              <w:right w:val="single" w:sz="4" w:space="0" w:color="auto"/>
            </w:tcBorders>
            <w:shd w:val="clear" w:color="auto" w:fill="auto"/>
            <w:vAlign w:val="center"/>
            <w:hideMark/>
          </w:tcPr>
          <w:p w:rsidR="002E31B8" w:rsidRPr="00D573BF" w:rsidRDefault="002E31B8" w:rsidP="00CB6BC1">
            <w:pPr>
              <w:spacing w:after="0" w:line="240" w:lineRule="auto"/>
              <w:rPr>
                <w:rFonts w:asciiTheme="majorHAnsi" w:eastAsia="Times New Roman" w:hAnsiTheme="majorHAnsi" w:cstheme="majorHAnsi"/>
                <w:color w:val="000000"/>
                <w:sz w:val="18"/>
                <w:szCs w:val="18"/>
                <w:lang w:val="ro-MD"/>
              </w:rPr>
            </w:pPr>
            <w:r w:rsidRPr="00D573BF">
              <w:rPr>
                <w:rFonts w:asciiTheme="majorHAnsi" w:eastAsia="Times New Roman" w:hAnsiTheme="majorHAnsi" w:cstheme="majorHAnsi"/>
                <w:color w:val="000000"/>
                <w:sz w:val="18"/>
                <w:szCs w:val="18"/>
                <w:lang w:val="ro-MD"/>
              </w:rPr>
              <w:t>143230</w:t>
            </w:r>
          </w:p>
        </w:tc>
        <w:tc>
          <w:tcPr>
            <w:tcW w:w="6480" w:type="dxa"/>
            <w:tcBorders>
              <w:top w:val="nil"/>
              <w:left w:val="nil"/>
              <w:bottom w:val="single" w:sz="4" w:space="0" w:color="auto"/>
              <w:right w:val="single" w:sz="4" w:space="0" w:color="auto"/>
            </w:tcBorders>
            <w:shd w:val="clear" w:color="auto" w:fill="auto"/>
            <w:vAlign w:val="center"/>
            <w:hideMark/>
          </w:tcPr>
          <w:p w:rsidR="002E31B8" w:rsidRPr="00D573BF" w:rsidRDefault="002E31B8" w:rsidP="00CB6BC1">
            <w:pPr>
              <w:spacing w:after="0" w:line="240" w:lineRule="auto"/>
              <w:jc w:val="both"/>
              <w:rPr>
                <w:rFonts w:asciiTheme="majorHAnsi" w:eastAsia="Times New Roman" w:hAnsiTheme="majorHAnsi" w:cstheme="majorHAnsi"/>
                <w:color w:val="000000"/>
                <w:sz w:val="18"/>
                <w:szCs w:val="18"/>
                <w:lang w:val="ro-MD"/>
              </w:rPr>
            </w:pPr>
            <w:r w:rsidRPr="00D573BF">
              <w:rPr>
                <w:rFonts w:asciiTheme="majorHAnsi" w:eastAsia="Times New Roman" w:hAnsiTheme="majorHAnsi" w:cstheme="majorHAnsi"/>
                <w:color w:val="000000"/>
                <w:sz w:val="18"/>
                <w:szCs w:val="18"/>
                <w:lang w:val="ro-MD"/>
              </w:rPr>
              <w:t xml:space="preserve">Amenzi aplicate de </w:t>
            </w:r>
            <w:r w:rsidR="00AA7965">
              <w:rPr>
                <w:rFonts w:asciiTheme="majorHAnsi" w:eastAsia="Times New Roman" w:hAnsiTheme="majorHAnsi" w:cstheme="majorHAnsi"/>
                <w:color w:val="000000"/>
                <w:sz w:val="18"/>
                <w:szCs w:val="18"/>
                <w:lang w:val="ro-MD"/>
              </w:rPr>
              <w:t>I</w:t>
            </w:r>
            <w:r w:rsidRPr="00D573BF">
              <w:rPr>
                <w:rFonts w:asciiTheme="majorHAnsi" w:eastAsia="Times New Roman" w:hAnsiTheme="majorHAnsi" w:cstheme="majorHAnsi"/>
                <w:color w:val="000000"/>
                <w:sz w:val="18"/>
                <w:szCs w:val="18"/>
                <w:lang w:val="ro-MD"/>
              </w:rPr>
              <w:t xml:space="preserve">nspectoratul </w:t>
            </w:r>
            <w:r w:rsidR="00AA7965">
              <w:rPr>
                <w:rFonts w:asciiTheme="majorHAnsi" w:eastAsia="Times New Roman" w:hAnsiTheme="majorHAnsi" w:cstheme="majorHAnsi"/>
                <w:color w:val="000000"/>
                <w:sz w:val="18"/>
                <w:szCs w:val="18"/>
                <w:lang w:val="ro-MD"/>
              </w:rPr>
              <w:t>N</w:t>
            </w:r>
            <w:r w:rsidRPr="00D573BF">
              <w:rPr>
                <w:rFonts w:asciiTheme="majorHAnsi" w:eastAsia="Times New Roman" w:hAnsiTheme="majorHAnsi" w:cstheme="majorHAnsi"/>
                <w:color w:val="000000"/>
                <w:sz w:val="18"/>
                <w:szCs w:val="18"/>
                <w:lang w:val="ro-MD"/>
              </w:rPr>
              <w:t xml:space="preserve">ațional de </w:t>
            </w:r>
            <w:r w:rsidR="00AA7965">
              <w:rPr>
                <w:rFonts w:asciiTheme="majorHAnsi" w:eastAsia="Times New Roman" w:hAnsiTheme="majorHAnsi" w:cstheme="majorHAnsi"/>
                <w:color w:val="000000"/>
                <w:sz w:val="18"/>
                <w:szCs w:val="18"/>
                <w:lang w:val="ro-MD"/>
              </w:rPr>
              <w:t>P</w:t>
            </w:r>
            <w:r w:rsidRPr="00D573BF">
              <w:rPr>
                <w:rFonts w:asciiTheme="majorHAnsi" w:eastAsia="Times New Roman" w:hAnsiTheme="majorHAnsi" w:cstheme="majorHAnsi"/>
                <w:color w:val="000000"/>
                <w:sz w:val="18"/>
                <w:szCs w:val="18"/>
                <w:lang w:val="ro-MD"/>
              </w:rPr>
              <w:t>atrulare pentru încălcarea traficului rutier</w:t>
            </w:r>
            <w:r w:rsidR="00110794">
              <w:rPr>
                <w:rFonts w:asciiTheme="majorHAnsi" w:eastAsia="Times New Roman" w:hAnsiTheme="majorHAnsi" w:cstheme="majorHAnsi"/>
                <w:color w:val="000000"/>
                <w:sz w:val="18"/>
                <w:szCs w:val="18"/>
                <w:lang w:val="ro-MD"/>
              </w:rPr>
              <w:t>,</w:t>
            </w:r>
            <w:r w:rsidRPr="00D573BF">
              <w:rPr>
                <w:rFonts w:asciiTheme="majorHAnsi" w:eastAsia="Times New Roman" w:hAnsiTheme="majorHAnsi" w:cstheme="majorHAnsi"/>
                <w:color w:val="000000"/>
                <w:sz w:val="18"/>
                <w:szCs w:val="18"/>
                <w:lang w:val="ro-MD"/>
              </w:rPr>
              <w:t xml:space="preserve"> constatate cu ajutorul mijloacelor </w:t>
            </w:r>
            <w:proofErr w:type="spellStart"/>
            <w:r w:rsidRPr="00D573BF">
              <w:rPr>
                <w:rFonts w:asciiTheme="majorHAnsi" w:eastAsia="Times New Roman" w:hAnsiTheme="majorHAnsi" w:cstheme="majorHAnsi"/>
                <w:color w:val="000000"/>
                <w:sz w:val="18"/>
                <w:szCs w:val="18"/>
                <w:lang w:val="ro-MD"/>
              </w:rPr>
              <w:t>foto</w:t>
            </w:r>
            <w:proofErr w:type="spellEnd"/>
            <w:r w:rsidRPr="00D573BF">
              <w:rPr>
                <w:rFonts w:asciiTheme="majorHAnsi" w:eastAsia="Times New Roman" w:hAnsiTheme="majorHAnsi" w:cstheme="majorHAnsi"/>
                <w:color w:val="000000"/>
                <w:sz w:val="18"/>
                <w:szCs w:val="18"/>
                <w:lang w:val="ro-MD"/>
              </w:rPr>
              <w:t>-video</w:t>
            </w:r>
          </w:p>
        </w:tc>
        <w:tc>
          <w:tcPr>
            <w:tcW w:w="1980" w:type="dxa"/>
            <w:tcBorders>
              <w:top w:val="nil"/>
              <w:left w:val="nil"/>
              <w:bottom w:val="single" w:sz="4" w:space="0" w:color="auto"/>
              <w:right w:val="single" w:sz="4" w:space="0" w:color="auto"/>
            </w:tcBorders>
            <w:shd w:val="clear" w:color="auto" w:fill="auto"/>
            <w:vAlign w:val="center"/>
            <w:hideMark/>
          </w:tcPr>
          <w:p w:rsidR="002E31B8" w:rsidRPr="00D573BF" w:rsidRDefault="002E31B8" w:rsidP="00CB6BC1">
            <w:pPr>
              <w:spacing w:after="0" w:line="240" w:lineRule="auto"/>
              <w:jc w:val="right"/>
              <w:rPr>
                <w:rFonts w:asciiTheme="majorHAnsi" w:eastAsia="Times New Roman" w:hAnsiTheme="majorHAnsi" w:cstheme="majorHAnsi"/>
                <w:color w:val="000000"/>
                <w:sz w:val="18"/>
                <w:szCs w:val="18"/>
                <w:lang w:val="ro-MD"/>
              </w:rPr>
            </w:pPr>
            <w:r w:rsidRPr="00D573BF">
              <w:rPr>
                <w:rFonts w:asciiTheme="majorHAnsi" w:eastAsia="Times New Roman" w:hAnsiTheme="majorHAnsi" w:cstheme="majorHAnsi"/>
                <w:color w:val="000000"/>
                <w:sz w:val="18"/>
                <w:szCs w:val="18"/>
                <w:lang w:val="ro-MD"/>
              </w:rPr>
              <w:t>15200.0</w:t>
            </w:r>
          </w:p>
        </w:tc>
      </w:tr>
      <w:tr w:rsidR="002E31B8" w:rsidRPr="00401691" w:rsidTr="00CB6BC1">
        <w:trPr>
          <w:trHeight w:val="288"/>
        </w:trPr>
        <w:tc>
          <w:tcPr>
            <w:tcW w:w="630" w:type="dxa"/>
            <w:tcBorders>
              <w:top w:val="nil"/>
              <w:left w:val="single" w:sz="4" w:space="0" w:color="auto"/>
              <w:bottom w:val="single" w:sz="4" w:space="0" w:color="auto"/>
              <w:right w:val="single" w:sz="4" w:space="0" w:color="auto"/>
            </w:tcBorders>
            <w:shd w:val="clear" w:color="auto" w:fill="auto"/>
            <w:vAlign w:val="center"/>
          </w:tcPr>
          <w:p w:rsidR="002E31B8" w:rsidRPr="00D573BF" w:rsidRDefault="002E31B8" w:rsidP="00CB6BC1">
            <w:pPr>
              <w:pStyle w:val="ListParagraph"/>
              <w:numPr>
                <w:ilvl w:val="0"/>
                <w:numId w:val="5"/>
              </w:numPr>
              <w:spacing w:after="0" w:line="240" w:lineRule="auto"/>
              <w:rPr>
                <w:rFonts w:asciiTheme="majorHAnsi" w:eastAsia="Times New Roman" w:hAnsiTheme="majorHAnsi" w:cstheme="majorHAnsi"/>
                <w:color w:val="000000"/>
                <w:sz w:val="18"/>
                <w:szCs w:val="18"/>
                <w:lang w:val="ro-MD"/>
              </w:rPr>
            </w:pPr>
          </w:p>
        </w:tc>
        <w:tc>
          <w:tcPr>
            <w:tcW w:w="990" w:type="dxa"/>
            <w:tcBorders>
              <w:top w:val="nil"/>
              <w:left w:val="nil"/>
              <w:bottom w:val="single" w:sz="4" w:space="0" w:color="auto"/>
              <w:right w:val="single" w:sz="4" w:space="0" w:color="auto"/>
            </w:tcBorders>
            <w:shd w:val="clear" w:color="auto" w:fill="auto"/>
            <w:vAlign w:val="center"/>
            <w:hideMark/>
          </w:tcPr>
          <w:p w:rsidR="002E31B8" w:rsidRPr="00D573BF" w:rsidRDefault="002E31B8" w:rsidP="00CB6BC1">
            <w:pPr>
              <w:spacing w:after="0" w:line="240" w:lineRule="auto"/>
              <w:rPr>
                <w:rFonts w:asciiTheme="majorHAnsi" w:eastAsia="Times New Roman" w:hAnsiTheme="majorHAnsi" w:cstheme="majorHAnsi"/>
                <w:color w:val="000000"/>
                <w:sz w:val="18"/>
                <w:szCs w:val="18"/>
                <w:lang w:val="ro-MD"/>
              </w:rPr>
            </w:pPr>
            <w:r w:rsidRPr="00D573BF">
              <w:rPr>
                <w:rFonts w:asciiTheme="majorHAnsi" w:eastAsia="Times New Roman" w:hAnsiTheme="majorHAnsi" w:cstheme="majorHAnsi"/>
                <w:color w:val="000000"/>
                <w:sz w:val="18"/>
                <w:szCs w:val="18"/>
                <w:lang w:val="ro-MD"/>
              </w:rPr>
              <w:t>143311</w:t>
            </w:r>
          </w:p>
        </w:tc>
        <w:tc>
          <w:tcPr>
            <w:tcW w:w="6480" w:type="dxa"/>
            <w:tcBorders>
              <w:top w:val="nil"/>
              <w:left w:val="nil"/>
              <w:bottom w:val="single" w:sz="4" w:space="0" w:color="auto"/>
              <w:right w:val="single" w:sz="4" w:space="0" w:color="auto"/>
            </w:tcBorders>
            <w:shd w:val="clear" w:color="auto" w:fill="auto"/>
            <w:vAlign w:val="center"/>
            <w:hideMark/>
          </w:tcPr>
          <w:p w:rsidR="002E31B8" w:rsidRPr="00D573BF" w:rsidRDefault="002E31B8" w:rsidP="00CB6BC1">
            <w:pPr>
              <w:spacing w:after="0" w:line="240" w:lineRule="auto"/>
              <w:jc w:val="both"/>
              <w:rPr>
                <w:rFonts w:asciiTheme="majorHAnsi" w:eastAsia="Times New Roman" w:hAnsiTheme="majorHAnsi" w:cstheme="majorHAnsi"/>
                <w:color w:val="000000"/>
                <w:sz w:val="18"/>
                <w:szCs w:val="18"/>
                <w:lang w:val="ro-MD"/>
              </w:rPr>
            </w:pPr>
            <w:r w:rsidRPr="00D573BF">
              <w:rPr>
                <w:rFonts w:asciiTheme="majorHAnsi" w:eastAsia="Times New Roman" w:hAnsiTheme="majorHAnsi" w:cstheme="majorHAnsi"/>
                <w:color w:val="000000"/>
                <w:sz w:val="18"/>
                <w:szCs w:val="18"/>
                <w:lang w:val="ro-MD"/>
              </w:rPr>
              <w:t>Amenzi aplicate de Inspecția Financiar</w:t>
            </w:r>
            <w:r w:rsidR="00110794">
              <w:rPr>
                <w:rFonts w:asciiTheme="majorHAnsi" w:eastAsia="Times New Roman" w:hAnsiTheme="majorHAnsi" w:cstheme="majorHAnsi"/>
                <w:color w:val="000000"/>
                <w:sz w:val="18"/>
                <w:szCs w:val="18"/>
                <w:lang w:val="ro-MD"/>
              </w:rPr>
              <w:t>ă,</w:t>
            </w:r>
            <w:r w:rsidRPr="00D573BF">
              <w:rPr>
                <w:rFonts w:asciiTheme="majorHAnsi" w:eastAsia="Times New Roman" w:hAnsiTheme="majorHAnsi" w:cstheme="majorHAnsi"/>
                <w:color w:val="000000"/>
                <w:sz w:val="18"/>
                <w:szCs w:val="18"/>
                <w:lang w:val="ro-MD"/>
              </w:rPr>
              <w:t xml:space="preserve"> încasate </w:t>
            </w:r>
            <w:r w:rsidR="00110794">
              <w:rPr>
                <w:rFonts w:asciiTheme="majorHAnsi" w:eastAsia="Times New Roman" w:hAnsiTheme="majorHAnsi" w:cstheme="majorHAnsi"/>
                <w:color w:val="000000"/>
                <w:sz w:val="18"/>
                <w:szCs w:val="18"/>
                <w:lang w:val="ro-MD"/>
              </w:rPr>
              <w:t>î</w:t>
            </w:r>
            <w:r w:rsidRPr="00D573BF">
              <w:rPr>
                <w:rFonts w:asciiTheme="majorHAnsi" w:eastAsia="Times New Roman" w:hAnsiTheme="majorHAnsi" w:cstheme="majorHAnsi"/>
                <w:color w:val="000000"/>
                <w:sz w:val="18"/>
                <w:szCs w:val="18"/>
                <w:lang w:val="ro-MD"/>
              </w:rPr>
              <w:t>n bugetul de stat</w:t>
            </w:r>
          </w:p>
        </w:tc>
        <w:tc>
          <w:tcPr>
            <w:tcW w:w="1980" w:type="dxa"/>
            <w:tcBorders>
              <w:top w:val="nil"/>
              <w:left w:val="nil"/>
              <w:bottom w:val="single" w:sz="4" w:space="0" w:color="auto"/>
              <w:right w:val="single" w:sz="4" w:space="0" w:color="auto"/>
            </w:tcBorders>
            <w:shd w:val="clear" w:color="auto" w:fill="auto"/>
            <w:vAlign w:val="center"/>
            <w:hideMark/>
          </w:tcPr>
          <w:p w:rsidR="002E31B8" w:rsidRPr="00D573BF" w:rsidRDefault="002E31B8" w:rsidP="00CB6BC1">
            <w:pPr>
              <w:spacing w:after="0" w:line="240" w:lineRule="auto"/>
              <w:jc w:val="right"/>
              <w:rPr>
                <w:rFonts w:asciiTheme="majorHAnsi" w:eastAsia="Times New Roman" w:hAnsiTheme="majorHAnsi" w:cstheme="majorHAnsi"/>
                <w:color w:val="000000"/>
                <w:sz w:val="18"/>
                <w:szCs w:val="18"/>
                <w:lang w:val="ro-MD"/>
              </w:rPr>
            </w:pPr>
            <w:r w:rsidRPr="00D573BF">
              <w:rPr>
                <w:rFonts w:asciiTheme="majorHAnsi" w:eastAsia="Times New Roman" w:hAnsiTheme="majorHAnsi" w:cstheme="majorHAnsi"/>
                <w:color w:val="000000"/>
                <w:sz w:val="18"/>
                <w:szCs w:val="18"/>
                <w:lang w:val="ro-MD"/>
              </w:rPr>
              <w:t>43279.3</w:t>
            </w:r>
          </w:p>
        </w:tc>
      </w:tr>
      <w:tr w:rsidR="002E31B8" w:rsidRPr="00401691" w:rsidTr="00CB6BC1">
        <w:trPr>
          <w:trHeight w:val="288"/>
        </w:trPr>
        <w:tc>
          <w:tcPr>
            <w:tcW w:w="630" w:type="dxa"/>
            <w:tcBorders>
              <w:top w:val="nil"/>
              <w:left w:val="single" w:sz="4" w:space="0" w:color="auto"/>
              <w:bottom w:val="single" w:sz="4" w:space="0" w:color="auto"/>
              <w:right w:val="single" w:sz="4" w:space="0" w:color="auto"/>
            </w:tcBorders>
            <w:shd w:val="clear" w:color="auto" w:fill="auto"/>
            <w:vAlign w:val="center"/>
          </w:tcPr>
          <w:p w:rsidR="002E31B8" w:rsidRPr="00D573BF" w:rsidRDefault="002E31B8" w:rsidP="00CB6BC1">
            <w:pPr>
              <w:pStyle w:val="ListParagraph"/>
              <w:numPr>
                <w:ilvl w:val="0"/>
                <w:numId w:val="5"/>
              </w:numPr>
              <w:spacing w:after="0" w:line="240" w:lineRule="auto"/>
              <w:rPr>
                <w:rFonts w:asciiTheme="majorHAnsi" w:eastAsia="Times New Roman" w:hAnsiTheme="majorHAnsi" w:cstheme="majorHAnsi"/>
                <w:color w:val="000000"/>
                <w:sz w:val="18"/>
                <w:szCs w:val="18"/>
                <w:lang w:val="ro-MD"/>
              </w:rPr>
            </w:pPr>
          </w:p>
        </w:tc>
        <w:tc>
          <w:tcPr>
            <w:tcW w:w="990" w:type="dxa"/>
            <w:tcBorders>
              <w:top w:val="nil"/>
              <w:left w:val="nil"/>
              <w:bottom w:val="single" w:sz="4" w:space="0" w:color="auto"/>
              <w:right w:val="single" w:sz="4" w:space="0" w:color="auto"/>
            </w:tcBorders>
            <w:shd w:val="clear" w:color="auto" w:fill="auto"/>
            <w:vAlign w:val="center"/>
            <w:hideMark/>
          </w:tcPr>
          <w:p w:rsidR="002E31B8" w:rsidRPr="00D573BF" w:rsidRDefault="002E31B8" w:rsidP="00CB6BC1">
            <w:pPr>
              <w:spacing w:after="0" w:line="240" w:lineRule="auto"/>
              <w:rPr>
                <w:rFonts w:asciiTheme="majorHAnsi" w:eastAsia="Times New Roman" w:hAnsiTheme="majorHAnsi" w:cstheme="majorHAnsi"/>
                <w:color w:val="000000"/>
                <w:sz w:val="18"/>
                <w:szCs w:val="18"/>
                <w:lang w:val="ro-MD"/>
              </w:rPr>
            </w:pPr>
            <w:r w:rsidRPr="00D573BF">
              <w:rPr>
                <w:rFonts w:asciiTheme="majorHAnsi" w:eastAsia="Times New Roman" w:hAnsiTheme="majorHAnsi" w:cstheme="majorHAnsi"/>
                <w:color w:val="000000"/>
                <w:sz w:val="18"/>
                <w:szCs w:val="18"/>
                <w:lang w:val="ro-MD"/>
              </w:rPr>
              <w:t>143350</w:t>
            </w:r>
          </w:p>
        </w:tc>
        <w:tc>
          <w:tcPr>
            <w:tcW w:w="6480" w:type="dxa"/>
            <w:tcBorders>
              <w:top w:val="nil"/>
              <w:left w:val="nil"/>
              <w:bottom w:val="single" w:sz="4" w:space="0" w:color="auto"/>
              <w:right w:val="single" w:sz="4" w:space="0" w:color="auto"/>
            </w:tcBorders>
            <w:shd w:val="clear" w:color="auto" w:fill="auto"/>
            <w:vAlign w:val="center"/>
            <w:hideMark/>
          </w:tcPr>
          <w:p w:rsidR="002E31B8" w:rsidRPr="00D573BF" w:rsidRDefault="002E31B8" w:rsidP="00CB6BC1">
            <w:pPr>
              <w:spacing w:after="0" w:line="240" w:lineRule="auto"/>
              <w:jc w:val="both"/>
              <w:rPr>
                <w:rFonts w:asciiTheme="majorHAnsi" w:eastAsia="Times New Roman" w:hAnsiTheme="majorHAnsi" w:cstheme="majorHAnsi"/>
                <w:color w:val="000000"/>
                <w:sz w:val="18"/>
                <w:szCs w:val="18"/>
                <w:lang w:val="ro-MD"/>
              </w:rPr>
            </w:pPr>
            <w:r w:rsidRPr="00D573BF">
              <w:rPr>
                <w:rFonts w:asciiTheme="majorHAnsi" w:eastAsia="Times New Roman" w:hAnsiTheme="majorHAnsi" w:cstheme="majorHAnsi"/>
                <w:color w:val="000000"/>
                <w:sz w:val="18"/>
                <w:szCs w:val="18"/>
                <w:lang w:val="ro-MD"/>
              </w:rPr>
              <w:t>Amenzi aplicate de Poli</w:t>
            </w:r>
            <w:r w:rsidR="00110794">
              <w:rPr>
                <w:rFonts w:asciiTheme="majorHAnsi" w:eastAsia="Times New Roman" w:hAnsiTheme="majorHAnsi" w:cstheme="majorHAnsi"/>
                <w:color w:val="000000"/>
                <w:sz w:val="18"/>
                <w:szCs w:val="18"/>
                <w:lang w:val="ro-MD"/>
              </w:rPr>
              <w:t>ț</w:t>
            </w:r>
            <w:r w:rsidRPr="00D573BF">
              <w:rPr>
                <w:rFonts w:asciiTheme="majorHAnsi" w:eastAsia="Times New Roman" w:hAnsiTheme="majorHAnsi" w:cstheme="majorHAnsi"/>
                <w:color w:val="000000"/>
                <w:sz w:val="18"/>
                <w:szCs w:val="18"/>
                <w:lang w:val="ro-MD"/>
              </w:rPr>
              <w:t>ia de Frontier</w:t>
            </w:r>
            <w:r w:rsidR="00110794">
              <w:rPr>
                <w:rFonts w:asciiTheme="majorHAnsi" w:eastAsia="Times New Roman" w:hAnsiTheme="majorHAnsi" w:cstheme="majorHAnsi"/>
                <w:color w:val="000000"/>
                <w:sz w:val="18"/>
                <w:szCs w:val="18"/>
                <w:lang w:val="ro-MD"/>
              </w:rPr>
              <w:t>ă</w:t>
            </w:r>
          </w:p>
        </w:tc>
        <w:tc>
          <w:tcPr>
            <w:tcW w:w="1980" w:type="dxa"/>
            <w:tcBorders>
              <w:top w:val="nil"/>
              <w:left w:val="nil"/>
              <w:bottom w:val="single" w:sz="4" w:space="0" w:color="auto"/>
              <w:right w:val="single" w:sz="4" w:space="0" w:color="auto"/>
            </w:tcBorders>
            <w:shd w:val="clear" w:color="auto" w:fill="auto"/>
            <w:vAlign w:val="center"/>
            <w:hideMark/>
          </w:tcPr>
          <w:p w:rsidR="002E31B8" w:rsidRPr="00D573BF" w:rsidRDefault="002E31B8" w:rsidP="00CB6BC1">
            <w:pPr>
              <w:spacing w:after="0" w:line="240" w:lineRule="auto"/>
              <w:jc w:val="right"/>
              <w:rPr>
                <w:rFonts w:asciiTheme="majorHAnsi" w:eastAsia="Times New Roman" w:hAnsiTheme="majorHAnsi" w:cstheme="majorHAnsi"/>
                <w:color w:val="000000"/>
                <w:sz w:val="18"/>
                <w:szCs w:val="18"/>
                <w:lang w:val="ro-MD"/>
              </w:rPr>
            </w:pPr>
            <w:r w:rsidRPr="00D573BF">
              <w:rPr>
                <w:rFonts w:asciiTheme="majorHAnsi" w:eastAsia="Times New Roman" w:hAnsiTheme="majorHAnsi" w:cstheme="majorHAnsi"/>
                <w:color w:val="000000"/>
                <w:sz w:val="18"/>
                <w:szCs w:val="18"/>
                <w:lang w:val="ro-MD"/>
              </w:rPr>
              <w:t>1404.0</w:t>
            </w:r>
          </w:p>
        </w:tc>
      </w:tr>
      <w:tr w:rsidR="002E31B8" w:rsidRPr="00401691" w:rsidTr="00CB6BC1">
        <w:trPr>
          <w:trHeight w:val="323"/>
        </w:trPr>
        <w:tc>
          <w:tcPr>
            <w:tcW w:w="630" w:type="dxa"/>
            <w:tcBorders>
              <w:top w:val="nil"/>
              <w:left w:val="single" w:sz="4" w:space="0" w:color="auto"/>
              <w:bottom w:val="single" w:sz="4" w:space="0" w:color="auto"/>
              <w:right w:val="single" w:sz="4" w:space="0" w:color="auto"/>
            </w:tcBorders>
            <w:shd w:val="clear" w:color="auto" w:fill="auto"/>
            <w:vAlign w:val="center"/>
          </w:tcPr>
          <w:p w:rsidR="002E31B8" w:rsidRPr="00D573BF" w:rsidRDefault="002E31B8" w:rsidP="00CB6BC1">
            <w:pPr>
              <w:pStyle w:val="ListParagraph"/>
              <w:numPr>
                <w:ilvl w:val="0"/>
                <w:numId w:val="5"/>
              </w:numPr>
              <w:spacing w:after="0" w:line="240" w:lineRule="auto"/>
              <w:rPr>
                <w:rFonts w:asciiTheme="majorHAnsi" w:eastAsia="Times New Roman" w:hAnsiTheme="majorHAnsi" w:cstheme="majorHAnsi"/>
                <w:color w:val="000000"/>
                <w:sz w:val="18"/>
                <w:szCs w:val="18"/>
                <w:lang w:val="ro-MD"/>
              </w:rPr>
            </w:pPr>
          </w:p>
        </w:tc>
        <w:tc>
          <w:tcPr>
            <w:tcW w:w="990" w:type="dxa"/>
            <w:tcBorders>
              <w:top w:val="nil"/>
              <w:left w:val="nil"/>
              <w:bottom w:val="single" w:sz="4" w:space="0" w:color="auto"/>
              <w:right w:val="single" w:sz="4" w:space="0" w:color="auto"/>
            </w:tcBorders>
            <w:shd w:val="clear" w:color="auto" w:fill="auto"/>
            <w:vAlign w:val="center"/>
            <w:hideMark/>
          </w:tcPr>
          <w:p w:rsidR="002E31B8" w:rsidRPr="00D573BF" w:rsidRDefault="002E31B8" w:rsidP="00CB6BC1">
            <w:pPr>
              <w:spacing w:after="0" w:line="240" w:lineRule="auto"/>
              <w:rPr>
                <w:rFonts w:asciiTheme="majorHAnsi" w:eastAsia="Times New Roman" w:hAnsiTheme="majorHAnsi" w:cstheme="majorHAnsi"/>
                <w:color w:val="000000"/>
                <w:sz w:val="18"/>
                <w:szCs w:val="18"/>
                <w:lang w:val="ro-MD"/>
              </w:rPr>
            </w:pPr>
            <w:r w:rsidRPr="00D573BF">
              <w:rPr>
                <w:rFonts w:asciiTheme="majorHAnsi" w:eastAsia="Times New Roman" w:hAnsiTheme="majorHAnsi" w:cstheme="majorHAnsi"/>
                <w:color w:val="000000"/>
                <w:sz w:val="18"/>
                <w:szCs w:val="18"/>
                <w:lang w:val="ro-MD"/>
              </w:rPr>
              <w:t>143410</w:t>
            </w:r>
          </w:p>
        </w:tc>
        <w:tc>
          <w:tcPr>
            <w:tcW w:w="6480" w:type="dxa"/>
            <w:tcBorders>
              <w:top w:val="nil"/>
              <w:left w:val="nil"/>
              <w:bottom w:val="single" w:sz="4" w:space="0" w:color="auto"/>
              <w:right w:val="single" w:sz="4" w:space="0" w:color="auto"/>
            </w:tcBorders>
            <w:shd w:val="clear" w:color="auto" w:fill="auto"/>
            <w:vAlign w:val="center"/>
            <w:hideMark/>
          </w:tcPr>
          <w:p w:rsidR="002E31B8" w:rsidRPr="00D573BF" w:rsidRDefault="002E31B8" w:rsidP="00CB6BC1">
            <w:pPr>
              <w:spacing w:after="0" w:line="240" w:lineRule="auto"/>
              <w:jc w:val="both"/>
              <w:rPr>
                <w:rFonts w:asciiTheme="majorHAnsi" w:eastAsia="Times New Roman" w:hAnsiTheme="majorHAnsi" w:cstheme="majorHAnsi"/>
                <w:color w:val="000000"/>
                <w:sz w:val="18"/>
                <w:szCs w:val="18"/>
                <w:lang w:val="ro-MD"/>
              </w:rPr>
            </w:pPr>
            <w:r w:rsidRPr="00D573BF">
              <w:rPr>
                <w:rFonts w:asciiTheme="majorHAnsi" w:eastAsia="Times New Roman" w:hAnsiTheme="majorHAnsi" w:cstheme="majorHAnsi"/>
                <w:color w:val="000000"/>
                <w:sz w:val="18"/>
                <w:szCs w:val="18"/>
                <w:lang w:val="ro-MD"/>
              </w:rPr>
              <w:t xml:space="preserve">Amenzi aplicate de Inspecția de </w:t>
            </w:r>
            <w:r w:rsidR="00110794">
              <w:rPr>
                <w:rFonts w:asciiTheme="majorHAnsi" w:eastAsia="Times New Roman" w:hAnsiTheme="majorHAnsi" w:cstheme="majorHAnsi"/>
                <w:color w:val="000000"/>
                <w:sz w:val="18"/>
                <w:szCs w:val="18"/>
                <w:lang w:val="ro-MD"/>
              </w:rPr>
              <w:t>S</w:t>
            </w:r>
            <w:r w:rsidRPr="00D573BF">
              <w:rPr>
                <w:rFonts w:asciiTheme="majorHAnsi" w:eastAsia="Times New Roman" w:hAnsiTheme="majorHAnsi" w:cstheme="majorHAnsi"/>
                <w:color w:val="000000"/>
                <w:sz w:val="18"/>
                <w:szCs w:val="18"/>
                <w:lang w:val="ro-MD"/>
              </w:rPr>
              <w:t xml:space="preserve">tat </w:t>
            </w:r>
            <w:r w:rsidR="00110794">
              <w:rPr>
                <w:rFonts w:asciiTheme="majorHAnsi" w:eastAsia="Times New Roman" w:hAnsiTheme="majorHAnsi" w:cstheme="majorHAnsi"/>
                <w:color w:val="000000"/>
                <w:sz w:val="18"/>
                <w:szCs w:val="18"/>
                <w:lang w:val="ro-MD"/>
              </w:rPr>
              <w:t>î</w:t>
            </w:r>
            <w:r w:rsidRPr="00D573BF">
              <w:rPr>
                <w:rFonts w:asciiTheme="majorHAnsi" w:eastAsia="Times New Roman" w:hAnsiTheme="majorHAnsi" w:cstheme="majorHAnsi"/>
                <w:color w:val="000000"/>
                <w:sz w:val="18"/>
                <w:szCs w:val="18"/>
                <w:lang w:val="ro-MD"/>
              </w:rPr>
              <w:t>n Construcții</w:t>
            </w:r>
          </w:p>
        </w:tc>
        <w:tc>
          <w:tcPr>
            <w:tcW w:w="1980" w:type="dxa"/>
            <w:tcBorders>
              <w:top w:val="nil"/>
              <w:left w:val="nil"/>
              <w:bottom w:val="single" w:sz="4" w:space="0" w:color="auto"/>
              <w:right w:val="single" w:sz="4" w:space="0" w:color="auto"/>
            </w:tcBorders>
            <w:shd w:val="clear" w:color="auto" w:fill="auto"/>
            <w:vAlign w:val="center"/>
            <w:hideMark/>
          </w:tcPr>
          <w:p w:rsidR="002E31B8" w:rsidRPr="00D573BF" w:rsidRDefault="002E31B8" w:rsidP="00CB6BC1">
            <w:pPr>
              <w:spacing w:after="0" w:line="240" w:lineRule="auto"/>
              <w:jc w:val="right"/>
              <w:rPr>
                <w:rFonts w:asciiTheme="majorHAnsi" w:eastAsia="Times New Roman" w:hAnsiTheme="majorHAnsi" w:cstheme="majorHAnsi"/>
                <w:color w:val="000000"/>
                <w:sz w:val="18"/>
                <w:szCs w:val="18"/>
                <w:lang w:val="ro-MD"/>
              </w:rPr>
            </w:pPr>
            <w:r w:rsidRPr="00D573BF">
              <w:rPr>
                <w:rFonts w:asciiTheme="majorHAnsi" w:eastAsia="Times New Roman" w:hAnsiTheme="majorHAnsi" w:cstheme="majorHAnsi"/>
                <w:color w:val="000000"/>
                <w:sz w:val="18"/>
                <w:szCs w:val="18"/>
                <w:lang w:val="ro-MD"/>
              </w:rPr>
              <w:t>1539.7</w:t>
            </w:r>
          </w:p>
        </w:tc>
      </w:tr>
      <w:tr w:rsidR="002E31B8" w:rsidRPr="00401691" w:rsidTr="00CB6BC1">
        <w:trPr>
          <w:trHeight w:val="305"/>
        </w:trPr>
        <w:tc>
          <w:tcPr>
            <w:tcW w:w="630" w:type="dxa"/>
            <w:tcBorders>
              <w:top w:val="nil"/>
              <w:left w:val="single" w:sz="4" w:space="0" w:color="auto"/>
              <w:bottom w:val="single" w:sz="4" w:space="0" w:color="auto"/>
              <w:right w:val="single" w:sz="4" w:space="0" w:color="auto"/>
            </w:tcBorders>
            <w:shd w:val="clear" w:color="auto" w:fill="auto"/>
            <w:vAlign w:val="center"/>
          </w:tcPr>
          <w:p w:rsidR="002E31B8" w:rsidRPr="00D573BF" w:rsidRDefault="002E31B8" w:rsidP="00CB6BC1">
            <w:pPr>
              <w:pStyle w:val="ListParagraph"/>
              <w:numPr>
                <w:ilvl w:val="0"/>
                <w:numId w:val="5"/>
              </w:numPr>
              <w:spacing w:after="0" w:line="240" w:lineRule="auto"/>
              <w:rPr>
                <w:rFonts w:asciiTheme="majorHAnsi" w:eastAsia="Times New Roman" w:hAnsiTheme="majorHAnsi" w:cstheme="majorHAnsi"/>
                <w:color w:val="000000"/>
                <w:sz w:val="18"/>
                <w:szCs w:val="18"/>
                <w:lang w:val="ro-MD"/>
              </w:rPr>
            </w:pPr>
          </w:p>
        </w:tc>
        <w:tc>
          <w:tcPr>
            <w:tcW w:w="990" w:type="dxa"/>
            <w:tcBorders>
              <w:top w:val="nil"/>
              <w:left w:val="nil"/>
              <w:bottom w:val="single" w:sz="4" w:space="0" w:color="auto"/>
              <w:right w:val="single" w:sz="4" w:space="0" w:color="auto"/>
            </w:tcBorders>
            <w:shd w:val="clear" w:color="auto" w:fill="auto"/>
            <w:vAlign w:val="center"/>
            <w:hideMark/>
          </w:tcPr>
          <w:p w:rsidR="002E31B8" w:rsidRPr="00D573BF" w:rsidRDefault="002E31B8" w:rsidP="00CB6BC1">
            <w:pPr>
              <w:spacing w:after="0" w:line="240" w:lineRule="auto"/>
              <w:rPr>
                <w:rFonts w:asciiTheme="majorHAnsi" w:eastAsia="Times New Roman" w:hAnsiTheme="majorHAnsi" w:cstheme="majorHAnsi"/>
                <w:color w:val="000000"/>
                <w:sz w:val="18"/>
                <w:szCs w:val="18"/>
                <w:lang w:val="ro-MD"/>
              </w:rPr>
            </w:pPr>
            <w:r w:rsidRPr="00D573BF">
              <w:rPr>
                <w:rFonts w:asciiTheme="majorHAnsi" w:eastAsia="Times New Roman" w:hAnsiTheme="majorHAnsi" w:cstheme="majorHAnsi"/>
                <w:color w:val="000000"/>
                <w:sz w:val="18"/>
                <w:szCs w:val="18"/>
                <w:lang w:val="ro-MD"/>
              </w:rPr>
              <w:t>143420</w:t>
            </w:r>
          </w:p>
        </w:tc>
        <w:tc>
          <w:tcPr>
            <w:tcW w:w="6480" w:type="dxa"/>
            <w:tcBorders>
              <w:top w:val="nil"/>
              <w:left w:val="nil"/>
              <w:bottom w:val="single" w:sz="4" w:space="0" w:color="auto"/>
              <w:right w:val="single" w:sz="4" w:space="0" w:color="auto"/>
            </w:tcBorders>
            <w:shd w:val="clear" w:color="auto" w:fill="auto"/>
            <w:vAlign w:val="center"/>
            <w:hideMark/>
          </w:tcPr>
          <w:p w:rsidR="002E31B8" w:rsidRPr="00D573BF" w:rsidRDefault="002E31B8" w:rsidP="00CB6BC1">
            <w:pPr>
              <w:spacing w:after="0" w:line="240" w:lineRule="auto"/>
              <w:jc w:val="both"/>
              <w:rPr>
                <w:rFonts w:asciiTheme="majorHAnsi" w:eastAsia="Times New Roman" w:hAnsiTheme="majorHAnsi" w:cstheme="majorHAnsi"/>
                <w:color w:val="000000"/>
                <w:sz w:val="18"/>
                <w:szCs w:val="18"/>
                <w:lang w:val="ro-MD"/>
              </w:rPr>
            </w:pPr>
            <w:r w:rsidRPr="00D573BF">
              <w:rPr>
                <w:rFonts w:asciiTheme="majorHAnsi" w:eastAsia="Times New Roman" w:hAnsiTheme="majorHAnsi" w:cstheme="majorHAnsi"/>
                <w:color w:val="000000"/>
                <w:sz w:val="18"/>
                <w:szCs w:val="18"/>
                <w:lang w:val="ro-MD"/>
              </w:rPr>
              <w:t xml:space="preserve">Amenzi aplicate de instanțele judecătorești </w:t>
            </w:r>
            <w:r w:rsidR="00110794">
              <w:rPr>
                <w:rFonts w:asciiTheme="majorHAnsi" w:eastAsia="Times New Roman" w:hAnsiTheme="majorHAnsi" w:cstheme="majorHAnsi"/>
                <w:color w:val="000000"/>
                <w:sz w:val="18"/>
                <w:szCs w:val="18"/>
                <w:lang w:val="ro-MD"/>
              </w:rPr>
              <w:t>î</w:t>
            </w:r>
            <w:r w:rsidRPr="00D573BF">
              <w:rPr>
                <w:rFonts w:asciiTheme="majorHAnsi" w:eastAsia="Times New Roman" w:hAnsiTheme="majorHAnsi" w:cstheme="majorHAnsi"/>
                <w:color w:val="000000"/>
                <w:sz w:val="18"/>
                <w:szCs w:val="18"/>
                <w:lang w:val="ro-MD"/>
              </w:rPr>
              <w:t xml:space="preserve">n cauze administrative </w:t>
            </w:r>
            <w:r w:rsidR="00110794">
              <w:rPr>
                <w:rFonts w:asciiTheme="majorHAnsi" w:eastAsia="Times New Roman" w:hAnsiTheme="majorHAnsi" w:cstheme="majorHAnsi"/>
                <w:color w:val="000000"/>
                <w:sz w:val="18"/>
                <w:szCs w:val="18"/>
                <w:lang w:val="ro-MD"/>
              </w:rPr>
              <w:t>ș</w:t>
            </w:r>
            <w:r w:rsidRPr="00D573BF">
              <w:rPr>
                <w:rFonts w:asciiTheme="majorHAnsi" w:eastAsia="Times New Roman" w:hAnsiTheme="majorHAnsi" w:cstheme="majorHAnsi"/>
                <w:color w:val="000000"/>
                <w:sz w:val="18"/>
                <w:szCs w:val="18"/>
                <w:lang w:val="ro-MD"/>
              </w:rPr>
              <w:t>i penale</w:t>
            </w:r>
          </w:p>
        </w:tc>
        <w:tc>
          <w:tcPr>
            <w:tcW w:w="1980" w:type="dxa"/>
            <w:tcBorders>
              <w:top w:val="nil"/>
              <w:left w:val="nil"/>
              <w:bottom w:val="single" w:sz="4" w:space="0" w:color="auto"/>
              <w:right w:val="single" w:sz="4" w:space="0" w:color="auto"/>
            </w:tcBorders>
            <w:shd w:val="clear" w:color="auto" w:fill="auto"/>
            <w:vAlign w:val="center"/>
            <w:hideMark/>
          </w:tcPr>
          <w:p w:rsidR="002E31B8" w:rsidRPr="00D573BF" w:rsidRDefault="002E31B8" w:rsidP="00CB6BC1">
            <w:pPr>
              <w:spacing w:after="0" w:line="240" w:lineRule="auto"/>
              <w:jc w:val="right"/>
              <w:rPr>
                <w:rFonts w:asciiTheme="majorHAnsi" w:eastAsia="Times New Roman" w:hAnsiTheme="majorHAnsi" w:cstheme="majorHAnsi"/>
                <w:color w:val="000000"/>
                <w:sz w:val="18"/>
                <w:szCs w:val="18"/>
                <w:lang w:val="ro-MD"/>
              </w:rPr>
            </w:pPr>
            <w:r w:rsidRPr="00D573BF">
              <w:rPr>
                <w:rFonts w:asciiTheme="majorHAnsi" w:eastAsia="Times New Roman" w:hAnsiTheme="majorHAnsi" w:cstheme="majorHAnsi"/>
                <w:color w:val="000000"/>
                <w:sz w:val="18"/>
                <w:szCs w:val="18"/>
                <w:lang w:val="ro-MD"/>
              </w:rPr>
              <w:t>56804.5</w:t>
            </w:r>
          </w:p>
        </w:tc>
      </w:tr>
      <w:tr w:rsidR="002E31B8" w:rsidRPr="00401691" w:rsidTr="00CB6BC1">
        <w:trPr>
          <w:trHeight w:val="28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2E31B8" w:rsidRPr="00D573BF" w:rsidRDefault="002E31B8" w:rsidP="00CB6BC1">
            <w:pPr>
              <w:pStyle w:val="ListParagraph"/>
              <w:numPr>
                <w:ilvl w:val="0"/>
                <w:numId w:val="5"/>
              </w:numPr>
              <w:spacing w:after="0" w:line="240" w:lineRule="auto"/>
              <w:rPr>
                <w:rFonts w:asciiTheme="majorHAnsi" w:eastAsia="Times New Roman" w:hAnsiTheme="majorHAnsi" w:cstheme="majorHAnsi"/>
                <w:color w:val="000000"/>
                <w:sz w:val="18"/>
                <w:szCs w:val="18"/>
                <w:lang w:val="ro-MD"/>
              </w:rPr>
            </w:pPr>
          </w:p>
        </w:tc>
        <w:tc>
          <w:tcPr>
            <w:tcW w:w="990" w:type="dxa"/>
            <w:tcBorders>
              <w:top w:val="nil"/>
              <w:left w:val="nil"/>
              <w:bottom w:val="single" w:sz="4" w:space="0" w:color="auto"/>
              <w:right w:val="single" w:sz="4" w:space="0" w:color="auto"/>
            </w:tcBorders>
            <w:shd w:val="clear" w:color="auto" w:fill="auto"/>
            <w:vAlign w:val="center"/>
            <w:hideMark/>
          </w:tcPr>
          <w:p w:rsidR="002E31B8" w:rsidRPr="00D573BF" w:rsidRDefault="002E31B8" w:rsidP="00CB6BC1">
            <w:pPr>
              <w:spacing w:after="0" w:line="240" w:lineRule="auto"/>
              <w:rPr>
                <w:rFonts w:asciiTheme="majorHAnsi" w:eastAsia="Times New Roman" w:hAnsiTheme="majorHAnsi" w:cstheme="majorHAnsi"/>
                <w:color w:val="000000"/>
                <w:sz w:val="18"/>
                <w:szCs w:val="18"/>
                <w:lang w:val="ro-MD"/>
              </w:rPr>
            </w:pPr>
            <w:r w:rsidRPr="00D573BF">
              <w:rPr>
                <w:rFonts w:asciiTheme="majorHAnsi" w:eastAsia="Times New Roman" w:hAnsiTheme="majorHAnsi" w:cstheme="majorHAnsi"/>
                <w:color w:val="000000"/>
                <w:sz w:val="18"/>
                <w:szCs w:val="18"/>
                <w:lang w:val="ro-MD"/>
              </w:rPr>
              <w:t>143450</w:t>
            </w:r>
          </w:p>
        </w:tc>
        <w:tc>
          <w:tcPr>
            <w:tcW w:w="6480" w:type="dxa"/>
            <w:tcBorders>
              <w:top w:val="nil"/>
              <w:left w:val="nil"/>
              <w:bottom w:val="single" w:sz="4" w:space="0" w:color="auto"/>
              <w:right w:val="single" w:sz="4" w:space="0" w:color="auto"/>
            </w:tcBorders>
            <w:shd w:val="clear" w:color="auto" w:fill="auto"/>
            <w:vAlign w:val="center"/>
            <w:hideMark/>
          </w:tcPr>
          <w:p w:rsidR="002E31B8" w:rsidRPr="00D573BF" w:rsidRDefault="002E31B8" w:rsidP="00CB6BC1">
            <w:pPr>
              <w:spacing w:after="0" w:line="240" w:lineRule="auto"/>
              <w:jc w:val="both"/>
              <w:rPr>
                <w:rFonts w:asciiTheme="majorHAnsi" w:eastAsia="Times New Roman" w:hAnsiTheme="majorHAnsi" w:cstheme="majorHAnsi"/>
                <w:color w:val="000000"/>
                <w:sz w:val="18"/>
                <w:szCs w:val="18"/>
                <w:lang w:val="ro-MD"/>
              </w:rPr>
            </w:pPr>
            <w:r w:rsidRPr="00D573BF">
              <w:rPr>
                <w:rFonts w:asciiTheme="majorHAnsi" w:eastAsia="Times New Roman" w:hAnsiTheme="majorHAnsi" w:cstheme="majorHAnsi"/>
                <w:color w:val="000000"/>
                <w:sz w:val="18"/>
                <w:szCs w:val="18"/>
                <w:lang w:val="ro-MD"/>
              </w:rPr>
              <w:t>Amenzi aplicate de centrele de medicin</w:t>
            </w:r>
            <w:r w:rsidR="00110794">
              <w:rPr>
                <w:rFonts w:asciiTheme="majorHAnsi" w:eastAsia="Times New Roman" w:hAnsiTheme="majorHAnsi" w:cstheme="majorHAnsi"/>
                <w:color w:val="000000"/>
                <w:sz w:val="18"/>
                <w:szCs w:val="18"/>
                <w:lang w:val="ro-MD"/>
              </w:rPr>
              <w:t>ă</w:t>
            </w:r>
            <w:r w:rsidRPr="00D573BF">
              <w:rPr>
                <w:rFonts w:asciiTheme="majorHAnsi" w:eastAsia="Times New Roman" w:hAnsiTheme="majorHAnsi" w:cstheme="majorHAnsi"/>
                <w:color w:val="000000"/>
                <w:sz w:val="18"/>
                <w:szCs w:val="18"/>
                <w:lang w:val="ro-MD"/>
              </w:rPr>
              <w:t xml:space="preserve"> preventiv</w:t>
            </w:r>
            <w:r w:rsidR="00110794">
              <w:rPr>
                <w:rFonts w:asciiTheme="majorHAnsi" w:eastAsia="Times New Roman" w:hAnsiTheme="majorHAnsi" w:cstheme="majorHAnsi"/>
                <w:color w:val="000000"/>
                <w:sz w:val="18"/>
                <w:szCs w:val="18"/>
                <w:lang w:val="ro-MD"/>
              </w:rPr>
              <w:t>ă</w:t>
            </w:r>
          </w:p>
        </w:tc>
        <w:tc>
          <w:tcPr>
            <w:tcW w:w="1980" w:type="dxa"/>
            <w:tcBorders>
              <w:top w:val="nil"/>
              <w:left w:val="nil"/>
              <w:bottom w:val="single" w:sz="4" w:space="0" w:color="auto"/>
              <w:right w:val="single" w:sz="4" w:space="0" w:color="auto"/>
            </w:tcBorders>
            <w:shd w:val="clear" w:color="auto" w:fill="auto"/>
            <w:vAlign w:val="center"/>
            <w:hideMark/>
          </w:tcPr>
          <w:p w:rsidR="002E31B8" w:rsidRPr="00D573BF" w:rsidRDefault="002E31B8" w:rsidP="00CB6BC1">
            <w:pPr>
              <w:spacing w:after="0" w:line="240" w:lineRule="auto"/>
              <w:jc w:val="right"/>
              <w:rPr>
                <w:rFonts w:asciiTheme="majorHAnsi" w:eastAsia="Times New Roman" w:hAnsiTheme="majorHAnsi" w:cstheme="majorHAnsi"/>
                <w:color w:val="000000"/>
                <w:sz w:val="18"/>
                <w:szCs w:val="18"/>
                <w:lang w:val="ro-MD"/>
              </w:rPr>
            </w:pPr>
            <w:r w:rsidRPr="00D573BF">
              <w:rPr>
                <w:rFonts w:asciiTheme="majorHAnsi" w:eastAsia="Times New Roman" w:hAnsiTheme="majorHAnsi" w:cstheme="majorHAnsi"/>
                <w:color w:val="000000"/>
                <w:sz w:val="18"/>
                <w:szCs w:val="18"/>
                <w:lang w:val="ro-MD"/>
              </w:rPr>
              <w:t>268.9</w:t>
            </w:r>
          </w:p>
        </w:tc>
      </w:tr>
      <w:tr w:rsidR="002E31B8" w:rsidRPr="00401691" w:rsidTr="00CB6BC1">
        <w:trPr>
          <w:trHeight w:val="143"/>
        </w:trPr>
        <w:tc>
          <w:tcPr>
            <w:tcW w:w="8100" w:type="dxa"/>
            <w:gridSpan w:val="3"/>
            <w:tcBorders>
              <w:top w:val="nil"/>
              <w:left w:val="single" w:sz="4" w:space="0" w:color="auto"/>
              <w:bottom w:val="single" w:sz="4" w:space="0" w:color="auto"/>
              <w:right w:val="single" w:sz="4" w:space="0" w:color="auto"/>
            </w:tcBorders>
            <w:shd w:val="clear" w:color="auto" w:fill="D9E2F3" w:themeFill="accent5" w:themeFillTint="33"/>
            <w:vAlign w:val="center"/>
          </w:tcPr>
          <w:p w:rsidR="002E31B8" w:rsidRPr="00D573BF" w:rsidRDefault="002E31B8" w:rsidP="00CB6BC1">
            <w:pPr>
              <w:spacing w:after="0" w:line="240" w:lineRule="auto"/>
              <w:jc w:val="right"/>
              <w:rPr>
                <w:rFonts w:asciiTheme="majorHAnsi" w:eastAsia="Times New Roman" w:hAnsiTheme="majorHAnsi" w:cstheme="majorHAnsi"/>
                <w:b/>
                <w:color w:val="000000"/>
                <w:sz w:val="18"/>
                <w:szCs w:val="18"/>
                <w:lang w:val="ro-MD"/>
              </w:rPr>
            </w:pPr>
            <w:r w:rsidRPr="00D573BF">
              <w:rPr>
                <w:rFonts w:asciiTheme="majorHAnsi" w:eastAsia="Times New Roman" w:hAnsiTheme="majorHAnsi" w:cstheme="majorHAnsi"/>
                <w:b/>
                <w:color w:val="000000"/>
                <w:sz w:val="18"/>
                <w:szCs w:val="18"/>
                <w:lang w:val="ro-MD"/>
              </w:rPr>
              <w:t xml:space="preserve">Total </w:t>
            </w:r>
          </w:p>
        </w:tc>
        <w:tc>
          <w:tcPr>
            <w:tcW w:w="1980" w:type="dxa"/>
            <w:tcBorders>
              <w:top w:val="nil"/>
              <w:left w:val="nil"/>
              <w:bottom w:val="single" w:sz="4" w:space="0" w:color="auto"/>
              <w:right w:val="single" w:sz="4" w:space="0" w:color="auto"/>
            </w:tcBorders>
            <w:shd w:val="clear" w:color="auto" w:fill="D9E2F3" w:themeFill="accent5" w:themeFillTint="33"/>
            <w:vAlign w:val="center"/>
          </w:tcPr>
          <w:p w:rsidR="002E31B8" w:rsidRPr="00D573BF" w:rsidRDefault="002E31B8" w:rsidP="00CB6BC1">
            <w:pPr>
              <w:spacing w:after="0"/>
              <w:jc w:val="right"/>
              <w:rPr>
                <w:rFonts w:asciiTheme="majorHAnsi" w:eastAsia="Times New Roman" w:hAnsiTheme="majorHAnsi" w:cstheme="majorHAnsi"/>
                <w:b/>
                <w:color w:val="000000"/>
                <w:sz w:val="18"/>
                <w:szCs w:val="18"/>
                <w:lang w:val="ro-MD"/>
              </w:rPr>
            </w:pPr>
            <w:r w:rsidRPr="00D573BF">
              <w:rPr>
                <w:rFonts w:asciiTheme="majorHAnsi" w:eastAsia="Times New Roman" w:hAnsiTheme="majorHAnsi" w:cstheme="majorHAnsi"/>
                <w:b/>
                <w:color w:val="000000"/>
                <w:sz w:val="18"/>
                <w:szCs w:val="18"/>
                <w:lang w:val="ro-MD"/>
              </w:rPr>
              <w:t>302755.8</w:t>
            </w:r>
          </w:p>
        </w:tc>
      </w:tr>
    </w:tbl>
    <w:p w:rsidR="002E31B8" w:rsidRDefault="002E31B8" w:rsidP="002E31B8">
      <w:pPr>
        <w:jc w:val="center"/>
        <w:rPr>
          <w:rFonts w:asciiTheme="majorHAnsi" w:hAnsiTheme="majorHAnsi" w:cstheme="majorHAnsi"/>
          <w:sz w:val="24"/>
          <w:szCs w:val="24"/>
          <w:lang w:val="ro-MD"/>
        </w:rPr>
      </w:pPr>
    </w:p>
    <w:p w:rsidR="00C55DF6" w:rsidRDefault="00C55DF6" w:rsidP="00844145">
      <w:pPr>
        <w:spacing w:line="276" w:lineRule="auto"/>
        <w:jc w:val="center"/>
        <w:rPr>
          <w:rFonts w:asciiTheme="majorHAnsi" w:hAnsiTheme="majorHAnsi" w:cstheme="majorHAnsi"/>
          <w:sz w:val="24"/>
          <w:szCs w:val="24"/>
          <w:lang w:val="ro-MD"/>
        </w:rPr>
      </w:pPr>
    </w:p>
    <w:p w:rsidR="002E31B8" w:rsidRDefault="002E31B8" w:rsidP="00844145">
      <w:pPr>
        <w:spacing w:line="276" w:lineRule="auto"/>
        <w:jc w:val="center"/>
        <w:rPr>
          <w:rFonts w:asciiTheme="majorHAnsi" w:hAnsiTheme="majorHAnsi" w:cstheme="majorHAnsi"/>
          <w:sz w:val="24"/>
          <w:szCs w:val="24"/>
          <w:lang w:val="ro-MD"/>
        </w:rPr>
      </w:pPr>
    </w:p>
    <w:p w:rsidR="002E31B8" w:rsidRDefault="002E31B8" w:rsidP="00844145">
      <w:pPr>
        <w:spacing w:line="276" w:lineRule="auto"/>
        <w:jc w:val="center"/>
        <w:rPr>
          <w:rFonts w:asciiTheme="majorHAnsi" w:hAnsiTheme="majorHAnsi" w:cstheme="majorHAnsi"/>
          <w:sz w:val="24"/>
          <w:szCs w:val="24"/>
          <w:lang w:val="ro-MD"/>
        </w:rPr>
      </w:pPr>
    </w:p>
    <w:p w:rsidR="002E31B8" w:rsidRDefault="002E31B8" w:rsidP="00844145">
      <w:pPr>
        <w:spacing w:line="276" w:lineRule="auto"/>
        <w:jc w:val="center"/>
        <w:rPr>
          <w:rFonts w:asciiTheme="majorHAnsi" w:hAnsiTheme="majorHAnsi" w:cstheme="majorHAnsi"/>
          <w:sz w:val="24"/>
          <w:szCs w:val="24"/>
          <w:lang w:val="ro-MD"/>
        </w:rPr>
      </w:pPr>
    </w:p>
    <w:p w:rsidR="002E31B8" w:rsidRPr="00401691" w:rsidRDefault="002E31B8" w:rsidP="00844145">
      <w:pPr>
        <w:spacing w:line="276" w:lineRule="auto"/>
        <w:jc w:val="center"/>
        <w:rPr>
          <w:rFonts w:asciiTheme="majorHAnsi" w:hAnsiTheme="majorHAnsi" w:cstheme="majorHAnsi"/>
          <w:sz w:val="24"/>
          <w:szCs w:val="24"/>
          <w:lang w:val="ro-MD"/>
        </w:rPr>
      </w:pPr>
    </w:p>
    <w:p w:rsidR="00C55DF6" w:rsidRDefault="00C55DF6" w:rsidP="00844145">
      <w:pPr>
        <w:spacing w:line="276" w:lineRule="auto"/>
        <w:jc w:val="center"/>
        <w:rPr>
          <w:rFonts w:asciiTheme="majorHAnsi" w:hAnsiTheme="majorHAnsi" w:cstheme="majorHAnsi"/>
          <w:sz w:val="24"/>
          <w:szCs w:val="24"/>
          <w:lang w:val="ro-MD"/>
        </w:rPr>
      </w:pPr>
    </w:p>
    <w:p w:rsidR="00AD2B4A" w:rsidRDefault="00AD2B4A" w:rsidP="00844145">
      <w:pPr>
        <w:spacing w:line="276" w:lineRule="auto"/>
        <w:jc w:val="center"/>
        <w:rPr>
          <w:rFonts w:asciiTheme="majorHAnsi" w:hAnsiTheme="majorHAnsi" w:cstheme="majorHAnsi"/>
          <w:sz w:val="24"/>
          <w:szCs w:val="24"/>
          <w:lang w:val="ro-MD"/>
        </w:rPr>
      </w:pPr>
    </w:p>
    <w:p w:rsidR="00AD2B4A" w:rsidRPr="00401691" w:rsidRDefault="00AD2B4A" w:rsidP="00844145">
      <w:pPr>
        <w:spacing w:line="276" w:lineRule="auto"/>
        <w:jc w:val="center"/>
        <w:rPr>
          <w:rFonts w:asciiTheme="majorHAnsi" w:hAnsiTheme="majorHAnsi" w:cstheme="majorHAnsi"/>
          <w:sz w:val="24"/>
          <w:szCs w:val="24"/>
          <w:lang w:val="ro-MD"/>
        </w:rPr>
      </w:pPr>
    </w:p>
    <w:p w:rsidR="00C55DF6" w:rsidRDefault="00C55DF6" w:rsidP="00844145">
      <w:pPr>
        <w:spacing w:line="276" w:lineRule="auto"/>
        <w:jc w:val="center"/>
        <w:rPr>
          <w:rFonts w:asciiTheme="majorHAnsi" w:hAnsiTheme="majorHAnsi" w:cstheme="majorHAnsi"/>
          <w:sz w:val="24"/>
          <w:szCs w:val="24"/>
          <w:lang w:val="ro-MD"/>
        </w:rPr>
      </w:pPr>
    </w:p>
    <w:p w:rsidR="00AD2B4A" w:rsidRDefault="00AD2B4A" w:rsidP="00844145">
      <w:pPr>
        <w:spacing w:line="276" w:lineRule="auto"/>
        <w:jc w:val="center"/>
        <w:rPr>
          <w:rFonts w:asciiTheme="majorHAnsi" w:hAnsiTheme="majorHAnsi" w:cstheme="majorHAnsi"/>
          <w:sz w:val="24"/>
          <w:szCs w:val="24"/>
          <w:lang w:val="ro-MD"/>
        </w:rPr>
      </w:pPr>
    </w:p>
    <w:p w:rsidR="00AD2B4A" w:rsidRDefault="00AD2B4A" w:rsidP="00844145">
      <w:pPr>
        <w:spacing w:line="276" w:lineRule="auto"/>
        <w:jc w:val="center"/>
        <w:rPr>
          <w:rFonts w:asciiTheme="majorHAnsi" w:hAnsiTheme="majorHAnsi" w:cstheme="majorHAnsi"/>
          <w:sz w:val="24"/>
          <w:szCs w:val="24"/>
          <w:lang w:val="ro-MD"/>
        </w:rPr>
      </w:pPr>
    </w:p>
    <w:p w:rsidR="00AD2B4A" w:rsidRPr="00401691" w:rsidRDefault="00AD2B4A" w:rsidP="00844145">
      <w:pPr>
        <w:spacing w:line="276" w:lineRule="auto"/>
        <w:jc w:val="center"/>
        <w:rPr>
          <w:rFonts w:asciiTheme="majorHAnsi" w:hAnsiTheme="majorHAnsi" w:cstheme="majorHAnsi"/>
          <w:sz w:val="24"/>
          <w:szCs w:val="24"/>
          <w:lang w:val="ro-MD"/>
        </w:rPr>
      </w:pPr>
    </w:p>
    <w:p w:rsidR="00C55DF6" w:rsidRPr="00401691" w:rsidRDefault="00C55DF6" w:rsidP="00844145">
      <w:pPr>
        <w:spacing w:line="276" w:lineRule="auto"/>
        <w:jc w:val="right"/>
        <w:rPr>
          <w:rFonts w:asciiTheme="majorHAnsi" w:hAnsiTheme="majorHAnsi" w:cstheme="majorHAnsi"/>
          <w:i/>
          <w:sz w:val="24"/>
          <w:szCs w:val="24"/>
          <w:lang w:val="ro-MD"/>
        </w:rPr>
      </w:pPr>
      <w:r w:rsidRPr="00401691">
        <w:rPr>
          <w:rFonts w:asciiTheme="majorHAnsi" w:hAnsiTheme="majorHAnsi" w:cstheme="majorHAnsi"/>
          <w:i/>
          <w:sz w:val="24"/>
          <w:szCs w:val="24"/>
          <w:lang w:val="ro-MD"/>
        </w:rPr>
        <w:t>Anexa nr. 5</w:t>
      </w:r>
    </w:p>
    <w:tbl>
      <w:tblPr>
        <w:tblW w:w="10068" w:type="dxa"/>
        <w:tblLook w:val="04A0" w:firstRow="1" w:lastRow="0" w:firstColumn="1" w:lastColumn="0" w:noHBand="0" w:noVBand="1"/>
      </w:tblPr>
      <w:tblGrid>
        <w:gridCol w:w="961"/>
        <w:gridCol w:w="7049"/>
        <w:gridCol w:w="1039"/>
        <w:gridCol w:w="1000"/>
        <w:gridCol w:w="19"/>
      </w:tblGrid>
      <w:tr w:rsidR="00C55DF6" w:rsidRPr="00401691" w:rsidTr="00A353BB">
        <w:trPr>
          <w:trHeight w:val="288"/>
        </w:trPr>
        <w:tc>
          <w:tcPr>
            <w:tcW w:w="10068" w:type="dxa"/>
            <w:gridSpan w:val="5"/>
            <w:tcBorders>
              <w:top w:val="nil"/>
              <w:left w:val="nil"/>
              <w:bottom w:val="single" w:sz="4" w:space="0" w:color="auto"/>
              <w:right w:val="nil"/>
            </w:tcBorders>
            <w:shd w:val="clear" w:color="auto" w:fill="auto"/>
            <w:noWrap/>
            <w:vAlign w:val="bottom"/>
            <w:hideMark/>
          </w:tcPr>
          <w:p w:rsidR="00C55DF6" w:rsidRPr="003D0377" w:rsidRDefault="00C55DF6" w:rsidP="00844145">
            <w:pPr>
              <w:spacing w:after="0" w:line="276" w:lineRule="auto"/>
              <w:jc w:val="center"/>
              <w:rPr>
                <w:rFonts w:asciiTheme="majorHAnsi" w:eastAsia="Times New Roman" w:hAnsiTheme="majorHAnsi" w:cstheme="majorHAnsi"/>
                <w:b/>
                <w:color w:val="000000"/>
                <w:sz w:val="24"/>
                <w:szCs w:val="24"/>
                <w:lang w:val="ro-MD"/>
              </w:rPr>
            </w:pPr>
            <w:r w:rsidRPr="003D0377">
              <w:rPr>
                <w:rFonts w:asciiTheme="majorHAnsi" w:eastAsia="Times New Roman" w:hAnsiTheme="majorHAnsi" w:cstheme="majorHAnsi"/>
                <w:b/>
                <w:color w:val="000000"/>
                <w:sz w:val="24"/>
                <w:szCs w:val="24"/>
                <w:lang w:val="ro-MD"/>
              </w:rPr>
              <w:t xml:space="preserve">Datele integrale privind restanța la BS pe coduri ECO </w:t>
            </w:r>
          </w:p>
        </w:tc>
      </w:tr>
      <w:tr w:rsidR="00C55DF6" w:rsidRPr="00401691" w:rsidTr="00A353BB">
        <w:trPr>
          <w:gridAfter w:val="1"/>
          <w:wAfter w:w="19" w:type="dxa"/>
          <w:trHeight w:val="69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C55DF6" w:rsidRPr="00401691" w:rsidRDefault="00C55DF6" w:rsidP="00844145">
            <w:pPr>
              <w:spacing w:after="0" w:line="276" w:lineRule="auto"/>
              <w:jc w:val="center"/>
              <w:rPr>
                <w:rFonts w:asciiTheme="majorHAnsi" w:eastAsia="Times New Roman" w:hAnsiTheme="majorHAnsi" w:cstheme="majorHAnsi"/>
                <w:b/>
                <w:bCs/>
                <w:i/>
                <w:iCs/>
                <w:color w:val="000000"/>
                <w:sz w:val="16"/>
                <w:szCs w:val="16"/>
                <w:lang w:val="ro-MD"/>
              </w:rPr>
            </w:pPr>
            <w:r w:rsidRPr="00401691">
              <w:rPr>
                <w:rFonts w:asciiTheme="majorHAnsi" w:eastAsia="Times New Roman" w:hAnsiTheme="majorHAnsi" w:cstheme="majorHAnsi"/>
                <w:b/>
                <w:bCs/>
                <w:i/>
                <w:iCs/>
                <w:color w:val="000000"/>
                <w:sz w:val="16"/>
                <w:szCs w:val="16"/>
                <w:lang w:val="ro-MD"/>
              </w:rPr>
              <w:t>Codul clasificației economice</w:t>
            </w:r>
          </w:p>
        </w:tc>
        <w:tc>
          <w:tcPr>
            <w:tcW w:w="704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844145">
            <w:pPr>
              <w:spacing w:after="0" w:line="276" w:lineRule="auto"/>
              <w:jc w:val="center"/>
              <w:rPr>
                <w:rFonts w:asciiTheme="majorHAnsi" w:eastAsia="Times New Roman" w:hAnsiTheme="majorHAnsi" w:cstheme="majorHAnsi"/>
                <w:b/>
                <w:bCs/>
                <w:i/>
                <w:iCs/>
                <w:color w:val="000000"/>
                <w:sz w:val="18"/>
                <w:szCs w:val="18"/>
                <w:lang w:val="ro-MD"/>
              </w:rPr>
            </w:pPr>
            <w:r w:rsidRPr="00401691">
              <w:rPr>
                <w:rFonts w:asciiTheme="majorHAnsi" w:eastAsia="Times New Roman" w:hAnsiTheme="majorHAnsi" w:cstheme="majorHAnsi"/>
                <w:b/>
                <w:bCs/>
                <w:i/>
                <w:iCs/>
                <w:color w:val="000000"/>
                <w:sz w:val="18"/>
                <w:szCs w:val="18"/>
                <w:lang w:val="ro-MD"/>
              </w:rPr>
              <w:t>Denumirea clasificației economice</w:t>
            </w:r>
          </w:p>
        </w:tc>
        <w:tc>
          <w:tcPr>
            <w:tcW w:w="103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844145">
            <w:pPr>
              <w:spacing w:after="0" w:line="276" w:lineRule="auto"/>
              <w:jc w:val="center"/>
              <w:rPr>
                <w:rFonts w:asciiTheme="majorHAnsi" w:eastAsia="Times New Roman" w:hAnsiTheme="majorHAnsi" w:cstheme="majorHAnsi"/>
                <w:b/>
                <w:bCs/>
                <w:i/>
                <w:iCs/>
                <w:color w:val="000000"/>
                <w:sz w:val="16"/>
                <w:szCs w:val="16"/>
                <w:lang w:val="ro-MD"/>
              </w:rPr>
            </w:pPr>
            <w:r w:rsidRPr="00401691">
              <w:rPr>
                <w:rFonts w:asciiTheme="majorHAnsi" w:eastAsia="Times New Roman" w:hAnsiTheme="majorHAnsi" w:cstheme="majorHAnsi"/>
                <w:b/>
                <w:bCs/>
                <w:i/>
                <w:iCs/>
                <w:color w:val="000000"/>
                <w:sz w:val="16"/>
                <w:szCs w:val="16"/>
                <w:lang w:val="ro-MD"/>
              </w:rPr>
              <w:t>Restanțe raportate de SFS,</w:t>
            </w:r>
          </w:p>
          <w:p w:rsidR="00C55DF6" w:rsidRPr="00401691" w:rsidRDefault="00C55DF6" w:rsidP="00844145">
            <w:pPr>
              <w:spacing w:after="0" w:line="276" w:lineRule="auto"/>
              <w:jc w:val="center"/>
              <w:rPr>
                <w:rFonts w:asciiTheme="majorHAnsi" w:eastAsia="Times New Roman" w:hAnsiTheme="majorHAnsi" w:cstheme="majorHAnsi"/>
                <w:b/>
                <w:bCs/>
                <w:i/>
                <w:iCs/>
                <w:color w:val="000000"/>
                <w:sz w:val="16"/>
                <w:szCs w:val="16"/>
                <w:lang w:val="ro-MD"/>
              </w:rPr>
            </w:pPr>
            <w:r w:rsidRPr="00401691">
              <w:rPr>
                <w:rFonts w:asciiTheme="majorHAnsi" w:eastAsia="Times New Roman" w:hAnsiTheme="majorHAnsi" w:cstheme="majorHAnsi"/>
                <w:b/>
                <w:bCs/>
                <w:i/>
                <w:iCs/>
                <w:color w:val="000000"/>
                <w:sz w:val="16"/>
                <w:szCs w:val="16"/>
                <w:lang w:val="ro-MD"/>
              </w:rPr>
              <w:t xml:space="preserve"> mii lei</w:t>
            </w:r>
          </w:p>
        </w:tc>
        <w:tc>
          <w:tcPr>
            <w:tcW w:w="1000"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844145">
            <w:pPr>
              <w:spacing w:after="0" w:line="276" w:lineRule="auto"/>
              <w:ind w:left="-66" w:right="-54"/>
              <w:jc w:val="center"/>
              <w:rPr>
                <w:rFonts w:asciiTheme="majorHAnsi" w:eastAsia="Times New Roman" w:hAnsiTheme="majorHAnsi" w:cstheme="majorHAnsi"/>
                <w:b/>
                <w:bCs/>
                <w:i/>
                <w:iCs/>
                <w:color w:val="000000"/>
                <w:sz w:val="16"/>
                <w:szCs w:val="16"/>
                <w:lang w:val="ro-MD"/>
              </w:rPr>
            </w:pPr>
            <w:r w:rsidRPr="00401691">
              <w:rPr>
                <w:rFonts w:asciiTheme="majorHAnsi" w:eastAsia="Times New Roman" w:hAnsiTheme="majorHAnsi" w:cstheme="majorHAnsi"/>
                <w:b/>
                <w:bCs/>
                <w:i/>
                <w:iCs/>
                <w:color w:val="000000"/>
                <w:sz w:val="16"/>
                <w:szCs w:val="16"/>
                <w:lang w:val="ro-MD"/>
              </w:rPr>
              <w:t>Ponderea în suma totală a restanței (%)</w:t>
            </w:r>
          </w:p>
        </w:tc>
      </w:tr>
      <w:tr w:rsidR="00C55DF6" w:rsidRPr="00401691" w:rsidTr="00A353BB">
        <w:trPr>
          <w:gridAfter w:val="1"/>
          <w:wAfter w:w="19" w:type="dxa"/>
          <w:trHeight w:val="251"/>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C55DF6" w:rsidRPr="00401691" w:rsidRDefault="00C55DF6" w:rsidP="00844145">
            <w:pPr>
              <w:spacing w:after="0" w:line="276" w:lineRule="auto"/>
              <w:jc w:val="center"/>
              <w:rPr>
                <w:rFonts w:asciiTheme="majorHAnsi" w:eastAsia="Times New Roman" w:hAnsiTheme="majorHAnsi" w:cstheme="majorHAnsi"/>
                <w:b/>
                <w:bCs/>
                <w:i/>
                <w:iCs/>
                <w:color w:val="000000"/>
                <w:sz w:val="18"/>
                <w:szCs w:val="18"/>
                <w:lang w:val="ro-MD"/>
              </w:rPr>
            </w:pPr>
            <w:r w:rsidRPr="00401691">
              <w:rPr>
                <w:rFonts w:asciiTheme="majorHAnsi" w:eastAsia="Times New Roman" w:hAnsiTheme="majorHAnsi" w:cstheme="majorHAnsi"/>
                <w:b/>
                <w:bCs/>
                <w:i/>
                <w:iCs/>
                <w:color w:val="000000"/>
                <w:sz w:val="18"/>
                <w:szCs w:val="18"/>
                <w:lang w:val="ro-MD"/>
              </w:rPr>
              <w:t>1</w:t>
            </w:r>
          </w:p>
        </w:tc>
        <w:tc>
          <w:tcPr>
            <w:tcW w:w="704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844145">
            <w:pPr>
              <w:spacing w:after="0" w:line="276" w:lineRule="auto"/>
              <w:jc w:val="center"/>
              <w:rPr>
                <w:rFonts w:asciiTheme="majorHAnsi" w:eastAsia="Times New Roman" w:hAnsiTheme="majorHAnsi" w:cstheme="majorHAnsi"/>
                <w:b/>
                <w:bCs/>
                <w:i/>
                <w:iCs/>
                <w:color w:val="000000"/>
                <w:sz w:val="18"/>
                <w:szCs w:val="18"/>
                <w:lang w:val="ro-MD"/>
              </w:rPr>
            </w:pPr>
            <w:r w:rsidRPr="00401691">
              <w:rPr>
                <w:rFonts w:asciiTheme="majorHAnsi" w:eastAsia="Times New Roman" w:hAnsiTheme="majorHAnsi" w:cstheme="majorHAnsi"/>
                <w:b/>
                <w:bCs/>
                <w:i/>
                <w:iCs/>
                <w:color w:val="000000"/>
                <w:sz w:val="18"/>
                <w:szCs w:val="18"/>
                <w:lang w:val="ro-MD"/>
              </w:rPr>
              <w:t>2</w:t>
            </w:r>
          </w:p>
        </w:tc>
        <w:tc>
          <w:tcPr>
            <w:tcW w:w="103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844145">
            <w:pPr>
              <w:spacing w:after="0" w:line="276" w:lineRule="auto"/>
              <w:jc w:val="center"/>
              <w:rPr>
                <w:rFonts w:asciiTheme="majorHAnsi" w:eastAsia="Times New Roman" w:hAnsiTheme="majorHAnsi" w:cstheme="majorHAnsi"/>
                <w:b/>
                <w:bCs/>
                <w:i/>
                <w:iCs/>
                <w:color w:val="000000"/>
                <w:sz w:val="18"/>
                <w:szCs w:val="18"/>
                <w:lang w:val="ro-MD"/>
              </w:rPr>
            </w:pPr>
            <w:r w:rsidRPr="00401691">
              <w:rPr>
                <w:rFonts w:asciiTheme="majorHAnsi" w:eastAsia="Times New Roman" w:hAnsiTheme="majorHAnsi" w:cstheme="majorHAnsi"/>
                <w:b/>
                <w:bCs/>
                <w:i/>
                <w:iCs/>
                <w:color w:val="000000"/>
                <w:sz w:val="18"/>
                <w:szCs w:val="18"/>
                <w:lang w:val="ro-MD"/>
              </w:rPr>
              <w:t>3</w:t>
            </w:r>
          </w:p>
        </w:tc>
        <w:tc>
          <w:tcPr>
            <w:tcW w:w="1000"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844145">
            <w:pPr>
              <w:spacing w:after="0" w:line="276" w:lineRule="auto"/>
              <w:jc w:val="center"/>
              <w:rPr>
                <w:rFonts w:asciiTheme="majorHAnsi" w:eastAsia="Times New Roman" w:hAnsiTheme="majorHAnsi" w:cstheme="majorHAnsi"/>
                <w:b/>
                <w:bCs/>
                <w:i/>
                <w:iCs/>
                <w:color w:val="000000"/>
                <w:sz w:val="18"/>
                <w:szCs w:val="18"/>
                <w:lang w:val="ro-MD"/>
              </w:rPr>
            </w:pPr>
            <w:r w:rsidRPr="00401691">
              <w:rPr>
                <w:rFonts w:asciiTheme="majorHAnsi" w:eastAsia="Times New Roman" w:hAnsiTheme="majorHAnsi" w:cstheme="majorHAnsi"/>
                <w:b/>
                <w:bCs/>
                <w:i/>
                <w:iCs/>
                <w:color w:val="000000"/>
                <w:sz w:val="18"/>
                <w:szCs w:val="18"/>
                <w:lang w:val="ro-MD"/>
              </w:rPr>
              <w:t>4</w:t>
            </w:r>
          </w:p>
        </w:tc>
      </w:tr>
      <w:tr w:rsidR="00C55DF6" w:rsidRPr="00401691" w:rsidTr="00A353BB">
        <w:trPr>
          <w:gridAfter w:val="1"/>
          <w:wAfter w:w="19" w:type="dxa"/>
          <w:trHeight w:val="288"/>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111110</w:t>
            </w:r>
          </w:p>
        </w:tc>
        <w:tc>
          <w:tcPr>
            <w:tcW w:w="704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Impozit pe venitul reținut din salariu</w:t>
            </w:r>
          </w:p>
        </w:tc>
        <w:tc>
          <w:tcPr>
            <w:tcW w:w="103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26008.8</w:t>
            </w:r>
          </w:p>
        </w:tc>
        <w:tc>
          <w:tcPr>
            <w:tcW w:w="1000"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3.2</w:t>
            </w:r>
          </w:p>
        </w:tc>
      </w:tr>
      <w:tr w:rsidR="00C55DF6" w:rsidRPr="00401691" w:rsidTr="00A353BB">
        <w:trPr>
          <w:gridAfter w:val="1"/>
          <w:wAfter w:w="19" w:type="dxa"/>
          <w:trHeight w:val="288"/>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111121</w:t>
            </w:r>
          </w:p>
        </w:tc>
        <w:tc>
          <w:tcPr>
            <w:tcW w:w="704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Impozit pe venitul persoanelor fizice spre plată/achitat</w:t>
            </w:r>
          </w:p>
        </w:tc>
        <w:tc>
          <w:tcPr>
            <w:tcW w:w="103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32088.8</w:t>
            </w:r>
          </w:p>
        </w:tc>
        <w:tc>
          <w:tcPr>
            <w:tcW w:w="1000"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4.0</w:t>
            </w:r>
          </w:p>
        </w:tc>
      </w:tr>
      <w:tr w:rsidR="00C55DF6" w:rsidRPr="00401691" w:rsidTr="00A353BB">
        <w:trPr>
          <w:gridAfter w:val="1"/>
          <w:wAfter w:w="19" w:type="dxa"/>
          <w:trHeight w:val="480"/>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111125</w:t>
            </w:r>
          </w:p>
        </w:tc>
        <w:tc>
          <w:tcPr>
            <w:tcW w:w="704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Impozit pe venitul persoanelor fizice în domeniul transportului rutier de persoane în regim de taxi</w:t>
            </w:r>
          </w:p>
        </w:tc>
        <w:tc>
          <w:tcPr>
            <w:tcW w:w="103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377.5</w:t>
            </w:r>
          </w:p>
        </w:tc>
        <w:tc>
          <w:tcPr>
            <w:tcW w:w="1000"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0.0</w:t>
            </w:r>
          </w:p>
        </w:tc>
      </w:tr>
      <w:tr w:rsidR="00C55DF6" w:rsidRPr="00401691" w:rsidTr="00A353BB">
        <w:trPr>
          <w:gridAfter w:val="1"/>
          <w:wAfter w:w="19" w:type="dxa"/>
          <w:trHeight w:val="288"/>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111210</w:t>
            </w:r>
          </w:p>
        </w:tc>
        <w:tc>
          <w:tcPr>
            <w:tcW w:w="704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Impozit pe venitul obținut din activitatea de întreprinzător</w:t>
            </w:r>
          </w:p>
        </w:tc>
        <w:tc>
          <w:tcPr>
            <w:tcW w:w="103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133344.4</w:t>
            </w:r>
          </w:p>
        </w:tc>
        <w:tc>
          <w:tcPr>
            <w:tcW w:w="1000"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16.6</w:t>
            </w:r>
          </w:p>
        </w:tc>
      </w:tr>
      <w:tr w:rsidR="00C55DF6" w:rsidRPr="00401691" w:rsidTr="00A353BB">
        <w:trPr>
          <w:gridAfter w:val="1"/>
          <w:wAfter w:w="19" w:type="dxa"/>
          <w:trHeight w:val="288"/>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111220</w:t>
            </w:r>
          </w:p>
        </w:tc>
        <w:tc>
          <w:tcPr>
            <w:tcW w:w="704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Impozit pe venitul reținut la sursa de plată</w:t>
            </w:r>
          </w:p>
        </w:tc>
        <w:tc>
          <w:tcPr>
            <w:tcW w:w="103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33900.8</w:t>
            </w:r>
          </w:p>
        </w:tc>
        <w:tc>
          <w:tcPr>
            <w:tcW w:w="1000"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4.2</w:t>
            </w:r>
          </w:p>
        </w:tc>
      </w:tr>
      <w:tr w:rsidR="00C55DF6" w:rsidRPr="00401691" w:rsidTr="00A353BB">
        <w:trPr>
          <w:gridAfter w:val="1"/>
          <w:wAfter w:w="19" w:type="dxa"/>
          <w:trHeight w:val="288"/>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111230</w:t>
            </w:r>
          </w:p>
        </w:tc>
        <w:tc>
          <w:tcPr>
            <w:tcW w:w="704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 xml:space="preserve">Impozit pe venit reținut din suma dividendelor achitate </w:t>
            </w:r>
          </w:p>
        </w:tc>
        <w:tc>
          <w:tcPr>
            <w:tcW w:w="103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6830.1</w:t>
            </w:r>
          </w:p>
        </w:tc>
        <w:tc>
          <w:tcPr>
            <w:tcW w:w="1000"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0.9</w:t>
            </w:r>
          </w:p>
        </w:tc>
      </w:tr>
      <w:tr w:rsidR="00C55DF6" w:rsidRPr="00401691" w:rsidTr="00A353BB">
        <w:trPr>
          <w:gridAfter w:val="1"/>
          <w:wAfter w:w="19" w:type="dxa"/>
          <w:trHeight w:val="288"/>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111240</w:t>
            </w:r>
          </w:p>
        </w:tc>
        <w:tc>
          <w:tcPr>
            <w:tcW w:w="704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Impozit pe venitul din activitatea operațională</w:t>
            </w:r>
          </w:p>
        </w:tc>
        <w:tc>
          <w:tcPr>
            <w:tcW w:w="103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15843.0</w:t>
            </w:r>
          </w:p>
        </w:tc>
        <w:tc>
          <w:tcPr>
            <w:tcW w:w="1000"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2.0</w:t>
            </w:r>
          </w:p>
        </w:tc>
      </w:tr>
      <w:tr w:rsidR="00C55DF6" w:rsidRPr="00401691" w:rsidTr="00A353BB">
        <w:trPr>
          <w:gridAfter w:val="1"/>
          <w:wAfter w:w="19" w:type="dxa"/>
          <w:trHeight w:val="29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111261</w:t>
            </w:r>
          </w:p>
        </w:tc>
        <w:tc>
          <w:tcPr>
            <w:tcW w:w="704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Impozit pe venitul din activități profesionale în sectorul justiției</w:t>
            </w:r>
          </w:p>
        </w:tc>
        <w:tc>
          <w:tcPr>
            <w:tcW w:w="103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1588.4</w:t>
            </w:r>
          </w:p>
        </w:tc>
        <w:tc>
          <w:tcPr>
            <w:tcW w:w="1000"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0.2</w:t>
            </w:r>
          </w:p>
        </w:tc>
      </w:tr>
      <w:tr w:rsidR="00C55DF6" w:rsidRPr="00401691" w:rsidTr="00A353BB">
        <w:trPr>
          <w:gridAfter w:val="1"/>
          <w:wAfter w:w="19" w:type="dxa"/>
          <w:trHeight w:val="288"/>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113611</w:t>
            </w:r>
          </w:p>
        </w:tc>
        <w:tc>
          <w:tcPr>
            <w:tcW w:w="704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Impozitul pe avere încasat în bugetul de stat</w:t>
            </w:r>
          </w:p>
        </w:tc>
        <w:tc>
          <w:tcPr>
            <w:tcW w:w="103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15627.5</w:t>
            </w:r>
          </w:p>
        </w:tc>
        <w:tc>
          <w:tcPr>
            <w:tcW w:w="1000"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1.9</w:t>
            </w:r>
          </w:p>
        </w:tc>
      </w:tr>
      <w:tr w:rsidR="00C55DF6" w:rsidRPr="00401691" w:rsidTr="00A353BB">
        <w:trPr>
          <w:gridAfter w:val="1"/>
          <w:wAfter w:w="19" w:type="dxa"/>
          <w:trHeight w:val="242"/>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114110</w:t>
            </w:r>
          </w:p>
        </w:tc>
        <w:tc>
          <w:tcPr>
            <w:tcW w:w="704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Taxa pe valoare</w:t>
            </w:r>
            <w:r w:rsidR="00880432">
              <w:rPr>
                <w:rFonts w:asciiTheme="majorHAnsi" w:eastAsia="Times New Roman" w:hAnsiTheme="majorHAnsi" w:cstheme="majorHAnsi"/>
                <w:color w:val="000000"/>
                <w:sz w:val="18"/>
                <w:szCs w:val="18"/>
                <w:lang w:val="ro-MD"/>
              </w:rPr>
              <w:t>a</w:t>
            </w:r>
            <w:r w:rsidRPr="00401691">
              <w:rPr>
                <w:rFonts w:asciiTheme="majorHAnsi" w:eastAsia="Times New Roman" w:hAnsiTheme="majorHAnsi" w:cstheme="majorHAnsi"/>
                <w:color w:val="000000"/>
                <w:sz w:val="18"/>
                <w:szCs w:val="18"/>
                <w:lang w:val="ro-MD"/>
              </w:rPr>
              <w:t xml:space="preserve"> adăugată la mărfurile produse și serviciile prestate pe teritoriul ț</w:t>
            </w:r>
            <w:r w:rsidR="00880432">
              <w:rPr>
                <w:rFonts w:asciiTheme="majorHAnsi" w:eastAsia="Times New Roman" w:hAnsiTheme="majorHAnsi" w:cstheme="majorHAnsi"/>
                <w:color w:val="000000"/>
                <w:sz w:val="18"/>
                <w:szCs w:val="18"/>
                <w:lang w:val="ro-MD"/>
              </w:rPr>
              <w:t>ă</w:t>
            </w:r>
            <w:r w:rsidRPr="00401691">
              <w:rPr>
                <w:rFonts w:asciiTheme="majorHAnsi" w:eastAsia="Times New Roman" w:hAnsiTheme="majorHAnsi" w:cstheme="majorHAnsi"/>
                <w:color w:val="000000"/>
                <w:sz w:val="18"/>
                <w:szCs w:val="18"/>
                <w:lang w:val="ro-MD"/>
              </w:rPr>
              <w:t xml:space="preserve">rii </w:t>
            </w:r>
          </w:p>
        </w:tc>
        <w:tc>
          <w:tcPr>
            <w:tcW w:w="103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358216.8</w:t>
            </w:r>
          </w:p>
        </w:tc>
        <w:tc>
          <w:tcPr>
            <w:tcW w:w="1000"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44.7</w:t>
            </w:r>
          </w:p>
        </w:tc>
      </w:tr>
      <w:tr w:rsidR="00C55DF6" w:rsidRPr="00401691" w:rsidTr="00A353BB">
        <w:trPr>
          <w:gridAfter w:val="1"/>
          <w:wAfter w:w="19" w:type="dxa"/>
          <w:trHeight w:val="260"/>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114211</w:t>
            </w:r>
          </w:p>
        </w:tc>
        <w:tc>
          <w:tcPr>
            <w:tcW w:w="704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 xml:space="preserve">Accize la rachiu, lichioruri, </w:t>
            </w:r>
            <w:proofErr w:type="spellStart"/>
            <w:r w:rsidRPr="00401691">
              <w:rPr>
                <w:rFonts w:asciiTheme="majorHAnsi" w:eastAsia="Times New Roman" w:hAnsiTheme="majorHAnsi" w:cstheme="majorHAnsi"/>
                <w:color w:val="000000"/>
                <w:sz w:val="18"/>
                <w:szCs w:val="18"/>
                <w:lang w:val="ro-MD"/>
              </w:rPr>
              <w:t>divinuri</w:t>
            </w:r>
            <w:proofErr w:type="spellEnd"/>
            <w:r w:rsidRPr="00401691">
              <w:rPr>
                <w:rFonts w:asciiTheme="majorHAnsi" w:eastAsia="Times New Roman" w:hAnsiTheme="majorHAnsi" w:cstheme="majorHAnsi"/>
                <w:color w:val="000000"/>
                <w:sz w:val="18"/>
                <w:szCs w:val="18"/>
                <w:lang w:val="ro-MD"/>
              </w:rPr>
              <w:t xml:space="preserve"> și alte băuturi spirtoase produse pe teritoriul ț</w:t>
            </w:r>
            <w:r w:rsidR="00880432">
              <w:rPr>
                <w:rFonts w:asciiTheme="majorHAnsi" w:eastAsia="Times New Roman" w:hAnsiTheme="majorHAnsi" w:cstheme="majorHAnsi"/>
                <w:color w:val="000000"/>
                <w:sz w:val="18"/>
                <w:szCs w:val="18"/>
                <w:lang w:val="ro-MD"/>
              </w:rPr>
              <w:t>ă</w:t>
            </w:r>
            <w:r w:rsidRPr="00401691">
              <w:rPr>
                <w:rFonts w:asciiTheme="majorHAnsi" w:eastAsia="Times New Roman" w:hAnsiTheme="majorHAnsi" w:cstheme="majorHAnsi"/>
                <w:color w:val="000000"/>
                <w:sz w:val="18"/>
                <w:szCs w:val="18"/>
                <w:lang w:val="ro-MD"/>
              </w:rPr>
              <w:t>rii</w:t>
            </w:r>
          </w:p>
        </w:tc>
        <w:tc>
          <w:tcPr>
            <w:tcW w:w="103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1708.1</w:t>
            </w:r>
          </w:p>
        </w:tc>
        <w:tc>
          <w:tcPr>
            <w:tcW w:w="1000"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0.2</w:t>
            </w:r>
          </w:p>
        </w:tc>
      </w:tr>
      <w:tr w:rsidR="00C55DF6" w:rsidRPr="00401691" w:rsidTr="00A353BB">
        <w:trPr>
          <w:gridAfter w:val="1"/>
          <w:wAfter w:w="19" w:type="dxa"/>
          <w:trHeight w:val="288"/>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114213</w:t>
            </w:r>
          </w:p>
        </w:tc>
        <w:tc>
          <w:tcPr>
            <w:tcW w:w="704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 xml:space="preserve">Accize la vinuri produse pe teritoriul Republicii Moldova </w:t>
            </w:r>
          </w:p>
        </w:tc>
        <w:tc>
          <w:tcPr>
            <w:tcW w:w="103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159.4</w:t>
            </w:r>
          </w:p>
        </w:tc>
        <w:tc>
          <w:tcPr>
            <w:tcW w:w="1000"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0.0</w:t>
            </w:r>
          </w:p>
        </w:tc>
      </w:tr>
      <w:tr w:rsidR="00C55DF6" w:rsidRPr="00401691" w:rsidTr="00A353BB">
        <w:trPr>
          <w:gridAfter w:val="1"/>
          <w:wAfter w:w="19" w:type="dxa"/>
          <w:trHeight w:val="288"/>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114215</w:t>
            </w:r>
          </w:p>
        </w:tc>
        <w:tc>
          <w:tcPr>
            <w:tcW w:w="704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Accize la berea produsă pe teritoriul Republicii Moldova</w:t>
            </w:r>
          </w:p>
        </w:tc>
        <w:tc>
          <w:tcPr>
            <w:tcW w:w="103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5.5</w:t>
            </w:r>
          </w:p>
        </w:tc>
        <w:tc>
          <w:tcPr>
            <w:tcW w:w="1000"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0.0</w:t>
            </w:r>
          </w:p>
        </w:tc>
      </w:tr>
      <w:tr w:rsidR="00C55DF6" w:rsidRPr="00401691" w:rsidTr="00A353BB">
        <w:trPr>
          <w:gridAfter w:val="1"/>
          <w:wAfter w:w="19" w:type="dxa"/>
          <w:trHeight w:val="269"/>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114221</w:t>
            </w:r>
          </w:p>
        </w:tc>
        <w:tc>
          <w:tcPr>
            <w:tcW w:w="704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Accize la produsele din tutun produse pe teritoriul Republicii Moldova</w:t>
            </w:r>
          </w:p>
        </w:tc>
        <w:tc>
          <w:tcPr>
            <w:tcW w:w="103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1.3</w:t>
            </w:r>
          </w:p>
        </w:tc>
        <w:tc>
          <w:tcPr>
            <w:tcW w:w="1000"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0.0</w:t>
            </w:r>
          </w:p>
        </w:tc>
      </w:tr>
      <w:tr w:rsidR="00C55DF6" w:rsidRPr="00401691" w:rsidTr="00A353BB">
        <w:trPr>
          <w:gridAfter w:val="1"/>
          <w:wAfter w:w="19" w:type="dxa"/>
          <w:trHeight w:val="233"/>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114271</w:t>
            </w:r>
          </w:p>
        </w:tc>
        <w:tc>
          <w:tcPr>
            <w:tcW w:w="704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Accize la alte mărfuri produse pe teritoriul Republicii Moldova</w:t>
            </w:r>
          </w:p>
        </w:tc>
        <w:tc>
          <w:tcPr>
            <w:tcW w:w="103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1939.4</w:t>
            </w:r>
          </w:p>
        </w:tc>
        <w:tc>
          <w:tcPr>
            <w:tcW w:w="1000"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0.2</w:t>
            </w:r>
          </w:p>
        </w:tc>
      </w:tr>
      <w:tr w:rsidR="00C55DF6" w:rsidRPr="00401691" w:rsidTr="00A353BB">
        <w:trPr>
          <w:gridAfter w:val="1"/>
          <w:wAfter w:w="19" w:type="dxa"/>
          <w:trHeight w:val="278"/>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114525</w:t>
            </w:r>
          </w:p>
        </w:tc>
        <w:tc>
          <w:tcPr>
            <w:tcW w:w="704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Taxa de eliberare a autorizațiilor pentru transporturi rutiere internaționale</w:t>
            </w:r>
          </w:p>
        </w:tc>
        <w:tc>
          <w:tcPr>
            <w:tcW w:w="103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14.3</w:t>
            </w:r>
          </w:p>
        </w:tc>
        <w:tc>
          <w:tcPr>
            <w:tcW w:w="1000"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0.0</w:t>
            </w:r>
          </w:p>
        </w:tc>
      </w:tr>
      <w:tr w:rsidR="00C55DF6" w:rsidRPr="00401691" w:rsidTr="00A353BB">
        <w:trPr>
          <w:gridAfter w:val="1"/>
          <w:wAfter w:w="19" w:type="dxa"/>
          <w:trHeight w:val="233"/>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114534</w:t>
            </w:r>
          </w:p>
        </w:tc>
        <w:tc>
          <w:tcPr>
            <w:tcW w:w="7049" w:type="dxa"/>
            <w:tcBorders>
              <w:top w:val="nil"/>
              <w:left w:val="nil"/>
              <w:bottom w:val="single" w:sz="4" w:space="0" w:color="auto"/>
              <w:right w:val="single" w:sz="4" w:space="0" w:color="auto"/>
            </w:tcBorders>
            <w:shd w:val="clear" w:color="auto" w:fill="auto"/>
            <w:vAlign w:val="center"/>
            <w:hideMark/>
          </w:tcPr>
          <w:p w:rsidR="00C55DF6" w:rsidRPr="00401691" w:rsidRDefault="00880432" w:rsidP="00AD2B4A">
            <w:pPr>
              <w:spacing w:after="0" w:line="240" w:lineRule="auto"/>
              <w:jc w:val="both"/>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T</w:t>
            </w:r>
            <w:r w:rsidR="00C55DF6" w:rsidRPr="00401691">
              <w:rPr>
                <w:rFonts w:asciiTheme="majorHAnsi" w:eastAsia="Times New Roman" w:hAnsiTheme="majorHAnsi" w:cstheme="majorHAnsi"/>
                <w:color w:val="000000"/>
                <w:sz w:val="18"/>
                <w:szCs w:val="18"/>
                <w:lang w:val="ro-MD"/>
              </w:rPr>
              <w:t xml:space="preserve">axa pentru mărfurile care </w:t>
            </w:r>
            <w:r>
              <w:rPr>
                <w:rFonts w:asciiTheme="majorHAnsi" w:eastAsia="Times New Roman" w:hAnsiTheme="majorHAnsi" w:cstheme="majorHAnsi"/>
                <w:color w:val="000000"/>
                <w:sz w:val="18"/>
                <w:szCs w:val="18"/>
                <w:lang w:val="ro-MD"/>
              </w:rPr>
              <w:t>î</w:t>
            </w:r>
            <w:r w:rsidR="00C55DF6" w:rsidRPr="00401691">
              <w:rPr>
                <w:rFonts w:asciiTheme="majorHAnsi" w:eastAsia="Times New Roman" w:hAnsiTheme="majorHAnsi" w:cstheme="majorHAnsi"/>
                <w:color w:val="000000"/>
                <w:sz w:val="18"/>
                <w:szCs w:val="18"/>
                <w:lang w:val="ro-MD"/>
              </w:rPr>
              <w:t>n procesul utilizării cauzează poluarea mediului</w:t>
            </w:r>
          </w:p>
        </w:tc>
        <w:tc>
          <w:tcPr>
            <w:tcW w:w="103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653.2</w:t>
            </w:r>
          </w:p>
        </w:tc>
        <w:tc>
          <w:tcPr>
            <w:tcW w:w="1000"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0.1</w:t>
            </w:r>
          </w:p>
        </w:tc>
      </w:tr>
      <w:tr w:rsidR="00C55DF6" w:rsidRPr="00401691" w:rsidTr="00A353BB">
        <w:trPr>
          <w:gridAfter w:val="1"/>
          <w:wAfter w:w="19" w:type="dxa"/>
          <w:trHeight w:val="287"/>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114535</w:t>
            </w:r>
          </w:p>
        </w:tc>
        <w:tc>
          <w:tcPr>
            <w:tcW w:w="704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 xml:space="preserve">Plata pentru poluarea mediului </w:t>
            </w:r>
            <w:r w:rsidR="00880432">
              <w:rPr>
                <w:rFonts w:asciiTheme="majorHAnsi" w:eastAsia="Times New Roman" w:hAnsiTheme="majorHAnsi" w:cstheme="majorHAnsi"/>
                <w:color w:val="000000"/>
                <w:sz w:val="18"/>
                <w:szCs w:val="18"/>
                <w:lang w:val="ro-MD"/>
              </w:rPr>
              <w:t>î</w:t>
            </w:r>
            <w:r w:rsidRPr="00401691">
              <w:rPr>
                <w:rFonts w:asciiTheme="majorHAnsi" w:eastAsia="Times New Roman" w:hAnsiTheme="majorHAnsi" w:cstheme="majorHAnsi"/>
                <w:color w:val="000000"/>
                <w:sz w:val="18"/>
                <w:szCs w:val="18"/>
                <w:lang w:val="ro-MD"/>
              </w:rPr>
              <w:t>n limitele/cu depășirea normativelor stabilite</w:t>
            </w:r>
          </w:p>
        </w:tc>
        <w:tc>
          <w:tcPr>
            <w:tcW w:w="103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87.3</w:t>
            </w:r>
          </w:p>
        </w:tc>
        <w:tc>
          <w:tcPr>
            <w:tcW w:w="1000"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0.0</w:t>
            </w:r>
          </w:p>
        </w:tc>
      </w:tr>
      <w:tr w:rsidR="00C55DF6" w:rsidRPr="00401691" w:rsidTr="00A353BB">
        <w:trPr>
          <w:gridAfter w:val="1"/>
          <w:wAfter w:w="19" w:type="dxa"/>
          <w:trHeight w:val="288"/>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114536</w:t>
            </w:r>
          </w:p>
        </w:tc>
        <w:tc>
          <w:tcPr>
            <w:tcW w:w="704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Alte plăți pentru poluarea mediului</w:t>
            </w:r>
          </w:p>
        </w:tc>
        <w:tc>
          <w:tcPr>
            <w:tcW w:w="103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0.3</w:t>
            </w:r>
          </w:p>
        </w:tc>
        <w:tc>
          <w:tcPr>
            <w:tcW w:w="1000"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0.0</w:t>
            </w:r>
          </w:p>
        </w:tc>
      </w:tr>
      <w:tr w:rsidR="00C55DF6" w:rsidRPr="00401691" w:rsidTr="00A353BB">
        <w:trPr>
          <w:gridAfter w:val="1"/>
          <w:wAfter w:w="19" w:type="dxa"/>
          <w:trHeight w:val="269"/>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114633</w:t>
            </w:r>
          </w:p>
        </w:tc>
        <w:tc>
          <w:tcPr>
            <w:tcW w:w="704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 xml:space="preserve">Taxa pentru folosirea drumurilor de către autovehiculele înmatriculate </w:t>
            </w:r>
            <w:r w:rsidR="00880432">
              <w:rPr>
                <w:rFonts w:asciiTheme="majorHAnsi" w:eastAsia="Times New Roman" w:hAnsiTheme="majorHAnsi" w:cstheme="majorHAnsi"/>
                <w:color w:val="000000"/>
                <w:sz w:val="18"/>
                <w:szCs w:val="18"/>
                <w:lang w:val="ro-MD"/>
              </w:rPr>
              <w:t>î</w:t>
            </w:r>
            <w:r w:rsidRPr="00401691">
              <w:rPr>
                <w:rFonts w:asciiTheme="majorHAnsi" w:eastAsia="Times New Roman" w:hAnsiTheme="majorHAnsi" w:cstheme="majorHAnsi"/>
                <w:color w:val="000000"/>
                <w:sz w:val="18"/>
                <w:szCs w:val="18"/>
                <w:lang w:val="ro-MD"/>
              </w:rPr>
              <w:t>n Republica Moldova</w:t>
            </w:r>
          </w:p>
        </w:tc>
        <w:tc>
          <w:tcPr>
            <w:tcW w:w="103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4431.2</w:t>
            </w:r>
          </w:p>
        </w:tc>
        <w:tc>
          <w:tcPr>
            <w:tcW w:w="1000"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0.6</w:t>
            </w:r>
          </w:p>
        </w:tc>
      </w:tr>
      <w:tr w:rsidR="00C55DF6" w:rsidRPr="00401691" w:rsidTr="00A353BB">
        <w:trPr>
          <w:gridAfter w:val="1"/>
          <w:wAfter w:w="19" w:type="dxa"/>
          <w:trHeight w:val="539"/>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114634</w:t>
            </w:r>
          </w:p>
        </w:tc>
        <w:tc>
          <w:tcPr>
            <w:tcW w:w="704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 xml:space="preserve">Taxa pentru folosirea drumurilor de către autovehiculele înmatriculate </w:t>
            </w:r>
            <w:r w:rsidR="00880432">
              <w:rPr>
                <w:rFonts w:asciiTheme="majorHAnsi" w:eastAsia="Times New Roman" w:hAnsiTheme="majorHAnsi" w:cstheme="majorHAnsi"/>
                <w:color w:val="000000"/>
                <w:sz w:val="18"/>
                <w:szCs w:val="18"/>
                <w:lang w:val="ro-MD"/>
              </w:rPr>
              <w:t>î</w:t>
            </w:r>
            <w:r w:rsidRPr="00401691">
              <w:rPr>
                <w:rFonts w:asciiTheme="majorHAnsi" w:eastAsia="Times New Roman" w:hAnsiTheme="majorHAnsi" w:cstheme="majorHAnsi"/>
                <w:color w:val="000000"/>
                <w:sz w:val="18"/>
                <w:szCs w:val="18"/>
                <w:lang w:val="ro-MD"/>
              </w:rPr>
              <w:t>n Republica Moldova a căror mas</w:t>
            </w:r>
            <w:r w:rsidR="00880432">
              <w:rPr>
                <w:rFonts w:asciiTheme="majorHAnsi" w:eastAsia="Times New Roman" w:hAnsiTheme="majorHAnsi" w:cstheme="majorHAnsi"/>
                <w:color w:val="000000"/>
                <w:sz w:val="18"/>
                <w:szCs w:val="18"/>
                <w:lang w:val="ro-MD"/>
              </w:rPr>
              <w:t>ă</w:t>
            </w:r>
            <w:r w:rsidRPr="00401691">
              <w:rPr>
                <w:rFonts w:asciiTheme="majorHAnsi" w:eastAsia="Times New Roman" w:hAnsiTheme="majorHAnsi" w:cstheme="majorHAnsi"/>
                <w:color w:val="000000"/>
                <w:sz w:val="18"/>
                <w:szCs w:val="18"/>
                <w:lang w:val="ro-MD"/>
              </w:rPr>
              <w:t xml:space="preserve"> total</w:t>
            </w:r>
            <w:r w:rsidR="00880432">
              <w:rPr>
                <w:rFonts w:asciiTheme="majorHAnsi" w:eastAsia="Times New Roman" w:hAnsiTheme="majorHAnsi" w:cstheme="majorHAnsi"/>
                <w:color w:val="000000"/>
                <w:sz w:val="18"/>
                <w:szCs w:val="18"/>
                <w:lang w:val="ro-MD"/>
              </w:rPr>
              <w:t>ă</w:t>
            </w:r>
            <w:r w:rsidRPr="00401691">
              <w:rPr>
                <w:rFonts w:asciiTheme="majorHAnsi" w:eastAsia="Times New Roman" w:hAnsiTheme="majorHAnsi" w:cstheme="majorHAnsi"/>
                <w:color w:val="000000"/>
                <w:sz w:val="18"/>
                <w:szCs w:val="18"/>
                <w:lang w:val="ro-MD"/>
              </w:rPr>
              <w:t>, sarcin</w:t>
            </w:r>
            <w:r w:rsidR="00880432">
              <w:rPr>
                <w:rFonts w:asciiTheme="majorHAnsi" w:eastAsia="Times New Roman" w:hAnsiTheme="majorHAnsi" w:cstheme="majorHAnsi"/>
                <w:color w:val="000000"/>
                <w:sz w:val="18"/>
                <w:szCs w:val="18"/>
                <w:lang w:val="ro-MD"/>
              </w:rPr>
              <w:t>ă</w:t>
            </w:r>
            <w:r w:rsidRPr="00401691">
              <w:rPr>
                <w:rFonts w:asciiTheme="majorHAnsi" w:eastAsia="Times New Roman" w:hAnsiTheme="majorHAnsi" w:cstheme="majorHAnsi"/>
                <w:color w:val="000000"/>
                <w:sz w:val="18"/>
                <w:szCs w:val="18"/>
                <w:lang w:val="ro-MD"/>
              </w:rPr>
              <w:t xml:space="preserve"> </w:t>
            </w:r>
            <w:proofErr w:type="spellStart"/>
            <w:r w:rsidRPr="00401691">
              <w:rPr>
                <w:rFonts w:asciiTheme="majorHAnsi" w:eastAsia="Times New Roman" w:hAnsiTheme="majorHAnsi" w:cstheme="majorHAnsi"/>
                <w:color w:val="000000"/>
                <w:sz w:val="18"/>
                <w:szCs w:val="18"/>
                <w:lang w:val="ro-MD"/>
              </w:rPr>
              <w:t>masic</w:t>
            </w:r>
            <w:r w:rsidR="00880432">
              <w:rPr>
                <w:rFonts w:asciiTheme="majorHAnsi" w:eastAsia="Times New Roman" w:hAnsiTheme="majorHAnsi" w:cstheme="majorHAnsi"/>
                <w:color w:val="000000"/>
                <w:sz w:val="18"/>
                <w:szCs w:val="18"/>
                <w:lang w:val="ro-MD"/>
              </w:rPr>
              <w:t>ă</w:t>
            </w:r>
            <w:proofErr w:type="spellEnd"/>
            <w:r w:rsidRPr="00401691">
              <w:rPr>
                <w:rFonts w:asciiTheme="majorHAnsi" w:eastAsia="Times New Roman" w:hAnsiTheme="majorHAnsi" w:cstheme="majorHAnsi"/>
                <w:color w:val="000000"/>
                <w:sz w:val="18"/>
                <w:szCs w:val="18"/>
                <w:lang w:val="ro-MD"/>
              </w:rPr>
              <w:t xml:space="preserve"> pe ax</w:t>
            </w:r>
            <w:r w:rsidR="00880432">
              <w:rPr>
                <w:rFonts w:asciiTheme="majorHAnsi" w:eastAsia="Times New Roman" w:hAnsiTheme="majorHAnsi" w:cstheme="majorHAnsi"/>
                <w:color w:val="000000"/>
                <w:sz w:val="18"/>
                <w:szCs w:val="18"/>
                <w:lang w:val="ro-MD"/>
              </w:rPr>
              <w:t>ă</w:t>
            </w:r>
            <w:r w:rsidRPr="00401691">
              <w:rPr>
                <w:rFonts w:asciiTheme="majorHAnsi" w:eastAsia="Times New Roman" w:hAnsiTheme="majorHAnsi" w:cstheme="majorHAnsi"/>
                <w:color w:val="000000"/>
                <w:sz w:val="18"/>
                <w:szCs w:val="18"/>
                <w:lang w:val="ro-MD"/>
              </w:rPr>
              <w:t xml:space="preserve"> sau ale căror dimensiuni depășesc limitele admise</w:t>
            </w:r>
          </w:p>
        </w:tc>
        <w:tc>
          <w:tcPr>
            <w:tcW w:w="103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1253.2</w:t>
            </w:r>
          </w:p>
        </w:tc>
        <w:tc>
          <w:tcPr>
            <w:tcW w:w="1000"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0.2</w:t>
            </w:r>
          </w:p>
        </w:tc>
      </w:tr>
      <w:tr w:rsidR="00C55DF6" w:rsidRPr="00401691" w:rsidTr="00A353BB">
        <w:trPr>
          <w:gridAfter w:val="1"/>
          <w:wAfter w:w="19" w:type="dxa"/>
          <w:trHeight w:val="377"/>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114635</w:t>
            </w:r>
          </w:p>
        </w:tc>
        <w:tc>
          <w:tcPr>
            <w:tcW w:w="704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 xml:space="preserve">Taxa pentru folosirea zonei de protecție a drumurilor din afara perimetrului localităților pentru efectuarea lucrărilor de construcție </w:t>
            </w:r>
            <w:r w:rsidR="00880432">
              <w:rPr>
                <w:rFonts w:asciiTheme="majorHAnsi" w:eastAsia="Times New Roman" w:hAnsiTheme="majorHAnsi" w:cstheme="majorHAnsi"/>
                <w:color w:val="000000"/>
                <w:sz w:val="18"/>
                <w:szCs w:val="18"/>
                <w:lang w:val="ro-MD"/>
              </w:rPr>
              <w:t>ș</w:t>
            </w:r>
            <w:r w:rsidRPr="00401691">
              <w:rPr>
                <w:rFonts w:asciiTheme="majorHAnsi" w:eastAsia="Times New Roman" w:hAnsiTheme="majorHAnsi" w:cstheme="majorHAnsi"/>
                <w:color w:val="000000"/>
                <w:sz w:val="18"/>
                <w:szCs w:val="18"/>
                <w:lang w:val="ro-MD"/>
              </w:rPr>
              <w:t>i montaj</w:t>
            </w:r>
          </w:p>
        </w:tc>
        <w:tc>
          <w:tcPr>
            <w:tcW w:w="103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1.9</w:t>
            </w:r>
          </w:p>
        </w:tc>
        <w:tc>
          <w:tcPr>
            <w:tcW w:w="1000"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0.0</w:t>
            </w:r>
          </w:p>
        </w:tc>
      </w:tr>
      <w:tr w:rsidR="00C55DF6" w:rsidRPr="00401691" w:rsidTr="00A353BB">
        <w:trPr>
          <w:gridAfter w:val="1"/>
          <w:wAfter w:w="19" w:type="dxa"/>
          <w:trHeight w:val="368"/>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114636</w:t>
            </w:r>
          </w:p>
        </w:tc>
        <w:tc>
          <w:tcPr>
            <w:tcW w:w="704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Taxa pentru folosirea zonei de protecție a drumurilor din afara perimetrului localităților pentru amplasarea publicității exterioare</w:t>
            </w:r>
          </w:p>
        </w:tc>
        <w:tc>
          <w:tcPr>
            <w:tcW w:w="103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0.5</w:t>
            </w:r>
          </w:p>
        </w:tc>
        <w:tc>
          <w:tcPr>
            <w:tcW w:w="1000"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0.0</w:t>
            </w:r>
          </w:p>
        </w:tc>
      </w:tr>
      <w:tr w:rsidR="00C55DF6" w:rsidRPr="00401691" w:rsidTr="00A353BB">
        <w:trPr>
          <w:gridAfter w:val="1"/>
          <w:wAfter w:w="19" w:type="dxa"/>
          <w:trHeight w:val="449"/>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114637</w:t>
            </w:r>
          </w:p>
        </w:tc>
        <w:tc>
          <w:tcPr>
            <w:tcW w:w="704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Taxa pentru folosirea zonei de protecție a drumurilor din afara perimetrului localităților pentru amplasarea obiectivelor de prestare a serviciilor rutiere</w:t>
            </w:r>
          </w:p>
        </w:tc>
        <w:tc>
          <w:tcPr>
            <w:tcW w:w="103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5.0</w:t>
            </w:r>
          </w:p>
        </w:tc>
        <w:tc>
          <w:tcPr>
            <w:tcW w:w="1000"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0.0</w:t>
            </w:r>
          </w:p>
        </w:tc>
      </w:tr>
      <w:tr w:rsidR="00C55DF6" w:rsidRPr="00401691" w:rsidTr="00A353BB">
        <w:trPr>
          <w:gridAfter w:val="1"/>
          <w:wAfter w:w="19" w:type="dxa"/>
          <w:trHeight w:val="305"/>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141221</w:t>
            </w:r>
          </w:p>
        </w:tc>
        <w:tc>
          <w:tcPr>
            <w:tcW w:w="704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Dividende primite de la cota</w:t>
            </w:r>
            <w:r w:rsidR="00880432">
              <w:rPr>
                <w:rFonts w:asciiTheme="majorHAnsi" w:eastAsia="Times New Roman" w:hAnsiTheme="majorHAnsi" w:cstheme="majorHAnsi"/>
                <w:color w:val="000000"/>
                <w:sz w:val="18"/>
                <w:szCs w:val="18"/>
                <w:lang w:val="ro-MD"/>
              </w:rPr>
              <w:t>-</w:t>
            </w:r>
            <w:r w:rsidRPr="00401691">
              <w:rPr>
                <w:rFonts w:asciiTheme="majorHAnsi" w:eastAsia="Times New Roman" w:hAnsiTheme="majorHAnsi" w:cstheme="majorHAnsi"/>
                <w:color w:val="000000"/>
                <w:sz w:val="18"/>
                <w:szCs w:val="18"/>
                <w:lang w:val="ro-MD"/>
              </w:rPr>
              <w:t xml:space="preserve">parte a proprietății publice </w:t>
            </w:r>
            <w:r w:rsidR="00880432">
              <w:rPr>
                <w:rFonts w:asciiTheme="majorHAnsi" w:eastAsia="Times New Roman" w:hAnsiTheme="majorHAnsi" w:cstheme="majorHAnsi"/>
                <w:color w:val="000000"/>
                <w:sz w:val="18"/>
                <w:szCs w:val="18"/>
                <w:lang w:val="ro-MD"/>
              </w:rPr>
              <w:t>î</w:t>
            </w:r>
            <w:r w:rsidRPr="00401691">
              <w:rPr>
                <w:rFonts w:asciiTheme="majorHAnsi" w:eastAsia="Times New Roman" w:hAnsiTheme="majorHAnsi" w:cstheme="majorHAnsi"/>
                <w:color w:val="000000"/>
                <w:sz w:val="18"/>
                <w:szCs w:val="18"/>
                <w:lang w:val="ro-MD"/>
              </w:rPr>
              <w:t xml:space="preserve">n societățile pe acțiuni </w:t>
            </w:r>
            <w:r w:rsidR="00880432">
              <w:rPr>
                <w:rFonts w:asciiTheme="majorHAnsi" w:eastAsia="Times New Roman" w:hAnsiTheme="majorHAnsi" w:cstheme="majorHAnsi"/>
                <w:color w:val="000000"/>
                <w:sz w:val="18"/>
                <w:szCs w:val="18"/>
                <w:lang w:val="ro-MD"/>
              </w:rPr>
              <w:t>î</w:t>
            </w:r>
            <w:r w:rsidRPr="00401691">
              <w:rPr>
                <w:rFonts w:asciiTheme="majorHAnsi" w:eastAsia="Times New Roman" w:hAnsiTheme="majorHAnsi" w:cstheme="majorHAnsi"/>
                <w:color w:val="000000"/>
                <w:sz w:val="18"/>
                <w:szCs w:val="18"/>
                <w:lang w:val="ro-MD"/>
              </w:rPr>
              <w:t>n BS</w:t>
            </w:r>
          </w:p>
        </w:tc>
        <w:tc>
          <w:tcPr>
            <w:tcW w:w="103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0.6</w:t>
            </w:r>
          </w:p>
        </w:tc>
        <w:tc>
          <w:tcPr>
            <w:tcW w:w="1000"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0.0</w:t>
            </w:r>
          </w:p>
        </w:tc>
      </w:tr>
      <w:tr w:rsidR="00C55DF6" w:rsidRPr="00401691" w:rsidTr="00A353BB">
        <w:trPr>
          <w:gridAfter w:val="1"/>
          <w:wAfter w:w="19" w:type="dxa"/>
          <w:trHeight w:val="323"/>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141231</w:t>
            </w:r>
          </w:p>
        </w:tc>
        <w:tc>
          <w:tcPr>
            <w:tcW w:w="704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 xml:space="preserve">Defalcări de la profitul net al întreprinderilor de stat (municipale) </w:t>
            </w:r>
            <w:r w:rsidR="00880432">
              <w:rPr>
                <w:rFonts w:asciiTheme="majorHAnsi" w:eastAsia="Times New Roman" w:hAnsiTheme="majorHAnsi" w:cstheme="majorHAnsi"/>
                <w:color w:val="000000"/>
                <w:sz w:val="18"/>
                <w:szCs w:val="18"/>
                <w:lang w:val="ro-MD"/>
              </w:rPr>
              <w:t>î</w:t>
            </w:r>
            <w:r w:rsidRPr="00401691">
              <w:rPr>
                <w:rFonts w:asciiTheme="majorHAnsi" w:eastAsia="Times New Roman" w:hAnsiTheme="majorHAnsi" w:cstheme="majorHAnsi"/>
                <w:color w:val="000000"/>
                <w:sz w:val="18"/>
                <w:szCs w:val="18"/>
                <w:lang w:val="ro-MD"/>
              </w:rPr>
              <w:t>n bugetul de stat</w:t>
            </w:r>
          </w:p>
        </w:tc>
        <w:tc>
          <w:tcPr>
            <w:tcW w:w="103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1405.9</w:t>
            </w:r>
          </w:p>
        </w:tc>
        <w:tc>
          <w:tcPr>
            <w:tcW w:w="1000"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0.2</w:t>
            </w:r>
          </w:p>
        </w:tc>
      </w:tr>
      <w:tr w:rsidR="00C55DF6" w:rsidRPr="00401691" w:rsidTr="00A353BB">
        <w:trPr>
          <w:gridAfter w:val="1"/>
          <w:wAfter w:w="19" w:type="dxa"/>
          <w:trHeight w:val="288"/>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145111</w:t>
            </w:r>
          </w:p>
        </w:tc>
        <w:tc>
          <w:tcPr>
            <w:tcW w:w="704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 xml:space="preserve">Alte venituri încasate </w:t>
            </w:r>
            <w:r w:rsidR="00880432">
              <w:rPr>
                <w:rFonts w:asciiTheme="majorHAnsi" w:eastAsia="Times New Roman" w:hAnsiTheme="majorHAnsi" w:cstheme="majorHAnsi"/>
                <w:color w:val="000000"/>
                <w:sz w:val="18"/>
                <w:szCs w:val="18"/>
                <w:lang w:val="ro-MD"/>
              </w:rPr>
              <w:t>î</w:t>
            </w:r>
            <w:r w:rsidRPr="00401691">
              <w:rPr>
                <w:rFonts w:asciiTheme="majorHAnsi" w:eastAsia="Times New Roman" w:hAnsiTheme="majorHAnsi" w:cstheme="majorHAnsi"/>
                <w:color w:val="000000"/>
                <w:sz w:val="18"/>
                <w:szCs w:val="18"/>
                <w:lang w:val="ro-MD"/>
              </w:rPr>
              <w:t>n bugetul de stat</w:t>
            </w:r>
          </w:p>
        </w:tc>
        <w:tc>
          <w:tcPr>
            <w:tcW w:w="103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2919.4</w:t>
            </w:r>
          </w:p>
        </w:tc>
        <w:tc>
          <w:tcPr>
            <w:tcW w:w="1000"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0.4</w:t>
            </w:r>
          </w:p>
        </w:tc>
      </w:tr>
      <w:tr w:rsidR="00C55DF6" w:rsidRPr="00401691" w:rsidTr="00A353BB">
        <w:trPr>
          <w:gridAfter w:val="1"/>
          <w:wAfter w:w="19" w:type="dxa"/>
          <w:trHeight w:val="288"/>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145141</w:t>
            </w:r>
          </w:p>
        </w:tc>
        <w:tc>
          <w:tcPr>
            <w:tcW w:w="704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 xml:space="preserve">Alte venituri încasate </w:t>
            </w:r>
            <w:r w:rsidR="00880432">
              <w:rPr>
                <w:rFonts w:asciiTheme="majorHAnsi" w:eastAsia="Times New Roman" w:hAnsiTheme="majorHAnsi" w:cstheme="majorHAnsi"/>
                <w:color w:val="000000"/>
                <w:sz w:val="18"/>
                <w:szCs w:val="18"/>
                <w:lang w:val="ro-MD"/>
              </w:rPr>
              <w:t>î</w:t>
            </w:r>
            <w:r w:rsidRPr="00401691">
              <w:rPr>
                <w:rFonts w:asciiTheme="majorHAnsi" w:eastAsia="Times New Roman" w:hAnsiTheme="majorHAnsi" w:cstheme="majorHAnsi"/>
                <w:color w:val="000000"/>
                <w:sz w:val="18"/>
                <w:szCs w:val="18"/>
                <w:lang w:val="ro-MD"/>
              </w:rPr>
              <w:t xml:space="preserve">n bugetele locale de nivelul </w:t>
            </w:r>
            <w:r w:rsidR="00880432">
              <w:rPr>
                <w:rFonts w:asciiTheme="majorHAnsi" w:eastAsia="Times New Roman" w:hAnsiTheme="majorHAnsi" w:cstheme="majorHAnsi"/>
                <w:color w:val="000000"/>
                <w:sz w:val="18"/>
                <w:szCs w:val="18"/>
                <w:lang w:val="ro-MD"/>
              </w:rPr>
              <w:t>II</w:t>
            </w:r>
          </w:p>
        </w:tc>
        <w:tc>
          <w:tcPr>
            <w:tcW w:w="103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4.1</w:t>
            </w:r>
          </w:p>
        </w:tc>
        <w:tc>
          <w:tcPr>
            <w:tcW w:w="1000"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0.0</w:t>
            </w:r>
          </w:p>
        </w:tc>
      </w:tr>
      <w:tr w:rsidR="00C55DF6" w:rsidRPr="00401691" w:rsidTr="00A353BB">
        <w:trPr>
          <w:gridAfter w:val="1"/>
          <w:wAfter w:w="19" w:type="dxa"/>
          <w:trHeight w:val="288"/>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145142</w:t>
            </w:r>
          </w:p>
        </w:tc>
        <w:tc>
          <w:tcPr>
            <w:tcW w:w="7049" w:type="dxa"/>
            <w:tcBorders>
              <w:top w:val="nil"/>
              <w:left w:val="nil"/>
              <w:bottom w:val="single" w:sz="4" w:space="0" w:color="auto"/>
              <w:right w:val="single" w:sz="4" w:space="0" w:color="auto"/>
            </w:tcBorders>
            <w:shd w:val="clear" w:color="auto" w:fill="auto"/>
            <w:vAlign w:val="center"/>
            <w:hideMark/>
          </w:tcPr>
          <w:p w:rsidR="00C55DF6" w:rsidRPr="00401691" w:rsidRDefault="00880432" w:rsidP="00AD2B4A">
            <w:pPr>
              <w:spacing w:after="0" w:line="240" w:lineRule="auto"/>
              <w:jc w:val="both"/>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A</w:t>
            </w:r>
            <w:r w:rsidR="00C55DF6" w:rsidRPr="00401691">
              <w:rPr>
                <w:rFonts w:asciiTheme="majorHAnsi" w:eastAsia="Times New Roman" w:hAnsiTheme="majorHAnsi" w:cstheme="majorHAnsi"/>
                <w:color w:val="000000"/>
                <w:sz w:val="18"/>
                <w:szCs w:val="18"/>
                <w:lang w:val="ro-MD"/>
              </w:rPr>
              <w:t xml:space="preserve">lte venituri încasate </w:t>
            </w:r>
            <w:r>
              <w:rPr>
                <w:rFonts w:asciiTheme="majorHAnsi" w:eastAsia="Times New Roman" w:hAnsiTheme="majorHAnsi" w:cstheme="majorHAnsi"/>
                <w:color w:val="000000"/>
                <w:sz w:val="18"/>
                <w:szCs w:val="18"/>
                <w:lang w:val="ro-MD"/>
              </w:rPr>
              <w:t>î</w:t>
            </w:r>
            <w:r w:rsidR="00C55DF6" w:rsidRPr="00401691">
              <w:rPr>
                <w:rFonts w:asciiTheme="majorHAnsi" w:eastAsia="Times New Roman" w:hAnsiTheme="majorHAnsi" w:cstheme="majorHAnsi"/>
                <w:color w:val="000000"/>
                <w:sz w:val="18"/>
                <w:szCs w:val="18"/>
                <w:lang w:val="ro-MD"/>
              </w:rPr>
              <w:t xml:space="preserve">n bugetele locale de nivelul </w:t>
            </w:r>
            <w:r>
              <w:rPr>
                <w:rFonts w:asciiTheme="majorHAnsi" w:eastAsia="Times New Roman" w:hAnsiTheme="majorHAnsi" w:cstheme="majorHAnsi"/>
                <w:color w:val="000000"/>
                <w:sz w:val="18"/>
                <w:szCs w:val="18"/>
                <w:lang w:val="ro-MD"/>
              </w:rPr>
              <w:t>I</w:t>
            </w:r>
          </w:p>
        </w:tc>
        <w:tc>
          <w:tcPr>
            <w:tcW w:w="103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10.6</w:t>
            </w:r>
          </w:p>
        </w:tc>
        <w:tc>
          <w:tcPr>
            <w:tcW w:w="1000"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0.0</w:t>
            </w:r>
          </w:p>
        </w:tc>
      </w:tr>
      <w:tr w:rsidR="00C55DF6" w:rsidRPr="00401691" w:rsidTr="00A353BB">
        <w:trPr>
          <w:gridAfter w:val="1"/>
          <w:wAfter w:w="19" w:type="dxa"/>
          <w:trHeight w:val="29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145161</w:t>
            </w:r>
          </w:p>
        </w:tc>
        <w:tc>
          <w:tcPr>
            <w:tcW w:w="704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Impozit unic perceput de la rezidenți</w:t>
            </w:r>
            <w:r w:rsidR="00880432">
              <w:rPr>
                <w:rFonts w:asciiTheme="majorHAnsi" w:eastAsia="Times New Roman" w:hAnsiTheme="majorHAnsi" w:cstheme="majorHAnsi"/>
                <w:color w:val="000000"/>
                <w:sz w:val="18"/>
                <w:szCs w:val="18"/>
                <w:lang w:val="ro-MD"/>
              </w:rPr>
              <w:t>i</w:t>
            </w:r>
            <w:r w:rsidRPr="00401691">
              <w:rPr>
                <w:rFonts w:asciiTheme="majorHAnsi" w:eastAsia="Times New Roman" w:hAnsiTheme="majorHAnsi" w:cstheme="majorHAnsi"/>
                <w:color w:val="000000"/>
                <w:sz w:val="18"/>
                <w:szCs w:val="18"/>
                <w:lang w:val="ro-MD"/>
              </w:rPr>
              <w:t xml:space="preserve"> parcurilor pentru tehnologia informației</w:t>
            </w:r>
          </w:p>
        </w:tc>
        <w:tc>
          <w:tcPr>
            <w:tcW w:w="103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244.4</w:t>
            </w:r>
          </w:p>
        </w:tc>
        <w:tc>
          <w:tcPr>
            <w:tcW w:w="1000"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0.0</w:t>
            </w:r>
          </w:p>
        </w:tc>
      </w:tr>
      <w:tr w:rsidR="00C55DF6" w:rsidRPr="00401691" w:rsidTr="00A353BB">
        <w:trPr>
          <w:gridAfter w:val="1"/>
          <w:wAfter w:w="19" w:type="dxa"/>
          <w:trHeight w:val="251"/>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143321</w:t>
            </w:r>
          </w:p>
        </w:tc>
        <w:tc>
          <w:tcPr>
            <w:tcW w:w="704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 xml:space="preserve">Amenzi aplicate de către organele </w:t>
            </w:r>
            <w:r w:rsidR="00F5250B">
              <w:rPr>
                <w:rFonts w:asciiTheme="majorHAnsi" w:eastAsia="Times New Roman" w:hAnsiTheme="majorHAnsi" w:cstheme="majorHAnsi"/>
                <w:color w:val="000000"/>
                <w:sz w:val="18"/>
                <w:szCs w:val="18"/>
                <w:lang w:val="ro-MD"/>
              </w:rPr>
              <w:t>S</w:t>
            </w:r>
            <w:r w:rsidRPr="00401691">
              <w:rPr>
                <w:rFonts w:asciiTheme="majorHAnsi" w:eastAsia="Times New Roman" w:hAnsiTheme="majorHAnsi" w:cstheme="majorHAnsi"/>
                <w:color w:val="000000"/>
                <w:sz w:val="18"/>
                <w:szCs w:val="18"/>
                <w:lang w:val="ro-MD"/>
              </w:rPr>
              <w:t xml:space="preserve">erviciului </w:t>
            </w:r>
            <w:r w:rsidR="00F5250B">
              <w:rPr>
                <w:rFonts w:asciiTheme="majorHAnsi" w:eastAsia="Times New Roman" w:hAnsiTheme="majorHAnsi" w:cstheme="majorHAnsi"/>
                <w:color w:val="000000"/>
                <w:sz w:val="18"/>
                <w:szCs w:val="18"/>
                <w:lang w:val="ro-MD"/>
              </w:rPr>
              <w:t>F</w:t>
            </w:r>
            <w:r w:rsidRPr="00401691">
              <w:rPr>
                <w:rFonts w:asciiTheme="majorHAnsi" w:eastAsia="Times New Roman" w:hAnsiTheme="majorHAnsi" w:cstheme="majorHAnsi"/>
                <w:color w:val="000000"/>
                <w:sz w:val="18"/>
                <w:szCs w:val="18"/>
                <w:lang w:val="ro-MD"/>
              </w:rPr>
              <w:t xml:space="preserve">iscal de </w:t>
            </w:r>
            <w:r w:rsidR="00F5250B">
              <w:rPr>
                <w:rFonts w:asciiTheme="majorHAnsi" w:eastAsia="Times New Roman" w:hAnsiTheme="majorHAnsi" w:cstheme="majorHAnsi"/>
                <w:color w:val="000000"/>
                <w:sz w:val="18"/>
                <w:szCs w:val="18"/>
                <w:lang w:val="ro-MD"/>
              </w:rPr>
              <w:t>S</w:t>
            </w:r>
            <w:r w:rsidRPr="00401691">
              <w:rPr>
                <w:rFonts w:asciiTheme="majorHAnsi" w:eastAsia="Times New Roman" w:hAnsiTheme="majorHAnsi" w:cstheme="majorHAnsi"/>
                <w:color w:val="000000"/>
                <w:sz w:val="18"/>
                <w:szCs w:val="18"/>
                <w:lang w:val="ro-MD"/>
              </w:rPr>
              <w:t xml:space="preserve">tat încasate </w:t>
            </w:r>
            <w:r w:rsidR="00F5250B">
              <w:rPr>
                <w:rFonts w:asciiTheme="majorHAnsi" w:eastAsia="Times New Roman" w:hAnsiTheme="majorHAnsi" w:cstheme="majorHAnsi"/>
                <w:color w:val="000000"/>
                <w:sz w:val="18"/>
                <w:szCs w:val="18"/>
                <w:lang w:val="ro-MD"/>
              </w:rPr>
              <w:t>î</w:t>
            </w:r>
            <w:r w:rsidRPr="00401691">
              <w:rPr>
                <w:rFonts w:asciiTheme="majorHAnsi" w:eastAsia="Times New Roman" w:hAnsiTheme="majorHAnsi" w:cstheme="majorHAnsi"/>
                <w:color w:val="000000"/>
                <w:sz w:val="18"/>
                <w:szCs w:val="18"/>
                <w:lang w:val="ro-MD"/>
              </w:rPr>
              <w:t>n bugetul de stat</w:t>
            </w:r>
          </w:p>
        </w:tc>
        <w:tc>
          <w:tcPr>
            <w:tcW w:w="103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156704.6</w:t>
            </w:r>
          </w:p>
        </w:tc>
        <w:tc>
          <w:tcPr>
            <w:tcW w:w="1000"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19.5</w:t>
            </w:r>
          </w:p>
        </w:tc>
      </w:tr>
      <w:tr w:rsidR="00C55DF6" w:rsidRPr="00401691" w:rsidTr="00A353BB">
        <w:trPr>
          <w:gridAfter w:val="1"/>
          <w:wAfter w:w="19" w:type="dxa"/>
          <w:trHeight w:val="305"/>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143323</w:t>
            </w:r>
          </w:p>
        </w:tc>
        <w:tc>
          <w:tcPr>
            <w:tcW w:w="704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 xml:space="preserve">Amenzile contravenționale aplicate de organele </w:t>
            </w:r>
            <w:r w:rsidR="00F5250B">
              <w:rPr>
                <w:rFonts w:asciiTheme="majorHAnsi" w:eastAsia="Times New Roman" w:hAnsiTheme="majorHAnsi" w:cstheme="majorHAnsi"/>
                <w:color w:val="000000"/>
                <w:sz w:val="18"/>
                <w:szCs w:val="18"/>
                <w:lang w:val="ro-MD"/>
              </w:rPr>
              <w:t>S</w:t>
            </w:r>
            <w:r w:rsidRPr="00401691">
              <w:rPr>
                <w:rFonts w:asciiTheme="majorHAnsi" w:eastAsia="Times New Roman" w:hAnsiTheme="majorHAnsi" w:cstheme="majorHAnsi"/>
                <w:color w:val="000000"/>
                <w:sz w:val="18"/>
                <w:szCs w:val="18"/>
                <w:lang w:val="ro-MD"/>
              </w:rPr>
              <w:t xml:space="preserve">erviciului </w:t>
            </w:r>
            <w:r w:rsidR="00F5250B">
              <w:rPr>
                <w:rFonts w:asciiTheme="majorHAnsi" w:eastAsia="Times New Roman" w:hAnsiTheme="majorHAnsi" w:cstheme="majorHAnsi"/>
                <w:color w:val="000000"/>
                <w:sz w:val="18"/>
                <w:szCs w:val="18"/>
                <w:lang w:val="ro-MD"/>
              </w:rPr>
              <w:t>F</w:t>
            </w:r>
            <w:r w:rsidRPr="00401691">
              <w:rPr>
                <w:rFonts w:asciiTheme="majorHAnsi" w:eastAsia="Times New Roman" w:hAnsiTheme="majorHAnsi" w:cstheme="majorHAnsi"/>
                <w:color w:val="000000"/>
                <w:sz w:val="18"/>
                <w:szCs w:val="18"/>
                <w:lang w:val="ro-MD"/>
              </w:rPr>
              <w:t xml:space="preserve">iscal de </w:t>
            </w:r>
            <w:r w:rsidR="00F5250B">
              <w:rPr>
                <w:rFonts w:asciiTheme="majorHAnsi" w:eastAsia="Times New Roman" w:hAnsiTheme="majorHAnsi" w:cstheme="majorHAnsi"/>
                <w:color w:val="000000"/>
                <w:sz w:val="18"/>
                <w:szCs w:val="18"/>
                <w:lang w:val="ro-MD"/>
              </w:rPr>
              <w:t>S</w:t>
            </w:r>
            <w:r w:rsidRPr="00401691">
              <w:rPr>
                <w:rFonts w:asciiTheme="majorHAnsi" w:eastAsia="Times New Roman" w:hAnsiTheme="majorHAnsi" w:cstheme="majorHAnsi"/>
                <w:color w:val="000000"/>
                <w:sz w:val="18"/>
                <w:szCs w:val="18"/>
                <w:lang w:val="ro-MD"/>
              </w:rPr>
              <w:t>tat</w:t>
            </w:r>
          </w:p>
        </w:tc>
        <w:tc>
          <w:tcPr>
            <w:tcW w:w="103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1576.0</w:t>
            </w:r>
          </w:p>
        </w:tc>
        <w:tc>
          <w:tcPr>
            <w:tcW w:w="1000"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0.2</w:t>
            </w:r>
          </w:p>
        </w:tc>
      </w:tr>
      <w:tr w:rsidR="00C55DF6" w:rsidRPr="00401691" w:rsidTr="00A353BB">
        <w:trPr>
          <w:gridAfter w:val="1"/>
          <w:wAfter w:w="19" w:type="dxa"/>
          <w:trHeight w:val="440"/>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143324</w:t>
            </w:r>
          </w:p>
        </w:tc>
        <w:tc>
          <w:tcPr>
            <w:tcW w:w="704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 xml:space="preserve">Amenzile contravenționale aplicate de organele </w:t>
            </w:r>
            <w:r w:rsidR="00F5250B">
              <w:rPr>
                <w:rFonts w:asciiTheme="majorHAnsi" w:eastAsia="Times New Roman" w:hAnsiTheme="majorHAnsi" w:cstheme="majorHAnsi"/>
                <w:color w:val="000000"/>
                <w:sz w:val="18"/>
                <w:szCs w:val="18"/>
                <w:lang w:val="ro-MD"/>
              </w:rPr>
              <w:t>S</w:t>
            </w:r>
            <w:r w:rsidRPr="00401691">
              <w:rPr>
                <w:rFonts w:asciiTheme="majorHAnsi" w:eastAsia="Times New Roman" w:hAnsiTheme="majorHAnsi" w:cstheme="majorHAnsi"/>
                <w:color w:val="000000"/>
                <w:sz w:val="18"/>
                <w:szCs w:val="18"/>
                <w:lang w:val="ro-MD"/>
              </w:rPr>
              <w:t xml:space="preserve">erviciului </w:t>
            </w:r>
            <w:r w:rsidR="00F5250B">
              <w:rPr>
                <w:rFonts w:asciiTheme="majorHAnsi" w:eastAsia="Times New Roman" w:hAnsiTheme="majorHAnsi" w:cstheme="majorHAnsi"/>
                <w:color w:val="000000"/>
                <w:sz w:val="18"/>
                <w:szCs w:val="18"/>
                <w:lang w:val="ro-MD"/>
              </w:rPr>
              <w:t>F</w:t>
            </w:r>
            <w:r w:rsidRPr="00401691">
              <w:rPr>
                <w:rFonts w:asciiTheme="majorHAnsi" w:eastAsia="Times New Roman" w:hAnsiTheme="majorHAnsi" w:cstheme="majorHAnsi"/>
                <w:color w:val="000000"/>
                <w:sz w:val="18"/>
                <w:szCs w:val="18"/>
                <w:lang w:val="ro-MD"/>
              </w:rPr>
              <w:t xml:space="preserve">iscal de </w:t>
            </w:r>
            <w:r w:rsidR="00F5250B">
              <w:rPr>
                <w:rFonts w:asciiTheme="majorHAnsi" w:eastAsia="Times New Roman" w:hAnsiTheme="majorHAnsi" w:cstheme="majorHAnsi"/>
                <w:color w:val="000000"/>
                <w:sz w:val="18"/>
                <w:szCs w:val="18"/>
                <w:lang w:val="ro-MD"/>
              </w:rPr>
              <w:t>S</w:t>
            </w:r>
            <w:r w:rsidRPr="00401691">
              <w:rPr>
                <w:rFonts w:asciiTheme="majorHAnsi" w:eastAsia="Times New Roman" w:hAnsiTheme="majorHAnsi" w:cstheme="majorHAnsi"/>
                <w:color w:val="000000"/>
                <w:sz w:val="18"/>
                <w:szCs w:val="18"/>
                <w:lang w:val="ro-MD"/>
              </w:rPr>
              <w:t>tat pentru încălcarea termen</w:t>
            </w:r>
            <w:r w:rsidR="00F5250B">
              <w:rPr>
                <w:rFonts w:asciiTheme="majorHAnsi" w:eastAsia="Times New Roman" w:hAnsiTheme="majorHAnsi" w:cstheme="majorHAnsi"/>
                <w:color w:val="000000"/>
                <w:sz w:val="18"/>
                <w:szCs w:val="18"/>
                <w:lang w:val="ro-MD"/>
              </w:rPr>
              <w:t>e</w:t>
            </w:r>
            <w:r w:rsidRPr="00401691">
              <w:rPr>
                <w:rFonts w:asciiTheme="majorHAnsi" w:eastAsia="Times New Roman" w:hAnsiTheme="majorHAnsi" w:cstheme="majorHAnsi"/>
                <w:color w:val="000000"/>
                <w:sz w:val="18"/>
                <w:szCs w:val="18"/>
                <w:lang w:val="ro-MD"/>
              </w:rPr>
              <w:t xml:space="preserve">lor de repatriere a mijloacelor materiale </w:t>
            </w:r>
            <w:r w:rsidR="00F5250B">
              <w:rPr>
                <w:rFonts w:asciiTheme="majorHAnsi" w:eastAsia="Times New Roman" w:hAnsiTheme="majorHAnsi" w:cstheme="majorHAnsi"/>
                <w:color w:val="000000"/>
                <w:sz w:val="18"/>
                <w:szCs w:val="18"/>
                <w:lang w:val="ro-MD"/>
              </w:rPr>
              <w:t>ș</w:t>
            </w:r>
            <w:r w:rsidRPr="00401691">
              <w:rPr>
                <w:rFonts w:asciiTheme="majorHAnsi" w:eastAsia="Times New Roman" w:hAnsiTheme="majorHAnsi" w:cstheme="majorHAnsi"/>
                <w:color w:val="000000"/>
                <w:sz w:val="18"/>
                <w:szCs w:val="18"/>
                <w:lang w:val="ro-MD"/>
              </w:rPr>
              <w:t>i mijloacelor bănești</w:t>
            </w:r>
          </w:p>
        </w:tc>
        <w:tc>
          <w:tcPr>
            <w:tcW w:w="103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1.7</w:t>
            </w:r>
          </w:p>
        </w:tc>
        <w:tc>
          <w:tcPr>
            <w:tcW w:w="1000"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0.0</w:t>
            </w:r>
          </w:p>
        </w:tc>
      </w:tr>
      <w:tr w:rsidR="00C55DF6" w:rsidRPr="00401691" w:rsidTr="00A353BB">
        <w:trPr>
          <w:gridAfter w:val="1"/>
          <w:wAfter w:w="19" w:type="dxa"/>
          <w:trHeight w:val="251"/>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143480</w:t>
            </w:r>
          </w:p>
        </w:tc>
        <w:tc>
          <w:tcPr>
            <w:tcW w:w="704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Amenzi pentru nerepatrierea la termen a încasărilor valutare</w:t>
            </w:r>
          </w:p>
        </w:tc>
        <w:tc>
          <w:tcPr>
            <w:tcW w:w="103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5229.8</w:t>
            </w:r>
          </w:p>
        </w:tc>
        <w:tc>
          <w:tcPr>
            <w:tcW w:w="1000"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0.7</w:t>
            </w:r>
          </w:p>
        </w:tc>
      </w:tr>
      <w:tr w:rsidR="00C55DF6" w:rsidRPr="00401691" w:rsidTr="00A353BB">
        <w:trPr>
          <w:gridAfter w:val="1"/>
          <w:wAfter w:w="19" w:type="dxa"/>
          <w:trHeight w:val="288"/>
        </w:trPr>
        <w:tc>
          <w:tcPr>
            <w:tcW w:w="8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center"/>
              <w:rPr>
                <w:rFonts w:asciiTheme="majorHAnsi" w:eastAsia="Times New Roman" w:hAnsiTheme="majorHAnsi" w:cstheme="majorHAnsi"/>
                <w:b/>
                <w:bCs/>
                <w:color w:val="000000"/>
                <w:lang w:val="ro-MD"/>
              </w:rPr>
            </w:pPr>
            <w:r w:rsidRPr="00401691">
              <w:rPr>
                <w:rFonts w:asciiTheme="majorHAnsi" w:eastAsia="Times New Roman" w:hAnsiTheme="majorHAnsi" w:cstheme="majorHAnsi"/>
                <w:b/>
                <w:bCs/>
                <w:color w:val="000000"/>
                <w:lang w:val="ro-MD"/>
              </w:rPr>
              <w:t>Total</w:t>
            </w:r>
          </w:p>
        </w:tc>
        <w:tc>
          <w:tcPr>
            <w:tcW w:w="1039"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802183.8</w:t>
            </w:r>
          </w:p>
        </w:tc>
        <w:tc>
          <w:tcPr>
            <w:tcW w:w="1000" w:type="dxa"/>
            <w:tcBorders>
              <w:top w:val="nil"/>
              <w:left w:val="nil"/>
              <w:bottom w:val="single" w:sz="4" w:space="0" w:color="auto"/>
              <w:right w:val="single" w:sz="4" w:space="0" w:color="auto"/>
            </w:tcBorders>
            <w:shd w:val="clear" w:color="auto" w:fill="auto"/>
            <w:vAlign w:val="center"/>
            <w:hideMark/>
          </w:tcPr>
          <w:p w:rsidR="00C55DF6" w:rsidRPr="00401691" w:rsidRDefault="00C55DF6" w:rsidP="00AD2B4A">
            <w:pPr>
              <w:spacing w:after="0" w:line="240" w:lineRule="auto"/>
              <w:jc w:val="right"/>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100.0</w:t>
            </w:r>
          </w:p>
        </w:tc>
      </w:tr>
    </w:tbl>
    <w:p w:rsidR="00C55DF6" w:rsidRPr="00401691" w:rsidRDefault="00C55DF6" w:rsidP="00844145">
      <w:pPr>
        <w:spacing w:line="276" w:lineRule="auto"/>
        <w:jc w:val="right"/>
        <w:rPr>
          <w:rFonts w:asciiTheme="majorHAnsi" w:hAnsiTheme="majorHAnsi" w:cstheme="majorHAnsi"/>
          <w:i/>
          <w:sz w:val="24"/>
          <w:szCs w:val="24"/>
          <w:lang w:val="ro-MD"/>
        </w:rPr>
      </w:pPr>
      <w:r w:rsidRPr="00401691">
        <w:rPr>
          <w:rFonts w:asciiTheme="majorHAnsi" w:hAnsiTheme="majorHAnsi" w:cstheme="majorHAnsi"/>
          <w:i/>
          <w:sz w:val="24"/>
          <w:szCs w:val="24"/>
          <w:lang w:val="ro-MD"/>
        </w:rPr>
        <w:t>Anexa nr. 6</w:t>
      </w:r>
    </w:p>
    <w:tbl>
      <w:tblPr>
        <w:tblW w:w="9900" w:type="dxa"/>
        <w:tblLook w:val="04A0" w:firstRow="1" w:lastRow="0" w:firstColumn="1" w:lastColumn="0" w:noHBand="0" w:noVBand="1"/>
      </w:tblPr>
      <w:tblGrid>
        <w:gridCol w:w="620"/>
        <w:gridCol w:w="1720"/>
        <w:gridCol w:w="1873"/>
        <w:gridCol w:w="1681"/>
        <w:gridCol w:w="2116"/>
        <w:gridCol w:w="1890"/>
      </w:tblGrid>
      <w:tr w:rsidR="00C55DF6" w:rsidRPr="00401691" w:rsidTr="00A353BB">
        <w:trPr>
          <w:trHeight w:val="288"/>
        </w:trPr>
        <w:tc>
          <w:tcPr>
            <w:tcW w:w="620" w:type="dxa"/>
            <w:tcBorders>
              <w:top w:val="nil"/>
              <w:left w:val="nil"/>
              <w:bottom w:val="nil"/>
              <w:right w:val="nil"/>
            </w:tcBorders>
            <w:shd w:val="clear" w:color="auto" w:fill="auto"/>
            <w:noWrap/>
            <w:vAlign w:val="bottom"/>
            <w:hideMark/>
          </w:tcPr>
          <w:p w:rsidR="00C55DF6" w:rsidRPr="00401691" w:rsidRDefault="00C55DF6" w:rsidP="00844145">
            <w:pPr>
              <w:spacing w:after="0" w:line="276" w:lineRule="auto"/>
              <w:rPr>
                <w:rFonts w:asciiTheme="majorHAnsi" w:eastAsia="Times New Roman" w:hAnsiTheme="majorHAnsi" w:cstheme="majorHAnsi"/>
                <w:sz w:val="24"/>
                <w:szCs w:val="24"/>
                <w:lang w:val="ro-MD"/>
              </w:rPr>
            </w:pPr>
          </w:p>
        </w:tc>
        <w:tc>
          <w:tcPr>
            <w:tcW w:w="9280" w:type="dxa"/>
            <w:gridSpan w:val="5"/>
            <w:tcBorders>
              <w:top w:val="nil"/>
              <w:left w:val="nil"/>
              <w:bottom w:val="single" w:sz="4" w:space="0" w:color="auto"/>
              <w:right w:val="nil"/>
            </w:tcBorders>
            <w:shd w:val="clear" w:color="auto" w:fill="auto"/>
            <w:noWrap/>
            <w:vAlign w:val="bottom"/>
            <w:hideMark/>
          </w:tcPr>
          <w:p w:rsidR="00C55DF6" w:rsidRPr="00B47A72" w:rsidRDefault="00C55DF6" w:rsidP="00844145">
            <w:pPr>
              <w:spacing w:after="0" w:line="276" w:lineRule="auto"/>
              <w:jc w:val="center"/>
              <w:rPr>
                <w:rFonts w:asciiTheme="majorHAnsi" w:eastAsia="Times New Roman" w:hAnsiTheme="majorHAnsi" w:cstheme="majorHAnsi"/>
                <w:b/>
                <w:color w:val="000000"/>
                <w:lang w:val="ro-MD"/>
              </w:rPr>
            </w:pPr>
            <w:r w:rsidRPr="00B47A72">
              <w:rPr>
                <w:rFonts w:asciiTheme="majorHAnsi" w:eastAsia="Times New Roman" w:hAnsiTheme="majorHAnsi" w:cstheme="majorHAnsi"/>
                <w:b/>
                <w:color w:val="000000"/>
                <w:lang w:val="ro-MD"/>
              </w:rPr>
              <w:t xml:space="preserve">Analiza acordării de către SFS a stimulării fiscale </w:t>
            </w:r>
            <w:r w:rsidR="00494DE3" w:rsidRPr="00B47A72">
              <w:rPr>
                <w:rFonts w:asciiTheme="majorHAnsi" w:eastAsia="Times New Roman" w:hAnsiTheme="majorHAnsi" w:cstheme="majorHAnsi"/>
                <w:b/>
                <w:color w:val="000000"/>
                <w:lang w:val="ro-MD"/>
              </w:rPr>
              <w:t>ulterior datei</w:t>
            </w:r>
            <w:r w:rsidR="00F5250B">
              <w:rPr>
                <w:rFonts w:asciiTheme="majorHAnsi" w:eastAsia="Times New Roman" w:hAnsiTheme="majorHAnsi" w:cstheme="majorHAnsi"/>
                <w:b/>
                <w:color w:val="000000"/>
                <w:lang w:val="ro-MD"/>
              </w:rPr>
              <w:t>-</w:t>
            </w:r>
            <w:r w:rsidR="00494DE3" w:rsidRPr="00B47A72">
              <w:rPr>
                <w:rFonts w:asciiTheme="majorHAnsi" w:eastAsia="Times New Roman" w:hAnsiTheme="majorHAnsi" w:cstheme="majorHAnsi"/>
                <w:b/>
                <w:color w:val="000000"/>
                <w:lang w:val="ro-MD"/>
              </w:rPr>
              <w:t>limit</w:t>
            </w:r>
            <w:r w:rsidR="00F5250B">
              <w:rPr>
                <w:rFonts w:asciiTheme="majorHAnsi" w:eastAsia="Times New Roman" w:hAnsiTheme="majorHAnsi" w:cstheme="majorHAnsi"/>
                <w:b/>
                <w:color w:val="000000"/>
                <w:lang w:val="ro-MD"/>
              </w:rPr>
              <w:t>ă</w:t>
            </w:r>
            <w:r w:rsidRPr="00B47A72">
              <w:rPr>
                <w:rFonts w:asciiTheme="majorHAnsi" w:eastAsia="Times New Roman" w:hAnsiTheme="majorHAnsi" w:cstheme="majorHAnsi"/>
                <w:b/>
                <w:color w:val="000000"/>
                <w:lang w:val="ro-MD"/>
              </w:rPr>
              <w:t xml:space="preserve"> pentru 11 contribuabili</w:t>
            </w:r>
          </w:p>
          <w:p w:rsidR="00C55DF6" w:rsidRPr="00401691" w:rsidRDefault="00C55DF6" w:rsidP="00844145">
            <w:pPr>
              <w:spacing w:after="0" w:line="276" w:lineRule="auto"/>
              <w:jc w:val="right"/>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(lei)</w:t>
            </w:r>
          </w:p>
        </w:tc>
      </w:tr>
      <w:tr w:rsidR="00C55DF6" w:rsidRPr="00401691" w:rsidTr="00A353BB">
        <w:trPr>
          <w:trHeight w:val="557"/>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C55DF6" w:rsidRPr="00401691" w:rsidRDefault="00C55DF6" w:rsidP="00844145">
            <w:pPr>
              <w:spacing w:after="0" w:line="276" w:lineRule="auto"/>
              <w:jc w:val="center"/>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N</w:t>
            </w:r>
            <w:r w:rsidR="00F5250B">
              <w:rPr>
                <w:rFonts w:asciiTheme="majorHAnsi" w:eastAsia="Times New Roman" w:hAnsiTheme="majorHAnsi" w:cstheme="majorHAnsi"/>
                <w:b/>
                <w:bCs/>
                <w:color w:val="000000"/>
                <w:sz w:val="18"/>
                <w:szCs w:val="18"/>
                <w:lang w:val="ro-MD"/>
              </w:rPr>
              <w:t>r. d</w:t>
            </w:r>
            <w:r w:rsidRPr="00401691">
              <w:rPr>
                <w:rFonts w:asciiTheme="majorHAnsi" w:eastAsia="Times New Roman" w:hAnsiTheme="majorHAnsi" w:cstheme="majorHAnsi"/>
                <w:b/>
                <w:bCs/>
                <w:color w:val="000000"/>
                <w:sz w:val="18"/>
                <w:szCs w:val="18"/>
                <w:lang w:val="ro-MD"/>
              </w:rPr>
              <w:t>/o</w:t>
            </w:r>
          </w:p>
        </w:tc>
        <w:tc>
          <w:tcPr>
            <w:tcW w:w="1720" w:type="dxa"/>
            <w:tcBorders>
              <w:top w:val="nil"/>
              <w:left w:val="nil"/>
              <w:bottom w:val="single" w:sz="4" w:space="0" w:color="auto"/>
              <w:right w:val="single" w:sz="4" w:space="0" w:color="auto"/>
            </w:tcBorders>
            <w:shd w:val="clear" w:color="auto" w:fill="auto"/>
            <w:noWrap/>
            <w:hideMark/>
          </w:tcPr>
          <w:p w:rsidR="00C55DF6" w:rsidRPr="00401691" w:rsidRDefault="00C55DF6" w:rsidP="00844145">
            <w:pPr>
              <w:spacing w:after="0" w:line="276" w:lineRule="auto"/>
              <w:jc w:val="center"/>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Cod</w:t>
            </w:r>
            <w:r w:rsidR="00F5250B">
              <w:rPr>
                <w:rFonts w:asciiTheme="majorHAnsi" w:eastAsia="Times New Roman" w:hAnsiTheme="majorHAnsi" w:cstheme="majorHAnsi"/>
                <w:b/>
                <w:bCs/>
                <w:color w:val="000000"/>
                <w:sz w:val="18"/>
                <w:szCs w:val="18"/>
                <w:lang w:val="ro-MD"/>
              </w:rPr>
              <w:t>ul</w:t>
            </w:r>
            <w:r w:rsidRPr="00401691">
              <w:rPr>
                <w:rFonts w:asciiTheme="majorHAnsi" w:eastAsia="Times New Roman" w:hAnsiTheme="majorHAnsi" w:cstheme="majorHAnsi"/>
                <w:b/>
                <w:bCs/>
                <w:color w:val="000000"/>
                <w:sz w:val="18"/>
                <w:szCs w:val="18"/>
                <w:lang w:val="ro-MD"/>
              </w:rPr>
              <w:t xml:space="preserve"> fiscal al contribuabililor</w:t>
            </w:r>
          </w:p>
        </w:tc>
        <w:tc>
          <w:tcPr>
            <w:tcW w:w="1873" w:type="dxa"/>
            <w:tcBorders>
              <w:top w:val="nil"/>
              <w:left w:val="nil"/>
              <w:bottom w:val="single" w:sz="4" w:space="0" w:color="auto"/>
              <w:right w:val="single" w:sz="4" w:space="0" w:color="auto"/>
            </w:tcBorders>
            <w:shd w:val="clear" w:color="auto" w:fill="auto"/>
            <w:hideMark/>
          </w:tcPr>
          <w:p w:rsidR="00C55DF6" w:rsidRPr="00401691" w:rsidRDefault="00C55DF6" w:rsidP="00844145">
            <w:pPr>
              <w:spacing w:after="0" w:line="276" w:lineRule="auto"/>
              <w:jc w:val="center"/>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Sold</w:t>
            </w:r>
            <w:r w:rsidR="00F5250B">
              <w:rPr>
                <w:rFonts w:asciiTheme="majorHAnsi" w:eastAsia="Times New Roman" w:hAnsiTheme="majorHAnsi" w:cstheme="majorHAnsi"/>
                <w:b/>
                <w:bCs/>
                <w:color w:val="000000"/>
                <w:sz w:val="18"/>
                <w:szCs w:val="18"/>
                <w:lang w:val="ro-MD"/>
              </w:rPr>
              <w:t>ul</w:t>
            </w:r>
            <w:r w:rsidRPr="00401691">
              <w:rPr>
                <w:rFonts w:asciiTheme="majorHAnsi" w:eastAsia="Times New Roman" w:hAnsiTheme="majorHAnsi" w:cstheme="majorHAnsi"/>
                <w:b/>
                <w:bCs/>
                <w:color w:val="000000"/>
                <w:sz w:val="18"/>
                <w:szCs w:val="18"/>
                <w:lang w:val="ro-MD"/>
              </w:rPr>
              <w:t xml:space="preserve"> fixat la 17.08.</w:t>
            </w:r>
            <w:r w:rsidR="00F5250B">
              <w:rPr>
                <w:rFonts w:asciiTheme="majorHAnsi" w:eastAsia="Times New Roman" w:hAnsiTheme="majorHAnsi" w:cstheme="majorHAnsi"/>
                <w:b/>
                <w:bCs/>
                <w:color w:val="000000"/>
                <w:sz w:val="18"/>
                <w:szCs w:val="18"/>
                <w:lang w:val="ro-MD"/>
              </w:rPr>
              <w:t>20</w:t>
            </w:r>
            <w:r w:rsidRPr="00401691">
              <w:rPr>
                <w:rFonts w:asciiTheme="majorHAnsi" w:eastAsia="Times New Roman" w:hAnsiTheme="majorHAnsi" w:cstheme="majorHAnsi"/>
                <w:b/>
                <w:bCs/>
                <w:color w:val="000000"/>
                <w:sz w:val="18"/>
                <w:szCs w:val="18"/>
                <w:lang w:val="ro-MD"/>
              </w:rPr>
              <w:t>18 conform listei prezentate de SFS</w:t>
            </w:r>
          </w:p>
        </w:tc>
        <w:tc>
          <w:tcPr>
            <w:tcW w:w="1681" w:type="dxa"/>
            <w:tcBorders>
              <w:top w:val="nil"/>
              <w:left w:val="nil"/>
              <w:bottom w:val="single" w:sz="4" w:space="0" w:color="auto"/>
              <w:right w:val="single" w:sz="4" w:space="0" w:color="auto"/>
            </w:tcBorders>
            <w:shd w:val="clear" w:color="auto" w:fill="auto"/>
            <w:hideMark/>
          </w:tcPr>
          <w:p w:rsidR="00C55DF6" w:rsidRPr="00401691" w:rsidRDefault="005C7A4B" w:rsidP="005C7A4B">
            <w:pPr>
              <w:spacing w:after="0" w:line="276" w:lineRule="auto"/>
              <w:jc w:val="center"/>
              <w:rPr>
                <w:rFonts w:asciiTheme="majorHAnsi" w:eastAsia="Times New Roman" w:hAnsiTheme="majorHAnsi" w:cstheme="majorHAnsi"/>
                <w:b/>
                <w:bCs/>
                <w:color w:val="000000"/>
                <w:sz w:val="18"/>
                <w:szCs w:val="18"/>
                <w:lang w:val="ro-MD"/>
              </w:rPr>
            </w:pPr>
            <w:r>
              <w:rPr>
                <w:rFonts w:asciiTheme="majorHAnsi" w:eastAsia="Times New Roman" w:hAnsiTheme="majorHAnsi" w:cstheme="majorHAnsi"/>
                <w:b/>
                <w:bCs/>
                <w:color w:val="000000"/>
                <w:sz w:val="18"/>
                <w:szCs w:val="18"/>
                <w:lang w:val="ro-MD"/>
              </w:rPr>
              <w:t>Suma majorării  de întârziere</w:t>
            </w:r>
            <w:r w:rsidR="00C55DF6" w:rsidRPr="00401691">
              <w:rPr>
                <w:rFonts w:asciiTheme="majorHAnsi" w:eastAsia="Times New Roman" w:hAnsiTheme="majorHAnsi" w:cstheme="majorHAnsi"/>
                <w:b/>
                <w:bCs/>
                <w:color w:val="000000"/>
                <w:sz w:val="18"/>
                <w:szCs w:val="18"/>
                <w:lang w:val="ro-MD"/>
              </w:rPr>
              <w:t>/amenzii anulat</w:t>
            </w:r>
            <w:r w:rsidR="00F5250B">
              <w:rPr>
                <w:rFonts w:asciiTheme="majorHAnsi" w:eastAsia="Times New Roman" w:hAnsiTheme="majorHAnsi" w:cstheme="majorHAnsi"/>
                <w:b/>
                <w:bCs/>
                <w:color w:val="000000"/>
                <w:sz w:val="18"/>
                <w:szCs w:val="18"/>
                <w:lang w:val="ro-MD"/>
              </w:rPr>
              <w:t>e</w:t>
            </w:r>
            <w:r w:rsidR="00C55DF6" w:rsidRPr="00401691">
              <w:rPr>
                <w:rFonts w:asciiTheme="majorHAnsi" w:eastAsia="Times New Roman" w:hAnsiTheme="majorHAnsi" w:cstheme="majorHAnsi"/>
                <w:b/>
                <w:bCs/>
                <w:color w:val="000000"/>
                <w:sz w:val="18"/>
                <w:szCs w:val="18"/>
                <w:lang w:val="ro-MD"/>
              </w:rPr>
              <w:t xml:space="preserve"> la 21.12.2018</w:t>
            </w:r>
          </w:p>
        </w:tc>
        <w:tc>
          <w:tcPr>
            <w:tcW w:w="2116" w:type="dxa"/>
            <w:tcBorders>
              <w:top w:val="nil"/>
              <w:left w:val="nil"/>
              <w:bottom w:val="single" w:sz="4" w:space="0" w:color="auto"/>
              <w:right w:val="single" w:sz="4" w:space="0" w:color="auto"/>
            </w:tcBorders>
            <w:shd w:val="clear" w:color="auto" w:fill="auto"/>
            <w:hideMark/>
          </w:tcPr>
          <w:p w:rsidR="00C55DF6" w:rsidRPr="00401691" w:rsidRDefault="00C55DF6" w:rsidP="005C7A4B">
            <w:pPr>
              <w:spacing w:after="0" w:line="276" w:lineRule="auto"/>
              <w:jc w:val="center"/>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 xml:space="preserve">Suma </w:t>
            </w:r>
            <w:r w:rsidR="005C7A4B">
              <w:rPr>
                <w:rFonts w:asciiTheme="majorHAnsi" w:eastAsia="Times New Roman" w:hAnsiTheme="majorHAnsi" w:cstheme="majorHAnsi"/>
                <w:b/>
                <w:bCs/>
                <w:color w:val="000000"/>
                <w:sz w:val="18"/>
                <w:szCs w:val="18"/>
                <w:lang w:val="ro-MD"/>
              </w:rPr>
              <w:t xml:space="preserve">majorării de </w:t>
            </w:r>
            <w:proofErr w:type="spellStart"/>
            <w:r w:rsidR="005C7A4B">
              <w:rPr>
                <w:rFonts w:asciiTheme="majorHAnsi" w:eastAsia="Times New Roman" w:hAnsiTheme="majorHAnsi" w:cstheme="majorHAnsi"/>
                <w:b/>
                <w:bCs/>
                <w:color w:val="000000"/>
                <w:sz w:val="18"/>
                <w:szCs w:val="18"/>
                <w:lang w:val="ro-MD"/>
              </w:rPr>
              <w:t>întărziere</w:t>
            </w:r>
            <w:proofErr w:type="spellEnd"/>
            <w:r w:rsidRPr="00401691">
              <w:rPr>
                <w:rFonts w:asciiTheme="majorHAnsi" w:eastAsia="Times New Roman" w:hAnsiTheme="majorHAnsi" w:cstheme="majorHAnsi"/>
                <w:b/>
                <w:bCs/>
                <w:color w:val="000000"/>
                <w:sz w:val="18"/>
                <w:szCs w:val="18"/>
                <w:lang w:val="ro-MD"/>
              </w:rPr>
              <w:t>/amenzii anulate conform DFISC DI0090014D din 17.04.</w:t>
            </w:r>
            <w:r w:rsidR="00F5250B">
              <w:rPr>
                <w:rFonts w:asciiTheme="majorHAnsi" w:eastAsia="Times New Roman" w:hAnsiTheme="majorHAnsi" w:cstheme="majorHAnsi"/>
                <w:b/>
                <w:bCs/>
                <w:color w:val="000000"/>
                <w:sz w:val="18"/>
                <w:szCs w:val="18"/>
                <w:lang w:val="ro-MD"/>
              </w:rPr>
              <w:t>20</w:t>
            </w:r>
            <w:r w:rsidRPr="00401691">
              <w:rPr>
                <w:rFonts w:asciiTheme="majorHAnsi" w:eastAsia="Times New Roman" w:hAnsiTheme="majorHAnsi" w:cstheme="majorHAnsi"/>
                <w:b/>
                <w:bCs/>
                <w:color w:val="000000"/>
                <w:sz w:val="18"/>
                <w:szCs w:val="18"/>
                <w:lang w:val="ro-MD"/>
              </w:rPr>
              <w:t>19</w:t>
            </w:r>
          </w:p>
        </w:tc>
        <w:tc>
          <w:tcPr>
            <w:tcW w:w="1890" w:type="dxa"/>
            <w:tcBorders>
              <w:top w:val="nil"/>
              <w:left w:val="nil"/>
              <w:bottom w:val="single" w:sz="4" w:space="0" w:color="auto"/>
              <w:right w:val="single" w:sz="4" w:space="0" w:color="auto"/>
            </w:tcBorders>
            <w:shd w:val="clear" w:color="auto" w:fill="auto"/>
            <w:hideMark/>
          </w:tcPr>
          <w:p w:rsidR="00C55DF6" w:rsidRPr="00401691" w:rsidRDefault="00C55DF6" w:rsidP="00844145">
            <w:pPr>
              <w:spacing w:after="0" w:line="276" w:lineRule="auto"/>
              <w:jc w:val="center"/>
              <w:rPr>
                <w:rFonts w:asciiTheme="majorHAnsi" w:eastAsia="Times New Roman" w:hAnsiTheme="majorHAnsi" w:cstheme="majorHAnsi"/>
                <w:b/>
                <w:bCs/>
                <w:color w:val="000000"/>
                <w:sz w:val="18"/>
                <w:szCs w:val="18"/>
                <w:lang w:val="ro-MD"/>
              </w:rPr>
            </w:pPr>
            <w:r w:rsidRPr="00401691">
              <w:rPr>
                <w:rFonts w:asciiTheme="majorHAnsi" w:eastAsia="Times New Roman" w:hAnsiTheme="majorHAnsi" w:cstheme="majorHAnsi"/>
                <w:b/>
                <w:bCs/>
                <w:color w:val="000000"/>
                <w:sz w:val="18"/>
                <w:szCs w:val="18"/>
                <w:lang w:val="ro-MD"/>
              </w:rPr>
              <w:t>Divergențe</w:t>
            </w:r>
            <w:r w:rsidR="00F5250B">
              <w:rPr>
                <w:rFonts w:asciiTheme="majorHAnsi" w:eastAsia="Times New Roman" w:hAnsiTheme="majorHAnsi" w:cstheme="majorHAnsi"/>
                <w:b/>
                <w:bCs/>
                <w:color w:val="000000"/>
                <w:sz w:val="18"/>
                <w:szCs w:val="18"/>
                <w:lang w:val="ro-MD"/>
              </w:rPr>
              <w:t>le</w:t>
            </w:r>
            <w:r w:rsidRPr="00401691">
              <w:rPr>
                <w:rFonts w:asciiTheme="majorHAnsi" w:eastAsia="Times New Roman" w:hAnsiTheme="majorHAnsi" w:cstheme="majorHAnsi"/>
                <w:b/>
                <w:bCs/>
                <w:color w:val="000000"/>
                <w:sz w:val="18"/>
                <w:szCs w:val="18"/>
                <w:lang w:val="ro-MD"/>
              </w:rPr>
              <w:t xml:space="preserve"> stabilite de audit</w:t>
            </w:r>
          </w:p>
        </w:tc>
      </w:tr>
      <w:tr w:rsidR="00C55DF6" w:rsidRPr="00401691" w:rsidTr="00A353BB">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jc w:val="right"/>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1</w:t>
            </w:r>
          </w:p>
        </w:tc>
        <w:tc>
          <w:tcPr>
            <w:tcW w:w="1720" w:type="dxa"/>
            <w:tcBorders>
              <w:top w:val="nil"/>
              <w:left w:val="nil"/>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1014600035666</w:t>
            </w:r>
          </w:p>
        </w:tc>
        <w:tc>
          <w:tcPr>
            <w:tcW w:w="1873" w:type="dxa"/>
            <w:tcBorders>
              <w:top w:val="nil"/>
              <w:left w:val="nil"/>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jc w:val="right"/>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0</w:t>
            </w:r>
          </w:p>
        </w:tc>
        <w:tc>
          <w:tcPr>
            <w:tcW w:w="1681" w:type="dxa"/>
            <w:tcBorders>
              <w:top w:val="nil"/>
              <w:left w:val="nil"/>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jc w:val="right"/>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0</w:t>
            </w:r>
          </w:p>
        </w:tc>
        <w:tc>
          <w:tcPr>
            <w:tcW w:w="2116" w:type="dxa"/>
            <w:tcBorders>
              <w:top w:val="nil"/>
              <w:left w:val="nil"/>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jc w:val="right"/>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184603.3</w:t>
            </w:r>
          </w:p>
        </w:tc>
        <w:tc>
          <w:tcPr>
            <w:tcW w:w="1890" w:type="dxa"/>
            <w:tcBorders>
              <w:top w:val="nil"/>
              <w:left w:val="nil"/>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jc w:val="right"/>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184603.3</w:t>
            </w:r>
          </w:p>
        </w:tc>
      </w:tr>
      <w:tr w:rsidR="00C55DF6" w:rsidRPr="00401691" w:rsidTr="00A353BB">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jc w:val="right"/>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2</w:t>
            </w:r>
          </w:p>
        </w:tc>
        <w:tc>
          <w:tcPr>
            <w:tcW w:w="1720" w:type="dxa"/>
            <w:tcBorders>
              <w:top w:val="nil"/>
              <w:left w:val="nil"/>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1003600089155</w:t>
            </w:r>
          </w:p>
        </w:tc>
        <w:tc>
          <w:tcPr>
            <w:tcW w:w="1873" w:type="dxa"/>
            <w:tcBorders>
              <w:top w:val="nil"/>
              <w:left w:val="nil"/>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jc w:val="right"/>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42,432.44</w:t>
            </w:r>
          </w:p>
        </w:tc>
        <w:tc>
          <w:tcPr>
            <w:tcW w:w="1681" w:type="dxa"/>
            <w:tcBorders>
              <w:top w:val="nil"/>
              <w:left w:val="nil"/>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jc w:val="right"/>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0</w:t>
            </w:r>
          </w:p>
        </w:tc>
        <w:tc>
          <w:tcPr>
            <w:tcW w:w="2116" w:type="dxa"/>
            <w:tcBorders>
              <w:top w:val="nil"/>
              <w:left w:val="nil"/>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jc w:val="right"/>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42432.44</w:t>
            </w:r>
          </w:p>
        </w:tc>
        <w:tc>
          <w:tcPr>
            <w:tcW w:w="1890" w:type="dxa"/>
            <w:tcBorders>
              <w:top w:val="nil"/>
              <w:left w:val="nil"/>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jc w:val="right"/>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0.00</w:t>
            </w:r>
          </w:p>
        </w:tc>
      </w:tr>
      <w:tr w:rsidR="00C55DF6" w:rsidRPr="00401691" w:rsidTr="00A353BB">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jc w:val="right"/>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3</w:t>
            </w:r>
          </w:p>
        </w:tc>
        <w:tc>
          <w:tcPr>
            <w:tcW w:w="1720" w:type="dxa"/>
            <w:tcBorders>
              <w:top w:val="nil"/>
              <w:left w:val="nil"/>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1008600038284</w:t>
            </w:r>
          </w:p>
        </w:tc>
        <w:tc>
          <w:tcPr>
            <w:tcW w:w="1873" w:type="dxa"/>
            <w:tcBorders>
              <w:top w:val="nil"/>
              <w:left w:val="nil"/>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jc w:val="right"/>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12.41</w:t>
            </w:r>
          </w:p>
        </w:tc>
        <w:tc>
          <w:tcPr>
            <w:tcW w:w="1681" w:type="dxa"/>
            <w:tcBorders>
              <w:top w:val="nil"/>
              <w:left w:val="nil"/>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jc w:val="right"/>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12.41</w:t>
            </w:r>
          </w:p>
        </w:tc>
        <w:tc>
          <w:tcPr>
            <w:tcW w:w="2116" w:type="dxa"/>
            <w:tcBorders>
              <w:top w:val="nil"/>
              <w:left w:val="nil"/>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jc w:val="right"/>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4857.5</w:t>
            </w:r>
          </w:p>
        </w:tc>
        <w:tc>
          <w:tcPr>
            <w:tcW w:w="1890" w:type="dxa"/>
            <w:tcBorders>
              <w:top w:val="nil"/>
              <w:left w:val="nil"/>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jc w:val="right"/>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4857.5</w:t>
            </w:r>
          </w:p>
        </w:tc>
      </w:tr>
      <w:tr w:rsidR="00C55DF6" w:rsidRPr="00401691" w:rsidTr="00A353BB">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jc w:val="right"/>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4</w:t>
            </w:r>
          </w:p>
        </w:tc>
        <w:tc>
          <w:tcPr>
            <w:tcW w:w="1720" w:type="dxa"/>
            <w:tcBorders>
              <w:top w:val="nil"/>
              <w:left w:val="nil"/>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1013600028430</w:t>
            </w:r>
          </w:p>
        </w:tc>
        <w:tc>
          <w:tcPr>
            <w:tcW w:w="1873" w:type="dxa"/>
            <w:tcBorders>
              <w:top w:val="nil"/>
              <w:left w:val="nil"/>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jc w:val="right"/>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3,554.77</w:t>
            </w:r>
          </w:p>
        </w:tc>
        <w:tc>
          <w:tcPr>
            <w:tcW w:w="1681" w:type="dxa"/>
            <w:tcBorders>
              <w:top w:val="nil"/>
              <w:left w:val="nil"/>
              <w:bottom w:val="nil"/>
              <w:right w:val="nil"/>
            </w:tcBorders>
            <w:shd w:val="clear" w:color="auto" w:fill="auto"/>
            <w:noWrap/>
            <w:vAlign w:val="bottom"/>
            <w:hideMark/>
          </w:tcPr>
          <w:p w:rsidR="00C55DF6" w:rsidRPr="00401691" w:rsidRDefault="00C55DF6" w:rsidP="00844145">
            <w:pPr>
              <w:spacing w:after="0" w:line="276" w:lineRule="auto"/>
              <w:jc w:val="right"/>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3,554.77</w:t>
            </w:r>
          </w:p>
        </w:tc>
        <w:tc>
          <w:tcPr>
            <w:tcW w:w="2116" w:type="dxa"/>
            <w:tcBorders>
              <w:top w:val="nil"/>
              <w:left w:val="single" w:sz="4" w:space="0" w:color="auto"/>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jc w:val="right"/>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665,554.98</w:t>
            </w:r>
          </w:p>
        </w:tc>
        <w:tc>
          <w:tcPr>
            <w:tcW w:w="1890" w:type="dxa"/>
            <w:tcBorders>
              <w:top w:val="nil"/>
              <w:left w:val="nil"/>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jc w:val="right"/>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665554.98</w:t>
            </w:r>
          </w:p>
        </w:tc>
      </w:tr>
      <w:tr w:rsidR="00C55DF6" w:rsidRPr="00401691" w:rsidTr="00A353BB">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jc w:val="right"/>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5</w:t>
            </w:r>
          </w:p>
        </w:tc>
        <w:tc>
          <w:tcPr>
            <w:tcW w:w="1720" w:type="dxa"/>
            <w:tcBorders>
              <w:top w:val="nil"/>
              <w:left w:val="nil"/>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1005600035570</w:t>
            </w:r>
          </w:p>
        </w:tc>
        <w:tc>
          <w:tcPr>
            <w:tcW w:w="1873" w:type="dxa"/>
            <w:tcBorders>
              <w:top w:val="nil"/>
              <w:left w:val="nil"/>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jc w:val="right"/>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47,403.51</w:t>
            </w:r>
          </w:p>
        </w:tc>
        <w:tc>
          <w:tcPr>
            <w:tcW w:w="1681" w:type="dxa"/>
            <w:tcBorders>
              <w:top w:val="single" w:sz="4" w:space="0" w:color="auto"/>
              <w:left w:val="nil"/>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jc w:val="right"/>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0</w:t>
            </w:r>
          </w:p>
        </w:tc>
        <w:tc>
          <w:tcPr>
            <w:tcW w:w="2116" w:type="dxa"/>
            <w:tcBorders>
              <w:top w:val="nil"/>
              <w:left w:val="nil"/>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jc w:val="right"/>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47403.51</w:t>
            </w:r>
          </w:p>
        </w:tc>
        <w:tc>
          <w:tcPr>
            <w:tcW w:w="1890" w:type="dxa"/>
            <w:tcBorders>
              <w:top w:val="nil"/>
              <w:left w:val="nil"/>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jc w:val="right"/>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0.00</w:t>
            </w:r>
          </w:p>
        </w:tc>
      </w:tr>
      <w:tr w:rsidR="00C55DF6" w:rsidRPr="00401691" w:rsidTr="00A353BB">
        <w:trPr>
          <w:trHeight w:val="28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jc w:val="right"/>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6</w:t>
            </w:r>
          </w:p>
        </w:tc>
        <w:tc>
          <w:tcPr>
            <w:tcW w:w="1720" w:type="dxa"/>
            <w:tcBorders>
              <w:top w:val="nil"/>
              <w:left w:val="nil"/>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1010600037259</w:t>
            </w:r>
          </w:p>
        </w:tc>
        <w:tc>
          <w:tcPr>
            <w:tcW w:w="1873" w:type="dxa"/>
            <w:tcBorders>
              <w:top w:val="nil"/>
              <w:left w:val="nil"/>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jc w:val="right"/>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37,801.13</w:t>
            </w:r>
          </w:p>
        </w:tc>
        <w:tc>
          <w:tcPr>
            <w:tcW w:w="1681" w:type="dxa"/>
            <w:tcBorders>
              <w:top w:val="nil"/>
              <w:left w:val="nil"/>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jc w:val="right"/>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0</w:t>
            </w:r>
          </w:p>
        </w:tc>
        <w:tc>
          <w:tcPr>
            <w:tcW w:w="2116" w:type="dxa"/>
            <w:tcBorders>
              <w:top w:val="nil"/>
              <w:left w:val="nil"/>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jc w:val="right"/>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37801.13</w:t>
            </w:r>
          </w:p>
        </w:tc>
        <w:tc>
          <w:tcPr>
            <w:tcW w:w="1890" w:type="dxa"/>
            <w:tcBorders>
              <w:top w:val="nil"/>
              <w:left w:val="nil"/>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jc w:val="right"/>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0.00</w:t>
            </w:r>
          </w:p>
        </w:tc>
      </w:tr>
      <w:tr w:rsidR="00C55DF6" w:rsidRPr="00401691" w:rsidTr="00A353BB">
        <w:trPr>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jc w:val="right"/>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7</w:t>
            </w:r>
          </w:p>
        </w:tc>
        <w:tc>
          <w:tcPr>
            <w:tcW w:w="1720" w:type="dxa"/>
            <w:tcBorders>
              <w:top w:val="nil"/>
              <w:left w:val="nil"/>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1002600026438</w:t>
            </w:r>
          </w:p>
        </w:tc>
        <w:tc>
          <w:tcPr>
            <w:tcW w:w="1873" w:type="dxa"/>
            <w:tcBorders>
              <w:top w:val="nil"/>
              <w:left w:val="nil"/>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jc w:val="right"/>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357,443.57</w:t>
            </w:r>
          </w:p>
        </w:tc>
        <w:tc>
          <w:tcPr>
            <w:tcW w:w="1681" w:type="dxa"/>
            <w:tcBorders>
              <w:top w:val="nil"/>
              <w:left w:val="nil"/>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jc w:val="right"/>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0</w:t>
            </w:r>
          </w:p>
        </w:tc>
        <w:tc>
          <w:tcPr>
            <w:tcW w:w="2116" w:type="dxa"/>
            <w:tcBorders>
              <w:top w:val="nil"/>
              <w:left w:val="nil"/>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jc w:val="right"/>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357443.57</w:t>
            </w:r>
          </w:p>
        </w:tc>
        <w:tc>
          <w:tcPr>
            <w:tcW w:w="1890" w:type="dxa"/>
            <w:tcBorders>
              <w:top w:val="nil"/>
              <w:left w:val="nil"/>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jc w:val="right"/>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0.00</w:t>
            </w:r>
          </w:p>
        </w:tc>
      </w:tr>
      <w:tr w:rsidR="00C55DF6" w:rsidRPr="00401691" w:rsidTr="00A353BB">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jc w:val="right"/>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8</w:t>
            </w:r>
          </w:p>
        </w:tc>
        <w:tc>
          <w:tcPr>
            <w:tcW w:w="1720" w:type="dxa"/>
            <w:tcBorders>
              <w:top w:val="nil"/>
              <w:left w:val="nil"/>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1003600083843</w:t>
            </w:r>
          </w:p>
        </w:tc>
        <w:tc>
          <w:tcPr>
            <w:tcW w:w="1873" w:type="dxa"/>
            <w:tcBorders>
              <w:top w:val="nil"/>
              <w:left w:val="nil"/>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jc w:val="right"/>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552,105.00</w:t>
            </w:r>
          </w:p>
        </w:tc>
        <w:tc>
          <w:tcPr>
            <w:tcW w:w="1681" w:type="dxa"/>
            <w:tcBorders>
              <w:top w:val="nil"/>
              <w:left w:val="nil"/>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jc w:val="right"/>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552,105.00</w:t>
            </w:r>
          </w:p>
        </w:tc>
        <w:tc>
          <w:tcPr>
            <w:tcW w:w="2116" w:type="dxa"/>
            <w:tcBorders>
              <w:top w:val="nil"/>
              <w:left w:val="nil"/>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jc w:val="right"/>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708260.0</w:t>
            </w:r>
          </w:p>
        </w:tc>
        <w:tc>
          <w:tcPr>
            <w:tcW w:w="1890" w:type="dxa"/>
            <w:tcBorders>
              <w:top w:val="nil"/>
              <w:left w:val="nil"/>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jc w:val="right"/>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708260</w:t>
            </w:r>
          </w:p>
        </w:tc>
      </w:tr>
      <w:tr w:rsidR="00C55DF6" w:rsidRPr="00401691" w:rsidTr="00A353BB">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jc w:val="right"/>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9</w:t>
            </w:r>
          </w:p>
        </w:tc>
        <w:tc>
          <w:tcPr>
            <w:tcW w:w="1720" w:type="dxa"/>
            <w:tcBorders>
              <w:top w:val="nil"/>
              <w:left w:val="nil"/>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1012600031549</w:t>
            </w:r>
          </w:p>
        </w:tc>
        <w:tc>
          <w:tcPr>
            <w:tcW w:w="1873" w:type="dxa"/>
            <w:tcBorders>
              <w:top w:val="nil"/>
              <w:left w:val="nil"/>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jc w:val="right"/>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5,068.10</w:t>
            </w:r>
          </w:p>
        </w:tc>
        <w:tc>
          <w:tcPr>
            <w:tcW w:w="1681" w:type="dxa"/>
            <w:tcBorders>
              <w:top w:val="nil"/>
              <w:left w:val="nil"/>
              <w:bottom w:val="nil"/>
              <w:right w:val="nil"/>
            </w:tcBorders>
            <w:shd w:val="clear" w:color="auto" w:fill="auto"/>
            <w:noWrap/>
            <w:vAlign w:val="bottom"/>
            <w:hideMark/>
          </w:tcPr>
          <w:p w:rsidR="00C55DF6" w:rsidRPr="00401691" w:rsidRDefault="00C55DF6" w:rsidP="00844145">
            <w:pPr>
              <w:spacing w:after="0" w:line="276" w:lineRule="auto"/>
              <w:jc w:val="right"/>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5,068.10</w:t>
            </w:r>
          </w:p>
        </w:tc>
        <w:tc>
          <w:tcPr>
            <w:tcW w:w="2116" w:type="dxa"/>
            <w:tcBorders>
              <w:top w:val="nil"/>
              <w:left w:val="single" w:sz="4" w:space="0" w:color="auto"/>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jc w:val="right"/>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30275.83</w:t>
            </w:r>
          </w:p>
        </w:tc>
        <w:tc>
          <w:tcPr>
            <w:tcW w:w="1890" w:type="dxa"/>
            <w:tcBorders>
              <w:top w:val="nil"/>
              <w:left w:val="nil"/>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jc w:val="right"/>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30275.83</w:t>
            </w:r>
          </w:p>
        </w:tc>
      </w:tr>
      <w:tr w:rsidR="00C55DF6" w:rsidRPr="00401691" w:rsidTr="00A353BB">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jc w:val="right"/>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10</w:t>
            </w:r>
          </w:p>
        </w:tc>
        <w:tc>
          <w:tcPr>
            <w:tcW w:w="1720" w:type="dxa"/>
            <w:tcBorders>
              <w:top w:val="nil"/>
              <w:left w:val="nil"/>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1014602000226</w:t>
            </w:r>
          </w:p>
        </w:tc>
        <w:tc>
          <w:tcPr>
            <w:tcW w:w="1873" w:type="dxa"/>
            <w:tcBorders>
              <w:top w:val="nil"/>
              <w:left w:val="nil"/>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jc w:val="right"/>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2.22</w:t>
            </w:r>
          </w:p>
        </w:tc>
        <w:tc>
          <w:tcPr>
            <w:tcW w:w="1681" w:type="dxa"/>
            <w:tcBorders>
              <w:top w:val="single" w:sz="4" w:space="0" w:color="auto"/>
              <w:left w:val="nil"/>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jc w:val="right"/>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2.22</w:t>
            </w:r>
          </w:p>
        </w:tc>
        <w:tc>
          <w:tcPr>
            <w:tcW w:w="2116" w:type="dxa"/>
            <w:tcBorders>
              <w:top w:val="nil"/>
              <w:left w:val="nil"/>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jc w:val="right"/>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5000</w:t>
            </w:r>
          </w:p>
        </w:tc>
        <w:tc>
          <w:tcPr>
            <w:tcW w:w="1890" w:type="dxa"/>
            <w:tcBorders>
              <w:top w:val="nil"/>
              <w:left w:val="nil"/>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jc w:val="right"/>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5000</w:t>
            </w:r>
          </w:p>
        </w:tc>
      </w:tr>
      <w:tr w:rsidR="00C55DF6" w:rsidRPr="00401691" w:rsidTr="00A353BB">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jc w:val="right"/>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11</w:t>
            </w:r>
          </w:p>
        </w:tc>
        <w:tc>
          <w:tcPr>
            <w:tcW w:w="1720" w:type="dxa"/>
            <w:tcBorders>
              <w:top w:val="nil"/>
              <w:left w:val="nil"/>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1003600039644</w:t>
            </w:r>
          </w:p>
        </w:tc>
        <w:tc>
          <w:tcPr>
            <w:tcW w:w="1873" w:type="dxa"/>
            <w:tcBorders>
              <w:top w:val="nil"/>
              <w:left w:val="nil"/>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jc w:val="right"/>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7,879.58</w:t>
            </w:r>
          </w:p>
        </w:tc>
        <w:tc>
          <w:tcPr>
            <w:tcW w:w="1681" w:type="dxa"/>
            <w:tcBorders>
              <w:top w:val="nil"/>
              <w:left w:val="nil"/>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jc w:val="right"/>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0</w:t>
            </w:r>
          </w:p>
        </w:tc>
        <w:tc>
          <w:tcPr>
            <w:tcW w:w="2116" w:type="dxa"/>
            <w:tcBorders>
              <w:top w:val="nil"/>
              <w:left w:val="nil"/>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jc w:val="right"/>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7879.58</w:t>
            </w:r>
          </w:p>
        </w:tc>
        <w:tc>
          <w:tcPr>
            <w:tcW w:w="1890" w:type="dxa"/>
            <w:tcBorders>
              <w:top w:val="nil"/>
              <w:left w:val="nil"/>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jc w:val="right"/>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0.00</w:t>
            </w:r>
          </w:p>
        </w:tc>
      </w:tr>
      <w:tr w:rsidR="00C55DF6" w:rsidRPr="00401691" w:rsidTr="00A353BB">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rPr>
                <w:rFonts w:asciiTheme="majorHAnsi" w:eastAsia="Times New Roman" w:hAnsiTheme="majorHAnsi" w:cstheme="majorHAnsi"/>
                <w:color w:val="000000"/>
                <w:lang w:val="ro-MD"/>
              </w:rPr>
            </w:pPr>
            <w:r w:rsidRPr="00401691">
              <w:rPr>
                <w:rFonts w:asciiTheme="majorHAnsi" w:eastAsia="Times New Roman" w:hAnsiTheme="majorHAnsi" w:cstheme="majorHAnsi"/>
                <w:color w:val="000000"/>
                <w:lang w:val="ro-MD"/>
              </w:rPr>
              <w:t> </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C55DF6" w:rsidRPr="00401691" w:rsidRDefault="00C55DF6" w:rsidP="00844145">
            <w:pPr>
              <w:spacing w:after="0" w:line="276" w:lineRule="auto"/>
              <w:jc w:val="center"/>
              <w:rPr>
                <w:rFonts w:asciiTheme="majorHAnsi" w:eastAsia="Times New Roman" w:hAnsiTheme="majorHAnsi" w:cstheme="majorHAnsi"/>
                <w:b/>
                <w:bCs/>
                <w:color w:val="000000"/>
                <w:lang w:val="ro-MD"/>
              </w:rPr>
            </w:pPr>
            <w:r w:rsidRPr="00401691">
              <w:rPr>
                <w:rFonts w:asciiTheme="majorHAnsi" w:eastAsia="Times New Roman" w:hAnsiTheme="majorHAnsi" w:cstheme="majorHAnsi"/>
                <w:b/>
                <w:bCs/>
                <w:color w:val="000000"/>
                <w:lang w:val="ro-MD"/>
              </w:rPr>
              <w:t>Total</w:t>
            </w:r>
          </w:p>
        </w:tc>
        <w:tc>
          <w:tcPr>
            <w:tcW w:w="1873" w:type="dxa"/>
            <w:tcBorders>
              <w:top w:val="nil"/>
              <w:left w:val="nil"/>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jc w:val="right"/>
              <w:rPr>
                <w:rFonts w:asciiTheme="majorHAnsi" w:eastAsia="Times New Roman" w:hAnsiTheme="majorHAnsi" w:cstheme="majorHAnsi"/>
                <w:b/>
                <w:bCs/>
                <w:color w:val="000000"/>
                <w:lang w:val="ro-MD"/>
              </w:rPr>
            </w:pPr>
            <w:r w:rsidRPr="00401691">
              <w:rPr>
                <w:rFonts w:asciiTheme="majorHAnsi" w:eastAsia="Times New Roman" w:hAnsiTheme="majorHAnsi" w:cstheme="majorHAnsi"/>
                <w:b/>
                <w:bCs/>
                <w:color w:val="000000"/>
                <w:lang w:val="ro-MD"/>
              </w:rPr>
              <w:t>1053702.73</w:t>
            </w:r>
          </w:p>
        </w:tc>
        <w:tc>
          <w:tcPr>
            <w:tcW w:w="1681" w:type="dxa"/>
            <w:tcBorders>
              <w:top w:val="nil"/>
              <w:left w:val="nil"/>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jc w:val="right"/>
              <w:rPr>
                <w:rFonts w:asciiTheme="majorHAnsi" w:eastAsia="Times New Roman" w:hAnsiTheme="majorHAnsi" w:cstheme="majorHAnsi"/>
                <w:b/>
                <w:bCs/>
                <w:color w:val="000000"/>
                <w:lang w:val="ro-MD"/>
              </w:rPr>
            </w:pPr>
            <w:r w:rsidRPr="00401691">
              <w:rPr>
                <w:rFonts w:asciiTheme="majorHAnsi" w:eastAsia="Times New Roman" w:hAnsiTheme="majorHAnsi" w:cstheme="majorHAnsi"/>
                <w:b/>
                <w:bCs/>
                <w:color w:val="000000"/>
                <w:lang w:val="ro-MD"/>
              </w:rPr>
              <w:t>560742.5</w:t>
            </w:r>
          </w:p>
        </w:tc>
        <w:tc>
          <w:tcPr>
            <w:tcW w:w="2116" w:type="dxa"/>
            <w:tcBorders>
              <w:top w:val="nil"/>
              <w:left w:val="nil"/>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jc w:val="right"/>
              <w:rPr>
                <w:rFonts w:asciiTheme="majorHAnsi" w:eastAsia="Times New Roman" w:hAnsiTheme="majorHAnsi" w:cstheme="majorHAnsi"/>
                <w:b/>
                <w:bCs/>
                <w:color w:val="000000"/>
                <w:lang w:val="ro-MD"/>
              </w:rPr>
            </w:pPr>
            <w:r w:rsidRPr="00401691">
              <w:rPr>
                <w:rFonts w:asciiTheme="majorHAnsi" w:eastAsia="Times New Roman" w:hAnsiTheme="majorHAnsi" w:cstheme="majorHAnsi"/>
                <w:b/>
                <w:bCs/>
                <w:color w:val="000000"/>
                <w:lang w:val="ro-MD"/>
              </w:rPr>
              <w:t>2091511.84</w:t>
            </w:r>
          </w:p>
        </w:tc>
        <w:tc>
          <w:tcPr>
            <w:tcW w:w="1890" w:type="dxa"/>
            <w:tcBorders>
              <w:top w:val="nil"/>
              <w:left w:val="nil"/>
              <w:bottom w:val="single" w:sz="4" w:space="0" w:color="auto"/>
              <w:right w:val="single" w:sz="4" w:space="0" w:color="auto"/>
            </w:tcBorders>
            <w:shd w:val="clear" w:color="auto" w:fill="auto"/>
            <w:noWrap/>
            <w:vAlign w:val="bottom"/>
            <w:hideMark/>
          </w:tcPr>
          <w:p w:rsidR="00C55DF6" w:rsidRPr="00401691" w:rsidRDefault="00C55DF6" w:rsidP="00844145">
            <w:pPr>
              <w:spacing w:after="0" w:line="276" w:lineRule="auto"/>
              <w:jc w:val="right"/>
              <w:rPr>
                <w:rFonts w:asciiTheme="majorHAnsi" w:eastAsia="Times New Roman" w:hAnsiTheme="majorHAnsi" w:cstheme="majorHAnsi"/>
                <w:b/>
                <w:bCs/>
                <w:color w:val="000000"/>
                <w:lang w:val="ro-MD"/>
              </w:rPr>
            </w:pPr>
            <w:r w:rsidRPr="00401691">
              <w:rPr>
                <w:rFonts w:asciiTheme="majorHAnsi" w:eastAsia="Times New Roman" w:hAnsiTheme="majorHAnsi" w:cstheme="majorHAnsi"/>
                <w:b/>
                <w:bCs/>
                <w:color w:val="000000"/>
                <w:lang w:val="ro-MD"/>
              </w:rPr>
              <w:t>1598551.61</w:t>
            </w:r>
          </w:p>
        </w:tc>
      </w:tr>
    </w:tbl>
    <w:p w:rsidR="00C55DF6" w:rsidRDefault="00C55DF6" w:rsidP="00844145">
      <w:pPr>
        <w:spacing w:line="276" w:lineRule="auto"/>
        <w:jc w:val="right"/>
        <w:rPr>
          <w:rFonts w:asciiTheme="majorHAnsi" w:hAnsiTheme="majorHAnsi" w:cstheme="majorHAnsi"/>
          <w:i/>
          <w:sz w:val="24"/>
          <w:szCs w:val="24"/>
          <w:lang w:val="ro-MD"/>
        </w:rPr>
      </w:pPr>
    </w:p>
    <w:p w:rsidR="00E240EE" w:rsidRPr="00401691" w:rsidRDefault="00E240EE" w:rsidP="00844145">
      <w:pPr>
        <w:spacing w:line="276" w:lineRule="auto"/>
        <w:jc w:val="right"/>
        <w:rPr>
          <w:rFonts w:asciiTheme="majorHAnsi" w:hAnsiTheme="majorHAnsi" w:cstheme="majorHAnsi"/>
          <w:i/>
          <w:sz w:val="24"/>
          <w:szCs w:val="24"/>
          <w:lang w:val="ro-MD"/>
        </w:rPr>
      </w:pPr>
    </w:p>
    <w:p w:rsidR="00121AF7" w:rsidRPr="00121AF7" w:rsidRDefault="00121AF7" w:rsidP="00121AF7">
      <w:pPr>
        <w:pStyle w:val="ListParagraph"/>
        <w:spacing w:after="120" w:line="276" w:lineRule="auto"/>
        <w:ind w:left="0"/>
        <w:contextualSpacing w:val="0"/>
        <w:jc w:val="right"/>
        <w:rPr>
          <w:rFonts w:asciiTheme="majorHAnsi" w:hAnsiTheme="majorHAnsi" w:cstheme="majorHAnsi"/>
          <w:i/>
          <w:sz w:val="24"/>
          <w:szCs w:val="24"/>
          <w:lang w:val="ro-MD"/>
        </w:rPr>
      </w:pPr>
      <w:r w:rsidRPr="00121AF7">
        <w:rPr>
          <w:rFonts w:asciiTheme="majorHAnsi" w:hAnsiTheme="majorHAnsi" w:cstheme="majorHAnsi"/>
          <w:i/>
          <w:sz w:val="24"/>
          <w:szCs w:val="24"/>
          <w:lang w:val="ro-MD"/>
        </w:rPr>
        <w:t>Anexa nr. 7</w:t>
      </w:r>
    </w:p>
    <w:p w:rsidR="00121AF7" w:rsidRPr="005F7AC7" w:rsidRDefault="00121AF7" w:rsidP="005F7AC7">
      <w:pPr>
        <w:jc w:val="center"/>
        <w:rPr>
          <w:rFonts w:asciiTheme="majorHAnsi" w:hAnsiTheme="majorHAnsi" w:cstheme="majorHAnsi"/>
          <w:b/>
          <w:sz w:val="20"/>
          <w:szCs w:val="20"/>
          <w:lang w:val="ro-MD"/>
        </w:rPr>
      </w:pPr>
      <w:r w:rsidRPr="005F7AC7">
        <w:rPr>
          <w:rFonts w:asciiTheme="majorHAnsi" w:hAnsiTheme="majorHAnsi" w:cstheme="majorHAnsi"/>
          <w:b/>
          <w:sz w:val="20"/>
          <w:szCs w:val="20"/>
          <w:lang w:val="ro-MD"/>
        </w:rPr>
        <w:t>Imagin</w:t>
      </w:r>
      <w:r w:rsidR="005F7AC7" w:rsidRPr="005F7AC7">
        <w:rPr>
          <w:rFonts w:asciiTheme="majorHAnsi" w:hAnsiTheme="majorHAnsi" w:cstheme="majorHAnsi"/>
          <w:b/>
          <w:sz w:val="20"/>
          <w:szCs w:val="20"/>
          <w:lang w:val="ro-MD"/>
        </w:rPr>
        <w:t xml:space="preserve">i </w:t>
      </w:r>
      <w:r w:rsidR="00787C40">
        <w:rPr>
          <w:rFonts w:asciiTheme="majorHAnsi" w:hAnsiTheme="majorHAnsi" w:cstheme="majorHAnsi"/>
          <w:b/>
          <w:sz w:val="20"/>
          <w:szCs w:val="20"/>
          <w:lang w:val="ro-MD"/>
        </w:rPr>
        <w:t>c</w:t>
      </w:r>
      <w:r w:rsidR="00F5250B">
        <w:rPr>
          <w:rFonts w:asciiTheme="majorHAnsi" w:hAnsiTheme="majorHAnsi" w:cstheme="majorHAnsi"/>
          <w:b/>
          <w:sz w:val="20"/>
          <w:szCs w:val="20"/>
          <w:lang w:val="ro-MD"/>
        </w:rPr>
        <w:t>ar</w:t>
      </w:r>
      <w:r w:rsidR="00787C40">
        <w:rPr>
          <w:rFonts w:asciiTheme="majorHAnsi" w:hAnsiTheme="majorHAnsi" w:cstheme="majorHAnsi"/>
          <w:b/>
          <w:sz w:val="20"/>
          <w:szCs w:val="20"/>
          <w:lang w:val="ro-MD"/>
        </w:rPr>
        <w:t>e atestă expunerea la vâ</w:t>
      </w:r>
      <w:r w:rsidR="00787C40" w:rsidRPr="005F7AC7">
        <w:rPr>
          <w:rFonts w:asciiTheme="majorHAnsi" w:hAnsiTheme="majorHAnsi" w:cstheme="majorHAnsi"/>
          <w:b/>
          <w:sz w:val="20"/>
          <w:szCs w:val="20"/>
          <w:lang w:val="ro-MD"/>
        </w:rPr>
        <w:t>nzare</w:t>
      </w:r>
      <w:r w:rsidR="005F7AC7" w:rsidRPr="005F7AC7">
        <w:rPr>
          <w:rFonts w:asciiTheme="majorHAnsi" w:hAnsiTheme="majorHAnsi" w:cstheme="majorHAnsi"/>
          <w:b/>
          <w:sz w:val="20"/>
          <w:szCs w:val="20"/>
          <w:lang w:val="ro-MD"/>
        </w:rPr>
        <w:t xml:space="preserve"> </w:t>
      </w:r>
      <w:r w:rsidR="00AB21A9">
        <w:rPr>
          <w:rFonts w:asciiTheme="majorHAnsi" w:hAnsiTheme="majorHAnsi" w:cstheme="majorHAnsi"/>
          <w:b/>
          <w:sz w:val="20"/>
          <w:szCs w:val="20"/>
          <w:lang w:val="ro-MD"/>
        </w:rPr>
        <w:t xml:space="preserve">on-line </w:t>
      </w:r>
      <w:r w:rsidR="005F7AC7" w:rsidRPr="005F7AC7">
        <w:rPr>
          <w:rFonts w:asciiTheme="majorHAnsi" w:hAnsiTheme="majorHAnsi" w:cstheme="majorHAnsi"/>
          <w:b/>
          <w:sz w:val="20"/>
          <w:szCs w:val="20"/>
          <w:lang w:val="ro-MD"/>
        </w:rPr>
        <w:t>de către consignatar a lotului de bijuterii din metale prețioase sechestrat în scopul recuperării arieratelor de la SC</w:t>
      </w:r>
      <w:r w:rsidR="00787C40">
        <w:rPr>
          <w:rFonts w:asciiTheme="majorHAnsi" w:hAnsiTheme="majorHAnsi" w:cstheme="majorHAnsi"/>
          <w:b/>
          <w:sz w:val="20"/>
          <w:szCs w:val="20"/>
          <w:lang w:val="ro-MD"/>
        </w:rPr>
        <w:t xml:space="preserve"> „</w:t>
      </w:r>
      <w:proofErr w:type="spellStart"/>
      <w:r w:rsidR="005F7AC7" w:rsidRPr="005F7AC7">
        <w:rPr>
          <w:rFonts w:asciiTheme="majorHAnsi" w:hAnsiTheme="majorHAnsi" w:cstheme="majorHAnsi"/>
          <w:b/>
          <w:sz w:val="20"/>
          <w:szCs w:val="20"/>
          <w:lang w:val="ro-MD"/>
        </w:rPr>
        <w:t>Auratus</w:t>
      </w:r>
      <w:proofErr w:type="spellEnd"/>
      <w:r w:rsidR="00787C40">
        <w:rPr>
          <w:rFonts w:asciiTheme="majorHAnsi" w:hAnsiTheme="majorHAnsi" w:cstheme="majorHAnsi"/>
          <w:b/>
          <w:sz w:val="20"/>
          <w:szCs w:val="20"/>
          <w:lang w:val="ro-MD"/>
        </w:rPr>
        <w:t>”</w:t>
      </w:r>
      <w:r w:rsidR="005F7AC7" w:rsidRPr="005F7AC7">
        <w:rPr>
          <w:rFonts w:asciiTheme="majorHAnsi" w:hAnsiTheme="majorHAnsi" w:cstheme="majorHAnsi"/>
          <w:b/>
          <w:sz w:val="20"/>
          <w:szCs w:val="20"/>
          <w:lang w:val="ro-MD"/>
        </w:rPr>
        <w:t xml:space="preserve"> SRL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3354"/>
        <w:gridCol w:w="3305"/>
      </w:tblGrid>
      <w:tr w:rsidR="00121AF7" w:rsidTr="00787C40">
        <w:tc>
          <w:tcPr>
            <w:tcW w:w="3385" w:type="dxa"/>
          </w:tcPr>
          <w:p w:rsidR="00121AF7" w:rsidRDefault="00121AF7" w:rsidP="00C72A44">
            <w:pPr>
              <w:jc w:val="right"/>
              <w:rPr>
                <w:i/>
              </w:rPr>
            </w:pPr>
            <w:r>
              <w:rPr>
                <w:noProof/>
              </w:rPr>
              <w:drawing>
                <wp:inline distT="0" distB="0" distL="0" distR="0" wp14:anchorId="10942745" wp14:editId="1EB34AE6">
                  <wp:extent cx="2223654" cy="2113280"/>
                  <wp:effectExtent l="0" t="0" r="5715" b="1270"/>
                  <wp:docPr id="10" name="Picture 10" descr="https://i.simpalsmedia.com/999.md/BoardImages/900x900/b9e0d84f52a6fca2d5326941646854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simpalsmedia.com/999.md/BoardImages/900x900/b9e0d84f52a6fca2d5326941646854a5.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25598" cy="2115128"/>
                          </a:xfrm>
                          <a:prstGeom prst="rect">
                            <a:avLst/>
                          </a:prstGeom>
                          <a:noFill/>
                          <a:ln>
                            <a:noFill/>
                          </a:ln>
                        </pic:spPr>
                      </pic:pic>
                    </a:graphicData>
                  </a:graphic>
                </wp:inline>
              </w:drawing>
            </w:r>
          </w:p>
        </w:tc>
        <w:tc>
          <w:tcPr>
            <w:tcW w:w="3385" w:type="dxa"/>
          </w:tcPr>
          <w:p w:rsidR="00121AF7" w:rsidRDefault="00121AF7" w:rsidP="00C72A44">
            <w:pPr>
              <w:jc w:val="right"/>
              <w:rPr>
                <w:i/>
              </w:rPr>
            </w:pPr>
            <w:r>
              <w:rPr>
                <w:noProof/>
              </w:rPr>
              <w:drawing>
                <wp:inline distT="0" distB="0" distL="0" distR="0" wp14:anchorId="5F4D224F" wp14:editId="2D2A18DA">
                  <wp:extent cx="2209800" cy="2126605"/>
                  <wp:effectExtent l="0" t="0" r="0" b="7620"/>
                  <wp:docPr id="9" name="Picture 9" descr="https://i.simpalsmedia.com/999.md/BoardImages/900x900/d5a2ae58af36402ba1ff87f79334e1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simpalsmedia.com/999.md/BoardImages/900x900/d5a2ae58af36402ba1ff87f79334e1b0.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14087" cy="2130730"/>
                          </a:xfrm>
                          <a:prstGeom prst="rect">
                            <a:avLst/>
                          </a:prstGeom>
                          <a:noFill/>
                          <a:ln>
                            <a:noFill/>
                          </a:ln>
                        </pic:spPr>
                      </pic:pic>
                    </a:graphicData>
                  </a:graphic>
                </wp:inline>
              </w:drawing>
            </w:r>
          </w:p>
        </w:tc>
        <w:tc>
          <w:tcPr>
            <w:tcW w:w="3386" w:type="dxa"/>
          </w:tcPr>
          <w:p w:rsidR="00121AF7" w:rsidRDefault="00121AF7" w:rsidP="00C72A44">
            <w:pPr>
              <w:jc w:val="right"/>
              <w:rPr>
                <w:i/>
              </w:rPr>
            </w:pPr>
            <w:r>
              <w:rPr>
                <w:noProof/>
              </w:rPr>
              <w:drawing>
                <wp:inline distT="0" distB="0" distL="0" distR="0" wp14:anchorId="4308291B" wp14:editId="2B1DB658">
                  <wp:extent cx="2175354" cy="2109219"/>
                  <wp:effectExtent l="0" t="0" r="0" b="5715"/>
                  <wp:docPr id="13" name="Picture 13" descr="https://i.simpalsmedia.com/999.md/BoardImages/900x900/d7d28bc8fca5e65632c14a9e9efc3f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simpalsmedia.com/999.md/BoardImages/900x900/d7d28bc8fca5e65632c14a9e9efc3f9d.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75354" cy="2109219"/>
                          </a:xfrm>
                          <a:prstGeom prst="rect">
                            <a:avLst/>
                          </a:prstGeom>
                          <a:noFill/>
                          <a:ln>
                            <a:noFill/>
                          </a:ln>
                        </pic:spPr>
                      </pic:pic>
                    </a:graphicData>
                  </a:graphic>
                </wp:inline>
              </w:drawing>
            </w:r>
          </w:p>
        </w:tc>
      </w:tr>
    </w:tbl>
    <w:p w:rsidR="00121AF7" w:rsidRPr="00B23043" w:rsidRDefault="00121AF7" w:rsidP="00121AF7">
      <w:pPr>
        <w:jc w:val="right"/>
        <w:rPr>
          <w:i/>
        </w:rPr>
      </w:pPr>
    </w:p>
    <w:p w:rsidR="00121AF7" w:rsidRDefault="00121AF7" w:rsidP="00121AF7">
      <w:pPr>
        <w:tabs>
          <w:tab w:val="left" w:pos="3870"/>
          <w:tab w:val="left" w:pos="4590"/>
        </w:tabs>
      </w:pPr>
    </w:p>
    <w:p w:rsidR="00121AF7" w:rsidRDefault="00121AF7" w:rsidP="00844145">
      <w:pPr>
        <w:spacing w:line="276" w:lineRule="auto"/>
        <w:jc w:val="right"/>
        <w:rPr>
          <w:rFonts w:asciiTheme="majorHAnsi" w:hAnsiTheme="majorHAnsi" w:cstheme="majorHAnsi"/>
          <w:i/>
          <w:sz w:val="24"/>
          <w:szCs w:val="24"/>
          <w:lang w:val="ro-MD"/>
        </w:rPr>
      </w:pPr>
    </w:p>
    <w:p w:rsidR="005D3272" w:rsidRDefault="005D3272" w:rsidP="00844145">
      <w:pPr>
        <w:spacing w:line="276" w:lineRule="auto"/>
        <w:jc w:val="right"/>
        <w:rPr>
          <w:rFonts w:asciiTheme="majorHAnsi" w:hAnsiTheme="majorHAnsi" w:cstheme="majorHAnsi"/>
          <w:i/>
          <w:sz w:val="24"/>
          <w:szCs w:val="24"/>
          <w:lang w:val="ro-MD"/>
        </w:rPr>
      </w:pPr>
    </w:p>
    <w:p w:rsidR="00121AF7" w:rsidRDefault="00121AF7" w:rsidP="00844145">
      <w:pPr>
        <w:spacing w:line="276" w:lineRule="auto"/>
        <w:jc w:val="right"/>
        <w:rPr>
          <w:rFonts w:asciiTheme="majorHAnsi" w:hAnsiTheme="majorHAnsi" w:cstheme="majorHAnsi"/>
          <w:i/>
          <w:sz w:val="24"/>
          <w:szCs w:val="24"/>
          <w:lang w:val="ro-MD"/>
        </w:rPr>
      </w:pPr>
    </w:p>
    <w:p w:rsidR="00C55DF6" w:rsidRPr="00401691" w:rsidRDefault="00121AF7" w:rsidP="00844145">
      <w:pPr>
        <w:spacing w:line="276" w:lineRule="auto"/>
        <w:jc w:val="right"/>
        <w:rPr>
          <w:rFonts w:asciiTheme="majorHAnsi" w:hAnsiTheme="majorHAnsi" w:cstheme="majorHAnsi"/>
          <w:i/>
          <w:sz w:val="24"/>
          <w:szCs w:val="24"/>
          <w:lang w:val="ro-MD"/>
        </w:rPr>
      </w:pPr>
      <w:r>
        <w:rPr>
          <w:rFonts w:asciiTheme="majorHAnsi" w:hAnsiTheme="majorHAnsi" w:cstheme="majorHAnsi"/>
          <w:i/>
          <w:sz w:val="24"/>
          <w:szCs w:val="24"/>
          <w:lang w:val="ro-MD"/>
        </w:rPr>
        <w:t>Anexa nr. 8</w:t>
      </w:r>
    </w:p>
    <w:p w:rsidR="00C55DF6" w:rsidRPr="00401691" w:rsidRDefault="00C55DF6" w:rsidP="00844145">
      <w:pPr>
        <w:spacing w:after="0" w:line="276" w:lineRule="auto"/>
        <w:rPr>
          <w:rFonts w:asciiTheme="majorHAnsi" w:eastAsia="Times New Roman" w:hAnsiTheme="majorHAnsi" w:cstheme="majorHAnsi"/>
          <w:color w:val="000000"/>
          <w:sz w:val="24"/>
          <w:szCs w:val="24"/>
          <w:lang w:val="ro-MD"/>
        </w:rPr>
      </w:pPr>
    </w:p>
    <w:p w:rsidR="00C55DF6" w:rsidRPr="00401691" w:rsidRDefault="00C55DF6" w:rsidP="00844145">
      <w:pPr>
        <w:spacing w:after="0" w:line="276" w:lineRule="auto"/>
        <w:rPr>
          <w:rFonts w:asciiTheme="majorHAnsi" w:eastAsia="Times New Roman" w:hAnsiTheme="majorHAnsi" w:cstheme="majorHAnsi"/>
          <w:color w:val="000000"/>
          <w:sz w:val="24"/>
          <w:szCs w:val="24"/>
          <w:lang w:val="ro-MD"/>
        </w:rPr>
      </w:pPr>
      <w:r w:rsidRPr="00401691">
        <w:rPr>
          <w:rFonts w:asciiTheme="majorHAnsi" w:hAnsiTheme="majorHAnsi" w:cstheme="majorHAnsi"/>
          <w:noProof/>
        </w:rPr>
        <w:drawing>
          <wp:inline distT="0" distB="0" distL="0" distR="0" wp14:anchorId="035AD6F3" wp14:editId="4EF4D396">
            <wp:extent cx="5943600" cy="3582035"/>
            <wp:effectExtent l="0" t="0" r="0" b="1841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55DF6" w:rsidRPr="00401691" w:rsidRDefault="00C55DF6" w:rsidP="00844145">
      <w:pPr>
        <w:spacing w:line="276" w:lineRule="auto"/>
        <w:rPr>
          <w:rFonts w:asciiTheme="majorHAnsi" w:hAnsiTheme="majorHAnsi" w:cstheme="majorHAnsi"/>
          <w:sz w:val="24"/>
          <w:szCs w:val="24"/>
          <w:lang w:val="ro-MD"/>
        </w:rPr>
      </w:pPr>
    </w:p>
    <w:p w:rsidR="00C55DF6" w:rsidRPr="00401691" w:rsidRDefault="00C55DF6" w:rsidP="00844145">
      <w:pPr>
        <w:spacing w:line="276" w:lineRule="auto"/>
        <w:rPr>
          <w:rFonts w:asciiTheme="majorHAnsi" w:hAnsiTheme="majorHAnsi" w:cstheme="majorHAnsi"/>
          <w:sz w:val="24"/>
          <w:szCs w:val="24"/>
          <w:lang w:val="ro-MD"/>
        </w:rPr>
      </w:pPr>
    </w:p>
    <w:p w:rsidR="00C55DF6" w:rsidRPr="00401691" w:rsidRDefault="00C55DF6" w:rsidP="00844145">
      <w:pPr>
        <w:spacing w:line="276" w:lineRule="auto"/>
        <w:rPr>
          <w:rFonts w:asciiTheme="majorHAnsi" w:hAnsiTheme="majorHAnsi" w:cstheme="majorHAnsi"/>
          <w:sz w:val="24"/>
          <w:szCs w:val="24"/>
          <w:lang w:val="ro-MD"/>
        </w:rPr>
      </w:pPr>
    </w:p>
    <w:p w:rsidR="00C55DF6" w:rsidRPr="00401691" w:rsidRDefault="00C55DF6" w:rsidP="00844145">
      <w:pPr>
        <w:spacing w:line="276" w:lineRule="auto"/>
        <w:rPr>
          <w:rFonts w:asciiTheme="majorHAnsi" w:hAnsiTheme="majorHAnsi" w:cstheme="majorHAnsi"/>
          <w:sz w:val="24"/>
          <w:szCs w:val="24"/>
          <w:lang w:val="ro-MD"/>
        </w:rPr>
        <w:sectPr w:rsidR="00C55DF6" w:rsidRPr="00401691" w:rsidSect="00A353BB">
          <w:pgSz w:w="12240" w:h="15840"/>
          <w:pgMar w:top="1134" w:right="850" w:bottom="1134" w:left="1350" w:header="720" w:footer="720" w:gutter="0"/>
          <w:cols w:space="720"/>
          <w:docGrid w:linePitch="360"/>
        </w:sectPr>
      </w:pPr>
    </w:p>
    <w:p w:rsidR="00C55DF6" w:rsidRPr="00401691" w:rsidRDefault="00121AF7" w:rsidP="00844145">
      <w:pPr>
        <w:spacing w:line="276" w:lineRule="auto"/>
        <w:jc w:val="right"/>
        <w:rPr>
          <w:rFonts w:asciiTheme="majorHAnsi" w:hAnsiTheme="majorHAnsi" w:cstheme="majorHAnsi"/>
          <w:i/>
          <w:lang w:val="ro-MD"/>
        </w:rPr>
      </w:pPr>
      <w:r>
        <w:rPr>
          <w:rFonts w:asciiTheme="majorHAnsi" w:hAnsiTheme="majorHAnsi" w:cstheme="majorHAnsi"/>
          <w:i/>
          <w:lang w:val="ro-MD"/>
        </w:rPr>
        <w:t>Anexa nr. 9</w:t>
      </w:r>
    </w:p>
    <w:p w:rsidR="00C55DF6" w:rsidRPr="00401691" w:rsidRDefault="00C55DF6" w:rsidP="00844145">
      <w:pPr>
        <w:spacing w:after="0" w:line="276" w:lineRule="auto"/>
        <w:jc w:val="center"/>
        <w:rPr>
          <w:rFonts w:asciiTheme="majorHAnsi" w:hAnsiTheme="majorHAnsi" w:cstheme="majorHAnsi"/>
          <w:b/>
          <w:i/>
          <w:u w:val="single"/>
          <w:lang w:val="ro-MD"/>
        </w:rPr>
      </w:pPr>
      <w:r w:rsidRPr="00401691">
        <w:rPr>
          <w:rFonts w:asciiTheme="majorHAnsi" w:hAnsiTheme="majorHAnsi" w:cstheme="majorHAnsi"/>
          <w:b/>
          <w:i/>
          <w:u w:val="single"/>
          <w:lang w:val="ro-MD"/>
        </w:rPr>
        <w:t>Analiza echipei de audit a informației privind conlucrarea SFS cu organele de drept a statului</w:t>
      </w:r>
    </w:p>
    <w:tbl>
      <w:tblPr>
        <w:tblW w:w="15120" w:type="dxa"/>
        <w:tblInd w:w="-1085" w:type="dxa"/>
        <w:tblLook w:val="04A0" w:firstRow="1" w:lastRow="0" w:firstColumn="1" w:lastColumn="0" w:noHBand="0" w:noVBand="1"/>
      </w:tblPr>
      <w:tblGrid>
        <w:gridCol w:w="630"/>
        <w:gridCol w:w="1530"/>
        <w:gridCol w:w="1073"/>
        <w:gridCol w:w="1080"/>
        <w:gridCol w:w="4237"/>
        <w:gridCol w:w="1890"/>
        <w:gridCol w:w="2070"/>
        <w:gridCol w:w="2610"/>
      </w:tblGrid>
      <w:tr w:rsidR="00B47EA2" w:rsidRPr="00401691" w:rsidTr="00B47EA2">
        <w:trPr>
          <w:trHeight w:val="246"/>
        </w:trPr>
        <w:tc>
          <w:tcPr>
            <w:tcW w:w="630" w:type="dxa"/>
            <w:vMerge w:val="restart"/>
            <w:tcBorders>
              <w:top w:val="single" w:sz="4" w:space="0" w:color="auto"/>
              <w:left w:val="single" w:sz="4" w:space="0" w:color="auto"/>
              <w:right w:val="single" w:sz="4" w:space="0" w:color="auto"/>
            </w:tcBorders>
            <w:shd w:val="clear" w:color="auto" w:fill="D9D9D9" w:themeFill="background1" w:themeFillShade="D9"/>
            <w:noWrap/>
          </w:tcPr>
          <w:p w:rsidR="00B47EA2" w:rsidRPr="00401691" w:rsidRDefault="00B47EA2" w:rsidP="008B6685">
            <w:pPr>
              <w:spacing w:after="0" w:line="240" w:lineRule="auto"/>
              <w:jc w:val="center"/>
              <w:rPr>
                <w:rFonts w:asciiTheme="majorHAnsi" w:eastAsia="Times New Roman" w:hAnsiTheme="majorHAnsi" w:cstheme="majorHAnsi"/>
                <w:b/>
                <w:i/>
                <w:color w:val="000000"/>
                <w:sz w:val="18"/>
                <w:szCs w:val="18"/>
                <w:lang w:val="ro-MD"/>
              </w:rPr>
            </w:pPr>
            <w:r w:rsidRPr="00401691">
              <w:rPr>
                <w:rFonts w:asciiTheme="majorHAnsi" w:eastAsia="Times New Roman" w:hAnsiTheme="majorHAnsi" w:cstheme="majorHAnsi"/>
                <w:b/>
                <w:i/>
                <w:color w:val="000000"/>
                <w:sz w:val="18"/>
                <w:szCs w:val="18"/>
                <w:lang w:val="ro-MD"/>
              </w:rPr>
              <w:t>N</w:t>
            </w:r>
            <w:r w:rsidR="00A46F53">
              <w:rPr>
                <w:rFonts w:asciiTheme="majorHAnsi" w:eastAsia="Times New Roman" w:hAnsiTheme="majorHAnsi" w:cstheme="majorHAnsi"/>
                <w:b/>
                <w:i/>
                <w:color w:val="000000"/>
                <w:sz w:val="18"/>
                <w:szCs w:val="18"/>
                <w:lang w:val="ro-MD"/>
              </w:rPr>
              <w:t>r. d</w:t>
            </w:r>
            <w:r w:rsidRPr="00401691">
              <w:rPr>
                <w:rFonts w:asciiTheme="majorHAnsi" w:eastAsia="Times New Roman" w:hAnsiTheme="majorHAnsi" w:cstheme="majorHAnsi"/>
                <w:b/>
                <w:i/>
                <w:color w:val="000000"/>
                <w:sz w:val="18"/>
                <w:szCs w:val="18"/>
                <w:lang w:val="ro-MD"/>
              </w:rPr>
              <w:t>/o</w:t>
            </w:r>
          </w:p>
        </w:tc>
        <w:tc>
          <w:tcPr>
            <w:tcW w:w="1530" w:type="dxa"/>
            <w:vMerge w:val="restart"/>
            <w:tcBorders>
              <w:top w:val="single" w:sz="4" w:space="0" w:color="auto"/>
              <w:left w:val="nil"/>
              <w:right w:val="single" w:sz="4" w:space="0" w:color="auto"/>
            </w:tcBorders>
            <w:shd w:val="clear" w:color="auto" w:fill="D9D9D9" w:themeFill="background1" w:themeFillShade="D9"/>
            <w:noWrap/>
          </w:tcPr>
          <w:p w:rsidR="00B47EA2" w:rsidRPr="00401691" w:rsidRDefault="00B47EA2" w:rsidP="008B6685">
            <w:pPr>
              <w:spacing w:after="0" w:line="240" w:lineRule="auto"/>
              <w:jc w:val="center"/>
              <w:rPr>
                <w:rFonts w:asciiTheme="majorHAnsi" w:eastAsia="Times New Roman" w:hAnsiTheme="majorHAnsi" w:cstheme="majorHAnsi"/>
                <w:b/>
                <w:i/>
                <w:color w:val="000000"/>
                <w:sz w:val="18"/>
                <w:szCs w:val="18"/>
                <w:lang w:val="ro-MD"/>
              </w:rPr>
            </w:pPr>
            <w:r w:rsidRPr="00401691">
              <w:rPr>
                <w:rFonts w:asciiTheme="majorHAnsi" w:eastAsia="Times New Roman" w:hAnsiTheme="majorHAnsi" w:cstheme="majorHAnsi"/>
                <w:b/>
                <w:i/>
                <w:color w:val="000000"/>
                <w:sz w:val="18"/>
                <w:szCs w:val="18"/>
                <w:lang w:val="ro-MD"/>
              </w:rPr>
              <w:t>Codul fiscal al contribuabilului</w:t>
            </w:r>
          </w:p>
        </w:tc>
        <w:tc>
          <w:tcPr>
            <w:tcW w:w="1073" w:type="dxa"/>
            <w:vMerge w:val="restart"/>
            <w:tcBorders>
              <w:top w:val="single" w:sz="4" w:space="0" w:color="auto"/>
              <w:left w:val="single" w:sz="4" w:space="0" w:color="auto"/>
              <w:right w:val="single" w:sz="4" w:space="0" w:color="auto"/>
            </w:tcBorders>
            <w:shd w:val="clear" w:color="auto" w:fill="D9D9D9" w:themeFill="background1" w:themeFillShade="D9"/>
            <w:noWrap/>
          </w:tcPr>
          <w:p w:rsidR="00B47EA2" w:rsidRPr="00401691" w:rsidRDefault="00B47EA2" w:rsidP="008B6685">
            <w:pPr>
              <w:spacing w:after="0" w:line="240" w:lineRule="auto"/>
              <w:jc w:val="center"/>
              <w:rPr>
                <w:rFonts w:asciiTheme="majorHAnsi" w:eastAsia="Times New Roman" w:hAnsiTheme="majorHAnsi" w:cstheme="majorHAnsi"/>
                <w:b/>
                <w:i/>
                <w:color w:val="000000"/>
                <w:sz w:val="18"/>
                <w:szCs w:val="18"/>
                <w:lang w:val="ro-MD"/>
              </w:rPr>
            </w:pPr>
            <w:r w:rsidRPr="00401691">
              <w:rPr>
                <w:rFonts w:asciiTheme="majorHAnsi" w:eastAsia="Times New Roman" w:hAnsiTheme="majorHAnsi" w:cstheme="majorHAnsi"/>
                <w:b/>
                <w:i/>
                <w:color w:val="000000"/>
                <w:sz w:val="18"/>
                <w:szCs w:val="18"/>
                <w:lang w:val="ro-MD"/>
              </w:rPr>
              <w:t>Suma obligației fiscale la 31.12.</w:t>
            </w:r>
            <w:r w:rsidR="00A46F53">
              <w:rPr>
                <w:rFonts w:asciiTheme="majorHAnsi" w:eastAsia="Times New Roman" w:hAnsiTheme="majorHAnsi" w:cstheme="majorHAnsi"/>
                <w:b/>
                <w:i/>
                <w:color w:val="000000"/>
                <w:sz w:val="18"/>
                <w:szCs w:val="18"/>
                <w:lang w:val="ro-MD"/>
              </w:rPr>
              <w:t>20</w:t>
            </w:r>
            <w:r w:rsidRPr="00401691">
              <w:rPr>
                <w:rFonts w:asciiTheme="majorHAnsi" w:eastAsia="Times New Roman" w:hAnsiTheme="majorHAnsi" w:cstheme="majorHAnsi"/>
                <w:b/>
                <w:i/>
                <w:color w:val="000000"/>
                <w:sz w:val="18"/>
                <w:szCs w:val="18"/>
                <w:lang w:val="ro-MD"/>
              </w:rPr>
              <w:t>19</w:t>
            </w:r>
          </w:p>
          <w:p w:rsidR="00B47EA2" w:rsidRPr="00401691" w:rsidRDefault="00B47EA2" w:rsidP="008B6685">
            <w:pPr>
              <w:spacing w:after="0" w:line="240" w:lineRule="auto"/>
              <w:jc w:val="center"/>
              <w:rPr>
                <w:rFonts w:asciiTheme="majorHAnsi" w:eastAsia="Times New Roman" w:hAnsiTheme="majorHAnsi" w:cstheme="majorHAnsi"/>
                <w:b/>
                <w:i/>
                <w:color w:val="000000"/>
                <w:sz w:val="18"/>
                <w:szCs w:val="18"/>
                <w:lang w:val="ro-MD"/>
              </w:rPr>
            </w:pPr>
            <w:r w:rsidRPr="00401691">
              <w:rPr>
                <w:rFonts w:asciiTheme="majorHAnsi" w:eastAsia="Times New Roman" w:hAnsiTheme="majorHAnsi" w:cstheme="majorHAnsi"/>
                <w:b/>
                <w:i/>
                <w:color w:val="000000"/>
                <w:sz w:val="18"/>
                <w:szCs w:val="18"/>
                <w:lang w:val="ro-MD"/>
              </w:rPr>
              <w:t xml:space="preserve"> ( mii lei )</w:t>
            </w:r>
          </w:p>
        </w:tc>
        <w:tc>
          <w:tcPr>
            <w:tcW w:w="1080" w:type="dxa"/>
            <w:vMerge w:val="restart"/>
            <w:tcBorders>
              <w:top w:val="single" w:sz="4" w:space="0" w:color="auto"/>
              <w:left w:val="single" w:sz="4" w:space="0" w:color="auto"/>
              <w:right w:val="single" w:sz="4" w:space="0" w:color="auto"/>
            </w:tcBorders>
            <w:shd w:val="clear" w:color="auto" w:fill="D9D9D9" w:themeFill="background1" w:themeFillShade="D9"/>
          </w:tcPr>
          <w:p w:rsidR="00B47EA2" w:rsidRPr="00401691" w:rsidRDefault="00B47EA2" w:rsidP="008B6685">
            <w:pPr>
              <w:spacing w:after="0" w:line="240" w:lineRule="auto"/>
              <w:jc w:val="center"/>
              <w:rPr>
                <w:rFonts w:asciiTheme="majorHAnsi" w:eastAsia="Times New Roman" w:hAnsiTheme="majorHAnsi" w:cstheme="majorHAnsi"/>
                <w:b/>
                <w:i/>
                <w:color w:val="000000"/>
                <w:sz w:val="18"/>
                <w:szCs w:val="18"/>
                <w:lang w:val="ro-MD"/>
              </w:rPr>
            </w:pPr>
            <w:r w:rsidRPr="00401691">
              <w:rPr>
                <w:rFonts w:asciiTheme="majorHAnsi" w:eastAsia="Times New Roman" w:hAnsiTheme="majorHAnsi" w:cstheme="majorHAnsi"/>
                <w:b/>
                <w:i/>
                <w:color w:val="000000"/>
                <w:sz w:val="18"/>
                <w:szCs w:val="18"/>
                <w:lang w:val="ro-MD"/>
              </w:rPr>
              <w:t xml:space="preserve">Data RCF  </w:t>
            </w:r>
          </w:p>
          <w:p w:rsidR="00B47EA2" w:rsidRPr="00401691" w:rsidRDefault="00B47EA2" w:rsidP="008B6685">
            <w:pPr>
              <w:spacing w:after="0" w:line="240" w:lineRule="auto"/>
              <w:jc w:val="center"/>
              <w:rPr>
                <w:rFonts w:asciiTheme="majorHAnsi" w:eastAsia="Times New Roman" w:hAnsiTheme="majorHAnsi" w:cstheme="majorHAnsi"/>
                <w:b/>
                <w:i/>
                <w:color w:val="000000"/>
                <w:sz w:val="18"/>
                <w:szCs w:val="18"/>
                <w:lang w:val="ro-MD"/>
              </w:rPr>
            </w:pPr>
            <w:r w:rsidRPr="00401691">
              <w:rPr>
                <w:rFonts w:asciiTheme="majorHAnsi" w:eastAsia="Times New Roman" w:hAnsiTheme="majorHAnsi" w:cstheme="majorHAnsi"/>
                <w:b/>
                <w:i/>
                <w:color w:val="000000"/>
                <w:sz w:val="18"/>
                <w:szCs w:val="18"/>
                <w:lang w:val="ro-MD"/>
              </w:rPr>
              <w:t xml:space="preserve">conform înscrierilor din SIA CCC </w:t>
            </w:r>
          </w:p>
        </w:tc>
        <w:tc>
          <w:tcPr>
            <w:tcW w:w="4237" w:type="dxa"/>
            <w:vMerge w:val="restart"/>
            <w:tcBorders>
              <w:top w:val="single" w:sz="4" w:space="0" w:color="auto"/>
              <w:left w:val="single" w:sz="4" w:space="0" w:color="auto"/>
              <w:right w:val="single" w:sz="4" w:space="0" w:color="auto"/>
            </w:tcBorders>
            <w:shd w:val="clear" w:color="auto" w:fill="D9D9D9" w:themeFill="background1" w:themeFillShade="D9"/>
          </w:tcPr>
          <w:p w:rsidR="00B47EA2" w:rsidRPr="00401691" w:rsidRDefault="00B47EA2" w:rsidP="008B6685">
            <w:pPr>
              <w:spacing w:after="0" w:line="240" w:lineRule="auto"/>
              <w:jc w:val="center"/>
              <w:rPr>
                <w:rFonts w:asciiTheme="majorHAnsi" w:eastAsia="Times New Roman" w:hAnsiTheme="majorHAnsi" w:cstheme="majorHAnsi"/>
                <w:b/>
                <w:i/>
                <w:color w:val="000000"/>
                <w:sz w:val="18"/>
                <w:szCs w:val="18"/>
                <w:lang w:val="ro-MD"/>
              </w:rPr>
            </w:pPr>
            <w:r w:rsidRPr="00401691">
              <w:rPr>
                <w:rFonts w:asciiTheme="majorHAnsi" w:eastAsia="Times New Roman" w:hAnsiTheme="majorHAnsi" w:cstheme="majorHAnsi"/>
                <w:b/>
                <w:i/>
                <w:color w:val="000000"/>
                <w:sz w:val="18"/>
                <w:szCs w:val="18"/>
                <w:lang w:val="ro-MD"/>
              </w:rPr>
              <w:t>Comunicarea cu organele de drept</w:t>
            </w:r>
          </w:p>
        </w:tc>
        <w:tc>
          <w:tcPr>
            <w:tcW w:w="65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7EA2" w:rsidRPr="00401691" w:rsidRDefault="00B47EA2" w:rsidP="00742623">
            <w:pPr>
              <w:spacing w:after="0" w:line="240" w:lineRule="auto"/>
              <w:jc w:val="center"/>
              <w:rPr>
                <w:rFonts w:asciiTheme="majorHAnsi" w:eastAsia="Times New Roman" w:hAnsiTheme="majorHAnsi" w:cstheme="majorHAnsi"/>
                <w:b/>
                <w:i/>
                <w:color w:val="000000"/>
                <w:sz w:val="18"/>
                <w:szCs w:val="18"/>
                <w:lang w:val="ro-MD"/>
              </w:rPr>
            </w:pPr>
            <w:r w:rsidRPr="00401691">
              <w:rPr>
                <w:rFonts w:asciiTheme="majorHAnsi" w:eastAsia="Times New Roman" w:hAnsiTheme="majorHAnsi" w:cstheme="majorHAnsi"/>
                <w:b/>
                <w:i/>
                <w:color w:val="000000"/>
                <w:sz w:val="18"/>
                <w:szCs w:val="18"/>
                <w:lang w:val="ro-MD"/>
              </w:rPr>
              <w:t>Documente</w:t>
            </w:r>
            <w:r w:rsidR="00A46F53">
              <w:rPr>
                <w:rFonts w:asciiTheme="majorHAnsi" w:eastAsia="Times New Roman" w:hAnsiTheme="majorHAnsi" w:cstheme="majorHAnsi"/>
                <w:b/>
                <w:i/>
                <w:color w:val="000000"/>
                <w:sz w:val="18"/>
                <w:szCs w:val="18"/>
                <w:lang w:val="ro-MD"/>
              </w:rPr>
              <w:t>le</w:t>
            </w:r>
            <w:r w:rsidRPr="00401691">
              <w:rPr>
                <w:rFonts w:asciiTheme="majorHAnsi" w:eastAsia="Times New Roman" w:hAnsiTheme="majorHAnsi" w:cstheme="majorHAnsi"/>
                <w:b/>
                <w:i/>
                <w:color w:val="000000"/>
                <w:sz w:val="18"/>
                <w:szCs w:val="18"/>
                <w:lang w:val="ro-MD"/>
              </w:rPr>
              <w:t xml:space="preserve"> care au fost prezentat</w:t>
            </w:r>
            <w:r w:rsidR="00A46F53">
              <w:rPr>
                <w:rFonts w:asciiTheme="majorHAnsi" w:eastAsia="Times New Roman" w:hAnsiTheme="majorHAnsi" w:cstheme="majorHAnsi"/>
                <w:b/>
                <w:i/>
                <w:color w:val="000000"/>
                <w:sz w:val="18"/>
                <w:szCs w:val="18"/>
                <w:lang w:val="ro-MD"/>
              </w:rPr>
              <w:t>e</w:t>
            </w:r>
            <w:r w:rsidRPr="00401691">
              <w:rPr>
                <w:rFonts w:asciiTheme="majorHAnsi" w:eastAsia="Times New Roman" w:hAnsiTheme="majorHAnsi" w:cstheme="majorHAnsi"/>
                <w:b/>
                <w:i/>
                <w:color w:val="000000"/>
                <w:sz w:val="18"/>
                <w:szCs w:val="18"/>
                <w:lang w:val="ro-MD"/>
              </w:rPr>
              <w:t xml:space="preserve"> de SFS la solicitarea echipei de audit a CC</w:t>
            </w:r>
          </w:p>
        </w:tc>
      </w:tr>
      <w:tr w:rsidR="00E24927" w:rsidRPr="00401691" w:rsidTr="00B47EA2">
        <w:trPr>
          <w:trHeight w:val="314"/>
        </w:trPr>
        <w:tc>
          <w:tcPr>
            <w:tcW w:w="630" w:type="dxa"/>
            <w:vMerge/>
            <w:tcBorders>
              <w:left w:val="single" w:sz="4" w:space="0" w:color="auto"/>
              <w:bottom w:val="single" w:sz="4" w:space="0" w:color="auto"/>
              <w:right w:val="single" w:sz="4" w:space="0" w:color="auto"/>
            </w:tcBorders>
            <w:shd w:val="clear" w:color="auto" w:fill="auto"/>
            <w:noWrap/>
            <w:vAlign w:val="center"/>
          </w:tcPr>
          <w:p w:rsidR="00E24927" w:rsidRPr="00401691" w:rsidRDefault="00E24927" w:rsidP="008B6685">
            <w:pPr>
              <w:spacing w:after="0" w:line="240" w:lineRule="auto"/>
              <w:jc w:val="center"/>
              <w:rPr>
                <w:rFonts w:asciiTheme="majorHAnsi" w:eastAsia="Times New Roman" w:hAnsiTheme="majorHAnsi" w:cstheme="majorHAnsi"/>
                <w:b/>
                <w:i/>
                <w:color w:val="000000"/>
                <w:sz w:val="18"/>
                <w:szCs w:val="18"/>
                <w:lang w:val="ro-MD"/>
              </w:rPr>
            </w:pPr>
          </w:p>
        </w:tc>
        <w:tc>
          <w:tcPr>
            <w:tcW w:w="1530" w:type="dxa"/>
            <w:vMerge/>
            <w:tcBorders>
              <w:left w:val="nil"/>
              <w:bottom w:val="single" w:sz="4" w:space="0" w:color="auto"/>
              <w:right w:val="single" w:sz="4" w:space="0" w:color="auto"/>
            </w:tcBorders>
            <w:shd w:val="clear" w:color="auto" w:fill="auto"/>
            <w:noWrap/>
            <w:vAlign w:val="center"/>
          </w:tcPr>
          <w:p w:rsidR="00E24927" w:rsidRPr="00401691" w:rsidRDefault="00E24927" w:rsidP="008B6685">
            <w:pPr>
              <w:spacing w:after="0" w:line="240" w:lineRule="auto"/>
              <w:jc w:val="center"/>
              <w:rPr>
                <w:rFonts w:asciiTheme="majorHAnsi" w:eastAsia="Times New Roman" w:hAnsiTheme="majorHAnsi" w:cstheme="majorHAnsi"/>
                <w:b/>
                <w:i/>
                <w:color w:val="000000"/>
                <w:sz w:val="18"/>
                <w:szCs w:val="18"/>
                <w:lang w:val="ro-MD"/>
              </w:rPr>
            </w:pPr>
          </w:p>
        </w:tc>
        <w:tc>
          <w:tcPr>
            <w:tcW w:w="1073" w:type="dxa"/>
            <w:vMerge/>
            <w:tcBorders>
              <w:left w:val="single" w:sz="4" w:space="0" w:color="auto"/>
              <w:bottom w:val="single" w:sz="4" w:space="0" w:color="auto"/>
              <w:right w:val="single" w:sz="4" w:space="0" w:color="auto"/>
            </w:tcBorders>
            <w:shd w:val="clear" w:color="auto" w:fill="auto"/>
            <w:noWrap/>
            <w:vAlign w:val="center"/>
          </w:tcPr>
          <w:p w:rsidR="00E24927" w:rsidRPr="00401691" w:rsidRDefault="00E24927" w:rsidP="008B6685">
            <w:pPr>
              <w:spacing w:after="0" w:line="240" w:lineRule="auto"/>
              <w:jc w:val="center"/>
              <w:rPr>
                <w:rFonts w:asciiTheme="majorHAnsi" w:eastAsia="Times New Roman" w:hAnsiTheme="majorHAnsi" w:cstheme="majorHAnsi"/>
                <w:b/>
                <w:i/>
                <w:color w:val="000000"/>
                <w:sz w:val="18"/>
                <w:szCs w:val="18"/>
                <w:lang w:val="ro-MD"/>
              </w:rPr>
            </w:pPr>
          </w:p>
        </w:tc>
        <w:tc>
          <w:tcPr>
            <w:tcW w:w="1080" w:type="dxa"/>
            <w:vMerge/>
            <w:tcBorders>
              <w:left w:val="single" w:sz="4" w:space="0" w:color="auto"/>
              <w:bottom w:val="single" w:sz="4" w:space="0" w:color="auto"/>
              <w:right w:val="single" w:sz="4" w:space="0" w:color="auto"/>
            </w:tcBorders>
          </w:tcPr>
          <w:p w:rsidR="00E24927" w:rsidRPr="00401691" w:rsidRDefault="00E24927" w:rsidP="008B6685">
            <w:pPr>
              <w:spacing w:after="0" w:line="240" w:lineRule="auto"/>
              <w:jc w:val="center"/>
              <w:rPr>
                <w:rFonts w:asciiTheme="majorHAnsi" w:eastAsia="Times New Roman" w:hAnsiTheme="majorHAnsi" w:cstheme="majorHAnsi"/>
                <w:i/>
                <w:color w:val="000000"/>
                <w:sz w:val="18"/>
                <w:szCs w:val="18"/>
                <w:lang w:val="ro-MD"/>
              </w:rPr>
            </w:pPr>
          </w:p>
        </w:tc>
        <w:tc>
          <w:tcPr>
            <w:tcW w:w="4237" w:type="dxa"/>
            <w:vMerge/>
            <w:tcBorders>
              <w:left w:val="single" w:sz="4" w:space="0" w:color="auto"/>
              <w:bottom w:val="single" w:sz="4" w:space="0" w:color="auto"/>
              <w:right w:val="single" w:sz="4" w:space="0" w:color="auto"/>
            </w:tcBorders>
            <w:vAlign w:val="center"/>
          </w:tcPr>
          <w:p w:rsidR="00E24927" w:rsidRPr="00401691" w:rsidRDefault="00E24927" w:rsidP="008B6685">
            <w:pPr>
              <w:spacing w:after="0" w:line="240" w:lineRule="auto"/>
              <w:jc w:val="center"/>
              <w:rPr>
                <w:rFonts w:asciiTheme="majorHAnsi" w:eastAsia="Times New Roman" w:hAnsiTheme="majorHAnsi" w:cstheme="majorHAnsi"/>
                <w:i/>
                <w:color w:val="000000"/>
                <w:sz w:val="18"/>
                <w:szCs w:val="18"/>
                <w:lang w:val="ro-MD"/>
              </w:rPr>
            </w:pPr>
          </w:p>
        </w:tc>
        <w:tc>
          <w:tcPr>
            <w:tcW w:w="1890" w:type="dxa"/>
            <w:tcBorders>
              <w:top w:val="single" w:sz="4" w:space="0" w:color="auto"/>
              <w:left w:val="single" w:sz="4" w:space="0" w:color="auto"/>
              <w:bottom w:val="single" w:sz="4" w:space="0" w:color="auto"/>
              <w:right w:val="single" w:sz="4" w:space="0" w:color="auto"/>
            </w:tcBorders>
          </w:tcPr>
          <w:p w:rsidR="00E24927" w:rsidRPr="00B47EA2" w:rsidRDefault="00B47EA2" w:rsidP="00B47EA2">
            <w:pPr>
              <w:spacing w:after="0" w:line="240" w:lineRule="auto"/>
              <w:ind w:left="-110" w:right="-110"/>
              <w:jc w:val="center"/>
              <w:rPr>
                <w:rFonts w:asciiTheme="majorHAnsi" w:eastAsia="Times New Roman" w:hAnsiTheme="majorHAnsi" w:cstheme="majorHAnsi"/>
                <w:color w:val="000000"/>
                <w:sz w:val="18"/>
                <w:szCs w:val="18"/>
                <w:lang w:val="ro-MD"/>
              </w:rPr>
            </w:pPr>
            <w:r w:rsidRPr="00B47EA2">
              <w:rPr>
                <w:rFonts w:asciiTheme="majorHAnsi" w:eastAsia="Times New Roman" w:hAnsiTheme="majorHAnsi" w:cstheme="majorHAnsi"/>
                <w:color w:val="000000"/>
                <w:sz w:val="18"/>
                <w:szCs w:val="18"/>
                <w:lang w:val="ro-MD"/>
              </w:rPr>
              <w:t>Răspunsul PCCOCS/CNA/ Procuratur</w:t>
            </w:r>
            <w:r w:rsidR="00A46F53">
              <w:rPr>
                <w:rFonts w:asciiTheme="majorHAnsi" w:eastAsia="Times New Roman" w:hAnsiTheme="majorHAnsi" w:cstheme="majorHAnsi"/>
                <w:color w:val="000000"/>
                <w:sz w:val="18"/>
                <w:szCs w:val="18"/>
                <w:lang w:val="ro-MD"/>
              </w:rPr>
              <w:t>ii</w:t>
            </w:r>
            <w:r w:rsidRPr="00B47EA2">
              <w:rPr>
                <w:rFonts w:asciiTheme="majorHAnsi" w:eastAsia="Times New Roman" w:hAnsiTheme="majorHAnsi" w:cstheme="majorHAnsi"/>
                <w:color w:val="000000"/>
                <w:sz w:val="18"/>
                <w:szCs w:val="18"/>
                <w:lang w:val="ro-MD"/>
              </w:rPr>
              <w:t xml:space="preserve"> despre rezultatele examinării denunțului</w:t>
            </w:r>
          </w:p>
        </w:tc>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4927" w:rsidRPr="005B08BE" w:rsidRDefault="00E24927" w:rsidP="008B6685">
            <w:pPr>
              <w:spacing w:after="0" w:line="240" w:lineRule="auto"/>
              <w:ind w:left="-50" w:right="-30"/>
              <w:jc w:val="center"/>
              <w:rPr>
                <w:rFonts w:asciiTheme="majorHAnsi" w:eastAsia="Times New Roman" w:hAnsiTheme="majorHAnsi" w:cstheme="majorHAnsi"/>
                <w:color w:val="000000"/>
                <w:sz w:val="18"/>
                <w:szCs w:val="18"/>
                <w:lang w:val="ro-MD"/>
              </w:rPr>
            </w:pPr>
            <w:r w:rsidRPr="005B08BE">
              <w:rPr>
                <w:rFonts w:asciiTheme="majorHAnsi" w:eastAsia="Times New Roman" w:hAnsiTheme="majorHAnsi" w:cstheme="majorHAnsi"/>
                <w:color w:val="000000"/>
                <w:sz w:val="18"/>
                <w:szCs w:val="18"/>
                <w:lang w:val="ro-MD"/>
              </w:rPr>
              <w:t xml:space="preserve">Documentul intern SFS, </w:t>
            </w:r>
          </w:p>
          <w:p w:rsidR="00E24927" w:rsidRPr="005B08BE" w:rsidRDefault="00E24927" w:rsidP="008B6685">
            <w:pPr>
              <w:spacing w:after="0" w:line="240" w:lineRule="auto"/>
              <w:ind w:left="-50" w:right="-30"/>
              <w:jc w:val="center"/>
              <w:rPr>
                <w:rFonts w:asciiTheme="majorHAnsi" w:eastAsia="Times New Roman" w:hAnsiTheme="majorHAnsi" w:cstheme="majorHAnsi"/>
                <w:color w:val="000000"/>
                <w:sz w:val="18"/>
                <w:szCs w:val="18"/>
                <w:lang w:val="ro-MD"/>
              </w:rPr>
            </w:pPr>
            <w:r w:rsidRPr="005B08BE">
              <w:rPr>
                <w:rFonts w:asciiTheme="majorHAnsi" w:eastAsia="Times New Roman" w:hAnsiTheme="majorHAnsi" w:cstheme="majorHAnsi"/>
                <w:color w:val="000000"/>
                <w:sz w:val="18"/>
                <w:szCs w:val="18"/>
                <w:lang w:val="ro-MD"/>
              </w:rPr>
              <w:t>SCAD nr. /data</w:t>
            </w:r>
          </w:p>
        </w:tc>
        <w:tc>
          <w:tcPr>
            <w:tcW w:w="2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4927" w:rsidRPr="005B08BE" w:rsidRDefault="00E24927" w:rsidP="008B6685">
            <w:pPr>
              <w:spacing w:after="0" w:line="240" w:lineRule="auto"/>
              <w:jc w:val="center"/>
              <w:rPr>
                <w:rFonts w:asciiTheme="majorHAnsi" w:eastAsia="Times New Roman" w:hAnsiTheme="majorHAnsi" w:cstheme="majorHAnsi"/>
                <w:color w:val="000000"/>
                <w:sz w:val="14"/>
                <w:szCs w:val="14"/>
                <w:lang w:val="ro-MD"/>
              </w:rPr>
            </w:pPr>
            <w:r w:rsidRPr="005B08BE">
              <w:rPr>
                <w:rFonts w:asciiTheme="majorHAnsi" w:eastAsia="Times New Roman" w:hAnsiTheme="majorHAnsi" w:cstheme="majorHAnsi"/>
                <w:color w:val="000000"/>
                <w:sz w:val="14"/>
                <w:szCs w:val="14"/>
                <w:lang w:val="ro-MD"/>
              </w:rPr>
              <w:t>Ordonanțele privind intentarea cauzei penale/Deciziile instanțelor de judecată/încheierea executorului judecătoresc</w:t>
            </w:r>
          </w:p>
        </w:tc>
      </w:tr>
      <w:tr w:rsidR="009E3D49" w:rsidRPr="00401691" w:rsidTr="008B6685">
        <w:trPr>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9E3D49" w:rsidRPr="00401691" w:rsidRDefault="009E3D49" w:rsidP="008B6685">
            <w:pPr>
              <w:spacing w:after="0" w:line="240" w:lineRule="auto"/>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9E3D49" w:rsidRPr="00401691" w:rsidRDefault="009E3D49" w:rsidP="008B6685">
            <w:pPr>
              <w:spacing w:after="0" w:line="240" w:lineRule="auto"/>
              <w:ind w:left="-110" w:right="-7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1011600028078</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D49" w:rsidRPr="00401691" w:rsidRDefault="009E3D49" w:rsidP="008B6685">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516,424.14</w:t>
            </w:r>
          </w:p>
        </w:tc>
        <w:tc>
          <w:tcPr>
            <w:tcW w:w="1080" w:type="dxa"/>
            <w:tcBorders>
              <w:top w:val="single" w:sz="4" w:space="0" w:color="auto"/>
              <w:left w:val="single" w:sz="4" w:space="0" w:color="auto"/>
              <w:bottom w:val="single" w:sz="4" w:space="0" w:color="auto"/>
              <w:right w:val="single" w:sz="4" w:space="0" w:color="auto"/>
            </w:tcBorders>
            <w:vAlign w:val="center"/>
          </w:tcPr>
          <w:p w:rsidR="009E3D49" w:rsidRPr="00401691" w:rsidRDefault="009E3D49" w:rsidP="008B6685">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05.04.2017</w:t>
            </w:r>
          </w:p>
        </w:tc>
        <w:tc>
          <w:tcPr>
            <w:tcW w:w="4237" w:type="dxa"/>
            <w:tcBorders>
              <w:top w:val="single" w:sz="4" w:space="0" w:color="auto"/>
              <w:left w:val="single" w:sz="4" w:space="0" w:color="auto"/>
              <w:bottom w:val="single" w:sz="4" w:space="0" w:color="auto"/>
              <w:right w:val="single" w:sz="4" w:space="0" w:color="auto"/>
            </w:tcBorders>
            <w:vAlign w:val="center"/>
          </w:tcPr>
          <w:p w:rsidR="009E3D49" w:rsidRPr="00401691" w:rsidRDefault="009E3D49" w:rsidP="008B6685">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Denunțul SFS către PCCOCS:</w:t>
            </w:r>
          </w:p>
          <w:p w:rsidR="009E3D49" w:rsidRPr="00401691" w:rsidRDefault="009E3D49" w:rsidP="008B6685">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Scr. SFS nr. 26-12/2-09/1378 din 22.05.2017</w:t>
            </w:r>
          </w:p>
        </w:tc>
        <w:tc>
          <w:tcPr>
            <w:tcW w:w="1890" w:type="dxa"/>
            <w:tcBorders>
              <w:top w:val="single" w:sz="4" w:space="0" w:color="auto"/>
              <w:left w:val="single" w:sz="4" w:space="0" w:color="auto"/>
              <w:bottom w:val="single" w:sz="4" w:space="0" w:color="auto"/>
              <w:right w:val="single" w:sz="4" w:space="0" w:color="auto"/>
            </w:tcBorders>
            <w:vAlign w:val="center"/>
          </w:tcPr>
          <w:p w:rsidR="009E3D49" w:rsidRPr="00401691" w:rsidRDefault="00B47EA2" w:rsidP="008B6685">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w:t>
            </w:r>
          </w:p>
        </w:tc>
        <w:tc>
          <w:tcPr>
            <w:tcW w:w="2070" w:type="dxa"/>
            <w:tcBorders>
              <w:top w:val="single" w:sz="4" w:space="0" w:color="auto"/>
              <w:left w:val="single" w:sz="4" w:space="0" w:color="auto"/>
              <w:bottom w:val="single" w:sz="4" w:space="0" w:color="auto"/>
              <w:right w:val="single" w:sz="4" w:space="0" w:color="auto"/>
            </w:tcBorders>
            <w:vAlign w:val="center"/>
          </w:tcPr>
          <w:p w:rsidR="009E3D49" w:rsidRPr="00401691" w:rsidRDefault="009E3D49" w:rsidP="008B6685">
            <w:pPr>
              <w:spacing w:after="0" w:line="240" w:lineRule="auto"/>
              <w:ind w:right="-12"/>
              <w:jc w:val="both"/>
              <w:rPr>
                <w:rFonts w:asciiTheme="majorHAnsi" w:eastAsia="Times New Roman" w:hAnsiTheme="majorHAnsi" w:cstheme="majorHAnsi"/>
                <w:color w:val="000000"/>
                <w:sz w:val="16"/>
                <w:szCs w:val="16"/>
                <w:lang w:val="ro-MD"/>
              </w:rPr>
            </w:pPr>
            <w:r w:rsidRPr="00401691">
              <w:rPr>
                <w:rFonts w:asciiTheme="majorHAnsi" w:eastAsia="Times New Roman" w:hAnsiTheme="majorHAnsi" w:cstheme="majorHAnsi"/>
                <w:color w:val="000000"/>
                <w:sz w:val="16"/>
                <w:szCs w:val="16"/>
                <w:lang w:val="ro-MD"/>
              </w:rPr>
              <w:t>DI004274C9 din 28.12.2017</w:t>
            </w:r>
          </w:p>
        </w:tc>
        <w:tc>
          <w:tcPr>
            <w:tcW w:w="2610" w:type="dxa"/>
            <w:tcBorders>
              <w:top w:val="single" w:sz="4" w:space="0" w:color="auto"/>
              <w:left w:val="single" w:sz="4" w:space="0" w:color="auto"/>
              <w:bottom w:val="single" w:sz="4" w:space="0" w:color="auto"/>
              <w:right w:val="single" w:sz="4" w:space="0" w:color="auto"/>
            </w:tcBorders>
            <w:vAlign w:val="center"/>
          </w:tcPr>
          <w:p w:rsidR="009E3D49" w:rsidRPr="00DF52B7" w:rsidRDefault="009E3D49" w:rsidP="008B6685">
            <w:pPr>
              <w:spacing w:after="0" w:line="240" w:lineRule="auto"/>
              <w:jc w:val="center"/>
              <w:rPr>
                <w:rFonts w:asciiTheme="majorHAnsi" w:eastAsia="Times New Roman" w:hAnsiTheme="majorHAnsi" w:cstheme="majorHAnsi"/>
                <w:color w:val="000000"/>
                <w:sz w:val="14"/>
                <w:szCs w:val="14"/>
                <w:lang w:val="ro-MD"/>
              </w:rPr>
            </w:pPr>
            <w:r w:rsidRPr="00DF52B7">
              <w:rPr>
                <w:rFonts w:asciiTheme="majorHAnsi" w:eastAsia="Times New Roman" w:hAnsiTheme="majorHAnsi" w:cstheme="majorHAnsi"/>
                <w:color w:val="000000"/>
                <w:sz w:val="14"/>
                <w:szCs w:val="14"/>
                <w:lang w:val="ro-MD"/>
              </w:rPr>
              <w:t xml:space="preserve">Încheierea </w:t>
            </w:r>
            <w:r>
              <w:rPr>
                <w:rFonts w:asciiTheme="majorHAnsi" w:eastAsia="Times New Roman" w:hAnsiTheme="majorHAnsi" w:cstheme="majorHAnsi"/>
                <w:color w:val="000000"/>
                <w:sz w:val="14"/>
                <w:szCs w:val="14"/>
                <w:lang w:val="ro-MD"/>
              </w:rPr>
              <w:t xml:space="preserve">privind restituirea documentului </w:t>
            </w:r>
            <w:r w:rsidRPr="00DF52B7">
              <w:rPr>
                <w:rFonts w:asciiTheme="majorHAnsi" w:eastAsia="Times New Roman" w:hAnsiTheme="majorHAnsi" w:cstheme="majorHAnsi"/>
                <w:color w:val="000000"/>
                <w:sz w:val="14"/>
                <w:szCs w:val="14"/>
                <w:lang w:val="ro-MD"/>
              </w:rPr>
              <w:t>executor</w:t>
            </w:r>
            <w:r>
              <w:rPr>
                <w:rFonts w:asciiTheme="majorHAnsi" w:eastAsia="Times New Roman" w:hAnsiTheme="majorHAnsi" w:cstheme="majorHAnsi"/>
                <w:color w:val="000000"/>
                <w:sz w:val="14"/>
                <w:szCs w:val="14"/>
                <w:lang w:val="ro-MD"/>
              </w:rPr>
              <w:t>iu nr. 020s-679/17 din 28.12.</w:t>
            </w:r>
            <w:r w:rsidR="000306F7">
              <w:rPr>
                <w:rFonts w:asciiTheme="majorHAnsi" w:eastAsia="Times New Roman" w:hAnsiTheme="majorHAnsi" w:cstheme="majorHAnsi"/>
                <w:color w:val="000000"/>
                <w:sz w:val="14"/>
                <w:szCs w:val="14"/>
                <w:lang w:val="ro-MD"/>
              </w:rPr>
              <w:t>20</w:t>
            </w:r>
            <w:r>
              <w:rPr>
                <w:rFonts w:asciiTheme="majorHAnsi" w:eastAsia="Times New Roman" w:hAnsiTheme="majorHAnsi" w:cstheme="majorHAnsi"/>
                <w:color w:val="000000"/>
                <w:sz w:val="14"/>
                <w:szCs w:val="14"/>
                <w:lang w:val="ro-MD"/>
              </w:rPr>
              <w:t>17</w:t>
            </w:r>
            <w:r w:rsidRPr="00DF52B7">
              <w:rPr>
                <w:rFonts w:asciiTheme="majorHAnsi" w:eastAsia="Times New Roman" w:hAnsiTheme="majorHAnsi" w:cstheme="majorHAnsi"/>
                <w:color w:val="000000"/>
                <w:sz w:val="14"/>
                <w:szCs w:val="14"/>
                <w:lang w:val="ro-MD"/>
              </w:rPr>
              <w:t xml:space="preserve"> </w:t>
            </w:r>
          </w:p>
        </w:tc>
      </w:tr>
      <w:tr w:rsidR="009E3D49" w:rsidRPr="00401691" w:rsidTr="008B6685">
        <w:trPr>
          <w:trHeight w:val="288"/>
        </w:trPr>
        <w:tc>
          <w:tcPr>
            <w:tcW w:w="630" w:type="dxa"/>
            <w:tcBorders>
              <w:top w:val="nil"/>
              <w:left w:val="single" w:sz="4" w:space="0" w:color="auto"/>
              <w:bottom w:val="single" w:sz="4" w:space="0" w:color="auto"/>
              <w:right w:val="single" w:sz="4" w:space="0" w:color="auto"/>
            </w:tcBorders>
            <w:shd w:val="clear" w:color="auto" w:fill="auto"/>
            <w:noWrap/>
          </w:tcPr>
          <w:p w:rsidR="009E3D49" w:rsidRPr="00401691" w:rsidRDefault="009E3D49" w:rsidP="008B6685">
            <w:pPr>
              <w:spacing w:after="0" w:line="240" w:lineRule="auto"/>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2</w:t>
            </w:r>
          </w:p>
        </w:tc>
        <w:tc>
          <w:tcPr>
            <w:tcW w:w="1530" w:type="dxa"/>
            <w:tcBorders>
              <w:top w:val="nil"/>
              <w:left w:val="nil"/>
              <w:bottom w:val="single" w:sz="4" w:space="0" w:color="auto"/>
              <w:right w:val="single" w:sz="4" w:space="0" w:color="auto"/>
            </w:tcBorders>
            <w:shd w:val="clear" w:color="auto" w:fill="auto"/>
            <w:noWrap/>
            <w:vAlign w:val="center"/>
          </w:tcPr>
          <w:p w:rsidR="009E3D49" w:rsidRPr="00401691" w:rsidRDefault="009E3D49" w:rsidP="008B6685">
            <w:pPr>
              <w:spacing w:after="0" w:line="240" w:lineRule="auto"/>
              <w:ind w:left="-110" w:right="-7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1005600046866</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9E3D49" w:rsidRPr="00401691" w:rsidRDefault="009E3D49" w:rsidP="008B6685">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458,404.53</w:t>
            </w:r>
          </w:p>
        </w:tc>
        <w:tc>
          <w:tcPr>
            <w:tcW w:w="1080" w:type="dxa"/>
            <w:tcBorders>
              <w:top w:val="nil"/>
              <w:left w:val="single" w:sz="4" w:space="0" w:color="auto"/>
              <w:bottom w:val="single" w:sz="4" w:space="0" w:color="auto"/>
              <w:right w:val="single" w:sz="4" w:space="0" w:color="auto"/>
            </w:tcBorders>
            <w:vAlign w:val="center"/>
          </w:tcPr>
          <w:p w:rsidR="009E3D49" w:rsidRPr="00401691" w:rsidRDefault="009E3D49" w:rsidP="008B6685">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18.04.2017</w:t>
            </w:r>
          </w:p>
        </w:tc>
        <w:tc>
          <w:tcPr>
            <w:tcW w:w="4237" w:type="dxa"/>
            <w:tcBorders>
              <w:top w:val="nil"/>
              <w:left w:val="single" w:sz="4" w:space="0" w:color="auto"/>
              <w:bottom w:val="single" w:sz="4" w:space="0" w:color="auto"/>
              <w:right w:val="single" w:sz="4" w:space="0" w:color="auto"/>
            </w:tcBorders>
            <w:vAlign w:val="center"/>
          </w:tcPr>
          <w:p w:rsidR="009E3D49" w:rsidRPr="00401691" w:rsidRDefault="009E3D49" w:rsidP="008B6685">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 xml:space="preserve">Denunțul SFS către PCCOCS: </w:t>
            </w:r>
          </w:p>
          <w:p w:rsidR="009E3D49" w:rsidRPr="00401691" w:rsidRDefault="009E3D49" w:rsidP="008B6685">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 xml:space="preserve">Scr. SFS nr. 26-12/1-09/1/1714 din 02.06.2017  </w:t>
            </w:r>
          </w:p>
        </w:tc>
        <w:tc>
          <w:tcPr>
            <w:tcW w:w="1890" w:type="dxa"/>
            <w:tcBorders>
              <w:top w:val="nil"/>
              <w:left w:val="single" w:sz="4" w:space="0" w:color="auto"/>
              <w:bottom w:val="single" w:sz="4" w:space="0" w:color="auto"/>
              <w:right w:val="single" w:sz="4" w:space="0" w:color="auto"/>
            </w:tcBorders>
            <w:vAlign w:val="center"/>
          </w:tcPr>
          <w:p w:rsidR="009E3D49" w:rsidRPr="00401691" w:rsidRDefault="009E3D49" w:rsidP="008B6685">
            <w:pPr>
              <w:spacing w:after="0" w:line="240" w:lineRule="auto"/>
              <w:jc w:val="center"/>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w:t>
            </w:r>
          </w:p>
        </w:tc>
        <w:tc>
          <w:tcPr>
            <w:tcW w:w="2070" w:type="dxa"/>
            <w:tcBorders>
              <w:top w:val="nil"/>
              <w:left w:val="single" w:sz="4" w:space="0" w:color="auto"/>
              <w:bottom w:val="single" w:sz="4" w:space="0" w:color="auto"/>
              <w:right w:val="single" w:sz="4" w:space="0" w:color="auto"/>
            </w:tcBorders>
            <w:vAlign w:val="center"/>
          </w:tcPr>
          <w:p w:rsidR="009E3D49" w:rsidRPr="00401691" w:rsidRDefault="009E3D49" w:rsidP="008B6685">
            <w:pPr>
              <w:spacing w:after="0" w:line="240" w:lineRule="auto"/>
              <w:ind w:left="-50" w:right="-12"/>
              <w:jc w:val="both"/>
              <w:rPr>
                <w:rFonts w:asciiTheme="majorHAnsi" w:eastAsia="Times New Roman" w:hAnsiTheme="majorHAnsi" w:cstheme="majorHAnsi"/>
                <w:color w:val="000000"/>
                <w:sz w:val="16"/>
                <w:szCs w:val="16"/>
                <w:lang w:val="ro-MD"/>
              </w:rPr>
            </w:pPr>
            <w:r>
              <w:rPr>
                <w:rFonts w:asciiTheme="majorHAnsi" w:eastAsia="Times New Roman" w:hAnsiTheme="majorHAnsi" w:cstheme="majorHAnsi"/>
                <w:color w:val="000000"/>
                <w:sz w:val="16"/>
                <w:szCs w:val="16"/>
                <w:lang w:val="ro-MD"/>
              </w:rPr>
              <w:t>DI00481180 din 19.02.2018</w:t>
            </w:r>
          </w:p>
        </w:tc>
        <w:tc>
          <w:tcPr>
            <w:tcW w:w="2610" w:type="dxa"/>
            <w:tcBorders>
              <w:top w:val="nil"/>
              <w:left w:val="single" w:sz="4" w:space="0" w:color="auto"/>
              <w:bottom w:val="single" w:sz="4" w:space="0" w:color="auto"/>
              <w:right w:val="single" w:sz="4" w:space="0" w:color="auto"/>
            </w:tcBorders>
            <w:vAlign w:val="center"/>
          </w:tcPr>
          <w:p w:rsidR="009E3D49" w:rsidRPr="00DF52B7" w:rsidRDefault="009E3D49" w:rsidP="008B6685">
            <w:pPr>
              <w:spacing w:after="0" w:line="240" w:lineRule="auto"/>
              <w:jc w:val="center"/>
              <w:rPr>
                <w:rFonts w:asciiTheme="majorHAnsi" w:eastAsia="Times New Roman" w:hAnsiTheme="majorHAnsi" w:cstheme="majorHAnsi"/>
                <w:color w:val="000000"/>
                <w:sz w:val="14"/>
                <w:szCs w:val="14"/>
                <w:lang w:val="ro-MD"/>
              </w:rPr>
            </w:pPr>
            <w:r w:rsidRPr="00DF52B7">
              <w:rPr>
                <w:rFonts w:asciiTheme="majorHAnsi" w:eastAsia="Times New Roman" w:hAnsiTheme="majorHAnsi" w:cstheme="majorHAnsi"/>
                <w:color w:val="000000"/>
                <w:sz w:val="14"/>
                <w:szCs w:val="14"/>
                <w:lang w:val="ro-MD"/>
              </w:rPr>
              <w:t xml:space="preserve">Încheierea </w:t>
            </w:r>
            <w:r>
              <w:rPr>
                <w:rFonts w:asciiTheme="majorHAnsi" w:eastAsia="Times New Roman" w:hAnsiTheme="majorHAnsi" w:cstheme="majorHAnsi"/>
                <w:color w:val="000000"/>
                <w:sz w:val="14"/>
                <w:szCs w:val="14"/>
                <w:lang w:val="ro-MD"/>
              </w:rPr>
              <w:t xml:space="preserve">privind restituirea documentului </w:t>
            </w:r>
            <w:r w:rsidRPr="00DF52B7">
              <w:rPr>
                <w:rFonts w:asciiTheme="majorHAnsi" w:eastAsia="Times New Roman" w:hAnsiTheme="majorHAnsi" w:cstheme="majorHAnsi"/>
                <w:color w:val="000000"/>
                <w:sz w:val="14"/>
                <w:szCs w:val="14"/>
                <w:lang w:val="ro-MD"/>
              </w:rPr>
              <w:t>executor</w:t>
            </w:r>
            <w:r>
              <w:rPr>
                <w:rFonts w:asciiTheme="majorHAnsi" w:eastAsia="Times New Roman" w:hAnsiTheme="majorHAnsi" w:cstheme="majorHAnsi"/>
                <w:color w:val="000000"/>
                <w:sz w:val="14"/>
                <w:szCs w:val="14"/>
                <w:lang w:val="ro-MD"/>
              </w:rPr>
              <w:t>iu nr. 033s-74/18 din 09.02.2018</w:t>
            </w:r>
            <w:r w:rsidRPr="00DF52B7">
              <w:rPr>
                <w:rFonts w:asciiTheme="majorHAnsi" w:eastAsia="Times New Roman" w:hAnsiTheme="majorHAnsi" w:cstheme="majorHAnsi"/>
                <w:color w:val="000000"/>
                <w:sz w:val="14"/>
                <w:szCs w:val="14"/>
                <w:lang w:val="ro-MD"/>
              </w:rPr>
              <w:t xml:space="preserve"> </w:t>
            </w:r>
          </w:p>
        </w:tc>
      </w:tr>
      <w:tr w:rsidR="009E3D49" w:rsidRPr="00401691" w:rsidTr="008B6685">
        <w:trPr>
          <w:trHeight w:val="296"/>
        </w:trPr>
        <w:tc>
          <w:tcPr>
            <w:tcW w:w="630" w:type="dxa"/>
            <w:tcBorders>
              <w:top w:val="nil"/>
              <w:left w:val="single" w:sz="4" w:space="0" w:color="auto"/>
              <w:bottom w:val="single" w:sz="4" w:space="0" w:color="auto"/>
              <w:right w:val="single" w:sz="4" w:space="0" w:color="auto"/>
            </w:tcBorders>
            <w:shd w:val="clear" w:color="auto" w:fill="auto"/>
            <w:noWrap/>
          </w:tcPr>
          <w:p w:rsidR="009E3D49" w:rsidRPr="00401691" w:rsidRDefault="009E3D49" w:rsidP="008B6685">
            <w:pPr>
              <w:spacing w:after="0" w:line="240" w:lineRule="auto"/>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3</w:t>
            </w:r>
          </w:p>
        </w:tc>
        <w:tc>
          <w:tcPr>
            <w:tcW w:w="1530" w:type="dxa"/>
            <w:tcBorders>
              <w:top w:val="nil"/>
              <w:left w:val="nil"/>
              <w:bottom w:val="single" w:sz="4" w:space="0" w:color="auto"/>
              <w:right w:val="single" w:sz="4" w:space="0" w:color="auto"/>
            </w:tcBorders>
            <w:shd w:val="clear" w:color="auto" w:fill="auto"/>
            <w:noWrap/>
            <w:vAlign w:val="center"/>
          </w:tcPr>
          <w:p w:rsidR="009E3D49" w:rsidRPr="00401691" w:rsidRDefault="009E3D49" w:rsidP="008B6685">
            <w:pPr>
              <w:spacing w:after="0" w:line="240" w:lineRule="auto"/>
              <w:ind w:left="-110" w:right="-7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1012600008327</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9E3D49" w:rsidRPr="00401691" w:rsidRDefault="009E3D49" w:rsidP="008B6685">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452,388.68</w:t>
            </w:r>
          </w:p>
        </w:tc>
        <w:tc>
          <w:tcPr>
            <w:tcW w:w="1080" w:type="dxa"/>
            <w:tcBorders>
              <w:top w:val="nil"/>
              <w:left w:val="single" w:sz="4" w:space="0" w:color="auto"/>
              <w:bottom w:val="single" w:sz="4" w:space="0" w:color="auto"/>
              <w:right w:val="single" w:sz="4" w:space="0" w:color="auto"/>
            </w:tcBorders>
            <w:vAlign w:val="center"/>
          </w:tcPr>
          <w:p w:rsidR="009E3D49" w:rsidRPr="00401691" w:rsidRDefault="009E3D49" w:rsidP="008B6685">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12.04.2017</w:t>
            </w:r>
          </w:p>
        </w:tc>
        <w:tc>
          <w:tcPr>
            <w:tcW w:w="4237" w:type="dxa"/>
            <w:tcBorders>
              <w:top w:val="nil"/>
              <w:left w:val="single" w:sz="4" w:space="0" w:color="auto"/>
              <w:bottom w:val="single" w:sz="4" w:space="0" w:color="auto"/>
              <w:right w:val="single" w:sz="4" w:space="0" w:color="auto"/>
            </w:tcBorders>
            <w:vAlign w:val="center"/>
          </w:tcPr>
          <w:p w:rsidR="009E3D49" w:rsidRPr="00401691" w:rsidRDefault="009E3D49" w:rsidP="008B6685">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 xml:space="preserve">Denunțul SFS către PCCOCS: </w:t>
            </w:r>
          </w:p>
          <w:p w:rsidR="009E3D49" w:rsidRPr="00401691" w:rsidRDefault="009E3D49" w:rsidP="008B6685">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 xml:space="preserve">Scr. SFS nr. 26-12/2-09/1-1320 din 05.06.2017  </w:t>
            </w:r>
          </w:p>
        </w:tc>
        <w:tc>
          <w:tcPr>
            <w:tcW w:w="1890" w:type="dxa"/>
            <w:tcBorders>
              <w:top w:val="nil"/>
              <w:left w:val="single" w:sz="4" w:space="0" w:color="auto"/>
              <w:bottom w:val="single" w:sz="4" w:space="0" w:color="auto"/>
              <w:right w:val="single" w:sz="4" w:space="0" w:color="auto"/>
            </w:tcBorders>
            <w:vAlign w:val="center"/>
          </w:tcPr>
          <w:p w:rsidR="009E3D49" w:rsidRPr="00401691" w:rsidRDefault="009E3D49" w:rsidP="008B6685">
            <w:pPr>
              <w:spacing w:after="0" w:line="240" w:lineRule="auto"/>
              <w:jc w:val="center"/>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w:t>
            </w:r>
          </w:p>
        </w:tc>
        <w:tc>
          <w:tcPr>
            <w:tcW w:w="2070" w:type="dxa"/>
            <w:tcBorders>
              <w:top w:val="nil"/>
              <w:left w:val="single" w:sz="4" w:space="0" w:color="auto"/>
              <w:bottom w:val="single" w:sz="4" w:space="0" w:color="auto"/>
              <w:right w:val="single" w:sz="4" w:space="0" w:color="auto"/>
            </w:tcBorders>
            <w:vAlign w:val="center"/>
          </w:tcPr>
          <w:p w:rsidR="009E3D49" w:rsidRPr="00401691" w:rsidRDefault="009E3D49" w:rsidP="008B6685">
            <w:pPr>
              <w:spacing w:after="0" w:line="240" w:lineRule="auto"/>
              <w:ind w:left="-50" w:right="-12"/>
              <w:jc w:val="both"/>
              <w:rPr>
                <w:rFonts w:asciiTheme="majorHAnsi" w:eastAsia="Times New Roman" w:hAnsiTheme="majorHAnsi" w:cstheme="majorHAnsi"/>
                <w:color w:val="000000"/>
                <w:sz w:val="16"/>
                <w:szCs w:val="16"/>
                <w:lang w:val="ro-MD"/>
              </w:rPr>
            </w:pPr>
            <w:r w:rsidRPr="00401691">
              <w:rPr>
                <w:rFonts w:asciiTheme="majorHAnsi" w:eastAsia="Times New Roman" w:hAnsiTheme="majorHAnsi" w:cstheme="majorHAnsi"/>
                <w:color w:val="000000"/>
                <w:sz w:val="16"/>
                <w:szCs w:val="16"/>
                <w:lang w:val="ro-MD"/>
              </w:rPr>
              <w:t>DI0040729D din 11.12.2017</w:t>
            </w:r>
          </w:p>
        </w:tc>
        <w:tc>
          <w:tcPr>
            <w:tcW w:w="2610" w:type="dxa"/>
            <w:tcBorders>
              <w:top w:val="nil"/>
              <w:left w:val="single" w:sz="4" w:space="0" w:color="auto"/>
              <w:bottom w:val="single" w:sz="4" w:space="0" w:color="auto"/>
              <w:right w:val="single" w:sz="4" w:space="0" w:color="auto"/>
            </w:tcBorders>
            <w:vAlign w:val="center"/>
          </w:tcPr>
          <w:p w:rsidR="009E3D49" w:rsidRPr="00DF52B7" w:rsidRDefault="009E3D49" w:rsidP="008B6685">
            <w:pPr>
              <w:spacing w:after="0" w:line="240" w:lineRule="auto"/>
              <w:jc w:val="center"/>
              <w:rPr>
                <w:rFonts w:asciiTheme="majorHAnsi" w:eastAsia="Times New Roman" w:hAnsiTheme="majorHAnsi" w:cstheme="majorHAnsi"/>
                <w:color w:val="000000"/>
                <w:sz w:val="14"/>
                <w:szCs w:val="14"/>
                <w:lang w:val="ro-MD"/>
              </w:rPr>
            </w:pPr>
            <w:r w:rsidRPr="00DF52B7">
              <w:rPr>
                <w:rFonts w:asciiTheme="majorHAnsi" w:eastAsia="Times New Roman" w:hAnsiTheme="majorHAnsi" w:cstheme="majorHAnsi"/>
                <w:color w:val="000000"/>
                <w:sz w:val="14"/>
                <w:szCs w:val="14"/>
                <w:lang w:val="ro-MD"/>
              </w:rPr>
              <w:t xml:space="preserve">Încheierea </w:t>
            </w:r>
            <w:r>
              <w:rPr>
                <w:rFonts w:asciiTheme="majorHAnsi" w:eastAsia="Times New Roman" w:hAnsiTheme="majorHAnsi" w:cstheme="majorHAnsi"/>
                <w:color w:val="000000"/>
                <w:sz w:val="14"/>
                <w:szCs w:val="14"/>
                <w:lang w:val="ro-MD"/>
              </w:rPr>
              <w:t xml:space="preserve">privind restituirea documentului </w:t>
            </w:r>
            <w:r w:rsidRPr="00DF52B7">
              <w:rPr>
                <w:rFonts w:asciiTheme="majorHAnsi" w:eastAsia="Times New Roman" w:hAnsiTheme="majorHAnsi" w:cstheme="majorHAnsi"/>
                <w:color w:val="000000"/>
                <w:sz w:val="14"/>
                <w:szCs w:val="14"/>
                <w:lang w:val="ro-MD"/>
              </w:rPr>
              <w:t>executor</w:t>
            </w:r>
            <w:r>
              <w:rPr>
                <w:rFonts w:asciiTheme="majorHAnsi" w:eastAsia="Times New Roman" w:hAnsiTheme="majorHAnsi" w:cstheme="majorHAnsi"/>
                <w:color w:val="000000"/>
                <w:sz w:val="14"/>
                <w:szCs w:val="14"/>
                <w:lang w:val="ro-MD"/>
              </w:rPr>
              <w:t>iu nr. 021s-419/2017 din 07.12.2017</w:t>
            </w:r>
            <w:r w:rsidRPr="00DF52B7">
              <w:rPr>
                <w:rFonts w:asciiTheme="majorHAnsi" w:eastAsia="Times New Roman" w:hAnsiTheme="majorHAnsi" w:cstheme="majorHAnsi"/>
                <w:color w:val="000000"/>
                <w:sz w:val="14"/>
                <w:szCs w:val="14"/>
                <w:lang w:val="ro-MD"/>
              </w:rPr>
              <w:t xml:space="preserve"> </w:t>
            </w:r>
          </w:p>
        </w:tc>
      </w:tr>
      <w:tr w:rsidR="009E3D49" w:rsidRPr="00401691" w:rsidTr="008B6685">
        <w:trPr>
          <w:trHeight w:val="288"/>
        </w:trPr>
        <w:tc>
          <w:tcPr>
            <w:tcW w:w="630" w:type="dxa"/>
            <w:tcBorders>
              <w:top w:val="nil"/>
              <w:left w:val="single" w:sz="4" w:space="0" w:color="auto"/>
              <w:bottom w:val="single" w:sz="4" w:space="0" w:color="auto"/>
              <w:right w:val="single" w:sz="4" w:space="0" w:color="auto"/>
            </w:tcBorders>
            <w:shd w:val="clear" w:color="auto" w:fill="auto"/>
            <w:noWrap/>
          </w:tcPr>
          <w:p w:rsidR="009E3D49" w:rsidRPr="00401691" w:rsidRDefault="009E3D49" w:rsidP="008B6685">
            <w:pPr>
              <w:spacing w:after="0" w:line="240" w:lineRule="auto"/>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4</w:t>
            </w:r>
          </w:p>
        </w:tc>
        <w:tc>
          <w:tcPr>
            <w:tcW w:w="1530" w:type="dxa"/>
            <w:tcBorders>
              <w:top w:val="nil"/>
              <w:left w:val="nil"/>
              <w:bottom w:val="single" w:sz="4" w:space="0" w:color="auto"/>
              <w:right w:val="single" w:sz="4" w:space="0" w:color="auto"/>
            </w:tcBorders>
            <w:shd w:val="clear" w:color="auto" w:fill="auto"/>
            <w:noWrap/>
            <w:vAlign w:val="center"/>
          </w:tcPr>
          <w:p w:rsidR="009E3D49" w:rsidRPr="00401691" w:rsidRDefault="009E3D49" w:rsidP="008B6685">
            <w:pPr>
              <w:spacing w:after="0" w:line="240" w:lineRule="auto"/>
              <w:ind w:left="-110" w:right="-7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1009611002435</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9E3D49" w:rsidRPr="00401691" w:rsidRDefault="009E3D49" w:rsidP="008B6685">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425,582.70</w:t>
            </w:r>
          </w:p>
        </w:tc>
        <w:tc>
          <w:tcPr>
            <w:tcW w:w="1080" w:type="dxa"/>
            <w:tcBorders>
              <w:top w:val="nil"/>
              <w:left w:val="single" w:sz="4" w:space="0" w:color="auto"/>
              <w:bottom w:val="single" w:sz="4" w:space="0" w:color="auto"/>
              <w:right w:val="single" w:sz="4" w:space="0" w:color="auto"/>
            </w:tcBorders>
            <w:vAlign w:val="center"/>
          </w:tcPr>
          <w:p w:rsidR="009E3D49" w:rsidRPr="00401691" w:rsidRDefault="009E3D49" w:rsidP="008B6685">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20.02.2017</w:t>
            </w:r>
          </w:p>
        </w:tc>
        <w:tc>
          <w:tcPr>
            <w:tcW w:w="4237" w:type="dxa"/>
            <w:tcBorders>
              <w:top w:val="nil"/>
              <w:left w:val="single" w:sz="4" w:space="0" w:color="auto"/>
              <w:bottom w:val="single" w:sz="4" w:space="0" w:color="auto"/>
              <w:right w:val="single" w:sz="4" w:space="0" w:color="auto"/>
            </w:tcBorders>
            <w:vAlign w:val="center"/>
          </w:tcPr>
          <w:p w:rsidR="009E3D49" w:rsidRPr="00401691" w:rsidRDefault="009E3D49" w:rsidP="008B6685">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 xml:space="preserve">Denunțul SFS către PCCOCS: </w:t>
            </w:r>
          </w:p>
          <w:p w:rsidR="009E3D49" w:rsidRPr="00401691" w:rsidRDefault="009E3D49" w:rsidP="008B6685">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 xml:space="preserve">Scr. SFS nr. 26-12/1-09/1-164 din 10.04.2017  </w:t>
            </w:r>
          </w:p>
        </w:tc>
        <w:tc>
          <w:tcPr>
            <w:tcW w:w="1890" w:type="dxa"/>
            <w:tcBorders>
              <w:top w:val="nil"/>
              <w:left w:val="single" w:sz="4" w:space="0" w:color="auto"/>
              <w:bottom w:val="single" w:sz="4" w:space="0" w:color="auto"/>
              <w:right w:val="single" w:sz="4" w:space="0" w:color="auto"/>
            </w:tcBorders>
            <w:vAlign w:val="center"/>
          </w:tcPr>
          <w:p w:rsidR="009E3D49" w:rsidRPr="00401691" w:rsidRDefault="00B47EA2" w:rsidP="00B47EA2">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w:t>
            </w:r>
          </w:p>
        </w:tc>
        <w:tc>
          <w:tcPr>
            <w:tcW w:w="2070" w:type="dxa"/>
            <w:tcBorders>
              <w:top w:val="nil"/>
              <w:left w:val="single" w:sz="4" w:space="0" w:color="auto"/>
              <w:bottom w:val="single" w:sz="4" w:space="0" w:color="auto"/>
              <w:right w:val="single" w:sz="4" w:space="0" w:color="auto"/>
            </w:tcBorders>
            <w:vAlign w:val="center"/>
          </w:tcPr>
          <w:p w:rsidR="009E3D49" w:rsidRPr="00401691" w:rsidRDefault="009E3D49" w:rsidP="008B6685">
            <w:pPr>
              <w:spacing w:after="0" w:line="240" w:lineRule="auto"/>
              <w:ind w:left="-50" w:right="-12"/>
              <w:jc w:val="both"/>
              <w:rPr>
                <w:rFonts w:asciiTheme="majorHAnsi" w:eastAsia="Times New Roman" w:hAnsiTheme="majorHAnsi" w:cstheme="majorHAnsi"/>
                <w:color w:val="000000"/>
                <w:sz w:val="16"/>
                <w:szCs w:val="16"/>
                <w:lang w:val="ro-MD"/>
              </w:rPr>
            </w:pPr>
            <w:r w:rsidRPr="00401691">
              <w:rPr>
                <w:rFonts w:asciiTheme="majorHAnsi" w:eastAsia="Times New Roman" w:hAnsiTheme="majorHAnsi" w:cstheme="majorHAnsi"/>
                <w:color w:val="000000"/>
                <w:sz w:val="16"/>
                <w:szCs w:val="16"/>
                <w:lang w:val="ro-MD"/>
              </w:rPr>
              <w:t>DI00379161 din 14.11.2017</w:t>
            </w:r>
          </w:p>
        </w:tc>
        <w:tc>
          <w:tcPr>
            <w:tcW w:w="2610" w:type="dxa"/>
            <w:tcBorders>
              <w:top w:val="nil"/>
              <w:left w:val="single" w:sz="4" w:space="0" w:color="auto"/>
              <w:bottom w:val="single" w:sz="4" w:space="0" w:color="auto"/>
              <w:right w:val="single" w:sz="4" w:space="0" w:color="auto"/>
            </w:tcBorders>
            <w:vAlign w:val="center"/>
          </w:tcPr>
          <w:p w:rsidR="009E3D49" w:rsidRPr="00DF52B7" w:rsidRDefault="009E3D49" w:rsidP="008B6685">
            <w:pPr>
              <w:spacing w:after="0" w:line="240" w:lineRule="auto"/>
              <w:jc w:val="center"/>
              <w:rPr>
                <w:rFonts w:asciiTheme="majorHAnsi" w:eastAsia="Times New Roman" w:hAnsiTheme="majorHAnsi" w:cstheme="majorHAnsi"/>
                <w:color w:val="000000"/>
                <w:sz w:val="14"/>
                <w:szCs w:val="14"/>
                <w:lang w:val="ro-MD"/>
              </w:rPr>
            </w:pPr>
            <w:r w:rsidRPr="00DF52B7">
              <w:rPr>
                <w:rFonts w:asciiTheme="majorHAnsi" w:eastAsia="Times New Roman" w:hAnsiTheme="majorHAnsi" w:cstheme="majorHAnsi"/>
                <w:color w:val="000000"/>
                <w:sz w:val="14"/>
                <w:szCs w:val="14"/>
                <w:lang w:val="ro-MD"/>
              </w:rPr>
              <w:t xml:space="preserve">Încheierea </w:t>
            </w:r>
            <w:r w:rsidR="000306F7">
              <w:rPr>
                <w:rFonts w:asciiTheme="majorHAnsi" w:eastAsia="Times New Roman" w:hAnsiTheme="majorHAnsi" w:cstheme="majorHAnsi"/>
                <w:color w:val="000000"/>
                <w:sz w:val="14"/>
                <w:szCs w:val="14"/>
                <w:lang w:val="ro-MD"/>
              </w:rPr>
              <w:t xml:space="preserve">privind </w:t>
            </w:r>
            <w:r>
              <w:rPr>
                <w:rFonts w:asciiTheme="majorHAnsi" w:eastAsia="Times New Roman" w:hAnsiTheme="majorHAnsi" w:cstheme="majorHAnsi"/>
                <w:color w:val="000000"/>
                <w:sz w:val="14"/>
                <w:szCs w:val="14"/>
                <w:lang w:val="ro-MD"/>
              </w:rPr>
              <w:t xml:space="preserve">restituirea documentului </w:t>
            </w:r>
            <w:r w:rsidRPr="00DF52B7">
              <w:rPr>
                <w:rFonts w:asciiTheme="majorHAnsi" w:eastAsia="Times New Roman" w:hAnsiTheme="majorHAnsi" w:cstheme="majorHAnsi"/>
                <w:color w:val="000000"/>
                <w:sz w:val="14"/>
                <w:szCs w:val="14"/>
                <w:lang w:val="ro-MD"/>
              </w:rPr>
              <w:t>executor</w:t>
            </w:r>
            <w:r>
              <w:rPr>
                <w:rFonts w:asciiTheme="majorHAnsi" w:eastAsia="Times New Roman" w:hAnsiTheme="majorHAnsi" w:cstheme="majorHAnsi"/>
                <w:color w:val="000000"/>
                <w:sz w:val="14"/>
                <w:szCs w:val="14"/>
                <w:lang w:val="ro-MD"/>
              </w:rPr>
              <w:t>iu nr. 005-45s/17 din 29.09.2018</w:t>
            </w:r>
            <w:r w:rsidRPr="00DF52B7">
              <w:rPr>
                <w:rFonts w:asciiTheme="majorHAnsi" w:eastAsia="Times New Roman" w:hAnsiTheme="majorHAnsi" w:cstheme="majorHAnsi"/>
                <w:color w:val="000000"/>
                <w:sz w:val="14"/>
                <w:szCs w:val="14"/>
                <w:lang w:val="ro-MD"/>
              </w:rPr>
              <w:t xml:space="preserve"> </w:t>
            </w:r>
          </w:p>
        </w:tc>
      </w:tr>
      <w:tr w:rsidR="009E3D49" w:rsidRPr="00401691" w:rsidTr="008B6685">
        <w:trPr>
          <w:trHeight w:val="185"/>
        </w:trPr>
        <w:tc>
          <w:tcPr>
            <w:tcW w:w="630" w:type="dxa"/>
            <w:vMerge w:val="restart"/>
            <w:tcBorders>
              <w:top w:val="nil"/>
              <w:left w:val="single" w:sz="4" w:space="0" w:color="auto"/>
              <w:right w:val="single" w:sz="4" w:space="0" w:color="auto"/>
            </w:tcBorders>
            <w:shd w:val="clear" w:color="auto" w:fill="auto"/>
            <w:noWrap/>
          </w:tcPr>
          <w:p w:rsidR="009E3D49" w:rsidRPr="00401691" w:rsidRDefault="009E3D49" w:rsidP="008B6685">
            <w:pPr>
              <w:spacing w:after="0" w:line="240" w:lineRule="auto"/>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5</w:t>
            </w:r>
          </w:p>
        </w:tc>
        <w:tc>
          <w:tcPr>
            <w:tcW w:w="1530" w:type="dxa"/>
            <w:vMerge w:val="restart"/>
            <w:tcBorders>
              <w:top w:val="nil"/>
              <w:left w:val="nil"/>
              <w:right w:val="single" w:sz="4" w:space="0" w:color="auto"/>
            </w:tcBorders>
            <w:shd w:val="clear" w:color="auto" w:fill="auto"/>
            <w:noWrap/>
            <w:vAlign w:val="center"/>
          </w:tcPr>
          <w:p w:rsidR="009E3D49" w:rsidRPr="00401691" w:rsidRDefault="009E3D49" w:rsidP="008B6685">
            <w:pPr>
              <w:spacing w:after="0" w:line="240" w:lineRule="auto"/>
              <w:ind w:left="-110" w:right="-7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1014600014715</w:t>
            </w:r>
          </w:p>
        </w:tc>
        <w:tc>
          <w:tcPr>
            <w:tcW w:w="1073" w:type="dxa"/>
            <w:vMerge w:val="restart"/>
            <w:tcBorders>
              <w:top w:val="nil"/>
              <w:left w:val="single" w:sz="4" w:space="0" w:color="auto"/>
              <w:right w:val="single" w:sz="4" w:space="0" w:color="auto"/>
            </w:tcBorders>
            <w:shd w:val="clear" w:color="auto" w:fill="auto"/>
            <w:noWrap/>
            <w:vAlign w:val="center"/>
          </w:tcPr>
          <w:p w:rsidR="009E3D49" w:rsidRPr="00401691" w:rsidRDefault="009E3D49" w:rsidP="008B6685">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396,370, 4</w:t>
            </w:r>
          </w:p>
        </w:tc>
        <w:tc>
          <w:tcPr>
            <w:tcW w:w="1080" w:type="dxa"/>
            <w:tcBorders>
              <w:top w:val="nil"/>
              <w:left w:val="single" w:sz="4" w:space="0" w:color="auto"/>
              <w:bottom w:val="single" w:sz="4" w:space="0" w:color="auto"/>
              <w:right w:val="single" w:sz="4" w:space="0" w:color="auto"/>
            </w:tcBorders>
            <w:vAlign w:val="center"/>
          </w:tcPr>
          <w:p w:rsidR="009E3D49" w:rsidRPr="002B50DA" w:rsidRDefault="009E3D49" w:rsidP="008B6685">
            <w:pPr>
              <w:spacing w:after="0" w:line="240" w:lineRule="auto"/>
              <w:jc w:val="both"/>
              <w:rPr>
                <w:rFonts w:asciiTheme="majorHAnsi" w:eastAsia="Times New Roman" w:hAnsiTheme="majorHAnsi" w:cstheme="majorHAnsi"/>
                <w:color w:val="000000"/>
                <w:sz w:val="18"/>
                <w:szCs w:val="18"/>
                <w:lang w:val="ro-MD"/>
              </w:rPr>
            </w:pPr>
            <w:r w:rsidRPr="002B50DA">
              <w:rPr>
                <w:rFonts w:asciiTheme="majorHAnsi" w:eastAsia="Times New Roman" w:hAnsiTheme="majorHAnsi" w:cstheme="majorHAnsi"/>
                <w:color w:val="000000"/>
                <w:sz w:val="18"/>
                <w:szCs w:val="18"/>
                <w:lang w:val="ro-MD"/>
              </w:rPr>
              <w:t>16.06.2016</w:t>
            </w:r>
          </w:p>
        </w:tc>
        <w:tc>
          <w:tcPr>
            <w:tcW w:w="4237" w:type="dxa"/>
            <w:vMerge w:val="restart"/>
            <w:tcBorders>
              <w:top w:val="single" w:sz="4" w:space="0" w:color="auto"/>
              <w:left w:val="single" w:sz="4" w:space="0" w:color="auto"/>
              <w:right w:val="single" w:sz="4" w:space="0" w:color="auto"/>
            </w:tcBorders>
            <w:vAlign w:val="center"/>
          </w:tcPr>
          <w:p w:rsidR="009E3D49" w:rsidRPr="00401691" w:rsidRDefault="009E3D49" w:rsidP="008B6685">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 xml:space="preserve">Denunțul SFS către PCCOCS: </w:t>
            </w:r>
          </w:p>
          <w:p w:rsidR="009E3D49" w:rsidRPr="00401691" w:rsidRDefault="009E3D49" w:rsidP="008B6685">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 xml:space="preserve">Scr. SFS nr. 26-12/2-09-785 din 19.01.2018  </w:t>
            </w:r>
          </w:p>
        </w:tc>
        <w:tc>
          <w:tcPr>
            <w:tcW w:w="1890" w:type="dxa"/>
            <w:vMerge w:val="restart"/>
            <w:tcBorders>
              <w:top w:val="single" w:sz="4" w:space="0" w:color="auto"/>
              <w:left w:val="single" w:sz="4" w:space="0" w:color="auto"/>
              <w:right w:val="single" w:sz="4" w:space="0" w:color="auto"/>
            </w:tcBorders>
            <w:vAlign w:val="center"/>
          </w:tcPr>
          <w:p w:rsidR="009E3D49" w:rsidRPr="00401691" w:rsidRDefault="00B47EA2" w:rsidP="00B47EA2">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w:t>
            </w:r>
          </w:p>
        </w:tc>
        <w:tc>
          <w:tcPr>
            <w:tcW w:w="2070" w:type="dxa"/>
            <w:tcBorders>
              <w:top w:val="single" w:sz="4" w:space="0" w:color="auto"/>
              <w:left w:val="single" w:sz="4" w:space="0" w:color="auto"/>
              <w:bottom w:val="single" w:sz="4" w:space="0" w:color="auto"/>
              <w:right w:val="single" w:sz="4" w:space="0" w:color="auto"/>
            </w:tcBorders>
            <w:vAlign w:val="center"/>
          </w:tcPr>
          <w:p w:rsidR="009E3D49" w:rsidRPr="00401691" w:rsidRDefault="009E3D49" w:rsidP="008B6685">
            <w:pPr>
              <w:spacing w:after="0" w:line="240" w:lineRule="auto"/>
              <w:ind w:right="-12"/>
              <w:jc w:val="both"/>
              <w:rPr>
                <w:rFonts w:asciiTheme="majorHAnsi" w:eastAsia="Times New Roman" w:hAnsiTheme="majorHAnsi" w:cstheme="majorHAnsi"/>
                <w:color w:val="000000"/>
                <w:sz w:val="16"/>
                <w:szCs w:val="16"/>
                <w:lang w:val="ro-MD"/>
              </w:rPr>
            </w:pPr>
            <w:r w:rsidRPr="00401691">
              <w:rPr>
                <w:rFonts w:asciiTheme="majorHAnsi" w:eastAsia="Times New Roman" w:hAnsiTheme="majorHAnsi" w:cstheme="majorHAnsi"/>
                <w:color w:val="000000"/>
                <w:sz w:val="16"/>
                <w:szCs w:val="16"/>
                <w:lang w:val="ro-MD"/>
              </w:rPr>
              <w:t>DI003721E5 din 07.11.2017</w:t>
            </w:r>
          </w:p>
          <w:p w:rsidR="009E3D49" w:rsidRPr="00401691" w:rsidRDefault="000306F7" w:rsidP="008B6685">
            <w:pPr>
              <w:spacing w:after="0" w:line="240" w:lineRule="auto"/>
              <w:ind w:left="-50" w:right="-12"/>
              <w:jc w:val="both"/>
              <w:rPr>
                <w:rFonts w:asciiTheme="majorHAnsi" w:eastAsia="Times New Roman" w:hAnsiTheme="majorHAnsi" w:cstheme="majorHAnsi"/>
                <w:color w:val="000000"/>
                <w:sz w:val="16"/>
                <w:szCs w:val="16"/>
                <w:lang w:val="ro-MD"/>
              </w:rPr>
            </w:pPr>
            <w:r>
              <w:rPr>
                <w:rFonts w:asciiTheme="majorHAnsi" w:eastAsia="Times New Roman" w:hAnsiTheme="majorHAnsi" w:cstheme="majorHAnsi"/>
                <w:color w:val="000000"/>
                <w:sz w:val="16"/>
                <w:szCs w:val="16"/>
                <w:lang w:val="ro-MD"/>
              </w:rPr>
              <w:t xml:space="preserve"> </w:t>
            </w:r>
            <w:r w:rsidR="009E3D49" w:rsidRPr="00401691">
              <w:rPr>
                <w:rFonts w:asciiTheme="majorHAnsi" w:eastAsia="Times New Roman" w:hAnsiTheme="majorHAnsi" w:cstheme="majorHAnsi"/>
                <w:color w:val="000000"/>
                <w:sz w:val="16"/>
                <w:szCs w:val="16"/>
                <w:lang w:val="ro-MD"/>
              </w:rPr>
              <w:t>DI00373155 din 08.11.2017</w:t>
            </w:r>
          </w:p>
          <w:p w:rsidR="009E3D49" w:rsidRPr="00401691" w:rsidRDefault="000306F7" w:rsidP="008B6685">
            <w:pPr>
              <w:spacing w:after="0" w:line="240" w:lineRule="auto"/>
              <w:ind w:left="-50" w:right="-12"/>
              <w:jc w:val="both"/>
              <w:rPr>
                <w:rFonts w:asciiTheme="majorHAnsi" w:eastAsia="Times New Roman" w:hAnsiTheme="majorHAnsi" w:cstheme="majorHAnsi"/>
                <w:color w:val="000000"/>
                <w:sz w:val="16"/>
                <w:szCs w:val="16"/>
                <w:lang w:val="ro-MD"/>
              </w:rPr>
            </w:pPr>
            <w:r>
              <w:rPr>
                <w:rFonts w:asciiTheme="majorHAnsi" w:eastAsia="Times New Roman" w:hAnsiTheme="majorHAnsi" w:cstheme="majorHAnsi"/>
                <w:color w:val="000000"/>
                <w:sz w:val="16"/>
                <w:szCs w:val="16"/>
                <w:lang w:val="ro-MD"/>
              </w:rPr>
              <w:t xml:space="preserve"> </w:t>
            </w:r>
            <w:r w:rsidR="00366AE8">
              <w:rPr>
                <w:rFonts w:asciiTheme="majorHAnsi" w:eastAsia="Times New Roman" w:hAnsiTheme="majorHAnsi" w:cstheme="majorHAnsi"/>
                <w:color w:val="000000"/>
                <w:sz w:val="16"/>
                <w:szCs w:val="16"/>
                <w:lang w:val="ro-MD"/>
              </w:rPr>
              <w:t xml:space="preserve">DI007691CE </w:t>
            </w:r>
            <w:r w:rsidR="009E3D49" w:rsidRPr="00401691">
              <w:rPr>
                <w:rFonts w:asciiTheme="majorHAnsi" w:eastAsia="Times New Roman" w:hAnsiTheme="majorHAnsi" w:cstheme="majorHAnsi"/>
                <w:color w:val="000000"/>
                <w:sz w:val="16"/>
                <w:szCs w:val="16"/>
                <w:lang w:val="ro-MD"/>
              </w:rPr>
              <w:t xml:space="preserve">din </w:t>
            </w:r>
            <w:r w:rsidR="009E3D49">
              <w:rPr>
                <w:rFonts w:asciiTheme="majorHAnsi" w:eastAsia="Times New Roman" w:hAnsiTheme="majorHAnsi" w:cstheme="majorHAnsi"/>
                <w:color w:val="000000"/>
                <w:sz w:val="16"/>
                <w:szCs w:val="16"/>
                <w:lang w:val="ro-MD"/>
              </w:rPr>
              <w:t>20.11.2018</w:t>
            </w:r>
          </w:p>
        </w:tc>
        <w:tc>
          <w:tcPr>
            <w:tcW w:w="2610" w:type="dxa"/>
            <w:vMerge w:val="restart"/>
            <w:tcBorders>
              <w:top w:val="single" w:sz="4" w:space="0" w:color="auto"/>
              <w:left w:val="single" w:sz="4" w:space="0" w:color="auto"/>
              <w:right w:val="single" w:sz="4" w:space="0" w:color="auto"/>
            </w:tcBorders>
            <w:vAlign w:val="center"/>
          </w:tcPr>
          <w:p w:rsidR="009E3D49" w:rsidRDefault="009E3D49" w:rsidP="008B6685">
            <w:pPr>
              <w:spacing w:after="0" w:line="240" w:lineRule="auto"/>
              <w:jc w:val="center"/>
              <w:rPr>
                <w:rFonts w:asciiTheme="majorHAnsi" w:eastAsia="Times New Roman" w:hAnsiTheme="majorHAnsi" w:cstheme="majorHAnsi"/>
                <w:color w:val="000000"/>
                <w:sz w:val="14"/>
                <w:szCs w:val="14"/>
                <w:lang w:val="ro-MD"/>
              </w:rPr>
            </w:pPr>
            <w:r>
              <w:rPr>
                <w:rFonts w:asciiTheme="majorHAnsi" w:eastAsia="Times New Roman" w:hAnsiTheme="majorHAnsi" w:cstheme="majorHAnsi"/>
                <w:color w:val="000000"/>
                <w:sz w:val="14"/>
                <w:szCs w:val="14"/>
                <w:lang w:val="ro-MD"/>
              </w:rPr>
              <w:t>Hotăr</w:t>
            </w:r>
            <w:r w:rsidR="000306F7">
              <w:rPr>
                <w:rFonts w:asciiTheme="majorHAnsi" w:eastAsia="Times New Roman" w:hAnsiTheme="majorHAnsi" w:cstheme="majorHAnsi"/>
                <w:color w:val="000000"/>
                <w:sz w:val="14"/>
                <w:szCs w:val="14"/>
                <w:lang w:val="ro-MD"/>
              </w:rPr>
              <w:t>â</w:t>
            </w:r>
            <w:r>
              <w:rPr>
                <w:rFonts w:asciiTheme="majorHAnsi" w:eastAsia="Times New Roman" w:hAnsiTheme="majorHAnsi" w:cstheme="majorHAnsi"/>
                <w:color w:val="000000"/>
                <w:sz w:val="14"/>
                <w:szCs w:val="14"/>
                <w:lang w:val="ro-MD"/>
              </w:rPr>
              <w:t>rea Curții de Apel Chișinău privind intentarea procesului de insolvabilitate</w:t>
            </w:r>
          </w:p>
          <w:p w:rsidR="009E3D49" w:rsidRPr="00DF52B7" w:rsidRDefault="009E3D49" w:rsidP="008B6685">
            <w:pPr>
              <w:spacing w:after="0" w:line="240" w:lineRule="auto"/>
              <w:jc w:val="center"/>
              <w:rPr>
                <w:rFonts w:asciiTheme="majorHAnsi" w:eastAsia="Times New Roman" w:hAnsiTheme="majorHAnsi" w:cstheme="majorHAnsi"/>
                <w:color w:val="000000"/>
                <w:sz w:val="14"/>
                <w:szCs w:val="14"/>
                <w:lang w:val="ro-MD"/>
              </w:rPr>
            </w:pPr>
            <w:r>
              <w:rPr>
                <w:rFonts w:asciiTheme="majorHAnsi" w:eastAsia="Times New Roman" w:hAnsiTheme="majorHAnsi" w:cstheme="majorHAnsi"/>
                <w:color w:val="000000"/>
                <w:sz w:val="14"/>
                <w:szCs w:val="14"/>
                <w:lang w:val="ro-MD"/>
              </w:rPr>
              <w:t>(dosar</w:t>
            </w:r>
            <w:r w:rsidR="000306F7">
              <w:rPr>
                <w:rFonts w:asciiTheme="majorHAnsi" w:eastAsia="Times New Roman" w:hAnsiTheme="majorHAnsi" w:cstheme="majorHAnsi"/>
                <w:color w:val="000000"/>
                <w:sz w:val="14"/>
                <w:szCs w:val="14"/>
                <w:lang w:val="ro-MD"/>
              </w:rPr>
              <w:t>ul</w:t>
            </w:r>
            <w:r>
              <w:rPr>
                <w:rFonts w:asciiTheme="majorHAnsi" w:eastAsia="Times New Roman" w:hAnsiTheme="majorHAnsi" w:cstheme="majorHAnsi"/>
                <w:color w:val="000000"/>
                <w:sz w:val="14"/>
                <w:szCs w:val="14"/>
                <w:lang w:val="ro-MD"/>
              </w:rPr>
              <w:t xml:space="preserve"> nr. 2i-515/17)</w:t>
            </w:r>
          </w:p>
        </w:tc>
      </w:tr>
      <w:tr w:rsidR="009E3D49" w:rsidRPr="00401691" w:rsidTr="008B6685">
        <w:trPr>
          <w:trHeight w:val="185"/>
        </w:trPr>
        <w:tc>
          <w:tcPr>
            <w:tcW w:w="630" w:type="dxa"/>
            <w:vMerge/>
            <w:tcBorders>
              <w:left w:val="single" w:sz="4" w:space="0" w:color="auto"/>
              <w:bottom w:val="single" w:sz="4" w:space="0" w:color="auto"/>
              <w:right w:val="single" w:sz="4" w:space="0" w:color="auto"/>
            </w:tcBorders>
            <w:shd w:val="clear" w:color="auto" w:fill="auto"/>
            <w:noWrap/>
          </w:tcPr>
          <w:p w:rsidR="009E3D49" w:rsidRPr="00401691" w:rsidRDefault="009E3D49" w:rsidP="008B6685">
            <w:pPr>
              <w:spacing w:after="0" w:line="240" w:lineRule="auto"/>
              <w:rPr>
                <w:rFonts w:asciiTheme="majorHAnsi" w:eastAsia="Times New Roman" w:hAnsiTheme="majorHAnsi" w:cstheme="majorHAnsi"/>
                <w:color w:val="000000"/>
                <w:sz w:val="18"/>
                <w:szCs w:val="18"/>
                <w:lang w:val="ro-MD"/>
              </w:rPr>
            </w:pPr>
          </w:p>
        </w:tc>
        <w:tc>
          <w:tcPr>
            <w:tcW w:w="1530" w:type="dxa"/>
            <w:vMerge/>
            <w:tcBorders>
              <w:left w:val="nil"/>
              <w:bottom w:val="single" w:sz="4" w:space="0" w:color="auto"/>
              <w:right w:val="single" w:sz="4" w:space="0" w:color="auto"/>
            </w:tcBorders>
            <w:shd w:val="clear" w:color="auto" w:fill="auto"/>
            <w:noWrap/>
            <w:vAlign w:val="center"/>
          </w:tcPr>
          <w:p w:rsidR="009E3D49" w:rsidRPr="00401691" w:rsidRDefault="009E3D49" w:rsidP="008B6685">
            <w:pPr>
              <w:spacing w:after="0" w:line="240" w:lineRule="auto"/>
              <w:ind w:left="-110" w:right="-70"/>
              <w:rPr>
                <w:rFonts w:asciiTheme="majorHAnsi" w:eastAsia="Times New Roman" w:hAnsiTheme="majorHAnsi" w:cstheme="majorHAnsi"/>
                <w:color w:val="000000"/>
                <w:sz w:val="18"/>
                <w:szCs w:val="18"/>
                <w:lang w:val="ro-MD"/>
              </w:rPr>
            </w:pPr>
          </w:p>
        </w:tc>
        <w:tc>
          <w:tcPr>
            <w:tcW w:w="1073" w:type="dxa"/>
            <w:vMerge/>
            <w:tcBorders>
              <w:left w:val="single" w:sz="4" w:space="0" w:color="auto"/>
              <w:bottom w:val="single" w:sz="4" w:space="0" w:color="auto"/>
              <w:right w:val="single" w:sz="4" w:space="0" w:color="auto"/>
            </w:tcBorders>
            <w:shd w:val="clear" w:color="auto" w:fill="auto"/>
            <w:noWrap/>
            <w:vAlign w:val="center"/>
          </w:tcPr>
          <w:p w:rsidR="009E3D49" w:rsidRPr="00401691" w:rsidRDefault="009E3D49" w:rsidP="008B6685">
            <w:pPr>
              <w:spacing w:after="0" w:line="240" w:lineRule="auto"/>
              <w:jc w:val="right"/>
              <w:rPr>
                <w:rFonts w:asciiTheme="majorHAnsi" w:eastAsia="Times New Roman" w:hAnsiTheme="majorHAnsi" w:cstheme="majorHAnsi"/>
                <w:color w:val="000000"/>
                <w:sz w:val="18"/>
                <w:szCs w:val="18"/>
                <w:lang w:val="ro-MD"/>
              </w:rPr>
            </w:pPr>
          </w:p>
        </w:tc>
        <w:tc>
          <w:tcPr>
            <w:tcW w:w="1080" w:type="dxa"/>
            <w:tcBorders>
              <w:top w:val="nil"/>
              <w:left w:val="single" w:sz="4" w:space="0" w:color="auto"/>
              <w:bottom w:val="single" w:sz="4" w:space="0" w:color="auto"/>
              <w:right w:val="single" w:sz="4" w:space="0" w:color="auto"/>
            </w:tcBorders>
            <w:vAlign w:val="center"/>
          </w:tcPr>
          <w:p w:rsidR="009E3D49" w:rsidRPr="002B50DA" w:rsidRDefault="009E3D49" w:rsidP="008B6685">
            <w:pPr>
              <w:spacing w:after="0" w:line="240" w:lineRule="auto"/>
              <w:jc w:val="both"/>
              <w:rPr>
                <w:rFonts w:asciiTheme="majorHAnsi" w:eastAsia="Times New Roman" w:hAnsiTheme="majorHAnsi" w:cstheme="majorHAnsi"/>
                <w:color w:val="000000"/>
                <w:sz w:val="18"/>
                <w:szCs w:val="18"/>
                <w:lang w:val="ro-MD"/>
              </w:rPr>
            </w:pPr>
            <w:r w:rsidRPr="002B50DA">
              <w:rPr>
                <w:rFonts w:asciiTheme="majorHAnsi" w:eastAsia="Times New Roman" w:hAnsiTheme="majorHAnsi" w:cstheme="majorHAnsi"/>
                <w:color w:val="000000"/>
                <w:sz w:val="18"/>
                <w:szCs w:val="18"/>
                <w:lang w:val="ro-MD"/>
              </w:rPr>
              <w:t>08.12.2</w:t>
            </w:r>
            <w:r w:rsidR="002B50DA" w:rsidRPr="002B50DA">
              <w:rPr>
                <w:rFonts w:asciiTheme="majorHAnsi" w:eastAsia="Times New Roman" w:hAnsiTheme="majorHAnsi" w:cstheme="majorHAnsi"/>
                <w:color w:val="000000"/>
                <w:sz w:val="18"/>
                <w:szCs w:val="18"/>
                <w:lang w:val="ro-MD"/>
              </w:rPr>
              <w:t>017</w:t>
            </w:r>
          </w:p>
        </w:tc>
        <w:tc>
          <w:tcPr>
            <w:tcW w:w="4237" w:type="dxa"/>
            <w:vMerge/>
            <w:tcBorders>
              <w:left w:val="single" w:sz="4" w:space="0" w:color="auto"/>
              <w:bottom w:val="single" w:sz="4" w:space="0" w:color="auto"/>
              <w:right w:val="single" w:sz="4" w:space="0" w:color="auto"/>
            </w:tcBorders>
            <w:vAlign w:val="center"/>
          </w:tcPr>
          <w:p w:rsidR="009E3D49" w:rsidRPr="00401691" w:rsidRDefault="009E3D49" w:rsidP="008B6685">
            <w:pPr>
              <w:spacing w:after="0" w:line="240" w:lineRule="auto"/>
              <w:jc w:val="both"/>
              <w:rPr>
                <w:rFonts w:asciiTheme="majorHAnsi" w:eastAsia="Times New Roman" w:hAnsiTheme="majorHAnsi" w:cstheme="majorHAnsi"/>
                <w:color w:val="000000"/>
                <w:sz w:val="18"/>
                <w:szCs w:val="18"/>
                <w:lang w:val="ro-MD"/>
              </w:rPr>
            </w:pPr>
          </w:p>
        </w:tc>
        <w:tc>
          <w:tcPr>
            <w:tcW w:w="1890" w:type="dxa"/>
            <w:vMerge/>
            <w:tcBorders>
              <w:left w:val="single" w:sz="4" w:space="0" w:color="auto"/>
              <w:bottom w:val="single" w:sz="4" w:space="0" w:color="auto"/>
              <w:right w:val="single" w:sz="4" w:space="0" w:color="auto"/>
            </w:tcBorders>
            <w:vAlign w:val="center"/>
          </w:tcPr>
          <w:p w:rsidR="009E3D49" w:rsidRPr="00401691" w:rsidRDefault="009E3D49" w:rsidP="008B6685">
            <w:pPr>
              <w:spacing w:after="0" w:line="240" w:lineRule="auto"/>
              <w:jc w:val="center"/>
              <w:rPr>
                <w:rFonts w:asciiTheme="majorHAnsi" w:eastAsia="Times New Roman" w:hAnsiTheme="majorHAnsi" w:cstheme="majorHAnsi"/>
                <w:color w:val="000000"/>
                <w:sz w:val="18"/>
                <w:szCs w:val="18"/>
                <w:lang w:val="ro-MD"/>
              </w:rPr>
            </w:pPr>
          </w:p>
        </w:tc>
        <w:tc>
          <w:tcPr>
            <w:tcW w:w="2070" w:type="dxa"/>
            <w:tcBorders>
              <w:top w:val="single" w:sz="4" w:space="0" w:color="auto"/>
              <w:left w:val="single" w:sz="4" w:space="0" w:color="auto"/>
              <w:bottom w:val="single" w:sz="4" w:space="0" w:color="auto"/>
              <w:right w:val="single" w:sz="4" w:space="0" w:color="auto"/>
            </w:tcBorders>
            <w:vAlign w:val="center"/>
          </w:tcPr>
          <w:p w:rsidR="009E3D49" w:rsidRPr="00401691" w:rsidRDefault="009E3D49" w:rsidP="008B6685">
            <w:pPr>
              <w:spacing w:after="0" w:line="240" w:lineRule="auto"/>
              <w:ind w:left="-50" w:right="-12"/>
              <w:jc w:val="both"/>
              <w:rPr>
                <w:rFonts w:asciiTheme="majorHAnsi" w:eastAsia="Times New Roman" w:hAnsiTheme="majorHAnsi" w:cstheme="majorHAnsi"/>
                <w:color w:val="000000"/>
                <w:sz w:val="16"/>
                <w:szCs w:val="16"/>
                <w:lang w:val="ro-MD"/>
              </w:rPr>
            </w:pPr>
            <w:r>
              <w:rPr>
                <w:rFonts w:asciiTheme="majorHAnsi" w:eastAsia="Times New Roman" w:hAnsiTheme="majorHAnsi" w:cstheme="majorHAnsi"/>
                <w:color w:val="000000"/>
                <w:sz w:val="16"/>
                <w:szCs w:val="16"/>
                <w:lang w:val="ro-MD"/>
              </w:rPr>
              <w:t>DI004070CB din 11.12.2017</w:t>
            </w:r>
          </w:p>
        </w:tc>
        <w:tc>
          <w:tcPr>
            <w:tcW w:w="2610" w:type="dxa"/>
            <w:vMerge/>
            <w:tcBorders>
              <w:left w:val="single" w:sz="4" w:space="0" w:color="auto"/>
              <w:bottom w:val="single" w:sz="4" w:space="0" w:color="auto"/>
              <w:right w:val="single" w:sz="4" w:space="0" w:color="auto"/>
            </w:tcBorders>
            <w:vAlign w:val="center"/>
          </w:tcPr>
          <w:p w:rsidR="009E3D49" w:rsidRPr="00DF52B7" w:rsidRDefault="009E3D49" w:rsidP="008B6685">
            <w:pPr>
              <w:spacing w:after="0" w:line="240" w:lineRule="auto"/>
              <w:jc w:val="center"/>
              <w:rPr>
                <w:rFonts w:asciiTheme="majorHAnsi" w:eastAsia="Times New Roman" w:hAnsiTheme="majorHAnsi" w:cstheme="majorHAnsi"/>
                <w:color w:val="000000"/>
                <w:sz w:val="14"/>
                <w:szCs w:val="14"/>
                <w:lang w:val="ro-MD"/>
              </w:rPr>
            </w:pPr>
          </w:p>
        </w:tc>
      </w:tr>
      <w:tr w:rsidR="009E3D49" w:rsidRPr="00401691" w:rsidTr="007E2720">
        <w:trPr>
          <w:trHeight w:val="288"/>
        </w:trPr>
        <w:tc>
          <w:tcPr>
            <w:tcW w:w="630" w:type="dxa"/>
            <w:tcBorders>
              <w:top w:val="nil"/>
              <w:left w:val="single" w:sz="4" w:space="0" w:color="auto"/>
              <w:bottom w:val="single" w:sz="4" w:space="0" w:color="auto"/>
              <w:right w:val="single" w:sz="4" w:space="0" w:color="auto"/>
            </w:tcBorders>
            <w:shd w:val="clear" w:color="auto" w:fill="auto"/>
            <w:noWrap/>
          </w:tcPr>
          <w:p w:rsidR="009E3D49" w:rsidRPr="00401691" w:rsidRDefault="009E3D49" w:rsidP="008B6685">
            <w:pPr>
              <w:spacing w:after="0" w:line="240" w:lineRule="auto"/>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6</w:t>
            </w:r>
          </w:p>
        </w:tc>
        <w:tc>
          <w:tcPr>
            <w:tcW w:w="1530" w:type="dxa"/>
            <w:tcBorders>
              <w:top w:val="nil"/>
              <w:left w:val="nil"/>
              <w:bottom w:val="single" w:sz="4" w:space="0" w:color="auto"/>
              <w:right w:val="single" w:sz="4" w:space="0" w:color="auto"/>
            </w:tcBorders>
            <w:shd w:val="clear" w:color="auto" w:fill="auto"/>
            <w:noWrap/>
            <w:vAlign w:val="center"/>
          </w:tcPr>
          <w:p w:rsidR="009E3D49" w:rsidRPr="00401691" w:rsidRDefault="009E3D49" w:rsidP="008B6685">
            <w:pPr>
              <w:spacing w:after="0" w:line="240" w:lineRule="auto"/>
              <w:ind w:left="-110" w:right="-7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1003600055936</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9E3D49" w:rsidRPr="00401691" w:rsidRDefault="009E3D49" w:rsidP="008B6685">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312,784.06</w:t>
            </w:r>
          </w:p>
        </w:tc>
        <w:tc>
          <w:tcPr>
            <w:tcW w:w="1080" w:type="dxa"/>
            <w:tcBorders>
              <w:top w:val="nil"/>
              <w:left w:val="single" w:sz="4" w:space="0" w:color="auto"/>
              <w:bottom w:val="single" w:sz="4" w:space="0" w:color="auto"/>
              <w:right w:val="single" w:sz="4" w:space="0" w:color="auto"/>
            </w:tcBorders>
            <w:vAlign w:val="center"/>
          </w:tcPr>
          <w:p w:rsidR="009E3D49" w:rsidRPr="00401691" w:rsidRDefault="009E3D49" w:rsidP="008B6685">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12.09.2017</w:t>
            </w:r>
          </w:p>
        </w:tc>
        <w:tc>
          <w:tcPr>
            <w:tcW w:w="4237" w:type="dxa"/>
            <w:tcBorders>
              <w:top w:val="nil"/>
              <w:left w:val="single" w:sz="4" w:space="0" w:color="auto"/>
              <w:bottom w:val="single" w:sz="4" w:space="0" w:color="auto"/>
              <w:right w:val="single" w:sz="4" w:space="0" w:color="auto"/>
            </w:tcBorders>
            <w:vAlign w:val="center"/>
          </w:tcPr>
          <w:p w:rsidR="009E3D49" w:rsidRPr="00401691" w:rsidRDefault="009E3D49" w:rsidP="008B6685">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 xml:space="preserve">Denunțul SFS către PCCOCS: </w:t>
            </w:r>
          </w:p>
          <w:p w:rsidR="009E3D49" w:rsidRPr="00401691" w:rsidRDefault="009E3D49" w:rsidP="008B6685">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Scr. SFS nr.</w:t>
            </w:r>
            <w:r w:rsidR="00366AE8">
              <w:rPr>
                <w:rFonts w:asciiTheme="majorHAnsi" w:eastAsia="Times New Roman" w:hAnsiTheme="majorHAnsi" w:cstheme="majorHAnsi"/>
                <w:color w:val="000000"/>
                <w:sz w:val="18"/>
                <w:szCs w:val="18"/>
                <w:lang w:val="ro-MD"/>
              </w:rPr>
              <w:t xml:space="preserve"> 26-12/2-09-7208 din 17.10.2017</w:t>
            </w:r>
            <w:r w:rsidRPr="00401691">
              <w:rPr>
                <w:rFonts w:asciiTheme="majorHAnsi" w:eastAsia="Times New Roman" w:hAnsiTheme="majorHAnsi" w:cstheme="majorHAnsi"/>
                <w:color w:val="000000"/>
                <w:sz w:val="18"/>
                <w:szCs w:val="18"/>
                <w:lang w:val="ro-MD"/>
              </w:rPr>
              <w:t xml:space="preserve"> </w:t>
            </w:r>
          </w:p>
        </w:tc>
        <w:tc>
          <w:tcPr>
            <w:tcW w:w="1890" w:type="dxa"/>
            <w:tcBorders>
              <w:top w:val="nil"/>
              <w:left w:val="single" w:sz="4" w:space="0" w:color="auto"/>
              <w:bottom w:val="single" w:sz="4" w:space="0" w:color="auto"/>
              <w:right w:val="single" w:sz="4" w:space="0" w:color="auto"/>
            </w:tcBorders>
            <w:vAlign w:val="center"/>
          </w:tcPr>
          <w:p w:rsidR="009E3D49" w:rsidRPr="00401691" w:rsidRDefault="00B47EA2" w:rsidP="00B47EA2">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w:t>
            </w:r>
          </w:p>
        </w:tc>
        <w:tc>
          <w:tcPr>
            <w:tcW w:w="2070" w:type="dxa"/>
            <w:tcBorders>
              <w:top w:val="single" w:sz="4" w:space="0" w:color="auto"/>
              <w:left w:val="single" w:sz="4" w:space="0" w:color="auto"/>
              <w:bottom w:val="single" w:sz="4" w:space="0" w:color="auto"/>
              <w:right w:val="single" w:sz="4" w:space="0" w:color="auto"/>
            </w:tcBorders>
            <w:vAlign w:val="center"/>
          </w:tcPr>
          <w:p w:rsidR="009E3D49" w:rsidRPr="00401691" w:rsidRDefault="009E3D49" w:rsidP="008B6685">
            <w:pPr>
              <w:spacing w:after="0" w:line="240" w:lineRule="auto"/>
              <w:ind w:left="-50" w:right="-12"/>
              <w:jc w:val="both"/>
              <w:rPr>
                <w:rFonts w:asciiTheme="majorHAnsi" w:eastAsia="Times New Roman" w:hAnsiTheme="majorHAnsi" w:cstheme="majorHAnsi"/>
                <w:color w:val="000000"/>
                <w:sz w:val="16"/>
                <w:szCs w:val="16"/>
                <w:lang w:val="ro-MD"/>
              </w:rPr>
            </w:pPr>
            <w:r>
              <w:rPr>
                <w:rFonts w:asciiTheme="majorHAnsi" w:eastAsia="Times New Roman" w:hAnsiTheme="majorHAnsi" w:cstheme="majorHAnsi"/>
                <w:color w:val="000000"/>
                <w:sz w:val="16"/>
                <w:szCs w:val="16"/>
                <w:lang w:val="ro-MD"/>
              </w:rPr>
              <w:t>DI00752672 din 01.11.2018</w:t>
            </w:r>
          </w:p>
        </w:tc>
        <w:tc>
          <w:tcPr>
            <w:tcW w:w="2610" w:type="dxa"/>
            <w:tcBorders>
              <w:top w:val="single" w:sz="4" w:space="0" w:color="auto"/>
              <w:left w:val="single" w:sz="4" w:space="0" w:color="auto"/>
              <w:bottom w:val="single" w:sz="4" w:space="0" w:color="auto"/>
              <w:right w:val="single" w:sz="4" w:space="0" w:color="auto"/>
            </w:tcBorders>
            <w:vAlign w:val="center"/>
          </w:tcPr>
          <w:p w:rsidR="009E3D49" w:rsidRPr="00DF52B7" w:rsidRDefault="009E3D49" w:rsidP="008B6685">
            <w:pPr>
              <w:spacing w:after="0" w:line="240" w:lineRule="auto"/>
              <w:jc w:val="center"/>
              <w:rPr>
                <w:rFonts w:asciiTheme="majorHAnsi" w:eastAsia="Times New Roman" w:hAnsiTheme="majorHAnsi" w:cstheme="majorHAnsi"/>
                <w:color w:val="000000"/>
                <w:sz w:val="14"/>
                <w:szCs w:val="14"/>
                <w:lang w:val="ro-MD"/>
              </w:rPr>
            </w:pPr>
            <w:r w:rsidRPr="00DF52B7">
              <w:rPr>
                <w:rFonts w:asciiTheme="majorHAnsi" w:eastAsia="Times New Roman" w:hAnsiTheme="majorHAnsi" w:cstheme="majorHAnsi"/>
                <w:color w:val="000000"/>
                <w:sz w:val="14"/>
                <w:szCs w:val="14"/>
                <w:lang w:val="ro-MD"/>
              </w:rPr>
              <w:t xml:space="preserve">Încheierea </w:t>
            </w:r>
            <w:r>
              <w:rPr>
                <w:rFonts w:asciiTheme="majorHAnsi" w:eastAsia="Times New Roman" w:hAnsiTheme="majorHAnsi" w:cstheme="majorHAnsi"/>
                <w:color w:val="000000"/>
                <w:sz w:val="14"/>
                <w:szCs w:val="14"/>
                <w:lang w:val="ro-MD"/>
              </w:rPr>
              <w:t xml:space="preserve">privind restituirea documentului </w:t>
            </w:r>
            <w:r w:rsidRPr="00DF52B7">
              <w:rPr>
                <w:rFonts w:asciiTheme="majorHAnsi" w:eastAsia="Times New Roman" w:hAnsiTheme="majorHAnsi" w:cstheme="majorHAnsi"/>
                <w:color w:val="000000"/>
                <w:sz w:val="14"/>
                <w:szCs w:val="14"/>
                <w:lang w:val="ro-MD"/>
              </w:rPr>
              <w:t>executor</w:t>
            </w:r>
            <w:r>
              <w:rPr>
                <w:rFonts w:asciiTheme="majorHAnsi" w:eastAsia="Times New Roman" w:hAnsiTheme="majorHAnsi" w:cstheme="majorHAnsi"/>
                <w:color w:val="000000"/>
                <w:sz w:val="14"/>
                <w:szCs w:val="14"/>
                <w:lang w:val="ro-MD"/>
              </w:rPr>
              <w:t>iu din 29.10.2018</w:t>
            </w:r>
            <w:r w:rsidRPr="00DF52B7">
              <w:rPr>
                <w:rFonts w:asciiTheme="majorHAnsi" w:eastAsia="Times New Roman" w:hAnsiTheme="majorHAnsi" w:cstheme="majorHAnsi"/>
                <w:color w:val="000000"/>
                <w:sz w:val="14"/>
                <w:szCs w:val="14"/>
                <w:lang w:val="ro-MD"/>
              </w:rPr>
              <w:t xml:space="preserve"> </w:t>
            </w:r>
          </w:p>
        </w:tc>
      </w:tr>
      <w:tr w:rsidR="009E3D49" w:rsidRPr="00401691" w:rsidTr="007E2720">
        <w:trPr>
          <w:trHeight w:val="898"/>
        </w:trPr>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9E3D49" w:rsidRPr="00401691" w:rsidRDefault="009E3D49" w:rsidP="008B6685">
            <w:pPr>
              <w:spacing w:after="0" w:line="240" w:lineRule="auto"/>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7</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9E3D49" w:rsidRPr="00401691" w:rsidRDefault="009E3D49" w:rsidP="008B6685">
            <w:pPr>
              <w:spacing w:after="0" w:line="240" w:lineRule="auto"/>
              <w:ind w:left="-110" w:right="-7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1014600000200</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D49" w:rsidRPr="00401691" w:rsidRDefault="009E3D49" w:rsidP="008B6685">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275,626.66</w:t>
            </w:r>
          </w:p>
        </w:tc>
        <w:tc>
          <w:tcPr>
            <w:tcW w:w="1080" w:type="dxa"/>
            <w:tcBorders>
              <w:top w:val="single" w:sz="4" w:space="0" w:color="auto"/>
              <w:left w:val="single" w:sz="4" w:space="0" w:color="auto"/>
              <w:bottom w:val="single" w:sz="4" w:space="0" w:color="auto"/>
              <w:right w:val="single" w:sz="4" w:space="0" w:color="auto"/>
            </w:tcBorders>
            <w:vAlign w:val="center"/>
          </w:tcPr>
          <w:p w:rsidR="009E3D49" w:rsidRPr="00401691" w:rsidRDefault="009E3D49" w:rsidP="008B6685">
            <w:pPr>
              <w:spacing w:after="0" w:line="240" w:lineRule="auto"/>
              <w:ind w:left="-96" w:right="-30"/>
              <w:jc w:val="both"/>
              <w:rPr>
                <w:rFonts w:asciiTheme="majorHAnsi" w:eastAsia="Times New Roman" w:hAnsiTheme="majorHAnsi" w:cstheme="majorHAnsi"/>
                <w:color w:val="000000"/>
                <w:sz w:val="16"/>
                <w:szCs w:val="16"/>
                <w:lang w:val="ro-MD"/>
              </w:rPr>
            </w:pPr>
            <w:r w:rsidRPr="00401691">
              <w:rPr>
                <w:rFonts w:asciiTheme="majorHAnsi" w:eastAsia="Times New Roman" w:hAnsiTheme="majorHAnsi" w:cstheme="majorHAnsi"/>
                <w:color w:val="000000"/>
                <w:sz w:val="16"/>
                <w:szCs w:val="16"/>
                <w:lang w:val="ro-MD"/>
              </w:rPr>
              <w:t>În SIA CCC nu se atestă înscrieri în an</w:t>
            </w:r>
            <w:r w:rsidR="00A46F53">
              <w:rPr>
                <w:rFonts w:asciiTheme="majorHAnsi" w:eastAsia="Times New Roman" w:hAnsiTheme="majorHAnsi" w:cstheme="majorHAnsi"/>
                <w:color w:val="000000"/>
                <w:sz w:val="16"/>
                <w:szCs w:val="16"/>
                <w:lang w:val="ro-MD"/>
              </w:rPr>
              <w:t xml:space="preserve">ii </w:t>
            </w:r>
            <w:r w:rsidRPr="00401691">
              <w:rPr>
                <w:rFonts w:asciiTheme="majorHAnsi" w:eastAsia="Times New Roman" w:hAnsiTheme="majorHAnsi" w:cstheme="majorHAnsi"/>
                <w:color w:val="000000"/>
                <w:sz w:val="16"/>
                <w:szCs w:val="16"/>
                <w:lang w:val="ro-MD"/>
              </w:rPr>
              <w:t xml:space="preserve"> 2015-2016 </w:t>
            </w:r>
          </w:p>
        </w:tc>
        <w:tc>
          <w:tcPr>
            <w:tcW w:w="4237" w:type="dxa"/>
            <w:tcBorders>
              <w:top w:val="single" w:sz="4" w:space="0" w:color="auto"/>
              <w:left w:val="single" w:sz="4" w:space="0" w:color="auto"/>
              <w:bottom w:val="single" w:sz="4" w:space="0" w:color="auto"/>
              <w:right w:val="single" w:sz="4" w:space="0" w:color="auto"/>
            </w:tcBorders>
            <w:vAlign w:val="center"/>
          </w:tcPr>
          <w:p w:rsidR="009E3D49" w:rsidRPr="00401691" w:rsidRDefault="009E3D49" w:rsidP="008B6685">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Scrisoarea SFS către CNA nr. 67/3-08-22/3 din 25.11.2015</w:t>
            </w:r>
            <w:r w:rsidR="00A46F53">
              <w:rPr>
                <w:rFonts w:asciiTheme="majorHAnsi" w:eastAsia="Times New Roman" w:hAnsiTheme="majorHAnsi" w:cstheme="majorHAnsi"/>
                <w:color w:val="000000"/>
                <w:sz w:val="18"/>
                <w:szCs w:val="18"/>
                <w:lang w:val="ro-MD"/>
              </w:rPr>
              <w:t>,</w:t>
            </w:r>
            <w:r w:rsidRPr="00401691">
              <w:rPr>
                <w:rFonts w:asciiTheme="majorHAnsi" w:eastAsia="Times New Roman" w:hAnsiTheme="majorHAnsi" w:cstheme="majorHAnsi"/>
                <w:color w:val="000000"/>
                <w:sz w:val="18"/>
                <w:szCs w:val="18"/>
                <w:lang w:val="ro-MD"/>
              </w:rPr>
              <w:t xml:space="preserve"> s-au remis Actele de control fiscal nr. 1-714891</w:t>
            </w:r>
            <w:r w:rsidR="00366AE8">
              <w:rPr>
                <w:rFonts w:asciiTheme="majorHAnsi" w:eastAsia="Times New Roman" w:hAnsiTheme="majorHAnsi" w:cstheme="majorHAnsi"/>
                <w:color w:val="000000"/>
                <w:sz w:val="18"/>
                <w:szCs w:val="18"/>
                <w:lang w:val="ro-MD"/>
              </w:rPr>
              <w:t xml:space="preserve"> și nr. 1-714890 din 25.09.2015</w:t>
            </w:r>
            <w:r w:rsidRPr="00401691">
              <w:rPr>
                <w:rFonts w:asciiTheme="majorHAnsi" w:eastAsia="Times New Roman" w:hAnsiTheme="majorHAnsi" w:cstheme="majorHAnsi"/>
                <w:color w:val="000000"/>
                <w:sz w:val="18"/>
                <w:szCs w:val="18"/>
                <w:lang w:val="ro-MD"/>
              </w:rPr>
              <w:t xml:space="preserve"> </w:t>
            </w:r>
          </w:p>
        </w:tc>
        <w:tc>
          <w:tcPr>
            <w:tcW w:w="1890" w:type="dxa"/>
            <w:tcBorders>
              <w:top w:val="single" w:sz="4" w:space="0" w:color="auto"/>
              <w:left w:val="single" w:sz="4" w:space="0" w:color="auto"/>
              <w:bottom w:val="single" w:sz="4" w:space="0" w:color="auto"/>
              <w:right w:val="single" w:sz="4" w:space="0" w:color="auto"/>
            </w:tcBorders>
            <w:vAlign w:val="center"/>
          </w:tcPr>
          <w:p w:rsidR="009E3D49" w:rsidRPr="00401691" w:rsidRDefault="00B47EA2" w:rsidP="00B47EA2">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w:t>
            </w:r>
          </w:p>
        </w:tc>
        <w:tc>
          <w:tcPr>
            <w:tcW w:w="2070" w:type="dxa"/>
            <w:tcBorders>
              <w:top w:val="single" w:sz="4" w:space="0" w:color="auto"/>
              <w:left w:val="single" w:sz="4" w:space="0" w:color="auto"/>
              <w:bottom w:val="single" w:sz="4" w:space="0" w:color="auto"/>
              <w:right w:val="single" w:sz="4" w:space="0" w:color="auto"/>
            </w:tcBorders>
            <w:vAlign w:val="center"/>
          </w:tcPr>
          <w:p w:rsidR="009E3D49" w:rsidRPr="00401691" w:rsidRDefault="009E3D49" w:rsidP="008B6685">
            <w:pPr>
              <w:spacing w:after="0" w:line="240" w:lineRule="auto"/>
              <w:ind w:left="-50" w:right="-12"/>
              <w:jc w:val="both"/>
              <w:rPr>
                <w:rFonts w:asciiTheme="majorHAnsi" w:eastAsia="Times New Roman" w:hAnsiTheme="majorHAnsi" w:cstheme="majorHAnsi"/>
                <w:color w:val="000000"/>
                <w:sz w:val="16"/>
                <w:szCs w:val="16"/>
                <w:lang w:val="ro-MD"/>
              </w:rPr>
            </w:pPr>
            <w:r>
              <w:rPr>
                <w:rFonts w:asciiTheme="majorHAnsi" w:eastAsia="Times New Roman" w:hAnsiTheme="majorHAnsi" w:cstheme="majorHAnsi"/>
                <w:color w:val="000000"/>
                <w:sz w:val="16"/>
                <w:szCs w:val="16"/>
                <w:lang w:val="ro-MD"/>
              </w:rPr>
              <w:t>DI0052109A din 29.03.2018</w:t>
            </w:r>
          </w:p>
        </w:tc>
        <w:tc>
          <w:tcPr>
            <w:tcW w:w="2610" w:type="dxa"/>
            <w:tcBorders>
              <w:top w:val="single" w:sz="4" w:space="0" w:color="auto"/>
              <w:left w:val="single" w:sz="4" w:space="0" w:color="auto"/>
              <w:bottom w:val="single" w:sz="4" w:space="0" w:color="auto"/>
              <w:right w:val="single" w:sz="4" w:space="0" w:color="auto"/>
            </w:tcBorders>
            <w:vAlign w:val="center"/>
          </w:tcPr>
          <w:p w:rsidR="009E3D49" w:rsidRPr="00DF52B7" w:rsidRDefault="009E3D49" w:rsidP="008B6685">
            <w:pPr>
              <w:spacing w:after="0" w:line="240" w:lineRule="auto"/>
              <w:jc w:val="center"/>
              <w:rPr>
                <w:rFonts w:asciiTheme="majorHAnsi" w:eastAsia="Times New Roman" w:hAnsiTheme="majorHAnsi" w:cstheme="majorHAnsi"/>
                <w:color w:val="000000"/>
                <w:sz w:val="14"/>
                <w:szCs w:val="14"/>
                <w:lang w:val="ro-MD"/>
              </w:rPr>
            </w:pPr>
            <w:r w:rsidRPr="00DF52B7">
              <w:rPr>
                <w:rFonts w:asciiTheme="majorHAnsi" w:eastAsia="Times New Roman" w:hAnsiTheme="majorHAnsi" w:cstheme="majorHAnsi"/>
                <w:color w:val="000000"/>
                <w:sz w:val="14"/>
                <w:szCs w:val="14"/>
                <w:lang w:val="ro-MD"/>
              </w:rPr>
              <w:t xml:space="preserve">Încheierea </w:t>
            </w:r>
            <w:r w:rsidR="000306F7">
              <w:rPr>
                <w:rFonts w:asciiTheme="majorHAnsi" w:eastAsia="Times New Roman" w:hAnsiTheme="majorHAnsi" w:cstheme="majorHAnsi"/>
                <w:color w:val="000000"/>
                <w:sz w:val="14"/>
                <w:szCs w:val="14"/>
                <w:lang w:val="ro-MD"/>
              </w:rPr>
              <w:t xml:space="preserve">privind </w:t>
            </w:r>
            <w:r>
              <w:rPr>
                <w:rFonts w:asciiTheme="majorHAnsi" w:eastAsia="Times New Roman" w:hAnsiTheme="majorHAnsi" w:cstheme="majorHAnsi"/>
                <w:color w:val="000000"/>
                <w:sz w:val="14"/>
                <w:szCs w:val="14"/>
                <w:lang w:val="ro-MD"/>
              </w:rPr>
              <w:t xml:space="preserve">restituirea documentului </w:t>
            </w:r>
            <w:r w:rsidRPr="00DF52B7">
              <w:rPr>
                <w:rFonts w:asciiTheme="majorHAnsi" w:eastAsia="Times New Roman" w:hAnsiTheme="majorHAnsi" w:cstheme="majorHAnsi"/>
                <w:color w:val="000000"/>
                <w:sz w:val="14"/>
                <w:szCs w:val="14"/>
                <w:lang w:val="ro-MD"/>
              </w:rPr>
              <w:t>executor</w:t>
            </w:r>
            <w:r>
              <w:rPr>
                <w:rFonts w:asciiTheme="majorHAnsi" w:eastAsia="Times New Roman" w:hAnsiTheme="majorHAnsi" w:cstheme="majorHAnsi"/>
                <w:color w:val="000000"/>
                <w:sz w:val="14"/>
                <w:szCs w:val="14"/>
                <w:lang w:val="ro-MD"/>
              </w:rPr>
              <w:t>iu nr. S041-613/2017 din 27.03.2018</w:t>
            </w:r>
          </w:p>
        </w:tc>
      </w:tr>
      <w:tr w:rsidR="009E3D49" w:rsidRPr="00401691" w:rsidTr="007E2720">
        <w:trPr>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9E3D49" w:rsidRPr="00401691" w:rsidRDefault="009E3D49" w:rsidP="008B6685">
            <w:pPr>
              <w:spacing w:after="0" w:line="240" w:lineRule="auto"/>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8</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9E3D49" w:rsidRPr="00401691" w:rsidRDefault="009E3D49" w:rsidP="008B6685">
            <w:pPr>
              <w:spacing w:after="0" w:line="240" w:lineRule="auto"/>
              <w:ind w:left="-110" w:right="-7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1015607000907</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D49" w:rsidRPr="00401691" w:rsidRDefault="009E3D49" w:rsidP="008B6685">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211,475.71</w:t>
            </w:r>
          </w:p>
        </w:tc>
        <w:tc>
          <w:tcPr>
            <w:tcW w:w="1080" w:type="dxa"/>
            <w:tcBorders>
              <w:top w:val="single" w:sz="4" w:space="0" w:color="auto"/>
              <w:left w:val="single" w:sz="4" w:space="0" w:color="auto"/>
              <w:bottom w:val="single" w:sz="4" w:space="0" w:color="auto"/>
              <w:right w:val="single" w:sz="4" w:space="0" w:color="auto"/>
            </w:tcBorders>
            <w:vAlign w:val="center"/>
          </w:tcPr>
          <w:p w:rsidR="009E3D49" w:rsidRPr="00401691" w:rsidRDefault="009E3D49" w:rsidP="008B6685">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18.07.2016</w:t>
            </w:r>
          </w:p>
        </w:tc>
        <w:tc>
          <w:tcPr>
            <w:tcW w:w="4237" w:type="dxa"/>
            <w:tcBorders>
              <w:top w:val="single" w:sz="4" w:space="0" w:color="auto"/>
              <w:left w:val="single" w:sz="4" w:space="0" w:color="auto"/>
              <w:bottom w:val="single" w:sz="4" w:space="0" w:color="auto"/>
              <w:right w:val="single" w:sz="4" w:space="0" w:color="auto"/>
            </w:tcBorders>
            <w:vAlign w:val="center"/>
          </w:tcPr>
          <w:p w:rsidR="009E3D49" w:rsidRPr="00401691" w:rsidRDefault="009E3D49" w:rsidP="008B6685">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Sesizare</w:t>
            </w:r>
            <w:r w:rsidR="005E744F">
              <w:rPr>
                <w:rFonts w:asciiTheme="majorHAnsi" w:eastAsia="Times New Roman" w:hAnsiTheme="majorHAnsi" w:cstheme="majorHAnsi"/>
                <w:color w:val="000000"/>
                <w:sz w:val="18"/>
                <w:szCs w:val="18"/>
                <w:lang w:val="ro-MD"/>
              </w:rPr>
              <w:t>a</w:t>
            </w:r>
            <w:r w:rsidRPr="00401691">
              <w:rPr>
                <w:rFonts w:asciiTheme="majorHAnsi" w:eastAsia="Times New Roman" w:hAnsiTheme="majorHAnsi" w:cstheme="majorHAnsi"/>
                <w:color w:val="000000"/>
                <w:sz w:val="18"/>
                <w:szCs w:val="18"/>
                <w:lang w:val="ro-MD"/>
              </w:rPr>
              <w:t xml:space="preserve"> SFS către Procuratura sect. R</w:t>
            </w:r>
            <w:r w:rsidR="00A46F53">
              <w:rPr>
                <w:rFonts w:asciiTheme="majorHAnsi" w:eastAsia="Times New Roman" w:hAnsiTheme="majorHAnsi" w:cstheme="majorHAnsi"/>
                <w:color w:val="000000"/>
                <w:sz w:val="18"/>
                <w:szCs w:val="18"/>
                <w:lang w:val="ro-MD"/>
              </w:rPr>
              <w:t>â</w:t>
            </w:r>
            <w:r w:rsidRPr="00401691">
              <w:rPr>
                <w:rFonts w:asciiTheme="majorHAnsi" w:eastAsia="Times New Roman" w:hAnsiTheme="majorHAnsi" w:cstheme="majorHAnsi"/>
                <w:color w:val="000000"/>
                <w:sz w:val="18"/>
                <w:szCs w:val="18"/>
                <w:lang w:val="ro-MD"/>
              </w:rPr>
              <w:t>șcani</w:t>
            </w:r>
            <w:r w:rsidR="00A46F53">
              <w:rPr>
                <w:rFonts w:asciiTheme="majorHAnsi" w:eastAsia="Times New Roman" w:hAnsiTheme="majorHAnsi" w:cstheme="majorHAnsi"/>
                <w:color w:val="000000"/>
                <w:sz w:val="18"/>
                <w:szCs w:val="18"/>
                <w:lang w:val="ro-MD"/>
              </w:rPr>
              <w:t>,</w:t>
            </w:r>
            <w:r w:rsidRPr="00401691">
              <w:rPr>
                <w:rFonts w:asciiTheme="majorHAnsi" w:eastAsia="Times New Roman" w:hAnsiTheme="majorHAnsi" w:cstheme="majorHAnsi"/>
                <w:color w:val="000000"/>
                <w:sz w:val="18"/>
                <w:szCs w:val="18"/>
                <w:lang w:val="ro-MD"/>
              </w:rPr>
              <w:t xml:space="preserve"> mun. Chișinău nr. 01-7/2-12-275 din 23.08.2016</w:t>
            </w:r>
          </w:p>
        </w:tc>
        <w:tc>
          <w:tcPr>
            <w:tcW w:w="1890" w:type="dxa"/>
            <w:tcBorders>
              <w:top w:val="single" w:sz="4" w:space="0" w:color="auto"/>
              <w:left w:val="single" w:sz="4" w:space="0" w:color="auto"/>
              <w:bottom w:val="single" w:sz="4" w:space="0" w:color="auto"/>
              <w:right w:val="single" w:sz="4" w:space="0" w:color="auto"/>
            </w:tcBorders>
            <w:vAlign w:val="center"/>
          </w:tcPr>
          <w:p w:rsidR="009E3D49" w:rsidRPr="00401691" w:rsidRDefault="00B47EA2" w:rsidP="00B47EA2">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w:t>
            </w:r>
          </w:p>
        </w:tc>
        <w:tc>
          <w:tcPr>
            <w:tcW w:w="2070" w:type="dxa"/>
            <w:tcBorders>
              <w:top w:val="single" w:sz="4" w:space="0" w:color="auto"/>
              <w:left w:val="single" w:sz="4" w:space="0" w:color="auto"/>
              <w:bottom w:val="single" w:sz="4" w:space="0" w:color="auto"/>
              <w:right w:val="single" w:sz="4" w:space="0" w:color="auto"/>
            </w:tcBorders>
            <w:vAlign w:val="center"/>
          </w:tcPr>
          <w:p w:rsidR="009E3D49" w:rsidRPr="00401691" w:rsidRDefault="009E3D49" w:rsidP="008B6685">
            <w:pPr>
              <w:spacing w:after="0" w:line="240" w:lineRule="auto"/>
              <w:ind w:right="-12"/>
              <w:jc w:val="both"/>
              <w:rPr>
                <w:rFonts w:asciiTheme="majorHAnsi" w:eastAsia="Times New Roman" w:hAnsiTheme="majorHAnsi" w:cstheme="majorHAnsi"/>
                <w:color w:val="000000"/>
                <w:sz w:val="16"/>
                <w:szCs w:val="16"/>
                <w:lang w:val="ro-MD"/>
              </w:rPr>
            </w:pPr>
            <w:r>
              <w:rPr>
                <w:rFonts w:asciiTheme="majorHAnsi" w:eastAsia="Times New Roman" w:hAnsiTheme="majorHAnsi" w:cstheme="majorHAnsi"/>
                <w:color w:val="000000"/>
                <w:sz w:val="16"/>
                <w:szCs w:val="16"/>
                <w:lang w:val="ro-MD"/>
              </w:rPr>
              <w:t>DI001410CC din 22.03.2017</w:t>
            </w:r>
          </w:p>
        </w:tc>
        <w:tc>
          <w:tcPr>
            <w:tcW w:w="2610" w:type="dxa"/>
            <w:tcBorders>
              <w:top w:val="single" w:sz="4" w:space="0" w:color="auto"/>
              <w:left w:val="single" w:sz="4" w:space="0" w:color="auto"/>
              <w:bottom w:val="single" w:sz="4" w:space="0" w:color="auto"/>
              <w:right w:val="single" w:sz="4" w:space="0" w:color="auto"/>
            </w:tcBorders>
            <w:vAlign w:val="center"/>
          </w:tcPr>
          <w:p w:rsidR="009E3D49" w:rsidRPr="00DF52B7" w:rsidRDefault="009E3D49" w:rsidP="008B6685">
            <w:pPr>
              <w:spacing w:after="0" w:line="240" w:lineRule="auto"/>
              <w:jc w:val="center"/>
              <w:rPr>
                <w:rFonts w:asciiTheme="majorHAnsi" w:eastAsia="Times New Roman" w:hAnsiTheme="majorHAnsi" w:cstheme="majorHAnsi"/>
                <w:color w:val="000000"/>
                <w:sz w:val="14"/>
                <w:szCs w:val="14"/>
                <w:lang w:val="ro-MD"/>
              </w:rPr>
            </w:pPr>
            <w:r w:rsidRPr="00DF52B7">
              <w:rPr>
                <w:rFonts w:asciiTheme="majorHAnsi" w:eastAsia="Times New Roman" w:hAnsiTheme="majorHAnsi" w:cstheme="majorHAnsi"/>
                <w:color w:val="000000"/>
                <w:sz w:val="14"/>
                <w:szCs w:val="14"/>
                <w:lang w:val="ro-MD"/>
              </w:rPr>
              <w:t xml:space="preserve">Încheierea </w:t>
            </w:r>
            <w:r w:rsidR="000306F7">
              <w:rPr>
                <w:rFonts w:asciiTheme="majorHAnsi" w:eastAsia="Times New Roman" w:hAnsiTheme="majorHAnsi" w:cstheme="majorHAnsi"/>
                <w:color w:val="000000"/>
                <w:sz w:val="14"/>
                <w:szCs w:val="14"/>
                <w:lang w:val="ro-MD"/>
              </w:rPr>
              <w:t xml:space="preserve">privind </w:t>
            </w:r>
            <w:r>
              <w:rPr>
                <w:rFonts w:asciiTheme="majorHAnsi" w:eastAsia="Times New Roman" w:hAnsiTheme="majorHAnsi" w:cstheme="majorHAnsi"/>
                <w:color w:val="000000"/>
                <w:sz w:val="14"/>
                <w:szCs w:val="14"/>
                <w:lang w:val="ro-MD"/>
              </w:rPr>
              <w:t xml:space="preserve">restituirea documentului </w:t>
            </w:r>
            <w:r w:rsidRPr="00DF52B7">
              <w:rPr>
                <w:rFonts w:asciiTheme="majorHAnsi" w:eastAsia="Times New Roman" w:hAnsiTheme="majorHAnsi" w:cstheme="majorHAnsi"/>
                <w:color w:val="000000"/>
                <w:sz w:val="14"/>
                <w:szCs w:val="14"/>
                <w:lang w:val="ro-MD"/>
              </w:rPr>
              <w:t>executor</w:t>
            </w:r>
            <w:r>
              <w:rPr>
                <w:rFonts w:asciiTheme="majorHAnsi" w:eastAsia="Times New Roman" w:hAnsiTheme="majorHAnsi" w:cstheme="majorHAnsi"/>
                <w:color w:val="000000"/>
                <w:sz w:val="14"/>
                <w:szCs w:val="14"/>
                <w:lang w:val="ro-MD"/>
              </w:rPr>
              <w:t>iu nr. 034S-427/2017 din 16.03.2017</w:t>
            </w:r>
            <w:r w:rsidRPr="00DF52B7">
              <w:rPr>
                <w:rFonts w:asciiTheme="majorHAnsi" w:eastAsia="Times New Roman" w:hAnsiTheme="majorHAnsi" w:cstheme="majorHAnsi"/>
                <w:color w:val="000000"/>
                <w:sz w:val="14"/>
                <w:szCs w:val="14"/>
                <w:lang w:val="ro-MD"/>
              </w:rPr>
              <w:t xml:space="preserve"> </w:t>
            </w:r>
          </w:p>
        </w:tc>
      </w:tr>
      <w:tr w:rsidR="009E3D49" w:rsidRPr="00401691" w:rsidTr="00176E82">
        <w:trPr>
          <w:trHeight w:val="288"/>
        </w:trPr>
        <w:tc>
          <w:tcPr>
            <w:tcW w:w="630" w:type="dxa"/>
            <w:tcBorders>
              <w:top w:val="nil"/>
              <w:left w:val="single" w:sz="4" w:space="0" w:color="auto"/>
              <w:bottom w:val="single" w:sz="4" w:space="0" w:color="auto"/>
              <w:right w:val="single" w:sz="4" w:space="0" w:color="auto"/>
            </w:tcBorders>
            <w:shd w:val="clear" w:color="auto" w:fill="auto"/>
            <w:noWrap/>
          </w:tcPr>
          <w:p w:rsidR="009E3D49" w:rsidRPr="00401691" w:rsidRDefault="009E3D49" w:rsidP="008B6685">
            <w:pPr>
              <w:spacing w:after="0" w:line="240" w:lineRule="auto"/>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9</w:t>
            </w:r>
          </w:p>
        </w:tc>
        <w:tc>
          <w:tcPr>
            <w:tcW w:w="1530" w:type="dxa"/>
            <w:tcBorders>
              <w:top w:val="nil"/>
              <w:left w:val="nil"/>
              <w:bottom w:val="single" w:sz="4" w:space="0" w:color="auto"/>
              <w:right w:val="single" w:sz="4" w:space="0" w:color="auto"/>
            </w:tcBorders>
            <w:shd w:val="clear" w:color="auto" w:fill="auto"/>
            <w:noWrap/>
            <w:vAlign w:val="center"/>
          </w:tcPr>
          <w:p w:rsidR="009E3D49" w:rsidRPr="00401691" w:rsidRDefault="009E3D49" w:rsidP="008B6685">
            <w:pPr>
              <w:spacing w:after="0" w:line="240" w:lineRule="auto"/>
              <w:ind w:left="-110" w:right="-7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1012600027399</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9E3D49" w:rsidRPr="00401691" w:rsidRDefault="009E3D49" w:rsidP="008B6685">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185,144.75</w:t>
            </w:r>
          </w:p>
        </w:tc>
        <w:tc>
          <w:tcPr>
            <w:tcW w:w="1080" w:type="dxa"/>
            <w:tcBorders>
              <w:top w:val="nil"/>
              <w:left w:val="single" w:sz="4" w:space="0" w:color="auto"/>
              <w:bottom w:val="single" w:sz="4" w:space="0" w:color="auto"/>
              <w:right w:val="single" w:sz="4" w:space="0" w:color="auto"/>
            </w:tcBorders>
            <w:vAlign w:val="center"/>
          </w:tcPr>
          <w:p w:rsidR="009E3D49" w:rsidRPr="00401691" w:rsidRDefault="009E3D49" w:rsidP="008B6685">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07.07.2017</w:t>
            </w:r>
          </w:p>
        </w:tc>
        <w:tc>
          <w:tcPr>
            <w:tcW w:w="4237" w:type="dxa"/>
            <w:tcBorders>
              <w:top w:val="nil"/>
              <w:left w:val="single" w:sz="4" w:space="0" w:color="auto"/>
              <w:bottom w:val="single" w:sz="4" w:space="0" w:color="auto"/>
              <w:right w:val="single" w:sz="4" w:space="0" w:color="auto"/>
            </w:tcBorders>
            <w:vAlign w:val="center"/>
          </w:tcPr>
          <w:p w:rsidR="009E3D49" w:rsidRPr="00401691" w:rsidRDefault="009E3D49" w:rsidP="008B6685">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 xml:space="preserve">Denunțul SFS către PCCOCS: </w:t>
            </w:r>
          </w:p>
          <w:p w:rsidR="009E3D49" w:rsidRPr="00401691" w:rsidRDefault="009E3D49" w:rsidP="008B6685">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Scr. SFS nr</w:t>
            </w:r>
            <w:r w:rsidR="00366AE8">
              <w:rPr>
                <w:rFonts w:asciiTheme="majorHAnsi" w:eastAsia="Times New Roman" w:hAnsiTheme="majorHAnsi" w:cstheme="majorHAnsi"/>
                <w:color w:val="000000"/>
                <w:sz w:val="18"/>
                <w:szCs w:val="18"/>
                <w:lang w:val="ro-MD"/>
              </w:rPr>
              <w:t xml:space="preserve">. 26-22-09-6103 din 19.09.2017 </w:t>
            </w:r>
          </w:p>
        </w:tc>
        <w:tc>
          <w:tcPr>
            <w:tcW w:w="1890" w:type="dxa"/>
            <w:tcBorders>
              <w:top w:val="nil"/>
              <w:left w:val="single" w:sz="4" w:space="0" w:color="auto"/>
              <w:bottom w:val="single" w:sz="4" w:space="0" w:color="auto"/>
              <w:right w:val="single" w:sz="4" w:space="0" w:color="auto"/>
            </w:tcBorders>
            <w:vAlign w:val="center"/>
          </w:tcPr>
          <w:p w:rsidR="009E3D49" w:rsidRPr="00401691" w:rsidRDefault="009E3D49" w:rsidP="008B6685">
            <w:pPr>
              <w:spacing w:after="0" w:line="240" w:lineRule="auto"/>
              <w:jc w:val="center"/>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w:t>
            </w:r>
          </w:p>
        </w:tc>
        <w:tc>
          <w:tcPr>
            <w:tcW w:w="2070" w:type="dxa"/>
            <w:tcBorders>
              <w:top w:val="nil"/>
              <w:left w:val="single" w:sz="4" w:space="0" w:color="auto"/>
              <w:bottom w:val="single" w:sz="4" w:space="0" w:color="auto"/>
              <w:right w:val="single" w:sz="4" w:space="0" w:color="auto"/>
            </w:tcBorders>
            <w:shd w:val="clear" w:color="auto" w:fill="auto"/>
            <w:vAlign w:val="center"/>
          </w:tcPr>
          <w:p w:rsidR="009E3D49" w:rsidRPr="00401691" w:rsidRDefault="009E3D49" w:rsidP="008B6685">
            <w:pPr>
              <w:spacing w:after="0" w:line="240" w:lineRule="auto"/>
              <w:ind w:right="-12"/>
              <w:jc w:val="both"/>
              <w:rPr>
                <w:rFonts w:asciiTheme="majorHAnsi" w:eastAsia="Times New Roman" w:hAnsiTheme="majorHAnsi" w:cstheme="majorHAnsi"/>
                <w:color w:val="000000"/>
                <w:sz w:val="16"/>
                <w:szCs w:val="16"/>
                <w:lang w:val="ro-MD"/>
              </w:rPr>
            </w:pPr>
            <w:r w:rsidRPr="00176E82">
              <w:rPr>
                <w:rFonts w:asciiTheme="majorHAnsi" w:eastAsia="Times New Roman" w:hAnsiTheme="majorHAnsi" w:cstheme="majorHAnsi"/>
                <w:color w:val="000000"/>
                <w:sz w:val="16"/>
                <w:szCs w:val="16"/>
                <w:lang w:val="ro-MD"/>
              </w:rPr>
              <w:t>DI00533173 din 10.04.201</w:t>
            </w:r>
            <w:r w:rsidR="00176E82" w:rsidRPr="00176E82">
              <w:rPr>
                <w:rFonts w:asciiTheme="majorHAnsi" w:eastAsia="Times New Roman" w:hAnsiTheme="majorHAnsi" w:cstheme="majorHAnsi"/>
                <w:color w:val="000000"/>
                <w:sz w:val="16"/>
                <w:szCs w:val="16"/>
                <w:lang w:val="ro-MD"/>
              </w:rPr>
              <w:t>8</w:t>
            </w:r>
          </w:p>
        </w:tc>
        <w:tc>
          <w:tcPr>
            <w:tcW w:w="2610" w:type="dxa"/>
            <w:tcBorders>
              <w:top w:val="nil"/>
              <w:left w:val="single" w:sz="4" w:space="0" w:color="auto"/>
              <w:bottom w:val="single" w:sz="4" w:space="0" w:color="auto"/>
              <w:right w:val="single" w:sz="4" w:space="0" w:color="auto"/>
            </w:tcBorders>
            <w:vAlign w:val="center"/>
          </w:tcPr>
          <w:p w:rsidR="009E3D49" w:rsidRPr="00DF52B7" w:rsidRDefault="009E3D49" w:rsidP="008B6685">
            <w:pPr>
              <w:spacing w:after="0" w:line="240" w:lineRule="auto"/>
              <w:jc w:val="center"/>
              <w:rPr>
                <w:rFonts w:asciiTheme="majorHAnsi" w:eastAsia="Times New Roman" w:hAnsiTheme="majorHAnsi" w:cstheme="majorHAnsi"/>
                <w:color w:val="000000"/>
                <w:sz w:val="14"/>
                <w:szCs w:val="14"/>
                <w:lang w:val="ro-MD"/>
              </w:rPr>
            </w:pPr>
            <w:r w:rsidRPr="00DF52B7">
              <w:rPr>
                <w:rFonts w:asciiTheme="majorHAnsi" w:eastAsia="Times New Roman" w:hAnsiTheme="majorHAnsi" w:cstheme="majorHAnsi"/>
                <w:color w:val="000000"/>
                <w:sz w:val="14"/>
                <w:szCs w:val="14"/>
                <w:lang w:val="ro-MD"/>
              </w:rPr>
              <w:t xml:space="preserve">Încheierea </w:t>
            </w:r>
            <w:r w:rsidR="000306F7">
              <w:rPr>
                <w:rFonts w:asciiTheme="majorHAnsi" w:eastAsia="Times New Roman" w:hAnsiTheme="majorHAnsi" w:cstheme="majorHAnsi"/>
                <w:color w:val="000000"/>
                <w:sz w:val="14"/>
                <w:szCs w:val="14"/>
                <w:lang w:val="ro-MD"/>
              </w:rPr>
              <w:t xml:space="preserve">privind </w:t>
            </w:r>
            <w:r>
              <w:rPr>
                <w:rFonts w:asciiTheme="majorHAnsi" w:eastAsia="Times New Roman" w:hAnsiTheme="majorHAnsi" w:cstheme="majorHAnsi"/>
                <w:color w:val="000000"/>
                <w:sz w:val="14"/>
                <w:szCs w:val="14"/>
                <w:lang w:val="ro-MD"/>
              </w:rPr>
              <w:t xml:space="preserve">restituirea documentului </w:t>
            </w:r>
            <w:r w:rsidRPr="00DF52B7">
              <w:rPr>
                <w:rFonts w:asciiTheme="majorHAnsi" w:eastAsia="Times New Roman" w:hAnsiTheme="majorHAnsi" w:cstheme="majorHAnsi"/>
                <w:color w:val="000000"/>
                <w:sz w:val="14"/>
                <w:szCs w:val="14"/>
                <w:lang w:val="ro-MD"/>
              </w:rPr>
              <w:t>executor</w:t>
            </w:r>
            <w:r>
              <w:rPr>
                <w:rFonts w:asciiTheme="majorHAnsi" w:eastAsia="Times New Roman" w:hAnsiTheme="majorHAnsi" w:cstheme="majorHAnsi"/>
                <w:color w:val="000000"/>
                <w:sz w:val="14"/>
                <w:szCs w:val="14"/>
                <w:lang w:val="ro-MD"/>
              </w:rPr>
              <w:t>iu nr. 068s-504R/18 din 14.03.2018</w:t>
            </w:r>
          </w:p>
        </w:tc>
      </w:tr>
      <w:tr w:rsidR="009E3D49" w:rsidRPr="00401691" w:rsidTr="008B6685">
        <w:trPr>
          <w:trHeight w:val="288"/>
        </w:trPr>
        <w:tc>
          <w:tcPr>
            <w:tcW w:w="630" w:type="dxa"/>
            <w:tcBorders>
              <w:top w:val="nil"/>
              <w:left w:val="single" w:sz="4" w:space="0" w:color="auto"/>
              <w:bottom w:val="single" w:sz="4" w:space="0" w:color="auto"/>
              <w:right w:val="single" w:sz="4" w:space="0" w:color="auto"/>
            </w:tcBorders>
            <w:shd w:val="clear" w:color="auto" w:fill="auto"/>
            <w:noWrap/>
          </w:tcPr>
          <w:p w:rsidR="009E3D49" w:rsidRPr="00401691" w:rsidRDefault="009E3D49" w:rsidP="008B6685">
            <w:pPr>
              <w:spacing w:after="0" w:line="240" w:lineRule="auto"/>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10</w:t>
            </w:r>
          </w:p>
        </w:tc>
        <w:tc>
          <w:tcPr>
            <w:tcW w:w="1530" w:type="dxa"/>
            <w:tcBorders>
              <w:top w:val="nil"/>
              <w:left w:val="nil"/>
              <w:bottom w:val="single" w:sz="4" w:space="0" w:color="auto"/>
              <w:right w:val="single" w:sz="4" w:space="0" w:color="auto"/>
            </w:tcBorders>
            <w:shd w:val="clear" w:color="auto" w:fill="auto"/>
            <w:noWrap/>
            <w:vAlign w:val="center"/>
          </w:tcPr>
          <w:p w:rsidR="009E3D49" w:rsidRPr="00401691" w:rsidRDefault="009E3D49" w:rsidP="008B6685">
            <w:pPr>
              <w:spacing w:after="0" w:line="240" w:lineRule="auto"/>
              <w:ind w:left="-110" w:right="-7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1013600012208</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9E3D49" w:rsidRPr="00401691" w:rsidRDefault="009E3D49" w:rsidP="008B6685">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177,161.48</w:t>
            </w:r>
          </w:p>
        </w:tc>
        <w:tc>
          <w:tcPr>
            <w:tcW w:w="1080" w:type="dxa"/>
            <w:tcBorders>
              <w:top w:val="nil"/>
              <w:left w:val="single" w:sz="4" w:space="0" w:color="auto"/>
              <w:bottom w:val="single" w:sz="4" w:space="0" w:color="auto"/>
              <w:right w:val="single" w:sz="4" w:space="0" w:color="auto"/>
            </w:tcBorders>
            <w:vAlign w:val="center"/>
          </w:tcPr>
          <w:p w:rsidR="009E3D49" w:rsidRPr="004A41A9" w:rsidRDefault="009E3D49" w:rsidP="008B6685">
            <w:pPr>
              <w:spacing w:after="0" w:line="240" w:lineRule="auto"/>
              <w:jc w:val="both"/>
              <w:rPr>
                <w:rFonts w:asciiTheme="majorHAnsi" w:eastAsia="Times New Roman" w:hAnsiTheme="majorHAnsi" w:cstheme="majorHAnsi"/>
                <w:color w:val="000000"/>
                <w:sz w:val="18"/>
                <w:szCs w:val="18"/>
                <w:lang w:val="ro-MD"/>
              </w:rPr>
            </w:pPr>
            <w:r w:rsidRPr="004A41A9">
              <w:rPr>
                <w:rFonts w:asciiTheme="majorHAnsi" w:eastAsia="Times New Roman" w:hAnsiTheme="majorHAnsi" w:cstheme="majorHAnsi"/>
                <w:color w:val="000000"/>
                <w:sz w:val="18"/>
                <w:szCs w:val="18"/>
                <w:lang w:val="ro-MD"/>
              </w:rPr>
              <w:t>10.03.2017</w:t>
            </w:r>
          </w:p>
        </w:tc>
        <w:tc>
          <w:tcPr>
            <w:tcW w:w="4237" w:type="dxa"/>
            <w:vMerge w:val="restart"/>
            <w:tcBorders>
              <w:top w:val="nil"/>
              <w:left w:val="single" w:sz="4" w:space="0" w:color="auto"/>
              <w:right w:val="single" w:sz="4" w:space="0" w:color="auto"/>
            </w:tcBorders>
            <w:vAlign w:val="center"/>
          </w:tcPr>
          <w:p w:rsidR="009E3D49" w:rsidRPr="004A41A9" w:rsidRDefault="009E3D49" w:rsidP="008B6685">
            <w:pPr>
              <w:pStyle w:val="ListParagraph"/>
              <w:numPr>
                <w:ilvl w:val="0"/>
                <w:numId w:val="24"/>
              </w:numPr>
              <w:tabs>
                <w:tab w:val="left" w:pos="174"/>
              </w:tabs>
              <w:spacing w:after="0" w:line="240" w:lineRule="auto"/>
              <w:ind w:left="0" w:hanging="6"/>
              <w:jc w:val="both"/>
              <w:rPr>
                <w:rFonts w:asciiTheme="majorHAnsi" w:eastAsia="Times New Roman" w:hAnsiTheme="majorHAnsi" w:cstheme="majorHAnsi"/>
                <w:color w:val="000000"/>
                <w:sz w:val="18"/>
                <w:szCs w:val="18"/>
                <w:lang w:val="ro-MD"/>
              </w:rPr>
            </w:pPr>
            <w:r w:rsidRPr="004A41A9">
              <w:rPr>
                <w:rFonts w:asciiTheme="majorHAnsi" w:eastAsia="Times New Roman" w:hAnsiTheme="majorHAnsi" w:cstheme="majorHAnsi"/>
                <w:color w:val="000000"/>
                <w:sz w:val="18"/>
                <w:szCs w:val="18"/>
                <w:lang w:val="ro-MD"/>
              </w:rPr>
              <w:t>Scrisoarea SFS către CNA nr. 67/3-08-135 din 22.01.2016</w:t>
            </w:r>
            <w:r w:rsidR="00A46F53">
              <w:rPr>
                <w:rFonts w:asciiTheme="majorHAnsi" w:eastAsia="Times New Roman" w:hAnsiTheme="majorHAnsi" w:cstheme="majorHAnsi"/>
                <w:color w:val="000000"/>
                <w:sz w:val="18"/>
                <w:szCs w:val="18"/>
                <w:lang w:val="ro-MD"/>
              </w:rPr>
              <w:t>,</w:t>
            </w:r>
            <w:r w:rsidRPr="004A41A9">
              <w:rPr>
                <w:rFonts w:asciiTheme="majorHAnsi" w:eastAsia="Times New Roman" w:hAnsiTheme="majorHAnsi" w:cstheme="majorHAnsi"/>
                <w:color w:val="000000"/>
                <w:sz w:val="18"/>
                <w:szCs w:val="18"/>
                <w:lang w:val="ro-MD"/>
              </w:rPr>
              <w:t xml:space="preserve"> s-au remis 4 Acte de control fiscal din 20.01-22.01.2016 pentru 3 contribuabili;</w:t>
            </w:r>
          </w:p>
          <w:p w:rsidR="009E3D49" w:rsidRPr="004A41A9" w:rsidRDefault="009E3D49" w:rsidP="008B6685">
            <w:pPr>
              <w:pStyle w:val="ListParagraph"/>
              <w:numPr>
                <w:ilvl w:val="0"/>
                <w:numId w:val="24"/>
              </w:numPr>
              <w:tabs>
                <w:tab w:val="left" w:pos="174"/>
              </w:tabs>
              <w:spacing w:after="0" w:line="240" w:lineRule="auto"/>
              <w:ind w:left="0" w:hanging="6"/>
              <w:jc w:val="both"/>
              <w:rPr>
                <w:rFonts w:asciiTheme="majorHAnsi" w:eastAsia="Times New Roman" w:hAnsiTheme="majorHAnsi" w:cstheme="majorHAnsi"/>
                <w:color w:val="000000"/>
                <w:sz w:val="18"/>
                <w:szCs w:val="18"/>
                <w:lang w:val="ro-MD"/>
              </w:rPr>
            </w:pPr>
            <w:r w:rsidRPr="004A41A9">
              <w:rPr>
                <w:rFonts w:asciiTheme="majorHAnsi" w:eastAsia="Times New Roman" w:hAnsiTheme="majorHAnsi" w:cstheme="majorHAnsi"/>
                <w:color w:val="000000"/>
                <w:sz w:val="18"/>
                <w:szCs w:val="18"/>
                <w:lang w:val="ro-MD"/>
              </w:rPr>
              <w:t>Scrisoarea SFS către PCCOCS nr. 67-3-09-503 din -07.03.2017</w:t>
            </w:r>
            <w:r w:rsidR="005E744F">
              <w:rPr>
                <w:rFonts w:asciiTheme="majorHAnsi" w:eastAsia="Times New Roman" w:hAnsiTheme="majorHAnsi" w:cstheme="majorHAnsi"/>
                <w:color w:val="000000"/>
                <w:sz w:val="18"/>
                <w:szCs w:val="18"/>
                <w:lang w:val="ro-MD"/>
              </w:rPr>
              <w:t>,</w:t>
            </w:r>
            <w:r w:rsidRPr="004A41A9">
              <w:rPr>
                <w:rFonts w:asciiTheme="majorHAnsi" w:eastAsia="Times New Roman" w:hAnsiTheme="majorHAnsi" w:cstheme="majorHAnsi"/>
                <w:color w:val="000000"/>
                <w:sz w:val="18"/>
                <w:szCs w:val="18"/>
                <w:lang w:val="ro-MD"/>
              </w:rPr>
              <w:t xml:space="preserve"> s-au remis 3 Acte de control fiscal din 17.02-21.02.2017 pentru 3 contribuabili</w:t>
            </w:r>
            <w:r>
              <w:rPr>
                <w:rFonts w:asciiTheme="majorHAnsi" w:eastAsia="Times New Roman" w:hAnsiTheme="majorHAnsi" w:cstheme="majorHAnsi"/>
                <w:color w:val="000000"/>
                <w:sz w:val="18"/>
                <w:szCs w:val="18"/>
                <w:lang w:val="ro-MD"/>
              </w:rPr>
              <w:t>.</w:t>
            </w:r>
            <w:r w:rsidRPr="004A41A9">
              <w:rPr>
                <w:rFonts w:asciiTheme="majorHAnsi" w:eastAsia="Times New Roman" w:hAnsiTheme="majorHAnsi" w:cstheme="majorHAnsi"/>
                <w:color w:val="000000"/>
                <w:sz w:val="18"/>
                <w:szCs w:val="18"/>
                <w:lang w:val="ro-MD"/>
              </w:rPr>
              <w:t xml:space="preserve"> </w:t>
            </w:r>
          </w:p>
        </w:tc>
        <w:tc>
          <w:tcPr>
            <w:tcW w:w="1890" w:type="dxa"/>
            <w:tcBorders>
              <w:top w:val="nil"/>
              <w:left w:val="single" w:sz="4" w:space="0" w:color="auto"/>
              <w:bottom w:val="single" w:sz="4" w:space="0" w:color="auto"/>
              <w:right w:val="single" w:sz="4" w:space="0" w:color="auto"/>
            </w:tcBorders>
            <w:vAlign w:val="center"/>
          </w:tcPr>
          <w:p w:rsidR="009E3D49" w:rsidRPr="00401691" w:rsidRDefault="009E3D49" w:rsidP="008B6685">
            <w:pPr>
              <w:spacing w:after="0" w:line="240" w:lineRule="auto"/>
              <w:jc w:val="center"/>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w:t>
            </w:r>
          </w:p>
        </w:tc>
        <w:tc>
          <w:tcPr>
            <w:tcW w:w="2070" w:type="dxa"/>
            <w:tcBorders>
              <w:top w:val="nil"/>
              <w:left w:val="single" w:sz="4" w:space="0" w:color="auto"/>
              <w:bottom w:val="single" w:sz="4" w:space="0" w:color="auto"/>
              <w:right w:val="single" w:sz="4" w:space="0" w:color="auto"/>
            </w:tcBorders>
            <w:vAlign w:val="center"/>
          </w:tcPr>
          <w:p w:rsidR="009E3D49" w:rsidRPr="00401691" w:rsidRDefault="009E3D49" w:rsidP="008B6685">
            <w:pPr>
              <w:spacing w:after="0" w:line="240" w:lineRule="auto"/>
              <w:ind w:left="-50" w:right="-12"/>
              <w:jc w:val="both"/>
              <w:rPr>
                <w:rFonts w:asciiTheme="majorHAnsi" w:eastAsia="Times New Roman" w:hAnsiTheme="majorHAnsi" w:cstheme="majorHAnsi"/>
                <w:color w:val="000000"/>
                <w:sz w:val="16"/>
                <w:szCs w:val="16"/>
                <w:lang w:val="ro-MD"/>
              </w:rPr>
            </w:pPr>
            <w:r>
              <w:rPr>
                <w:rFonts w:asciiTheme="majorHAnsi" w:eastAsia="Times New Roman" w:hAnsiTheme="majorHAnsi" w:cstheme="majorHAnsi"/>
                <w:color w:val="000000"/>
                <w:sz w:val="16"/>
                <w:szCs w:val="16"/>
                <w:lang w:val="ro-MD"/>
              </w:rPr>
              <w:t>DI007490A5 din 29.10.2018</w:t>
            </w:r>
          </w:p>
        </w:tc>
        <w:tc>
          <w:tcPr>
            <w:tcW w:w="2610" w:type="dxa"/>
            <w:tcBorders>
              <w:top w:val="nil"/>
              <w:left w:val="single" w:sz="4" w:space="0" w:color="auto"/>
              <w:bottom w:val="single" w:sz="4" w:space="0" w:color="auto"/>
              <w:right w:val="single" w:sz="4" w:space="0" w:color="auto"/>
            </w:tcBorders>
            <w:vAlign w:val="center"/>
          </w:tcPr>
          <w:p w:rsidR="009E3D49" w:rsidRPr="00DF52B7" w:rsidRDefault="009E3D49" w:rsidP="008B6685">
            <w:pPr>
              <w:spacing w:after="0" w:line="240" w:lineRule="auto"/>
              <w:jc w:val="center"/>
              <w:rPr>
                <w:rFonts w:asciiTheme="majorHAnsi" w:eastAsia="Times New Roman" w:hAnsiTheme="majorHAnsi" w:cstheme="majorHAnsi"/>
                <w:color w:val="000000"/>
                <w:sz w:val="14"/>
                <w:szCs w:val="14"/>
                <w:lang w:val="ro-MD"/>
              </w:rPr>
            </w:pPr>
            <w:r w:rsidRPr="00DF52B7">
              <w:rPr>
                <w:rFonts w:asciiTheme="majorHAnsi" w:eastAsia="Times New Roman" w:hAnsiTheme="majorHAnsi" w:cstheme="majorHAnsi"/>
                <w:color w:val="000000"/>
                <w:sz w:val="14"/>
                <w:szCs w:val="14"/>
                <w:lang w:val="ro-MD"/>
              </w:rPr>
              <w:t xml:space="preserve">Încheierea </w:t>
            </w:r>
            <w:r w:rsidR="000C5DF4">
              <w:rPr>
                <w:rFonts w:asciiTheme="majorHAnsi" w:eastAsia="Times New Roman" w:hAnsiTheme="majorHAnsi" w:cstheme="majorHAnsi"/>
                <w:color w:val="000000"/>
                <w:sz w:val="14"/>
                <w:szCs w:val="14"/>
                <w:lang w:val="ro-MD"/>
              </w:rPr>
              <w:t xml:space="preserve">privind </w:t>
            </w:r>
            <w:r>
              <w:rPr>
                <w:rFonts w:asciiTheme="majorHAnsi" w:eastAsia="Times New Roman" w:hAnsiTheme="majorHAnsi" w:cstheme="majorHAnsi"/>
                <w:color w:val="000000"/>
                <w:sz w:val="14"/>
                <w:szCs w:val="14"/>
                <w:lang w:val="ro-MD"/>
              </w:rPr>
              <w:t xml:space="preserve">restituirea documentului </w:t>
            </w:r>
            <w:r w:rsidRPr="00DF52B7">
              <w:rPr>
                <w:rFonts w:asciiTheme="majorHAnsi" w:eastAsia="Times New Roman" w:hAnsiTheme="majorHAnsi" w:cstheme="majorHAnsi"/>
                <w:color w:val="000000"/>
                <w:sz w:val="14"/>
                <w:szCs w:val="14"/>
                <w:lang w:val="ro-MD"/>
              </w:rPr>
              <w:t>executor</w:t>
            </w:r>
            <w:r>
              <w:rPr>
                <w:rFonts w:asciiTheme="majorHAnsi" w:eastAsia="Times New Roman" w:hAnsiTheme="majorHAnsi" w:cstheme="majorHAnsi"/>
                <w:color w:val="000000"/>
                <w:sz w:val="14"/>
                <w:szCs w:val="14"/>
                <w:lang w:val="ro-MD"/>
              </w:rPr>
              <w:t>iu nr. S041-144/2018 din 03.10.2018</w:t>
            </w:r>
          </w:p>
        </w:tc>
      </w:tr>
      <w:tr w:rsidR="009E3D49" w:rsidRPr="00401691" w:rsidTr="008B6685">
        <w:trPr>
          <w:trHeight w:val="288"/>
        </w:trPr>
        <w:tc>
          <w:tcPr>
            <w:tcW w:w="630" w:type="dxa"/>
            <w:tcBorders>
              <w:top w:val="nil"/>
              <w:left w:val="single" w:sz="4" w:space="0" w:color="auto"/>
              <w:bottom w:val="single" w:sz="4" w:space="0" w:color="auto"/>
              <w:right w:val="single" w:sz="4" w:space="0" w:color="auto"/>
            </w:tcBorders>
            <w:shd w:val="clear" w:color="auto" w:fill="auto"/>
            <w:noWrap/>
          </w:tcPr>
          <w:p w:rsidR="009E3D49" w:rsidRPr="00401691" w:rsidRDefault="009E3D49" w:rsidP="008B6685">
            <w:pPr>
              <w:spacing w:after="0" w:line="240" w:lineRule="auto"/>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11</w:t>
            </w:r>
          </w:p>
        </w:tc>
        <w:tc>
          <w:tcPr>
            <w:tcW w:w="1530" w:type="dxa"/>
            <w:tcBorders>
              <w:top w:val="nil"/>
              <w:left w:val="nil"/>
              <w:bottom w:val="single" w:sz="4" w:space="0" w:color="auto"/>
              <w:right w:val="single" w:sz="4" w:space="0" w:color="auto"/>
            </w:tcBorders>
            <w:shd w:val="clear" w:color="auto" w:fill="auto"/>
            <w:noWrap/>
            <w:vAlign w:val="center"/>
          </w:tcPr>
          <w:p w:rsidR="009E3D49" w:rsidRPr="00401691" w:rsidRDefault="009E3D49" w:rsidP="008B6685">
            <w:pPr>
              <w:spacing w:after="0" w:line="240" w:lineRule="auto"/>
              <w:ind w:left="-110" w:right="-7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1012600014168</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9E3D49" w:rsidRPr="00401691" w:rsidRDefault="009E3D49" w:rsidP="008B6685">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139,336.52</w:t>
            </w:r>
          </w:p>
        </w:tc>
        <w:tc>
          <w:tcPr>
            <w:tcW w:w="1080" w:type="dxa"/>
            <w:tcBorders>
              <w:top w:val="nil"/>
              <w:left w:val="single" w:sz="4" w:space="0" w:color="auto"/>
              <w:bottom w:val="single" w:sz="4" w:space="0" w:color="auto"/>
              <w:right w:val="single" w:sz="4" w:space="0" w:color="auto"/>
            </w:tcBorders>
            <w:vAlign w:val="center"/>
          </w:tcPr>
          <w:p w:rsidR="009E3D49" w:rsidRPr="00401691" w:rsidRDefault="009E3D49" w:rsidP="008B6685">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10.03.2017</w:t>
            </w:r>
          </w:p>
        </w:tc>
        <w:tc>
          <w:tcPr>
            <w:tcW w:w="4237" w:type="dxa"/>
            <w:vMerge/>
            <w:tcBorders>
              <w:left w:val="single" w:sz="4" w:space="0" w:color="auto"/>
              <w:bottom w:val="single" w:sz="4" w:space="0" w:color="auto"/>
              <w:right w:val="single" w:sz="4" w:space="0" w:color="auto"/>
            </w:tcBorders>
            <w:vAlign w:val="center"/>
          </w:tcPr>
          <w:p w:rsidR="009E3D49" w:rsidRPr="00401691" w:rsidRDefault="009E3D49" w:rsidP="008B6685">
            <w:pPr>
              <w:spacing w:after="0" w:line="240" w:lineRule="auto"/>
              <w:jc w:val="both"/>
              <w:rPr>
                <w:rFonts w:asciiTheme="majorHAnsi" w:eastAsia="Times New Roman" w:hAnsiTheme="majorHAnsi" w:cstheme="majorHAnsi"/>
                <w:color w:val="000000"/>
                <w:sz w:val="18"/>
                <w:szCs w:val="18"/>
                <w:lang w:val="ro-MD"/>
              </w:rPr>
            </w:pPr>
          </w:p>
        </w:tc>
        <w:tc>
          <w:tcPr>
            <w:tcW w:w="1890" w:type="dxa"/>
            <w:tcBorders>
              <w:top w:val="nil"/>
              <w:left w:val="single" w:sz="4" w:space="0" w:color="auto"/>
              <w:bottom w:val="single" w:sz="4" w:space="0" w:color="auto"/>
              <w:right w:val="single" w:sz="4" w:space="0" w:color="auto"/>
            </w:tcBorders>
            <w:vAlign w:val="center"/>
          </w:tcPr>
          <w:p w:rsidR="009E3D49" w:rsidRPr="00401691" w:rsidRDefault="00B47EA2" w:rsidP="00B47EA2">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w:t>
            </w:r>
          </w:p>
        </w:tc>
        <w:tc>
          <w:tcPr>
            <w:tcW w:w="2070" w:type="dxa"/>
            <w:tcBorders>
              <w:top w:val="nil"/>
              <w:left w:val="single" w:sz="4" w:space="0" w:color="auto"/>
              <w:bottom w:val="single" w:sz="4" w:space="0" w:color="auto"/>
              <w:right w:val="single" w:sz="4" w:space="0" w:color="auto"/>
            </w:tcBorders>
            <w:vAlign w:val="center"/>
          </w:tcPr>
          <w:p w:rsidR="009E3D49" w:rsidRPr="00401691" w:rsidRDefault="009E3D49" w:rsidP="008B6685">
            <w:pPr>
              <w:spacing w:after="0" w:line="240" w:lineRule="auto"/>
              <w:ind w:right="-12"/>
              <w:jc w:val="both"/>
              <w:rPr>
                <w:rFonts w:asciiTheme="majorHAnsi" w:eastAsia="Times New Roman" w:hAnsiTheme="majorHAnsi" w:cstheme="majorHAnsi"/>
                <w:color w:val="000000"/>
                <w:sz w:val="16"/>
                <w:szCs w:val="16"/>
                <w:lang w:val="ro-MD"/>
              </w:rPr>
            </w:pPr>
            <w:r w:rsidRPr="00401691">
              <w:rPr>
                <w:rFonts w:asciiTheme="majorHAnsi" w:eastAsia="Times New Roman" w:hAnsiTheme="majorHAnsi" w:cstheme="majorHAnsi"/>
                <w:color w:val="000000"/>
                <w:sz w:val="16"/>
                <w:szCs w:val="16"/>
                <w:lang w:val="ro-MD"/>
              </w:rPr>
              <w:t xml:space="preserve">DI008503B9 din 21.02.2019 </w:t>
            </w:r>
          </w:p>
        </w:tc>
        <w:tc>
          <w:tcPr>
            <w:tcW w:w="2610" w:type="dxa"/>
            <w:tcBorders>
              <w:top w:val="nil"/>
              <w:left w:val="single" w:sz="4" w:space="0" w:color="auto"/>
              <w:bottom w:val="single" w:sz="4" w:space="0" w:color="auto"/>
              <w:right w:val="single" w:sz="4" w:space="0" w:color="auto"/>
            </w:tcBorders>
            <w:vAlign w:val="center"/>
          </w:tcPr>
          <w:p w:rsidR="009E3D49" w:rsidRPr="00DF52B7" w:rsidRDefault="009E3D49" w:rsidP="00176E82">
            <w:pPr>
              <w:spacing w:after="0" w:line="240" w:lineRule="auto"/>
              <w:jc w:val="center"/>
              <w:rPr>
                <w:rFonts w:asciiTheme="majorHAnsi" w:eastAsia="Times New Roman" w:hAnsiTheme="majorHAnsi" w:cstheme="majorHAnsi"/>
                <w:color w:val="000000"/>
                <w:sz w:val="14"/>
                <w:szCs w:val="14"/>
                <w:lang w:val="ro-MD"/>
              </w:rPr>
            </w:pPr>
            <w:r w:rsidRPr="00DF52B7">
              <w:rPr>
                <w:rFonts w:asciiTheme="majorHAnsi" w:eastAsia="Times New Roman" w:hAnsiTheme="majorHAnsi" w:cstheme="majorHAnsi"/>
                <w:color w:val="000000"/>
                <w:sz w:val="14"/>
                <w:szCs w:val="14"/>
                <w:lang w:val="ro-MD"/>
              </w:rPr>
              <w:t xml:space="preserve">Încheierea </w:t>
            </w:r>
            <w:r w:rsidR="000C5DF4">
              <w:rPr>
                <w:rFonts w:asciiTheme="majorHAnsi" w:eastAsia="Times New Roman" w:hAnsiTheme="majorHAnsi" w:cstheme="majorHAnsi"/>
                <w:color w:val="000000"/>
                <w:sz w:val="14"/>
                <w:szCs w:val="14"/>
                <w:lang w:val="ro-MD"/>
              </w:rPr>
              <w:t xml:space="preserve">privind </w:t>
            </w:r>
            <w:r>
              <w:rPr>
                <w:rFonts w:asciiTheme="majorHAnsi" w:eastAsia="Times New Roman" w:hAnsiTheme="majorHAnsi" w:cstheme="majorHAnsi"/>
                <w:color w:val="000000"/>
                <w:sz w:val="14"/>
                <w:szCs w:val="14"/>
                <w:lang w:val="ro-MD"/>
              </w:rPr>
              <w:t xml:space="preserve">restituirea documentului </w:t>
            </w:r>
            <w:r w:rsidRPr="00DF52B7">
              <w:rPr>
                <w:rFonts w:asciiTheme="majorHAnsi" w:eastAsia="Times New Roman" w:hAnsiTheme="majorHAnsi" w:cstheme="majorHAnsi"/>
                <w:color w:val="000000"/>
                <w:sz w:val="14"/>
                <w:szCs w:val="14"/>
                <w:lang w:val="ro-MD"/>
              </w:rPr>
              <w:t>executor</w:t>
            </w:r>
            <w:r>
              <w:rPr>
                <w:rFonts w:asciiTheme="majorHAnsi" w:eastAsia="Times New Roman" w:hAnsiTheme="majorHAnsi" w:cstheme="majorHAnsi"/>
                <w:color w:val="000000"/>
                <w:sz w:val="14"/>
                <w:szCs w:val="14"/>
                <w:lang w:val="ro-MD"/>
              </w:rPr>
              <w:t>iu</w:t>
            </w:r>
            <w:r w:rsidR="00176E82">
              <w:rPr>
                <w:rFonts w:asciiTheme="majorHAnsi" w:eastAsia="Times New Roman" w:hAnsiTheme="majorHAnsi" w:cstheme="majorHAnsi"/>
                <w:color w:val="000000"/>
                <w:sz w:val="14"/>
                <w:szCs w:val="14"/>
                <w:lang w:val="ro-MD"/>
              </w:rPr>
              <w:t xml:space="preserve"> nr.046s-307/19</w:t>
            </w:r>
            <w:r w:rsidR="000C5DF4" w:rsidRPr="004836DA">
              <w:rPr>
                <w:rFonts w:asciiTheme="majorHAnsi" w:eastAsia="Times New Roman" w:hAnsiTheme="majorHAnsi" w:cstheme="majorHAnsi"/>
                <w:color w:val="000000"/>
                <w:sz w:val="14"/>
                <w:szCs w:val="14"/>
                <w:highlight w:val="yellow"/>
                <w:lang w:val="ro-MD"/>
              </w:rPr>
              <w:t xml:space="preserve"> </w:t>
            </w:r>
            <w:r>
              <w:rPr>
                <w:rFonts w:asciiTheme="majorHAnsi" w:eastAsia="Times New Roman" w:hAnsiTheme="majorHAnsi" w:cstheme="majorHAnsi"/>
                <w:color w:val="000000"/>
                <w:sz w:val="14"/>
                <w:szCs w:val="14"/>
                <w:lang w:val="ro-MD"/>
              </w:rPr>
              <w:t xml:space="preserve"> din 20.02.2019</w:t>
            </w:r>
          </w:p>
        </w:tc>
      </w:tr>
      <w:tr w:rsidR="009E3D49" w:rsidRPr="00401691" w:rsidTr="00C63694">
        <w:trPr>
          <w:trHeight w:val="288"/>
        </w:trPr>
        <w:tc>
          <w:tcPr>
            <w:tcW w:w="630" w:type="dxa"/>
            <w:tcBorders>
              <w:top w:val="nil"/>
              <w:left w:val="single" w:sz="4" w:space="0" w:color="auto"/>
              <w:bottom w:val="single" w:sz="4" w:space="0" w:color="auto"/>
              <w:right w:val="single" w:sz="4" w:space="0" w:color="auto"/>
            </w:tcBorders>
            <w:shd w:val="clear" w:color="auto" w:fill="auto"/>
            <w:noWrap/>
          </w:tcPr>
          <w:p w:rsidR="009E3D49" w:rsidRPr="00401691" w:rsidRDefault="009E3D49" w:rsidP="008B6685">
            <w:pPr>
              <w:spacing w:after="0" w:line="240" w:lineRule="auto"/>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12</w:t>
            </w:r>
          </w:p>
        </w:tc>
        <w:tc>
          <w:tcPr>
            <w:tcW w:w="1530" w:type="dxa"/>
            <w:tcBorders>
              <w:top w:val="nil"/>
              <w:left w:val="nil"/>
              <w:bottom w:val="single" w:sz="4" w:space="0" w:color="auto"/>
              <w:right w:val="single" w:sz="4" w:space="0" w:color="auto"/>
            </w:tcBorders>
            <w:shd w:val="clear" w:color="auto" w:fill="auto"/>
            <w:noWrap/>
            <w:vAlign w:val="center"/>
          </w:tcPr>
          <w:p w:rsidR="009E3D49" w:rsidRPr="00401691" w:rsidRDefault="009E3D49" w:rsidP="008B6685">
            <w:pPr>
              <w:spacing w:after="0" w:line="240" w:lineRule="auto"/>
              <w:ind w:left="-110" w:right="-7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1011600020876</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9E3D49" w:rsidRPr="00401691" w:rsidRDefault="009E3D49" w:rsidP="008B6685">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131,842.00</w:t>
            </w:r>
          </w:p>
        </w:tc>
        <w:tc>
          <w:tcPr>
            <w:tcW w:w="1080" w:type="dxa"/>
            <w:tcBorders>
              <w:top w:val="nil"/>
              <w:left w:val="single" w:sz="4" w:space="0" w:color="auto"/>
              <w:bottom w:val="single" w:sz="4" w:space="0" w:color="auto"/>
              <w:right w:val="single" w:sz="4" w:space="0" w:color="auto"/>
            </w:tcBorders>
            <w:vAlign w:val="center"/>
          </w:tcPr>
          <w:p w:rsidR="009E3D49" w:rsidRPr="00401691" w:rsidRDefault="009E3D49" w:rsidP="008B6685">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19.07.2016</w:t>
            </w:r>
          </w:p>
        </w:tc>
        <w:tc>
          <w:tcPr>
            <w:tcW w:w="4237" w:type="dxa"/>
            <w:tcBorders>
              <w:top w:val="nil"/>
              <w:left w:val="single" w:sz="4" w:space="0" w:color="auto"/>
              <w:bottom w:val="single" w:sz="4" w:space="0" w:color="auto"/>
              <w:right w:val="single" w:sz="4" w:space="0" w:color="auto"/>
            </w:tcBorders>
            <w:vAlign w:val="center"/>
          </w:tcPr>
          <w:p w:rsidR="009E3D49" w:rsidRPr="00401691" w:rsidRDefault="009E3D49" w:rsidP="008B6685">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 xml:space="preserve">Denunțul SFS către PCCOCS: </w:t>
            </w:r>
          </w:p>
          <w:p w:rsidR="009E3D49" w:rsidRPr="00401691" w:rsidRDefault="009E3D49" w:rsidP="008B6685">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 xml:space="preserve">Scr. SFS nr. 74/2/2-8765 din 20.09.2016  </w:t>
            </w:r>
          </w:p>
        </w:tc>
        <w:tc>
          <w:tcPr>
            <w:tcW w:w="1890" w:type="dxa"/>
            <w:tcBorders>
              <w:top w:val="nil"/>
              <w:left w:val="single" w:sz="4" w:space="0" w:color="auto"/>
              <w:bottom w:val="single" w:sz="4" w:space="0" w:color="auto"/>
              <w:right w:val="single" w:sz="4" w:space="0" w:color="auto"/>
            </w:tcBorders>
            <w:vAlign w:val="center"/>
          </w:tcPr>
          <w:p w:rsidR="009E3D49" w:rsidRPr="00401691" w:rsidRDefault="00C63694" w:rsidP="008B6685">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w:t>
            </w:r>
          </w:p>
        </w:tc>
        <w:tc>
          <w:tcPr>
            <w:tcW w:w="2070" w:type="dxa"/>
            <w:tcBorders>
              <w:top w:val="nil"/>
              <w:left w:val="single" w:sz="4" w:space="0" w:color="auto"/>
              <w:bottom w:val="single" w:sz="4" w:space="0" w:color="auto"/>
              <w:right w:val="single" w:sz="4" w:space="0" w:color="auto"/>
            </w:tcBorders>
            <w:vAlign w:val="center"/>
          </w:tcPr>
          <w:p w:rsidR="009E3D49" w:rsidRPr="00401691" w:rsidRDefault="009E3D49" w:rsidP="008B6685">
            <w:pPr>
              <w:spacing w:after="0" w:line="240" w:lineRule="auto"/>
              <w:ind w:left="-50" w:right="-12"/>
              <w:jc w:val="both"/>
              <w:rPr>
                <w:rFonts w:asciiTheme="majorHAnsi" w:eastAsia="Times New Roman" w:hAnsiTheme="majorHAnsi" w:cstheme="majorHAnsi"/>
                <w:color w:val="000000"/>
                <w:sz w:val="16"/>
                <w:szCs w:val="16"/>
                <w:lang w:val="ro-MD"/>
              </w:rPr>
            </w:pPr>
            <w:r w:rsidRPr="00401691">
              <w:rPr>
                <w:rFonts w:asciiTheme="majorHAnsi" w:eastAsia="Times New Roman" w:hAnsiTheme="majorHAnsi" w:cstheme="majorHAnsi"/>
                <w:color w:val="000000"/>
                <w:sz w:val="16"/>
                <w:szCs w:val="16"/>
                <w:lang w:val="ro-MD"/>
              </w:rPr>
              <w:t>DI0073738B din 16.10.2018</w:t>
            </w:r>
          </w:p>
        </w:tc>
        <w:tc>
          <w:tcPr>
            <w:tcW w:w="2610" w:type="dxa"/>
            <w:tcBorders>
              <w:top w:val="nil"/>
              <w:left w:val="single" w:sz="4" w:space="0" w:color="auto"/>
              <w:bottom w:val="single" w:sz="4" w:space="0" w:color="auto"/>
              <w:right w:val="single" w:sz="4" w:space="0" w:color="auto"/>
            </w:tcBorders>
            <w:vAlign w:val="center"/>
          </w:tcPr>
          <w:p w:rsidR="009E3D49" w:rsidRPr="00DF52B7" w:rsidRDefault="009E3D49" w:rsidP="008B6685">
            <w:pPr>
              <w:spacing w:after="0" w:line="240" w:lineRule="auto"/>
              <w:jc w:val="center"/>
              <w:rPr>
                <w:rFonts w:asciiTheme="majorHAnsi" w:eastAsia="Times New Roman" w:hAnsiTheme="majorHAnsi" w:cstheme="majorHAnsi"/>
                <w:color w:val="000000"/>
                <w:sz w:val="14"/>
                <w:szCs w:val="14"/>
                <w:lang w:val="ro-MD"/>
              </w:rPr>
            </w:pPr>
            <w:r w:rsidRPr="00DF52B7">
              <w:rPr>
                <w:rFonts w:asciiTheme="majorHAnsi" w:eastAsia="Times New Roman" w:hAnsiTheme="majorHAnsi" w:cstheme="majorHAnsi"/>
                <w:color w:val="000000"/>
                <w:sz w:val="14"/>
                <w:szCs w:val="14"/>
                <w:lang w:val="ro-MD"/>
              </w:rPr>
              <w:t xml:space="preserve">Încheierea </w:t>
            </w:r>
            <w:r w:rsidR="000C5DF4">
              <w:rPr>
                <w:rFonts w:asciiTheme="majorHAnsi" w:eastAsia="Times New Roman" w:hAnsiTheme="majorHAnsi" w:cstheme="majorHAnsi"/>
                <w:color w:val="000000"/>
                <w:sz w:val="14"/>
                <w:szCs w:val="14"/>
                <w:lang w:val="ro-MD"/>
              </w:rPr>
              <w:t xml:space="preserve">privind </w:t>
            </w:r>
            <w:r>
              <w:rPr>
                <w:rFonts w:asciiTheme="majorHAnsi" w:eastAsia="Times New Roman" w:hAnsiTheme="majorHAnsi" w:cstheme="majorHAnsi"/>
                <w:color w:val="000000"/>
                <w:sz w:val="14"/>
                <w:szCs w:val="14"/>
                <w:lang w:val="ro-MD"/>
              </w:rPr>
              <w:t>restituirea document</w:t>
            </w:r>
            <w:r w:rsidR="000C5DF4">
              <w:rPr>
                <w:rFonts w:asciiTheme="majorHAnsi" w:eastAsia="Times New Roman" w:hAnsiTheme="majorHAnsi" w:cstheme="majorHAnsi"/>
                <w:color w:val="000000"/>
                <w:sz w:val="14"/>
                <w:szCs w:val="14"/>
                <w:lang w:val="ro-MD"/>
              </w:rPr>
              <w:t>elor</w:t>
            </w:r>
            <w:r>
              <w:rPr>
                <w:rFonts w:asciiTheme="majorHAnsi" w:eastAsia="Times New Roman" w:hAnsiTheme="majorHAnsi" w:cstheme="majorHAnsi"/>
                <w:color w:val="000000"/>
                <w:sz w:val="14"/>
                <w:szCs w:val="14"/>
                <w:lang w:val="ro-MD"/>
              </w:rPr>
              <w:t xml:space="preserve"> </w:t>
            </w:r>
            <w:r w:rsidRPr="00DF52B7">
              <w:rPr>
                <w:rFonts w:asciiTheme="majorHAnsi" w:eastAsia="Times New Roman" w:hAnsiTheme="majorHAnsi" w:cstheme="majorHAnsi"/>
                <w:color w:val="000000"/>
                <w:sz w:val="14"/>
                <w:szCs w:val="14"/>
                <w:lang w:val="ro-MD"/>
              </w:rPr>
              <w:t>executor</w:t>
            </w:r>
            <w:r>
              <w:rPr>
                <w:rFonts w:asciiTheme="majorHAnsi" w:eastAsia="Times New Roman" w:hAnsiTheme="majorHAnsi" w:cstheme="majorHAnsi"/>
                <w:color w:val="000000"/>
                <w:sz w:val="14"/>
                <w:szCs w:val="14"/>
                <w:lang w:val="ro-MD"/>
              </w:rPr>
              <w:t>i</w:t>
            </w:r>
            <w:r w:rsidR="000C5DF4">
              <w:rPr>
                <w:rFonts w:asciiTheme="majorHAnsi" w:eastAsia="Times New Roman" w:hAnsiTheme="majorHAnsi" w:cstheme="majorHAnsi"/>
                <w:color w:val="000000"/>
                <w:sz w:val="14"/>
                <w:szCs w:val="14"/>
                <w:lang w:val="ro-MD"/>
              </w:rPr>
              <w:t>i</w:t>
            </w:r>
            <w:r>
              <w:rPr>
                <w:rFonts w:asciiTheme="majorHAnsi" w:eastAsia="Times New Roman" w:hAnsiTheme="majorHAnsi" w:cstheme="majorHAnsi"/>
                <w:color w:val="000000"/>
                <w:sz w:val="14"/>
                <w:szCs w:val="14"/>
                <w:lang w:val="ro-MD"/>
              </w:rPr>
              <w:t xml:space="preserve"> nr. 119s-941/2018 din 03.10.2018 și nr. 119s-1049/2018 din 30.11.2018</w:t>
            </w:r>
          </w:p>
        </w:tc>
      </w:tr>
      <w:tr w:rsidR="009E3D49" w:rsidRPr="00401691" w:rsidTr="00C63694">
        <w:trPr>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9E3D49" w:rsidRPr="00401691" w:rsidRDefault="009E3D49" w:rsidP="008B6685">
            <w:pPr>
              <w:spacing w:after="0" w:line="240" w:lineRule="auto"/>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13</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9E3D49" w:rsidRPr="00401691" w:rsidRDefault="009E3D49" w:rsidP="008B6685">
            <w:pPr>
              <w:spacing w:after="0" w:line="240" w:lineRule="auto"/>
              <w:ind w:left="-110" w:right="-7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1014607001594</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D49" w:rsidRPr="00401691" w:rsidRDefault="009E3D49" w:rsidP="008B6685">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118,805.94</w:t>
            </w:r>
          </w:p>
        </w:tc>
        <w:tc>
          <w:tcPr>
            <w:tcW w:w="1080" w:type="dxa"/>
            <w:tcBorders>
              <w:top w:val="single" w:sz="4" w:space="0" w:color="auto"/>
              <w:left w:val="single" w:sz="4" w:space="0" w:color="auto"/>
              <w:bottom w:val="single" w:sz="4" w:space="0" w:color="auto"/>
              <w:right w:val="single" w:sz="4" w:space="0" w:color="auto"/>
            </w:tcBorders>
            <w:vAlign w:val="center"/>
          </w:tcPr>
          <w:p w:rsidR="009E3D49" w:rsidRPr="00401691" w:rsidRDefault="009E3D49" w:rsidP="008B6685">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19.07.2016</w:t>
            </w:r>
          </w:p>
        </w:tc>
        <w:tc>
          <w:tcPr>
            <w:tcW w:w="4237" w:type="dxa"/>
            <w:tcBorders>
              <w:top w:val="single" w:sz="4" w:space="0" w:color="auto"/>
              <w:left w:val="single" w:sz="4" w:space="0" w:color="auto"/>
              <w:bottom w:val="single" w:sz="4" w:space="0" w:color="auto"/>
              <w:right w:val="single" w:sz="4" w:space="0" w:color="auto"/>
            </w:tcBorders>
            <w:vAlign w:val="center"/>
          </w:tcPr>
          <w:p w:rsidR="009E3D49" w:rsidRPr="00401691" w:rsidRDefault="00731AE9" w:rsidP="00731AE9">
            <w:pPr>
              <w:spacing w:after="0" w:line="240" w:lineRule="auto"/>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w:t>
            </w:r>
          </w:p>
        </w:tc>
        <w:tc>
          <w:tcPr>
            <w:tcW w:w="1890" w:type="dxa"/>
            <w:tcBorders>
              <w:top w:val="single" w:sz="4" w:space="0" w:color="auto"/>
              <w:left w:val="single" w:sz="4" w:space="0" w:color="auto"/>
              <w:bottom w:val="single" w:sz="4" w:space="0" w:color="auto"/>
              <w:right w:val="single" w:sz="4" w:space="0" w:color="auto"/>
            </w:tcBorders>
            <w:vAlign w:val="center"/>
          </w:tcPr>
          <w:p w:rsidR="009E3D49" w:rsidRPr="00401691" w:rsidRDefault="009E3D49" w:rsidP="008B6685">
            <w:pPr>
              <w:spacing w:after="0" w:line="240" w:lineRule="auto"/>
              <w:ind w:left="-114" w:right="-18"/>
              <w:jc w:val="both"/>
              <w:rPr>
                <w:rFonts w:asciiTheme="majorHAnsi" w:eastAsia="Times New Roman" w:hAnsiTheme="majorHAnsi" w:cstheme="majorHAnsi"/>
                <w:color w:val="000000"/>
                <w:sz w:val="16"/>
                <w:szCs w:val="16"/>
                <w:lang w:val="ro-MD"/>
              </w:rPr>
            </w:pPr>
            <w:r w:rsidRPr="00401691">
              <w:rPr>
                <w:rFonts w:asciiTheme="majorHAnsi" w:eastAsia="Times New Roman" w:hAnsiTheme="majorHAnsi" w:cstheme="majorHAnsi"/>
                <w:color w:val="000000"/>
                <w:sz w:val="16"/>
                <w:szCs w:val="16"/>
                <w:lang w:val="ro-MD"/>
              </w:rPr>
              <w:t>Scrisoarea PCCOCS către SFS nr. 18-92215-885 din 26.01.2017</w:t>
            </w:r>
            <w:r w:rsidR="005E744F">
              <w:rPr>
                <w:rFonts w:asciiTheme="majorHAnsi" w:eastAsia="Times New Roman" w:hAnsiTheme="majorHAnsi" w:cstheme="majorHAnsi"/>
                <w:color w:val="000000"/>
                <w:sz w:val="16"/>
                <w:szCs w:val="16"/>
                <w:lang w:val="ro-MD"/>
              </w:rPr>
              <w:t>,</w:t>
            </w:r>
            <w:r w:rsidRPr="00401691">
              <w:rPr>
                <w:rFonts w:asciiTheme="majorHAnsi" w:eastAsia="Times New Roman" w:hAnsiTheme="majorHAnsi" w:cstheme="majorHAnsi"/>
                <w:color w:val="000000"/>
                <w:sz w:val="16"/>
                <w:szCs w:val="16"/>
                <w:lang w:val="ro-MD"/>
              </w:rPr>
              <w:t xml:space="preserve"> se menționează</w:t>
            </w:r>
            <w:r w:rsidR="005E744F">
              <w:rPr>
                <w:rFonts w:asciiTheme="majorHAnsi" w:eastAsia="Times New Roman" w:hAnsiTheme="majorHAnsi" w:cstheme="majorHAnsi"/>
                <w:color w:val="000000"/>
                <w:sz w:val="16"/>
                <w:szCs w:val="16"/>
                <w:lang w:val="ro-MD"/>
              </w:rPr>
              <w:t xml:space="preserve"> </w:t>
            </w:r>
            <w:r w:rsidRPr="00401691">
              <w:rPr>
                <w:rFonts w:asciiTheme="majorHAnsi" w:eastAsia="Times New Roman" w:hAnsiTheme="majorHAnsi" w:cstheme="majorHAnsi"/>
                <w:color w:val="000000"/>
                <w:sz w:val="16"/>
                <w:szCs w:val="16"/>
                <w:lang w:val="ro-MD"/>
              </w:rPr>
              <w:t>că careva hotăr</w:t>
            </w:r>
            <w:r w:rsidR="005E744F">
              <w:rPr>
                <w:rFonts w:asciiTheme="majorHAnsi" w:eastAsia="Times New Roman" w:hAnsiTheme="majorHAnsi" w:cstheme="majorHAnsi"/>
                <w:color w:val="000000"/>
                <w:sz w:val="16"/>
                <w:szCs w:val="16"/>
                <w:lang w:val="ro-MD"/>
              </w:rPr>
              <w:t>â</w:t>
            </w:r>
            <w:r w:rsidRPr="00401691">
              <w:rPr>
                <w:rFonts w:asciiTheme="majorHAnsi" w:eastAsia="Times New Roman" w:hAnsiTheme="majorHAnsi" w:cstheme="majorHAnsi"/>
                <w:color w:val="000000"/>
                <w:sz w:val="16"/>
                <w:szCs w:val="16"/>
                <w:lang w:val="ro-MD"/>
              </w:rPr>
              <w:t>re nu a fost adoptată, urmărirea penală fiind în derulare</w:t>
            </w:r>
          </w:p>
        </w:tc>
        <w:tc>
          <w:tcPr>
            <w:tcW w:w="2070" w:type="dxa"/>
            <w:tcBorders>
              <w:top w:val="single" w:sz="4" w:space="0" w:color="auto"/>
              <w:left w:val="single" w:sz="4" w:space="0" w:color="auto"/>
              <w:bottom w:val="single" w:sz="4" w:space="0" w:color="auto"/>
              <w:right w:val="single" w:sz="4" w:space="0" w:color="auto"/>
            </w:tcBorders>
            <w:vAlign w:val="center"/>
          </w:tcPr>
          <w:p w:rsidR="009E3D49" w:rsidRPr="00401691" w:rsidRDefault="009E3D49" w:rsidP="008B6685">
            <w:pPr>
              <w:spacing w:after="0" w:line="240" w:lineRule="auto"/>
              <w:ind w:left="-50" w:right="-12"/>
              <w:jc w:val="both"/>
              <w:rPr>
                <w:rFonts w:asciiTheme="majorHAnsi" w:eastAsia="Times New Roman" w:hAnsiTheme="majorHAnsi" w:cstheme="majorHAnsi"/>
                <w:color w:val="000000"/>
                <w:sz w:val="16"/>
                <w:szCs w:val="16"/>
                <w:lang w:val="ro-MD"/>
              </w:rPr>
            </w:pPr>
            <w:r w:rsidRPr="00401691">
              <w:rPr>
                <w:rFonts w:asciiTheme="majorHAnsi" w:eastAsia="Times New Roman" w:hAnsiTheme="majorHAnsi" w:cstheme="majorHAnsi"/>
                <w:color w:val="000000"/>
                <w:sz w:val="16"/>
                <w:szCs w:val="16"/>
                <w:lang w:val="ro-MD"/>
              </w:rPr>
              <w:t>DI00775143 din 27.11.2018</w:t>
            </w:r>
          </w:p>
        </w:tc>
        <w:tc>
          <w:tcPr>
            <w:tcW w:w="2610" w:type="dxa"/>
            <w:tcBorders>
              <w:top w:val="single" w:sz="4" w:space="0" w:color="auto"/>
              <w:left w:val="single" w:sz="4" w:space="0" w:color="auto"/>
              <w:bottom w:val="single" w:sz="4" w:space="0" w:color="auto"/>
              <w:right w:val="single" w:sz="4" w:space="0" w:color="auto"/>
            </w:tcBorders>
            <w:vAlign w:val="center"/>
          </w:tcPr>
          <w:p w:rsidR="009E3D49" w:rsidRPr="00DF52B7" w:rsidRDefault="009E3D49" w:rsidP="008B6685">
            <w:pPr>
              <w:spacing w:after="0" w:line="240" w:lineRule="auto"/>
              <w:jc w:val="center"/>
              <w:rPr>
                <w:rFonts w:asciiTheme="majorHAnsi" w:eastAsia="Times New Roman" w:hAnsiTheme="majorHAnsi" w:cstheme="majorHAnsi"/>
                <w:color w:val="000000"/>
                <w:sz w:val="14"/>
                <w:szCs w:val="14"/>
                <w:lang w:val="ro-MD"/>
              </w:rPr>
            </w:pPr>
            <w:r w:rsidRPr="00DF52B7">
              <w:rPr>
                <w:rFonts w:asciiTheme="majorHAnsi" w:eastAsia="Times New Roman" w:hAnsiTheme="majorHAnsi" w:cstheme="majorHAnsi"/>
                <w:color w:val="000000"/>
                <w:sz w:val="14"/>
                <w:szCs w:val="14"/>
                <w:lang w:val="ro-MD"/>
              </w:rPr>
              <w:t xml:space="preserve">Încheierea </w:t>
            </w:r>
            <w:r w:rsidR="000C5DF4">
              <w:rPr>
                <w:rFonts w:asciiTheme="majorHAnsi" w:eastAsia="Times New Roman" w:hAnsiTheme="majorHAnsi" w:cstheme="majorHAnsi"/>
                <w:color w:val="000000"/>
                <w:sz w:val="14"/>
                <w:szCs w:val="14"/>
                <w:lang w:val="ro-MD"/>
              </w:rPr>
              <w:t xml:space="preserve">privind </w:t>
            </w:r>
            <w:r>
              <w:rPr>
                <w:rFonts w:asciiTheme="majorHAnsi" w:eastAsia="Times New Roman" w:hAnsiTheme="majorHAnsi" w:cstheme="majorHAnsi"/>
                <w:color w:val="000000"/>
                <w:sz w:val="14"/>
                <w:szCs w:val="14"/>
                <w:lang w:val="ro-MD"/>
              </w:rPr>
              <w:t xml:space="preserve">restituirea documentului </w:t>
            </w:r>
            <w:r w:rsidRPr="00DF52B7">
              <w:rPr>
                <w:rFonts w:asciiTheme="majorHAnsi" w:eastAsia="Times New Roman" w:hAnsiTheme="majorHAnsi" w:cstheme="majorHAnsi"/>
                <w:color w:val="000000"/>
                <w:sz w:val="14"/>
                <w:szCs w:val="14"/>
                <w:lang w:val="ro-MD"/>
              </w:rPr>
              <w:t>executor</w:t>
            </w:r>
            <w:r>
              <w:rPr>
                <w:rFonts w:asciiTheme="majorHAnsi" w:eastAsia="Times New Roman" w:hAnsiTheme="majorHAnsi" w:cstheme="majorHAnsi"/>
                <w:color w:val="000000"/>
                <w:sz w:val="14"/>
                <w:szCs w:val="14"/>
                <w:lang w:val="ro-MD"/>
              </w:rPr>
              <w:t>iu nr. 018s-1102/16 din 14.11.2016</w:t>
            </w:r>
          </w:p>
        </w:tc>
      </w:tr>
      <w:tr w:rsidR="009E3D49" w:rsidRPr="00401691" w:rsidTr="008B6685">
        <w:trPr>
          <w:trHeight w:val="288"/>
        </w:trPr>
        <w:tc>
          <w:tcPr>
            <w:tcW w:w="630" w:type="dxa"/>
            <w:tcBorders>
              <w:top w:val="nil"/>
              <w:left w:val="single" w:sz="4" w:space="0" w:color="auto"/>
              <w:bottom w:val="single" w:sz="4" w:space="0" w:color="auto"/>
              <w:right w:val="single" w:sz="4" w:space="0" w:color="auto"/>
            </w:tcBorders>
            <w:shd w:val="clear" w:color="auto" w:fill="auto"/>
            <w:noWrap/>
          </w:tcPr>
          <w:p w:rsidR="009E3D49" w:rsidRPr="00401691" w:rsidRDefault="009E3D49" w:rsidP="008B6685">
            <w:pPr>
              <w:spacing w:after="0" w:line="240" w:lineRule="auto"/>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14</w:t>
            </w:r>
          </w:p>
        </w:tc>
        <w:tc>
          <w:tcPr>
            <w:tcW w:w="1530" w:type="dxa"/>
            <w:tcBorders>
              <w:top w:val="nil"/>
              <w:left w:val="nil"/>
              <w:bottom w:val="single" w:sz="4" w:space="0" w:color="auto"/>
              <w:right w:val="single" w:sz="4" w:space="0" w:color="auto"/>
            </w:tcBorders>
            <w:shd w:val="clear" w:color="auto" w:fill="auto"/>
            <w:noWrap/>
            <w:vAlign w:val="center"/>
          </w:tcPr>
          <w:p w:rsidR="009E3D49" w:rsidRPr="00401691" w:rsidRDefault="009E3D49" w:rsidP="008B6685">
            <w:pPr>
              <w:spacing w:after="0" w:line="240" w:lineRule="auto"/>
              <w:ind w:left="-110" w:right="-7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1006600009631</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9E3D49" w:rsidRPr="00401691" w:rsidRDefault="009E3D49" w:rsidP="008B6685">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98,817.98</w:t>
            </w:r>
          </w:p>
        </w:tc>
        <w:tc>
          <w:tcPr>
            <w:tcW w:w="1080" w:type="dxa"/>
            <w:tcBorders>
              <w:top w:val="nil"/>
              <w:left w:val="single" w:sz="4" w:space="0" w:color="auto"/>
              <w:bottom w:val="single" w:sz="4" w:space="0" w:color="auto"/>
              <w:right w:val="single" w:sz="4" w:space="0" w:color="auto"/>
            </w:tcBorders>
            <w:vAlign w:val="center"/>
          </w:tcPr>
          <w:p w:rsidR="009E3D49" w:rsidRPr="00401691" w:rsidRDefault="009E3D49" w:rsidP="008B6685">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07.03.2017</w:t>
            </w:r>
          </w:p>
        </w:tc>
        <w:tc>
          <w:tcPr>
            <w:tcW w:w="4237" w:type="dxa"/>
            <w:tcBorders>
              <w:top w:val="nil"/>
              <w:left w:val="single" w:sz="4" w:space="0" w:color="auto"/>
              <w:bottom w:val="single" w:sz="4" w:space="0" w:color="auto"/>
              <w:right w:val="single" w:sz="4" w:space="0" w:color="auto"/>
            </w:tcBorders>
            <w:vAlign w:val="center"/>
          </w:tcPr>
          <w:p w:rsidR="009E3D49" w:rsidRPr="00401691" w:rsidRDefault="009E3D49" w:rsidP="008B6685">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 xml:space="preserve">Scrisoarea SFS către PCCOCS nr. 67-3-09-503 din </w:t>
            </w:r>
            <w:r w:rsidR="005E744F">
              <w:rPr>
                <w:rFonts w:asciiTheme="majorHAnsi" w:eastAsia="Times New Roman" w:hAnsiTheme="majorHAnsi" w:cstheme="majorHAnsi"/>
                <w:color w:val="000000"/>
                <w:sz w:val="18"/>
                <w:szCs w:val="18"/>
                <w:lang w:val="ro-MD"/>
              </w:rPr>
              <w:t xml:space="preserve"> </w:t>
            </w:r>
            <w:r w:rsidRPr="00401691">
              <w:rPr>
                <w:rFonts w:asciiTheme="majorHAnsi" w:eastAsia="Times New Roman" w:hAnsiTheme="majorHAnsi" w:cstheme="majorHAnsi"/>
                <w:color w:val="000000"/>
                <w:sz w:val="18"/>
                <w:szCs w:val="18"/>
                <w:lang w:val="ro-MD"/>
              </w:rPr>
              <w:t>07.03.2017</w:t>
            </w:r>
            <w:r w:rsidR="005E744F">
              <w:rPr>
                <w:rFonts w:asciiTheme="majorHAnsi" w:eastAsia="Times New Roman" w:hAnsiTheme="majorHAnsi" w:cstheme="majorHAnsi"/>
                <w:color w:val="000000"/>
                <w:sz w:val="18"/>
                <w:szCs w:val="18"/>
                <w:lang w:val="ro-MD"/>
              </w:rPr>
              <w:t>,</w:t>
            </w:r>
            <w:r w:rsidRPr="00401691">
              <w:rPr>
                <w:rFonts w:asciiTheme="majorHAnsi" w:eastAsia="Times New Roman" w:hAnsiTheme="majorHAnsi" w:cstheme="majorHAnsi"/>
                <w:color w:val="000000"/>
                <w:sz w:val="18"/>
                <w:szCs w:val="18"/>
                <w:lang w:val="ro-MD"/>
              </w:rPr>
              <w:t xml:space="preserve"> s-au remis 3 Acte de control fiscal din 17.02-21.</w:t>
            </w:r>
            <w:r>
              <w:rPr>
                <w:rFonts w:asciiTheme="majorHAnsi" w:eastAsia="Times New Roman" w:hAnsiTheme="majorHAnsi" w:cstheme="majorHAnsi"/>
                <w:color w:val="000000"/>
                <w:sz w:val="18"/>
                <w:szCs w:val="18"/>
                <w:lang w:val="ro-MD"/>
              </w:rPr>
              <w:t>02.2017 pentru 3 contribuabili</w:t>
            </w:r>
          </w:p>
        </w:tc>
        <w:tc>
          <w:tcPr>
            <w:tcW w:w="1890" w:type="dxa"/>
            <w:tcBorders>
              <w:top w:val="nil"/>
              <w:left w:val="single" w:sz="4" w:space="0" w:color="auto"/>
              <w:bottom w:val="single" w:sz="4" w:space="0" w:color="auto"/>
              <w:right w:val="single" w:sz="4" w:space="0" w:color="auto"/>
            </w:tcBorders>
            <w:vAlign w:val="center"/>
          </w:tcPr>
          <w:p w:rsidR="009E3D49" w:rsidRPr="00401691" w:rsidRDefault="009E3D49" w:rsidP="008B6685">
            <w:pPr>
              <w:spacing w:after="0" w:line="240" w:lineRule="auto"/>
              <w:jc w:val="center"/>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w:t>
            </w:r>
          </w:p>
        </w:tc>
        <w:tc>
          <w:tcPr>
            <w:tcW w:w="2070" w:type="dxa"/>
            <w:tcBorders>
              <w:top w:val="nil"/>
              <w:left w:val="single" w:sz="4" w:space="0" w:color="auto"/>
              <w:bottom w:val="single" w:sz="4" w:space="0" w:color="auto"/>
              <w:right w:val="single" w:sz="4" w:space="0" w:color="auto"/>
            </w:tcBorders>
            <w:vAlign w:val="center"/>
          </w:tcPr>
          <w:p w:rsidR="009E3D49" w:rsidRPr="00401691" w:rsidRDefault="009E3D49" w:rsidP="008B6685">
            <w:pPr>
              <w:spacing w:after="0" w:line="240" w:lineRule="auto"/>
              <w:ind w:right="-12"/>
              <w:jc w:val="both"/>
              <w:rPr>
                <w:rFonts w:asciiTheme="majorHAnsi" w:eastAsia="Times New Roman" w:hAnsiTheme="majorHAnsi" w:cstheme="majorHAnsi"/>
                <w:color w:val="000000"/>
                <w:sz w:val="16"/>
                <w:szCs w:val="16"/>
                <w:lang w:val="ro-MD"/>
              </w:rPr>
            </w:pPr>
            <w:r w:rsidRPr="00401691">
              <w:rPr>
                <w:rFonts w:asciiTheme="majorHAnsi" w:eastAsia="Times New Roman" w:hAnsiTheme="majorHAnsi" w:cstheme="majorHAnsi"/>
                <w:color w:val="000000"/>
                <w:sz w:val="16"/>
                <w:szCs w:val="16"/>
                <w:lang w:val="ro-MD"/>
              </w:rPr>
              <w:t>DI00784104 din 07.12.2018</w:t>
            </w:r>
          </w:p>
        </w:tc>
        <w:tc>
          <w:tcPr>
            <w:tcW w:w="2610" w:type="dxa"/>
            <w:tcBorders>
              <w:top w:val="nil"/>
              <w:left w:val="single" w:sz="4" w:space="0" w:color="auto"/>
              <w:bottom w:val="single" w:sz="4" w:space="0" w:color="auto"/>
              <w:right w:val="single" w:sz="4" w:space="0" w:color="auto"/>
            </w:tcBorders>
            <w:vAlign w:val="center"/>
          </w:tcPr>
          <w:p w:rsidR="009E3D49" w:rsidRPr="00DF52B7" w:rsidRDefault="009E3D49" w:rsidP="008B6685">
            <w:pPr>
              <w:spacing w:after="0" w:line="240" w:lineRule="auto"/>
              <w:jc w:val="center"/>
              <w:rPr>
                <w:rFonts w:asciiTheme="majorHAnsi" w:eastAsia="Times New Roman" w:hAnsiTheme="majorHAnsi" w:cstheme="majorHAnsi"/>
                <w:color w:val="000000"/>
                <w:sz w:val="14"/>
                <w:szCs w:val="14"/>
                <w:lang w:val="ro-MD"/>
              </w:rPr>
            </w:pPr>
            <w:r w:rsidRPr="00DF52B7">
              <w:rPr>
                <w:rFonts w:asciiTheme="majorHAnsi" w:eastAsia="Times New Roman" w:hAnsiTheme="majorHAnsi" w:cstheme="majorHAnsi"/>
                <w:color w:val="000000"/>
                <w:sz w:val="14"/>
                <w:szCs w:val="14"/>
                <w:lang w:val="ro-MD"/>
              </w:rPr>
              <w:t xml:space="preserve">Încheierea </w:t>
            </w:r>
            <w:r w:rsidR="000C5DF4">
              <w:rPr>
                <w:rFonts w:asciiTheme="majorHAnsi" w:eastAsia="Times New Roman" w:hAnsiTheme="majorHAnsi" w:cstheme="majorHAnsi"/>
                <w:color w:val="000000"/>
                <w:sz w:val="14"/>
                <w:szCs w:val="14"/>
                <w:lang w:val="ro-MD"/>
              </w:rPr>
              <w:t xml:space="preserve">privind </w:t>
            </w:r>
            <w:r>
              <w:rPr>
                <w:rFonts w:asciiTheme="majorHAnsi" w:eastAsia="Times New Roman" w:hAnsiTheme="majorHAnsi" w:cstheme="majorHAnsi"/>
                <w:color w:val="000000"/>
                <w:sz w:val="14"/>
                <w:szCs w:val="14"/>
                <w:lang w:val="ro-MD"/>
              </w:rPr>
              <w:t xml:space="preserve">restituirea documentului </w:t>
            </w:r>
            <w:r w:rsidRPr="00DF52B7">
              <w:rPr>
                <w:rFonts w:asciiTheme="majorHAnsi" w:eastAsia="Times New Roman" w:hAnsiTheme="majorHAnsi" w:cstheme="majorHAnsi"/>
                <w:color w:val="000000"/>
                <w:sz w:val="14"/>
                <w:szCs w:val="14"/>
                <w:lang w:val="ro-MD"/>
              </w:rPr>
              <w:t>executor</w:t>
            </w:r>
            <w:r>
              <w:rPr>
                <w:rFonts w:asciiTheme="majorHAnsi" w:eastAsia="Times New Roman" w:hAnsiTheme="majorHAnsi" w:cstheme="majorHAnsi"/>
                <w:color w:val="000000"/>
                <w:sz w:val="14"/>
                <w:szCs w:val="14"/>
                <w:lang w:val="ro-MD"/>
              </w:rPr>
              <w:t>iu nr. S041-269/2018 din 03.12.2018</w:t>
            </w:r>
          </w:p>
        </w:tc>
      </w:tr>
      <w:tr w:rsidR="009E3D49" w:rsidRPr="00401691" w:rsidTr="008B6685">
        <w:trPr>
          <w:trHeight w:val="288"/>
        </w:trPr>
        <w:tc>
          <w:tcPr>
            <w:tcW w:w="630" w:type="dxa"/>
            <w:tcBorders>
              <w:top w:val="nil"/>
              <w:left w:val="single" w:sz="4" w:space="0" w:color="auto"/>
              <w:bottom w:val="single" w:sz="4" w:space="0" w:color="auto"/>
              <w:right w:val="single" w:sz="4" w:space="0" w:color="auto"/>
            </w:tcBorders>
            <w:shd w:val="clear" w:color="auto" w:fill="auto"/>
            <w:noWrap/>
          </w:tcPr>
          <w:p w:rsidR="009E3D49" w:rsidRPr="00401691" w:rsidRDefault="009E3D49" w:rsidP="008B6685">
            <w:pPr>
              <w:spacing w:after="0" w:line="240" w:lineRule="auto"/>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15</w:t>
            </w:r>
          </w:p>
        </w:tc>
        <w:tc>
          <w:tcPr>
            <w:tcW w:w="1530" w:type="dxa"/>
            <w:tcBorders>
              <w:top w:val="nil"/>
              <w:left w:val="nil"/>
              <w:bottom w:val="single" w:sz="4" w:space="0" w:color="auto"/>
              <w:right w:val="single" w:sz="4" w:space="0" w:color="auto"/>
            </w:tcBorders>
            <w:shd w:val="clear" w:color="auto" w:fill="auto"/>
            <w:noWrap/>
            <w:vAlign w:val="center"/>
          </w:tcPr>
          <w:p w:rsidR="009E3D49" w:rsidRPr="00401691" w:rsidRDefault="009E3D49" w:rsidP="008B6685">
            <w:pPr>
              <w:spacing w:after="0" w:line="240" w:lineRule="auto"/>
              <w:ind w:left="-110" w:right="-7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1015600005604</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9E3D49" w:rsidRPr="00401691" w:rsidRDefault="009E3D49" w:rsidP="008B6685">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89,016.68</w:t>
            </w:r>
          </w:p>
        </w:tc>
        <w:tc>
          <w:tcPr>
            <w:tcW w:w="1080" w:type="dxa"/>
            <w:tcBorders>
              <w:top w:val="nil"/>
              <w:left w:val="single" w:sz="4" w:space="0" w:color="auto"/>
              <w:bottom w:val="single" w:sz="4" w:space="0" w:color="auto"/>
              <w:right w:val="single" w:sz="4" w:space="0" w:color="auto"/>
            </w:tcBorders>
            <w:vAlign w:val="center"/>
          </w:tcPr>
          <w:p w:rsidR="009E3D49" w:rsidRPr="00401691" w:rsidRDefault="009E3D49" w:rsidP="008B6685">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25.05.2017</w:t>
            </w:r>
          </w:p>
        </w:tc>
        <w:tc>
          <w:tcPr>
            <w:tcW w:w="4237" w:type="dxa"/>
            <w:tcBorders>
              <w:top w:val="nil"/>
              <w:left w:val="single" w:sz="4" w:space="0" w:color="auto"/>
              <w:bottom w:val="single" w:sz="4" w:space="0" w:color="auto"/>
              <w:right w:val="single" w:sz="4" w:space="0" w:color="auto"/>
            </w:tcBorders>
            <w:vAlign w:val="center"/>
          </w:tcPr>
          <w:p w:rsidR="009E3D49" w:rsidRPr="00401691" w:rsidRDefault="009E3D49" w:rsidP="008B6685">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 xml:space="preserve">Denunțul SFS către PCCOCS: </w:t>
            </w:r>
          </w:p>
          <w:p w:rsidR="009E3D49" w:rsidRPr="00401691" w:rsidRDefault="009E3D49" w:rsidP="008B6685">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 xml:space="preserve">Scr. SFS nr. 26-12/1-09/2-09/3005 din 12.07.2017  </w:t>
            </w:r>
          </w:p>
        </w:tc>
        <w:tc>
          <w:tcPr>
            <w:tcW w:w="1890" w:type="dxa"/>
            <w:tcBorders>
              <w:top w:val="nil"/>
              <w:left w:val="single" w:sz="4" w:space="0" w:color="auto"/>
              <w:bottom w:val="single" w:sz="4" w:space="0" w:color="auto"/>
              <w:right w:val="single" w:sz="4" w:space="0" w:color="auto"/>
            </w:tcBorders>
            <w:vAlign w:val="center"/>
          </w:tcPr>
          <w:p w:rsidR="009E3D49" w:rsidRPr="00401691" w:rsidRDefault="009E3D49" w:rsidP="008B6685">
            <w:pPr>
              <w:spacing w:after="0" w:line="240" w:lineRule="auto"/>
              <w:jc w:val="center"/>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w:t>
            </w:r>
          </w:p>
        </w:tc>
        <w:tc>
          <w:tcPr>
            <w:tcW w:w="2070" w:type="dxa"/>
            <w:tcBorders>
              <w:top w:val="nil"/>
              <w:left w:val="single" w:sz="4" w:space="0" w:color="auto"/>
              <w:bottom w:val="single" w:sz="4" w:space="0" w:color="auto"/>
              <w:right w:val="single" w:sz="4" w:space="0" w:color="auto"/>
            </w:tcBorders>
            <w:vAlign w:val="center"/>
          </w:tcPr>
          <w:p w:rsidR="009E3D49" w:rsidRPr="00401691" w:rsidRDefault="009E3D49" w:rsidP="008B6685">
            <w:pPr>
              <w:spacing w:after="0" w:line="240" w:lineRule="auto"/>
              <w:ind w:left="-50" w:right="-12"/>
              <w:jc w:val="both"/>
              <w:rPr>
                <w:rFonts w:asciiTheme="majorHAnsi" w:eastAsia="Times New Roman" w:hAnsiTheme="majorHAnsi" w:cstheme="majorHAnsi"/>
                <w:color w:val="000000"/>
                <w:sz w:val="16"/>
                <w:szCs w:val="16"/>
                <w:lang w:val="ro-MD"/>
              </w:rPr>
            </w:pPr>
            <w:r w:rsidRPr="00401691">
              <w:rPr>
                <w:rFonts w:asciiTheme="majorHAnsi" w:eastAsia="Times New Roman" w:hAnsiTheme="majorHAnsi" w:cstheme="majorHAnsi"/>
                <w:color w:val="000000"/>
                <w:sz w:val="16"/>
                <w:szCs w:val="16"/>
                <w:lang w:val="ro-MD"/>
              </w:rPr>
              <w:t>DI007092C3 din 14.09.2018</w:t>
            </w:r>
          </w:p>
        </w:tc>
        <w:tc>
          <w:tcPr>
            <w:tcW w:w="2610" w:type="dxa"/>
            <w:tcBorders>
              <w:top w:val="nil"/>
              <w:left w:val="single" w:sz="4" w:space="0" w:color="auto"/>
              <w:bottom w:val="single" w:sz="4" w:space="0" w:color="auto"/>
              <w:right w:val="single" w:sz="4" w:space="0" w:color="auto"/>
            </w:tcBorders>
            <w:vAlign w:val="center"/>
          </w:tcPr>
          <w:p w:rsidR="009E3D49" w:rsidRPr="00DF52B7" w:rsidRDefault="009E3D49" w:rsidP="008B6685">
            <w:pPr>
              <w:spacing w:after="0" w:line="240" w:lineRule="auto"/>
              <w:jc w:val="center"/>
              <w:rPr>
                <w:rFonts w:asciiTheme="majorHAnsi" w:eastAsia="Times New Roman" w:hAnsiTheme="majorHAnsi" w:cstheme="majorHAnsi"/>
                <w:color w:val="000000"/>
                <w:sz w:val="14"/>
                <w:szCs w:val="14"/>
                <w:lang w:val="ro-MD"/>
              </w:rPr>
            </w:pPr>
            <w:r w:rsidRPr="00DF52B7">
              <w:rPr>
                <w:rFonts w:asciiTheme="majorHAnsi" w:eastAsia="Times New Roman" w:hAnsiTheme="majorHAnsi" w:cstheme="majorHAnsi"/>
                <w:color w:val="000000"/>
                <w:sz w:val="14"/>
                <w:szCs w:val="14"/>
                <w:lang w:val="ro-MD"/>
              </w:rPr>
              <w:t xml:space="preserve">Încheierea </w:t>
            </w:r>
            <w:r w:rsidR="000C5DF4">
              <w:rPr>
                <w:rFonts w:asciiTheme="majorHAnsi" w:eastAsia="Times New Roman" w:hAnsiTheme="majorHAnsi" w:cstheme="majorHAnsi"/>
                <w:color w:val="000000"/>
                <w:sz w:val="14"/>
                <w:szCs w:val="14"/>
                <w:lang w:val="ro-MD"/>
              </w:rPr>
              <w:t xml:space="preserve">privind </w:t>
            </w:r>
            <w:r>
              <w:rPr>
                <w:rFonts w:asciiTheme="majorHAnsi" w:eastAsia="Times New Roman" w:hAnsiTheme="majorHAnsi" w:cstheme="majorHAnsi"/>
                <w:color w:val="000000"/>
                <w:sz w:val="14"/>
                <w:szCs w:val="14"/>
                <w:lang w:val="ro-MD"/>
              </w:rPr>
              <w:t xml:space="preserve">restituirea documentului </w:t>
            </w:r>
            <w:r w:rsidRPr="00DF52B7">
              <w:rPr>
                <w:rFonts w:asciiTheme="majorHAnsi" w:eastAsia="Times New Roman" w:hAnsiTheme="majorHAnsi" w:cstheme="majorHAnsi"/>
                <w:color w:val="000000"/>
                <w:sz w:val="14"/>
                <w:szCs w:val="14"/>
                <w:lang w:val="ro-MD"/>
              </w:rPr>
              <w:t>executor</w:t>
            </w:r>
            <w:r>
              <w:rPr>
                <w:rFonts w:asciiTheme="majorHAnsi" w:eastAsia="Times New Roman" w:hAnsiTheme="majorHAnsi" w:cstheme="majorHAnsi"/>
                <w:color w:val="000000"/>
                <w:sz w:val="14"/>
                <w:szCs w:val="14"/>
                <w:lang w:val="ro-MD"/>
              </w:rPr>
              <w:t>iu nr. 021s-313r/2018 din 14.08.2018</w:t>
            </w:r>
          </w:p>
        </w:tc>
      </w:tr>
      <w:tr w:rsidR="009E3D49" w:rsidRPr="00401691" w:rsidTr="008B6685">
        <w:trPr>
          <w:trHeight w:val="288"/>
        </w:trPr>
        <w:tc>
          <w:tcPr>
            <w:tcW w:w="630" w:type="dxa"/>
            <w:tcBorders>
              <w:top w:val="nil"/>
              <w:left w:val="single" w:sz="4" w:space="0" w:color="auto"/>
              <w:bottom w:val="single" w:sz="4" w:space="0" w:color="auto"/>
              <w:right w:val="single" w:sz="4" w:space="0" w:color="auto"/>
            </w:tcBorders>
            <w:shd w:val="clear" w:color="auto" w:fill="auto"/>
            <w:noWrap/>
          </w:tcPr>
          <w:p w:rsidR="009E3D49" w:rsidRPr="00401691" w:rsidRDefault="009E3D49" w:rsidP="008B6685">
            <w:pPr>
              <w:spacing w:after="0" w:line="240" w:lineRule="auto"/>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16</w:t>
            </w:r>
          </w:p>
        </w:tc>
        <w:tc>
          <w:tcPr>
            <w:tcW w:w="1530" w:type="dxa"/>
            <w:tcBorders>
              <w:top w:val="nil"/>
              <w:left w:val="nil"/>
              <w:bottom w:val="single" w:sz="4" w:space="0" w:color="auto"/>
              <w:right w:val="single" w:sz="4" w:space="0" w:color="auto"/>
            </w:tcBorders>
            <w:shd w:val="clear" w:color="auto" w:fill="auto"/>
            <w:noWrap/>
            <w:vAlign w:val="center"/>
          </w:tcPr>
          <w:p w:rsidR="009E3D49" w:rsidRPr="00401691" w:rsidRDefault="009E3D49" w:rsidP="008B6685">
            <w:pPr>
              <w:spacing w:after="0" w:line="240" w:lineRule="auto"/>
              <w:ind w:left="-110" w:right="-70"/>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1014600008701</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9E3D49" w:rsidRPr="00401691" w:rsidRDefault="009E3D49" w:rsidP="008B6685">
            <w:pPr>
              <w:spacing w:after="0" w:line="240" w:lineRule="auto"/>
              <w:jc w:val="right"/>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88,871.30</w:t>
            </w:r>
          </w:p>
        </w:tc>
        <w:tc>
          <w:tcPr>
            <w:tcW w:w="1080" w:type="dxa"/>
            <w:tcBorders>
              <w:top w:val="nil"/>
              <w:left w:val="single" w:sz="4" w:space="0" w:color="auto"/>
              <w:bottom w:val="single" w:sz="4" w:space="0" w:color="auto"/>
              <w:right w:val="single" w:sz="4" w:space="0" w:color="auto"/>
            </w:tcBorders>
            <w:vAlign w:val="center"/>
          </w:tcPr>
          <w:p w:rsidR="009E3D49" w:rsidRPr="00401691" w:rsidRDefault="009E3D49" w:rsidP="008B6685">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19.07.2016</w:t>
            </w:r>
          </w:p>
        </w:tc>
        <w:tc>
          <w:tcPr>
            <w:tcW w:w="4237" w:type="dxa"/>
            <w:tcBorders>
              <w:top w:val="nil"/>
              <w:left w:val="single" w:sz="4" w:space="0" w:color="auto"/>
              <w:bottom w:val="single" w:sz="4" w:space="0" w:color="auto"/>
              <w:right w:val="single" w:sz="4" w:space="0" w:color="auto"/>
            </w:tcBorders>
            <w:vAlign w:val="center"/>
          </w:tcPr>
          <w:p w:rsidR="009E3D49" w:rsidRPr="00401691" w:rsidRDefault="009E3D49" w:rsidP="008B6685">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Scrisoarea SFS nr. 26-12/1-3261 din 19.03.2019 către PCCOCS:</w:t>
            </w:r>
          </w:p>
          <w:p w:rsidR="009E3D49" w:rsidRPr="00401691" w:rsidRDefault="009E3D49" w:rsidP="008B6685">
            <w:pPr>
              <w:spacing w:after="0" w:line="240" w:lineRule="auto"/>
              <w:jc w:val="both"/>
              <w:rPr>
                <w:rFonts w:asciiTheme="majorHAnsi" w:eastAsia="Times New Roman" w:hAnsiTheme="majorHAnsi" w:cstheme="majorHAnsi"/>
                <w:color w:val="000000"/>
                <w:sz w:val="18"/>
                <w:szCs w:val="18"/>
                <w:lang w:val="ro-MD"/>
              </w:rPr>
            </w:pPr>
            <w:r w:rsidRPr="00401691">
              <w:rPr>
                <w:rFonts w:asciiTheme="majorHAnsi" w:eastAsia="Times New Roman" w:hAnsiTheme="majorHAnsi" w:cstheme="majorHAnsi"/>
                <w:color w:val="000000"/>
                <w:sz w:val="18"/>
                <w:szCs w:val="18"/>
                <w:lang w:val="ro-MD"/>
              </w:rPr>
              <w:t>Cerere</w:t>
            </w:r>
            <w:r w:rsidR="005E744F">
              <w:rPr>
                <w:rFonts w:asciiTheme="majorHAnsi" w:eastAsia="Times New Roman" w:hAnsiTheme="majorHAnsi" w:cstheme="majorHAnsi"/>
                <w:color w:val="000000"/>
                <w:sz w:val="18"/>
                <w:szCs w:val="18"/>
                <w:lang w:val="ro-MD"/>
              </w:rPr>
              <w:t>a</w:t>
            </w:r>
            <w:r w:rsidRPr="00401691">
              <w:rPr>
                <w:rFonts w:asciiTheme="majorHAnsi" w:eastAsia="Times New Roman" w:hAnsiTheme="majorHAnsi" w:cstheme="majorHAnsi"/>
                <w:color w:val="000000"/>
                <w:sz w:val="18"/>
                <w:szCs w:val="18"/>
                <w:lang w:val="ro-MD"/>
              </w:rPr>
              <w:t xml:space="preserve"> privind intentarea acțiunii civile, recunoașter</w:t>
            </w:r>
            <w:r w:rsidR="00366AE8">
              <w:rPr>
                <w:rFonts w:asciiTheme="majorHAnsi" w:eastAsia="Times New Roman" w:hAnsiTheme="majorHAnsi" w:cstheme="majorHAnsi"/>
                <w:color w:val="000000"/>
                <w:sz w:val="18"/>
                <w:szCs w:val="18"/>
                <w:lang w:val="ro-MD"/>
              </w:rPr>
              <w:t>ea ca parte civilă și încasarea</w:t>
            </w:r>
            <w:r w:rsidRPr="00401691">
              <w:rPr>
                <w:rFonts w:asciiTheme="majorHAnsi" w:eastAsia="Times New Roman" w:hAnsiTheme="majorHAnsi" w:cstheme="majorHAnsi"/>
                <w:color w:val="000000"/>
                <w:sz w:val="18"/>
                <w:szCs w:val="18"/>
                <w:lang w:val="ro-MD"/>
              </w:rPr>
              <w:t xml:space="preserve"> prejudiciului la BPN (în cadrul procesului penal)  </w:t>
            </w:r>
          </w:p>
        </w:tc>
        <w:tc>
          <w:tcPr>
            <w:tcW w:w="1890" w:type="dxa"/>
            <w:tcBorders>
              <w:top w:val="nil"/>
              <w:left w:val="single" w:sz="4" w:space="0" w:color="auto"/>
              <w:bottom w:val="single" w:sz="4" w:space="0" w:color="auto"/>
              <w:right w:val="single" w:sz="4" w:space="0" w:color="auto"/>
            </w:tcBorders>
            <w:vAlign w:val="center"/>
          </w:tcPr>
          <w:p w:rsidR="009E3D49" w:rsidRPr="00401691" w:rsidRDefault="00B47EA2" w:rsidP="008B6685">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w:t>
            </w:r>
          </w:p>
        </w:tc>
        <w:tc>
          <w:tcPr>
            <w:tcW w:w="2070" w:type="dxa"/>
            <w:tcBorders>
              <w:top w:val="nil"/>
              <w:left w:val="single" w:sz="4" w:space="0" w:color="auto"/>
              <w:bottom w:val="single" w:sz="4" w:space="0" w:color="auto"/>
              <w:right w:val="single" w:sz="4" w:space="0" w:color="auto"/>
            </w:tcBorders>
            <w:vAlign w:val="center"/>
          </w:tcPr>
          <w:p w:rsidR="009E3D49" w:rsidRPr="00401691" w:rsidRDefault="009E3D49" w:rsidP="008B6685">
            <w:pPr>
              <w:spacing w:after="0" w:line="240" w:lineRule="auto"/>
              <w:ind w:left="-50" w:right="-12"/>
              <w:jc w:val="both"/>
              <w:rPr>
                <w:rFonts w:asciiTheme="majorHAnsi" w:eastAsia="Times New Roman" w:hAnsiTheme="majorHAnsi" w:cstheme="majorHAnsi"/>
                <w:color w:val="000000"/>
                <w:sz w:val="16"/>
                <w:szCs w:val="16"/>
                <w:lang w:val="ro-MD"/>
              </w:rPr>
            </w:pPr>
            <w:r w:rsidRPr="00401691">
              <w:rPr>
                <w:rFonts w:asciiTheme="majorHAnsi" w:eastAsia="Times New Roman" w:hAnsiTheme="majorHAnsi" w:cstheme="majorHAnsi"/>
                <w:color w:val="000000"/>
                <w:sz w:val="16"/>
                <w:szCs w:val="16"/>
                <w:lang w:val="ro-MD"/>
              </w:rPr>
              <w:t xml:space="preserve">DI0086810F din 12.03.2019 </w:t>
            </w:r>
          </w:p>
        </w:tc>
        <w:tc>
          <w:tcPr>
            <w:tcW w:w="2610" w:type="dxa"/>
            <w:tcBorders>
              <w:top w:val="nil"/>
              <w:left w:val="single" w:sz="4" w:space="0" w:color="auto"/>
              <w:bottom w:val="single" w:sz="4" w:space="0" w:color="auto"/>
              <w:right w:val="single" w:sz="4" w:space="0" w:color="auto"/>
            </w:tcBorders>
            <w:vAlign w:val="center"/>
          </w:tcPr>
          <w:p w:rsidR="009E3D49" w:rsidRPr="00DF52B7" w:rsidRDefault="009E3D49" w:rsidP="008B6685">
            <w:pPr>
              <w:spacing w:after="0" w:line="240" w:lineRule="auto"/>
              <w:jc w:val="center"/>
              <w:rPr>
                <w:rFonts w:asciiTheme="majorHAnsi" w:eastAsia="Times New Roman" w:hAnsiTheme="majorHAnsi" w:cstheme="majorHAnsi"/>
                <w:color w:val="000000"/>
                <w:sz w:val="14"/>
                <w:szCs w:val="14"/>
                <w:lang w:val="ro-MD"/>
              </w:rPr>
            </w:pPr>
            <w:r w:rsidRPr="00DF52B7">
              <w:rPr>
                <w:rFonts w:asciiTheme="majorHAnsi" w:eastAsia="Times New Roman" w:hAnsiTheme="majorHAnsi" w:cstheme="majorHAnsi"/>
                <w:color w:val="000000"/>
                <w:sz w:val="14"/>
                <w:szCs w:val="14"/>
                <w:lang w:val="ro-MD"/>
              </w:rPr>
              <w:t xml:space="preserve">Încheierea </w:t>
            </w:r>
            <w:r w:rsidR="000C5DF4">
              <w:rPr>
                <w:rFonts w:asciiTheme="majorHAnsi" w:eastAsia="Times New Roman" w:hAnsiTheme="majorHAnsi" w:cstheme="majorHAnsi"/>
                <w:color w:val="000000"/>
                <w:sz w:val="14"/>
                <w:szCs w:val="14"/>
                <w:lang w:val="ro-MD"/>
              </w:rPr>
              <w:t xml:space="preserve">privind </w:t>
            </w:r>
            <w:r>
              <w:rPr>
                <w:rFonts w:asciiTheme="majorHAnsi" w:eastAsia="Times New Roman" w:hAnsiTheme="majorHAnsi" w:cstheme="majorHAnsi"/>
                <w:color w:val="000000"/>
                <w:sz w:val="14"/>
                <w:szCs w:val="14"/>
                <w:lang w:val="ro-MD"/>
              </w:rPr>
              <w:t xml:space="preserve">restituirea documentului </w:t>
            </w:r>
            <w:r w:rsidRPr="00DF52B7">
              <w:rPr>
                <w:rFonts w:asciiTheme="majorHAnsi" w:eastAsia="Times New Roman" w:hAnsiTheme="majorHAnsi" w:cstheme="majorHAnsi"/>
                <w:color w:val="000000"/>
                <w:sz w:val="14"/>
                <w:szCs w:val="14"/>
                <w:lang w:val="ro-MD"/>
              </w:rPr>
              <w:t>executor</w:t>
            </w:r>
            <w:r>
              <w:rPr>
                <w:rFonts w:asciiTheme="majorHAnsi" w:eastAsia="Times New Roman" w:hAnsiTheme="majorHAnsi" w:cstheme="majorHAnsi"/>
                <w:color w:val="000000"/>
                <w:sz w:val="14"/>
                <w:szCs w:val="14"/>
                <w:lang w:val="ro-MD"/>
              </w:rPr>
              <w:t>iu nr. 149s-1029r/2019 din 18.02.2019</w:t>
            </w:r>
          </w:p>
        </w:tc>
      </w:tr>
    </w:tbl>
    <w:p w:rsidR="00C55DF6" w:rsidRPr="00401691" w:rsidRDefault="00C55DF6" w:rsidP="00844145">
      <w:pPr>
        <w:pStyle w:val="NormalWeb"/>
        <w:tabs>
          <w:tab w:val="left" w:pos="0"/>
          <w:tab w:val="left" w:pos="180"/>
          <w:tab w:val="left" w:pos="270"/>
        </w:tabs>
        <w:spacing w:before="0" w:beforeAutospacing="0" w:after="0" w:afterAutospacing="0" w:line="276" w:lineRule="auto"/>
        <w:rPr>
          <w:rFonts w:asciiTheme="majorHAnsi" w:hAnsiTheme="majorHAnsi" w:cstheme="majorHAnsi"/>
          <w:lang w:val="ro-MD"/>
        </w:rPr>
      </w:pPr>
      <w:r w:rsidRPr="00401691">
        <w:rPr>
          <w:rFonts w:asciiTheme="majorHAnsi" w:hAnsiTheme="majorHAnsi" w:cstheme="majorHAnsi"/>
          <w:color w:val="000000"/>
          <w:sz w:val="18"/>
          <w:szCs w:val="18"/>
          <w:lang w:val="ro-MD"/>
        </w:rPr>
        <w:t xml:space="preserve">- </w:t>
      </w:r>
      <w:r w:rsidR="000306F7">
        <w:rPr>
          <w:rFonts w:asciiTheme="majorHAnsi" w:hAnsiTheme="majorHAnsi" w:cstheme="majorHAnsi"/>
          <w:color w:val="000000"/>
          <w:sz w:val="18"/>
          <w:szCs w:val="18"/>
          <w:lang w:val="ro-MD"/>
        </w:rPr>
        <w:t xml:space="preserve"> Semn folosit de către </w:t>
      </w:r>
      <w:r w:rsidRPr="00401691">
        <w:rPr>
          <w:rFonts w:asciiTheme="majorHAnsi" w:hAnsiTheme="majorHAnsi" w:cstheme="majorHAnsi"/>
          <w:color w:val="000000"/>
          <w:sz w:val="18"/>
          <w:szCs w:val="18"/>
          <w:lang w:val="ro-MD"/>
        </w:rPr>
        <w:t>echipa de audit pentru a nota faptul neprezentării documentului de către SFS</w:t>
      </w:r>
      <w:r w:rsidR="000306F7">
        <w:rPr>
          <w:rFonts w:asciiTheme="majorHAnsi" w:hAnsiTheme="majorHAnsi" w:cstheme="majorHAnsi"/>
          <w:color w:val="000000"/>
          <w:sz w:val="18"/>
          <w:szCs w:val="18"/>
          <w:lang w:val="ro-MD"/>
        </w:rPr>
        <w:t>.</w:t>
      </w:r>
      <w:r w:rsidRPr="00401691">
        <w:rPr>
          <w:rFonts w:asciiTheme="majorHAnsi" w:hAnsiTheme="majorHAnsi" w:cstheme="majorHAnsi"/>
          <w:color w:val="000000"/>
          <w:sz w:val="18"/>
          <w:szCs w:val="18"/>
          <w:lang w:val="ro-MD"/>
        </w:rPr>
        <w:t xml:space="preserve"> </w:t>
      </w:r>
      <w:r w:rsidRPr="00401691">
        <w:rPr>
          <w:rFonts w:asciiTheme="majorHAnsi" w:hAnsiTheme="majorHAnsi" w:cstheme="majorHAnsi"/>
          <w:lang w:val="ro-MD"/>
        </w:rPr>
        <w:t xml:space="preserve"> </w:t>
      </w:r>
    </w:p>
    <w:p w:rsidR="00C55DF6" w:rsidRDefault="00C55DF6" w:rsidP="00844145">
      <w:pPr>
        <w:spacing w:line="276" w:lineRule="auto"/>
        <w:rPr>
          <w:rFonts w:asciiTheme="majorHAnsi" w:hAnsiTheme="majorHAnsi" w:cstheme="majorHAnsi"/>
          <w:sz w:val="24"/>
          <w:szCs w:val="24"/>
          <w:lang w:val="ro-MD"/>
        </w:rPr>
      </w:pPr>
    </w:p>
    <w:p w:rsidR="00E74001" w:rsidRDefault="00E74001" w:rsidP="00844145">
      <w:pPr>
        <w:spacing w:line="276" w:lineRule="auto"/>
        <w:rPr>
          <w:rFonts w:asciiTheme="majorHAnsi" w:hAnsiTheme="majorHAnsi" w:cstheme="majorHAnsi"/>
          <w:sz w:val="24"/>
          <w:szCs w:val="24"/>
          <w:lang w:val="ro-MD"/>
        </w:rPr>
      </w:pPr>
    </w:p>
    <w:p w:rsidR="00E74001" w:rsidRDefault="00E74001" w:rsidP="00844145">
      <w:pPr>
        <w:spacing w:line="276" w:lineRule="auto"/>
        <w:rPr>
          <w:rFonts w:asciiTheme="majorHAnsi" w:hAnsiTheme="majorHAnsi" w:cstheme="majorHAnsi"/>
          <w:sz w:val="24"/>
          <w:szCs w:val="24"/>
          <w:lang w:val="ro-MD"/>
        </w:rPr>
      </w:pPr>
    </w:p>
    <w:p w:rsidR="00E74001" w:rsidRDefault="00E74001" w:rsidP="00844145">
      <w:pPr>
        <w:spacing w:line="276" w:lineRule="auto"/>
        <w:rPr>
          <w:rFonts w:asciiTheme="majorHAnsi" w:hAnsiTheme="majorHAnsi" w:cstheme="majorHAnsi"/>
          <w:sz w:val="24"/>
          <w:szCs w:val="24"/>
          <w:lang w:val="ro-MD"/>
        </w:rPr>
        <w:sectPr w:rsidR="00E74001" w:rsidSect="00A353BB">
          <w:pgSz w:w="15840" w:h="12240" w:orient="landscape"/>
          <w:pgMar w:top="1350" w:right="1440" w:bottom="1440" w:left="1440" w:header="720" w:footer="720" w:gutter="0"/>
          <w:cols w:space="720"/>
          <w:docGrid w:linePitch="360"/>
        </w:sectPr>
      </w:pPr>
    </w:p>
    <w:p w:rsidR="00E74001" w:rsidRPr="00401691" w:rsidRDefault="00E74001" w:rsidP="00E74001">
      <w:pPr>
        <w:spacing w:line="276" w:lineRule="auto"/>
        <w:jc w:val="right"/>
        <w:rPr>
          <w:rFonts w:asciiTheme="majorHAnsi" w:eastAsia="Times New Roman" w:hAnsiTheme="majorHAnsi" w:cstheme="majorHAnsi"/>
          <w:bCs/>
          <w:i/>
          <w:iCs/>
          <w:sz w:val="24"/>
          <w:szCs w:val="24"/>
          <w:lang w:val="ro-MD" w:eastAsia="ru-RU"/>
        </w:rPr>
      </w:pPr>
      <w:r>
        <w:rPr>
          <w:rFonts w:asciiTheme="majorHAnsi" w:eastAsia="Times New Roman" w:hAnsiTheme="majorHAnsi" w:cstheme="majorHAnsi"/>
          <w:bCs/>
          <w:i/>
          <w:iCs/>
          <w:sz w:val="24"/>
          <w:szCs w:val="24"/>
          <w:lang w:val="ro-MD" w:eastAsia="ru-RU"/>
        </w:rPr>
        <w:t>Anexa nr. 10</w:t>
      </w:r>
    </w:p>
    <w:p w:rsidR="00E74001" w:rsidRPr="00401691" w:rsidRDefault="00E74001" w:rsidP="00E74001">
      <w:pPr>
        <w:spacing w:after="0" w:line="276" w:lineRule="auto"/>
        <w:jc w:val="center"/>
        <w:rPr>
          <w:rFonts w:asciiTheme="majorHAnsi" w:eastAsia="Times New Roman" w:hAnsiTheme="majorHAnsi" w:cstheme="majorHAnsi"/>
          <w:b/>
          <w:bCs/>
          <w:iCs/>
          <w:lang w:val="ro-MD" w:eastAsia="ru-RU"/>
        </w:rPr>
      </w:pPr>
      <w:r w:rsidRPr="00401691">
        <w:rPr>
          <w:rFonts w:asciiTheme="majorHAnsi" w:eastAsia="Times New Roman" w:hAnsiTheme="majorHAnsi" w:cstheme="majorHAnsi"/>
          <w:b/>
          <w:bCs/>
          <w:iCs/>
          <w:lang w:val="ro-MD" w:eastAsia="ru-RU"/>
        </w:rPr>
        <w:t>Implementarea cerințelor și recomandărilor expuse în Hotărârea Curții de Conturi nr.20 din 26 mai 2017 cu privire la examinarea Raportului auditului privind relevanța instrumentelor de gestiune silită a obligației fiscale/vamale pentru anii 2014-2016</w:t>
      </w:r>
    </w:p>
    <w:tbl>
      <w:tblPr>
        <w:tblStyle w:val="TableGrid"/>
        <w:tblW w:w="10357" w:type="dxa"/>
        <w:tblLayout w:type="fixed"/>
        <w:tblLook w:val="04A0" w:firstRow="1" w:lastRow="0" w:firstColumn="1" w:lastColumn="0" w:noHBand="0" w:noVBand="1"/>
      </w:tblPr>
      <w:tblGrid>
        <w:gridCol w:w="3145"/>
        <w:gridCol w:w="5490"/>
        <w:gridCol w:w="540"/>
        <w:gridCol w:w="630"/>
        <w:gridCol w:w="540"/>
        <w:gridCol w:w="12"/>
      </w:tblGrid>
      <w:tr w:rsidR="00E74001" w:rsidRPr="00401691" w:rsidTr="00C72A44">
        <w:trPr>
          <w:gridAfter w:val="1"/>
          <w:wAfter w:w="12" w:type="dxa"/>
          <w:trHeight w:val="368"/>
        </w:trPr>
        <w:tc>
          <w:tcPr>
            <w:tcW w:w="3145" w:type="dxa"/>
            <w:vMerge w:val="restart"/>
            <w:shd w:val="clear" w:color="auto" w:fill="E7E6E6" w:themeFill="background2"/>
            <w:vAlign w:val="center"/>
          </w:tcPr>
          <w:p w:rsidR="00E74001" w:rsidRPr="00401691" w:rsidRDefault="00E74001" w:rsidP="00C72A44">
            <w:pPr>
              <w:tabs>
                <w:tab w:val="left" w:pos="720"/>
              </w:tabs>
              <w:spacing w:line="276" w:lineRule="auto"/>
              <w:jc w:val="center"/>
              <w:rPr>
                <w:rFonts w:asciiTheme="majorHAnsi" w:hAnsiTheme="majorHAnsi" w:cstheme="majorHAnsi"/>
                <w:b/>
                <w:sz w:val="20"/>
                <w:szCs w:val="20"/>
                <w:lang w:val="ro-MD"/>
              </w:rPr>
            </w:pPr>
            <w:r w:rsidRPr="00401691">
              <w:rPr>
                <w:rFonts w:asciiTheme="majorHAnsi" w:hAnsiTheme="majorHAnsi" w:cstheme="majorHAnsi"/>
                <w:b/>
                <w:sz w:val="20"/>
                <w:szCs w:val="20"/>
                <w:lang w:val="ro-MD"/>
              </w:rPr>
              <w:t>Cerința/recomandarea</w:t>
            </w:r>
          </w:p>
        </w:tc>
        <w:tc>
          <w:tcPr>
            <w:tcW w:w="5490" w:type="dxa"/>
            <w:vMerge w:val="restart"/>
            <w:shd w:val="clear" w:color="auto" w:fill="E7E6E6" w:themeFill="background2"/>
            <w:vAlign w:val="center"/>
          </w:tcPr>
          <w:p w:rsidR="00E74001" w:rsidRPr="00401691" w:rsidRDefault="00E74001" w:rsidP="00C72A44">
            <w:pPr>
              <w:tabs>
                <w:tab w:val="left" w:pos="720"/>
              </w:tabs>
              <w:spacing w:line="276" w:lineRule="auto"/>
              <w:jc w:val="center"/>
              <w:rPr>
                <w:rFonts w:asciiTheme="majorHAnsi" w:hAnsiTheme="majorHAnsi" w:cstheme="majorHAnsi"/>
                <w:b/>
                <w:sz w:val="20"/>
                <w:szCs w:val="20"/>
                <w:lang w:val="ro-MD"/>
              </w:rPr>
            </w:pPr>
            <w:r w:rsidRPr="00401691">
              <w:rPr>
                <w:rFonts w:asciiTheme="majorHAnsi" w:hAnsiTheme="majorHAnsi" w:cstheme="majorHAnsi"/>
                <w:b/>
                <w:sz w:val="20"/>
                <w:szCs w:val="20"/>
                <w:lang w:val="ro-MD"/>
              </w:rPr>
              <w:t>Măsurile întreprinse</w:t>
            </w:r>
          </w:p>
        </w:tc>
        <w:tc>
          <w:tcPr>
            <w:tcW w:w="1710" w:type="dxa"/>
            <w:gridSpan w:val="3"/>
            <w:shd w:val="clear" w:color="auto" w:fill="E7E6E6" w:themeFill="background2"/>
            <w:vAlign w:val="center"/>
          </w:tcPr>
          <w:p w:rsidR="00E74001" w:rsidRPr="00401691" w:rsidRDefault="00E74001" w:rsidP="00C72A44">
            <w:pPr>
              <w:spacing w:line="276" w:lineRule="auto"/>
              <w:ind w:left="-106" w:right="-111"/>
              <w:jc w:val="center"/>
              <w:rPr>
                <w:rFonts w:asciiTheme="majorHAnsi" w:hAnsiTheme="majorHAnsi" w:cstheme="majorHAnsi"/>
                <w:b/>
                <w:sz w:val="18"/>
                <w:szCs w:val="18"/>
                <w:lang w:val="ro-MD"/>
              </w:rPr>
            </w:pPr>
            <w:r w:rsidRPr="00401691">
              <w:rPr>
                <w:rFonts w:asciiTheme="majorHAnsi" w:hAnsiTheme="majorHAnsi" w:cstheme="majorHAnsi"/>
                <w:b/>
                <w:sz w:val="18"/>
                <w:szCs w:val="18"/>
                <w:lang w:val="ro-MD"/>
              </w:rPr>
              <w:t>Statutul implementării cerinței/recomandării</w:t>
            </w:r>
          </w:p>
        </w:tc>
      </w:tr>
      <w:tr w:rsidR="00E74001" w:rsidRPr="00401691" w:rsidTr="00C72A44">
        <w:trPr>
          <w:gridAfter w:val="1"/>
          <w:wAfter w:w="12" w:type="dxa"/>
          <w:trHeight w:val="132"/>
        </w:trPr>
        <w:tc>
          <w:tcPr>
            <w:tcW w:w="3145" w:type="dxa"/>
            <w:vMerge/>
            <w:shd w:val="clear" w:color="auto" w:fill="E7E6E6" w:themeFill="background2"/>
          </w:tcPr>
          <w:p w:rsidR="00E74001" w:rsidRPr="00401691" w:rsidRDefault="00E74001" w:rsidP="00C72A44">
            <w:pPr>
              <w:spacing w:line="276" w:lineRule="auto"/>
              <w:rPr>
                <w:rFonts w:asciiTheme="majorHAnsi" w:hAnsiTheme="majorHAnsi" w:cstheme="majorHAnsi"/>
                <w:sz w:val="18"/>
                <w:szCs w:val="18"/>
                <w:lang w:val="ro-MD"/>
              </w:rPr>
            </w:pPr>
          </w:p>
        </w:tc>
        <w:tc>
          <w:tcPr>
            <w:tcW w:w="5490" w:type="dxa"/>
            <w:vMerge/>
            <w:shd w:val="clear" w:color="auto" w:fill="E7E6E6" w:themeFill="background2"/>
          </w:tcPr>
          <w:p w:rsidR="00E74001" w:rsidRPr="00401691" w:rsidRDefault="00E74001" w:rsidP="00C72A44">
            <w:pPr>
              <w:spacing w:line="276" w:lineRule="auto"/>
              <w:rPr>
                <w:rFonts w:asciiTheme="majorHAnsi" w:hAnsiTheme="majorHAnsi" w:cstheme="majorHAnsi"/>
                <w:sz w:val="18"/>
                <w:szCs w:val="18"/>
                <w:lang w:val="ro-MD"/>
              </w:rPr>
            </w:pPr>
          </w:p>
        </w:tc>
        <w:tc>
          <w:tcPr>
            <w:tcW w:w="540" w:type="dxa"/>
            <w:shd w:val="clear" w:color="auto" w:fill="E7E6E6" w:themeFill="background2"/>
            <w:vAlign w:val="center"/>
          </w:tcPr>
          <w:p w:rsidR="00E74001" w:rsidRPr="00401691" w:rsidRDefault="00E74001" w:rsidP="00C72A44">
            <w:pPr>
              <w:tabs>
                <w:tab w:val="left" w:pos="720"/>
              </w:tabs>
              <w:spacing w:line="276" w:lineRule="auto"/>
              <w:ind w:left="-111" w:right="-103"/>
              <w:jc w:val="center"/>
              <w:rPr>
                <w:rFonts w:asciiTheme="majorHAnsi" w:hAnsiTheme="majorHAnsi" w:cstheme="majorHAnsi"/>
                <w:b/>
                <w:sz w:val="18"/>
                <w:szCs w:val="18"/>
                <w:lang w:val="ro-MD"/>
              </w:rPr>
            </w:pPr>
            <w:r w:rsidRPr="00401691">
              <w:rPr>
                <w:rFonts w:asciiTheme="majorHAnsi" w:hAnsiTheme="majorHAnsi" w:cstheme="majorHAnsi"/>
                <w:b/>
                <w:sz w:val="18"/>
                <w:szCs w:val="18"/>
                <w:lang w:val="ro-MD"/>
              </w:rPr>
              <w:t>reali-</w:t>
            </w:r>
            <w:proofErr w:type="spellStart"/>
            <w:r w:rsidRPr="00401691">
              <w:rPr>
                <w:rFonts w:asciiTheme="majorHAnsi" w:hAnsiTheme="majorHAnsi" w:cstheme="majorHAnsi"/>
                <w:b/>
                <w:sz w:val="18"/>
                <w:szCs w:val="18"/>
                <w:lang w:val="ro-MD"/>
              </w:rPr>
              <w:t>zat</w:t>
            </w:r>
            <w:proofErr w:type="spellEnd"/>
          </w:p>
        </w:tc>
        <w:tc>
          <w:tcPr>
            <w:tcW w:w="630" w:type="dxa"/>
            <w:shd w:val="clear" w:color="auto" w:fill="E7E6E6" w:themeFill="background2"/>
            <w:vAlign w:val="center"/>
          </w:tcPr>
          <w:p w:rsidR="00E74001" w:rsidRPr="00401691" w:rsidRDefault="00E74001" w:rsidP="00C72A44">
            <w:pPr>
              <w:tabs>
                <w:tab w:val="left" w:pos="720"/>
              </w:tabs>
              <w:spacing w:line="276" w:lineRule="auto"/>
              <w:ind w:left="-111" w:right="-103"/>
              <w:jc w:val="center"/>
              <w:rPr>
                <w:rFonts w:asciiTheme="majorHAnsi" w:hAnsiTheme="majorHAnsi" w:cstheme="majorHAnsi"/>
                <w:b/>
                <w:sz w:val="18"/>
                <w:szCs w:val="18"/>
                <w:lang w:val="ro-MD"/>
              </w:rPr>
            </w:pPr>
            <w:r w:rsidRPr="00401691">
              <w:rPr>
                <w:rFonts w:asciiTheme="majorHAnsi" w:hAnsiTheme="majorHAnsi" w:cstheme="majorHAnsi"/>
                <w:b/>
                <w:sz w:val="18"/>
                <w:szCs w:val="18"/>
                <w:lang w:val="ro-MD"/>
              </w:rPr>
              <w:t>parțial realizat</w:t>
            </w:r>
          </w:p>
        </w:tc>
        <w:tc>
          <w:tcPr>
            <w:tcW w:w="540" w:type="dxa"/>
            <w:shd w:val="clear" w:color="auto" w:fill="E7E6E6" w:themeFill="background2"/>
            <w:vAlign w:val="center"/>
          </w:tcPr>
          <w:p w:rsidR="00E74001" w:rsidRPr="00401691" w:rsidRDefault="00E74001" w:rsidP="00C72A44">
            <w:pPr>
              <w:tabs>
                <w:tab w:val="left" w:pos="720"/>
              </w:tabs>
              <w:spacing w:line="276" w:lineRule="auto"/>
              <w:ind w:left="-111" w:right="-103" w:firstLine="39"/>
              <w:jc w:val="center"/>
              <w:rPr>
                <w:rFonts w:asciiTheme="majorHAnsi" w:hAnsiTheme="majorHAnsi" w:cstheme="majorHAnsi"/>
                <w:b/>
                <w:sz w:val="18"/>
                <w:szCs w:val="18"/>
                <w:lang w:val="ro-MD"/>
              </w:rPr>
            </w:pPr>
            <w:proofErr w:type="spellStart"/>
            <w:r w:rsidRPr="00401691">
              <w:rPr>
                <w:rFonts w:asciiTheme="majorHAnsi" w:hAnsiTheme="majorHAnsi" w:cstheme="majorHAnsi"/>
                <w:b/>
                <w:sz w:val="18"/>
                <w:szCs w:val="18"/>
                <w:lang w:val="ro-MD"/>
              </w:rPr>
              <w:t>nerea-lizat</w:t>
            </w:r>
            <w:proofErr w:type="spellEnd"/>
          </w:p>
        </w:tc>
      </w:tr>
      <w:tr w:rsidR="00E74001" w:rsidRPr="00401691" w:rsidTr="00C72A44">
        <w:trPr>
          <w:gridAfter w:val="1"/>
          <w:wAfter w:w="12" w:type="dxa"/>
          <w:trHeight w:val="132"/>
        </w:trPr>
        <w:tc>
          <w:tcPr>
            <w:tcW w:w="3145" w:type="dxa"/>
          </w:tcPr>
          <w:p w:rsidR="00E74001" w:rsidRPr="00401691" w:rsidRDefault="000C5DF4" w:rsidP="003070D9">
            <w:pPr>
              <w:ind w:left="-18" w:right="-12"/>
              <w:jc w:val="both"/>
              <w:rPr>
                <w:rFonts w:asciiTheme="majorHAnsi" w:hAnsiTheme="majorHAnsi" w:cstheme="majorHAnsi"/>
                <w:sz w:val="20"/>
                <w:szCs w:val="20"/>
                <w:lang w:val="ro-MD"/>
              </w:rPr>
            </w:pPr>
            <w:r>
              <w:rPr>
                <w:rFonts w:asciiTheme="majorHAnsi" w:hAnsiTheme="majorHAnsi" w:cstheme="majorHAnsi"/>
                <w:b/>
                <w:bCs/>
                <w:iCs/>
                <w:sz w:val="20"/>
                <w:szCs w:val="20"/>
                <w:lang w:val="ro-MD" w:eastAsia="ru-RU"/>
              </w:rPr>
              <w:t>c</w:t>
            </w:r>
            <w:r w:rsidR="00E74001" w:rsidRPr="00401691">
              <w:rPr>
                <w:rFonts w:asciiTheme="majorHAnsi" w:hAnsiTheme="majorHAnsi" w:cstheme="majorHAnsi"/>
                <w:b/>
                <w:bCs/>
                <w:iCs/>
                <w:sz w:val="20"/>
                <w:szCs w:val="20"/>
                <w:lang w:val="ro-MD" w:eastAsia="ru-RU"/>
              </w:rPr>
              <w:t>erința</w:t>
            </w:r>
            <w:r>
              <w:rPr>
                <w:rFonts w:asciiTheme="majorHAnsi" w:hAnsiTheme="majorHAnsi" w:cstheme="majorHAnsi"/>
                <w:b/>
                <w:bCs/>
                <w:iCs/>
                <w:sz w:val="20"/>
                <w:szCs w:val="20"/>
                <w:lang w:val="ro-MD" w:eastAsia="ru-RU"/>
              </w:rPr>
              <w:t xml:space="preserve"> </w:t>
            </w:r>
            <w:r w:rsidR="00E74001" w:rsidRPr="00401691">
              <w:rPr>
                <w:rFonts w:asciiTheme="majorHAnsi" w:hAnsiTheme="majorHAnsi" w:cstheme="majorHAnsi"/>
                <w:b/>
                <w:bCs/>
                <w:iCs/>
                <w:sz w:val="20"/>
                <w:szCs w:val="20"/>
                <w:lang w:val="ro-MD" w:eastAsia="ru-RU"/>
              </w:rPr>
              <w:t xml:space="preserve">2.5.1.: </w:t>
            </w:r>
            <w:r w:rsidR="00E74001" w:rsidRPr="00401691">
              <w:rPr>
                <w:rFonts w:asciiTheme="majorHAnsi" w:hAnsiTheme="majorHAnsi" w:cstheme="majorHAnsi"/>
                <w:bCs/>
                <w:iCs/>
                <w:sz w:val="20"/>
                <w:szCs w:val="20"/>
                <w:lang w:val="ro-MD" w:eastAsia="ru-RU"/>
              </w:rPr>
              <w:t xml:space="preserve">Examinarea rezultatelor auditului și </w:t>
            </w:r>
            <w:r w:rsidR="00E74001" w:rsidRPr="00401691">
              <w:rPr>
                <w:rFonts w:asciiTheme="majorHAnsi" w:eastAsia="Times New Roman" w:hAnsiTheme="majorHAnsi" w:cstheme="majorHAnsi"/>
                <w:sz w:val="20"/>
                <w:szCs w:val="20"/>
                <w:lang w:val="ro-MD" w:eastAsia="ru-RU"/>
              </w:rPr>
              <w:t>aprobarea unui plan de măsuri în vederea</w:t>
            </w:r>
            <w:r w:rsidR="00E74001" w:rsidRPr="00401691">
              <w:rPr>
                <w:rFonts w:asciiTheme="majorHAnsi" w:hAnsiTheme="majorHAnsi" w:cstheme="majorHAnsi"/>
                <w:bCs/>
                <w:iCs/>
                <w:sz w:val="20"/>
                <w:szCs w:val="20"/>
                <w:lang w:val="ro-MD" w:eastAsia="ru-RU"/>
              </w:rPr>
              <w:t xml:space="preserve"> înlăturării deficiențelor constatate de audit, </w:t>
            </w:r>
            <w:r w:rsidR="00E74001" w:rsidRPr="00401691">
              <w:rPr>
                <w:rFonts w:asciiTheme="majorHAnsi" w:eastAsia="Times New Roman" w:hAnsiTheme="majorHAnsi" w:cstheme="majorHAnsi"/>
                <w:sz w:val="20"/>
                <w:szCs w:val="20"/>
                <w:lang w:val="ro-MD" w:eastAsia="ru-RU"/>
              </w:rPr>
              <w:t>întreprinderea acțiunilor de rigoare pentru implementarea recomandărilor din Raportul de audit</w:t>
            </w:r>
          </w:p>
        </w:tc>
        <w:tc>
          <w:tcPr>
            <w:tcW w:w="5490" w:type="dxa"/>
          </w:tcPr>
          <w:p w:rsidR="00E74001" w:rsidRPr="00401691" w:rsidRDefault="00E74001" w:rsidP="003070D9">
            <w:pPr>
              <w:ind w:left="-18" w:right="-12"/>
              <w:jc w:val="both"/>
              <w:rPr>
                <w:rFonts w:asciiTheme="majorHAnsi" w:hAnsiTheme="majorHAnsi" w:cstheme="majorHAnsi"/>
                <w:sz w:val="20"/>
                <w:szCs w:val="20"/>
                <w:lang w:val="ro-MD"/>
              </w:rPr>
            </w:pPr>
            <w:r w:rsidRPr="00401691">
              <w:rPr>
                <w:rFonts w:asciiTheme="majorHAnsi" w:hAnsiTheme="majorHAnsi" w:cstheme="majorHAnsi"/>
                <w:sz w:val="20"/>
                <w:szCs w:val="20"/>
                <w:lang w:val="ro-MD"/>
              </w:rPr>
              <w:t xml:space="preserve">SFS a examinat rezultatele auditului și a aprobat Planul de măsuri în baza Ordinului conducerii </w:t>
            </w:r>
            <w:r w:rsidR="000C5DF4">
              <w:rPr>
                <w:rFonts w:asciiTheme="majorHAnsi" w:hAnsiTheme="majorHAnsi" w:cstheme="majorHAnsi"/>
                <w:sz w:val="20"/>
                <w:szCs w:val="20"/>
                <w:lang w:val="ro-MD"/>
              </w:rPr>
              <w:t xml:space="preserve">SFS </w:t>
            </w:r>
            <w:r w:rsidRPr="00401691">
              <w:rPr>
                <w:rFonts w:asciiTheme="majorHAnsi" w:hAnsiTheme="majorHAnsi" w:cstheme="majorHAnsi"/>
                <w:sz w:val="20"/>
                <w:szCs w:val="20"/>
                <w:lang w:val="ro-MD"/>
              </w:rPr>
              <w:t xml:space="preserve">nr.212 din 12.07.2017 „Cu privire la măsurile de executare a Hotărârii Curții de Conturi nr.20”, prin care au fost stabilite acțiuni concrete de implementare a cerințelor și recomandărilor din Hotărârea Curții de Conturi și Raportul de audit. </w:t>
            </w:r>
          </w:p>
        </w:tc>
        <w:tc>
          <w:tcPr>
            <w:tcW w:w="540" w:type="dxa"/>
            <w:shd w:val="clear" w:color="auto" w:fill="F2F2F2" w:themeFill="background1" w:themeFillShade="F2"/>
          </w:tcPr>
          <w:p w:rsidR="00E74001" w:rsidRPr="00401691" w:rsidRDefault="00E74001" w:rsidP="003070D9">
            <w:pPr>
              <w:jc w:val="center"/>
              <w:rPr>
                <w:rFonts w:asciiTheme="majorHAnsi" w:hAnsiTheme="majorHAnsi" w:cstheme="majorHAnsi"/>
                <w:sz w:val="20"/>
                <w:szCs w:val="20"/>
                <w:lang w:val="ro-MD"/>
              </w:rPr>
            </w:pPr>
            <w:r w:rsidRPr="00401691">
              <w:rPr>
                <w:rFonts w:asciiTheme="majorHAnsi" w:hAnsiTheme="majorHAnsi" w:cstheme="majorHAnsi"/>
                <w:sz w:val="20"/>
                <w:szCs w:val="20"/>
                <w:lang w:val="ro-MD"/>
              </w:rPr>
              <w:t>v</w:t>
            </w:r>
          </w:p>
        </w:tc>
        <w:tc>
          <w:tcPr>
            <w:tcW w:w="630" w:type="dxa"/>
            <w:shd w:val="clear" w:color="auto" w:fill="F2F2F2" w:themeFill="background1" w:themeFillShade="F2"/>
          </w:tcPr>
          <w:p w:rsidR="00E74001" w:rsidRPr="00401691" w:rsidRDefault="00E74001" w:rsidP="003070D9">
            <w:pPr>
              <w:jc w:val="center"/>
              <w:rPr>
                <w:rFonts w:asciiTheme="majorHAnsi" w:hAnsiTheme="majorHAnsi" w:cstheme="majorHAnsi"/>
                <w:sz w:val="20"/>
                <w:szCs w:val="20"/>
                <w:lang w:val="ro-MD"/>
              </w:rPr>
            </w:pPr>
          </w:p>
        </w:tc>
        <w:tc>
          <w:tcPr>
            <w:tcW w:w="540" w:type="dxa"/>
            <w:shd w:val="clear" w:color="auto" w:fill="F2F2F2" w:themeFill="background1" w:themeFillShade="F2"/>
          </w:tcPr>
          <w:p w:rsidR="00E74001" w:rsidRPr="00401691" w:rsidRDefault="00E74001" w:rsidP="003070D9">
            <w:pPr>
              <w:jc w:val="center"/>
              <w:rPr>
                <w:rFonts w:asciiTheme="majorHAnsi" w:hAnsiTheme="majorHAnsi" w:cstheme="majorHAnsi"/>
                <w:sz w:val="20"/>
                <w:szCs w:val="20"/>
                <w:lang w:val="ro-MD"/>
              </w:rPr>
            </w:pPr>
          </w:p>
        </w:tc>
      </w:tr>
      <w:tr w:rsidR="00E74001" w:rsidRPr="00401691" w:rsidTr="00C72A44">
        <w:trPr>
          <w:gridAfter w:val="1"/>
          <w:wAfter w:w="12" w:type="dxa"/>
          <w:trHeight w:val="132"/>
        </w:trPr>
        <w:tc>
          <w:tcPr>
            <w:tcW w:w="3145" w:type="dxa"/>
          </w:tcPr>
          <w:p w:rsidR="00E74001" w:rsidRPr="00401691" w:rsidRDefault="00E74001" w:rsidP="003070D9">
            <w:pPr>
              <w:ind w:left="-18" w:right="-12"/>
              <w:jc w:val="both"/>
              <w:rPr>
                <w:rFonts w:asciiTheme="majorHAnsi" w:eastAsia="Times New Roman" w:hAnsiTheme="majorHAnsi" w:cstheme="majorHAnsi"/>
                <w:sz w:val="20"/>
                <w:szCs w:val="20"/>
                <w:lang w:val="ro-MD" w:eastAsia="ru-RU"/>
              </w:rPr>
            </w:pPr>
            <w:r w:rsidRPr="00401691">
              <w:rPr>
                <w:rFonts w:asciiTheme="majorHAnsi" w:hAnsiTheme="majorHAnsi" w:cstheme="majorHAnsi"/>
                <w:b/>
                <w:bCs/>
                <w:iCs/>
                <w:sz w:val="20"/>
                <w:szCs w:val="20"/>
                <w:lang w:val="ro-MD" w:eastAsia="ru-RU"/>
              </w:rPr>
              <w:t>cerința 2.5.2</w:t>
            </w:r>
            <w:r w:rsidR="000C5DF4">
              <w:rPr>
                <w:rFonts w:asciiTheme="majorHAnsi" w:hAnsiTheme="majorHAnsi" w:cstheme="majorHAnsi"/>
                <w:b/>
                <w:bCs/>
                <w:iCs/>
                <w:sz w:val="20"/>
                <w:szCs w:val="20"/>
                <w:lang w:val="ro-MD" w:eastAsia="ru-RU"/>
              </w:rPr>
              <w:t>.</w:t>
            </w:r>
            <w:r w:rsidRPr="00401691">
              <w:rPr>
                <w:rFonts w:asciiTheme="majorHAnsi" w:hAnsiTheme="majorHAnsi" w:cstheme="majorHAnsi"/>
                <w:b/>
                <w:bCs/>
                <w:iCs/>
                <w:sz w:val="20"/>
                <w:szCs w:val="20"/>
                <w:lang w:val="ro-MD" w:eastAsia="ru-RU"/>
              </w:rPr>
              <w:t>/</w:t>
            </w:r>
            <w:r w:rsidRPr="00401691">
              <w:rPr>
                <w:rFonts w:asciiTheme="majorHAnsi" w:hAnsiTheme="majorHAnsi" w:cstheme="majorHAnsi"/>
                <w:b/>
                <w:sz w:val="20"/>
                <w:szCs w:val="20"/>
                <w:lang w:val="ro-MD"/>
              </w:rPr>
              <w:t>recomandare</w:t>
            </w:r>
            <w:r w:rsidR="000C5DF4">
              <w:rPr>
                <w:rFonts w:asciiTheme="majorHAnsi" w:hAnsiTheme="majorHAnsi" w:cstheme="majorHAnsi"/>
                <w:b/>
                <w:sz w:val="20"/>
                <w:szCs w:val="20"/>
                <w:lang w:val="ro-MD"/>
              </w:rPr>
              <w:t>a</w:t>
            </w:r>
            <w:r w:rsidRPr="00401691">
              <w:rPr>
                <w:rFonts w:asciiTheme="majorHAnsi" w:hAnsiTheme="majorHAnsi" w:cstheme="majorHAnsi"/>
                <w:b/>
                <w:sz w:val="20"/>
                <w:szCs w:val="20"/>
                <w:lang w:val="ro-MD"/>
              </w:rPr>
              <w:t xml:space="preserve"> nr. 2</w:t>
            </w:r>
            <w:r w:rsidRPr="00401691">
              <w:rPr>
                <w:rFonts w:asciiTheme="majorHAnsi" w:hAnsiTheme="majorHAnsi" w:cstheme="majorHAnsi"/>
                <w:b/>
                <w:bCs/>
                <w:iCs/>
                <w:sz w:val="20"/>
                <w:szCs w:val="20"/>
                <w:lang w:val="ro-MD" w:eastAsia="ru-RU"/>
              </w:rPr>
              <w:t xml:space="preserve">: </w:t>
            </w:r>
            <w:r w:rsidRPr="00401691">
              <w:rPr>
                <w:rFonts w:asciiTheme="majorHAnsi" w:eastAsia="Times New Roman" w:hAnsiTheme="majorHAnsi" w:cstheme="majorHAnsi"/>
                <w:sz w:val="20"/>
                <w:szCs w:val="20"/>
                <w:lang w:val="ro-MD" w:eastAsia="ru-RU"/>
              </w:rPr>
              <w:t>Monitorizarea permanentă a conformității aplicării sechestrelor asupra bunurilor contribuabililor restanțieri și examinarea periodică a rapoartelor privind rezultatele aplicării acestei măsuri de către subdiviziunile sale.</w:t>
            </w:r>
          </w:p>
        </w:tc>
        <w:tc>
          <w:tcPr>
            <w:tcW w:w="5490" w:type="dxa"/>
          </w:tcPr>
          <w:p w:rsidR="00E74001" w:rsidRPr="00401691" w:rsidRDefault="00E74001" w:rsidP="0021477D">
            <w:pPr>
              <w:ind w:left="-18" w:right="-12"/>
              <w:jc w:val="both"/>
              <w:rPr>
                <w:rFonts w:asciiTheme="majorHAnsi" w:hAnsiTheme="majorHAnsi" w:cstheme="majorHAnsi"/>
                <w:sz w:val="20"/>
                <w:szCs w:val="20"/>
                <w:lang w:val="ro-MD"/>
              </w:rPr>
            </w:pPr>
            <w:r w:rsidRPr="00401691">
              <w:rPr>
                <w:rFonts w:asciiTheme="majorHAnsi" w:hAnsiTheme="majorHAnsi" w:cstheme="majorHAnsi"/>
                <w:sz w:val="20"/>
                <w:szCs w:val="20"/>
                <w:lang w:val="ro-MD"/>
              </w:rPr>
              <w:t>În anul 2017</w:t>
            </w:r>
            <w:r w:rsidR="000C5DF4">
              <w:rPr>
                <w:rFonts w:asciiTheme="majorHAnsi" w:hAnsiTheme="majorHAnsi" w:cstheme="majorHAnsi"/>
                <w:sz w:val="20"/>
                <w:szCs w:val="20"/>
                <w:lang w:val="ro-MD"/>
              </w:rPr>
              <w:t>,</w:t>
            </w:r>
            <w:r w:rsidRPr="00401691">
              <w:rPr>
                <w:rFonts w:asciiTheme="majorHAnsi" w:hAnsiTheme="majorHAnsi" w:cstheme="majorHAnsi"/>
                <w:sz w:val="20"/>
                <w:szCs w:val="20"/>
                <w:lang w:val="ro-MD"/>
              </w:rPr>
              <w:t xml:space="preserve"> conducerea SFS</w:t>
            </w:r>
            <w:r w:rsidR="000C5DF4">
              <w:rPr>
                <w:rFonts w:asciiTheme="majorHAnsi" w:hAnsiTheme="majorHAnsi" w:cstheme="majorHAnsi"/>
                <w:sz w:val="20"/>
                <w:szCs w:val="20"/>
                <w:lang w:val="ro-MD"/>
              </w:rPr>
              <w:t>,</w:t>
            </w:r>
            <w:r w:rsidRPr="00401691">
              <w:rPr>
                <w:rFonts w:asciiTheme="majorHAnsi" w:hAnsiTheme="majorHAnsi" w:cstheme="majorHAnsi"/>
                <w:sz w:val="20"/>
                <w:szCs w:val="20"/>
                <w:lang w:val="ro-MD"/>
              </w:rPr>
              <w:t xml:space="preserve"> prin Indicațiile interne</w:t>
            </w:r>
            <w:r w:rsidR="000C5DF4">
              <w:rPr>
                <w:rFonts w:asciiTheme="majorHAnsi" w:hAnsiTheme="majorHAnsi" w:cstheme="majorHAnsi"/>
                <w:sz w:val="20"/>
                <w:szCs w:val="20"/>
                <w:lang w:val="ro-MD"/>
              </w:rPr>
              <w:t>,</w:t>
            </w:r>
            <w:r w:rsidRPr="00401691">
              <w:rPr>
                <w:rFonts w:asciiTheme="majorHAnsi" w:hAnsiTheme="majorHAnsi" w:cstheme="majorHAnsi"/>
                <w:sz w:val="20"/>
                <w:szCs w:val="20"/>
                <w:lang w:val="ro-MD"/>
              </w:rPr>
              <w:t xml:space="preserve"> a dispus structurilor responsabile </w:t>
            </w:r>
            <w:r w:rsidR="00FF70BF">
              <w:rPr>
                <w:rFonts w:asciiTheme="majorHAnsi" w:hAnsiTheme="majorHAnsi" w:cstheme="majorHAnsi"/>
                <w:sz w:val="20"/>
                <w:szCs w:val="20"/>
                <w:lang w:val="ro-MD"/>
              </w:rPr>
              <w:t>întreprinde</w:t>
            </w:r>
            <w:r w:rsidRPr="00401691">
              <w:rPr>
                <w:rFonts w:asciiTheme="majorHAnsi" w:hAnsiTheme="majorHAnsi" w:cstheme="majorHAnsi"/>
                <w:sz w:val="20"/>
                <w:szCs w:val="20"/>
                <w:lang w:val="ro-MD"/>
              </w:rPr>
              <w:t>rea unui șir de măsuri în scop</w:t>
            </w:r>
            <w:r w:rsidR="00FF70BF">
              <w:rPr>
                <w:rFonts w:asciiTheme="majorHAnsi" w:hAnsiTheme="majorHAnsi" w:cstheme="majorHAnsi"/>
                <w:sz w:val="20"/>
                <w:szCs w:val="20"/>
                <w:lang w:val="ro-MD"/>
              </w:rPr>
              <w:t xml:space="preserve">ul </w:t>
            </w:r>
            <w:r w:rsidRPr="00401691">
              <w:rPr>
                <w:rFonts w:asciiTheme="majorHAnsi" w:hAnsiTheme="majorHAnsi" w:cstheme="majorHAnsi"/>
                <w:sz w:val="20"/>
                <w:szCs w:val="20"/>
                <w:lang w:val="ro-MD"/>
              </w:rPr>
              <w:t>eficientiz</w:t>
            </w:r>
            <w:r w:rsidR="00FF70BF">
              <w:rPr>
                <w:rFonts w:asciiTheme="majorHAnsi" w:hAnsiTheme="majorHAnsi" w:cstheme="majorHAnsi"/>
                <w:sz w:val="20"/>
                <w:szCs w:val="20"/>
                <w:lang w:val="ro-MD"/>
              </w:rPr>
              <w:t>ării</w:t>
            </w:r>
            <w:r w:rsidRPr="00401691">
              <w:rPr>
                <w:rFonts w:asciiTheme="majorHAnsi" w:hAnsiTheme="majorHAnsi" w:cstheme="majorHAnsi"/>
                <w:sz w:val="20"/>
                <w:szCs w:val="20"/>
                <w:lang w:val="ro-MD"/>
              </w:rPr>
              <w:t xml:space="preserve"> procesului de executare silită</w:t>
            </w:r>
            <w:r w:rsidRPr="00401691">
              <w:rPr>
                <w:rStyle w:val="FootnoteReference"/>
                <w:rFonts w:asciiTheme="majorHAnsi" w:hAnsiTheme="majorHAnsi" w:cstheme="majorHAnsi"/>
                <w:sz w:val="20"/>
                <w:szCs w:val="20"/>
                <w:lang w:val="ro-MD"/>
              </w:rPr>
              <w:footnoteReference w:id="63"/>
            </w:r>
            <w:r w:rsidR="00FF70BF">
              <w:rPr>
                <w:rFonts w:asciiTheme="majorHAnsi" w:hAnsiTheme="majorHAnsi" w:cstheme="majorHAnsi"/>
                <w:sz w:val="20"/>
                <w:szCs w:val="20"/>
                <w:lang w:val="ro-MD"/>
              </w:rPr>
              <w:t>,</w:t>
            </w:r>
            <w:r w:rsidRPr="00401691">
              <w:rPr>
                <w:rFonts w:asciiTheme="majorHAnsi" w:hAnsiTheme="majorHAnsi" w:cstheme="majorHAnsi"/>
                <w:sz w:val="20"/>
                <w:szCs w:val="20"/>
                <w:lang w:val="ro-MD"/>
              </w:rPr>
              <w:t xml:space="preserve"> în rezultatul cărora</w:t>
            </w:r>
            <w:r w:rsidR="00FF70BF">
              <w:rPr>
                <w:rFonts w:asciiTheme="majorHAnsi" w:hAnsiTheme="majorHAnsi" w:cstheme="majorHAnsi"/>
                <w:sz w:val="20"/>
                <w:szCs w:val="20"/>
                <w:lang w:val="ro-MD"/>
              </w:rPr>
              <w:t>,</w:t>
            </w:r>
            <w:r w:rsidRPr="00401691">
              <w:rPr>
                <w:rFonts w:asciiTheme="majorHAnsi" w:hAnsiTheme="majorHAnsi" w:cstheme="majorHAnsi"/>
                <w:sz w:val="20"/>
                <w:szCs w:val="20"/>
                <w:lang w:val="ro-MD"/>
              </w:rPr>
              <w:t xml:space="preserve"> la situația din 31.08.2017, au fost încasate </w:t>
            </w:r>
            <w:r w:rsidRPr="00646A55">
              <w:rPr>
                <w:rFonts w:asciiTheme="majorHAnsi" w:hAnsiTheme="majorHAnsi" w:cstheme="majorHAnsi"/>
                <w:sz w:val="20"/>
                <w:szCs w:val="20"/>
                <w:lang w:val="ro-MD"/>
              </w:rPr>
              <w:t>677,6 mi</w:t>
            </w:r>
            <w:r w:rsidR="0021477D" w:rsidRPr="00646A55">
              <w:rPr>
                <w:rFonts w:asciiTheme="majorHAnsi" w:hAnsiTheme="majorHAnsi" w:cstheme="majorHAnsi"/>
                <w:sz w:val="20"/>
                <w:szCs w:val="20"/>
                <w:lang w:val="ro-MD"/>
              </w:rPr>
              <w:t>l</w:t>
            </w:r>
            <w:r w:rsidR="004A0A84" w:rsidRPr="00646A55">
              <w:rPr>
                <w:rFonts w:asciiTheme="majorHAnsi" w:hAnsiTheme="majorHAnsi" w:cstheme="majorHAnsi"/>
                <w:sz w:val="20"/>
                <w:szCs w:val="20"/>
                <w:lang w:val="ro-MD"/>
              </w:rPr>
              <w:t>.</w:t>
            </w:r>
            <w:r w:rsidRPr="00646A55">
              <w:rPr>
                <w:rFonts w:asciiTheme="majorHAnsi" w:hAnsiTheme="majorHAnsi" w:cstheme="majorHAnsi"/>
                <w:sz w:val="20"/>
                <w:szCs w:val="20"/>
                <w:lang w:val="ro-MD"/>
              </w:rPr>
              <w:t xml:space="preserve"> </w:t>
            </w:r>
            <w:r w:rsidR="00FF70BF" w:rsidRPr="00646A55">
              <w:rPr>
                <w:rFonts w:asciiTheme="majorHAnsi" w:hAnsiTheme="majorHAnsi" w:cstheme="majorHAnsi"/>
                <w:sz w:val="20"/>
                <w:szCs w:val="20"/>
                <w:lang w:val="ro-MD"/>
              </w:rPr>
              <w:t>l</w:t>
            </w:r>
            <w:r w:rsidRPr="00646A55">
              <w:rPr>
                <w:rFonts w:asciiTheme="majorHAnsi" w:hAnsiTheme="majorHAnsi" w:cstheme="majorHAnsi"/>
                <w:sz w:val="20"/>
                <w:szCs w:val="20"/>
                <w:lang w:val="ro-MD"/>
              </w:rPr>
              <w:t>ei</w:t>
            </w:r>
            <w:r w:rsidRPr="00401691">
              <w:rPr>
                <w:rFonts w:asciiTheme="majorHAnsi" w:hAnsiTheme="majorHAnsi" w:cstheme="majorHAnsi"/>
                <w:sz w:val="20"/>
                <w:szCs w:val="20"/>
                <w:lang w:val="ro-MD"/>
              </w:rPr>
              <w:t xml:space="preserve">, sau cu 51,3 mil.lei mai mult față de </w:t>
            </w:r>
            <w:r w:rsidR="00FF70BF">
              <w:rPr>
                <w:rFonts w:asciiTheme="majorHAnsi" w:hAnsiTheme="majorHAnsi" w:cstheme="majorHAnsi"/>
                <w:sz w:val="20"/>
                <w:szCs w:val="20"/>
                <w:lang w:val="ro-MD"/>
              </w:rPr>
              <w:t xml:space="preserve">situația din </w:t>
            </w:r>
            <w:r w:rsidRPr="00401691">
              <w:rPr>
                <w:rFonts w:asciiTheme="majorHAnsi" w:hAnsiTheme="majorHAnsi" w:cstheme="majorHAnsi"/>
                <w:sz w:val="20"/>
                <w:szCs w:val="20"/>
                <w:lang w:val="ro-MD"/>
              </w:rPr>
              <w:t>31.08.2016. De a</w:t>
            </w:r>
            <w:bookmarkStart w:id="28" w:name="_GoBack"/>
            <w:bookmarkEnd w:id="28"/>
            <w:r w:rsidRPr="00401691">
              <w:rPr>
                <w:rFonts w:asciiTheme="majorHAnsi" w:hAnsiTheme="majorHAnsi" w:cstheme="majorHAnsi"/>
                <w:sz w:val="20"/>
                <w:szCs w:val="20"/>
                <w:lang w:val="ro-MD"/>
              </w:rPr>
              <w:t>semenea</w:t>
            </w:r>
            <w:r w:rsidR="00FF70BF">
              <w:rPr>
                <w:rFonts w:asciiTheme="majorHAnsi" w:hAnsiTheme="majorHAnsi" w:cstheme="majorHAnsi"/>
                <w:sz w:val="20"/>
                <w:szCs w:val="20"/>
                <w:lang w:val="ro-MD"/>
              </w:rPr>
              <w:t>,</w:t>
            </w:r>
            <w:r w:rsidRPr="00401691">
              <w:rPr>
                <w:rFonts w:asciiTheme="majorHAnsi" w:hAnsiTheme="majorHAnsi" w:cstheme="majorHAnsi"/>
                <w:sz w:val="20"/>
                <w:szCs w:val="20"/>
                <w:lang w:val="ro-MD"/>
              </w:rPr>
              <w:t xml:space="preserve"> a fost analizată și prezentată conducerii SFS informația cu privire la inventarierea bunurilor sechestrate</w:t>
            </w:r>
            <w:r w:rsidR="00FF70BF">
              <w:rPr>
                <w:rFonts w:asciiTheme="majorHAnsi" w:hAnsiTheme="majorHAnsi" w:cstheme="majorHAnsi"/>
                <w:sz w:val="20"/>
                <w:szCs w:val="20"/>
                <w:lang w:val="ro-MD"/>
              </w:rPr>
              <w:t>,</w:t>
            </w:r>
            <w:r w:rsidRPr="00401691">
              <w:rPr>
                <w:rFonts w:asciiTheme="majorHAnsi" w:hAnsiTheme="majorHAnsi" w:cstheme="majorHAnsi"/>
                <w:sz w:val="20"/>
                <w:szCs w:val="20"/>
                <w:lang w:val="ro-MD"/>
              </w:rPr>
              <w:t xml:space="preserve"> iar neregulile identificate au impus instituirea unor activități de control suplimentare</w:t>
            </w:r>
            <w:r w:rsidRPr="00401691">
              <w:rPr>
                <w:rStyle w:val="FootnoteReference"/>
                <w:rFonts w:asciiTheme="majorHAnsi" w:hAnsiTheme="majorHAnsi" w:cstheme="majorHAnsi"/>
                <w:sz w:val="20"/>
                <w:szCs w:val="20"/>
                <w:lang w:val="ro-MD"/>
              </w:rPr>
              <w:footnoteReference w:id="64"/>
            </w:r>
            <w:r w:rsidRPr="00401691">
              <w:rPr>
                <w:rFonts w:asciiTheme="majorHAnsi" w:hAnsiTheme="majorHAnsi" w:cstheme="majorHAnsi"/>
                <w:sz w:val="20"/>
                <w:szCs w:val="20"/>
                <w:lang w:val="ro-MD"/>
              </w:rPr>
              <w:t>.</w:t>
            </w:r>
          </w:p>
        </w:tc>
        <w:tc>
          <w:tcPr>
            <w:tcW w:w="540" w:type="dxa"/>
            <w:shd w:val="clear" w:color="auto" w:fill="F2F2F2" w:themeFill="background1" w:themeFillShade="F2"/>
          </w:tcPr>
          <w:p w:rsidR="00E74001" w:rsidRPr="00401691" w:rsidRDefault="00E74001" w:rsidP="003070D9">
            <w:pPr>
              <w:jc w:val="center"/>
              <w:rPr>
                <w:rFonts w:asciiTheme="majorHAnsi" w:hAnsiTheme="majorHAnsi" w:cstheme="majorHAnsi"/>
                <w:sz w:val="20"/>
                <w:szCs w:val="20"/>
                <w:lang w:val="ro-MD"/>
              </w:rPr>
            </w:pPr>
            <w:r w:rsidRPr="00401691">
              <w:rPr>
                <w:rFonts w:asciiTheme="majorHAnsi" w:hAnsiTheme="majorHAnsi" w:cstheme="majorHAnsi"/>
                <w:sz w:val="20"/>
                <w:szCs w:val="20"/>
                <w:lang w:val="ro-MD"/>
              </w:rPr>
              <w:t>v</w:t>
            </w:r>
          </w:p>
        </w:tc>
        <w:tc>
          <w:tcPr>
            <w:tcW w:w="630" w:type="dxa"/>
            <w:shd w:val="clear" w:color="auto" w:fill="F2F2F2" w:themeFill="background1" w:themeFillShade="F2"/>
          </w:tcPr>
          <w:p w:rsidR="00E74001" w:rsidRPr="00401691" w:rsidRDefault="00E74001" w:rsidP="003070D9">
            <w:pPr>
              <w:rPr>
                <w:rFonts w:asciiTheme="majorHAnsi" w:hAnsiTheme="majorHAnsi" w:cstheme="majorHAnsi"/>
                <w:sz w:val="20"/>
                <w:szCs w:val="20"/>
                <w:lang w:val="ro-MD"/>
              </w:rPr>
            </w:pPr>
          </w:p>
        </w:tc>
        <w:tc>
          <w:tcPr>
            <w:tcW w:w="540" w:type="dxa"/>
            <w:shd w:val="clear" w:color="auto" w:fill="F2F2F2" w:themeFill="background1" w:themeFillShade="F2"/>
          </w:tcPr>
          <w:p w:rsidR="00E74001" w:rsidRPr="00401691" w:rsidRDefault="00E74001" w:rsidP="003070D9">
            <w:pPr>
              <w:rPr>
                <w:rFonts w:asciiTheme="majorHAnsi" w:hAnsiTheme="majorHAnsi" w:cstheme="majorHAnsi"/>
                <w:sz w:val="20"/>
                <w:szCs w:val="20"/>
                <w:lang w:val="ro-MD"/>
              </w:rPr>
            </w:pPr>
          </w:p>
        </w:tc>
      </w:tr>
      <w:tr w:rsidR="00E74001" w:rsidRPr="00401691" w:rsidTr="00C72A44">
        <w:trPr>
          <w:gridAfter w:val="1"/>
          <w:wAfter w:w="12" w:type="dxa"/>
          <w:trHeight w:val="132"/>
        </w:trPr>
        <w:tc>
          <w:tcPr>
            <w:tcW w:w="3145" w:type="dxa"/>
          </w:tcPr>
          <w:p w:rsidR="00E74001" w:rsidRPr="00401691" w:rsidRDefault="000C5DF4" w:rsidP="003070D9">
            <w:pPr>
              <w:ind w:left="-18" w:right="-12"/>
              <w:jc w:val="both"/>
              <w:rPr>
                <w:rFonts w:asciiTheme="majorHAnsi" w:eastAsia="Times New Roman" w:hAnsiTheme="majorHAnsi" w:cstheme="majorHAnsi"/>
                <w:sz w:val="20"/>
                <w:szCs w:val="20"/>
                <w:lang w:val="ro-MD" w:eastAsia="ru-RU"/>
              </w:rPr>
            </w:pPr>
            <w:r>
              <w:rPr>
                <w:rFonts w:asciiTheme="majorHAnsi" w:hAnsiTheme="majorHAnsi" w:cstheme="majorHAnsi"/>
                <w:b/>
                <w:bCs/>
                <w:iCs/>
                <w:sz w:val="20"/>
                <w:szCs w:val="20"/>
                <w:lang w:val="ro-MD" w:eastAsia="ru-RU"/>
              </w:rPr>
              <w:t>c</w:t>
            </w:r>
            <w:r w:rsidR="00E74001" w:rsidRPr="00401691">
              <w:rPr>
                <w:rFonts w:asciiTheme="majorHAnsi" w:hAnsiTheme="majorHAnsi" w:cstheme="majorHAnsi"/>
                <w:b/>
                <w:bCs/>
                <w:iCs/>
                <w:sz w:val="20"/>
                <w:szCs w:val="20"/>
                <w:lang w:val="ro-MD" w:eastAsia="ru-RU"/>
              </w:rPr>
              <w:t>erința</w:t>
            </w:r>
            <w:r>
              <w:rPr>
                <w:rFonts w:asciiTheme="majorHAnsi" w:hAnsiTheme="majorHAnsi" w:cstheme="majorHAnsi"/>
                <w:b/>
                <w:bCs/>
                <w:iCs/>
                <w:sz w:val="20"/>
                <w:szCs w:val="20"/>
                <w:lang w:val="ro-MD" w:eastAsia="ru-RU"/>
              </w:rPr>
              <w:t xml:space="preserve"> </w:t>
            </w:r>
            <w:r w:rsidR="00E74001" w:rsidRPr="00401691">
              <w:rPr>
                <w:rFonts w:asciiTheme="majorHAnsi" w:hAnsiTheme="majorHAnsi" w:cstheme="majorHAnsi"/>
                <w:b/>
                <w:bCs/>
                <w:iCs/>
                <w:sz w:val="20"/>
                <w:szCs w:val="20"/>
                <w:lang w:val="ro-MD" w:eastAsia="ru-RU"/>
              </w:rPr>
              <w:t>2.5.3</w:t>
            </w:r>
            <w:r>
              <w:rPr>
                <w:rFonts w:asciiTheme="majorHAnsi" w:hAnsiTheme="majorHAnsi" w:cstheme="majorHAnsi"/>
                <w:b/>
                <w:bCs/>
                <w:iCs/>
                <w:sz w:val="20"/>
                <w:szCs w:val="20"/>
                <w:lang w:val="ro-MD" w:eastAsia="ru-RU"/>
              </w:rPr>
              <w:t>.</w:t>
            </w:r>
            <w:r w:rsidR="00E74001" w:rsidRPr="00401691">
              <w:rPr>
                <w:rFonts w:asciiTheme="majorHAnsi" w:hAnsiTheme="majorHAnsi" w:cstheme="majorHAnsi"/>
                <w:b/>
                <w:bCs/>
                <w:iCs/>
                <w:sz w:val="20"/>
                <w:szCs w:val="20"/>
                <w:lang w:val="ro-MD" w:eastAsia="ru-RU"/>
              </w:rPr>
              <w:t>/</w:t>
            </w:r>
            <w:r w:rsidR="00E74001" w:rsidRPr="00401691">
              <w:rPr>
                <w:rFonts w:asciiTheme="majorHAnsi" w:hAnsiTheme="majorHAnsi" w:cstheme="majorHAnsi"/>
                <w:b/>
                <w:color w:val="3A3A3A"/>
                <w:sz w:val="20"/>
                <w:szCs w:val="20"/>
                <w:shd w:val="clear" w:color="auto" w:fill="FFFFFF"/>
                <w:lang w:val="ro-MD"/>
              </w:rPr>
              <w:t>recomandare</w:t>
            </w:r>
            <w:r>
              <w:rPr>
                <w:rFonts w:asciiTheme="majorHAnsi" w:hAnsiTheme="majorHAnsi" w:cstheme="majorHAnsi"/>
                <w:b/>
                <w:color w:val="3A3A3A"/>
                <w:sz w:val="20"/>
                <w:szCs w:val="20"/>
                <w:shd w:val="clear" w:color="auto" w:fill="FFFFFF"/>
                <w:lang w:val="ro-MD"/>
              </w:rPr>
              <w:t>a</w:t>
            </w:r>
            <w:r w:rsidR="00E74001" w:rsidRPr="00401691">
              <w:rPr>
                <w:rFonts w:asciiTheme="majorHAnsi" w:hAnsiTheme="majorHAnsi" w:cstheme="majorHAnsi"/>
                <w:b/>
                <w:color w:val="3A3A3A"/>
                <w:sz w:val="20"/>
                <w:szCs w:val="20"/>
                <w:shd w:val="clear" w:color="auto" w:fill="FFFFFF"/>
                <w:lang w:val="ro-MD"/>
              </w:rPr>
              <w:t xml:space="preserve"> nr. 4</w:t>
            </w:r>
            <w:r w:rsidR="00E74001" w:rsidRPr="00401691">
              <w:rPr>
                <w:rFonts w:asciiTheme="majorHAnsi" w:hAnsiTheme="majorHAnsi" w:cstheme="majorHAnsi"/>
                <w:b/>
                <w:bCs/>
                <w:iCs/>
                <w:sz w:val="20"/>
                <w:szCs w:val="20"/>
                <w:lang w:val="ro-MD" w:eastAsia="ru-RU"/>
              </w:rPr>
              <w:t xml:space="preserve">: </w:t>
            </w:r>
            <w:r w:rsidR="00E74001" w:rsidRPr="00401691">
              <w:rPr>
                <w:rFonts w:asciiTheme="majorHAnsi" w:hAnsiTheme="majorHAnsi" w:cstheme="majorHAnsi"/>
                <w:bCs/>
                <w:iCs/>
                <w:sz w:val="20"/>
                <w:szCs w:val="20"/>
                <w:lang w:val="ro-MD" w:eastAsia="ru-RU"/>
              </w:rPr>
              <w:t>E</w:t>
            </w:r>
            <w:r w:rsidR="00E74001" w:rsidRPr="00401691">
              <w:rPr>
                <w:rFonts w:asciiTheme="majorHAnsi" w:eastAsia="Times New Roman" w:hAnsiTheme="majorHAnsi" w:cstheme="majorHAnsi"/>
                <w:sz w:val="20"/>
                <w:szCs w:val="20"/>
                <w:lang w:val="ro-MD" w:eastAsia="ru-RU"/>
              </w:rPr>
              <w:t>laborarea și aprobarea, în comun cu alte autorități de resort, a reglementărilor și responsabilităților exhaustive în aspect instituțional privind modul de comercializare a bunurilor sechestrate, inclusiv a valorilor mobiliare.</w:t>
            </w:r>
          </w:p>
          <w:p w:rsidR="00E74001" w:rsidRPr="00401691" w:rsidRDefault="00E74001" w:rsidP="003070D9">
            <w:pPr>
              <w:ind w:left="-18" w:right="-12"/>
              <w:jc w:val="both"/>
              <w:rPr>
                <w:rFonts w:asciiTheme="majorHAnsi" w:hAnsiTheme="majorHAnsi" w:cstheme="majorHAnsi"/>
                <w:sz w:val="20"/>
                <w:szCs w:val="20"/>
                <w:lang w:val="ro-MD"/>
              </w:rPr>
            </w:pPr>
          </w:p>
        </w:tc>
        <w:tc>
          <w:tcPr>
            <w:tcW w:w="5490" w:type="dxa"/>
          </w:tcPr>
          <w:p w:rsidR="00E74001" w:rsidRPr="00401691" w:rsidRDefault="00E74001" w:rsidP="003070D9">
            <w:pPr>
              <w:ind w:left="-18" w:right="-12"/>
              <w:jc w:val="both"/>
              <w:rPr>
                <w:rFonts w:asciiTheme="majorHAnsi" w:hAnsiTheme="majorHAnsi" w:cstheme="majorHAnsi"/>
                <w:color w:val="3A3A3A"/>
                <w:sz w:val="20"/>
                <w:szCs w:val="20"/>
                <w:shd w:val="clear" w:color="auto" w:fill="FFFFFF"/>
                <w:lang w:val="ro-MD"/>
              </w:rPr>
            </w:pPr>
            <w:r w:rsidRPr="00401691">
              <w:rPr>
                <w:rFonts w:asciiTheme="majorHAnsi" w:hAnsiTheme="majorHAnsi" w:cstheme="majorHAnsi"/>
                <w:color w:val="3A3A3A"/>
                <w:sz w:val="20"/>
                <w:szCs w:val="20"/>
                <w:shd w:val="clear" w:color="auto" w:fill="FFFFFF"/>
                <w:lang w:val="ro-MD"/>
              </w:rPr>
              <w:t>Potrivit Legii cu privire la modificarea unor acte legislative nr. 178  din  26.07.2018</w:t>
            </w:r>
            <w:r w:rsidR="00FF70BF">
              <w:rPr>
                <w:rFonts w:asciiTheme="majorHAnsi" w:hAnsiTheme="majorHAnsi" w:cstheme="majorHAnsi"/>
                <w:color w:val="3A3A3A"/>
                <w:sz w:val="20"/>
                <w:szCs w:val="20"/>
                <w:shd w:val="clear" w:color="auto" w:fill="FFFFFF"/>
                <w:lang w:val="ro-MD"/>
              </w:rPr>
              <w:t>,</w:t>
            </w:r>
            <w:r w:rsidRPr="00401691">
              <w:rPr>
                <w:rFonts w:asciiTheme="majorHAnsi" w:hAnsiTheme="majorHAnsi" w:cstheme="majorHAnsi"/>
                <w:color w:val="3A3A3A"/>
                <w:sz w:val="20"/>
                <w:szCs w:val="20"/>
                <w:shd w:val="clear" w:color="auto" w:fill="FFFFFF"/>
                <w:lang w:val="ro-MD"/>
              </w:rPr>
              <w:t xml:space="preserve"> a  fost modificat art. 203 </w:t>
            </w:r>
            <w:r w:rsidR="00FF70BF">
              <w:rPr>
                <w:rFonts w:asciiTheme="majorHAnsi" w:hAnsiTheme="majorHAnsi" w:cstheme="majorHAnsi"/>
                <w:color w:val="3A3A3A"/>
                <w:sz w:val="20"/>
                <w:szCs w:val="20"/>
                <w:shd w:val="clear" w:color="auto" w:fill="FFFFFF"/>
                <w:lang w:val="ro-MD"/>
              </w:rPr>
              <w:t>„</w:t>
            </w:r>
            <w:r w:rsidRPr="00401691">
              <w:rPr>
                <w:rFonts w:asciiTheme="majorHAnsi" w:hAnsiTheme="majorHAnsi" w:cstheme="majorHAnsi"/>
                <w:color w:val="3A3A3A"/>
                <w:sz w:val="20"/>
                <w:szCs w:val="20"/>
                <w:shd w:val="clear" w:color="auto" w:fill="FFFFFF"/>
                <w:lang w:val="ro-MD"/>
              </w:rPr>
              <w:t xml:space="preserve">Comercializarea bunurilor sechestrate” din Codul </w:t>
            </w:r>
            <w:r w:rsidR="00FF70BF">
              <w:rPr>
                <w:rFonts w:asciiTheme="majorHAnsi" w:hAnsiTheme="majorHAnsi" w:cstheme="majorHAnsi"/>
                <w:color w:val="3A3A3A"/>
                <w:sz w:val="20"/>
                <w:szCs w:val="20"/>
                <w:shd w:val="clear" w:color="auto" w:fill="FFFFFF"/>
                <w:lang w:val="ro-MD"/>
              </w:rPr>
              <w:t>f</w:t>
            </w:r>
            <w:r w:rsidRPr="00401691">
              <w:rPr>
                <w:rFonts w:asciiTheme="majorHAnsi" w:hAnsiTheme="majorHAnsi" w:cstheme="majorHAnsi"/>
                <w:color w:val="3A3A3A"/>
                <w:sz w:val="20"/>
                <w:szCs w:val="20"/>
                <w:shd w:val="clear" w:color="auto" w:fill="FFFFFF"/>
                <w:lang w:val="ro-MD"/>
              </w:rPr>
              <w:t>iscal, fiind  instituit un nou mecanism de comercializare a bunurilor sechestrate. În contextul modificărilor efectuate</w:t>
            </w:r>
            <w:r w:rsidR="00FF70BF">
              <w:rPr>
                <w:rFonts w:asciiTheme="majorHAnsi" w:hAnsiTheme="majorHAnsi" w:cstheme="majorHAnsi"/>
                <w:color w:val="3A3A3A"/>
                <w:sz w:val="20"/>
                <w:szCs w:val="20"/>
                <w:shd w:val="clear" w:color="auto" w:fill="FFFFFF"/>
                <w:lang w:val="ro-MD"/>
              </w:rPr>
              <w:t>,</w:t>
            </w:r>
            <w:r w:rsidRPr="00401691">
              <w:rPr>
                <w:rFonts w:asciiTheme="majorHAnsi" w:hAnsiTheme="majorHAnsi" w:cstheme="majorHAnsi"/>
                <w:color w:val="3A3A3A"/>
                <w:sz w:val="20"/>
                <w:szCs w:val="20"/>
                <w:shd w:val="clear" w:color="auto" w:fill="FFFFFF"/>
                <w:lang w:val="ro-MD"/>
              </w:rPr>
              <w:t xml:space="preserve"> responsabilitatea pentru comercializarea   bunurilor revine contribuabilului</w:t>
            </w:r>
            <w:r w:rsidR="00FF70BF">
              <w:rPr>
                <w:rFonts w:asciiTheme="majorHAnsi" w:hAnsiTheme="majorHAnsi" w:cstheme="majorHAnsi"/>
                <w:color w:val="3A3A3A"/>
                <w:sz w:val="20"/>
                <w:szCs w:val="20"/>
                <w:shd w:val="clear" w:color="auto" w:fill="FFFFFF"/>
                <w:lang w:val="ro-MD"/>
              </w:rPr>
              <w:t xml:space="preserve">, </w:t>
            </w:r>
            <w:r w:rsidRPr="00401691">
              <w:rPr>
                <w:rFonts w:asciiTheme="majorHAnsi" w:hAnsiTheme="majorHAnsi" w:cstheme="majorHAnsi"/>
                <w:color w:val="3A3A3A"/>
                <w:sz w:val="20"/>
                <w:szCs w:val="20"/>
                <w:shd w:val="clear" w:color="auto" w:fill="FFFFFF"/>
                <w:lang w:val="ro-MD"/>
              </w:rPr>
              <w:t xml:space="preserve">după coordonarea cu SFS și cu acceptul  acestuia. </w:t>
            </w:r>
          </w:p>
          <w:p w:rsidR="00E74001" w:rsidRPr="00401691" w:rsidRDefault="00E74001">
            <w:pPr>
              <w:ind w:left="-18" w:right="-12"/>
              <w:jc w:val="both"/>
              <w:rPr>
                <w:rFonts w:asciiTheme="majorHAnsi" w:hAnsiTheme="majorHAnsi" w:cstheme="majorHAnsi"/>
                <w:color w:val="3A3A3A"/>
                <w:sz w:val="20"/>
                <w:szCs w:val="20"/>
                <w:shd w:val="clear" w:color="auto" w:fill="FFFFFF"/>
                <w:lang w:val="ro-MD"/>
              </w:rPr>
            </w:pPr>
            <w:r w:rsidRPr="00401691">
              <w:rPr>
                <w:rFonts w:asciiTheme="majorHAnsi" w:hAnsiTheme="majorHAnsi" w:cstheme="majorHAnsi"/>
                <w:color w:val="3A3A3A"/>
                <w:sz w:val="20"/>
                <w:szCs w:val="20"/>
                <w:shd w:val="clear" w:color="auto" w:fill="FFFFFF"/>
                <w:lang w:val="ro-MD"/>
              </w:rPr>
              <w:t>Auditul constată că implementarea acestui  mecanism creează deficiențe privind comercializarea bunurilor sechestrate</w:t>
            </w:r>
            <w:r w:rsidR="00FF70BF">
              <w:rPr>
                <w:rFonts w:asciiTheme="majorHAnsi" w:hAnsiTheme="majorHAnsi" w:cstheme="majorHAnsi"/>
                <w:color w:val="3A3A3A"/>
                <w:sz w:val="20"/>
                <w:szCs w:val="20"/>
                <w:shd w:val="clear" w:color="auto" w:fill="FFFFFF"/>
                <w:lang w:val="ro-MD"/>
              </w:rPr>
              <w:t>,</w:t>
            </w:r>
            <w:r w:rsidRPr="00401691">
              <w:rPr>
                <w:rFonts w:asciiTheme="majorHAnsi" w:hAnsiTheme="majorHAnsi" w:cstheme="majorHAnsi"/>
                <w:color w:val="3A3A3A"/>
                <w:sz w:val="20"/>
                <w:szCs w:val="20"/>
                <w:shd w:val="clear" w:color="auto" w:fill="FFFFFF"/>
                <w:lang w:val="ro-MD"/>
              </w:rPr>
              <w:t xml:space="preserve"> întrucât contribuabilii nu sunt cointeresați să comercializeze bunurile sechestrate, </w:t>
            </w:r>
            <w:r w:rsidR="00FF70BF">
              <w:rPr>
                <w:rFonts w:asciiTheme="majorHAnsi" w:hAnsiTheme="majorHAnsi" w:cstheme="majorHAnsi"/>
                <w:color w:val="3A3A3A"/>
                <w:sz w:val="20"/>
                <w:szCs w:val="20"/>
                <w:shd w:val="clear" w:color="auto" w:fill="FFFFFF"/>
                <w:lang w:val="ro-MD"/>
              </w:rPr>
              <w:t>a căror</w:t>
            </w:r>
            <w:r w:rsidR="00FF70BF" w:rsidRPr="00401691">
              <w:rPr>
                <w:rFonts w:asciiTheme="majorHAnsi" w:hAnsiTheme="majorHAnsi" w:cstheme="majorHAnsi"/>
                <w:color w:val="3A3A3A"/>
                <w:sz w:val="20"/>
                <w:szCs w:val="20"/>
                <w:shd w:val="clear" w:color="auto" w:fill="FFFFFF"/>
                <w:lang w:val="ro-MD"/>
              </w:rPr>
              <w:t xml:space="preserve"> </w:t>
            </w:r>
            <w:r w:rsidRPr="00401691">
              <w:rPr>
                <w:rFonts w:asciiTheme="majorHAnsi" w:hAnsiTheme="majorHAnsi" w:cstheme="majorHAnsi"/>
                <w:color w:val="3A3A3A"/>
                <w:sz w:val="20"/>
                <w:szCs w:val="20"/>
                <w:shd w:val="clear" w:color="auto" w:fill="FFFFFF"/>
                <w:lang w:val="ro-MD"/>
              </w:rPr>
              <w:t>valoare</w:t>
            </w:r>
            <w:r w:rsidR="00FF70BF">
              <w:rPr>
                <w:rFonts w:asciiTheme="majorHAnsi" w:hAnsiTheme="majorHAnsi" w:cstheme="majorHAnsi"/>
                <w:color w:val="3A3A3A"/>
                <w:sz w:val="20"/>
                <w:szCs w:val="20"/>
                <w:shd w:val="clear" w:color="auto" w:fill="FFFFFF"/>
                <w:lang w:val="ro-MD"/>
              </w:rPr>
              <w:t xml:space="preserve"> </w:t>
            </w:r>
            <w:r w:rsidRPr="00401691">
              <w:rPr>
                <w:rFonts w:asciiTheme="majorHAnsi" w:hAnsiTheme="majorHAnsi" w:cstheme="majorHAnsi"/>
                <w:color w:val="3A3A3A"/>
                <w:sz w:val="20"/>
                <w:szCs w:val="20"/>
                <w:shd w:val="clear" w:color="auto" w:fill="FFFFFF"/>
                <w:lang w:val="ro-MD"/>
              </w:rPr>
              <w:t>la situația din 31.12.</w:t>
            </w:r>
            <w:r w:rsidR="00FF70BF">
              <w:rPr>
                <w:rFonts w:asciiTheme="majorHAnsi" w:hAnsiTheme="majorHAnsi" w:cstheme="majorHAnsi"/>
                <w:color w:val="3A3A3A"/>
                <w:sz w:val="20"/>
                <w:szCs w:val="20"/>
                <w:shd w:val="clear" w:color="auto" w:fill="FFFFFF"/>
                <w:lang w:val="ro-MD"/>
              </w:rPr>
              <w:t>20</w:t>
            </w:r>
            <w:r w:rsidRPr="00401691">
              <w:rPr>
                <w:rFonts w:asciiTheme="majorHAnsi" w:hAnsiTheme="majorHAnsi" w:cstheme="majorHAnsi"/>
                <w:color w:val="3A3A3A"/>
                <w:sz w:val="20"/>
                <w:szCs w:val="20"/>
                <w:shd w:val="clear" w:color="auto" w:fill="FFFFFF"/>
                <w:lang w:val="ro-MD"/>
              </w:rPr>
              <w:t>19 a însumat 114,0 mil</w:t>
            </w:r>
            <w:r w:rsidR="00FF70BF">
              <w:rPr>
                <w:rFonts w:asciiTheme="majorHAnsi" w:hAnsiTheme="majorHAnsi" w:cstheme="majorHAnsi"/>
                <w:color w:val="3A3A3A"/>
                <w:sz w:val="20"/>
                <w:szCs w:val="20"/>
                <w:shd w:val="clear" w:color="auto" w:fill="FFFFFF"/>
                <w:lang w:val="ro-MD"/>
              </w:rPr>
              <w:t>.</w:t>
            </w:r>
            <w:r w:rsidRPr="00401691">
              <w:rPr>
                <w:rFonts w:asciiTheme="majorHAnsi" w:hAnsiTheme="majorHAnsi" w:cstheme="majorHAnsi"/>
                <w:color w:val="3A3A3A"/>
                <w:sz w:val="20"/>
                <w:szCs w:val="20"/>
                <w:shd w:val="clear" w:color="auto" w:fill="FFFFFF"/>
                <w:lang w:val="ro-MD"/>
              </w:rPr>
              <w:t xml:space="preserve"> lei. Astfel, în perioada desfășurării auditului conformității, SFS a înaintat Ministerului Finanțelor</w:t>
            </w:r>
            <w:r w:rsidR="00FF70BF">
              <w:rPr>
                <w:rFonts w:asciiTheme="majorHAnsi" w:hAnsiTheme="majorHAnsi" w:cstheme="majorHAnsi"/>
                <w:color w:val="3A3A3A"/>
                <w:sz w:val="20"/>
                <w:szCs w:val="20"/>
                <w:shd w:val="clear" w:color="auto" w:fill="FFFFFF"/>
                <w:lang w:val="ro-MD"/>
              </w:rPr>
              <w:t>,</w:t>
            </w:r>
            <w:r w:rsidRPr="00401691">
              <w:rPr>
                <w:rFonts w:asciiTheme="majorHAnsi" w:hAnsiTheme="majorHAnsi" w:cstheme="majorHAnsi"/>
                <w:color w:val="3A3A3A"/>
                <w:sz w:val="20"/>
                <w:szCs w:val="20"/>
                <w:shd w:val="clear" w:color="auto" w:fill="FFFFFF"/>
                <w:lang w:val="ro-MD"/>
              </w:rPr>
              <w:t xml:space="preserve"> prin scrisoarea nr. 26-12/1-10/14842 din 13 iunie 2020</w:t>
            </w:r>
            <w:r w:rsidR="00FF70BF">
              <w:rPr>
                <w:rFonts w:asciiTheme="majorHAnsi" w:hAnsiTheme="majorHAnsi" w:cstheme="majorHAnsi"/>
                <w:color w:val="3A3A3A"/>
                <w:sz w:val="20"/>
                <w:szCs w:val="20"/>
                <w:shd w:val="clear" w:color="auto" w:fill="FFFFFF"/>
                <w:lang w:val="ro-MD"/>
              </w:rPr>
              <w:t>,</w:t>
            </w:r>
            <w:r w:rsidRPr="00401691">
              <w:rPr>
                <w:rFonts w:asciiTheme="majorHAnsi" w:hAnsiTheme="majorHAnsi" w:cstheme="majorHAnsi"/>
                <w:color w:val="3A3A3A"/>
                <w:sz w:val="20"/>
                <w:szCs w:val="20"/>
                <w:shd w:val="clear" w:color="auto" w:fill="FFFFFF"/>
                <w:lang w:val="ro-MD"/>
              </w:rPr>
              <w:t xml:space="preserve"> propuneri de modificare a art. 203 din Cod</w:t>
            </w:r>
            <w:r w:rsidR="00FF70BF">
              <w:rPr>
                <w:rFonts w:asciiTheme="majorHAnsi" w:hAnsiTheme="majorHAnsi" w:cstheme="majorHAnsi"/>
                <w:color w:val="3A3A3A"/>
                <w:sz w:val="20"/>
                <w:szCs w:val="20"/>
                <w:shd w:val="clear" w:color="auto" w:fill="FFFFFF"/>
                <w:lang w:val="ro-MD"/>
              </w:rPr>
              <w:t>ul</w:t>
            </w:r>
            <w:r w:rsidRPr="00401691">
              <w:rPr>
                <w:rFonts w:asciiTheme="majorHAnsi" w:hAnsiTheme="majorHAnsi" w:cstheme="majorHAnsi"/>
                <w:color w:val="3A3A3A"/>
                <w:sz w:val="20"/>
                <w:szCs w:val="20"/>
                <w:shd w:val="clear" w:color="auto" w:fill="FFFFFF"/>
                <w:lang w:val="ro-MD"/>
              </w:rPr>
              <w:t xml:space="preserve"> fiscal, aferent stabilirii unui termen maxim pentru comercializarea bunurilor de către contribuabil.    </w:t>
            </w:r>
          </w:p>
        </w:tc>
        <w:tc>
          <w:tcPr>
            <w:tcW w:w="540" w:type="dxa"/>
            <w:shd w:val="clear" w:color="auto" w:fill="F2F2F2" w:themeFill="background1" w:themeFillShade="F2"/>
          </w:tcPr>
          <w:p w:rsidR="00E74001" w:rsidRPr="00401691" w:rsidRDefault="00E74001" w:rsidP="003070D9">
            <w:pPr>
              <w:rPr>
                <w:rFonts w:asciiTheme="majorHAnsi" w:hAnsiTheme="majorHAnsi" w:cstheme="majorHAnsi"/>
                <w:sz w:val="20"/>
                <w:szCs w:val="20"/>
                <w:lang w:val="ro-MD"/>
              </w:rPr>
            </w:pPr>
          </w:p>
        </w:tc>
        <w:tc>
          <w:tcPr>
            <w:tcW w:w="630" w:type="dxa"/>
            <w:shd w:val="clear" w:color="auto" w:fill="F2F2F2" w:themeFill="background1" w:themeFillShade="F2"/>
          </w:tcPr>
          <w:p w:rsidR="00E74001" w:rsidRPr="00401691" w:rsidRDefault="00E74001" w:rsidP="003070D9">
            <w:pPr>
              <w:jc w:val="center"/>
              <w:rPr>
                <w:rFonts w:asciiTheme="majorHAnsi" w:hAnsiTheme="majorHAnsi" w:cstheme="majorHAnsi"/>
                <w:sz w:val="20"/>
                <w:szCs w:val="20"/>
                <w:lang w:val="ro-MD"/>
              </w:rPr>
            </w:pPr>
            <w:r w:rsidRPr="00401691">
              <w:rPr>
                <w:rFonts w:asciiTheme="majorHAnsi" w:hAnsiTheme="majorHAnsi" w:cstheme="majorHAnsi"/>
                <w:sz w:val="20"/>
                <w:szCs w:val="20"/>
                <w:lang w:val="ro-MD"/>
              </w:rPr>
              <w:t>v</w:t>
            </w:r>
          </w:p>
        </w:tc>
        <w:tc>
          <w:tcPr>
            <w:tcW w:w="540" w:type="dxa"/>
            <w:shd w:val="clear" w:color="auto" w:fill="F2F2F2" w:themeFill="background1" w:themeFillShade="F2"/>
          </w:tcPr>
          <w:p w:rsidR="00E74001" w:rsidRPr="00401691" w:rsidRDefault="00E74001" w:rsidP="003070D9">
            <w:pPr>
              <w:rPr>
                <w:rFonts w:asciiTheme="majorHAnsi" w:hAnsiTheme="majorHAnsi" w:cstheme="majorHAnsi"/>
                <w:sz w:val="20"/>
                <w:szCs w:val="20"/>
                <w:lang w:val="ro-MD"/>
              </w:rPr>
            </w:pPr>
          </w:p>
        </w:tc>
      </w:tr>
      <w:tr w:rsidR="00E74001" w:rsidRPr="00401691" w:rsidTr="00C72A44">
        <w:trPr>
          <w:gridAfter w:val="1"/>
          <w:wAfter w:w="12" w:type="dxa"/>
          <w:trHeight w:val="132"/>
        </w:trPr>
        <w:tc>
          <w:tcPr>
            <w:tcW w:w="3145" w:type="dxa"/>
          </w:tcPr>
          <w:p w:rsidR="00E74001" w:rsidRPr="00401691" w:rsidRDefault="00E74001" w:rsidP="003070D9">
            <w:pPr>
              <w:tabs>
                <w:tab w:val="left" w:pos="426"/>
                <w:tab w:val="left" w:pos="900"/>
                <w:tab w:val="left" w:pos="1440"/>
                <w:tab w:val="left" w:pos="1980"/>
              </w:tabs>
              <w:ind w:left="-18" w:right="-12"/>
              <w:contextualSpacing/>
              <w:jc w:val="both"/>
              <w:rPr>
                <w:rFonts w:asciiTheme="majorHAnsi" w:eastAsia="Times New Roman" w:hAnsiTheme="majorHAnsi" w:cstheme="majorHAnsi"/>
                <w:sz w:val="20"/>
                <w:szCs w:val="20"/>
                <w:lang w:val="ro-MD" w:eastAsia="ru-RU"/>
              </w:rPr>
            </w:pPr>
            <w:r w:rsidRPr="00401691">
              <w:rPr>
                <w:rFonts w:asciiTheme="majorHAnsi" w:eastAsia="Times New Roman" w:hAnsiTheme="majorHAnsi" w:cstheme="majorHAnsi"/>
                <w:b/>
                <w:sz w:val="20"/>
                <w:szCs w:val="20"/>
                <w:lang w:val="ro-MD" w:eastAsia="ru-RU"/>
              </w:rPr>
              <w:t>cerința 2.5.4</w:t>
            </w:r>
            <w:r w:rsidR="000C5DF4">
              <w:rPr>
                <w:rFonts w:asciiTheme="majorHAnsi" w:eastAsia="Times New Roman" w:hAnsiTheme="majorHAnsi" w:cstheme="majorHAnsi"/>
                <w:b/>
                <w:sz w:val="20"/>
                <w:szCs w:val="20"/>
                <w:lang w:val="ro-MD" w:eastAsia="ru-RU"/>
              </w:rPr>
              <w:t>.</w:t>
            </w:r>
            <w:r w:rsidRPr="00401691">
              <w:rPr>
                <w:rFonts w:asciiTheme="majorHAnsi" w:eastAsia="Times New Roman" w:hAnsiTheme="majorHAnsi" w:cstheme="majorHAnsi"/>
                <w:b/>
                <w:sz w:val="20"/>
                <w:szCs w:val="20"/>
                <w:lang w:val="ro-MD" w:eastAsia="ru-RU"/>
              </w:rPr>
              <w:t>/recomandare</w:t>
            </w:r>
            <w:r w:rsidR="000C5DF4">
              <w:rPr>
                <w:rFonts w:asciiTheme="majorHAnsi" w:eastAsia="Times New Roman" w:hAnsiTheme="majorHAnsi" w:cstheme="majorHAnsi"/>
                <w:b/>
                <w:sz w:val="20"/>
                <w:szCs w:val="20"/>
                <w:lang w:val="ro-MD" w:eastAsia="ru-RU"/>
              </w:rPr>
              <w:t>a</w:t>
            </w:r>
            <w:r w:rsidRPr="00401691">
              <w:rPr>
                <w:rFonts w:asciiTheme="majorHAnsi" w:eastAsia="Times New Roman" w:hAnsiTheme="majorHAnsi" w:cstheme="majorHAnsi"/>
                <w:b/>
                <w:sz w:val="20"/>
                <w:szCs w:val="20"/>
                <w:lang w:val="ro-MD" w:eastAsia="ru-RU"/>
              </w:rPr>
              <w:t xml:space="preserve"> nr. 5:</w:t>
            </w:r>
            <w:r w:rsidRPr="00401691">
              <w:rPr>
                <w:rFonts w:asciiTheme="majorHAnsi" w:eastAsia="Times New Roman" w:hAnsiTheme="majorHAnsi" w:cstheme="majorHAnsi"/>
                <w:sz w:val="20"/>
                <w:szCs w:val="20"/>
                <w:lang w:val="ro-MD" w:eastAsia="ru-RU"/>
              </w:rPr>
              <w:t xml:space="preserve"> Intensificarea exercitării controalelor fiscale de rigoare la executorii judecătorești asupra respectării cadrului normativ aferent.</w:t>
            </w:r>
          </w:p>
          <w:p w:rsidR="00E74001" w:rsidRPr="00401691" w:rsidRDefault="00E74001" w:rsidP="003070D9">
            <w:pPr>
              <w:ind w:left="-18" w:right="-12"/>
              <w:jc w:val="both"/>
              <w:rPr>
                <w:rFonts w:asciiTheme="majorHAnsi" w:hAnsiTheme="majorHAnsi" w:cstheme="majorHAnsi"/>
                <w:b/>
                <w:bCs/>
                <w:iCs/>
                <w:sz w:val="20"/>
                <w:szCs w:val="20"/>
                <w:lang w:val="ro-MD" w:eastAsia="ru-RU"/>
              </w:rPr>
            </w:pPr>
          </w:p>
        </w:tc>
        <w:tc>
          <w:tcPr>
            <w:tcW w:w="5490" w:type="dxa"/>
          </w:tcPr>
          <w:p w:rsidR="00E74001" w:rsidRPr="00401691" w:rsidRDefault="00E74001" w:rsidP="003070D9">
            <w:pPr>
              <w:ind w:left="-18" w:right="-12"/>
              <w:jc w:val="both"/>
              <w:rPr>
                <w:rFonts w:asciiTheme="majorHAnsi" w:hAnsiTheme="majorHAnsi" w:cstheme="majorHAnsi"/>
                <w:color w:val="3A3A3A"/>
                <w:sz w:val="20"/>
                <w:szCs w:val="20"/>
                <w:shd w:val="clear" w:color="auto" w:fill="FFFFFF"/>
                <w:lang w:val="ro-MD"/>
              </w:rPr>
            </w:pPr>
            <w:r w:rsidRPr="00401691">
              <w:rPr>
                <w:rFonts w:asciiTheme="majorHAnsi" w:hAnsiTheme="majorHAnsi" w:cstheme="majorHAnsi"/>
                <w:color w:val="3A3A3A"/>
                <w:sz w:val="20"/>
                <w:szCs w:val="20"/>
                <w:shd w:val="clear" w:color="auto" w:fill="FFFFFF"/>
                <w:lang w:val="ro-MD"/>
              </w:rPr>
              <w:t xml:space="preserve">Prin Ordinul </w:t>
            </w:r>
            <w:r w:rsidR="00FF70BF" w:rsidRPr="00074CA7">
              <w:rPr>
                <w:rFonts w:asciiTheme="majorHAnsi" w:hAnsiTheme="majorHAnsi" w:cstheme="majorHAnsi"/>
                <w:color w:val="3A3A3A"/>
                <w:sz w:val="20"/>
                <w:szCs w:val="20"/>
                <w:shd w:val="clear" w:color="auto" w:fill="FFFFFF"/>
                <w:lang w:val="ro-MD"/>
              </w:rPr>
              <w:t>SFS</w:t>
            </w:r>
            <w:r w:rsidR="00FF70BF">
              <w:rPr>
                <w:rFonts w:asciiTheme="majorHAnsi" w:hAnsiTheme="majorHAnsi" w:cstheme="majorHAnsi"/>
                <w:color w:val="3A3A3A"/>
                <w:sz w:val="20"/>
                <w:szCs w:val="20"/>
                <w:shd w:val="clear" w:color="auto" w:fill="FFFFFF"/>
                <w:lang w:val="ro-MD"/>
              </w:rPr>
              <w:t xml:space="preserve"> </w:t>
            </w:r>
            <w:r w:rsidRPr="00401691">
              <w:rPr>
                <w:rFonts w:asciiTheme="majorHAnsi" w:hAnsiTheme="majorHAnsi" w:cstheme="majorHAnsi"/>
                <w:color w:val="3A3A3A"/>
                <w:sz w:val="20"/>
                <w:szCs w:val="20"/>
                <w:shd w:val="clear" w:color="auto" w:fill="FFFFFF"/>
                <w:lang w:val="ro-MD"/>
              </w:rPr>
              <w:t xml:space="preserve">nr.236 din 31.07.2017, a fost aprobată Instrucțiunea cu privire la efectuarea controlului respectării prevederilor legale de către executorii judecătorești.  </w:t>
            </w:r>
          </w:p>
          <w:p w:rsidR="00E74001" w:rsidRPr="00401691" w:rsidRDefault="00E74001" w:rsidP="003070D9">
            <w:pPr>
              <w:ind w:left="-18" w:right="-12"/>
              <w:jc w:val="both"/>
              <w:rPr>
                <w:rFonts w:asciiTheme="majorHAnsi" w:hAnsiTheme="majorHAnsi" w:cstheme="majorHAnsi"/>
                <w:color w:val="3A3A3A"/>
                <w:sz w:val="20"/>
                <w:szCs w:val="20"/>
                <w:shd w:val="clear" w:color="auto" w:fill="FFFFFF"/>
                <w:lang w:val="ro-MD"/>
              </w:rPr>
            </w:pPr>
            <w:r w:rsidRPr="00401691">
              <w:rPr>
                <w:rFonts w:asciiTheme="majorHAnsi" w:hAnsiTheme="majorHAnsi" w:cstheme="majorHAnsi"/>
                <w:color w:val="3A3A3A"/>
                <w:sz w:val="20"/>
                <w:szCs w:val="20"/>
                <w:shd w:val="clear" w:color="auto" w:fill="FFFFFF"/>
                <w:lang w:val="ro-MD"/>
              </w:rPr>
              <w:t xml:space="preserve">În anul 2017, SFS: </w:t>
            </w:r>
          </w:p>
          <w:p w:rsidR="00E74001" w:rsidRPr="00401691" w:rsidRDefault="00E74001" w:rsidP="003070D9">
            <w:pPr>
              <w:pStyle w:val="ListParagraph"/>
              <w:numPr>
                <w:ilvl w:val="0"/>
                <w:numId w:val="19"/>
              </w:numPr>
              <w:tabs>
                <w:tab w:val="left" w:pos="246"/>
              </w:tabs>
              <w:ind w:left="0" w:right="-12" w:firstLine="66"/>
              <w:jc w:val="both"/>
              <w:rPr>
                <w:rFonts w:asciiTheme="majorHAnsi" w:hAnsiTheme="majorHAnsi" w:cstheme="majorHAnsi"/>
                <w:color w:val="3A3A3A"/>
                <w:sz w:val="20"/>
                <w:szCs w:val="20"/>
                <w:shd w:val="clear" w:color="auto" w:fill="FFFFFF"/>
                <w:lang w:val="ro-MD"/>
              </w:rPr>
            </w:pPr>
            <w:r w:rsidRPr="00401691">
              <w:rPr>
                <w:rFonts w:asciiTheme="majorHAnsi" w:hAnsiTheme="majorHAnsi" w:cstheme="majorHAnsi"/>
                <w:color w:val="3A3A3A"/>
                <w:sz w:val="20"/>
                <w:szCs w:val="20"/>
                <w:shd w:val="clear" w:color="auto" w:fill="FFFFFF"/>
                <w:lang w:val="ro-MD"/>
              </w:rPr>
              <w:t>a efectuat 27 de controale fiscale tematice referitor la acțiunile de executare silită de către executorii judecătorești, fiind calculate suplimentar la buget 583,6 mii lei;</w:t>
            </w:r>
          </w:p>
          <w:p w:rsidR="00E74001" w:rsidRPr="00401691" w:rsidRDefault="00E74001" w:rsidP="003070D9">
            <w:pPr>
              <w:pStyle w:val="ListParagraph"/>
              <w:numPr>
                <w:ilvl w:val="0"/>
                <w:numId w:val="19"/>
              </w:numPr>
              <w:tabs>
                <w:tab w:val="left" w:pos="246"/>
              </w:tabs>
              <w:ind w:left="0" w:right="-12" w:firstLine="66"/>
              <w:jc w:val="both"/>
              <w:rPr>
                <w:rFonts w:asciiTheme="majorHAnsi" w:hAnsiTheme="majorHAnsi" w:cstheme="majorHAnsi"/>
                <w:color w:val="3A3A3A"/>
                <w:sz w:val="20"/>
                <w:szCs w:val="20"/>
                <w:shd w:val="clear" w:color="auto" w:fill="FFFFFF"/>
                <w:lang w:val="ro-MD"/>
              </w:rPr>
            </w:pPr>
            <w:r w:rsidRPr="00401691">
              <w:rPr>
                <w:rFonts w:asciiTheme="majorHAnsi" w:hAnsiTheme="majorHAnsi" w:cstheme="majorHAnsi"/>
                <w:color w:val="3A3A3A"/>
                <w:sz w:val="20"/>
                <w:szCs w:val="20"/>
                <w:shd w:val="clear" w:color="auto" w:fill="FFFFFF"/>
                <w:lang w:val="ro-MD"/>
              </w:rPr>
              <w:t xml:space="preserve">a planificat 142 </w:t>
            </w:r>
            <w:r w:rsidR="00FF70BF">
              <w:rPr>
                <w:rFonts w:asciiTheme="majorHAnsi" w:hAnsiTheme="majorHAnsi" w:cstheme="majorHAnsi"/>
                <w:color w:val="3A3A3A"/>
                <w:sz w:val="20"/>
                <w:szCs w:val="20"/>
                <w:shd w:val="clear" w:color="auto" w:fill="FFFFFF"/>
                <w:lang w:val="ro-MD"/>
              </w:rPr>
              <w:t xml:space="preserve">de </w:t>
            </w:r>
            <w:r w:rsidRPr="00401691">
              <w:rPr>
                <w:rFonts w:asciiTheme="majorHAnsi" w:hAnsiTheme="majorHAnsi" w:cstheme="majorHAnsi"/>
                <w:color w:val="3A3A3A"/>
                <w:sz w:val="20"/>
                <w:szCs w:val="20"/>
                <w:shd w:val="clear" w:color="auto" w:fill="FFFFFF"/>
                <w:lang w:val="ro-MD"/>
              </w:rPr>
              <w:t xml:space="preserve">controale fiscale prin metoda de verificare totală la executorii judecătorești, </w:t>
            </w:r>
            <w:r w:rsidR="00FF70BF">
              <w:rPr>
                <w:rFonts w:asciiTheme="majorHAnsi" w:hAnsiTheme="majorHAnsi" w:cstheme="majorHAnsi"/>
                <w:color w:val="3A3A3A"/>
                <w:sz w:val="20"/>
                <w:szCs w:val="20"/>
                <w:shd w:val="clear" w:color="auto" w:fill="FFFFFF"/>
                <w:lang w:val="ro-MD"/>
              </w:rPr>
              <w:t>iar</w:t>
            </w:r>
            <w:r w:rsidRPr="00401691">
              <w:rPr>
                <w:rFonts w:asciiTheme="majorHAnsi" w:hAnsiTheme="majorHAnsi" w:cstheme="majorHAnsi"/>
                <w:color w:val="3A3A3A"/>
                <w:sz w:val="20"/>
                <w:szCs w:val="20"/>
                <w:shd w:val="clear" w:color="auto" w:fill="FFFFFF"/>
                <w:lang w:val="ro-MD"/>
              </w:rPr>
              <w:t xml:space="preserve"> pe parcursul anilor 2017-2018 au fost definitivate 140 de controale fiscale. Ca rezultat, au fost calculate suplimentar la buget 1505,9 mii lei. Totodată</w:t>
            </w:r>
            <w:r w:rsidR="00FF70BF">
              <w:rPr>
                <w:rFonts w:asciiTheme="majorHAnsi" w:hAnsiTheme="majorHAnsi" w:cstheme="majorHAnsi"/>
                <w:color w:val="3A3A3A"/>
                <w:sz w:val="20"/>
                <w:szCs w:val="20"/>
                <w:shd w:val="clear" w:color="auto" w:fill="FFFFFF"/>
                <w:lang w:val="ro-MD"/>
              </w:rPr>
              <w:t>,</w:t>
            </w:r>
            <w:r w:rsidRPr="00401691">
              <w:rPr>
                <w:rFonts w:asciiTheme="majorHAnsi" w:hAnsiTheme="majorHAnsi" w:cstheme="majorHAnsi"/>
                <w:color w:val="3A3A3A"/>
                <w:sz w:val="20"/>
                <w:szCs w:val="20"/>
                <w:shd w:val="clear" w:color="auto" w:fill="FFFFFF"/>
                <w:lang w:val="ro-MD"/>
              </w:rPr>
              <w:t xml:space="preserve"> se comunică că doi executori judecătorești au fost excluși din lista controalelor pentru anii 2017-2018, în temeiul aplicării prevederilor art. 16 din Legea nr. 180 din 26.07.2018 privind declararea voluntară și stimularea fiscală.</w:t>
            </w:r>
          </w:p>
          <w:p w:rsidR="00E74001" w:rsidRPr="00401691" w:rsidRDefault="00E74001" w:rsidP="003070D9">
            <w:pPr>
              <w:ind w:left="-18" w:right="-12"/>
              <w:jc w:val="both"/>
              <w:rPr>
                <w:rFonts w:asciiTheme="majorHAnsi" w:hAnsiTheme="majorHAnsi" w:cstheme="majorHAnsi"/>
                <w:color w:val="3A3A3A"/>
                <w:sz w:val="20"/>
                <w:szCs w:val="20"/>
                <w:shd w:val="clear" w:color="auto" w:fill="FFFFFF"/>
                <w:lang w:val="ro-MD"/>
              </w:rPr>
            </w:pPr>
            <w:r w:rsidRPr="00401691">
              <w:rPr>
                <w:rFonts w:asciiTheme="majorHAnsi" w:hAnsiTheme="majorHAnsi" w:cstheme="majorHAnsi"/>
                <w:color w:val="3A3A3A"/>
                <w:sz w:val="20"/>
                <w:szCs w:val="20"/>
                <w:shd w:val="clear" w:color="auto" w:fill="FFFFFF"/>
                <w:lang w:val="ro-MD"/>
              </w:rPr>
              <w:t xml:space="preserve">În anul 2019, SFS a efectuat vizite fiscale la 34 </w:t>
            </w:r>
            <w:r w:rsidR="00137EB1">
              <w:rPr>
                <w:rFonts w:asciiTheme="majorHAnsi" w:hAnsiTheme="majorHAnsi" w:cstheme="majorHAnsi"/>
                <w:color w:val="3A3A3A"/>
                <w:sz w:val="20"/>
                <w:szCs w:val="20"/>
                <w:shd w:val="clear" w:color="auto" w:fill="FFFFFF"/>
                <w:lang w:val="ro-MD"/>
              </w:rPr>
              <w:t xml:space="preserve">de </w:t>
            </w:r>
            <w:r w:rsidRPr="00401691">
              <w:rPr>
                <w:rFonts w:asciiTheme="majorHAnsi" w:hAnsiTheme="majorHAnsi" w:cstheme="majorHAnsi"/>
                <w:color w:val="3A3A3A"/>
                <w:sz w:val="20"/>
                <w:szCs w:val="20"/>
                <w:shd w:val="clear" w:color="auto" w:fill="FFFFFF"/>
                <w:lang w:val="ro-MD"/>
              </w:rPr>
              <w:t>executori judecătorești</w:t>
            </w:r>
            <w:r w:rsidR="00137EB1">
              <w:rPr>
                <w:rFonts w:asciiTheme="majorHAnsi" w:hAnsiTheme="majorHAnsi" w:cstheme="majorHAnsi"/>
                <w:color w:val="3A3A3A"/>
                <w:sz w:val="20"/>
                <w:szCs w:val="20"/>
                <w:shd w:val="clear" w:color="auto" w:fill="FFFFFF"/>
                <w:lang w:val="ro-MD"/>
              </w:rPr>
              <w:t>,</w:t>
            </w:r>
            <w:r w:rsidRPr="00401691">
              <w:rPr>
                <w:rFonts w:asciiTheme="majorHAnsi" w:hAnsiTheme="majorHAnsi" w:cstheme="majorHAnsi"/>
                <w:color w:val="3A3A3A"/>
                <w:sz w:val="20"/>
                <w:szCs w:val="20"/>
                <w:shd w:val="clear" w:color="auto" w:fill="FFFFFF"/>
                <w:lang w:val="ro-MD"/>
              </w:rPr>
              <w:t xml:space="preserve"> în scopul contrapunerii și verificării informației ce ține de avansurile efectuate de către SFS</w:t>
            </w:r>
            <w:r w:rsidR="00137EB1">
              <w:rPr>
                <w:rFonts w:asciiTheme="majorHAnsi" w:hAnsiTheme="majorHAnsi" w:cstheme="majorHAnsi"/>
                <w:color w:val="3A3A3A"/>
                <w:sz w:val="20"/>
                <w:szCs w:val="20"/>
                <w:shd w:val="clear" w:color="auto" w:fill="FFFFFF"/>
                <w:lang w:val="ro-MD"/>
              </w:rPr>
              <w:t>,</w:t>
            </w:r>
            <w:r w:rsidRPr="00401691">
              <w:rPr>
                <w:rFonts w:asciiTheme="majorHAnsi" w:hAnsiTheme="majorHAnsi" w:cstheme="majorHAnsi"/>
                <w:color w:val="3A3A3A"/>
                <w:sz w:val="20"/>
                <w:szCs w:val="20"/>
                <w:shd w:val="clear" w:color="auto" w:fill="FFFFFF"/>
                <w:lang w:val="ro-MD"/>
              </w:rPr>
              <w:t xml:space="preserve"> precum și </w:t>
            </w:r>
            <w:r w:rsidR="00137EB1">
              <w:rPr>
                <w:rFonts w:asciiTheme="majorHAnsi" w:hAnsiTheme="majorHAnsi" w:cstheme="majorHAnsi"/>
                <w:color w:val="3A3A3A"/>
                <w:sz w:val="20"/>
                <w:szCs w:val="20"/>
                <w:shd w:val="clear" w:color="auto" w:fill="FFFFFF"/>
                <w:lang w:val="ro-MD"/>
              </w:rPr>
              <w:t xml:space="preserve">de </w:t>
            </w:r>
            <w:r w:rsidRPr="00401691">
              <w:rPr>
                <w:rFonts w:asciiTheme="majorHAnsi" w:hAnsiTheme="majorHAnsi" w:cstheme="majorHAnsi"/>
                <w:color w:val="3A3A3A"/>
                <w:sz w:val="20"/>
                <w:szCs w:val="20"/>
                <w:shd w:val="clear" w:color="auto" w:fill="FFFFFF"/>
                <w:lang w:val="ro-MD"/>
              </w:rPr>
              <w:t>acțiunile întreprinse și inacțiunile admise, ca rezultat</w:t>
            </w:r>
            <w:r w:rsidR="00137EB1">
              <w:rPr>
                <w:rFonts w:asciiTheme="majorHAnsi" w:hAnsiTheme="majorHAnsi" w:cstheme="majorHAnsi"/>
                <w:color w:val="3A3A3A"/>
                <w:sz w:val="20"/>
                <w:szCs w:val="20"/>
                <w:shd w:val="clear" w:color="auto" w:fill="FFFFFF"/>
                <w:lang w:val="ro-MD"/>
              </w:rPr>
              <w:t>,</w:t>
            </w:r>
            <w:r w:rsidRPr="00401691">
              <w:rPr>
                <w:rFonts w:asciiTheme="majorHAnsi" w:hAnsiTheme="majorHAnsi" w:cstheme="majorHAnsi"/>
                <w:color w:val="3A3A3A"/>
                <w:sz w:val="20"/>
                <w:szCs w:val="20"/>
                <w:shd w:val="clear" w:color="auto" w:fill="FFFFFF"/>
                <w:lang w:val="ro-MD"/>
              </w:rPr>
              <w:t xml:space="preserve"> fiind restituite la buget sumele </w:t>
            </w:r>
            <w:r w:rsidR="00137EB1" w:rsidRPr="005C7A4B">
              <w:rPr>
                <w:rFonts w:asciiTheme="majorHAnsi" w:hAnsiTheme="majorHAnsi" w:cstheme="majorHAnsi"/>
                <w:color w:val="3A3A3A"/>
                <w:sz w:val="20"/>
                <w:szCs w:val="20"/>
                <w:shd w:val="clear" w:color="auto" w:fill="FFFFFF"/>
                <w:lang w:val="ro-MD"/>
              </w:rPr>
              <w:t xml:space="preserve">achitate în </w:t>
            </w:r>
            <w:r w:rsidRPr="005C7A4B">
              <w:rPr>
                <w:rFonts w:asciiTheme="majorHAnsi" w:hAnsiTheme="majorHAnsi" w:cstheme="majorHAnsi"/>
                <w:color w:val="3A3A3A"/>
                <w:sz w:val="20"/>
                <w:szCs w:val="20"/>
                <w:shd w:val="clear" w:color="auto" w:fill="FFFFFF"/>
                <w:lang w:val="ro-MD"/>
              </w:rPr>
              <w:t>avans de</w:t>
            </w:r>
            <w:r w:rsidRPr="00401691">
              <w:rPr>
                <w:rFonts w:asciiTheme="majorHAnsi" w:hAnsiTheme="majorHAnsi" w:cstheme="majorHAnsi"/>
                <w:color w:val="3A3A3A"/>
                <w:sz w:val="20"/>
                <w:szCs w:val="20"/>
                <w:shd w:val="clear" w:color="auto" w:fill="FFFFFF"/>
                <w:lang w:val="ro-MD"/>
              </w:rPr>
              <w:t xml:space="preserve"> 421, 4 mii lei.      </w:t>
            </w:r>
          </w:p>
        </w:tc>
        <w:tc>
          <w:tcPr>
            <w:tcW w:w="540" w:type="dxa"/>
            <w:shd w:val="clear" w:color="auto" w:fill="F2F2F2" w:themeFill="background1" w:themeFillShade="F2"/>
          </w:tcPr>
          <w:p w:rsidR="00E74001" w:rsidRPr="00401691" w:rsidRDefault="00E74001" w:rsidP="003070D9">
            <w:pPr>
              <w:jc w:val="center"/>
              <w:rPr>
                <w:rFonts w:asciiTheme="majorHAnsi" w:hAnsiTheme="majorHAnsi" w:cstheme="majorHAnsi"/>
                <w:sz w:val="20"/>
                <w:szCs w:val="20"/>
                <w:lang w:val="ro-MD"/>
              </w:rPr>
            </w:pPr>
            <w:r w:rsidRPr="00401691">
              <w:rPr>
                <w:rFonts w:asciiTheme="majorHAnsi" w:hAnsiTheme="majorHAnsi" w:cstheme="majorHAnsi"/>
                <w:sz w:val="20"/>
                <w:szCs w:val="20"/>
                <w:lang w:val="ro-MD"/>
              </w:rPr>
              <w:t>v</w:t>
            </w:r>
          </w:p>
          <w:p w:rsidR="00E74001" w:rsidRPr="00401691" w:rsidRDefault="00E74001" w:rsidP="003070D9">
            <w:pPr>
              <w:jc w:val="center"/>
              <w:rPr>
                <w:rFonts w:asciiTheme="majorHAnsi" w:hAnsiTheme="majorHAnsi" w:cstheme="majorHAnsi"/>
                <w:sz w:val="20"/>
                <w:szCs w:val="20"/>
                <w:lang w:val="ro-MD"/>
              </w:rPr>
            </w:pPr>
          </w:p>
        </w:tc>
        <w:tc>
          <w:tcPr>
            <w:tcW w:w="630" w:type="dxa"/>
            <w:shd w:val="clear" w:color="auto" w:fill="F2F2F2" w:themeFill="background1" w:themeFillShade="F2"/>
          </w:tcPr>
          <w:p w:rsidR="00E74001" w:rsidRPr="00401691" w:rsidRDefault="00E74001" w:rsidP="003070D9">
            <w:pPr>
              <w:jc w:val="center"/>
              <w:rPr>
                <w:rFonts w:asciiTheme="majorHAnsi" w:hAnsiTheme="majorHAnsi" w:cstheme="majorHAnsi"/>
                <w:sz w:val="20"/>
                <w:szCs w:val="20"/>
                <w:highlight w:val="yellow"/>
                <w:lang w:val="ro-MD"/>
              </w:rPr>
            </w:pPr>
          </w:p>
        </w:tc>
        <w:tc>
          <w:tcPr>
            <w:tcW w:w="540" w:type="dxa"/>
            <w:shd w:val="clear" w:color="auto" w:fill="F2F2F2" w:themeFill="background1" w:themeFillShade="F2"/>
          </w:tcPr>
          <w:p w:rsidR="00E74001" w:rsidRPr="00401691" w:rsidRDefault="00E74001" w:rsidP="003070D9">
            <w:pPr>
              <w:rPr>
                <w:rFonts w:asciiTheme="majorHAnsi" w:hAnsiTheme="majorHAnsi" w:cstheme="majorHAnsi"/>
                <w:sz w:val="20"/>
                <w:szCs w:val="20"/>
                <w:lang w:val="ro-MD"/>
              </w:rPr>
            </w:pPr>
          </w:p>
        </w:tc>
      </w:tr>
      <w:tr w:rsidR="00E74001" w:rsidRPr="00401691" w:rsidTr="00C72A44">
        <w:trPr>
          <w:gridAfter w:val="1"/>
          <w:wAfter w:w="12" w:type="dxa"/>
          <w:trHeight w:val="132"/>
        </w:trPr>
        <w:tc>
          <w:tcPr>
            <w:tcW w:w="3145" w:type="dxa"/>
          </w:tcPr>
          <w:p w:rsidR="00E74001" w:rsidRPr="00401691" w:rsidRDefault="00E74001" w:rsidP="003070D9">
            <w:pPr>
              <w:ind w:left="-18" w:right="-12"/>
              <w:jc w:val="both"/>
              <w:rPr>
                <w:rFonts w:asciiTheme="majorHAnsi" w:hAnsiTheme="majorHAnsi" w:cstheme="majorHAnsi"/>
                <w:sz w:val="20"/>
                <w:szCs w:val="20"/>
                <w:lang w:val="ro-MD"/>
              </w:rPr>
            </w:pPr>
            <w:r w:rsidRPr="00401691">
              <w:rPr>
                <w:rFonts w:asciiTheme="majorHAnsi" w:hAnsiTheme="majorHAnsi" w:cstheme="majorHAnsi"/>
                <w:b/>
                <w:sz w:val="20"/>
                <w:szCs w:val="20"/>
                <w:lang w:val="ro-MD"/>
              </w:rPr>
              <w:t>recomandare</w:t>
            </w:r>
            <w:r w:rsidR="000C5DF4">
              <w:rPr>
                <w:rFonts w:asciiTheme="majorHAnsi" w:hAnsiTheme="majorHAnsi" w:cstheme="majorHAnsi"/>
                <w:b/>
                <w:sz w:val="20"/>
                <w:szCs w:val="20"/>
                <w:lang w:val="ro-MD"/>
              </w:rPr>
              <w:t>a</w:t>
            </w:r>
            <w:r w:rsidRPr="00401691">
              <w:rPr>
                <w:rFonts w:asciiTheme="majorHAnsi" w:hAnsiTheme="majorHAnsi" w:cstheme="majorHAnsi"/>
                <w:b/>
                <w:sz w:val="20"/>
                <w:szCs w:val="20"/>
                <w:lang w:val="ro-MD"/>
              </w:rPr>
              <w:t xml:space="preserve"> nr. 1:</w:t>
            </w:r>
            <w:r w:rsidRPr="00401691">
              <w:rPr>
                <w:rFonts w:asciiTheme="majorHAnsi" w:hAnsiTheme="majorHAnsi" w:cstheme="majorHAnsi"/>
                <w:sz w:val="20"/>
                <w:szCs w:val="20"/>
                <w:lang w:val="ro-MD"/>
              </w:rPr>
              <w:t xml:space="preserve"> Să  dispună elaborarea și aprobarea unui plan de măsuri în vederea îmbunătățirii rezultatelor  acțiunilor de executare silită a obligațiilor fiscale restante.</w:t>
            </w:r>
          </w:p>
        </w:tc>
        <w:tc>
          <w:tcPr>
            <w:tcW w:w="5490" w:type="dxa"/>
          </w:tcPr>
          <w:p w:rsidR="00E74001" w:rsidRPr="00401691" w:rsidRDefault="00E74001" w:rsidP="003070D9">
            <w:pPr>
              <w:ind w:left="-18" w:right="-12"/>
              <w:jc w:val="both"/>
              <w:rPr>
                <w:rFonts w:asciiTheme="majorHAnsi" w:hAnsiTheme="majorHAnsi" w:cstheme="majorHAnsi"/>
                <w:sz w:val="20"/>
                <w:szCs w:val="20"/>
                <w:lang w:val="ro-MD"/>
              </w:rPr>
            </w:pPr>
            <w:r w:rsidRPr="00401691">
              <w:rPr>
                <w:rFonts w:asciiTheme="majorHAnsi" w:hAnsiTheme="majorHAnsi" w:cstheme="majorHAnsi"/>
                <w:color w:val="3A3A3A"/>
                <w:sz w:val="20"/>
                <w:szCs w:val="20"/>
                <w:shd w:val="clear" w:color="auto" w:fill="FFFFFF"/>
                <w:lang w:val="ro-MD"/>
              </w:rPr>
              <w:t>Măsurile de îmbunătățire a rezultatelor acțiunilor de executare silită a obligațiilor fiscale restante au fost elaborate și aprobate prin Ordinul SFS nr.212 din 12.07.2017 „Cu privire la măsurile de executare a Hotărârii Curții de Conturi nr.20”.</w:t>
            </w:r>
          </w:p>
        </w:tc>
        <w:tc>
          <w:tcPr>
            <w:tcW w:w="540" w:type="dxa"/>
            <w:shd w:val="clear" w:color="auto" w:fill="F2F2F2" w:themeFill="background1" w:themeFillShade="F2"/>
          </w:tcPr>
          <w:p w:rsidR="00E74001" w:rsidRPr="00401691" w:rsidRDefault="00E74001" w:rsidP="003070D9">
            <w:pPr>
              <w:jc w:val="center"/>
              <w:rPr>
                <w:rFonts w:asciiTheme="majorHAnsi" w:hAnsiTheme="majorHAnsi" w:cstheme="majorHAnsi"/>
                <w:sz w:val="20"/>
                <w:szCs w:val="20"/>
                <w:lang w:val="ro-MD"/>
              </w:rPr>
            </w:pPr>
            <w:r w:rsidRPr="00401691">
              <w:rPr>
                <w:rFonts w:asciiTheme="majorHAnsi" w:hAnsiTheme="majorHAnsi" w:cstheme="majorHAnsi"/>
                <w:sz w:val="20"/>
                <w:szCs w:val="20"/>
                <w:lang w:val="ro-MD"/>
              </w:rPr>
              <w:t>v</w:t>
            </w:r>
          </w:p>
        </w:tc>
        <w:tc>
          <w:tcPr>
            <w:tcW w:w="630" w:type="dxa"/>
            <w:shd w:val="clear" w:color="auto" w:fill="F2F2F2" w:themeFill="background1" w:themeFillShade="F2"/>
          </w:tcPr>
          <w:p w:rsidR="00E74001" w:rsidRPr="00401691" w:rsidRDefault="00E74001" w:rsidP="003070D9">
            <w:pPr>
              <w:rPr>
                <w:rFonts w:asciiTheme="majorHAnsi" w:hAnsiTheme="majorHAnsi" w:cstheme="majorHAnsi"/>
                <w:sz w:val="20"/>
                <w:szCs w:val="20"/>
                <w:lang w:val="ro-MD"/>
              </w:rPr>
            </w:pPr>
          </w:p>
        </w:tc>
        <w:tc>
          <w:tcPr>
            <w:tcW w:w="540" w:type="dxa"/>
            <w:shd w:val="clear" w:color="auto" w:fill="F2F2F2" w:themeFill="background1" w:themeFillShade="F2"/>
          </w:tcPr>
          <w:p w:rsidR="00E74001" w:rsidRPr="00401691" w:rsidRDefault="00E74001" w:rsidP="003070D9">
            <w:pPr>
              <w:rPr>
                <w:rFonts w:asciiTheme="majorHAnsi" w:hAnsiTheme="majorHAnsi" w:cstheme="majorHAnsi"/>
                <w:sz w:val="20"/>
                <w:szCs w:val="20"/>
                <w:lang w:val="ro-MD"/>
              </w:rPr>
            </w:pPr>
          </w:p>
        </w:tc>
      </w:tr>
      <w:tr w:rsidR="00E74001" w:rsidRPr="00401691" w:rsidTr="00C72A44">
        <w:trPr>
          <w:gridAfter w:val="1"/>
          <w:wAfter w:w="12" w:type="dxa"/>
          <w:trHeight w:val="800"/>
        </w:trPr>
        <w:tc>
          <w:tcPr>
            <w:tcW w:w="3145" w:type="dxa"/>
          </w:tcPr>
          <w:p w:rsidR="00E74001" w:rsidRPr="00401691" w:rsidRDefault="00E74001" w:rsidP="003070D9">
            <w:pPr>
              <w:ind w:left="-18" w:right="-12"/>
              <w:jc w:val="both"/>
              <w:rPr>
                <w:rFonts w:asciiTheme="majorHAnsi" w:hAnsiTheme="majorHAnsi" w:cstheme="majorHAnsi"/>
                <w:sz w:val="20"/>
                <w:szCs w:val="20"/>
                <w:lang w:val="ro-MD"/>
              </w:rPr>
            </w:pPr>
            <w:r w:rsidRPr="00401691">
              <w:rPr>
                <w:rFonts w:asciiTheme="majorHAnsi" w:hAnsiTheme="majorHAnsi" w:cstheme="majorHAnsi"/>
                <w:b/>
                <w:sz w:val="20"/>
                <w:szCs w:val="20"/>
                <w:lang w:val="ro-MD"/>
              </w:rPr>
              <w:t>recomandare</w:t>
            </w:r>
            <w:r w:rsidR="000C5DF4">
              <w:rPr>
                <w:rFonts w:asciiTheme="majorHAnsi" w:hAnsiTheme="majorHAnsi" w:cstheme="majorHAnsi"/>
                <w:b/>
                <w:sz w:val="20"/>
                <w:szCs w:val="20"/>
                <w:lang w:val="ro-MD"/>
              </w:rPr>
              <w:t>a</w:t>
            </w:r>
            <w:r w:rsidRPr="00401691">
              <w:rPr>
                <w:rFonts w:asciiTheme="majorHAnsi" w:hAnsiTheme="majorHAnsi" w:cstheme="majorHAnsi"/>
                <w:b/>
                <w:sz w:val="20"/>
                <w:szCs w:val="20"/>
                <w:lang w:val="ro-MD"/>
              </w:rPr>
              <w:t xml:space="preserve"> nr. 3:</w:t>
            </w:r>
            <w:r w:rsidRPr="00401691">
              <w:rPr>
                <w:rFonts w:asciiTheme="majorHAnsi" w:hAnsiTheme="majorHAnsi" w:cstheme="majorHAnsi"/>
                <w:sz w:val="20"/>
                <w:szCs w:val="20"/>
                <w:lang w:val="ro-MD"/>
              </w:rPr>
              <w:t xml:space="preserve"> Să aprobe reglementări și să dispună responsabilități exhaustive părților implicate (funcționarul fiscal, contribuabilul restanțier, APL) în cazul aplicării sechestrelor asupra roadei anului viitor, pentru evitarea înstrăinării acesteia.</w:t>
            </w:r>
          </w:p>
        </w:tc>
        <w:tc>
          <w:tcPr>
            <w:tcW w:w="5490" w:type="dxa"/>
          </w:tcPr>
          <w:p w:rsidR="00E74001" w:rsidRPr="00401691" w:rsidRDefault="00E74001" w:rsidP="003070D9">
            <w:pPr>
              <w:ind w:left="-18" w:right="-12"/>
              <w:jc w:val="both"/>
              <w:rPr>
                <w:rFonts w:asciiTheme="majorHAnsi" w:hAnsiTheme="majorHAnsi" w:cstheme="majorHAnsi"/>
                <w:color w:val="3A3A3A"/>
                <w:sz w:val="20"/>
                <w:szCs w:val="20"/>
                <w:shd w:val="clear" w:color="auto" w:fill="FFFFFF"/>
                <w:lang w:val="ro-MD"/>
              </w:rPr>
            </w:pPr>
            <w:r w:rsidRPr="00401691">
              <w:rPr>
                <w:rFonts w:asciiTheme="majorHAnsi" w:hAnsiTheme="majorHAnsi" w:cstheme="majorHAnsi"/>
                <w:color w:val="3A3A3A"/>
                <w:sz w:val="20"/>
                <w:szCs w:val="20"/>
                <w:shd w:val="clear" w:color="auto" w:fill="FFFFFF"/>
                <w:lang w:val="ro-MD"/>
              </w:rPr>
              <w:t xml:space="preserve">SFS comunică că a fost remisă </w:t>
            </w:r>
            <w:r w:rsidRPr="00723226">
              <w:rPr>
                <w:rFonts w:asciiTheme="majorHAnsi" w:hAnsiTheme="majorHAnsi" w:cstheme="majorHAnsi"/>
                <w:color w:val="3A3A3A"/>
                <w:sz w:val="20"/>
                <w:szCs w:val="20"/>
                <w:shd w:val="clear" w:color="auto" w:fill="FFFFFF"/>
                <w:lang w:val="ro-MD"/>
              </w:rPr>
              <w:t>DGAF și DGACM</w:t>
            </w:r>
            <w:r w:rsidRPr="00401691">
              <w:rPr>
                <w:rFonts w:asciiTheme="majorHAnsi" w:hAnsiTheme="majorHAnsi" w:cstheme="majorHAnsi"/>
                <w:color w:val="3A3A3A"/>
                <w:sz w:val="20"/>
                <w:szCs w:val="20"/>
                <w:shd w:val="clear" w:color="auto" w:fill="FFFFFF"/>
                <w:lang w:val="ro-MD"/>
              </w:rPr>
              <w:t xml:space="preserve"> o circulară cu privire la aprobarea reglementărilor și responsabilităților părților în cazul aplicării sechestrului asupra roadei viitoare, în vederea aplicării conforme a art.2011 din Codul fiscal „Executarea silită a producției agricole nerecoltate (viitoare)”.</w:t>
            </w:r>
          </w:p>
          <w:p w:rsidR="00E74001" w:rsidRPr="00401691" w:rsidRDefault="00E74001" w:rsidP="003070D9">
            <w:pPr>
              <w:ind w:left="-18" w:right="-12"/>
              <w:jc w:val="both"/>
              <w:rPr>
                <w:rFonts w:asciiTheme="majorHAnsi" w:hAnsiTheme="majorHAnsi" w:cstheme="majorHAnsi"/>
                <w:color w:val="3A3A3A"/>
                <w:sz w:val="20"/>
                <w:szCs w:val="20"/>
                <w:shd w:val="clear" w:color="auto" w:fill="FFFFFF"/>
                <w:lang w:val="ro-MD"/>
              </w:rPr>
            </w:pPr>
            <w:r w:rsidRPr="00401691">
              <w:rPr>
                <w:rFonts w:asciiTheme="majorHAnsi" w:hAnsiTheme="majorHAnsi" w:cstheme="majorHAnsi"/>
                <w:color w:val="3A3A3A"/>
                <w:sz w:val="20"/>
                <w:szCs w:val="20"/>
                <w:shd w:val="clear" w:color="auto" w:fill="FFFFFF"/>
                <w:lang w:val="ro-MD"/>
              </w:rPr>
              <w:t>De asemenea, s-a dispus structurilor de referință:</w:t>
            </w:r>
          </w:p>
          <w:p w:rsidR="00E74001" w:rsidRPr="00401691" w:rsidRDefault="00E74001" w:rsidP="003070D9">
            <w:pPr>
              <w:pStyle w:val="ListParagraph"/>
              <w:numPr>
                <w:ilvl w:val="0"/>
                <w:numId w:val="17"/>
              </w:numPr>
              <w:tabs>
                <w:tab w:val="left" w:pos="284"/>
              </w:tabs>
              <w:ind w:left="-18" w:right="-12" w:firstLine="80"/>
              <w:jc w:val="both"/>
              <w:rPr>
                <w:rFonts w:asciiTheme="majorHAnsi" w:hAnsiTheme="majorHAnsi" w:cstheme="majorHAnsi"/>
                <w:color w:val="3A3A3A"/>
                <w:sz w:val="20"/>
                <w:szCs w:val="20"/>
                <w:shd w:val="clear" w:color="auto" w:fill="FFFFFF"/>
                <w:lang w:val="ro-MD"/>
              </w:rPr>
            </w:pPr>
            <w:r w:rsidRPr="00401691">
              <w:rPr>
                <w:rFonts w:asciiTheme="majorHAnsi" w:hAnsiTheme="majorHAnsi" w:cstheme="majorHAnsi"/>
                <w:color w:val="3A3A3A"/>
                <w:sz w:val="20"/>
                <w:szCs w:val="20"/>
                <w:shd w:val="clear" w:color="auto" w:fill="FFFFFF"/>
                <w:lang w:val="ro-MD"/>
              </w:rPr>
              <w:t>să efectueze, trimestrial, verificarea notificărilor în Registrul producției agricole sechestrate și, după caz, notificările la oficiul cadastral;</w:t>
            </w:r>
          </w:p>
          <w:p w:rsidR="00E74001" w:rsidRPr="00401691" w:rsidRDefault="00137EB1" w:rsidP="003070D9">
            <w:pPr>
              <w:pStyle w:val="ListParagraph"/>
              <w:numPr>
                <w:ilvl w:val="0"/>
                <w:numId w:val="17"/>
              </w:numPr>
              <w:tabs>
                <w:tab w:val="left" w:pos="284"/>
              </w:tabs>
              <w:ind w:left="-18" w:right="-12" w:firstLine="80"/>
              <w:jc w:val="both"/>
              <w:rPr>
                <w:rFonts w:asciiTheme="majorHAnsi" w:hAnsiTheme="majorHAnsi" w:cstheme="majorHAnsi"/>
                <w:color w:val="3A3A3A"/>
                <w:sz w:val="20"/>
                <w:szCs w:val="20"/>
                <w:shd w:val="clear" w:color="auto" w:fill="FFFFFF"/>
                <w:lang w:val="ro-MD"/>
              </w:rPr>
            </w:pPr>
            <w:r>
              <w:rPr>
                <w:rFonts w:asciiTheme="majorHAnsi" w:hAnsiTheme="majorHAnsi" w:cstheme="majorHAnsi"/>
                <w:color w:val="3A3A3A"/>
                <w:sz w:val="20"/>
                <w:szCs w:val="20"/>
                <w:shd w:val="clear" w:color="auto" w:fill="FFFFFF"/>
                <w:lang w:val="ro-MD"/>
              </w:rPr>
              <w:t xml:space="preserve">să </w:t>
            </w:r>
            <w:r w:rsidR="00E74001" w:rsidRPr="00401691">
              <w:rPr>
                <w:rFonts w:asciiTheme="majorHAnsi" w:hAnsiTheme="majorHAnsi" w:cstheme="majorHAnsi"/>
                <w:color w:val="3A3A3A"/>
                <w:sz w:val="20"/>
                <w:szCs w:val="20"/>
                <w:shd w:val="clear" w:color="auto" w:fill="FFFFFF"/>
                <w:lang w:val="ro-MD"/>
              </w:rPr>
              <w:t>prez</w:t>
            </w:r>
            <w:r>
              <w:rPr>
                <w:rFonts w:asciiTheme="majorHAnsi" w:hAnsiTheme="majorHAnsi" w:cstheme="majorHAnsi"/>
                <w:color w:val="3A3A3A"/>
                <w:sz w:val="20"/>
                <w:szCs w:val="20"/>
                <w:shd w:val="clear" w:color="auto" w:fill="FFFFFF"/>
                <w:lang w:val="ro-MD"/>
              </w:rPr>
              <w:t>inte,</w:t>
            </w:r>
            <w:r w:rsidR="00E74001" w:rsidRPr="00401691">
              <w:rPr>
                <w:rFonts w:asciiTheme="majorHAnsi" w:hAnsiTheme="majorHAnsi" w:cstheme="majorHAnsi"/>
                <w:color w:val="3A3A3A"/>
                <w:sz w:val="20"/>
                <w:szCs w:val="20"/>
                <w:shd w:val="clear" w:color="auto" w:fill="FFFFFF"/>
                <w:lang w:val="ro-MD"/>
              </w:rPr>
              <w:t xml:space="preserve"> odată cu Raportul cu privire la rezultatele verificării sechestrelor</w:t>
            </w:r>
            <w:r>
              <w:rPr>
                <w:rFonts w:asciiTheme="majorHAnsi" w:hAnsiTheme="majorHAnsi" w:cstheme="majorHAnsi"/>
                <w:color w:val="3A3A3A"/>
                <w:sz w:val="20"/>
                <w:szCs w:val="20"/>
                <w:shd w:val="clear" w:color="auto" w:fill="FFFFFF"/>
                <w:lang w:val="ro-MD"/>
              </w:rPr>
              <w:t>,</w:t>
            </w:r>
            <w:r w:rsidR="00E74001" w:rsidRPr="00401691">
              <w:rPr>
                <w:rFonts w:asciiTheme="majorHAnsi" w:hAnsiTheme="majorHAnsi" w:cstheme="majorHAnsi"/>
                <w:color w:val="3A3A3A"/>
                <w:sz w:val="20"/>
                <w:szCs w:val="20"/>
                <w:shd w:val="clear" w:color="auto" w:fill="FFFFFF"/>
                <w:lang w:val="ro-MD"/>
              </w:rPr>
              <w:t xml:space="preserve"> </w:t>
            </w:r>
            <w:r>
              <w:rPr>
                <w:rFonts w:asciiTheme="majorHAnsi" w:hAnsiTheme="majorHAnsi" w:cstheme="majorHAnsi"/>
                <w:color w:val="3A3A3A"/>
                <w:sz w:val="20"/>
                <w:szCs w:val="20"/>
                <w:shd w:val="clear" w:color="auto" w:fill="FFFFFF"/>
                <w:lang w:val="ro-MD"/>
              </w:rPr>
              <w:t>și</w:t>
            </w:r>
            <w:r w:rsidR="00E74001" w:rsidRPr="00401691">
              <w:rPr>
                <w:rFonts w:asciiTheme="majorHAnsi" w:hAnsiTheme="majorHAnsi" w:cstheme="majorHAnsi"/>
                <w:color w:val="3A3A3A"/>
                <w:sz w:val="20"/>
                <w:szCs w:val="20"/>
                <w:shd w:val="clear" w:color="auto" w:fill="FFFFFF"/>
                <w:lang w:val="ro-MD"/>
              </w:rPr>
              <w:t xml:space="preserve"> copiil</w:t>
            </w:r>
            <w:r>
              <w:rPr>
                <w:rFonts w:asciiTheme="majorHAnsi" w:hAnsiTheme="majorHAnsi" w:cstheme="majorHAnsi"/>
                <w:color w:val="3A3A3A"/>
                <w:sz w:val="20"/>
                <w:szCs w:val="20"/>
                <w:shd w:val="clear" w:color="auto" w:fill="FFFFFF"/>
                <w:lang w:val="ro-MD"/>
              </w:rPr>
              <w:t>e</w:t>
            </w:r>
            <w:r w:rsidR="00E74001" w:rsidRPr="00401691">
              <w:rPr>
                <w:rFonts w:asciiTheme="majorHAnsi" w:hAnsiTheme="majorHAnsi" w:cstheme="majorHAnsi"/>
                <w:color w:val="3A3A3A"/>
                <w:sz w:val="20"/>
                <w:szCs w:val="20"/>
                <w:shd w:val="clear" w:color="auto" w:fill="FFFFFF"/>
                <w:lang w:val="ro-MD"/>
              </w:rPr>
              <w:t xml:space="preserve"> actelor procedurale întocmite pe fiecare contribuabil în parte, etc.</w:t>
            </w:r>
          </w:p>
        </w:tc>
        <w:tc>
          <w:tcPr>
            <w:tcW w:w="540" w:type="dxa"/>
            <w:shd w:val="clear" w:color="auto" w:fill="F2F2F2" w:themeFill="background1" w:themeFillShade="F2"/>
          </w:tcPr>
          <w:p w:rsidR="00E74001" w:rsidRPr="00401691" w:rsidRDefault="00E74001" w:rsidP="003070D9">
            <w:pPr>
              <w:jc w:val="center"/>
              <w:rPr>
                <w:rFonts w:asciiTheme="majorHAnsi" w:hAnsiTheme="majorHAnsi" w:cstheme="majorHAnsi"/>
                <w:sz w:val="20"/>
                <w:szCs w:val="20"/>
                <w:lang w:val="ro-MD"/>
              </w:rPr>
            </w:pPr>
            <w:r w:rsidRPr="00401691">
              <w:rPr>
                <w:rFonts w:asciiTheme="majorHAnsi" w:hAnsiTheme="majorHAnsi" w:cstheme="majorHAnsi"/>
                <w:sz w:val="20"/>
                <w:szCs w:val="20"/>
                <w:lang w:val="ro-MD"/>
              </w:rPr>
              <w:t>v</w:t>
            </w:r>
          </w:p>
        </w:tc>
        <w:tc>
          <w:tcPr>
            <w:tcW w:w="630" w:type="dxa"/>
            <w:shd w:val="clear" w:color="auto" w:fill="F2F2F2" w:themeFill="background1" w:themeFillShade="F2"/>
          </w:tcPr>
          <w:p w:rsidR="00E74001" w:rsidRPr="00401691" w:rsidRDefault="00E74001" w:rsidP="003070D9">
            <w:pPr>
              <w:rPr>
                <w:rFonts w:asciiTheme="majorHAnsi" w:hAnsiTheme="majorHAnsi" w:cstheme="majorHAnsi"/>
                <w:sz w:val="20"/>
                <w:szCs w:val="20"/>
                <w:lang w:val="ro-MD"/>
              </w:rPr>
            </w:pPr>
          </w:p>
        </w:tc>
        <w:tc>
          <w:tcPr>
            <w:tcW w:w="540" w:type="dxa"/>
            <w:shd w:val="clear" w:color="auto" w:fill="F2F2F2" w:themeFill="background1" w:themeFillShade="F2"/>
          </w:tcPr>
          <w:p w:rsidR="00E74001" w:rsidRPr="00401691" w:rsidRDefault="00E74001" w:rsidP="003070D9">
            <w:pPr>
              <w:rPr>
                <w:rFonts w:asciiTheme="majorHAnsi" w:hAnsiTheme="majorHAnsi" w:cstheme="majorHAnsi"/>
                <w:sz w:val="20"/>
                <w:szCs w:val="20"/>
                <w:lang w:val="ro-MD"/>
              </w:rPr>
            </w:pPr>
          </w:p>
        </w:tc>
      </w:tr>
      <w:tr w:rsidR="00E74001" w:rsidRPr="00401691" w:rsidTr="00C72A44">
        <w:trPr>
          <w:gridAfter w:val="1"/>
          <w:wAfter w:w="12" w:type="dxa"/>
          <w:trHeight w:val="132"/>
        </w:trPr>
        <w:tc>
          <w:tcPr>
            <w:tcW w:w="3145" w:type="dxa"/>
          </w:tcPr>
          <w:p w:rsidR="00E74001" w:rsidRPr="00401691" w:rsidRDefault="00E74001" w:rsidP="003070D9">
            <w:pPr>
              <w:tabs>
                <w:tab w:val="left" w:pos="426"/>
                <w:tab w:val="left" w:pos="993"/>
              </w:tabs>
              <w:ind w:left="-18" w:right="-12"/>
              <w:contextualSpacing/>
              <w:jc w:val="both"/>
              <w:rPr>
                <w:rFonts w:asciiTheme="majorHAnsi" w:hAnsiTheme="majorHAnsi" w:cstheme="majorHAnsi"/>
                <w:sz w:val="20"/>
                <w:szCs w:val="20"/>
                <w:lang w:val="ro-MD"/>
              </w:rPr>
            </w:pPr>
            <w:r w:rsidRPr="00401691">
              <w:rPr>
                <w:rFonts w:asciiTheme="majorHAnsi" w:hAnsiTheme="majorHAnsi" w:cstheme="majorHAnsi"/>
                <w:b/>
                <w:sz w:val="20"/>
                <w:szCs w:val="20"/>
                <w:lang w:val="ro-MD"/>
              </w:rPr>
              <w:t>recomandare</w:t>
            </w:r>
            <w:r w:rsidR="000C5DF4">
              <w:rPr>
                <w:rFonts w:asciiTheme="majorHAnsi" w:hAnsiTheme="majorHAnsi" w:cstheme="majorHAnsi"/>
                <w:b/>
                <w:sz w:val="20"/>
                <w:szCs w:val="20"/>
                <w:lang w:val="ro-MD"/>
              </w:rPr>
              <w:t>a</w:t>
            </w:r>
            <w:r w:rsidRPr="00401691">
              <w:rPr>
                <w:rFonts w:asciiTheme="majorHAnsi" w:hAnsiTheme="majorHAnsi" w:cstheme="majorHAnsi"/>
                <w:b/>
                <w:sz w:val="20"/>
                <w:szCs w:val="20"/>
                <w:lang w:val="ro-MD"/>
              </w:rPr>
              <w:t xml:space="preserve"> nr. 6:</w:t>
            </w:r>
            <w:r w:rsidRPr="00401691">
              <w:rPr>
                <w:rFonts w:asciiTheme="majorHAnsi" w:hAnsiTheme="majorHAnsi" w:cstheme="majorHAnsi"/>
                <w:sz w:val="20"/>
                <w:szCs w:val="20"/>
                <w:lang w:val="ro-MD"/>
              </w:rPr>
              <w:t xml:space="preserve"> Să asigure revizuirea clauzelor contractuale cu entitățile de evaluare prin includerea expresă a termenului de prezentare a rapoartelor de evaluare asupra bunurilor sechestrate.</w:t>
            </w:r>
          </w:p>
        </w:tc>
        <w:tc>
          <w:tcPr>
            <w:tcW w:w="5490" w:type="dxa"/>
          </w:tcPr>
          <w:p w:rsidR="00E74001" w:rsidRPr="00401691" w:rsidRDefault="00E74001" w:rsidP="003070D9">
            <w:pPr>
              <w:ind w:left="-18" w:right="-12"/>
              <w:jc w:val="both"/>
              <w:rPr>
                <w:rFonts w:asciiTheme="majorHAnsi" w:hAnsiTheme="majorHAnsi" w:cstheme="majorHAnsi"/>
                <w:color w:val="3A3A3A"/>
                <w:sz w:val="20"/>
                <w:szCs w:val="20"/>
                <w:shd w:val="clear" w:color="auto" w:fill="FFFFFF"/>
                <w:lang w:val="ro-MD"/>
              </w:rPr>
            </w:pPr>
            <w:r w:rsidRPr="00401691">
              <w:rPr>
                <w:rFonts w:asciiTheme="majorHAnsi" w:hAnsiTheme="majorHAnsi" w:cstheme="majorHAnsi"/>
                <w:color w:val="3A3A3A"/>
                <w:sz w:val="20"/>
                <w:szCs w:val="20"/>
                <w:shd w:val="clear" w:color="auto" w:fill="FFFFFF"/>
                <w:lang w:val="ro-MD"/>
              </w:rPr>
              <w:t>A fost elaborat un model nou de contract</w:t>
            </w:r>
            <w:r w:rsidR="00137EB1">
              <w:rPr>
                <w:rFonts w:asciiTheme="majorHAnsi" w:hAnsiTheme="majorHAnsi" w:cstheme="majorHAnsi"/>
                <w:color w:val="3A3A3A"/>
                <w:sz w:val="20"/>
                <w:szCs w:val="20"/>
                <w:shd w:val="clear" w:color="auto" w:fill="FFFFFF"/>
                <w:lang w:val="ro-MD"/>
              </w:rPr>
              <w:t>,</w:t>
            </w:r>
            <w:r w:rsidRPr="00401691">
              <w:rPr>
                <w:rFonts w:asciiTheme="majorHAnsi" w:hAnsiTheme="majorHAnsi" w:cstheme="majorHAnsi"/>
                <w:color w:val="3A3A3A"/>
                <w:sz w:val="20"/>
                <w:szCs w:val="20"/>
                <w:shd w:val="clear" w:color="auto" w:fill="FFFFFF"/>
                <w:lang w:val="ro-MD"/>
              </w:rPr>
              <w:t xml:space="preserve"> în care a fost prevăzut (pct.3.2.2</w:t>
            </w:r>
            <w:r w:rsidR="00137EB1">
              <w:rPr>
                <w:rFonts w:asciiTheme="majorHAnsi" w:hAnsiTheme="majorHAnsi" w:cstheme="majorHAnsi"/>
                <w:color w:val="3A3A3A"/>
                <w:sz w:val="20"/>
                <w:szCs w:val="20"/>
                <w:shd w:val="clear" w:color="auto" w:fill="FFFFFF"/>
                <w:lang w:val="ro-MD"/>
              </w:rPr>
              <w:t>.</w:t>
            </w:r>
            <w:r w:rsidRPr="00401691">
              <w:rPr>
                <w:rFonts w:asciiTheme="majorHAnsi" w:hAnsiTheme="majorHAnsi" w:cstheme="majorHAnsi"/>
                <w:color w:val="3A3A3A"/>
                <w:sz w:val="20"/>
                <w:szCs w:val="20"/>
                <w:shd w:val="clear" w:color="auto" w:fill="FFFFFF"/>
                <w:lang w:val="ro-MD"/>
              </w:rPr>
              <w:t xml:space="preserve">) termenul de 30 de zile pentru raportarea rezultatului evaluărilor bunurilor sechestrate de către evaluator în adresa SFS. Totodată, prin Ordinul SFS nr.305 din 30.08.2017, a fost aprobat Regulamentul cu privire la organizarea procesului de evaluare și comercializare a bunurilor imobile sechestrate de către SFS. </w:t>
            </w:r>
          </w:p>
        </w:tc>
        <w:tc>
          <w:tcPr>
            <w:tcW w:w="540" w:type="dxa"/>
            <w:shd w:val="clear" w:color="auto" w:fill="F2F2F2" w:themeFill="background1" w:themeFillShade="F2"/>
          </w:tcPr>
          <w:p w:rsidR="00E74001" w:rsidRPr="00401691" w:rsidRDefault="00E74001" w:rsidP="003070D9">
            <w:pPr>
              <w:jc w:val="center"/>
              <w:rPr>
                <w:rFonts w:asciiTheme="majorHAnsi" w:hAnsiTheme="majorHAnsi" w:cstheme="majorHAnsi"/>
                <w:sz w:val="20"/>
                <w:szCs w:val="20"/>
                <w:lang w:val="ro-MD"/>
              </w:rPr>
            </w:pPr>
            <w:r w:rsidRPr="00401691">
              <w:rPr>
                <w:rFonts w:asciiTheme="majorHAnsi" w:hAnsiTheme="majorHAnsi" w:cstheme="majorHAnsi"/>
                <w:sz w:val="20"/>
                <w:szCs w:val="20"/>
                <w:lang w:val="ro-MD"/>
              </w:rPr>
              <w:t>v</w:t>
            </w:r>
          </w:p>
        </w:tc>
        <w:tc>
          <w:tcPr>
            <w:tcW w:w="630" w:type="dxa"/>
            <w:shd w:val="clear" w:color="auto" w:fill="F2F2F2" w:themeFill="background1" w:themeFillShade="F2"/>
          </w:tcPr>
          <w:p w:rsidR="00E74001" w:rsidRPr="00401691" w:rsidRDefault="00E74001" w:rsidP="003070D9">
            <w:pPr>
              <w:rPr>
                <w:rFonts w:asciiTheme="majorHAnsi" w:hAnsiTheme="majorHAnsi" w:cstheme="majorHAnsi"/>
                <w:sz w:val="20"/>
                <w:szCs w:val="20"/>
                <w:lang w:val="ro-MD"/>
              </w:rPr>
            </w:pPr>
          </w:p>
        </w:tc>
        <w:tc>
          <w:tcPr>
            <w:tcW w:w="540" w:type="dxa"/>
            <w:shd w:val="clear" w:color="auto" w:fill="F2F2F2" w:themeFill="background1" w:themeFillShade="F2"/>
          </w:tcPr>
          <w:p w:rsidR="00E74001" w:rsidRPr="00401691" w:rsidRDefault="00E74001" w:rsidP="003070D9">
            <w:pPr>
              <w:rPr>
                <w:rFonts w:asciiTheme="majorHAnsi" w:hAnsiTheme="majorHAnsi" w:cstheme="majorHAnsi"/>
                <w:sz w:val="20"/>
                <w:szCs w:val="20"/>
                <w:lang w:val="ro-MD"/>
              </w:rPr>
            </w:pPr>
          </w:p>
        </w:tc>
      </w:tr>
      <w:tr w:rsidR="00E74001" w:rsidRPr="00401691" w:rsidTr="00C72A44">
        <w:trPr>
          <w:trHeight w:val="132"/>
        </w:trPr>
        <w:tc>
          <w:tcPr>
            <w:tcW w:w="10357" w:type="dxa"/>
            <w:gridSpan w:val="6"/>
            <w:shd w:val="clear" w:color="auto" w:fill="F2F2F2" w:themeFill="background1" w:themeFillShade="F2"/>
          </w:tcPr>
          <w:p w:rsidR="00E74001" w:rsidRPr="00401691" w:rsidRDefault="00E74001" w:rsidP="003070D9">
            <w:pPr>
              <w:tabs>
                <w:tab w:val="left" w:pos="336"/>
                <w:tab w:val="left" w:pos="456"/>
              </w:tabs>
              <w:spacing w:before="120"/>
              <w:jc w:val="both"/>
              <w:rPr>
                <w:rFonts w:asciiTheme="majorHAnsi" w:eastAsia="Times New Roman" w:hAnsiTheme="majorHAnsi" w:cstheme="majorHAnsi"/>
                <w:bCs/>
                <w:sz w:val="18"/>
                <w:szCs w:val="18"/>
                <w:lang w:val="ro-MD"/>
              </w:rPr>
            </w:pPr>
            <w:r w:rsidRPr="00401691">
              <w:rPr>
                <w:rFonts w:asciiTheme="majorHAnsi" w:eastAsia="Times New Roman" w:hAnsiTheme="majorHAnsi" w:cstheme="majorHAnsi"/>
                <w:b/>
                <w:iCs/>
                <w:color w:val="000000"/>
                <w:sz w:val="18"/>
                <w:szCs w:val="18"/>
                <w:lang w:val="ro-MD"/>
              </w:rPr>
              <w:t xml:space="preserve">Concluzie: </w:t>
            </w:r>
            <w:r w:rsidRPr="00401691">
              <w:rPr>
                <w:rFonts w:asciiTheme="majorHAnsi" w:eastAsia="Times New Roman" w:hAnsiTheme="majorHAnsi" w:cstheme="majorHAnsi"/>
                <w:iCs/>
                <w:color w:val="000000"/>
                <w:sz w:val="18"/>
                <w:szCs w:val="18"/>
                <w:lang w:val="ro-MD"/>
              </w:rPr>
              <w:t>Analizând și sistematizând acțiunile întreprinse de SFS de la ultima evaluare efectuată de CCRM asupra procesului de executare silită, rezumăm că cele 4 cerințe și 6 recomandări înaintate au fost executate integral de către SFS și se propun spre excludere din regim de monitorizare. Astfel, au fost efectuate un șir de acțiuni, în speță:</w:t>
            </w:r>
          </w:p>
          <w:p w:rsidR="00E74001" w:rsidRPr="00401691" w:rsidRDefault="00E74001" w:rsidP="003070D9">
            <w:pPr>
              <w:pStyle w:val="ListParagraph"/>
              <w:numPr>
                <w:ilvl w:val="0"/>
                <w:numId w:val="18"/>
              </w:numPr>
              <w:tabs>
                <w:tab w:val="left" w:pos="336"/>
              </w:tabs>
              <w:ind w:left="66" w:firstLine="366"/>
              <w:jc w:val="both"/>
              <w:rPr>
                <w:rFonts w:asciiTheme="majorHAnsi" w:eastAsia="Times New Roman" w:hAnsiTheme="majorHAnsi" w:cstheme="majorHAnsi"/>
                <w:iCs/>
                <w:color w:val="000000"/>
                <w:sz w:val="18"/>
                <w:szCs w:val="18"/>
                <w:lang w:val="ro-MD"/>
              </w:rPr>
            </w:pPr>
            <w:r w:rsidRPr="00401691">
              <w:rPr>
                <w:rFonts w:asciiTheme="majorHAnsi" w:eastAsia="Times New Roman" w:hAnsiTheme="majorHAnsi" w:cstheme="majorHAnsi"/>
                <w:iCs/>
                <w:color w:val="000000"/>
                <w:sz w:val="18"/>
                <w:szCs w:val="18"/>
                <w:lang w:val="ro-MD"/>
              </w:rPr>
              <w:t>a fost aprobat planul de măsuri</w:t>
            </w:r>
            <w:r w:rsidR="00D54EB1">
              <w:rPr>
                <w:rFonts w:asciiTheme="majorHAnsi" w:eastAsia="Times New Roman" w:hAnsiTheme="majorHAnsi" w:cstheme="majorHAnsi"/>
                <w:iCs/>
                <w:color w:val="000000"/>
                <w:sz w:val="18"/>
                <w:szCs w:val="18"/>
                <w:lang w:val="ro-MD"/>
              </w:rPr>
              <w:t>,</w:t>
            </w:r>
            <w:r w:rsidRPr="00401691">
              <w:rPr>
                <w:rFonts w:asciiTheme="majorHAnsi" w:eastAsia="Times New Roman" w:hAnsiTheme="majorHAnsi" w:cstheme="majorHAnsi"/>
                <w:iCs/>
                <w:color w:val="000000"/>
                <w:sz w:val="18"/>
                <w:szCs w:val="18"/>
                <w:lang w:val="ro-MD"/>
              </w:rPr>
              <w:t xml:space="preserve"> prin care </w:t>
            </w:r>
            <w:r w:rsidR="00D54EB1">
              <w:rPr>
                <w:rFonts w:asciiTheme="majorHAnsi" w:eastAsia="Times New Roman" w:hAnsiTheme="majorHAnsi" w:cstheme="majorHAnsi"/>
                <w:iCs/>
                <w:color w:val="000000"/>
                <w:sz w:val="18"/>
                <w:szCs w:val="18"/>
                <w:lang w:val="ro-MD"/>
              </w:rPr>
              <w:t>s-</w:t>
            </w:r>
            <w:r w:rsidRPr="00401691">
              <w:rPr>
                <w:rFonts w:asciiTheme="majorHAnsi" w:eastAsia="Times New Roman" w:hAnsiTheme="majorHAnsi" w:cstheme="majorHAnsi"/>
                <w:iCs/>
                <w:color w:val="000000"/>
                <w:sz w:val="18"/>
                <w:szCs w:val="18"/>
                <w:lang w:val="ro-MD"/>
              </w:rPr>
              <w:t>au stabilit acțiuni concrete de implementare a cerințelor și recomandărilor înaintate prin Hotărârea CCRM;</w:t>
            </w:r>
          </w:p>
          <w:p w:rsidR="00E74001" w:rsidRPr="00401691" w:rsidRDefault="00E74001" w:rsidP="003070D9">
            <w:pPr>
              <w:pStyle w:val="ListParagraph"/>
              <w:numPr>
                <w:ilvl w:val="0"/>
                <w:numId w:val="18"/>
              </w:numPr>
              <w:tabs>
                <w:tab w:val="left" w:pos="336"/>
              </w:tabs>
              <w:spacing w:before="240"/>
              <w:ind w:left="66" w:firstLine="366"/>
              <w:jc w:val="both"/>
              <w:rPr>
                <w:rFonts w:asciiTheme="majorHAnsi" w:eastAsia="Times New Roman" w:hAnsiTheme="majorHAnsi" w:cstheme="majorHAnsi"/>
                <w:iCs/>
                <w:color w:val="000000"/>
                <w:sz w:val="18"/>
                <w:szCs w:val="18"/>
                <w:lang w:val="ro-MD"/>
              </w:rPr>
            </w:pPr>
            <w:r w:rsidRPr="00401691">
              <w:rPr>
                <w:rFonts w:asciiTheme="majorHAnsi" w:eastAsia="Times New Roman" w:hAnsiTheme="majorHAnsi" w:cstheme="majorHAnsi"/>
                <w:iCs/>
                <w:color w:val="000000"/>
                <w:sz w:val="18"/>
                <w:szCs w:val="18"/>
                <w:lang w:val="ro-MD"/>
              </w:rPr>
              <w:t>a</w:t>
            </w:r>
            <w:r w:rsidR="00D54EB1">
              <w:rPr>
                <w:rFonts w:asciiTheme="majorHAnsi" w:eastAsia="Times New Roman" w:hAnsiTheme="majorHAnsi" w:cstheme="majorHAnsi"/>
                <w:iCs/>
                <w:color w:val="000000"/>
                <w:sz w:val="18"/>
                <w:szCs w:val="18"/>
                <w:lang w:val="ro-MD"/>
              </w:rPr>
              <w:t xml:space="preserve"> </w:t>
            </w:r>
            <w:r w:rsidRPr="00401691">
              <w:rPr>
                <w:rFonts w:asciiTheme="majorHAnsi" w:eastAsia="Times New Roman" w:hAnsiTheme="majorHAnsi" w:cstheme="majorHAnsi"/>
                <w:iCs/>
                <w:color w:val="000000"/>
                <w:sz w:val="18"/>
                <w:szCs w:val="18"/>
                <w:lang w:val="ro-MD"/>
              </w:rPr>
              <w:t>fost aprobat un set de acte interne și legislative aferente proceselor aplicării sechestrelor și comercializării bunurilor contribuabililor restanț</w:t>
            </w:r>
            <w:r>
              <w:rPr>
                <w:rFonts w:asciiTheme="majorHAnsi" w:eastAsia="Times New Roman" w:hAnsiTheme="majorHAnsi" w:cstheme="majorHAnsi"/>
                <w:iCs/>
                <w:color w:val="000000"/>
                <w:sz w:val="18"/>
                <w:szCs w:val="18"/>
                <w:lang w:val="ro-MD"/>
              </w:rPr>
              <w:t xml:space="preserve">ieri, în vederea </w:t>
            </w:r>
            <w:r w:rsidRPr="00401691">
              <w:rPr>
                <w:rFonts w:asciiTheme="majorHAnsi" w:eastAsia="Times New Roman" w:hAnsiTheme="majorHAnsi" w:cstheme="majorHAnsi"/>
                <w:iCs/>
                <w:color w:val="000000"/>
                <w:sz w:val="18"/>
                <w:szCs w:val="18"/>
                <w:lang w:val="ro-MD"/>
              </w:rPr>
              <w:t xml:space="preserve">exercitării controalelor fiscale de rigoare </w:t>
            </w:r>
            <w:r>
              <w:rPr>
                <w:rFonts w:asciiTheme="majorHAnsi" w:eastAsia="Times New Roman" w:hAnsiTheme="majorHAnsi" w:cstheme="majorHAnsi"/>
                <w:iCs/>
                <w:color w:val="000000"/>
                <w:sz w:val="18"/>
                <w:szCs w:val="18"/>
                <w:lang w:val="ro-MD"/>
              </w:rPr>
              <w:t xml:space="preserve">la </w:t>
            </w:r>
            <w:r w:rsidRPr="00401691">
              <w:rPr>
                <w:rFonts w:asciiTheme="majorHAnsi" w:eastAsia="Times New Roman" w:hAnsiTheme="majorHAnsi" w:cstheme="majorHAnsi"/>
                <w:iCs/>
                <w:color w:val="000000"/>
                <w:sz w:val="18"/>
                <w:szCs w:val="18"/>
                <w:lang w:val="ro-MD"/>
              </w:rPr>
              <w:t>executorii judecătorești</w:t>
            </w:r>
            <w:r>
              <w:rPr>
                <w:rFonts w:asciiTheme="majorHAnsi" w:eastAsia="Times New Roman" w:hAnsiTheme="majorHAnsi" w:cstheme="majorHAnsi"/>
                <w:iCs/>
                <w:color w:val="000000"/>
                <w:sz w:val="18"/>
                <w:szCs w:val="18"/>
                <w:lang w:val="ro-MD"/>
              </w:rPr>
              <w:t xml:space="preserve"> privind  corectitudinea achitării la buget a mijloacelor provenite din executarea silită </w:t>
            </w:r>
            <w:r w:rsidRPr="00401691">
              <w:rPr>
                <w:rFonts w:asciiTheme="majorHAnsi" w:eastAsia="Times New Roman" w:hAnsiTheme="majorHAnsi" w:cstheme="majorHAnsi"/>
                <w:iCs/>
                <w:color w:val="000000"/>
                <w:sz w:val="18"/>
                <w:szCs w:val="18"/>
                <w:lang w:val="ro-MD"/>
              </w:rPr>
              <w:t xml:space="preserve">; </w:t>
            </w:r>
            <w:r>
              <w:rPr>
                <w:rFonts w:asciiTheme="majorHAnsi" w:eastAsia="Times New Roman" w:hAnsiTheme="majorHAnsi" w:cstheme="majorHAnsi"/>
                <w:iCs/>
                <w:color w:val="000000"/>
                <w:sz w:val="18"/>
                <w:szCs w:val="18"/>
                <w:lang w:val="ro-MD"/>
              </w:rPr>
              <w:t xml:space="preserve">părților </w:t>
            </w:r>
            <w:r w:rsidRPr="00401691">
              <w:rPr>
                <w:rFonts w:asciiTheme="majorHAnsi" w:eastAsia="Times New Roman" w:hAnsiTheme="majorHAnsi" w:cstheme="majorHAnsi"/>
                <w:iCs/>
                <w:color w:val="000000"/>
                <w:sz w:val="18"/>
                <w:szCs w:val="18"/>
                <w:lang w:val="ro-MD"/>
              </w:rPr>
              <w:t>responsabil</w:t>
            </w:r>
            <w:r>
              <w:rPr>
                <w:rFonts w:asciiTheme="majorHAnsi" w:eastAsia="Times New Roman" w:hAnsiTheme="majorHAnsi" w:cstheme="majorHAnsi"/>
                <w:iCs/>
                <w:color w:val="000000"/>
                <w:sz w:val="18"/>
                <w:szCs w:val="18"/>
                <w:lang w:val="ro-MD"/>
              </w:rPr>
              <w:t xml:space="preserve">e, inclusiv, </w:t>
            </w:r>
            <w:r w:rsidRPr="00401691">
              <w:rPr>
                <w:rFonts w:asciiTheme="majorHAnsi" w:eastAsia="Times New Roman" w:hAnsiTheme="majorHAnsi" w:cstheme="majorHAnsi"/>
                <w:iCs/>
                <w:color w:val="000000"/>
                <w:sz w:val="18"/>
                <w:szCs w:val="18"/>
                <w:lang w:val="ro-MD"/>
              </w:rPr>
              <w:t xml:space="preserve"> funcționarul fiscal, contribuabilul restanțier, APL în cazul aplicării sechestrelor asupra roadei anului viitor, pentru evitarea înstrăinării acesteia, etc.</w:t>
            </w:r>
          </w:p>
          <w:p w:rsidR="00E74001" w:rsidRPr="00401691" w:rsidRDefault="00E74001" w:rsidP="003070D9">
            <w:pPr>
              <w:tabs>
                <w:tab w:val="left" w:pos="336"/>
              </w:tabs>
              <w:ind w:left="66" w:firstLine="366"/>
              <w:jc w:val="both"/>
              <w:rPr>
                <w:rFonts w:asciiTheme="majorHAnsi" w:eastAsia="Times New Roman" w:hAnsiTheme="majorHAnsi" w:cstheme="majorHAnsi"/>
                <w:iCs/>
                <w:color w:val="000000"/>
                <w:sz w:val="18"/>
                <w:szCs w:val="18"/>
                <w:lang w:val="ro-MD"/>
              </w:rPr>
            </w:pPr>
            <w:r w:rsidRPr="00401691">
              <w:rPr>
                <w:rFonts w:asciiTheme="majorHAnsi" w:eastAsia="Times New Roman" w:hAnsiTheme="majorHAnsi" w:cstheme="majorHAnsi"/>
                <w:i/>
                <w:iCs/>
                <w:color w:val="000000"/>
                <w:sz w:val="18"/>
                <w:szCs w:val="18"/>
                <w:u w:val="single"/>
                <w:lang w:val="ro-MD"/>
              </w:rPr>
              <w:t>Notă:</w:t>
            </w:r>
            <w:r w:rsidRPr="00401691">
              <w:rPr>
                <w:rFonts w:asciiTheme="majorHAnsi" w:eastAsia="Times New Roman" w:hAnsiTheme="majorHAnsi" w:cstheme="majorHAnsi"/>
                <w:iCs/>
                <w:color w:val="000000"/>
                <w:sz w:val="18"/>
                <w:szCs w:val="18"/>
                <w:lang w:val="ro-MD"/>
              </w:rPr>
              <w:t xml:space="preserve"> Cu referire la ajustările cadrului normativ aferent sechestrării și comercializării bunurilor, echipa de audit constată deficiențe în aplicarea acestuia, fapt c</w:t>
            </w:r>
            <w:r w:rsidR="00D54EB1">
              <w:rPr>
                <w:rFonts w:asciiTheme="majorHAnsi" w:eastAsia="Times New Roman" w:hAnsiTheme="majorHAnsi" w:cstheme="majorHAnsi"/>
                <w:iCs/>
                <w:color w:val="000000"/>
                <w:sz w:val="18"/>
                <w:szCs w:val="18"/>
                <w:lang w:val="ro-MD"/>
              </w:rPr>
              <w:t>ar</w:t>
            </w:r>
            <w:r w:rsidRPr="00401691">
              <w:rPr>
                <w:rFonts w:asciiTheme="majorHAnsi" w:eastAsia="Times New Roman" w:hAnsiTheme="majorHAnsi" w:cstheme="majorHAnsi"/>
                <w:iCs/>
                <w:color w:val="000000"/>
                <w:sz w:val="18"/>
                <w:szCs w:val="18"/>
                <w:lang w:val="ro-MD"/>
              </w:rPr>
              <w:t xml:space="preserve">e a condiționat sechestrarea bunurilor în </w:t>
            </w:r>
            <w:r w:rsidR="00D54EB1">
              <w:rPr>
                <w:rFonts w:asciiTheme="majorHAnsi" w:eastAsia="Times New Roman" w:hAnsiTheme="majorHAnsi" w:cstheme="majorHAnsi"/>
                <w:iCs/>
                <w:color w:val="000000"/>
                <w:sz w:val="18"/>
                <w:szCs w:val="18"/>
                <w:lang w:val="ro-MD"/>
              </w:rPr>
              <w:t>valoare de</w:t>
            </w:r>
            <w:r w:rsidRPr="00401691">
              <w:rPr>
                <w:rFonts w:asciiTheme="majorHAnsi" w:eastAsia="Times New Roman" w:hAnsiTheme="majorHAnsi" w:cstheme="majorHAnsi"/>
                <w:iCs/>
                <w:color w:val="000000"/>
                <w:sz w:val="18"/>
                <w:szCs w:val="18"/>
                <w:lang w:val="ro-MD"/>
              </w:rPr>
              <w:t xml:space="preserve"> 90,73 mil. lei</w:t>
            </w:r>
            <w:r w:rsidR="00D54EB1">
              <w:rPr>
                <w:rFonts w:asciiTheme="majorHAnsi" w:eastAsia="Times New Roman" w:hAnsiTheme="majorHAnsi" w:cstheme="majorHAnsi"/>
                <w:iCs/>
                <w:color w:val="000000"/>
                <w:sz w:val="18"/>
                <w:szCs w:val="18"/>
                <w:lang w:val="ro-MD"/>
              </w:rPr>
              <w:t>,</w:t>
            </w:r>
            <w:r w:rsidRPr="00401691">
              <w:rPr>
                <w:rFonts w:asciiTheme="majorHAnsi" w:eastAsia="Times New Roman" w:hAnsiTheme="majorHAnsi" w:cstheme="majorHAnsi"/>
                <w:iCs/>
                <w:color w:val="000000"/>
                <w:sz w:val="18"/>
                <w:szCs w:val="18"/>
                <w:lang w:val="ro-MD"/>
              </w:rPr>
              <w:t xml:space="preserve"> din</w:t>
            </w:r>
            <w:r w:rsidR="00D54EB1">
              <w:rPr>
                <w:rFonts w:asciiTheme="majorHAnsi" w:eastAsia="Times New Roman" w:hAnsiTheme="majorHAnsi" w:cstheme="majorHAnsi"/>
                <w:iCs/>
                <w:color w:val="000000"/>
                <w:sz w:val="18"/>
                <w:szCs w:val="18"/>
                <w:lang w:val="ro-MD"/>
              </w:rPr>
              <w:t>tre</w:t>
            </w:r>
            <w:r w:rsidRPr="00401691">
              <w:rPr>
                <w:rFonts w:asciiTheme="majorHAnsi" w:eastAsia="Times New Roman" w:hAnsiTheme="majorHAnsi" w:cstheme="majorHAnsi"/>
                <w:iCs/>
                <w:color w:val="000000"/>
                <w:sz w:val="18"/>
                <w:szCs w:val="18"/>
                <w:lang w:val="ro-MD"/>
              </w:rPr>
              <w:t xml:space="preserve"> care au fost comercializate </w:t>
            </w:r>
            <w:r w:rsidR="00D54EB1">
              <w:rPr>
                <w:rFonts w:asciiTheme="majorHAnsi" w:eastAsia="Times New Roman" w:hAnsiTheme="majorHAnsi" w:cstheme="majorHAnsi"/>
                <w:iCs/>
                <w:color w:val="000000"/>
                <w:sz w:val="18"/>
                <w:szCs w:val="18"/>
                <w:lang w:val="ro-MD"/>
              </w:rPr>
              <w:t xml:space="preserve">bunuri în valoare de </w:t>
            </w:r>
            <w:r w:rsidRPr="00401691">
              <w:rPr>
                <w:rFonts w:asciiTheme="majorHAnsi" w:eastAsia="Times New Roman" w:hAnsiTheme="majorHAnsi" w:cstheme="majorHAnsi"/>
                <w:iCs/>
                <w:color w:val="000000"/>
                <w:sz w:val="18"/>
                <w:szCs w:val="18"/>
                <w:lang w:val="ro-MD"/>
              </w:rPr>
              <w:t>doar 1,06 mil.lei</w:t>
            </w:r>
            <w:r w:rsidR="00D54EB1">
              <w:rPr>
                <w:rFonts w:asciiTheme="majorHAnsi" w:eastAsia="Times New Roman" w:hAnsiTheme="majorHAnsi" w:cstheme="majorHAnsi"/>
                <w:iCs/>
                <w:color w:val="000000"/>
                <w:sz w:val="18"/>
                <w:szCs w:val="18"/>
                <w:lang w:val="ro-MD"/>
              </w:rPr>
              <w:t>,</w:t>
            </w:r>
            <w:r w:rsidRPr="00401691">
              <w:rPr>
                <w:rFonts w:asciiTheme="majorHAnsi" w:eastAsia="Times New Roman" w:hAnsiTheme="majorHAnsi" w:cstheme="majorHAnsi"/>
                <w:iCs/>
                <w:color w:val="000000"/>
                <w:sz w:val="18"/>
                <w:szCs w:val="18"/>
                <w:lang w:val="ro-MD"/>
              </w:rPr>
              <w:t xml:space="preserve"> ce reprezintă 1,16 %. Ca rezultat</w:t>
            </w:r>
            <w:r w:rsidR="00D54EB1">
              <w:rPr>
                <w:rFonts w:asciiTheme="majorHAnsi" w:eastAsia="Times New Roman" w:hAnsiTheme="majorHAnsi" w:cstheme="majorHAnsi"/>
                <w:iCs/>
                <w:color w:val="000000"/>
                <w:sz w:val="18"/>
                <w:szCs w:val="18"/>
                <w:lang w:val="ro-MD"/>
              </w:rPr>
              <w:t>,</w:t>
            </w:r>
            <w:r w:rsidRPr="00401691">
              <w:rPr>
                <w:rFonts w:asciiTheme="majorHAnsi" w:eastAsia="Times New Roman" w:hAnsiTheme="majorHAnsi" w:cstheme="majorHAnsi"/>
                <w:iCs/>
                <w:color w:val="000000"/>
                <w:sz w:val="18"/>
                <w:szCs w:val="18"/>
                <w:lang w:val="ro-MD"/>
              </w:rPr>
              <w:t xml:space="preserve"> stocul bunurilor sechestrate și necomercializate cumulativ la situația din 31.12.2019 a constituit 114,6 mil.lei.   </w:t>
            </w:r>
          </w:p>
          <w:p w:rsidR="00E74001" w:rsidRPr="00401691" w:rsidRDefault="00E74001" w:rsidP="003070D9">
            <w:pPr>
              <w:pStyle w:val="ListParagraph"/>
              <w:numPr>
                <w:ilvl w:val="0"/>
                <w:numId w:val="18"/>
              </w:numPr>
              <w:tabs>
                <w:tab w:val="left" w:pos="336"/>
              </w:tabs>
              <w:ind w:left="66" w:firstLine="366"/>
              <w:jc w:val="both"/>
              <w:rPr>
                <w:rFonts w:asciiTheme="majorHAnsi" w:eastAsia="Times New Roman" w:hAnsiTheme="majorHAnsi" w:cstheme="majorHAnsi"/>
                <w:iCs/>
                <w:color w:val="000000"/>
                <w:sz w:val="18"/>
                <w:szCs w:val="18"/>
                <w:lang w:val="ro-MD"/>
              </w:rPr>
            </w:pPr>
            <w:r w:rsidRPr="00401691">
              <w:rPr>
                <w:rFonts w:asciiTheme="majorHAnsi" w:eastAsia="Times New Roman" w:hAnsiTheme="majorHAnsi" w:cstheme="majorHAnsi"/>
                <w:iCs/>
                <w:color w:val="000000"/>
                <w:sz w:val="18"/>
                <w:szCs w:val="18"/>
                <w:lang w:val="ro-MD"/>
              </w:rPr>
              <w:t>a fost elaborat un model nou de contract</w:t>
            </w:r>
            <w:r w:rsidR="00D54EB1">
              <w:rPr>
                <w:rFonts w:asciiTheme="majorHAnsi" w:eastAsia="Times New Roman" w:hAnsiTheme="majorHAnsi" w:cstheme="majorHAnsi"/>
                <w:iCs/>
                <w:color w:val="000000"/>
                <w:sz w:val="18"/>
                <w:szCs w:val="18"/>
                <w:lang w:val="ro-MD"/>
              </w:rPr>
              <w:t>,</w:t>
            </w:r>
            <w:r w:rsidRPr="00401691">
              <w:rPr>
                <w:rFonts w:asciiTheme="majorHAnsi" w:eastAsia="Times New Roman" w:hAnsiTheme="majorHAnsi" w:cstheme="majorHAnsi"/>
                <w:iCs/>
                <w:color w:val="000000"/>
                <w:sz w:val="18"/>
                <w:szCs w:val="18"/>
                <w:lang w:val="ro-MD"/>
              </w:rPr>
              <w:t xml:space="preserve"> în care a fost prevăzut termenul de 30 de zile pentru raportarea rezultatului evaluărilor bunurilor sechestrate de către evaluator în adresa SFS.</w:t>
            </w:r>
          </w:p>
        </w:tc>
      </w:tr>
    </w:tbl>
    <w:p w:rsidR="00B900C4" w:rsidRPr="00401691" w:rsidRDefault="00B900C4" w:rsidP="00DB337B">
      <w:pPr>
        <w:tabs>
          <w:tab w:val="left" w:pos="3480"/>
        </w:tabs>
        <w:rPr>
          <w:rFonts w:asciiTheme="majorHAnsi" w:hAnsiTheme="majorHAnsi" w:cstheme="majorHAnsi"/>
          <w:lang w:val="ro-MD"/>
        </w:rPr>
      </w:pPr>
    </w:p>
    <w:sectPr w:rsidR="00B900C4" w:rsidRPr="00401691" w:rsidSect="00DB337B">
      <w:footerReference w:type="default" r:id="rId30"/>
      <w:pgSz w:w="12240" w:h="15840"/>
      <w:pgMar w:top="1260" w:right="1440" w:bottom="1170" w:left="1440" w:header="720" w:footer="720" w:gutter="0"/>
      <w:pgNumType w:start="53"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679" w:rsidRDefault="00111679" w:rsidP="00943830">
      <w:pPr>
        <w:spacing w:after="0" w:line="240" w:lineRule="auto"/>
      </w:pPr>
      <w:r>
        <w:separator/>
      </w:r>
    </w:p>
  </w:endnote>
  <w:endnote w:type="continuationSeparator" w:id="0">
    <w:p w:rsidR="00111679" w:rsidRDefault="00111679" w:rsidP="00943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49835"/>
      <w:docPartObj>
        <w:docPartGallery w:val="Page Numbers (Bottom of Page)"/>
        <w:docPartUnique/>
      </w:docPartObj>
    </w:sdtPr>
    <w:sdtEndPr>
      <w:rPr>
        <w:noProof/>
      </w:rPr>
    </w:sdtEndPr>
    <w:sdtContent>
      <w:p w:rsidR="00C65A33" w:rsidRDefault="00C65A33" w:rsidP="00983F07">
        <w:pPr>
          <w:pStyle w:val="Footer"/>
          <w:jc w:val="right"/>
        </w:pPr>
        <w:r>
          <w:fldChar w:fldCharType="begin"/>
        </w:r>
        <w:r>
          <w:instrText xml:space="preserve"> PAGE   \* MERGEFORMAT </w:instrText>
        </w:r>
        <w:r>
          <w:fldChar w:fldCharType="separate"/>
        </w:r>
        <w:r w:rsidR="00646A55">
          <w:rPr>
            <w:noProof/>
          </w:rPr>
          <w:t>43</w:t>
        </w:r>
        <w:r>
          <w:rPr>
            <w:noProof/>
          </w:rPr>
          <w:fldChar w:fldCharType="end"/>
        </w:r>
      </w:p>
    </w:sdtContent>
  </w:sdt>
  <w:p w:rsidR="00C65A33" w:rsidRDefault="00C65A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A33" w:rsidRPr="006A4A05" w:rsidRDefault="00C65A33">
    <w:pPr>
      <w:pStyle w:val="Footer"/>
      <w:rPr>
        <w:color w:val="FFFFFF" w:themeColor="background1"/>
        <w:lang w:val="ro-MD"/>
      </w:rPr>
    </w:pPr>
    <w:r w:rsidRPr="006A4A05">
      <w:rPr>
        <w:color w:val="FFFFFF" w:themeColor="background1"/>
        <w:lang w:val="ro-MD"/>
      </w:rPr>
      <w:ptab w:relativeTo="margin" w:alignment="center" w:leader="none"/>
    </w:r>
    <w:r w:rsidRPr="006A4A05">
      <w:rPr>
        <w:color w:val="FFFFFF" w:themeColor="background1"/>
        <w:lang w:val="ro-MD"/>
      </w:rPr>
      <w:ptab w:relativeTo="margin" w:alignment="right" w:leader="none"/>
    </w:r>
    <w:r w:rsidRPr="006A4A05">
      <w:rPr>
        <w:color w:val="FFFFFF" w:themeColor="background1"/>
        <w:lang w:val="ro-MD"/>
      </w:rPr>
      <w:t>52</w:t>
    </w:r>
  </w:p>
  <w:p w:rsidR="00C65A33" w:rsidRPr="00983F07" w:rsidRDefault="00C65A33">
    <w:pPr>
      <w:pStyle w:val="Footer"/>
      <w:rPr>
        <w:lang w:val="ro-MD"/>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894518"/>
      <w:docPartObj>
        <w:docPartGallery w:val="Page Numbers (Bottom of Page)"/>
        <w:docPartUnique/>
      </w:docPartObj>
    </w:sdtPr>
    <w:sdtEndPr>
      <w:rPr>
        <w:noProof/>
      </w:rPr>
    </w:sdtEndPr>
    <w:sdtContent>
      <w:p w:rsidR="00C65A33" w:rsidRDefault="00C65A33">
        <w:pPr>
          <w:pStyle w:val="Footer"/>
          <w:jc w:val="right"/>
        </w:pPr>
        <w:r>
          <w:t>53</w:t>
        </w:r>
      </w:p>
    </w:sdtContent>
  </w:sdt>
  <w:p w:rsidR="00C65A33" w:rsidRDefault="00C65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679" w:rsidRDefault="00111679" w:rsidP="00943830">
      <w:pPr>
        <w:spacing w:after="0" w:line="240" w:lineRule="auto"/>
      </w:pPr>
      <w:r>
        <w:separator/>
      </w:r>
    </w:p>
  </w:footnote>
  <w:footnote w:type="continuationSeparator" w:id="0">
    <w:p w:rsidR="00111679" w:rsidRDefault="00111679" w:rsidP="00943830">
      <w:pPr>
        <w:spacing w:after="0" w:line="240" w:lineRule="auto"/>
      </w:pPr>
      <w:r>
        <w:continuationSeparator/>
      </w:r>
    </w:p>
  </w:footnote>
  <w:footnote w:id="1">
    <w:p w:rsidR="00C65A33" w:rsidRPr="00B97B14" w:rsidRDefault="00C65A33" w:rsidP="00E84F6B">
      <w:pPr>
        <w:pStyle w:val="FootnoteText"/>
        <w:spacing w:after="0" w:line="240" w:lineRule="auto"/>
        <w:rPr>
          <w:rFonts w:asciiTheme="majorHAnsi" w:hAnsiTheme="majorHAnsi" w:cstheme="majorHAnsi"/>
          <w:sz w:val="18"/>
          <w:szCs w:val="18"/>
          <w:lang w:val="ro-MD"/>
        </w:rPr>
      </w:pPr>
      <w:r w:rsidRPr="00B97B14">
        <w:rPr>
          <w:rStyle w:val="FootnoteReference"/>
          <w:rFonts w:asciiTheme="majorHAnsi" w:hAnsiTheme="majorHAnsi" w:cstheme="majorHAnsi"/>
        </w:rPr>
        <w:footnoteRef/>
      </w:r>
      <w:r w:rsidRPr="00B97B14">
        <w:rPr>
          <w:rFonts w:asciiTheme="majorHAnsi" w:hAnsiTheme="majorHAnsi" w:cstheme="majorHAnsi"/>
        </w:rPr>
        <w:t xml:space="preserve"> </w:t>
      </w:r>
      <w:r w:rsidRPr="00B97B14">
        <w:rPr>
          <w:rFonts w:asciiTheme="majorHAnsi" w:hAnsiTheme="majorHAnsi" w:cstheme="majorHAnsi"/>
          <w:sz w:val="16"/>
          <w:szCs w:val="16"/>
          <w:lang w:val="ro-MD"/>
        </w:rPr>
        <w:t>Hotărârea Guvernului nr.395 din 5 iunie 2017 „Cu privire la aprobarea Regulamentului privind organizarea și funcționarea Serviciului Fiscal de Stat”.</w:t>
      </w:r>
    </w:p>
  </w:footnote>
  <w:footnote w:id="2">
    <w:p w:rsidR="00C65A33" w:rsidRPr="00B97B14" w:rsidRDefault="00C65A33" w:rsidP="00E12D62">
      <w:pPr>
        <w:pStyle w:val="FootnoteText"/>
        <w:spacing w:after="0" w:line="240" w:lineRule="auto"/>
        <w:rPr>
          <w:rFonts w:asciiTheme="majorHAnsi" w:hAnsiTheme="majorHAnsi" w:cstheme="majorHAnsi"/>
          <w:sz w:val="16"/>
          <w:szCs w:val="16"/>
          <w:lang w:val="ro-MD"/>
        </w:rPr>
      </w:pPr>
      <w:r w:rsidRPr="00B97B14">
        <w:rPr>
          <w:rStyle w:val="FootnoteReference"/>
          <w:rFonts w:asciiTheme="majorHAnsi" w:hAnsiTheme="majorHAnsi" w:cstheme="majorHAnsi"/>
          <w:sz w:val="16"/>
          <w:szCs w:val="16"/>
        </w:rPr>
        <w:footnoteRef/>
      </w:r>
      <w:r w:rsidRPr="00B97B14">
        <w:rPr>
          <w:rFonts w:asciiTheme="majorHAnsi" w:hAnsiTheme="majorHAnsi" w:cstheme="majorHAnsi"/>
          <w:sz w:val="16"/>
          <w:szCs w:val="16"/>
        </w:rPr>
        <w:t xml:space="preserve"> </w:t>
      </w:r>
      <w:r w:rsidRPr="00B97B14">
        <w:rPr>
          <w:rFonts w:asciiTheme="majorHAnsi" w:hAnsiTheme="majorHAnsi" w:cstheme="majorHAnsi"/>
          <w:sz w:val="16"/>
          <w:szCs w:val="16"/>
          <w:lang w:val="ro-MD"/>
        </w:rPr>
        <w:t>Articolul 132</w:t>
      </w:r>
      <w:r w:rsidRPr="00B97B14">
        <w:rPr>
          <w:rFonts w:asciiTheme="majorHAnsi" w:hAnsiTheme="majorHAnsi" w:cstheme="majorHAnsi"/>
          <w:sz w:val="16"/>
          <w:szCs w:val="16"/>
          <w:vertAlign w:val="superscript"/>
          <w:lang w:val="ro-MD"/>
        </w:rPr>
        <w:t xml:space="preserve">1 </w:t>
      </w:r>
      <w:r w:rsidRPr="00B97B14">
        <w:rPr>
          <w:rFonts w:asciiTheme="majorHAnsi" w:hAnsiTheme="majorHAnsi" w:cstheme="majorHAnsi"/>
          <w:sz w:val="16"/>
          <w:szCs w:val="16"/>
          <w:lang w:val="ro-MD"/>
        </w:rPr>
        <w:t xml:space="preserve">din Titlul IV al Codului </w:t>
      </w:r>
      <w:r>
        <w:rPr>
          <w:rFonts w:asciiTheme="majorHAnsi" w:hAnsiTheme="majorHAnsi" w:cstheme="majorHAnsi"/>
          <w:sz w:val="16"/>
          <w:szCs w:val="16"/>
          <w:lang w:val="ro-MD"/>
        </w:rPr>
        <w:t>f</w:t>
      </w:r>
      <w:r w:rsidRPr="00B97B14">
        <w:rPr>
          <w:rFonts w:asciiTheme="majorHAnsi" w:hAnsiTheme="majorHAnsi" w:cstheme="majorHAnsi"/>
          <w:sz w:val="16"/>
          <w:szCs w:val="16"/>
          <w:lang w:val="ro-MD"/>
        </w:rPr>
        <w:t>iscal.</w:t>
      </w:r>
    </w:p>
  </w:footnote>
  <w:footnote w:id="3">
    <w:p w:rsidR="00C65A33" w:rsidRPr="00325BC0" w:rsidRDefault="00C65A33" w:rsidP="00325BC0">
      <w:pPr>
        <w:pStyle w:val="FootnoteText"/>
        <w:spacing w:after="0" w:line="240" w:lineRule="auto"/>
        <w:rPr>
          <w:rFonts w:asciiTheme="majorHAnsi" w:hAnsiTheme="majorHAnsi" w:cstheme="majorHAnsi"/>
          <w:sz w:val="16"/>
          <w:szCs w:val="16"/>
          <w:lang w:val="ro-MD"/>
        </w:rPr>
      </w:pPr>
      <w:r w:rsidRPr="00325BC0">
        <w:rPr>
          <w:rStyle w:val="FootnoteReference"/>
          <w:rFonts w:asciiTheme="majorHAnsi" w:hAnsiTheme="majorHAnsi" w:cstheme="majorHAnsi"/>
          <w:sz w:val="16"/>
          <w:szCs w:val="16"/>
          <w:lang w:val="ro-MD"/>
        </w:rPr>
        <w:footnoteRef/>
      </w:r>
      <w:r w:rsidRPr="00325BC0">
        <w:rPr>
          <w:rFonts w:asciiTheme="majorHAnsi" w:hAnsiTheme="majorHAnsi" w:cstheme="majorHAnsi"/>
          <w:sz w:val="16"/>
          <w:szCs w:val="16"/>
          <w:lang w:val="ro-MD"/>
        </w:rPr>
        <w:t xml:space="preserve">  Hotărârea Curții de Conturi nr.2 din 24.01.2020 „Cu privire la Cadrul Declarațiilor Profesionale ale INTOSAI”</w:t>
      </w:r>
      <w:r>
        <w:rPr>
          <w:rFonts w:asciiTheme="majorHAnsi" w:hAnsiTheme="majorHAnsi" w:cstheme="majorHAnsi"/>
          <w:sz w:val="16"/>
          <w:szCs w:val="16"/>
          <w:lang w:val="ro-MD"/>
        </w:rPr>
        <w:t>.</w:t>
      </w:r>
    </w:p>
  </w:footnote>
  <w:footnote w:id="4">
    <w:p w:rsidR="00C65A33" w:rsidRPr="00325BC0" w:rsidRDefault="00C65A33" w:rsidP="00325BC0">
      <w:pPr>
        <w:pStyle w:val="FootnoteText"/>
        <w:spacing w:line="240" w:lineRule="auto"/>
        <w:rPr>
          <w:rFonts w:asciiTheme="majorHAnsi" w:hAnsiTheme="majorHAnsi" w:cstheme="majorHAnsi"/>
          <w:sz w:val="16"/>
          <w:szCs w:val="16"/>
          <w:lang w:val="ro-MD"/>
        </w:rPr>
      </w:pPr>
      <w:r w:rsidRPr="00325BC0">
        <w:rPr>
          <w:rStyle w:val="FootnoteReference"/>
          <w:rFonts w:asciiTheme="majorHAnsi" w:hAnsiTheme="majorHAnsi" w:cstheme="majorHAnsi"/>
          <w:sz w:val="16"/>
          <w:szCs w:val="16"/>
          <w:lang w:val="ro-MD"/>
        </w:rPr>
        <w:footnoteRef/>
      </w:r>
      <w:r w:rsidRPr="00325BC0">
        <w:rPr>
          <w:rFonts w:asciiTheme="majorHAnsi" w:hAnsiTheme="majorHAnsi" w:cstheme="majorHAnsi"/>
          <w:sz w:val="16"/>
          <w:szCs w:val="16"/>
          <w:lang w:val="ro-MD"/>
        </w:rPr>
        <w:t xml:space="preserve"> Acces acordat în limitele</w:t>
      </w:r>
      <w:r>
        <w:rPr>
          <w:rFonts w:asciiTheme="majorHAnsi" w:hAnsiTheme="majorHAnsi" w:cstheme="majorHAnsi"/>
          <w:sz w:val="16"/>
          <w:szCs w:val="16"/>
          <w:lang w:val="ro-MD"/>
        </w:rPr>
        <w:t xml:space="preserve"> </w:t>
      </w:r>
      <w:r w:rsidRPr="00176E82">
        <w:rPr>
          <w:rFonts w:asciiTheme="majorHAnsi" w:hAnsiTheme="majorHAnsi" w:cstheme="majorHAnsi"/>
          <w:sz w:val="16"/>
          <w:szCs w:val="16"/>
          <w:lang w:val="ro-MD"/>
        </w:rPr>
        <w:t>Acordului nr. 20 din 15.02.2017 încheiat</w:t>
      </w:r>
      <w:r>
        <w:rPr>
          <w:rFonts w:asciiTheme="majorHAnsi" w:hAnsiTheme="majorHAnsi" w:cstheme="majorHAnsi"/>
          <w:sz w:val="16"/>
          <w:szCs w:val="16"/>
          <w:lang w:val="ro-MD"/>
        </w:rPr>
        <w:t xml:space="preserve"> între CCRM și SFS.</w:t>
      </w:r>
      <w:r w:rsidRPr="00325BC0">
        <w:rPr>
          <w:rFonts w:asciiTheme="majorHAnsi" w:hAnsiTheme="majorHAnsi" w:cstheme="majorHAnsi"/>
          <w:sz w:val="16"/>
          <w:szCs w:val="16"/>
          <w:lang w:val="ro-MD"/>
        </w:rPr>
        <w:t xml:space="preserve"> </w:t>
      </w:r>
    </w:p>
  </w:footnote>
  <w:footnote w:id="5">
    <w:p w:rsidR="00C65A33" w:rsidRPr="00C57482" w:rsidRDefault="00C65A33" w:rsidP="00723EB7">
      <w:pPr>
        <w:pStyle w:val="FootnoteText"/>
        <w:spacing w:after="0"/>
        <w:rPr>
          <w:rFonts w:asciiTheme="majorHAnsi" w:hAnsiTheme="majorHAnsi" w:cstheme="majorHAnsi"/>
          <w:sz w:val="16"/>
          <w:szCs w:val="16"/>
          <w:lang w:val="ro-MD"/>
        </w:rPr>
      </w:pPr>
      <w:r w:rsidRPr="00C57482">
        <w:rPr>
          <w:rStyle w:val="FootnoteReference"/>
          <w:rFonts w:asciiTheme="majorHAnsi" w:hAnsiTheme="majorHAnsi" w:cstheme="majorHAnsi"/>
          <w:sz w:val="16"/>
          <w:szCs w:val="16"/>
          <w:lang w:val="ro-MD"/>
        </w:rPr>
        <w:footnoteRef/>
      </w:r>
      <w:r w:rsidRPr="00C57482">
        <w:rPr>
          <w:rFonts w:asciiTheme="majorHAnsi" w:hAnsiTheme="majorHAnsi" w:cstheme="majorHAnsi"/>
          <w:sz w:val="16"/>
          <w:szCs w:val="16"/>
          <w:lang w:val="ro-MD"/>
        </w:rPr>
        <w:t xml:space="preserve"> Cu privire la conformarea contribuabililor care nu au prezentat dările de seamă cu privire la impozitul pe venit.</w:t>
      </w:r>
    </w:p>
  </w:footnote>
  <w:footnote w:id="6">
    <w:p w:rsidR="00C65A33" w:rsidRPr="00502038" w:rsidRDefault="00C65A33" w:rsidP="006B74D1">
      <w:pPr>
        <w:pStyle w:val="FootnoteText"/>
        <w:spacing w:after="0"/>
        <w:jc w:val="both"/>
        <w:rPr>
          <w:rFonts w:asciiTheme="majorHAnsi" w:hAnsiTheme="majorHAnsi" w:cstheme="majorHAnsi"/>
          <w:sz w:val="16"/>
          <w:szCs w:val="16"/>
          <w:lang w:val="ro-MD"/>
        </w:rPr>
      </w:pPr>
      <w:r w:rsidRPr="00502038">
        <w:rPr>
          <w:rStyle w:val="FootnoteReference"/>
          <w:rFonts w:asciiTheme="majorHAnsi" w:hAnsiTheme="majorHAnsi" w:cstheme="majorHAnsi"/>
          <w:sz w:val="16"/>
          <w:szCs w:val="16"/>
          <w:lang w:val="ro-MD"/>
        </w:rPr>
        <w:footnoteRef/>
      </w:r>
      <w:r w:rsidRPr="00502038">
        <w:rPr>
          <w:rFonts w:asciiTheme="majorHAnsi" w:hAnsiTheme="majorHAnsi" w:cstheme="majorHAnsi"/>
          <w:sz w:val="16"/>
          <w:szCs w:val="16"/>
          <w:lang w:val="ro-MD"/>
        </w:rPr>
        <w:t xml:space="preserve"> Datele oficiale </w:t>
      </w:r>
      <w:r>
        <w:rPr>
          <w:rFonts w:asciiTheme="majorHAnsi" w:hAnsiTheme="majorHAnsi" w:cstheme="majorHAnsi"/>
          <w:sz w:val="16"/>
          <w:szCs w:val="16"/>
          <w:lang w:val="ro-MD"/>
        </w:rPr>
        <w:t>lea BNS privind  indicatorii-</w:t>
      </w:r>
      <w:r w:rsidRPr="00502038">
        <w:rPr>
          <w:rFonts w:asciiTheme="majorHAnsi" w:hAnsiTheme="majorHAnsi" w:cstheme="majorHAnsi"/>
          <w:sz w:val="16"/>
          <w:szCs w:val="16"/>
          <w:lang w:val="ro-MD"/>
        </w:rPr>
        <w:t>cheie realizați în anii 2017 -2019 (sursa: http</w:t>
      </w:r>
      <w:r>
        <w:rPr>
          <w:rFonts w:asciiTheme="majorHAnsi" w:hAnsiTheme="majorHAnsi" w:cstheme="majorHAnsi"/>
          <w:sz w:val="16"/>
          <w:szCs w:val="16"/>
          <w:lang w:val="ro-MD"/>
        </w:rPr>
        <w:t>s://statistica.gov.md/category).</w:t>
      </w:r>
    </w:p>
  </w:footnote>
  <w:footnote w:id="7">
    <w:p w:rsidR="00C65A33" w:rsidRPr="0017302F" w:rsidRDefault="00C65A33" w:rsidP="00502038">
      <w:pPr>
        <w:pStyle w:val="FootnoteText"/>
        <w:spacing w:after="0"/>
        <w:jc w:val="both"/>
        <w:rPr>
          <w:sz w:val="18"/>
          <w:szCs w:val="18"/>
          <w:lang w:val="ro-MD"/>
        </w:rPr>
      </w:pPr>
      <w:r w:rsidRPr="00502038">
        <w:rPr>
          <w:rStyle w:val="FootnoteReference"/>
          <w:rFonts w:asciiTheme="majorHAnsi" w:hAnsiTheme="majorHAnsi" w:cstheme="majorHAnsi"/>
          <w:sz w:val="16"/>
          <w:szCs w:val="16"/>
          <w:lang w:val="ro-MD"/>
        </w:rPr>
        <w:footnoteRef/>
      </w:r>
      <w:r w:rsidRPr="00502038">
        <w:rPr>
          <w:rFonts w:asciiTheme="majorHAnsi" w:hAnsiTheme="majorHAnsi" w:cstheme="majorHAnsi"/>
          <w:sz w:val="16"/>
          <w:szCs w:val="16"/>
          <w:lang w:val="ro-MD"/>
        </w:rPr>
        <w:t xml:space="preserve"> Conform estimărilor privind PIB publicate de BNS.</w:t>
      </w:r>
      <w:r w:rsidRPr="0017302F">
        <w:rPr>
          <w:sz w:val="18"/>
          <w:szCs w:val="18"/>
          <w:lang w:val="ro-MD"/>
        </w:rPr>
        <w:t xml:space="preserve"> </w:t>
      </w:r>
    </w:p>
  </w:footnote>
  <w:footnote w:id="8">
    <w:p w:rsidR="00C65A33" w:rsidRPr="00502038" w:rsidRDefault="00C65A33" w:rsidP="00502038">
      <w:pPr>
        <w:pStyle w:val="FootnoteText"/>
        <w:spacing w:after="0" w:line="240" w:lineRule="auto"/>
        <w:jc w:val="both"/>
        <w:rPr>
          <w:rFonts w:asciiTheme="majorHAnsi" w:hAnsiTheme="majorHAnsi" w:cstheme="majorHAnsi"/>
          <w:sz w:val="16"/>
          <w:szCs w:val="16"/>
          <w:lang w:val="ro-RO"/>
        </w:rPr>
      </w:pPr>
      <w:r w:rsidRPr="00502038">
        <w:rPr>
          <w:rStyle w:val="FootnoteReference"/>
          <w:rFonts w:asciiTheme="majorHAnsi" w:hAnsiTheme="majorHAnsi" w:cstheme="majorHAnsi"/>
          <w:sz w:val="16"/>
          <w:szCs w:val="16"/>
        </w:rPr>
        <w:footnoteRef/>
      </w:r>
      <w:r w:rsidRPr="00502038">
        <w:rPr>
          <w:rFonts w:asciiTheme="majorHAnsi" w:hAnsiTheme="majorHAnsi" w:cstheme="majorHAnsi"/>
          <w:sz w:val="16"/>
          <w:szCs w:val="16"/>
        </w:rPr>
        <w:t xml:space="preserve"> </w:t>
      </w:r>
      <w:r w:rsidRPr="00502038">
        <w:rPr>
          <w:rFonts w:asciiTheme="majorHAnsi" w:hAnsiTheme="majorHAnsi" w:cstheme="majorHAnsi"/>
          <w:sz w:val="16"/>
          <w:szCs w:val="16"/>
          <w:lang w:val="ro-MD"/>
        </w:rPr>
        <w:t xml:space="preserve">În anul 2019, SFS a aprobat Metodologia de estimare a decalajului fiscal, aprobată prin </w:t>
      </w:r>
      <w:r>
        <w:rPr>
          <w:rFonts w:asciiTheme="majorHAnsi" w:hAnsiTheme="majorHAnsi" w:cstheme="majorHAnsi"/>
          <w:sz w:val="16"/>
          <w:szCs w:val="16"/>
          <w:lang w:val="ro-MD"/>
        </w:rPr>
        <w:t>O</w:t>
      </w:r>
      <w:r w:rsidRPr="00502038">
        <w:rPr>
          <w:rFonts w:asciiTheme="majorHAnsi" w:hAnsiTheme="majorHAnsi" w:cstheme="majorHAnsi"/>
          <w:sz w:val="16"/>
          <w:szCs w:val="16"/>
          <w:lang w:val="ro-MD"/>
        </w:rPr>
        <w:t>rdinul SFS</w:t>
      </w:r>
      <w:r>
        <w:rPr>
          <w:rFonts w:asciiTheme="majorHAnsi" w:hAnsiTheme="majorHAnsi" w:cstheme="majorHAnsi"/>
          <w:sz w:val="16"/>
          <w:szCs w:val="16"/>
          <w:lang w:val="ro-MD"/>
        </w:rPr>
        <w:t xml:space="preserve"> </w:t>
      </w:r>
      <w:r w:rsidRPr="00502038">
        <w:rPr>
          <w:rFonts w:asciiTheme="majorHAnsi" w:hAnsiTheme="majorHAnsi" w:cstheme="majorHAnsi"/>
          <w:sz w:val="16"/>
          <w:szCs w:val="16"/>
          <w:lang w:val="ro-MD"/>
        </w:rPr>
        <w:t>nr.610 din 27.12.2019</w:t>
      </w:r>
      <w:r>
        <w:rPr>
          <w:rFonts w:asciiTheme="majorHAnsi" w:hAnsiTheme="majorHAnsi" w:cstheme="majorHAnsi"/>
          <w:sz w:val="16"/>
          <w:szCs w:val="16"/>
          <w:lang w:val="ro-MD"/>
        </w:rPr>
        <w:t>.</w:t>
      </w:r>
    </w:p>
  </w:footnote>
  <w:footnote w:id="9">
    <w:p w:rsidR="00C65A33" w:rsidRPr="00502038" w:rsidRDefault="00C65A33" w:rsidP="00502038">
      <w:pPr>
        <w:pStyle w:val="FootnoteText"/>
        <w:spacing w:after="0" w:line="240" w:lineRule="auto"/>
        <w:jc w:val="both"/>
        <w:rPr>
          <w:rFonts w:asciiTheme="majorHAnsi" w:hAnsiTheme="majorHAnsi" w:cstheme="majorHAnsi"/>
          <w:sz w:val="16"/>
          <w:szCs w:val="16"/>
          <w:lang w:val="ro-RO"/>
        </w:rPr>
      </w:pPr>
      <w:r w:rsidRPr="00502038">
        <w:rPr>
          <w:rStyle w:val="FootnoteReference"/>
          <w:rFonts w:asciiTheme="majorHAnsi" w:hAnsiTheme="majorHAnsi" w:cstheme="majorHAnsi"/>
          <w:sz w:val="16"/>
          <w:szCs w:val="16"/>
        </w:rPr>
        <w:footnoteRef/>
      </w:r>
      <w:r w:rsidRPr="00502038">
        <w:rPr>
          <w:rFonts w:asciiTheme="majorHAnsi" w:hAnsiTheme="majorHAnsi" w:cstheme="majorHAnsi"/>
          <w:sz w:val="16"/>
          <w:szCs w:val="16"/>
        </w:rPr>
        <w:t xml:space="preserve"> </w:t>
      </w:r>
      <w:r w:rsidRPr="00502038">
        <w:rPr>
          <w:rFonts w:asciiTheme="majorHAnsi" w:hAnsiTheme="majorHAnsi" w:cstheme="majorHAnsi"/>
          <w:sz w:val="16"/>
          <w:szCs w:val="16"/>
          <w:lang w:val="ro-MD"/>
        </w:rPr>
        <w:t>Recomandările metodice privind prognozarea veniturilor și stabilirea sarcinilor de venituri la BPN, aprobate  prin Ordinul SFS nr.135 din 30.05.2017</w:t>
      </w:r>
      <w:r>
        <w:rPr>
          <w:rFonts w:asciiTheme="majorHAnsi" w:hAnsiTheme="majorHAnsi" w:cstheme="majorHAnsi"/>
          <w:sz w:val="16"/>
          <w:szCs w:val="16"/>
          <w:lang w:val="ro-MD"/>
        </w:rPr>
        <w:t>.</w:t>
      </w:r>
    </w:p>
  </w:footnote>
  <w:footnote w:id="10">
    <w:p w:rsidR="00C65A33" w:rsidRPr="00B55BE7" w:rsidRDefault="00C65A33" w:rsidP="00502038">
      <w:pPr>
        <w:pStyle w:val="FootnoteText"/>
        <w:spacing w:after="0"/>
        <w:jc w:val="both"/>
        <w:rPr>
          <w:sz w:val="18"/>
          <w:szCs w:val="18"/>
          <w:lang w:val="ro-RO"/>
        </w:rPr>
      </w:pPr>
      <w:r w:rsidRPr="00502038">
        <w:rPr>
          <w:rStyle w:val="FootnoteReference"/>
          <w:rFonts w:asciiTheme="majorHAnsi" w:hAnsiTheme="majorHAnsi" w:cstheme="majorHAnsi"/>
          <w:sz w:val="16"/>
          <w:szCs w:val="16"/>
        </w:rPr>
        <w:footnoteRef/>
      </w:r>
      <w:r>
        <w:rPr>
          <w:rFonts w:asciiTheme="majorHAnsi" w:hAnsiTheme="majorHAnsi" w:cstheme="majorHAnsi"/>
          <w:sz w:val="16"/>
          <w:szCs w:val="16"/>
          <w:lang w:val="ro-RO"/>
        </w:rPr>
        <w:t xml:space="preserve"> </w:t>
      </w:r>
      <w:r w:rsidRPr="00502038">
        <w:rPr>
          <w:rFonts w:asciiTheme="majorHAnsi" w:hAnsiTheme="majorHAnsi" w:cstheme="majorHAnsi"/>
          <w:sz w:val="16"/>
          <w:szCs w:val="16"/>
          <w:lang w:val="ro-RO"/>
        </w:rPr>
        <w:t>La solicitarea echipei de audit</w:t>
      </w:r>
      <w:r>
        <w:rPr>
          <w:rFonts w:asciiTheme="majorHAnsi" w:hAnsiTheme="majorHAnsi" w:cstheme="majorHAnsi"/>
          <w:sz w:val="16"/>
          <w:szCs w:val="16"/>
          <w:lang w:val="ro-RO"/>
        </w:rPr>
        <w:t>,</w:t>
      </w:r>
      <w:r w:rsidRPr="00502038">
        <w:rPr>
          <w:rFonts w:asciiTheme="majorHAnsi" w:hAnsiTheme="majorHAnsi" w:cstheme="majorHAnsi"/>
          <w:sz w:val="16"/>
          <w:szCs w:val="16"/>
          <w:lang w:val="ro-RO"/>
        </w:rPr>
        <w:t xml:space="preserve">  nu au fost prezentate documentele analitice care confirmă aplicarea  metodelor menționate.</w:t>
      </w:r>
    </w:p>
  </w:footnote>
  <w:footnote w:id="11">
    <w:p w:rsidR="00C65A33" w:rsidRPr="007F4396" w:rsidRDefault="00C65A33" w:rsidP="004F5B29">
      <w:pPr>
        <w:pStyle w:val="FootnoteText"/>
        <w:spacing w:after="0"/>
        <w:jc w:val="both"/>
        <w:rPr>
          <w:rFonts w:asciiTheme="majorHAnsi" w:hAnsiTheme="majorHAnsi" w:cstheme="majorHAnsi"/>
          <w:sz w:val="16"/>
          <w:szCs w:val="16"/>
          <w:lang w:val="ro-MD"/>
        </w:rPr>
      </w:pPr>
      <w:r w:rsidRPr="007F4396">
        <w:rPr>
          <w:rStyle w:val="FootnoteReference"/>
          <w:rFonts w:asciiTheme="majorHAnsi" w:hAnsiTheme="majorHAnsi" w:cstheme="majorHAnsi"/>
          <w:sz w:val="16"/>
          <w:szCs w:val="16"/>
        </w:rPr>
        <w:footnoteRef/>
      </w:r>
      <w:r w:rsidRPr="007F4396">
        <w:rPr>
          <w:rFonts w:asciiTheme="majorHAnsi" w:hAnsiTheme="majorHAnsi" w:cstheme="majorHAnsi"/>
          <w:sz w:val="16"/>
          <w:szCs w:val="16"/>
        </w:rPr>
        <w:t xml:space="preserve"> </w:t>
      </w:r>
      <w:r w:rsidRPr="007F4396">
        <w:rPr>
          <w:rFonts w:asciiTheme="majorHAnsi" w:hAnsiTheme="majorHAnsi" w:cstheme="majorHAnsi"/>
          <w:sz w:val="16"/>
          <w:szCs w:val="16"/>
          <w:lang w:val="ro-MD"/>
        </w:rPr>
        <w:t>Ordinul ministrului finanțelor nr. 205 di</w:t>
      </w:r>
      <w:r>
        <w:rPr>
          <w:rFonts w:asciiTheme="majorHAnsi" w:hAnsiTheme="majorHAnsi" w:cstheme="majorHAnsi"/>
          <w:sz w:val="16"/>
          <w:szCs w:val="16"/>
          <w:lang w:val="ro-MD"/>
        </w:rPr>
        <w:t>n</w:t>
      </w:r>
      <w:r w:rsidRPr="007F4396">
        <w:rPr>
          <w:rFonts w:asciiTheme="majorHAnsi" w:hAnsiTheme="majorHAnsi" w:cstheme="majorHAnsi"/>
          <w:sz w:val="16"/>
          <w:szCs w:val="16"/>
          <w:lang w:val="ro-MD"/>
        </w:rPr>
        <w:t xml:space="preserve"> 21.12.2018 „Cu privire la modul de achitare și evidentă a plăților la bugetul public național prin sistemul </w:t>
      </w:r>
      <w:proofErr w:type="spellStart"/>
      <w:r w:rsidRPr="007F4396">
        <w:rPr>
          <w:rFonts w:asciiTheme="majorHAnsi" w:hAnsiTheme="majorHAnsi" w:cstheme="majorHAnsi"/>
          <w:sz w:val="16"/>
          <w:szCs w:val="16"/>
          <w:lang w:val="ro-MD"/>
        </w:rPr>
        <w:t>trezorerial</w:t>
      </w:r>
      <w:proofErr w:type="spellEnd"/>
      <w:r w:rsidRPr="007F4396">
        <w:rPr>
          <w:rFonts w:asciiTheme="majorHAnsi" w:hAnsiTheme="majorHAnsi" w:cstheme="majorHAnsi"/>
          <w:sz w:val="16"/>
          <w:szCs w:val="16"/>
          <w:lang w:val="ro-MD"/>
        </w:rPr>
        <w:t xml:space="preserve"> al Ministerului Finanțelor în anul 2019”</w:t>
      </w:r>
      <w:r>
        <w:rPr>
          <w:rFonts w:asciiTheme="majorHAnsi" w:hAnsiTheme="majorHAnsi" w:cstheme="majorHAnsi"/>
          <w:sz w:val="16"/>
          <w:szCs w:val="16"/>
          <w:lang w:val="ro-MD"/>
        </w:rPr>
        <w:t>.</w:t>
      </w:r>
    </w:p>
  </w:footnote>
  <w:footnote w:id="12">
    <w:p w:rsidR="00C65A33" w:rsidRPr="007F4396" w:rsidRDefault="00C65A33" w:rsidP="004F5B29">
      <w:pPr>
        <w:pStyle w:val="FootnoteText"/>
        <w:spacing w:after="0"/>
        <w:jc w:val="both"/>
        <w:rPr>
          <w:rFonts w:asciiTheme="majorHAnsi" w:hAnsiTheme="majorHAnsi" w:cstheme="majorHAnsi"/>
          <w:sz w:val="16"/>
          <w:szCs w:val="16"/>
          <w:lang w:val="ro-MD"/>
        </w:rPr>
      </w:pPr>
      <w:r w:rsidRPr="007F4396">
        <w:rPr>
          <w:rStyle w:val="FootnoteReference"/>
          <w:rFonts w:asciiTheme="majorHAnsi" w:hAnsiTheme="majorHAnsi" w:cstheme="majorHAnsi"/>
          <w:sz w:val="16"/>
          <w:szCs w:val="16"/>
        </w:rPr>
        <w:footnoteRef/>
      </w:r>
      <w:r w:rsidRPr="007F4396">
        <w:rPr>
          <w:rFonts w:asciiTheme="majorHAnsi" w:hAnsiTheme="majorHAnsi" w:cstheme="majorHAnsi"/>
          <w:sz w:val="16"/>
          <w:szCs w:val="16"/>
        </w:rPr>
        <w:t xml:space="preserve"> </w:t>
      </w:r>
      <w:r w:rsidRPr="007F4396">
        <w:rPr>
          <w:rFonts w:asciiTheme="majorHAnsi" w:hAnsiTheme="majorHAnsi" w:cstheme="majorHAnsi"/>
          <w:sz w:val="16"/>
          <w:szCs w:val="16"/>
          <w:lang w:val="ro-MD"/>
        </w:rPr>
        <w:t>Legea nr.160 din 22.07.2011 privind reglementarea prin autorizare a activității de întreprinzător</w:t>
      </w:r>
      <w:r>
        <w:rPr>
          <w:rFonts w:asciiTheme="majorHAnsi" w:hAnsiTheme="majorHAnsi" w:cstheme="majorHAnsi"/>
          <w:sz w:val="16"/>
          <w:szCs w:val="16"/>
          <w:lang w:val="ro-MD"/>
        </w:rPr>
        <w:t>.</w:t>
      </w:r>
      <w:r w:rsidRPr="007F4396">
        <w:rPr>
          <w:rFonts w:asciiTheme="majorHAnsi" w:hAnsiTheme="majorHAnsi" w:cstheme="majorHAnsi"/>
          <w:sz w:val="16"/>
          <w:szCs w:val="16"/>
          <w:lang w:val="ro-MD"/>
        </w:rPr>
        <w:t xml:space="preserve"> </w:t>
      </w:r>
    </w:p>
  </w:footnote>
  <w:footnote w:id="13">
    <w:p w:rsidR="00C65A33" w:rsidRPr="007F4396" w:rsidRDefault="00C65A33" w:rsidP="004F5B29">
      <w:pPr>
        <w:pStyle w:val="FootnoteText"/>
        <w:spacing w:after="0"/>
        <w:jc w:val="both"/>
        <w:rPr>
          <w:rFonts w:asciiTheme="majorHAnsi" w:hAnsiTheme="majorHAnsi" w:cstheme="majorHAnsi"/>
          <w:sz w:val="16"/>
          <w:szCs w:val="16"/>
          <w:lang w:val="ro-MD"/>
        </w:rPr>
      </w:pPr>
      <w:r w:rsidRPr="007F4396">
        <w:rPr>
          <w:rStyle w:val="FootnoteReference"/>
          <w:rFonts w:asciiTheme="majorHAnsi" w:hAnsiTheme="majorHAnsi" w:cstheme="majorHAnsi"/>
          <w:sz w:val="16"/>
          <w:szCs w:val="16"/>
          <w:lang w:val="ro-MD"/>
        </w:rPr>
        <w:footnoteRef/>
      </w:r>
      <w:r w:rsidRPr="007F4396">
        <w:rPr>
          <w:rFonts w:asciiTheme="majorHAnsi" w:hAnsiTheme="majorHAnsi" w:cstheme="majorHAnsi"/>
          <w:sz w:val="16"/>
          <w:szCs w:val="16"/>
          <w:lang w:val="ro-MD"/>
        </w:rPr>
        <w:t xml:space="preserve"> Legea fondului rutier nr.720 din 02.02.1996 (cu modificările și completările ulterioare</w:t>
      </w:r>
      <w:r>
        <w:rPr>
          <w:rFonts w:asciiTheme="majorHAnsi" w:hAnsiTheme="majorHAnsi" w:cstheme="majorHAnsi"/>
          <w:sz w:val="16"/>
          <w:szCs w:val="16"/>
          <w:lang w:val="ro-MD"/>
        </w:rPr>
        <w:t>,</w:t>
      </w:r>
      <w:r w:rsidRPr="007F4396">
        <w:rPr>
          <w:rFonts w:asciiTheme="majorHAnsi" w:hAnsiTheme="majorHAnsi" w:cstheme="majorHAnsi"/>
          <w:sz w:val="16"/>
          <w:szCs w:val="16"/>
          <w:lang w:val="ro-MD"/>
        </w:rPr>
        <w:t xml:space="preserve"> în continuare </w:t>
      </w:r>
      <w:r>
        <w:rPr>
          <w:rFonts w:asciiTheme="majorHAnsi" w:hAnsiTheme="majorHAnsi" w:cstheme="majorHAnsi"/>
          <w:sz w:val="16"/>
          <w:szCs w:val="16"/>
          <w:lang w:val="ro-MD"/>
        </w:rPr>
        <w:t xml:space="preserve">- </w:t>
      </w:r>
      <w:r w:rsidRPr="007F4396">
        <w:rPr>
          <w:rFonts w:asciiTheme="majorHAnsi" w:hAnsiTheme="majorHAnsi" w:cstheme="majorHAnsi"/>
          <w:sz w:val="16"/>
          <w:szCs w:val="16"/>
          <w:lang w:val="ro-MD"/>
        </w:rPr>
        <w:t>Legea fondului rutier)</w:t>
      </w:r>
      <w:r>
        <w:rPr>
          <w:rFonts w:asciiTheme="majorHAnsi" w:hAnsiTheme="majorHAnsi" w:cstheme="majorHAnsi"/>
          <w:sz w:val="16"/>
          <w:szCs w:val="16"/>
          <w:lang w:val="ro-MD"/>
        </w:rPr>
        <w:t>.</w:t>
      </w:r>
    </w:p>
  </w:footnote>
  <w:footnote w:id="14">
    <w:p w:rsidR="00C65A33" w:rsidRPr="007F4396" w:rsidRDefault="00C65A33" w:rsidP="00872C24">
      <w:pPr>
        <w:pStyle w:val="FootnoteText"/>
        <w:spacing w:after="0"/>
        <w:jc w:val="both"/>
        <w:rPr>
          <w:rFonts w:asciiTheme="majorHAnsi" w:hAnsiTheme="majorHAnsi" w:cstheme="majorHAnsi"/>
          <w:sz w:val="16"/>
          <w:szCs w:val="16"/>
        </w:rPr>
      </w:pPr>
      <w:r w:rsidRPr="007F4396">
        <w:rPr>
          <w:rStyle w:val="FootnoteReference"/>
          <w:rFonts w:asciiTheme="majorHAnsi" w:hAnsiTheme="majorHAnsi" w:cstheme="majorHAnsi"/>
          <w:sz w:val="16"/>
          <w:szCs w:val="16"/>
        </w:rPr>
        <w:footnoteRef/>
      </w:r>
      <w:r w:rsidRPr="007F4396">
        <w:rPr>
          <w:rFonts w:asciiTheme="majorHAnsi" w:hAnsiTheme="majorHAnsi" w:cstheme="majorHAnsi"/>
          <w:sz w:val="16"/>
          <w:szCs w:val="16"/>
        </w:rPr>
        <w:t xml:space="preserve"> </w:t>
      </w:r>
      <w:r w:rsidRPr="007F4396">
        <w:rPr>
          <w:rFonts w:asciiTheme="majorHAnsi" w:hAnsiTheme="majorHAnsi" w:cstheme="majorHAnsi"/>
          <w:sz w:val="16"/>
          <w:szCs w:val="16"/>
          <w:lang w:val="ro-MD"/>
        </w:rPr>
        <w:t>Eliberarea autorizațiilor pentru transporturi rutiere internaționale, autorizațiilor multilaterale CEMT, carnetelor de drum la autorizațiile multilaterale CEMT, carnetelor cu foi de parcurs (</w:t>
      </w:r>
      <w:proofErr w:type="spellStart"/>
      <w:r w:rsidRPr="007F4396">
        <w:rPr>
          <w:rFonts w:asciiTheme="majorHAnsi" w:hAnsiTheme="majorHAnsi" w:cstheme="majorHAnsi"/>
          <w:sz w:val="16"/>
          <w:szCs w:val="16"/>
          <w:lang w:val="ro-MD"/>
        </w:rPr>
        <w:t>Interbus</w:t>
      </w:r>
      <w:proofErr w:type="spellEnd"/>
      <w:r w:rsidRPr="007F4396">
        <w:rPr>
          <w:rFonts w:asciiTheme="majorHAnsi" w:hAnsiTheme="majorHAnsi" w:cstheme="majorHAnsi"/>
          <w:sz w:val="16"/>
          <w:szCs w:val="16"/>
          <w:lang w:val="ro-MD"/>
        </w:rPr>
        <w:t>), reglement</w:t>
      </w:r>
      <w:r>
        <w:rPr>
          <w:rFonts w:asciiTheme="majorHAnsi" w:hAnsiTheme="majorHAnsi" w:cstheme="majorHAnsi"/>
          <w:sz w:val="16"/>
          <w:szCs w:val="16"/>
          <w:lang w:val="ro-MD"/>
        </w:rPr>
        <w:t xml:space="preserve">ate prin Legea fondului rutier </w:t>
      </w:r>
      <w:r w:rsidRPr="007F4396">
        <w:rPr>
          <w:rFonts w:asciiTheme="majorHAnsi" w:hAnsiTheme="majorHAnsi" w:cstheme="majorHAnsi"/>
          <w:sz w:val="16"/>
          <w:szCs w:val="16"/>
          <w:lang w:val="ro-MD"/>
        </w:rPr>
        <w:t>și care se încasează la codul ECO 114525</w:t>
      </w:r>
      <w:r w:rsidRPr="007F4396">
        <w:rPr>
          <w:rFonts w:asciiTheme="majorHAnsi" w:eastAsia="Times New Roman" w:hAnsiTheme="majorHAnsi" w:cstheme="majorHAnsi"/>
          <w:color w:val="000000"/>
          <w:sz w:val="16"/>
          <w:szCs w:val="16"/>
          <w:lang w:val="ro-MD"/>
        </w:rPr>
        <w:t xml:space="preserve"> „Taxa de eliberare pentru transporturi rutiere internaționale”</w:t>
      </w:r>
      <w:r>
        <w:rPr>
          <w:rFonts w:asciiTheme="majorHAnsi" w:eastAsia="Times New Roman" w:hAnsiTheme="majorHAnsi" w:cstheme="majorHAnsi"/>
          <w:color w:val="000000"/>
          <w:sz w:val="16"/>
          <w:szCs w:val="16"/>
          <w:lang w:val="ro-MD"/>
        </w:rPr>
        <w:t>.</w:t>
      </w:r>
    </w:p>
  </w:footnote>
  <w:footnote w:id="15">
    <w:p w:rsidR="00C65A33" w:rsidRPr="00872C24" w:rsidRDefault="00C65A33" w:rsidP="00872C24">
      <w:pPr>
        <w:pStyle w:val="ListParagraph"/>
        <w:spacing w:after="0"/>
        <w:ind w:left="0"/>
        <w:jc w:val="both"/>
        <w:outlineLvl w:val="2"/>
        <w:rPr>
          <w:rFonts w:cstheme="minorHAnsi"/>
          <w:sz w:val="18"/>
          <w:szCs w:val="18"/>
          <w:lang w:val="ro-MD"/>
        </w:rPr>
      </w:pPr>
      <w:r w:rsidRPr="007F4396">
        <w:rPr>
          <w:rStyle w:val="FootnoteReference"/>
          <w:rFonts w:asciiTheme="majorHAnsi" w:hAnsiTheme="majorHAnsi" w:cstheme="majorHAnsi"/>
          <w:sz w:val="16"/>
          <w:szCs w:val="16"/>
        </w:rPr>
        <w:footnoteRef/>
      </w:r>
      <w:r w:rsidRPr="007F4396">
        <w:rPr>
          <w:rFonts w:asciiTheme="majorHAnsi" w:eastAsia="Times New Roman" w:hAnsiTheme="majorHAnsi" w:cstheme="majorHAnsi"/>
          <w:color w:val="000000"/>
          <w:sz w:val="16"/>
          <w:szCs w:val="16"/>
        </w:rPr>
        <w:t>A</w:t>
      </w:r>
      <w:proofErr w:type="spellStart"/>
      <w:r w:rsidRPr="007F4396">
        <w:rPr>
          <w:rFonts w:asciiTheme="majorHAnsi" w:eastAsia="Times New Roman" w:hAnsiTheme="majorHAnsi" w:cstheme="majorHAnsi"/>
          <w:color w:val="000000"/>
          <w:sz w:val="16"/>
          <w:szCs w:val="16"/>
          <w:lang w:val="ro-MD"/>
        </w:rPr>
        <w:t>plicarea</w:t>
      </w:r>
      <w:proofErr w:type="spellEnd"/>
      <w:r w:rsidRPr="007F4396">
        <w:rPr>
          <w:rFonts w:asciiTheme="majorHAnsi" w:eastAsia="Times New Roman" w:hAnsiTheme="majorHAnsi" w:cstheme="majorHAnsi"/>
          <w:color w:val="000000"/>
          <w:sz w:val="16"/>
          <w:szCs w:val="16"/>
          <w:lang w:val="ro-MD"/>
        </w:rPr>
        <w:t xml:space="preserve"> taxelor pentru folosirea drumurilor de cătr</w:t>
      </w:r>
      <w:r>
        <w:rPr>
          <w:rFonts w:asciiTheme="majorHAnsi" w:eastAsia="Times New Roman" w:hAnsiTheme="majorHAnsi" w:cstheme="majorHAnsi"/>
          <w:color w:val="000000"/>
          <w:sz w:val="16"/>
          <w:szCs w:val="16"/>
          <w:lang w:val="ro-MD"/>
        </w:rPr>
        <w:t xml:space="preserve">e autovehicule înmatriculate a </w:t>
      </w:r>
      <w:r w:rsidRPr="007F4396">
        <w:rPr>
          <w:rFonts w:asciiTheme="majorHAnsi" w:eastAsia="Times New Roman" w:hAnsiTheme="majorHAnsi" w:cstheme="majorHAnsi"/>
          <w:color w:val="000000"/>
          <w:sz w:val="16"/>
          <w:szCs w:val="16"/>
          <w:lang w:val="ro-MD"/>
        </w:rPr>
        <w:t xml:space="preserve">căror masă totală, sarcină </w:t>
      </w:r>
      <w:proofErr w:type="spellStart"/>
      <w:r w:rsidRPr="007F4396">
        <w:rPr>
          <w:rFonts w:asciiTheme="majorHAnsi" w:eastAsia="Times New Roman" w:hAnsiTheme="majorHAnsi" w:cstheme="majorHAnsi"/>
          <w:color w:val="000000"/>
          <w:sz w:val="16"/>
          <w:szCs w:val="16"/>
          <w:lang w:val="ro-MD"/>
        </w:rPr>
        <w:t>masică</w:t>
      </w:r>
      <w:proofErr w:type="spellEnd"/>
      <w:r w:rsidRPr="007F4396">
        <w:rPr>
          <w:rFonts w:asciiTheme="majorHAnsi" w:eastAsia="Times New Roman" w:hAnsiTheme="majorHAnsi" w:cstheme="majorHAnsi"/>
          <w:color w:val="000000"/>
          <w:sz w:val="16"/>
          <w:szCs w:val="16"/>
          <w:lang w:val="ro-MD"/>
        </w:rPr>
        <w:t xml:space="preserve"> pe axă sau alt</w:t>
      </w:r>
      <w:r>
        <w:rPr>
          <w:rFonts w:asciiTheme="majorHAnsi" w:eastAsia="Times New Roman" w:hAnsiTheme="majorHAnsi" w:cstheme="majorHAnsi"/>
          <w:color w:val="000000"/>
          <w:sz w:val="16"/>
          <w:szCs w:val="16"/>
          <w:lang w:val="ro-MD"/>
        </w:rPr>
        <w:t>e</w:t>
      </w:r>
      <w:r w:rsidRPr="007F4396">
        <w:rPr>
          <w:rFonts w:asciiTheme="majorHAnsi" w:eastAsia="Times New Roman" w:hAnsiTheme="majorHAnsi" w:cstheme="majorHAnsi"/>
          <w:color w:val="000000"/>
          <w:sz w:val="16"/>
          <w:szCs w:val="16"/>
          <w:lang w:val="ro-MD"/>
        </w:rPr>
        <w:t xml:space="preserve"> dimensiuni depășesc limitele admise, încasate la Codul ECO 114634</w:t>
      </w:r>
      <w:r>
        <w:rPr>
          <w:rFonts w:asciiTheme="majorHAnsi" w:eastAsia="Times New Roman" w:hAnsiTheme="majorHAnsi" w:cstheme="majorHAnsi"/>
          <w:color w:val="000000"/>
          <w:sz w:val="16"/>
          <w:szCs w:val="16"/>
          <w:lang w:val="ro-MD"/>
        </w:rPr>
        <w:t>,</w:t>
      </w:r>
      <w:r w:rsidRPr="007F4396">
        <w:rPr>
          <w:rFonts w:asciiTheme="majorHAnsi" w:eastAsia="Times New Roman" w:hAnsiTheme="majorHAnsi" w:cstheme="majorHAnsi"/>
          <w:color w:val="000000"/>
          <w:sz w:val="16"/>
          <w:szCs w:val="16"/>
          <w:lang w:val="ro-MD"/>
        </w:rPr>
        <w:t xml:space="preserve"> și pentru au</w:t>
      </w:r>
      <w:r>
        <w:rPr>
          <w:rFonts w:asciiTheme="majorHAnsi" w:eastAsia="Times New Roman" w:hAnsiTheme="majorHAnsi" w:cstheme="majorHAnsi"/>
          <w:color w:val="000000"/>
          <w:sz w:val="16"/>
          <w:szCs w:val="16"/>
          <w:lang w:val="ro-MD"/>
        </w:rPr>
        <w:t xml:space="preserve">tovehiculele neînmatriculate - la Codul </w:t>
      </w:r>
      <w:r w:rsidRPr="007F4396">
        <w:rPr>
          <w:rFonts w:asciiTheme="majorHAnsi" w:eastAsia="Times New Roman" w:hAnsiTheme="majorHAnsi" w:cstheme="majorHAnsi"/>
          <w:color w:val="000000"/>
          <w:sz w:val="16"/>
          <w:szCs w:val="16"/>
          <w:lang w:val="ro-MD"/>
        </w:rPr>
        <w:t>Eco- 114632.</w:t>
      </w:r>
    </w:p>
  </w:footnote>
  <w:footnote w:id="16">
    <w:p w:rsidR="00C65A33" w:rsidRPr="007F4396" w:rsidRDefault="00C65A33" w:rsidP="00872C24">
      <w:pPr>
        <w:pStyle w:val="FootnoteText"/>
        <w:spacing w:after="0"/>
        <w:jc w:val="both"/>
        <w:rPr>
          <w:rFonts w:asciiTheme="majorHAnsi" w:hAnsiTheme="majorHAnsi" w:cstheme="majorHAnsi"/>
          <w:sz w:val="16"/>
          <w:szCs w:val="16"/>
          <w:lang w:val="ro-MD"/>
        </w:rPr>
      </w:pPr>
      <w:r w:rsidRPr="007F4396">
        <w:rPr>
          <w:rStyle w:val="FootnoteReference"/>
          <w:rFonts w:asciiTheme="majorHAnsi" w:hAnsiTheme="majorHAnsi" w:cstheme="majorHAnsi"/>
          <w:sz w:val="16"/>
          <w:szCs w:val="16"/>
        </w:rPr>
        <w:footnoteRef/>
      </w:r>
      <w:r w:rsidRPr="007F4396">
        <w:rPr>
          <w:rFonts w:asciiTheme="majorHAnsi" w:hAnsiTheme="majorHAnsi" w:cstheme="majorHAnsi"/>
          <w:sz w:val="16"/>
          <w:szCs w:val="16"/>
          <w:lang w:val="ro-MD"/>
        </w:rPr>
        <w:t>Regulamentul Agenției Naționale Transport Public, ap</w:t>
      </w:r>
      <w:r>
        <w:rPr>
          <w:rFonts w:asciiTheme="majorHAnsi" w:hAnsiTheme="majorHAnsi" w:cstheme="majorHAnsi"/>
          <w:sz w:val="16"/>
          <w:szCs w:val="16"/>
          <w:lang w:val="ro-MD"/>
        </w:rPr>
        <w:t>robat prin Hotărârea Guvernului nr. 539 din 23.04.2008</w:t>
      </w:r>
      <w:r w:rsidRPr="007F4396">
        <w:rPr>
          <w:rFonts w:asciiTheme="majorHAnsi" w:hAnsiTheme="majorHAnsi" w:cstheme="majorHAnsi"/>
          <w:sz w:val="16"/>
          <w:szCs w:val="16"/>
          <w:lang w:val="ro-MD"/>
        </w:rPr>
        <w:t xml:space="preserve"> (cu modificările și completările ulterioare)</w:t>
      </w:r>
      <w:r>
        <w:rPr>
          <w:rFonts w:asciiTheme="majorHAnsi" w:hAnsiTheme="majorHAnsi" w:cstheme="majorHAnsi"/>
          <w:sz w:val="16"/>
          <w:szCs w:val="16"/>
          <w:lang w:val="ro-MD"/>
        </w:rPr>
        <w:t>.</w:t>
      </w:r>
    </w:p>
  </w:footnote>
  <w:footnote w:id="17">
    <w:p w:rsidR="00C65A33" w:rsidRPr="007F4396" w:rsidRDefault="00C65A33" w:rsidP="00872C24">
      <w:pPr>
        <w:pStyle w:val="ListParagraph"/>
        <w:spacing w:after="0"/>
        <w:ind w:left="0"/>
        <w:jc w:val="both"/>
        <w:outlineLvl w:val="2"/>
        <w:rPr>
          <w:rFonts w:asciiTheme="majorHAnsi" w:hAnsiTheme="majorHAnsi" w:cstheme="majorHAnsi"/>
          <w:sz w:val="16"/>
          <w:szCs w:val="16"/>
          <w:lang w:val="ro-MD"/>
        </w:rPr>
      </w:pPr>
      <w:r w:rsidRPr="007F4396">
        <w:rPr>
          <w:rStyle w:val="FootnoteReference"/>
          <w:rFonts w:asciiTheme="majorHAnsi" w:hAnsiTheme="majorHAnsi" w:cstheme="majorHAnsi"/>
          <w:sz w:val="16"/>
          <w:szCs w:val="16"/>
        </w:rPr>
        <w:footnoteRef/>
      </w:r>
      <w:r w:rsidRPr="007F4396">
        <w:rPr>
          <w:rFonts w:asciiTheme="majorHAnsi" w:hAnsiTheme="majorHAnsi" w:cstheme="majorHAnsi"/>
          <w:sz w:val="16"/>
          <w:szCs w:val="16"/>
        </w:rPr>
        <w:t xml:space="preserve"> </w:t>
      </w:r>
      <w:r w:rsidRPr="007F4396">
        <w:rPr>
          <w:rFonts w:asciiTheme="majorHAnsi" w:hAnsiTheme="majorHAnsi" w:cstheme="majorHAnsi"/>
          <w:sz w:val="16"/>
          <w:szCs w:val="16"/>
          <w:lang w:val="ro-MD"/>
        </w:rPr>
        <w:t>Aplicarea amenzilor contravenționale în conformitate cu prevederile legislației, încasate la Codul ECO 143114</w:t>
      </w:r>
      <w:r>
        <w:rPr>
          <w:rFonts w:asciiTheme="majorHAnsi" w:hAnsiTheme="majorHAnsi" w:cstheme="majorHAnsi"/>
          <w:sz w:val="16"/>
          <w:szCs w:val="16"/>
          <w:lang w:val="ro-MD"/>
        </w:rPr>
        <w:t>.</w:t>
      </w:r>
    </w:p>
  </w:footnote>
  <w:footnote w:id="18">
    <w:p w:rsidR="00C65A33" w:rsidRPr="007F4396" w:rsidRDefault="00C65A33" w:rsidP="00872C24">
      <w:pPr>
        <w:pStyle w:val="FootnoteText"/>
        <w:spacing w:after="0"/>
        <w:jc w:val="both"/>
        <w:rPr>
          <w:rFonts w:asciiTheme="majorHAnsi" w:hAnsiTheme="majorHAnsi" w:cstheme="majorHAnsi"/>
          <w:sz w:val="16"/>
          <w:szCs w:val="16"/>
          <w:lang w:val="ro-MD"/>
        </w:rPr>
      </w:pPr>
      <w:r w:rsidRPr="007F4396">
        <w:rPr>
          <w:rStyle w:val="FootnoteReference"/>
          <w:rFonts w:asciiTheme="majorHAnsi" w:hAnsiTheme="majorHAnsi" w:cstheme="majorHAnsi"/>
          <w:sz w:val="16"/>
          <w:szCs w:val="16"/>
          <w:lang w:val="ro-MD"/>
        </w:rPr>
        <w:footnoteRef/>
      </w:r>
      <w:r w:rsidRPr="007F4396">
        <w:rPr>
          <w:rFonts w:asciiTheme="majorHAnsi" w:hAnsiTheme="majorHAnsi" w:cstheme="majorHAnsi"/>
          <w:sz w:val="16"/>
          <w:szCs w:val="16"/>
          <w:lang w:val="ro-MD"/>
        </w:rPr>
        <w:t xml:space="preserve"> Legea fondului rutier</w:t>
      </w:r>
      <w:r>
        <w:rPr>
          <w:rFonts w:asciiTheme="majorHAnsi" w:hAnsiTheme="majorHAnsi" w:cstheme="majorHAnsi"/>
          <w:sz w:val="16"/>
          <w:szCs w:val="16"/>
          <w:lang w:val="ro-MD"/>
        </w:rPr>
        <w:t>.</w:t>
      </w:r>
    </w:p>
  </w:footnote>
  <w:footnote w:id="19">
    <w:p w:rsidR="00C65A33" w:rsidRPr="007F4396" w:rsidRDefault="00C65A33" w:rsidP="002F61F3">
      <w:pPr>
        <w:pStyle w:val="FootnoteText"/>
        <w:spacing w:after="0"/>
        <w:rPr>
          <w:rFonts w:asciiTheme="majorHAnsi" w:hAnsiTheme="majorHAnsi" w:cstheme="majorHAnsi"/>
          <w:sz w:val="16"/>
          <w:szCs w:val="16"/>
          <w:lang w:val="ro-MD"/>
        </w:rPr>
      </w:pPr>
      <w:r w:rsidRPr="007F4396">
        <w:rPr>
          <w:rStyle w:val="FootnoteReference"/>
          <w:rFonts w:asciiTheme="majorHAnsi" w:hAnsiTheme="majorHAnsi" w:cstheme="majorHAnsi"/>
          <w:sz w:val="16"/>
          <w:szCs w:val="16"/>
          <w:lang w:val="ro-MD"/>
        </w:rPr>
        <w:footnoteRef/>
      </w:r>
      <w:r>
        <w:rPr>
          <w:rFonts w:asciiTheme="majorHAnsi" w:hAnsiTheme="majorHAnsi" w:cstheme="majorHAnsi"/>
          <w:sz w:val="16"/>
          <w:szCs w:val="16"/>
          <w:lang w:val="ro-MD"/>
        </w:rPr>
        <w:t xml:space="preserve"> </w:t>
      </w:r>
      <w:r w:rsidRPr="007F4396">
        <w:rPr>
          <w:rFonts w:asciiTheme="majorHAnsi" w:hAnsiTheme="majorHAnsi" w:cstheme="majorHAnsi"/>
          <w:sz w:val="16"/>
          <w:szCs w:val="16"/>
          <w:lang w:val="ro-MD"/>
        </w:rPr>
        <w:t>Darea de seamă a SFS privind sumele calculate la BNP (la plăți</w:t>
      </w:r>
      <w:r>
        <w:rPr>
          <w:rFonts w:asciiTheme="majorHAnsi" w:hAnsiTheme="majorHAnsi" w:cstheme="majorHAnsi"/>
          <w:sz w:val="16"/>
          <w:szCs w:val="16"/>
          <w:lang w:val="ro-MD"/>
        </w:rPr>
        <w:t>le</w:t>
      </w:r>
      <w:r w:rsidRPr="007F4396">
        <w:rPr>
          <w:rFonts w:asciiTheme="majorHAnsi" w:hAnsiTheme="majorHAnsi" w:cstheme="majorHAnsi"/>
          <w:sz w:val="16"/>
          <w:szCs w:val="16"/>
          <w:lang w:val="ro-MD"/>
        </w:rPr>
        <w:t xml:space="preserve"> de bază) pentru perioada 01.01.2019- 31.12.2019</w:t>
      </w:r>
      <w:r>
        <w:rPr>
          <w:rFonts w:asciiTheme="majorHAnsi" w:hAnsiTheme="majorHAnsi" w:cstheme="majorHAnsi"/>
          <w:sz w:val="16"/>
          <w:szCs w:val="16"/>
          <w:lang w:val="ro-MD"/>
        </w:rPr>
        <w:t>.</w:t>
      </w:r>
    </w:p>
  </w:footnote>
  <w:footnote w:id="20">
    <w:p w:rsidR="00C65A33" w:rsidRPr="005164F8" w:rsidRDefault="00C65A33" w:rsidP="002F61F3">
      <w:pPr>
        <w:pStyle w:val="FootnoteText"/>
        <w:jc w:val="both"/>
        <w:rPr>
          <w:sz w:val="18"/>
          <w:szCs w:val="18"/>
          <w:lang w:val="ro-MD"/>
        </w:rPr>
      </w:pPr>
      <w:r w:rsidRPr="007F4396">
        <w:rPr>
          <w:rStyle w:val="FootnoteReference"/>
          <w:rFonts w:asciiTheme="majorHAnsi" w:hAnsiTheme="majorHAnsi" w:cstheme="majorHAnsi"/>
          <w:sz w:val="16"/>
          <w:szCs w:val="16"/>
        </w:rPr>
        <w:footnoteRef/>
      </w:r>
      <w:r w:rsidRPr="007F4396">
        <w:rPr>
          <w:rFonts w:asciiTheme="majorHAnsi" w:hAnsiTheme="majorHAnsi" w:cstheme="majorHAnsi"/>
          <w:sz w:val="16"/>
          <w:szCs w:val="16"/>
        </w:rPr>
        <w:t xml:space="preserve"> </w:t>
      </w:r>
      <w:r w:rsidRPr="007F4396">
        <w:rPr>
          <w:rFonts w:asciiTheme="majorHAnsi" w:hAnsiTheme="majorHAnsi" w:cstheme="majorHAnsi"/>
          <w:sz w:val="16"/>
          <w:szCs w:val="16"/>
          <w:lang w:val="ro-MD"/>
        </w:rPr>
        <w:t>Pct. 9 din Regulamentul Agenției Național</w:t>
      </w:r>
      <w:r>
        <w:rPr>
          <w:rFonts w:asciiTheme="majorHAnsi" w:hAnsiTheme="majorHAnsi" w:cstheme="majorHAnsi"/>
          <w:sz w:val="16"/>
          <w:szCs w:val="16"/>
          <w:lang w:val="ro-MD"/>
        </w:rPr>
        <w:t xml:space="preserve">e Transport Auto, aprobat prin </w:t>
      </w:r>
      <w:r w:rsidRPr="007F4396">
        <w:rPr>
          <w:rFonts w:asciiTheme="majorHAnsi" w:hAnsiTheme="majorHAnsi" w:cstheme="majorHAnsi"/>
          <w:sz w:val="16"/>
          <w:szCs w:val="16"/>
          <w:lang w:val="ro-MD"/>
        </w:rPr>
        <w:t>Hotărârea Guvernului nr.539 din 23.04.2008</w:t>
      </w:r>
      <w:r>
        <w:rPr>
          <w:rFonts w:asciiTheme="majorHAnsi" w:hAnsiTheme="majorHAnsi" w:cstheme="majorHAnsi"/>
          <w:sz w:val="16"/>
          <w:szCs w:val="16"/>
          <w:lang w:val="ro-MD"/>
        </w:rPr>
        <w:t>,</w:t>
      </w:r>
      <w:r w:rsidRPr="007F4396">
        <w:rPr>
          <w:rFonts w:asciiTheme="majorHAnsi" w:hAnsiTheme="majorHAnsi" w:cstheme="majorHAnsi"/>
          <w:sz w:val="16"/>
          <w:szCs w:val="16"/>
          <w:lang w:val="ro-MD"/>
        </w:rPr>
        <w:t xml:space="preserve"> prevede că</w:t>
      </w:r>
      <w:r>
        <w:rPr>
          <w:rFonts w:asciiTheme="majorHAnsi" w:hAnsiTheme="majorHAnsi" w:cstheme="majorHAnsi"/>
          <w:sz w:val="16"/>
          <w:szCs w:val="16"/>
          <w:lang w:val="ro-MD"/>
        </w:rPr>
        <w:t xml:space="preserve"> „Veniturile </w:t>
      </w:r>
      <w:r w:rsidRPr="007F4396">
        <w:rPr>
          <w:rFonts w:asciiTheme="majorHAnsi" w:hAnsiTheme="majorHAnsi" w:cstheme="majorHAnsi"/>
          <w:sz w:val="16"/>
          <w:szCs w:val="16"/>
          <w:lang w:val="ro-MD"/>
        </w:rPr>
        <w:t>acumulat</w:t>
      </w:r>
      <w:r>
        <w:rPr>
          <w:rFonts w:asciiTheme="majorHAnsi" w:hAnsiTheme="majorHAnsi" w:cstheme="majorHAnsi"/>
          <w:sz w:val="16"/>
          <w:szCs w:val="16"/>
          <w:lang w:val="ro-MD"/>
        </w:rPr>
        <w:t xml:space="preserve">e din taxele pentru eliberarea </w:t>
      </w:r>
      <w:r w:rsidRPr="007F4396">
        <w:rPr>
          <w:rFonts w:asciiTheme="majorHAnsi" w:hAnsiTheme="majorHAnsi" w:cstheme="majorHAnsi"/>
          <w:sz w:val="16"/>
          <w:szCs w:val="16"/>
          <w:lang w:val="ro-MD"/>
        </w:rPr>
        <w:t>autorizațiilor pentru transporturi auto internaționale de mărfuri și ocazionale de călători, conform articolului</w:t>
      </w:r>
      <w:r>
        <w:rPr>
          <w:rFonts w:asciiTheme="majorHAnsi" w:hAnsiTheme="majorHAnsi" w:cstheme="majorHAnsi"/>
          <w:sz w:val="16"/>
          <w:szCs w:val="16"/>
          <w:lang w:val="ro-MD"/>
        </w:rPr>
        <w:t xml:space="preserve"> 2 alineatul (1) litera c) din </w:t>
      </w:r>
      <w:r w:rsidRPr="007F4396">
        <w:rPr>
          <w:rFonts w:asciiTheme="majorHAnsi" w:hAnsiTheme="majorHAnsi" w:cstheme="majorHAnsi"/>
          <w:sz w:val="16"/>
          <w:szCs w:val="16"/>
          <w:lang w:val="ro-MD"/>
        </w:rPr>
        <w:t>Legea fondului rutier nr. 720–XIII din 2 februarie 1996, c</w:t>
      </w:r>
      <w:r>
        <w:rPr>
          <w:rFonts w:asciiTheme="majorHAnsi" w:hAnsiTheme="majorHAnsi" w:cstheme="majorHAnsi"/>
          <w:sz w:val="16"/>
          <w:szCs w:val="16"/>
          <w:lang w:val="ro-MD"/>
        </w:rPr>
        <w:t>ar</w:t>
      </w:r>
      <w:r w:rsidRPr="007F4396">
        <w:rPr>
          <w:rFonts w:asciiTheme="majorHAnsi" w:hAnsiTheme="majorHAnsi" w:cstheme="majorHAnsi"/>
          <w:sz w:val="16"/>
          <w:szCs w:val="16"/>
          <w:lang w:val="ro-MD"/>
        </w:rPr>
        <w:t>e nu vor constitui bugetul anual al Agenției, se transferă în fondul rutier, până la data de 20 decembrie a anului curent”.</w:t>
      </w:r>
    </w:p>
  </w:footnote>
  <w:footnote w:id="21">
    <w:p w:rsidR="00C65A33" w:rsidRPr="009D6C17" w:rsidRDefault="00C65A33" w:rsidP="009D6C17">
      <w:pPr>
        <w:pStyle w:val="FootnoteText"/>
        <w:spacing w:after="0" w:line="240" w:lineRule="auto"/>
        <w:rPr>
          <w:rFonts w:asciiTheme="majorHAnsi" w:hAnsiTheme="majorHAnsi" w:cstheme="majorHAnsi"/>
          <w:sz w:val="16"/>
          <w:szCs w:val="16"/>
        </w:rPr>
      </w:pPr>
      <w:r w:rsidRPr="009D6C17">
        <w:rPr>
          <w:rStyle w:val="FootnoteReference"/>
          <w:rFonts w:asciiTheme="majorHAnsi" w:hAnsiTheme="majorHAnsi" w:cstheme="majorHAnsi"/>
          <w:sz w:val="16"/>
          <w:szCs w:val="16"/>
        </w:rPr>
        <w:footnoteRef/>
      </w:r>
      <w:r w:rsidRPr="009D6C17">
        <w:rPr>
          <w:rFonts w:asciiTheme="majorHAnsi" w:hAnsiTheme="majorHAnsi" w:cstheme="majorHAnsi"/>
          <w:sz w:val="16"/>
          <w:szCs w:val="16"/>
        </w:rPr>
        <w:t xml:space="preserve"> </w:t>
      </w:r>
      <w:r w:rsidRPr="009D6C17">
        <w:rPr>
          <w:rFonts w:asciiTheme="majorHAnsi" w:hAnsiTheme="majorHAnsi" w:cstheme="majorHAnsi"/>
          <w:sz w:val="16"/>
          <w:szCs w:val="16"/>
          <w:lang w:val="ro-MD"/>
        </w:rPr>
        <w:t>Ordinul Ministerului Finanțelor nr. 103 din 09.12.2005</w:t>
      </w:r>
      <w:r>
        <w:rPr>
          <w:rFonts w:asciiTheme="majorHAnsi" w:hAnsiTheme="majorHAnsi" w:cstheme="majorHAnsi"/>
          <w:sz w:val="16"/>
          <w:szCs w:val="16"/>
          <w:lang w:val="ro-MD"/>
        </w:rPr>
        <w:t xml:space="preserve"> „C</w:t>
      </w:r>
      <w:r w:rsidRPr="009D6C17">
        <w:rPr>
          <w:rFonts w:asciiTheme="majorHAnsi" w:hAnsiTheme="majorHAnsi" w:cstheme="majorHAnsi"/>
          <w:sz w:val="16"/>
          <w:szCs w:val="16"/>
          <w:lang w:val="ro-MD"/>
        </w:rPr>
        <w:t>u privire la reglementarea înscrierilor în conturile personale ale contribuabililor</w:t>
      </w:r>
      <w:r>
        <w:rPr>
          <w:rFonts w:asciiTheme="majorHAnsi" w:hAnsiTheme="majorHAnsi" w:cstheme="majorHAnsi"/>
          <w:sz w:val="16"/>
          <w:szCs w:val="16"/>
          <w:lang w:val="ro-MD"/>
        </w:rPr>
        <w:t>”</w:t>
      </w:r>
      <w:r w:rsidRPr="009D6C17">
        <w:rPr>
          <w:rFonts w:asciiTheme="majorHAnsi" w:hAnsiTheme="majorHAnsi" w:cstheme="majorHAnsi"/>
          <w:sz w:val="16"/>
          <w:szCs w:val="16"/>
          <w:lang w:val="ro-MD"/>
        </w:rPr>
        <w:t>.</w:t>
      </w:r>
    </w:p>
  </w:footnote>
  <w:footnote w:id="22">
    <w:p w:rsidR="00C65A33" w:rsidRPr="009D6C17" w:rsidRDefault="00C65A33" w:rsidP="009D6C17">
      <w:pPr>
        <w:pStyle w:val="FootnoteText"/>
        <w:spacing w:after="0" w:line="240" w:lineRule="auto"/>
        <w:jc w:val="both"/>
        <w:rPr>
          <w:rFonts w:asciiTheme="majorHAnsi" w:hAnsiTheme="majorHAnsi" w:cstheme="majorHAnsi"/>
          <w:sz w:val="16"/>
          <w:szCs w:val="16"/>
          <w:lang w:val="ro-MD"/>
        </w:rPr>
      </w:pPr>
      <w:r w:rsidRPr="009D6C17">
        <w:rPr>
          <w:rStyle w:val="FootnoteReference"/>
          <w:rFonts w:asciiTheme="majorHAnsi" w:hAnsiTheme="majorHAnsi" w:cstheme="majorHAnsi"/>
          <w:sz w:val="16"/>
          <w:szCs w:val="16"/>
        </w:rPr>
        <w:footnoteRef/>
      </w:r>
      <w:r w:rsidRPr="009D6C17">
        <w:rPr>
          <w:rFonts w:asciiTheme="majorHAnsi" w:hAnsiTheme="majorHAnsi" w:cstheme="majorHAnsi"/>
          <w:sz w:val="16"/>
          <w:szCs w:val="16"/>
        </w:rPr>
        <w:t xml:space="preserve"> </w:t>
      </w:r>
      <w:r w:rsidRPr="009D6C17">
        <w:rPr>
          <w:rFonts w:asciiTheme="majorHAnsi" w:hAnsiTheme="majorHAnsi" w:cstheme="majorHAnsi"/>
          <w:sz w:val="16"/>
          <w:szCs w:val="16"/>
          <w:lang w:val="ro-MD"/>
        </w:rPr>
        <w:t>Ordinul intern al SFS nr. 608 din 27.12. 2019 „Cu privire la aprobarea sistemului de raportare din cadrul SFS”.</w:t>
      </w:r>
    </w:p>
  </w:footnote>
  <w:footnote w:id="23">
    <w:p w:rsidR="00C65A33" w:rsidRPr="009D6C17" w:rsidRDefault="00C65A33" w:rsidP="009D6C17">
      <w:pPr>
        <w:pStyle w:val="FootnoteText"/>
        <w:spacing w:after="0" w:line="240" w:lineRule="auto"/>
        <w:jc w:val="both"/>
        <w:rPr>
          <w:rFonts w:asciiTheme="majorHAnsi" w:hAnsiTheme="majorHAnsi" w:cstheme="majorHAnsi"/>
          <w:sz w:val="16"/>
          <w:szCs w:val="16"/>
        </w:rPr>
      </w:pPr>
      <w:r w:rsidRPr="009D6C17">
        <w:rPr>
          <w:rStyle w:val="FootnoteReference"/>
          <w:rFonts w:asciiTheme="majorHAnsi" w:hAnsiTheme="majorHAnsi" w:cstheme="majorHAnsi"/>
          <w:sz w:val="16"/>
          <w:szCs w:val="16"/>
        </w:rPr>
        <w:footnoteRef/>
      </w:r>
      <w:r w:rsidRPr="009D6C17">
        <w:rPr>
          <w:rFonts w:asciiTheme="majorHAnsi" w:hAnsiTheme="majorHAnsi" w:cstheme="majorHAnsi"/>
          <w:sz w:val="16"/>
          <w:szCs w:val="16"/>
          <w:lang w:val="ro-MD"/>
        </w:rPr>
        <w:t>SFS nu are prevăzută întocmirea dării de seamă „Informație cu privire la cuantumul restanțelor contribuabililor cărora li s-au calculat sume prin metode și surse indirecte și sunt luate la evidentă separată”, raport considerat util în procesul de raportare, dar care necesită a fi actualizat.</w:t>
      </w:r>
    </w:p>
  </w:footnote>
  <w:footnote w:id="24">
    <w:p w:rsidR="00C65A33" w:rsidRPr="002111E6" w:rsidRDefault="00C65A33" w:rsidP="00695472">
      <w:pPr>
        <w:pStyle w:val="FootnoteText"/>
        <w:spacing w:after="0" w:line="240" w:lineRule="auto"/>
        <w:jc w:val="both"/>
        <w:rPr>
          <w:rFonts w:asciiTheme="majorHAnsi" w:hAnsiTheme="majorHAnsi" w:cstheme="majorHAnsi"/>
          <w:sz w:val="16"/>
          <w:szCs w:val="16"/>
          <w:lang w:val="ro-MD"/>
        </w:rPr>
      </w:pPr>
      <w:r w:rsidRPr="002111E6">
        <w:rPr>
          <w:rStyle w:val="FootnoteReference"/>
          <w:rFonts w:asciiTheme="majorHAnsi" w:hAnsiTheme="majorHAnsi" w:cstheme="majorHAnsi"/>
          <w:sz w:val="16"/>
          <w:szCs w:val="16"/>
        </w:rPr>
        <w:footnoteRef/>
      </w:r>
      <w:r w:rsidRPr="002111E6">
        <w:rPr>
          <w:rFonts w:asciiTheme="majorHAnsi" w:hAnsiTheme="majorHAnsi" w:cstheme="majorHAnsi"/>
          <w:sz w:val="16"/>
          <w:szCs w:val="16"/>
        </w:rPr>
        <w:t xml:space="preserve"> </w:t>
      </w:r>
      <w:r w:rsidRPr="002111E6">
        <w:rPr>
          <w:rFonts w:asciiTheme="majorHAnsi" w:hAnsiTheme="majorHAnsi" w:cstheme="majorHAnsi"/>
          <w:b/>
          <w:i/>
          <w:color w:val="424242"/>
          <w:sz w:val="16"/>
          <w:szCs w:val="16"/>
          <w:shd w:val="clear" w:color="auto" w:fill="FFFFFF"/>
          <w:lang w:val="ro-MD"/>
        </w:rPr>
        <w:t>21.12.2018</w:t>
      </w:r>
      <w:r w:rsidRPr="002111E6">
        <w:rPr>
          <w:rFonts w:asciiTheme="majorHAnsi" w:hAnsiTheme="majorHAnsi" w:cstheme="majorHAnsi"/>
          <w:color w:val="424242"/>
          <w:sz w:val="16"/>
          <w:szCs w:val="16"/>
          <w:shd w:val="clear" w:color="auto" w:fill="FFFFFF"/>
          <w:lang w:val="ro-MD"/>
        </w:rPr>
        <w:t xml:space="preserve"> – data </w:t>
      </w:r>
      <w:r w:rsidRPr="002111E6">
        <w:rPr>
          <w:rFonts w:asciiTheme="majorHAnsi" w:eastAsiaTheme="minorHAnsi" w:hAnsiTheme="majorHAnsi" w:cstheme="majorHAnsi"/>
          <w:color w:val="424242"/>
          <w:sz w:val="16"/>
          <w:szCs w:val="16"/>
          <w:shd w:val="clear" w:color="auto" w:fill="FFFFFF"/>
          <w:lang w:val="ro-MD"/>
        </w:rPr>
        <w:t xml:space="preserve">anulării penalităților și amenzilor la bugetul de stat reflectate în sistemul informațional al SFS - </w:t>
      </w:r>
      <w:r w:rsidRPr="002111E6">
        <w:rPr>
          <w:rFonts w:asciiTheme="majorHAnsi" w:hAnsiTheme="majorHAnsi" w:cstheme="majorHAnsi"/>
          <w:sz w:val="16"/>
          <w:szCs w:val="16"/>
          <w:lang w:val="ro-MD"/>
        </w:rPr>
        <w:t xml:space="preserve">Pct. 21 din </w:t>
      </w:r>
      <w:r w:rsidRPr="002111E6">
        <w:rPr>
          <w:rFonts w:asciiTheme="majorHAnsi" w:hAnsiTheme="majorHAnsi" w:cstheme="majorHAnsi"/>
          <w:color w:val="424242"/>
          <w:sz w:val="16"/>
          <w:szCs w:val="16"/>
          <w:shd w:val="clear" w:color="auto" w:fill="FFFFFF"/>
          <w:lang w:val="ro-MD"/>
        </w:rPr>
        <w:t>Regulament</w:t>
      </w:r>
      <w:r>
        <w:rPr>
          <w:rFonts w:asciiTheme="majorHAnsi" w:hAnsiTheme="majorHAnsi" w:cstheme="majorHAnsi"/>
          <w:color w:val="424242"/>
          <w:sz w:val="16"/>
          <w:szCs w:val="16"/>
          <w:shd w:val="clear" w:color="auto" w:fill="FFFFFF"/>
          <w:lang w:val="ro-MD"/>
        </w:rPr>
        <w:t>ul</w:t>
      </w:r>
      <w:r w:rsidRPr="002111E6">
        <w:rPr>
          <w:rFonts w:asciiTheme="majorHAnsi" w:hAnsiTheme="majorHAnsi" w:cstheme="majorHAnsi"/>
          <w:color w:val="424242"/>
          <w:sz w:val="16"/>
          <w:szCs w:val="16"/>
          <w:shd w:val="clear" w:color="auto" w:fill="FFFFFF"/>
          <w:lang w:val="ro-MD"/>
        </w:rPr>
        <w:t xml:space="preserve"> cu privire la modalitatea efectuării stimulării fiscale, aprobat prin Ordinul MF nr.158 din 25 septembrie 2018;</w:t>
      </w:r>
    </w:p>
    <w:p w:rsidR="00C65A33" w:rsidRPr="002111E6" w:rsidRDefault="00C65A33" w:rsidP="00695472">
      <w:pPr>
        <w:pStyle w:val="ListParagraph"/>
        <w:tabs>
          <w:tab w:val="left" w:pos="270"/>
        </w:tabs>
        <w:spacing w:after="0" w:line="240" w:lineRule="auto"/>
        <w:ind w:left="0"/>
        <w:contextualSpacing w:val="0"/>
        <w:jc w:val="both"/>
        <w:rPr>
          <w:rFonts w:asciiTheme="majorHAnsi" w:hAnsiTheme="majorHAnsi" w:cstheme="majorHAnsi"/>
          <w:sz w:val="16"/>
          <w:szCs w:val="16"/>
          <w:lang w:val="ro-MD"/>
        </w:rPr>
      </w:pPr>
      <w:r w:rsidRPr="002111E6">
        <w:rPr>
          <w:rFonts w:asciiTheme="majorHAnsi" w:hAnsiTheme="majorHAnsi" w:cstheme="majorHAnsi"/>
          <w:color w:val="424242"/>
          <w:sz w:val="16"/>
          <w:szCs w:val="16"/>
          <w:shd w:val="clear" w:color="auto" w:fill="FFFFFF"/>
          <w:lang w:val="ro-MD"/>
        </w:rPr>
        <w:t xml:space="preserve"> </w:t>
      </w:r>
      <w:r w:rsidRPr="002111E6">
        <w:rPr>
          <w:rFonts w:asciiTheme="majorHAnsi" w:hAnsiTheme="majorHAnsi" w:cstheme="majorHAnsi"/>
          <w:b/>
          <w:i/>
          <w:color w:val="424242"/>
          <w:sz w:val="16"/>
          <w:szCs w:val="16"/>
          <w:shd w:val="clear" w:color="auto" w:fill="FFFFFF"/>
          <w:lang w:val="ro-MD"/>
        </w:rPr>
        <w:t>21.12.2018 – 25.01.2019</w:t>
      </w:r>
      <w:r w:rsidRPr="002111E6">
        <w:rPr>
          <w:rFonts w:asciiTheme="majorHAnsi" w:hAnsiTheme="majorHAnsi" w:cstheme="majorHAnsi"/>
          <w:color w:val="424242"/>
          <w:sz w:val="16"/>
          <w:szCs w:val="16"/>
          <w:shd w:val="clear" w:color="auto" w:fill="FFFFFF"/>
          <w:lang w:val="ro-MD"/>
        </w:rPr>
        <w:t xml:space="preserve"> – perioada prevăzută în scopul efectuării înscrierilor în SIA CCC a</w:t>
      </w:r>
      <w:r>
        <w:rPr>
          <w:rFonts w:asciiTheme="majorHAnsi" w:hAnsiTheme="majorHAnsi" w:cstheme="majorHAnsi"/>
          <w:color w:val="424242"/>
          <w:sz w:val="16"/>
          <w:szCs w:val="16"/>
          <w:shd w:val="clear" w:color="auto" w:fill="FFFFFF"/>
          <w:lang w:val="ro-MD"/>
        </w:rPr>
        <w:t>le</w:t>
      </w:r>
      <w:r w:rsidRPr="002111E6">
        <w:rPr>
          <w:rFonts w:asciiTheme="majorHAnsi" w:hAnsiTheme="majorHAnsi" w:cstheme="majorHAnsi"/>
          <w:color w:val="424242"/>
          <w:sz w:val="16"/>
          <w:szCs w:val="16"/>
          <w:shd w:val="clear" w:color="auto" w:fill="FFFFFF"/>
          <w:lang w:val="ro-MD"/>
        </w:rPr>
        <w:t xml:space="preserve"> operațiunilor de stimulare fiscală, prin perfectarea documentului de uz intern Forma DFISC, cu bifarea metodei „anulare” </w:t>
      </w:r>
      <w:proofErr w:type="spellStart"/>
      <w:r w:rsidRPr="002111E6">
        <w:rPr>
          <w:rFonts w:asciiTheme="majorHAnsi" w:hAnsiTheme="majorHAnsi" w:cstheme="majorHAnsi"/>
          <w:color w:val="424242"/>
          <w:sz w:val="16"/>
          <w:szCs w:val="16"/>
          <w:shd w:val="clear" w:color="auto" w:fill="FFFFFF"/>
          <w:lang w:val="ro-MD"/>
        </w:rPr>
        <w:t>şi</w:t>
      </w:r>
      <w:proofErr w:type="spellEnd"/>
      <w:r w:rsidRPr="002111E6">
        <w:rPr>
          <w:rFonts w:asciiTheme="majorHAnsi" w:hAnsiTheme="majorHAnsi" w:cstheme="majorHAnsi"/>
          <w:color w:val="424242"/>
          <w:sz w:val="16"/>
          <w:szCs w:val="16"/>
          <w:shd w:val="clear" w:color="auto" w:fill="FFFFFF"/>
          <w:lang w:val="ro-MD"/>
        </w:rPr>
        <w:t xml:space="preserve"> motivul legal “L180/15” - Pct. 19 din Regulament</w:t>
      </w:r>
      <w:r>
        <w:rPr>
          <w:rFonts w:asciiTheme="majorHAnsi" w:hAnsiTheme="majorHAnsi" w:cstheme="majorHAnsi"/>
          <w:color w:val="424242"/>
          <w:sz w:val="16"/>
          <w:szCs w:val="16"/>
          <w:shd w:val="clear" w:color="auto" w:fill="FFFFFF"/>
          <w:lang w:val="ro-MD"/>
        </w:rPr>
        <w:t>ul</w:t>
      </w:r>
      <w:r w:rsidRPr="002111E6">
        <w:rPr>
          <w:rFonts w:asciiTheme="majorHAnsi" w:hAnsiTheme="majorHAnsi" w:cstheme="majorHAnsi"/>
          <w:color w:val="424242"/>
          <w:sz w:val="16"/>
          <w:szCs w:val="16"/>
          <w:shd w:val="clear" w:color="auto" w:fill="FFFFFF"/>
          <w:lang w:val="ro-MD"/>
        </w:rPr>
        <w:t xml:space="preserve"> cu privire la modalitatea efectuării stimulării fiscale</w:t>
      </w:r>
      <w:r>
        <w:rPr>
          <w:rFonts w:asciiTheme="majorHAnsi" w:hAnsiTheme="majorHAnsi" w:cstheme="majorHAnsi"/>
          <w:color w:val="424242"/>
          <w:sz w:val="16"/>
          <w:szCs w:val="16"/>
          <w:shd w:val="clear" w:color="auto" w:fill="FFFFFF"/>
          <w:lang w:val="ro-MD"/>
        </w:rPr>
        <w:t>.</w:t>
      </w:r>
    </w:p>
  </w:footnote>
  <w:footnote w:id="25">
    <w:p w:rsidR="00C65A33" w:rsidRPr="002111E6" w:rsidRDefault="00C65A33" w:rsidP="00695472">
      <w:pPr>
        <w:pStyle w:val="FootnoteText"/>
        <w:spacing w:after="0" w:line="240" w:lineRule="auto"/>
        <w:jc w:val="both"/>
        <w:rPr>
          <w:rFonts w:asciiTheme="majorHAnsi" w:hAnsiTheme="majorHAnsi" w:cstheme="majorHAnsi"/>
          <w:sz w:val="16"/>
          <w:szCs w:val="16"/>
          <w:lang w:val="ro-RO"/>
        </w:rPr>
      </w:pPr>
      <w:r w:rsidRPr="002111E6">
        <w:rPr>
          <w:rStyle w:val="FootnoteReference"/>
          <w:rFonts w:asciiTheme="majorHAnsi" w:hAnsiTheme="majorHAnsi" w:cstheme="majorHAnsi"/>
          <w:sz w:val="16"/>
          <w:szCs w:val="16"/>
        </w:rPr>
        <w:footnoteRef/>
      </w:r>
      <w:r w:rsidRPr="002111E6">
        <w:rPr>
          <w:rFonts w:asciiTheme="majorHAnsi" w:hAnsiTheme="majorHAnsi" w:cstheme="majorHAnsi"/>
          <w:sz w:val="16"/>
          <w:szCs w:val="16"/>
        </w:rPr>
        <w:t xml:space="preserve"> </w:t>
      </w:r>
      <w:r w:rsidRPr="002111E6">
        <w:rPr>
          <w:rFonts w:asciiTheme="majorHAnsi" w:hAnsiTheme="majorHAnsi" w:cstheme="majorHAnsi"/>
          <w:color w:val="424242"/>
          <w:sz w:val="16"/>
          <w:szCs w:val="16"/>
          <w:shd w:val="clear" w:color="auto" w:fill="FFFFFF"/>
          <w:lang w:val="ro-MD"/>
        </w:rPr>
        <w:t xml:space="preserve">Ordinul MF nr.158 din 25 septembrie 2018 </w:t>
      </w:r>
      <w:r>
        <w:rPr>
          <w:rFonts w:asciiTheme="majorHAnsi" w:hAnsiTheme="majorHAnsi" w:cstheme="majorHAnsi"/>
          <w:color w:val="424242"/>
          <w:sz w:val="16"/>
          <w:szCs w:val="16"/>
          <w:shd w:val="clear" w:color="auto" w:fill="FFFFFF"/>
          <w:lang w:val="ro-MD"/>
        </w:rPr>
        <w:t>privind</w:t>
      </w:r>
      <w:r w:rsidRPr="002111E6">
        <w:rPr>
          <w:rFonts w:asciiTheme="majorHAnsi" w:hAnsiTheme="majorHAnsi" w:cstheme="majorHAnsi"/>
          <w:color w:val="424242"/>
          <w:sz w:val="16"/>
          <w:szCs w:val="16"/>
          <w:shd w:val="clear" w:color="auto" w:fill="FFFFFF"/>
          <w:lang w:val="ro-MD"/>
        </w:rPr>
        <w:t xml:space="preserve"> aprobarea Regulamentului cu privire la modalitatea efectuării stimulării fiscale pentru sumele reflectate în sistemul de evidență al Serviciului Fiscal de Stat și al Serviciului Vamal (în continuare - Regulament</w:t>
      </w:r>
      <w:r>
        <w:rPr>
          <w:rFonts w:asciiTheme="majorHAnsi" w:hAnsiTheme="majorHAnsi" w:cstheme="majorHAnsi"/>
          <w:color w:val="424242"/>
          <w:sz w:val="16"/>
          <w:szCs w:val="16"/>
          <w:shd w:val="clear" w:color="auto" w:fill="FFFFFF"/>
          <w:lang w:val="ro-MD"/>
        </w:rPr>
        <w:t>ul</w:t>
      </w:r>
      <w:r w:rsidRPr="002111E6">
        <w:rPr>
          <w:rFonts w:asciiTheme="majorHAnsi" w:hAnsiTheme="majorHAnsi" w:cstheme="majorHAnsi"/>
          <w:color w:val="424242"/>
          <w:sz w:val="16"/>
          <w:szCs w:val="16"/>
          <w:shd w:val="clear" w:color="auto" w:fill="FFFFFF"/>
          <w:lang w:val="ro-MD"/>
        </w:rPr>
        <w:t xml:space="preserve"> cu privire la modalitatea efectuării stimulării fiscale).</w:t>
      </w:r>
    </w:p>
  </w:footnote>
  <w:footnote w:id="26">
    <w:p w:rsidR="00C65A33" w:rsidRPr="002111E6" w:rsidRDefault="00C65A33" w:rsidP="00695472">
      <w:pPr>
        <w:pStyle w:val="FootnoteText"/>
        <w:spacing w:after="0" w:line="240" w:lineRule="auto"/>
        <w:jc w:val="both"/>
        <w:rPr>
          <w:rFonts w:asciiTheme="majorHAnsi" w:hAnsiTheme="majorHAnsi" w:cstheme="majorHAnsi"/>
          <w:sz w:val="16"/>
          <w:szCs w:val="16"/>
          <w:lang w:val="ro-MD"/>
        </w:rPr>
      </w:pPr>
      <w:r w:rsidRPr="002111E6">
        <w:rPr>
          <w:rStyle w:val="FootnoteReference"/>
          <w:rFonts w:asciiTheme="majorHAnsi" w:hAnsiTheme="majorHAnsi" w:cstheme="majorHAnsi"/>
          <w:sz w:val="16"/>
          <w:szCs w:val="16"/>
          <w:lang w:val="ro-MD"/>
        </w:rPr>
        <w:footnoteRef/>
      </w:r>
      <w:r w:rsidRPr="002111E6">
        <w:rPr>
          <w:rFonts w:asciiTheme="majorHAnsi" w:hAnsiTheme="majorHAnsi" w:cstheme="majorHAnsi"/>
          <w:sz w:val="16"/>
          <w:szCs w:val="16"/>
          <w:lang w:val="ro-MD"/>
        </w:rPr>
        <w:t>Ordinul SFS nr. 227 din 24.05.2019 cu privire la aprobarea Regulamentului privind lucru</w:t>
      </w:r>
      <w:r>
        <w:rPr>
          <w:rFonts w:asciiTheme="majorHAnsi" w:hAnsiTheme="majorHAnsi" w:cstheme="majorHAnsi"/>
          <w:sz w:val="16"/>
          <w:szCs w:val="16"/>
          <w:lang w:val="ro-MD"/>
        </w:rPr>
        <w:t>l</w:t>
      </w:r>
      <w:r w:rsidRPr="002111E6">
        <w:rPr>
          <w:rFonts w:asciiTheme="majorHAnsi" w:hAnsiTheme="majorHAnsi" w:cstheme="majorHAnsi"/>
          <w:sz w:val="16"/>
          <w:szCs w:val="16"/>
          <w:lang w:val="ro-MD"/>
        </w:rPr>
        <w:t xml:space="preserve"> cu contribuabilii restanțieri și modul de conlucrare între subdiviziunile SFS</w:t>
      </w:r>
      <w:r>
        <w:rPr>
          <w:rFonts w:asciiTheme="majorHAnsi" w:hAnsiTheme="majorHAnsi" w:cstheme="majorHAnsi"/>
          <w:sz w:val="16"/>
          <w:szCs w:val="16"/>
          <w:lang w:val="ro-MD"/>
        </w:rPr>
        <w:t>.</w:t>
      </w:r>
      <w:r w:rsidRPr="002111E6">
        <w:rPr>
          <w:rFonts w:asciiTheme="majorHAnsi" w:hAnsiTheme="majorHAnsi" w:cstheme="majorHAnsi"/>
          <w:sz w:val="16"/>
          <w:szCs w:val="16"/>
          <w:lang w:val="ro-MD"/>
        </w:rPr>
        <w:t xml:space="preserve"> </w:t>
      </w:r>
    </w:p>
  </w:footnote>
  <w:footnote w:id="27">
    <w:p w:rsidR="00C65A33" w:rsidRPr="00C01DF1" w:rsidRDefault="00C65A33" w:rsidP="00695472">
      <w:pPr>
        <w:pStyle w:val="FootnoteText"/>
        <w:spacing w:after="0" w:line="240" w:lineRule="auto"/>
        <w:jc w:val="both"/>
        <w:rPr>
          <w:rFonts w:asciiTheme="minorHAnsi" w:hAnsiTheme="minorHAnsi" w:cstheme="minorHAnsi"/>
          <w:sz w:val="18"/>
          <w:szCs w:val="18"/>
          <w:lang w:val="ro-MD"/>
        </w:rPr>
      </w:pPr>
      <w:r w:rsidRPr="002111E6">
        <w:rPr>
          <w:rStyle w:val="FootnoteReference"/>
          <w:rFonts w:asciiTheme="majorHAnsi" w:hAnsiTheme="majorHAnsi" w:cstheme="majorHAnsi"/>
          <w:sz w:val="16"/>
          <w:szCs w:val="16"/>
          <w:lang w:val="ro-MD"/>
        </w:rPr>
        <w:footnoteRef/>
      </w:r>
      <w:r w:rsidRPr="002111E6">
        <w:rPr>
          <w:rFonts w:asciiTheme="majorHAnsi" w:hAnsiTheme="majorHAnsi" w:cstheme="majorHAnsi"/>
          <w:sz w:val="16"/>
          <w:szCs w:val="16"/>
          <w:lang w:val="ro-MD"/>
        </w:rPr>
        <w:t xml:space="preserve"> Lunară</w:t>
      </w:r>
      <w:r>
        <w:rPr>
          <w:rFonts w:asciiTheme="majorHAnsi" w:hAnsiTheme="majorHAnsi" w:cstheme="majorHAnsi"/>
          <w:sz w:val="16"/>
          <w:szCs w:val="16"/>
          <w:lang w:val="ro-MD"/>
        </w:rPr>
        <w:t>,</w:t>
      </w:r>
      <w:r w:rsidRPr="002111E6">
        <w:rPr>
          <w:rFonts w:asciiTheme="majorHAnsi" w:hAnsiTheme="majorHAnsi" w:cstheme="majorHAnsi"/>
          <w:sz w:val="16"/>
          <w:szCs w:val="16"/>
          <w:lang w:val="ro-MD"/>
        </w:rPr>
        <w:t xml:space="preserve"> imediat după închiderea perioadei.</w:t>
      </w:r>
    </w:p>
  </w:footnote>
  <w:footnote w:id="28">
    <w:p w:rsidR="00C65A33" w:rsidRPr="002111E6" w:rsidRDefault="00C65A33" w:rsidP="00695472">
      <w:pPr>
        <w:pStyle w:val="FootnoteText"/>
        <w:spacing w:after="0" w:line="240" w:lineRule="auto"/>
        <w:jc w:val="both"/>
        <w:rPr>
          <w:rFonts w:asciiTheme="majorHAnsi" w:hAnsiTheme="majorHAnsi" w:cstheme="majorHAnsi"/>
          <w:sz w:val="16"/>
          <w:szCs w:val="16"/>
          <w:lang w:val="ro-MD"/>
        </w:rPr>
      </w:pPr>
      <w:r w:rsidRPr="002111E6">
        <w:rPr>
          <w:rStyle w:val="FootnoteReference"/>
          <w:rFonts w:asciiTheme="majorHAnsi" w:hAnsiTheme="majorHAnsi" w:cstheme="majorHAnsi"/>
          <w:sz w:val="16"/>
          <w:szCs w:val="16"/>
          <w:lang w:val="ro-MD"/>
        </w:rPr>
        <w:footnoteRef/>
      </w:r>
      <w:r w:rsidRPr="002111E6">
        <w:rPr>
          <w:rFonts w:asciiTheme="majorHAnsi" w:hAnsiTheme="majorHAnsi" w:cstheme="majorHAnsi"/>
          <w:sz w:val="16"/>
          <w:szCs w:val="16"/>
          <w:lang w:val="ro-MD"/>
        </w:rPr>
        <w:t xml:space="preserve"> Rezultatele fiind expuse în </w:t>
      </w:r>
      <w:r>
        <w:rPr>
          <w:rFonts w:asciiTheme="majorHAnsi" w:hAnsiTheme="majorHAnsi" w:cstheme="majorHAnsi"/>
          <w:sz w:val="16"/>
          <w:szCs w:val="16"/>
          <w:lang w:val="ro-MD"/>
        </w:rPr>
        <w:t>R</w:t>
      </w:r>
      <w:r w:rsidRPr="002111E6">
        <w:rPr>
          <w:rFonts w:asciiTheme="majorHAnsi" w:hAnsiTheme="majorHAnsi" w:cstheme="majorHAnsi"/>
          <w:sz w:val="16"/>
          <w:szCs w:val="16"/>
          <w:lang w:val="ro-MD"/>
        </w:rPr>
        <w:t xml:space="preserve">aportul </w:t>
      </w:r>
      <w:r w:rsidRPr="0031358F">
        <w:rPr>
          <w:rFonts w:asciiTheme="majorHAnsi" w:hAnsiTheme="majorHAnsi" w:cstheme="majorHAnsi"/>
          <w:sz w:val="16"/>
          <w:szCs w:val="16"/>
          <w:lang w:val="ro-MD"/>
        </w:rPr>
        <w:t>auditului performanț</w:t>
      </w:r>
      <w:r w:rsidRPr="00573060">
        <w:rPr>
          <w:rFonts w:asciiTheme="majorHAnsi" w:hAnsiTheme="majorHAnsi" w:cstheme="majorHAnsi"/>
          <w:sz w:val="16"/>
          <w:szCs w:val="16"/>
          <w:lang w:val="ro-MD"/>
        </w:rPr>
        <w:t>ei</w:t>
      </w:r>
      <w:r w:rsidRPr="0031358F">
        <w:rPr>
          <w:rFonts w:asciiTheme="majorHAnsi" w:hAnsiTheme="majorHAnsi" w:cstheme="majorHAnsi"/>
          <w:sz w:val="16"/>
          <w:szCs w:val="16"/>
          <w:lang w:val="ro-MD"/>
        </w:rPr>
        <w:t xml:space="preserve"> „Evaluarea</w:t>
      </w:r>
      <w:r w:rsidRPr="002111E6">
        <w:rPr>
          <w:rFonts w:asciiTheme="majorHAnsi" w:hAnsiTheme="majorHAnsi" w:cstheme="majorHAnsi"/>
          <w:sz w:val="16"/>
          <w:szCs w:val="16"/>
          <w:lang w:val="ro-MD"/>
        </w:rPr>
        <w:t xml:space="preserve"> calității procedurii de elaborare a listelor contribuabililor restanțieri de către DDF în scopul demarării acțiunilor de executare silită de către DGA”. Au fost supuse examinării 5 DDF: Botanica, </w:t>
      </w:r>
      <w:proofErr w:type="spellStart"/>
      <w:r w:rsidRPr="002111E6">
        <w:rPr>
          <w:rFonts w:asciiTheme="majorHAnsi" w:hAnsiTheme="majorHAnsi" w:cstheme="majorHAnsi"/>
          <w:sz w:val="16"/>
          <w:szCs w:val="16"/>
          <w:lang w:val="ro-MD"/>
        </w:rPr>
        <w:t>Edineț</w:t>
      </w:r>
      <w:proofErr w:type="spellEnd"/>
      <w:r w:rsidRPr="002111E6">
        <w:rPr>
          <w:rFonts w:asciiTheme="majorHAnsi" w:hAnsiTheme="majorHAnsi" w:cstheme="majorHAnsi"/>
          <w:sz w:val="16"/>
          <w:szCs w:val="16"/>
          <w:lang w:val="ro-MD"/>
        </w:rPr>
        <w:t>, Hâncești, Strășeni, Cahul</w:t>
      </w:r>
      <w:r>
        <w:rPr>
          <w:rFonts w:asciiTheme="majorHAnsi" w:hAnsiTheme="majorHAnsi" w:cstheme="majorHAnsi"/>
          <w:sz w:val="16"/>
          <w:szCs w:val="16"/>
          <w:lang w:val="ro-MD"/>
        </w:rPr>
        <w:t>,</w:t>
      </w:r>
      <w:r w:rsidRPr="002111E6">
        <w:rPr>
          <w:rFonts w:asciiTheme="majorHAnsi" w:hAnsiTheme="majorHAnsi" w:cstheme="majorHAnsi"/>
          <w:sz w:val="16"/>
          <w:szCs w:val="16"/>
          <w:lang w:val="ro-MD"/>
        </w:rPr>
        <w:t xml:space="preserve"> iar neconformitățile identificate în mare parte poartă un caracter sistemic.</w:t>
      </w:r>
    </w:p>
  </w:footnote>
  <w:footnote w:id="29">
    <w:p w:rsidR="00C65A33" w:rsidRPr="00C01DF1" w:rsidRDefault="00C65A33" w:rsidP="008F545C">
      <w:pPr>
        <w:pStyle w:val="FootnoteText"/>
        <w:spacing w:after="0"/>
        <w:jc w:val="both"/>
        <w:rPr>
          <w:rFonts w:asciiTheme="minorHAnsi" w:hAnsiTheme="minorHAnsi" w:cstheme="minorHAnsi"/>
          <w:sz w:val="18"/>
          <w:szCs w:val="18"/>
        </w:rPr>
      </w:pPr>
      <w:r w:rsidRPr="002111E6">
        <w:rPr>
          <w:rStyle w:val="FootnoteReference"/>
          <w:rFonts w:asciiTheme="majorHAnsi" w:hAnsiTheme="majorHAnsi" w:cstheme="majorHAnsi"/>
          <w:sz w:val="16"/>
          <w:szCs w:val="16"/>
        </w:rPr>
        <w:footnoteRef/>
      </w:r>
      <w:r w:rsidRPr="002111E6">
        <w:rPr>
          <w:rFonts w:asciiTheme="majorHAnsi" w:hAnsiTheme="majorHAnsi" w:cstheme="majorHAnsi"/>
          <w:sz w:val="16"/>
          <w:szCs w:val="16"/>
        </w:rPr>
        <w:t xml:space="preserve"> S</w:t>
      </w:r>
      <w:r w:rsidRPr="002111E6">
        <w:rPr>
          <w:rFonts w:asciiTheme="majorHAnsi" w:hAnsiTheme="majorHAnsi" w:cstheme="majorHAnsi"/>
          <w:sz w:val="16"/>
          <w:szCs w:val="16"/>
          <w:lang w:val="ro-MD"/>
        </w:rPr>
        <w:t>-a selectat o subdiviziune auditată de DAI și perioada ulterioar</w:t>
      </w:r>
      <w:r>
        <w:rPr>
          <w:rFonts w:asciiTheme="majorHAnsi" w:hAnsiTheme="majorHAnsi" w:cstheme="majorHAnsi"/>
          <w:sz w:val="16"/>
          <w:szCs w:val="16"/>
          <w:lang w:val="ro-MD"/>
        </w:rPr>
        <w:t>ă</w:t>
      </w:r>
      <w:r w:rsidRPr="002111E6">
        <w:rPr>
          <w:rFonts w:asciiTheme="majorHAnsi" w:hAnsiTheme="majorHAnsi" w:cstheme="majorHAnsi"/>
          <w:sz w:val="16"/>
          <w:szCs w:val="16"/>
          <w:lang w:val="ro-MD"/>
        </w:rPr>
        <w:t xml:space="preserve"> celei supuse auditului intern.</w:t>
      </w:r>
    </w:p>
  </w:footnote>
  <w:footnote w:id="30">
    <w:p w:rsidR="00C65A33" w:rsidRPr="002111E6" w:rsidRDefault="00C65A33" w:rsidP="0059165A">
      <w:pPr>
        <w:pStyle w:val="FootnoteText"/>
        <w:spacing w:after="0"/>
        <w:rPr>
          <w:rFonts w:asciiTheme="majorHAnsi" w:hAnsiTheme="majorHAnsi" w:cstheme="majorHAnsi"/>
          <w:sz w:val="16"/>
          <w:szCs w:val="16"/>
          <w:lang w:val="ro-MD"/>
        </w:rPr>
      </w:pPr>
      <w:r w:rsidRPr="002111E6">
        <w:rPr>
          <w:rStyle w:val="FootnoteReference"/>
          <w:rFonts w:asciiTheme="majorHAnsi" w:hAnsiTheme="majorHAnsi" w:cstheme="majorHAnsi"/>
          <w:sz w:val="16"/>
          <w:szCs w:val="16"/>
        </w:rPr>
        <w:footnoteRef/>
      </w:r>
      <w:r w:rsidRPr="002111E6">
        <w:rPr>
          <w:rFonts w:asciiTheme="majorHAnsi" w:hAnsiTheme="majorHAnsi" w:cstheme="majorHAnsi"/>
          <w:sz w:val="16"/>
          <w:szCs w:val="16"/>
        </w:rPr>
        <w:t xml:space="preserve"> </w:t>
      </w:r>
      <w:r w:rsidRPr="002111E6">
        <w:rPr>
          <w:rFonts w:asciiTheme="majorHAnsi" w:hAnsiTheme="majorHAnsi" w:cstheme="majorHAnsi"/>
          <w:sz w:val="16"/>
          <w:szCs w:val="16"/>
          <w:lang w:val="ro-MD"/>
        </w:rPr>
        <w:t>Subdiviziunea SFS care administrează partea preponderentă a arieratelor înregistrate la bugetul BPN și, respectiv,</w:t>
      </w:r>
      <w:r>
        <w:rPr>
          <w:rFonts w:asciiTheme="majorHAnsi" w:hAnsiTheme="majorHAnsi" w:cstheme="majorHAnsi"/>
          <w:sz w:val="16"/>
          <w:szCs w:val="16"/>
          <w:lang w:val="ro-MD"/>
        </w:rPr>
        <w:t xml:space="preserve"> la </w:t>
      </w:r>
      <w:r w:rsidRPr="002111E6">
        <w:rPr>
          <w:rFonts w:asciiTheme="majorHAnsi" w:hAnsiTheme="majorHAnsi" w:cstheme="majorHAnsi"/>
          <w:sz w:val="16"/>
          <w:szCs w:val="16"/>
          <w:lang w:val="ro-MD"/>
        </w:rPr>
        <w:t xml:space="preserve"> bugetul de stat , în proporți</w:t>
      </w:r>
      <w:r>
        <w:rPr>
          <w:rFonts w:asciiTheme="majorHAnsi" w:hAnsiTheme="majorHAnsi" w:cstheme="majorHAnsi"/>
          <w:sz w:val="16"/>
          <w:szCs w:val="16"/>
          <w:lang w:val="ro-MD"/>
        </w:rPr>
        <w:t>e de 66% din  volumul restanței.</w:t>
      </w:r>
    </w:p>
  </w:footnote>
  <w:footnote w:id="31">
    <w:p w:rsidR="00C65A33" w:rsidRPr="00946858" w:rsidRDefault="00C65A33" w:rsidP="007C5163">
      <w:pPr>
        <w:pStyle w:val="FootnoteText"/>
        <w:spacing w:after="0"/>
        <w:rPr>
          <w:rFonts w:asciiTheme="minorHAnsi" w:hAnsiTheme="minorHAnsi" w:cstheme="minorHAnsi"/>
          <w:sz w:val="18"/>
          <w:szCs w:val="18"/>
        </w:rPr>
      </w:pPr>
      <w:r w:rsidRPr="002111E6">
        <w:rPr>
          <w:rStyle w:val="FootnoteReference"/>
          <w:rFonts w:asciiTheme="majorHAnsi" w:hAnsiTheme="majorHAnsi" w:cstheme="majorHAnsi"/>
          <w:sz w:val="16"/>
          <w:szCs w:val="16"/>
          <w:lang w:val="ro-MD"/>
        </w:rPr>
        <w:footnoteRef/>
      </w:r>
      <w:r w:rsidRPr="002111E6">
        <w:rPr>
          <w:rFonts w:asciiTheme="majorHAnsi" w:hAnsiTheme="majorHAnsi" w:cstheme="majorHAnsi"/>
          <w:sz w:val="16"/>
          <w:szCs w:val="16"/>
          <w:lang w:val="ro-MD"/>
        </w:rPr>
        <w:t xml:space="preserve"> Potrivit Deciziei</w:t>
      </w:r>
      <w:r w:rsidRPr="002111E6">
        <w:rPr>
          <w:rFonts w:asciiTheme="majorHAnsi" w:hAnsiTheme="majorHAnsi" w:cstheme="majorHAnsi"/>
          <w:sz w:val="16"/>
          <w:szCs w:val="16"/>
        </w:rPr>
        <w:t xml:space="preserve"> SFS nr.120/1478 din 05.08.2019</w:t>
      </w:r>
      <w:r>
        <w:rPr>
          <w:rFonts w:asciiTheme="majorHAnsi" w:hAnsiTheme="majorHAnsi" w:cstheme="majorHAnsi"/>
          <w:sz w:val="16"/>
          <w:szCs w:val="16"/>
        </w:rPr>
        <w:t>.</w:t>
      </w:r>
    </w:p>
  </w:footnote>
  <w:footnote w:id="32">
    <w:p w:rsidR="00C65A33" w:rsidRPr="002111E6" w:rsidRDefault="00C65A33" w:rsidP="00063E96">
      <w:pPr>
        <w:pStyle w:val="FootnoteText"/>
        <w:spacing w:after="0"/>
        <w:rPr>
          <w:rFonts w:asciiTheme="majorHAnsi" w:hAnsiTheme="majorHAnsi" w:cstheme="majorHAnsi"/>
          <w:sz w:val="16"/>
          <w:szCs w:val="16"/>
        </w:rPr>
      </w:pPr>
      <w:r w:rsidRPr="002111E6">
        <w:rPr>
          <w:rStyle w:val="FootnoteReference"/>
          <w:rFonts w:asciiTheme="majorHAnsi" w:hAnsiTheme="majorHAnsi" w:cstheme="majorHAnsi"/>
          <w:sz w:val="16"/>
          <w:szCs w:val="16"/>
        </w:rPr>
        <w:footnoteRef/>
      </w:r>
      <w:r w:rsidRPr="002111E6">
        <w:rPr>
          <w:rFonts w:asciiTheme="majorHAnsi" w:hAnsiTheme="majorHAnsi" w:cstheme="majorHAnsi"/>
          <w:sz w:val="16"/>
          <w:szCs w:val="16"/>
        </w:rPr>
        <w:t xml:space="preserve"> C</w:t>
      </w:r>
      <w:r w:rsidRPr="002111E6">
        <w:rPr>
          <w:rFonts w:asciiTheme="majorHAnsi" w:hAnsiTheme="majorHAnsi" w:cstheme="majorHAnsi"/>
          <w:sz w:val="16"/>
          <w:szCs w:val="16"/>
          <w:lang w:val="ro-MD"/>
        </w:rPr>
        <w:t>contribuabilii cu codurile fiscale:  (1002600043945) și (1015600007871).</w:t>
      </w:r>
    </w:p>
  </w:footnote>
  <w:footnote w:id="33">
    <w:p w:rsidR="00C65A33" w:rsidRPr="002111E6" w:rsidRDefault="00C65A33" w:rsidP="00695472">
      <w:pPr>
        <w:pStyle w:val="FootnoteText"/>
        <w:spacing w:after="0"/>
        <w:jc w:val="both"/>
        <w:rPr>
          <w:rFonts w:asciiTheme="majorHAnsi" w:hAnsiTheme="majorHAnsi" w:cstheme="majorHAnsi"/>
          <w:sz w:val="16"/>
          <w:szCs w:val="16"/>
          <w:lang w:val="ro-MD"/>
        </w:rPr>
      </w:pPr>
      <w:r w:rsidRPr="002111E6">
        <w:rPr>
          <w:rStyle w:val="FootnoteReference"/>
          <w:rFonts w:asciiTheme="majorHAnsi" w:hAnsiTheme="majorHAnsi" w:cstheme="majorHAnsi"/>
          <w:sz w:val="16"/>
          <w:szCs w:val="16"/>
          <w:lang w:val="ro-MD"/>
        </w:rPr>
        <w:footnoteRef/>
      </w:r>
      <w:r w:rsidRPr="002111E6">
        <w:rPr>
          <w:rFonts w:asciiTheme="majorHAnsi" w:hAnsiTheme="majorHAnsi" w:cstheme="majorHAnsi"/>
          <w:sz w:val="16"/>
          <w:szCs w:val="16"/>
          <w:lang w:val="ro-MD"/>
        </w:rPr>
        <w:t xml:space="preserve">  Eșantionul format</w:t>
      </w:r>
      <w:r w:rsidRPr="002111E6">
        <w:rPr>
          <w:rFonts w:asciiTheme="majorHAnsi" w:hAnsiTheme="majorHAnsi" w:cstheme="majorHAnsi"/>
          <w:sz w:val="16"/>
          <w:szCs w:val="16"/>
        </w:rPr>
        <w:t xml:space="preserve"> din 63 </w:t>
      </w:r>
      <w:r>
        <w:rPr>
          <w:rFonts w:asciiTheme="majorHAnsi" w:hAnsiTheme="majorHAnsi" w:cstheme="majorHAnsi"/>
          <w:sz w:val="16"/>
          <w:szCs w:val="16"/>
        </w:rPr>
        <w:t xml:space="preserve">de </w:t>
      </w:r>
      <w:r w:rsidRPr="002111E6">
        <w:rPr>
          <w:rFonts w:asciiTheme="majorHAnsi" w:hAnsiTheme="majorHAnsi" w:cstheme="majorHAnsi"/>
          <w:sz w:val="16"/>
          <w:szCs w:val="16"/>
          <w:lang w:val="ro-MD"/>
        </w:rPr>
        <w:t>contribuabili, care la situația din 31.12.2019 înregistrau restanțe la BPN în sumă de 131,1 mil. lei</w:t>
      </w:r>
      <w:r>
        <w:rPr>
          <w:rFonts w:asciiTheme="majorHAnsi" w:hAnsiTheme="majorHAnsi" w:cstheme="majorHAnsi"/>
          <w:sz w:val="16"/>
          <w:szCs w:val="16"/>
          <w:lang w:val="ro-MD"/>
        </w:rPr>
        <w:t>.</w:t>
      </w:r>
    </w:p>
  </w:footnote>
  <w:footnote w:id="34">
    <w:p w:rsidR="00C65A33" w:rsidRPr="00417FD8" w:rsidRDefault="00C65A33" w:rsidP="00695472">
      <w:pPr>
        <w:pStyle w:val="FootnoteText"/>
        <w:spacing w:after="0"/>
        <w:jc w:val="both"/>
        <w:rPr>
          <w:rFonts w:asciiTheme="minorHAnsi" w:hAnsiTheme="minorHAnsi"/>
          <w:sz w:val="18"/>
          <w:szCs w:val="18"/>
          <w:lang w:val="ro-MD"/>
        </w:rPr>
      </w:pPr>
      <w:r w:rsidRPr="002111E6">
        <w:rPr>
          <w:rStyle w:val="FootnoteReference"/>
          <w:rFonts w:asciiTheme="majorHAnsi" w:hAnsiTheme="majorHAnsi" w:cstheme="majorHAnsi"/>
          <w:sz w:val="16"/>
          <w:szCs w:val="16"/>
        </w:rPr>
        <w:footnoteRef/>
      </w:r>
      <w:r w:rsidRPr="002111E6">
        <w:rPr>
          <w:rFonts w:asciiTheme="majorHAnsi" w:hAnsiTheme="majorHAnsi" w:cstheme="majorHAnsi"/>
          <w:sz w:val="16"/>
          <w:szCs w:val="16"/>
          <w:lang w:val="ro-MD"/>
        </w:rPr>
        <w:t xml:space="preserve"> O persoană fizică a achitat datoria încă în anul 2012, care a fost direcționată greșit la </w:t>
      </w:r>
      <w:r w:rsidRPr="002111E6">
        <w:rPr>
          <w:rStyle w:val="ms-rtefontface-3"/>
          <w:rFonts w:asciiTheme="majorHAnsi" w:hAnsiTheme="majorHAnsi" w:cstheme="majorHAnsi"/>
          <w:sz w:val="16"/>
          <w:szCs w:val="16"/>
          <w:lang w:val="ro-MD"/>
        </w:rPr>
        <w:t>contul 999 „Calcule și plăți neidentificate”, administrat de SFS, iar la  altă persoană</w:t>
      </w:r>
      <w:r>
        <w:rPr>
          <w:rStyle w:val="ms-rtefontface-3"/>
          <w:rFonts w:asciiTheme="majorHAnsi" w:hAnsiTheme="majorHAnsi" w:cstheme="majorHAnsi"/>
          <w:sz w:val="16"/>
          <w:szCs w:val="16"/>
          <w:lang w:val="ro-MD"/>
        </w:rPr>
        <w:t>,</w:t>
      </w:r>
      <w:r w:rsidRPr="002111E6">
        <w:rPr>
          <w:rStyle w:val="ms-rtefontface-3"/>
          <w:rFonts w:asciiTheme="majorHAnsi" w:hAnsiTheme="majorHAnsi" w:cstheme="majorHAnsi"/>
          <w:sz w:val="16"/>
          <w:szCs w:val="16"/>
          <w:lang w:val="ro-MD"/>
        </w:rPr>
        <w:t xml:space="preserve"> din cauz</w:t>
      </w:r>
      <w:r>
        <w:rPr>
          <w:rStyle w:val="ms-rtefontface-3"/>
          <w:rFonts w:asciiTheme="majorHAnsi" w:hAnsiTheme="majorHAnsi" w:cstheme="majorHAnsi"/>
          <w:sz w:val="16"/>
          <w:szCs w:val="16"/>
          <w:lang w:val="ro-MD"/>
        </w:rPr>
        <w:t>a</w:t>
      </w:r>
      <w:r w:rsidRPr="002111E6">
        <w:rPr>
          <w:rStyle w:val="ms-rtefontface-3"/>
          <w:rFonts w:asciiTheme="majorHAnsi" w:hAnsiTheme="majorHAnsi" w:cstheme="majorHAnsi"/>
          <w:sz w:val="16"/>
          <w:szCs w:val="16"/>
          <w:lang w:val="ro-MD"/>
        </w:rPr>
        <w:t xml:space="preserve"> deținerii de către aceasta a înscrierilor în două conturi personale din SI CCC- unul conform pașaportului străin</w:t>
      </w:r>
      <w:r>
        <w:rPr>
          <w:rStyle w:val="ms-rtefontface-3"/>
          <w:rFonts w:asciiTheme="majorHAnsi" w:hAnsiTheme="majorHAnsi" w:cstheme="majorHAnsi"/>
          <w:sz w:val="16"/>
          <w:szCs w:val="16"/>
          <w:lang w:val="ro-MD"/>
        </w:rPr>
        <w:t xml:space="preserve">, </w:t>
      </w:r>
      <w:r w:rsidRPr="002111E6">
        <w:rPr>
          <w:rStyle w:val="ms-rtefontface-3"/>
          <w:rFonts w:asciiTheme="majorHAnsi" w:hAnsiTheme="majorHAnsi" w:cstheme="majorHAnsi"/>
          <w:sz w:val="16"/>
          <w:szCs w:val="16"/>
          <w:lang w:val="ro-MD"/>
        </w:rPr>
        <w:t>și altul potrivit actului intern MDA, la un cont înregistrându-se  supraplată</w:t>
      </w:r>
      <w:r>
        <w:rPr>
          <w:rStyle w:val="ms-rtefontface-3"/>
          <w:rFonts w:asciiTheme="majorHAnsi" w:hAnsiTheme="majorHAnsi" w:cstheme="majorHAnsi"/>
          <w:sz w:val="16"/>
          <w:szCs w:val="16"/>
          <w:lang w:val="ro-MD"/>
        </w:rPr>
        <w:t>,</w:t>
      </w:r>
      <w:r w:rsidRPr="002111E6">
        <w:rPr>
          <w:rStyle w:val="ms-rtefontface-3"/>
          <w:rFonts w:asciiTheme="majorHAnsi" w:hAnsiTheme="majorHAnsi" w:cstheme="majorHAnsi"/>
          <w:sz w:val="16"/>
          <w:szCs w:val="16"/>
          <w:lang w:val="ro-MD"/>
        </w:rPr>
        <w:t xml:space="preserve"> iar la alt cont </w:t>
      </w:r>
      <w:r>
        <w:rPr>
          <w:rStyle w:val="ms-rtefontface-3"/>
          <w:rFonts w:asciiTheme="majorHAnsi" w:hAnsiTheme="majorHAnsi" w:cstheme="majorHAnsi"/>
          <w:sz w:val="16"/>
          <w:szCs w:val="16"/>
          <w:lang w:val="ro-MD"/>
        </w:rPr>
        <w:t xml:space="preserve">– </w:t>
      </w:r>
      <w:r w:rsidRPr="002111E6">
        <w:rPr>
          <w:rStyle w:val="ms-rtefontface-3"/>
          <w:rFonts w:asciiTheme="majorHAnsi" w:hAnsiTheme="majorHAnsi" w:cstheme="majorHAnsi"/>
          <w:sz w:val="16"/>
          <w:szCs w:val="16"/>
          <w:lang w:val="ro-MD"/>
        </w:rPr>
        <w:t>restanță</w:t>
      </w:r>
      <w:r>
        <w:rPr>
          <w:rStyle w:val="ms-rtefontface-3"/>
          <w:rFonts w:asciiTheme="majorHAnsi" w:hAnsiTheme="majorHAnsi" w:cstheme="majorHAnsi"/>
          <w:sz w:val="16"/>
          <w:szCs w:val="16"/>
          <w:lang w:val="ro-MD"/>
        </w:rPr>
        <w:t>.</w:t>
      </w:r>
    </w:p>
  </w:footnote>
  <w:footnote w:id="35">
    <w:p w:rsidR="00C65A33" w:rsidRPr="002111E6" w:rsidRDefault="00C65A33" w:rsidP="00581F37">
      <w:pPr>
        <w:pStyle w:val="FootnoteText"/>
        <w:spacing w:after="0"/>
        <w:jc w:val="both"/>
        <w:rPr>
          <w:rFonts w:asciiTheme="majorHAnsi" w:hAnsiTheme="majorHAnsi" w:cstheme="majorHAnsi"/>
          <w:sz w:val="16"/>
          <w:szCs w:val="16"/>
          <w:lang w:val="ro-RO"/>
        </w:rPr>
      </w:pPr>
      <w:r w:rsidRPr="002111E6">
        <w:rPr>
          <w:rStyle w:val="FootnoteReference"/>
          <w:rFonts w:asciiTheme="majorHAnsi" w:hAnsiTheme="majorHAnsi" w:cstheme="majorHAnsi"/>
          <w:sz w:val="16"/>
          <w:szCs w:val="16"/>
        </w:rPr>
        <w:footnoteRef/>
      </w:r>
      <w:r w:rsidRPr="002111E6">
        <w:rPr>
          <w:rFonts w:asciiTheme="majorHAnsi" w:hAnsiTheme="majorHAnsi" w:cstheme="majorHAnsi"/>
          <w:sz w:val="16"/>
          <w:szCs w:val="16"/>
        </w:rPr>
        <w:t xml:space="preserve"> </w:t>
      </w:r>
      <w:r w:rsidRPr="002111E6">
        <w:rPr>
          <w:rFonts w:asciiTheme="majorHAnsi" w:hAnsiTheme="majorHAnsi" w:cstheme="majorHAnsi"/>
          <w:sz w:val="16"/>
          <w:szCs w:val="16"/>
          <w:lang w:val="ro-RO"/>
        </w:rPr>
        <w:t xml:space="preserve"> Darea de seamă  cu privire la rezultatele executării silite </w:t>
      </w:r>
      <w:r w:rsidRPr="000B204E">
        <w:rPr>
          <w:rFonts w:asciiTheme="majorHAnsi" w:hAnsiTheme="majorHAnsi" w:cstheme="majorHAnsi"/>
          <w:sz w:val="16"/>
          <w:szCs w:val="16"/>
          <w:lang w:val="ro-RO"/>
        </w:rPr>
        <w:t>și  măsurile de asigurare a stingerii obligației fiscale „Forma 8 SF” pe DGAF/DGAF/DGACM la situația din 31.12.2019.</w:t>
      </w:r>
    </w:p>
  </w:footnote>
  <w:footnote w:id="36">
    <w:p w:rsidR="00C65A33" w:rsidRPr="002111E6" w:rsidRDefault="00C65A33" w:rsidP="002111E6">
      <w:pPr>
        <w:pStyle w:val="FootnoteText"/>
        <w:spacing w:after="0"/>
        <w:jc w:val="both"/>
        <w:rPr>
          <w:rFonts w:asciiTheme="majorHAnsi" w:hAnsiTheme="majorHAnsi" w:cstheme="majorHAnsi"/>
          <w:sz w:val="16"/>
          <w:szCs w:val="16"/>
          <w:lang w:val="ro-RO"/>
        </w:rPr>
      </w:pPr>
      <w:r w:rsidRPr="002111E6">
        <w:rPr>
          <w:rStyle w:val="FootnoteReference"/>
          <w:rFonts w:asciiTheme="majorHAnsi" w:hAnsiTheme="majorHAnsi" w:cstheme="majorHAnsi"/>
          <w:sz w:val="16"/>
          <w:szCs w:val="16"/>
        </w:rPr>
        <w:footnoteRef/>
      </w:r>
      <w:r w:rsidRPr="002111E6">
        <w:rPr>
          <w:rFonts w:asciiTheme="majorHAnsi" w:hAnsiTheme="majorHAnsi" w:cstheme="majorHAnsi"/>
          <w:sz w:val="16"/>
          <w:szCs w:val="16"/>
        </w:rPr>
        <w:t xml:space="preserve">  </w:t>
      </w:r>
      <w:r w:rsidRPr="002111E6">
        <w:rPr>
          <w:rFonts w:asciiTheme="majorHAnsi" w:hAnsiTheme="majorHAnsi" w:cstheme="majorHAnsi"/>
          <w:sz w:val="16"/>
          <w:szCs w:val="16"/>
          <w:lang w:val="ro-MD"/>
        </w:rPr>
        <w:t>Auditul face referință la BPN, dat fiind că nu dispune separat de datele privind datoriile curente la bugetul de stat a</w:t>
      </w:r>
      <w:r>
        <w:rPr>
          <w:rFonts w:asciiTheme="majorHAnsi" w:hAnsiTheme="majorHAnsi" w:cstheme="majorHAnsi"/>
          <w:sz w:val="16"/>
          <w:szCs w:val="16"/>
          <w:lang w:val="ro-MD"/>
        </w:rPr>
        <w:t>le</w:t>
      </w:r>
      <w:r w:rsidRPr="002111E6">
        <w:rPr>
          <w:rFonts w:asciiTheme="majorHAnsi" w:hAnsiTheme="majorHAnsi" w:cstheme="majorHAnsi"/>
          <w:sz w:val="16"/>
          <w:szCs w:val="16"/>
          <w:lang w:val="ro-MD"/>
        </w:rPr>
        <w:t xml:space="preserve"> contribuabililor în proces de insolvabilitate</w:t>
      </w:r>
      <w:r>
        <w:rPr>
          <w:rFonts w:asciiTheme="majorHAnsi" w:hAnsiTheme="majorHAnsi" w:cstheme="majorHAnsi"/>
          <w:sz w:val="16"/>
          <w:szCs w:val="16"/>
          <w:lang w:val="ro-MD"/>
        </w:rPr>
        <w:t>.</w:t>
      </w:r>
    </w:p>
  </w:footnote>
  <w:footnote w:id="37">
    <w:p w:rsidR="00C65A33" w:rsidRPr="002111E6" w:rsidRDefault="00C65A33" w:rsidP="002111E6">
      <w:pPr>
        <w:pStyle w:val="FootnoteText"/>
        <w:spacing w:after="0"/>
        <w:jc w:val="both"/>
        <w:rPr>
          <w:rFonts w:asciiTheme="majorHAnsi" w:hAnsiTheme="majorHAnsi" w:cstheme="majorHAnsi"/>
          <w:sz w:val="16"/>
          <w:szCs w:val="16"/>
          <w:lang w:val="ro-RO"/>
        </w:rPr>
      </w:pPr>
      <w:r w:rsidRPr="002111E6">
        <w:rPr>
          <w:rStyle w:val="FootnoteReference"/>
          <w:rFonts w:asciiTheme="majorHAnsi" w:hAnsiTheme="majorHAnsi" w:cstheme="majorHAnsi"/>
          <w:sz w:val="16"/>
          <w:szCs w:val="16"/>
        </w:rPr>
        <w:footnoteRef/>
      </w:r>
      <w:r w:rsidRPr="002111E6">
        <w:rPr>
          <w:rFonts w:asciiTheme="majorHAnsi" w:hAnsiTheme="majorHAnsi" w:cstheme="majorHAnsi"/>
          <w:sz w:val="16"/>
          <w:szCs w:val="16"/>
        </w:rPr>
        <w:t xml:space="preserve"> </w:t>
      </w:r>
      <w:r w:rsidRPr="002111E6">
        <w:rPr>
          <w:rFonts w:asciiTheme="majorHAnsi" w:hAnsiTheme="majorHAnsi" w:cstheme="majorHAnsi"/>
          <w:sz w:val="16"/>
          <w:szCs w:val="16"/>
          <w:lang w:val="ro-RO"/>
        </w:rPr>
        <w:t>Contribuabilii care se află în procedura planului de restructurare.</w:t>
      </w:r>
    </w:p>
  </w:footnote>
  <w:footnote w:id="38">
    <w:p w:rsidR="00C65A33" w:rsidRPr="009348D3" w:rsidRDefault="00C65A33" w:rsidP="002111E6">
      <w:pPr>
        <w:pStyle w:val="FootnoteText"/>
        <w:spacing w:after="0"/>
        <w:jc w:val="both"/>
        <w:rPr>
          <w:rFonts w:asciiTheme="minorHAnsi" w:hAnsiTheme="minorHAnsi" w:cstheme="minorHAnsi"/>
          <w:sz w:val="18"/>
          <w:szCs w:val="18"/>
          <w:lang w:val="ro-RO"/>
        </w:rPr>
      </w:pPr>
      <w:r w:rsidRPr="002111E6">
        <w:rPr>
          <w:rStyle w:val="FootnoteReference"/>
          <w:rFonts w:asciiTheme="majorHAnsi" w:hAnsiTheme="majorHAnsi" w:cstheme="majorHAnsi"/>
          <w:sz w:val="16"/>
          <w:szCs w:val="16"/>
        </w:rPr>
        <w:footnoteRef/>
      </w:r>
      <w:r w:rsidRPr="002111E6">
        <w:rPr>
          <w:rFonts w:asciiTheme="majorHAnsi" w:hAnsiTheme="majorHAnsi" w:cstheme="majorHAnsi"/>
          <w:sz w:val="16"/>
          <w:szCs w:val="16"/>
          <w:lang w:val="ro-RO"/>
        </w:rPr>
        <w:t xml:space="preserve"> MOBBMD 22 - BC</w:t>
      </w:r>
      <w:r w:rsidRPr="002111E6">
        <w:rPr>
          <w:rFonts w:asciiTheme="majorHAnsi" w:hAnsiTheme="majorHAnsi" w:cstheme="majorHAnsi"/>
          <w:sz w:val="16"/>
          <w:szCs w:val="16"/>
        </w:rPr>
        <w:t xml:space="preserve"> </w:t>
      </w:r>
      <w:r w:rsidRPr="002111E6">
        <w:rPr>
          <w:rFonts w:asciiTheme="majorHAnsi" w:hAnsiTheme="majorHAnsi" w:cstheme="majorHAnsi"/>
          <w:sz w:val="16"/>
          <w:szCs w:val="16"/>
          <w:lang w:val="ro-RO"/>
        </w:rPr>
        <w:t xml:space="preserve"> </w:t>
      </w:r>
      <w:proofErr w:type="spellStart"/>
      <w:r w:rsidRPr="002111E6">
        <w:rPr>
          <w:rFonts w:asciiTheme="majorHAnsi" w:hAnsiTheme="majorHAnsi" w:cstheme="majorHAnsi"/>
          <w:sz w:val="16"/>
          <w:szCs w:val="16"/>
          <w:lang w:val="ro-RO"/>
        </w:rPr>
        <w:t>Mobiasbancă</w:t>
      </w:r>
      <w:proofErr w:type="spellEnd"/>
      <w:r w:rsidRPr="002111E6">
        <w:rPr>
          <w:rFonts w:asciiTheme="majorHAnsi" w:hAnsiTheme="majorHAnsi" w:cstheme="majorHAnsi"/>
          <w:sz w:val="16"/>
          <w:szCs w:val="16"/>
          <w:lang w:val="ro-RO"/>
        </w:rPr>
        <w:t xml:space="preserve"> SA.</w:t>
      </w:r>
    </w:p>
  </w:footnote>
  <w:footnote w:id="39">
    <w:p w:rsidR="00C65A33" w:rsidRPr="002111E6" w:rsidRDefault="00C65A33" w:rsidP="00907987">
      <w:pPr>
        <w:pStyle w:val="FootnoteText"/>
        <w:spacing w:after="0"/>
        <w:jc w:val="both"/>
        <w:rPr>
          <w:rFonts w:asciiTheme="majorHAnsi" w:hAnsiTheme="majorHAnsi" w:cstheme="majorHAnsi"/>
          <w:sz w:val="16"/>
          <w:szCs w:val="16"/>
          <w:lang w:val="ro-MD"/>
        </w:rPr>
      </w:pPr>
      <w:r w:rsidRPr="002111E6">
        <w:rPr>
          <w:rStyle w:val="FootnoteReference"/>
          <w:rFonts w:asciiTheme="majorHAnsi" w:hAnsiTheme="majorHAnsi" w:cstheme="majorHAnsi"/>
          <w:sz w:val="16"/>
          <w:szCs w:val="16"/>
          <w:lang w:val="ro-MD"/>
        </w:rPr>
        <w:footnoteRef/>
      </w:r>
      <w:r w:rsidRPr="002111E6">
        <w:rPr>
          <w:rFonts w:asciiTheme="majorHAnsi" w:hAnsiTheme="majorHAnsi" w:cstheme="majorHAnsi"/>
          <w:sz w:val="16"/>
          <w:szCs w:val="16"/>
          <w:lang w:val="ro-MD"/>
        </w:rPr>
        <w:t xml:space="preserve"> Aprobat prin Legea  nr.443-XV  din  24.12.2004 (cu modificările ulterioare)</w:t>
      </w:r>
      <w:r>
        <w:rPr>
          <w:rFonts w:asciiTheme="majorHAnsi" w:hAnsiTheme="majorHAnsi" w:cstheme="majorHAnsi"/>
          <w:sz w:val="16"/>
          <w:szCs w:val="16"/>
          <w:lang w:val="ro-MD"/>
        </w:rPr>
        <w:t>.</w:t>
      </w:r>
    </w:p>
  </w:footnote>
  <w:footnote w:id="40">
    <w:p w:rsidR="00C65A33" w:rsidRPr="002111E6" w:rsidRDefault="00C65A33" w:rsidP="00907987">
      <w:pPr>
        <w:pStyle w:val="FootnoteText"/>
        <w:spacing w:after="0"/>
        <w:jc w:val="both"/>
        <w:rPr>
          <w:rFonts w:asciiTheme="majorHAnsi" w:hAnsiTheme="majorHAnsi" w:cstheme="majorHAnsi"/>
          <w:sz w:val="16"/>
          <w:szCs w:val="16"/>
          <w:lang w:val="ro-RO"/>
        </w:rPr>
      </w:pPr>
      <w:r w:rsidRPr="002111E6">
        <w:rPr>
          <w:rStyle w:val="FootnoteReference"/>
          <w:rFonts w:asciiTheme="majorHAnsi" w:hAnsiTheme="majorHAnsi" w:cstheme="majorHAnsi"/>
          <w:sz w:val="16"/>
          <w:szCs w:val="16"/>
        </w:rPr>
        <w:footnoteRef/>
      </w:r>
      <w:r w:rsidRPr="002111E6">
        <w:rPr>
          <w:rFonts w:asciiTheme="majorHAnsi" w:hAnsiTheme="majorHAnsi" w:cstheme="majorHAnsi"/>
          <w:sz w:val="16"/>
          <w:szCs w:val="16"/>
        </w:rPr>
        <w:t xml:space="preserve"> </w:t>
      </w:r>
      <w:r w:rsidRPr="002111E6">
        <w:rPr>
          <w:rFonts w:asciiTheme="majorHAnsi" w:hAnsiTheme="majorHAnsi" w:cstheme="majorHAnsi"/>
          <w:sz w:val="16"/>
          <w:szCs w:val="16"/>
          <w:lang w:val="ro-RO"/>
        </w:rPr>
        <w:t>La data de 31.12.2018</w:t>
      </w:r>
      <w:r>
        <w:rPr>
          <w:rFonts w:asciiTheme="majorHAnsi" w:hAnsiTheme="majorHAnsi" w:cstheme="majorHAnsi"/>
          <w:sz w:val="16"/>
          <w:szCs w:val="16"/>
          <w:lang w:val="ro-RO"/>
        </w:rPr>
        <w:t>,</w:t>
      </w:r>
      <w:r w:rsidRPr="002111E6">
        <w:rPr>
          <w:rFonts w:asciiTheme="majorHAnsi" w:hAnsiTheme="majorHAnsi" w:cstheme="majorHAnsi"/>
          <w:sz w:val="16"/>
          <w:szCs w:val="16"/>
          <w:lang w:val="ro-RO"/>
        </w:rPr>
        <w:t xml:space="preserve"> restanța SC „</w:t>
      </w:r>
      <w:proofErr w:type="spellStart"/>
      <w:r w:rsidRPr="002111E6">
        <w:rPr>
          <w:rFonts w:asciiTheme="majorHAnsi" w:hAnsiTheme="majorHAnsi" w:cstheme="majorHAnsi"/>
          <w:sz w:val="16"/>
          <w:szCs w:val="16"/>
          <w:lang w:val="ro-RO"/>
        </w:rPr>
        <w:t>Auratus</w:t>
      </w:r>
      <w:proofErr w:type="spellEnd"/>
      <w:r w:rsidRPr="002111E6">
        <w:rPr>
          <w:rFonts w:asciiTheme="majorHAnsi" w:hAnsiTheme="majorHAnsi" w:cstheme="majorHAnsi"/>
          <w:sz w:val="16"/>
          <w:szCs w:val="16"/>
          <w:lang w:val="ro-RO"/>
        </w:rPr>
        <w:t>” SRL constituia 15158,5 mii lei</w:t>
      </w:r>
      <w:r>
        <w:rPr>
          <w:rFonts w:asciiTheme="majorHAnsi" w:hAnsiTheme="majorHAnsi" w:cstheme="majorHAnsi"/>
          <w:sz w:val="16"/>
          <w:szCs w:val="16"/>
          <w:lang w:val="ro-RO"/>
        </w:rPr>
        <w:t>.</w:t>
      </w:r>
    </w:p>
  </w:footnote>
  <w:footnote w:id="41">
    <w:p w:rsidR="00C65A33" w:rsidRPr="002111E6" w:rsidRDefault="00C65A33" w:rsidP="00907987">
      <w:pPr>
        <w:pStyle w:val="FootnoteText"/>
        <w:spacing w:after="0"/>
        <w:jc w:val="both"/>
        <w:rPr>
          <w:rFonts w:asciiTheme="majorHAnsi" w:hAnsiTheme="majorHAnsi" w:cstheme="majorHAnsi"/>
          <w:sz w:val="16"/>
          <w:szCs w:val="16"/>
          <w:lang w:val="ro-MD"/>
        </w:rPr>
      </w:pPr>
      <w:r w:rsidRPr="002111E6">
        <w:rPr>
          <w:rStyle w:val="FootnoteReference"/>
          <w:rFonts w:asciiTheme="majorHAnsi" w:hAnsiTheme="majorHAnsi" w:cstheme="majorHAnsi"/>
          <w:sz w:val="16"/>
          <w:szCs w:val="16"/>
        </w:rPr>
        <w:footnoteRef/>
      </w:r>
      <w:r w:rsidRPr="002111E6">
        <w:rPr>
          <w:rFonts w:asciiTheme="majorHAnsi" w:hAnsiTheme="majorHAnsi" w:cstheme="majorHAnsi"/>
          <w:sz w:val="16"/>
          <w:szCs w:val="16"/>
        </w:rPr>
        <w:t xml:space="preserve"> </w:t>
      </w:r>
      <w:r w:rsidRPr="002111E6">
        <w:rPr>
          <w:rFonts w:asciiTheme="majorHAnsi" w:hAnsiTheme="majorHAnsi" w:cstheme="majorHAnsi"/>
          <w:sz w:val="16"/>
          <w:szCs w:val="16"/>
          <w:lang w:val="ro-MD"/>
        </w:rPr>
        <w:t xml:space="preserve">HESOF seria AN nr. 167048 din 01.08.2017 privind executarea silită a obligației fiscale în valoare totală de 13340,8 mii lei. </w:t>
      </w:r>
    </w:p>
  </w:footnote>
  <w:footnote w:id="42">
    <w:p w:rsidR="00C65A33" w:rsidRPr="00A71BDE" w:rsidRDefault="00C65A33" w:rsidP="00907987">
      <w:pPr>
        <w:pStyle w:val="FootnoteText"/>
        <w:spacing w:after="0"/>
        <w:jc w:val="both"/>
        <w:rPr>
          <w:rFonts w:asciiTheme="minorHAnsi" w:hAnsiTheme="minorHAnsi" w:cstheme="minorHAnsi"/>
          <w:sz w:val="18"/>
          <w:szCs w:val="18"/>
          <w:lang w:val="ro-MD"/>
        </w:rPr>
      </w:pPr>
      <w:r w:rsidRPr="002111E6">
        <w:rPr>
          <w:rStyle w:val="FootnoteReference"/>
          <w:rFonts w:asciiTheme="majorHAnsi" w:hAnsiTheme="majorHAnsi" w:cstheme="majorHAnsi"/>
          <w:sz w:val="16"/>
          <w:szCs w:val="16"/>
          <w:lang w:val="ro-MD"/>
        </w:rPr>
        <w:footnoteRef/>
      </w:r>
      <w:r w:rsidRPr="002111E6">
        <w:rPr>
          <w:rFonts w:asciiTheme="majorHAnsi" w:hAnsiTheme="majorHAnsi" w:cstheme="majorHAnsi"/>
          <w:sz w:val="16"/>
          <w:szCs w:val="16"/>
          <w:lang w:val="ro-MD"/>
        </w:rPr>
        <w:t>Aspectul respectiv a fost expus în Raportul auditului privind relevanța instrumentelor de gestiune silită a obligației fiscale/vamale pentru anii 2014-2016, aprobat prin Hotărârea Curții  de Co</w:t>
      </w:r>
      <w:r>
        <w:rPr>
          <w:rFonts w:asciiTheme="majorHAnsi" w:hAnsiTheme="majorHAnsi" w:cstheme="majorHAnsi"/>
          <w:sz w:val="16"/>
          <w:szCs w:val="16"/>
          <w:lang w:val="ro-MD"/>
        </w:rPr>
        <w:t>nturi nr.20 din 26 mai 2017.</w:t>
      </w:r>
    </w:p>
  </w:footnote>
  <w:footnote w:id="43">
    <w:p w:rsidR="00C65A33" w:rsidRPr="002111E6" w:rsidRDefault="00C65A33" w:rsidP="002111E6">
      <w:pPr>
        <w:pStyle w:val="FootnoteText"/>
        <w:spacing w:after="0"/>
        <w:jc w:val="both"/>
        <w:rPr>
          <w:rFonts w:asciiTheme="majorHAnsi" w:hAnsiTheme="majorHAnsi" w:cstheme="majorHAnsi"/>
          <w:sz w:val="16"/>
          <w:szCs w:val="16"/>
          <w:lang w:val="ro-MD"/>
        </w:rPr>
      </w:pPr>
      <w:r w:rsidRPr="002111E6">
        <w:rPr>
          <w:rStyle w:val="FootnoteReference"/>
          <w:rFonts w:asciiTheme="majorHAnsi" w:hAnsiTheme="majorHAnsi" w:cstheme="majorHAnsi"/>
          <w:sz w:val="16"/>
          <w:szCs w:val="16"/>
          <w:lang w:val="ro-MD"/>
        </w:rPr>
        <w:footnoteRef/>
      </w:r>
      <w:r w:rsidRPr="002111E6">
        <w:rPr>
          <w:rFonts w:asciiTheme="majorHAnsi" w:hAnsiTheme="majorHAnsi" w:cstheme="majorHAnsi"/>
          <w:sz w:val="16"/>
          <w:szCs w:val="16"/>
          <w:lang w:val="ro-MD"/>
        </w:rPr>
        <w:t xml:space="preserve"> Art.118 alin. (2) din Codul de executare  statuează că „în procesul-verbal se enumeră obiectele și documentele sechestrate, indicându-se numărul, măsura, greutatea lor, genul, elementele de individualizare, gradul de uzură și, pe cât este posibil, valoarea lor”</w:t>
      </w:r>
      <w:r>
        <w:rPr>
          <w:rFonts w:asciiTheme="majorHAnsi" w:hAnsiTheme="majorHAnsi" w:cstheme="majorHAnsi"/>
          <w:sz w:val="16"/>
          <w:szCs w:val="16"/>
          <w:lang w:val="ro-MD"/>
        </w:rPr>
        <w:t>.</w:t>
      </w:r>
    </w:p>
  </w:footnote>
  <w:footnote w:id="44">
    <w:p w:rsidR="00C65A33" w:rsidRPr="002111E6" w:rsidRDefault="00C65A33" w:rsidP="002111E6">
      <w:pPr>
        <w:pStyle w:val="FootnoteText"/>
        <w:spacing w:after="0"/>
        <w:jc w:val="both"/>
        <w:rPr>
          <w:rFonts w:asciiTheme="majorHAnsi" w:hAnsiTheme="majorHAnsi" w:cstheme="majorHAnsi"/>
          <w:sz w:val="16"/>
          <w:szCs w:val="16"/>
          <w:lang w:val="ro-MD"/>
        </w:rPr>
      </w:pPr>
      <w:r w:rsidRPr="002111E6">
        <w:rPr>
          <w:rStyle w:val="FootnoteReference"/>
          <w:rFonts w:asciiTheme="majorHAnsi" w:hAnsiTheme="majorHAnsi" w:cstheme="majorHAnsi"/>
          <w:sz w:val="16"/>
          <w:szCs w:val="16"/>
          <w:lang w:val="ro-MD"/>
        </w:rPr>
        <w:footnoteRef/>
      </w:r>
      <w:r w:rsidRPr="002111E6">
        <w:rPr>
          <w:rFonts w:asciiTheme="majorHAnsi" w:hAnsiTheme="majorHAnsi" w:cstheme="majorHAnsi"/>
          <w:sz w:val="16"/>
          <w:szCs w:val="16"/>
          <w:lang w:val="ro-MD"/>
        </w:rPr>
        <w:t xml:space="preserve"> Scrisoarea nr.021s-78r/2020 din 05.03.2020</w:t>
      </w:r>
      <w:r>
        <w:rPr>
          <w:rFonts w:asciiTheme="majorHAnsi" w:hAnsiTheme="majorHAnsi" w:cstheme="majorHAnsi"/>
          <w:sz w:val="16"/>
          <w:szCs w:val="16"/>
          <w:lang w:val="ro-MD"/>
        </w:rPr>
        <w:t>.</w:t>
      </w:r>
    </w:p>
  </w:footnote>
  <w:footnote w:id="45">
    <w:p w:rsidR="00C65A33" w:rsidRPr="002111E6" w:rsidRDefault="00C65A33" w:rsidP="002111E6">
      <w:pPr>
        <w:pStyle w:val="FootnoteText"/>
        <w:spacing w:after="0"/>
        <w:jc w:val="both"/>
        <w:rPr>
          <w:rFonts w:asciiTheme="majorHAnsi" w:hAnsiTheme="majorHAnsi" w:cstheme="majorHAnsi"/>
          <w:sz w:val="16"/>
          <w:szCs w:val="16"/>
          <w:lang w:val="ro-MD"/>
        </w:rPr>
      </w:pPr>
      <w:r w:rsidRPr="002111E6">
        <w:rPr>
          <w:rStyle w:val="FootnoteReference"/>
          <w:rFonts w:asciiTheme="majorHAnsi" w:hAnsiTheme="majorHAnsi" w:cstheme="majorHAnsi"/>
          <w:sz w:val="16"/>
          <w:szCs w:val="16"/>
          <w:lang w:val="ro-MD"/>
        </w:rPr>
        <w:footnoteRef/>
      </w:r>
      <w:r w:rsidRPr="002111E6">
        <w:rPr>
          <w:rFonts w:asciiTheme="majorHAnsi" w:hAnsiTheme="majorHAnsi" w:cstheme="majorHAnsi"/>
          <w:sz w:val="16"/>
          <w:szCs w:val="16"/>
          <w:lang w:val="ro-MD"/>
        </w:rPr>
        <w:t xml:space="preserve"> Înregistrată cu numărul de intrare 1425 din 16.03.2020</w:t>
      </w:r>
      <w:r>
        <w:rPr>
          <w:rFonts w:asciiTheme="majorHAnsi" w:hAnsiTheme="majorHAnsi" w:cstheme="majorHAnsi"/>
          <w:sz w:val="16"/>
          <w:szCs w:val="16"/>
          <w:lang w:val="ro-MD"/>
        </w:rPr>
        <w:t>.</w:t>
      </w:r>
    </w:p>
  </w:footnote>
  <w:footnote w:id="46">
    <w:p w:rsidR="00C65A33" w:rsidRPr="002111E6" w:rsidRDefault="00C65A33" w:rsidP="00703082">
      <w:pPr>
        <w:pStyle w:val="FootnoteText"/>
        <w:spacing w:after="0"/>
        <w:jc w:val="both"/>
        <w:rPr>
          <w:rFonts w:asciiTheme="majorHAnsi" w:hAnsiTheme="majorHAnsi" w:cstheme="majorHAnsi"/>
          <w:sz w:val="16"/>
          <w:szCs w:val="16"/>
        </w:rPr>
      </w:pPr>
      <w:r w:rsidRPr="002111E6">
        <w:rPr>
          <w:rStyle w:val="FootnoteReference"/>
          <w:rFonts w:asciiTheme="majorHAnsi" w:hAnsiTheme="majorHAnsi" w:cstheme="majorHAnsi"/>
          <w:sz w:val="16"/>
          <w:szCs w:val="16"/>
        </w:rPr>
        <w:footnoteRef/>
      </w:r>
      <w:r w:rsidRPr="002111E6">
        <w:rPr>
          <w:rFonts w:asciiTheme="majorHAnsi" w:hAnsiTheme="majorHAnsi" w:cstheme="majorHAnsi"/>
          <w:sz w:val="16"/>
          <w:szCs w:val="16"/>
        </w:rPr>
        <w:t xml:space="preserve">  </w:t>
      </w:r>
      <w:proofErr w:type="spellStart"/>
      <w:r w:rsidRPr="002111E6">
        <w:rPr>
          <w:rFonts w:asciiTheme="majorHAnsi" w:hAnsiTheme="majorHAnsi" w:cstheme="majorHAnsi"/>
          <w:sz w:val="16"/>
          <w:szCs w:val="16"/>
        </w:rPr>
        <w:t>Contractul</w:t>
      </w:r>
      <w:proofErr w:type="spellEnd"/>
      <w:r w:rsidRPr="002111E6">
        <w:rPr>
          <w:rFonts w:asciiTheme="majorHAnsi" w:hAnsiTheme="majorHAnsi" w:cstheme="majorHAnsi"/>
          <w:sz w:val="16"/>
          <w:szCs w:val="16"/>
        </w:rPr>
        <w:t xml:space="preserve"> n</w:t>
      </w:r>
      <w:r>
        <w:rPr>
          <w:rFonts w:asciiTheme="majorHAnsi" w:hAnsiTheme="majorHAnsi" w:cstheme="majorHAnsi"/>
          <w:sz w:val="16"/>
          <w:szCs w:val="16"/>
          <w:lang w:val="ro-MD"/>
        </w:rPr>
        <w:t>r.1-021/20 din 27.02.2020.</w:t>
      </w:r>
    </w:p>
  </w:footnote>
  <w:footnote w:id="47">
    <w:p w:rsidR="00C65A33" w:rsidRPr="002111E6" w:rsidRDefault="00C65A33" w:rsidP="002111E6">
      <w:pPr>
        <w:pStyle w:val="FootnoteText"/>
        <w:spacing w:after="0"/>
        <w:jc w:val="both"/>
        <w:rPr>
          <w:rFonts w:asciiTheme="majorHAnsi" w:hAnsiTheme="majorHAnsi" w:cstheme="majorHAnsi"/>
          <w:sz w:val="16"/>
          <w:szCs w:val="16"/>
          <w:lang w:val="ro-MD"/>
        </w:rPr>
      </w:pPr>
      <w:r w:rsidRPr="002111E6">
        <w:rPr>
          <w:rStyle w:val="FootnoteReference"/>
          <w:rFonts w:asciiTheme="majorHAnsi" w:hAnsiTheme="majorHAnsi" w:cstheme="majorHAnsi"/>
          <w:sz w:val="16"/>
          <w:szCs w:val="16"/>
          <w:lang w:val="ro-MD"/>
        </w:rPr>
        <w:footnoteRef/>
      </w:r>
      <w:r w:rsidRPr="002111E6">
        <w:rPr>
          <w:rFonts w:asciiTheme="majorHAnsi" w:hAnsiTheme="majorHAnsi" w:cstheme="majorHAnsi"/>
          <w:sz w:val="16"/>
          <w:szCs w:val="16"/>
          <w:lang w:val="ro-MD"/>
        </w:rPr>
        <w:t xml:space="preserve"> Din </w:t>
      </w:r>
      <w:r>
        <w:rPr>
          <w:rFonts w:asciiTheme="majorHAnsi" w:hAnsiTheme="majorHAnsi" w:cstheme="majorHAnsi"/>
          <w:sz w:val="16"/>
          <w:szCs w:val="16"/>
          <w:lang w:val="ro-MD"/>
        </w:rPr>
        <w:t>p</w:t>
      </w:r>
      <w:r w:rsidRPr="002111E6">
        <w:rPr>
          <w:rFonts w:asciiTheme="majorHAnsi" w:hAnsiTheme="majorHAnsi" w:cstheme="majorHAnsi"/>
          <w:sz w:val="16"/>
          <w:szCs w:val="16"/>
          <w:lang w:val="ro-MD"/>
        </w:rPr>
        <w:t>rocesele-verbale de sechestru a</w:t>
      </w:r>
      <w:r>
        <w:rPr>
          <w:rFonts w:asciiTheme="majorHAnsi" w:hAnsiTheme="majorHAnsi" w:cstheme="majorHAnsi"/>
          <w:sz w:val="16"/>
          <w:szCs w:val="16"/>
          <w:lang w:val="ro-MD"/>
        </w:rPr>
        <w:t>l</w:t>
      </w:r>
      <w:r w:rsidRPr="002111E6">
        <w:rPr>
          <w:rFonts w:asciiTheme="majorHAnsi" w:hAnsiTheme="majorHAnsi" w:cstheme="majorHAnsi"/>
          <w:sz w:val="16"/>
          <w:szCs w:val="16"/>
          <w:lang w:val="ro-MD"/>
        </w:rPr>
        <w:t xml:space="preserve"> bunurilor</w:t>
      </w:r>
      <w:r>
        <w:rPr>
          <w:rFonts w:asciiTheme="majorHAnsi" w:hAnsiTheme="majorHAnsi" w:cstheme="majorHAnsi"/>
          <w:sz w:val="16"/>
          <w:szCs w:val="16"/>
          <w:lang w:val="ro-MD"/>
        </w:rPr>
        <w:t>,</w:t>
      </w:r>
      <w:r w:rsidRPr="002111E6">
        <w:rPr>
          <w:rFonts w:asciiTheme="majorHAnsi" w:hAnsiTheme="majorHAnsi" w:cstheme="majorHAnsi"/>
          <w:sz w:val="16"/>
          <w:szCs w:val="16"/>
          <w:lang w:val="ro-MD"/>
        </w:rPr>
        <w:t xml:space="preserve"> întocmite de executorul judecătoresc</w:t>
      </w:r>
      <w:r>
        <w:rPr>
          <w:rFonts w:asciiTheme="majorHAnsi" w:hAnsiTheme="majorHAnsi" w:cstheme="majorHAnsi"/>
          <w:sz w:val="16"/>
          <w:szCs w:val="16"/>
          <w:lang w:val="ro-MD"/>
        </w:rPr>
        <w:t>,</w:t>
      </w:r>
      <w:r w:rsidRPr="002111E6">
        <w:rPr>
          <w:rFonts w:asciiTheme="majorHAnsi" w:hAnsiTheme="majorHAnsi" w:cstheme="majorHAnsi"/>
          <w:sz w:val="16"/>
          <w:szCs w:val="16"/>
          <w:lang w:val="ro-MD"/>
        </w:rPr>
        <w:t xml:space="preserve"> cu antrenarea/participarea inspectorilor SFS</w:t>
      </w:r>
      <w:r>
        <w:rPr>
          <w:rFonts w:asciiTheme="majorHAnsi" w:hAnsiTheme="majorHAnsi" w:cstheme="majorHAnsi"/>
          <w:sz w:val="16"/>
          <w:szCs w:val="16"/>
          <w:lang w:val="ro-MD"/>
        </w:rPr>
        <w:t>,</w:t>
      </w:r>
      <w:r w:rsidRPr="002111E6">
        <w:rPr>
          <w:rFonts w:asciiTheme="majorHAnsi" w:hAnsiTheme="majorHAnsi" w:cstheme="majorHAnsi"/>
          <w:sz w:val="16"/>
          <w:szCs w:val="16"/>
          <w:lang w:val="ro-MD"/>
        </w:rPr>
        <w:t xml:space="preserve"> cu datele din Contractul de consignație</w:t>
      </w:r>
      <w:r>
        <w:rPr>
          <w:rFonts w:asciiTheme="majorHAnsi" w:hAnsiTheme="majorHAnsi" w:cstheme="majorHAnsi"/>
          <w:sz w:val="16"/>
          <w:szCs w:val="16"/>
          <w:lang w:val="ro-MD"/>
        </w:rPr>
        <w:t>,</w:t>
      </w:r>
      <w:r w:rsidRPr="002111E6">
        <w:rPr>
          <w:rFonts w:asciiTheme="majorHAnsi" w:hAnsiTheme="majorHAnsi" w:cstheme="majorHAnsi"/>
          <w:sz w:val="16"/>
          <w:szCs w:val="16"/>
          <w:lang w:val="ro-MD"/>
        </w:rPr>
        <w:t xml:space="preserve"> </w:t>
      </w:r>
      <w:r>
        <w:rPr>
          <w:rFonts w:asciiTheme="majorHAnsi" w:hAnsiTheme="majorHAnsi" w:cstheme="majorHAnsi"/>
          <w:sz w:val="16"/>
          <w:szCs w:val="16"/>
          <w:lang w:val="ro-MD"/>
        </w:rPr>
        <w:t>î</w:t>
      </w:r>
      <w:r w:rsidRPr="002111E6">
        <w:rPr>
          <w:rFonts w:asciiTheme="majorHAnsi" w:hAnsiTheme="majorHAnsi" w:cstheme="majorHAnsi"/>
          <w:sz w:val="16"/>
          <w:szCs w:val="16"/>
          <w:lang w:val="ro-MD"/>
        </w:rPr>
        <w:t>ncheiat cu agentul economic.</w:t>
      </w:r>
    </w:p>
  </w:footnote>
  <w:footnote w:id="48">
    <w:p w:rsidR="00C65A33" w:rsidRPr="002111E6" w:rsidRDefault="00C65A33" w:rsidP="002111E6">
      <w:pPr>
        <w:pStyle w:val="FootnoteText"/>
        <w:spacing w:after="0" w:line="240" w:lineRule="auto"/>
        <w:jc w:val="both"/>
        <w:rPr>
          <w:rFonts w:asciiTheme="majorHAnsi" w:hAnsiTheme="majorHAnsi" w:cstheme="majorHAnsi"/>
          <w:sz w:val="16"/>
          <w:szCs w:val="16"/>
          <w:lang w:val="ro-MD"/>
        </w:rPr>
      </w:pPr>
      <w:r w:rsidRPr="002111E6">
        <w:rPr>
          <w:rStyle w:val="FootnoteReference"/>
          <w:rFonts w:asciiTheme="majorHAnsi" w:hAnsiTheme="majorHAnsi" w:cstheme="majorHAnsi"/>
          <w:sz w:val="16"/>
          <w:szCs w:val="16"/>
        </w:rPr>
        <w:footnoteRef/>
      </w:r>
      <w:r w:rsidRPr="002111E6">
        <w:rPr>
          <w:rFonts w:asciiTheme="majorHAnsi" w:hAnsiTheme="majorHAnsi" w:cstheme="majorHAnsi"/>
          <w:sz w:val="16"/>
          <w:szCs w:val="16"/>
        </w:rPr>
        <w:t xml:space="preserve"> </w:t>
      </w:r>
      <w:r w:rsidRPr="002111E6">
        <w:rPr>
          <w:rFonts w:asciiTheme="majorHAnsi" w:hAnsiTheme="majorHAnsi" w:cstheme="majorHAnsi"/>
          <w:sz w:val="16"/>
          <w:szCs w:val="16"/>
          <w:lang w:val="ro-MD"/>
        </w:rPr>
        <w:t xml:space="preserve">Regulile comerțului cu amănuntul, recepționării, păstrării </w:t>
      </w:r>
      <w:proofErr w:type="spellStart"/>
      <w:r w:rsidRPr="002111E6">
        <w:rPr>
          <w:rFonts w:asciiTheme="majorHAnsi" w:hAnsiTheme="majorHAnsi" w:cstheme="majorHAnsi"/>
          <w:sz w:val="16"/>
          <w:szCs w:val="16"/>
          <w:lang w:val="ro-MD"/>
        </w:rPr>
        <w:t>şi</w:t>
      </w:r>
      <w:proofErr w:type="spellEnd"/>
      <w:r w:rsidRPr="002111E6">
        <w:rPr>
          <w:rFonts w:asciiTheme="majorHAnsi" w:hAnsiTheme="majorHAnsi" w:cstheme="majorHAnsi"/>
          <w:sz w:val="16"/>
          <w:szCs w:val="16"/>
          <w:lang w:val="ro-MD"/>
        </w:rPr>
        <w:t xml:space="preserve"> evidenței articolelor din metale prețioase și pietre prețioase</w:t>
      </w:r>
      <w:r>
        <w:rPr>
          <w:rFonts w:asciiTheme="majorHAnsi" w:hAnsiTheme="majorHAnsi" w:cstheme="majorHAnsi"/>
          <w:sz w:val="16"/>
          <w:szCs w:val="16"/>
          <w:lang w:val="ro-MD"/>
        </w:rPr>
        <w:t>.</w:t>
      </w:r>
    </w:p>
  </w:footnote>
  <w:footnote w:id="49">
    <w:p w:rsidR="00C65A33" w:rsidRPr="002111E6" w:rsidRDefault="00C65A33" w:rsidP="002111E6">
      <w:pPr>
        <w:pStyle w:val="FootnoteText"/>
        <w:spacing w:after="0" w:line="240" w:lineRule="auto"/>
        <w:jc w:val="both"/>
        <w:rPr>
          <w:rFonts w:asciiTheme="majorHAnsi" w:hAnsiTheme="majorHAnsi" w:cstheme="majorHAnsi"/>
          <w:sz w:val="16"/>
          <w:szCs w:val="16"/>
          <w:lang w:val="ro-MD"/>
        </w:rPr>
      </w:pPr>
      <w:r w:rsidRPr="002111E6">
        <w:rPr>
          <w:rStyle w:val="FootnoteReference"/>
          <w:rFonts w:asciiTheme="majorHAnsi" w:hAnsiTheme="majorHAnsi" w:cstheme="majorHAnsi"/>
          <w:sz w:val="16"/>
          <w:szCs w:val="16"/>
          <w:lang w:val="ro-MD"/>
        </w:rPr>
        <w:footnoteRef/>
      </w:r>
      <w:r w:rsidRPr="002111E6">
        <w:rPr>
          <w:rFonts w:asciiTheme="majorHAnsi" w:hAnsiTheme="majorHAnsi" w:cstheme="majorHAnsi"/>
          <w:sz w:val="16"/>
          <w:szCs w:val="16"/>
          <w:lang w:val="ro-MD"/>
        </w:rPr>
        <w:t xml:space="preserve"> Se anexează pozele efectuate la fața locului</w:t>
      </w:r>
      <w:r>
        <w:rPr>
          <w:rFonts w:asciiTheme="majorHAnsi" w:hAnsiTheme="majorHAnsi" w:cstheme="majorHAnsi"/>
          <w:sz w:val="16"/>
          <w:szCs w:val="16"/>
          <w:lang w:val="ro-MD"/>
        </w:rPr>
        <w:t>.</w:t>
      </w:r>
    </w:p>
  </w:footnote>
  <w:footnote w:id="50">
    <w:p w:rsidR="00C65A33" w:rsidRPr="002111E6" w:rsidRDefault="00C65A33" w:rsidP="002111E6">
      <w:pPr>
        <w:pStyle w:val="FootnoteText"/>
        <w:spacing w:after="0"/>
        <w:jc w:val="both"/>
        <w:rPr>
          <w:rFonts w:asciiTheme="majorHAnsi" w:hAnsiTheme="majorHAnsi" w:cstheme="majorHAnsi"/>
          <w:sz w:val="16"/>
          <w:szCs w:val="16"/>
          <w:lang w:val="ro-MD"/>
        </w:rPr>
      </w:pPr>
      <w:r w:rsidRPr="002111E6">
        <w:rPr>
          <w:rStyle w:val="FootnoteReference"/>
          <w:rFonts w:asciiTheme="majorHAnsi" w:hAnsiTheme="majorHAnsi" w:cstheme="majorHAnsi"/>
          <w:sz w:val="16"/>
          <w:szCs w:val="16"/>
          <w:lang w:val="ro-MD"/>
        </w:rPr>
        <w:footnoteRef/>
      </w:r>
      <w:r w:rsidRPr="002111E6">
        <w:rPr>
          <w:rFonts w:asciiTheme="majorHAnsi" w:hAnsiTheme="majorHAnsi" w:cstheme="majorHAnsi"/>
          <w:sz w:val="16"/>
          <w:szCs w:val="16"/>
          <w:lang w:val="ro-MD"/>
        </w:rPr>
        <w:t xml:space="preserve"> Scris</w:t>
      </w:r>
      <w:r>
        <w:rPr>
          <w:rFonts w:asciiTheme="majorHAnsi" w:hAnsiTheme="majorHAnsi" w:cstheme="majorHAnsi"/>
          <w:sz w:val="16"/>
          <w:szCs w:val="16"/>
          <w:lang w:val="ro-MD"/>
        </w:rPr>
        <w:t>orile</w:t>
      </w:r>
      <w:r w:rsidRPr="002111E6">
        <w:rPr>
          <w:rFonts w:asciiTheme="majorHAnsi" w:hAnsiTheme="majorHAnsi" w:cstheme="majorHAnsi"/>
          <w:sz w:val="16"/>
          <w:szCs w:val="16"/>
          <w:lang w:val="ro-MD"/>
        </w:rPr>
        <w:t xml:space="preserve"> nr.021s-78r/2020 din 30.03.2020 și nr.  1762/E din 28.04.2020</w:t>
      </w:r>
      <w:r>
        <w:rPr>
          <w:rFonts w:asciiTheme="majorHAnsi" w:hAnsiTheme="majorHAnsi" w:cstheme="majorHAnsi"/>
          <w:sz w:val="16"/>
          <w:szCs w:val="16"/>
          <w:lang w:val="ro-MD"/>
        </w:rPr>
        <w:t>.</w:t>
      </w:r>
    </w:p>
  </w:footnote>
  <w:footnote w:id="51">
    <w:p w:rsidR="00C65A33" w:rsidRPr="002111E6" w:rsidRDefault="00C65A33" w:rsidP="002111E6">
      <w:pPr>
        <w:pStyle w:val="FootnoteText"/>
        <w:spacing w:after="0" w:line="240" w:lineRule="auto"/>
        <w:jc w:val="both"/>
        <w:rPr>
          <w:rFonts w:asciiTheme="majorHAnsi" w:hAnsiTheme="majorHAnsi" w:cstheme="majorHAnsi"/>
          <w:sz w:val="16"/>
          <w:szCs w:val="16"/>
          <w:lang w:val="ro-MD"/>
        </w:rPr>
      </w:pPr>
      <w:r w:rsidRPr="002111E6">
        <w:rPr>
          <w:rStyle w:val="FootnoteReference"/>
          <w:rFonts w:asciiTheme="majorHAnsi" w:hAnsiTheme="majorHAnsi" w:cstheme="majorHAnsi"/>
          <w:sz w:val="16"/>
          <w:szCs w:val="16"/>
          <w:lang w:val="ro-MD"/>
        </w:rPr>
        <w:footnoteRef/>
      </w:r>
      <w:r w:rsidRPr="002111E6">
        <w:rPr>
          <w:rFonts w:asciiTheme="majorHAnsi" w:hAnsiTheme="majorHAnsi" w:cstheme="majorHAnsi"/>
          <w:sz w:val="16"/>
          <w:szCs w:val="16"/>
          <w:lang w:val="ro-MD"/>
        </w:rPr>
        <w:t xml:space="preserve"> Nr. de înregistrare a scrisorii 1593/E din 06.04.2020</w:t>
      </w:r>
      <w:r>
        <w:rPr>
          <w:rFonts w:asciiTheme="majorHAnsi" w:hAnsiTheme="majorHAnsi" w:cstheme="majorHAnsi"/>
          <w:sz w:val="16"/>
          <w:szCs w:val="16"/>
          <w:lang w:val="ro-MD"/>
        </w:rPr>
        <w:t>.</w:t>
      </w:r>
    </w:p>
  </w:footnote>
  <w:footnote w:id="52">
    <w:p w:rsidR="00C65A33" w:rsidRPr="002C7B91" w:rsidRDefault="00C65A33" w:rsidP="002111E6">
      <w:pPr>
        <w:pStyle w:val="FootnoteText"/>
        <w:spacing w:after="0"/>
        <w:jc w:val="both"/>
        <w:rPr>
          <w:sz w:val="18"/>
          <w:szCs w:val="18"/>
          <w:lang w:val="ro-MD"/>
        </w:rPr>
      </w:pPr>
      <w:r w:rsidRPr="002111E6">
        <w:rPr>
          <w:rStyle w:val="FootnoteReference"/>
          <w:rFonts w:asciiTheme="majorHAnsi" w:hAnsiTheme="majorHAnsi" w:cstheme="majorHAnsi"/>
          <w:sz w:val="16"/>
          <w:szCs w:val="16"/>
          <w:lang w:val="ro-MD"/>
        </w:rPr>
        <w:footnoteRef/>
      </w:r>
      <w:r w:rsidRPr="002111E6">
        <w:rPr>
          <w:rFonts w:asciiTheme="majorHAnsi" w:hAnsiTheme="majorHAnsi" w:cstheme="majorHAnsi"/>
          <w:sz w:val="16"/>
          <w:szCs w:val="16"/>
          <w:lang w:val="ro-MD"/>
        </w:rPr>
        <w:t xml:space="preserve"> La 27.03.2020 și la 24.04.2020.</w:t>
      </w:r>
    </w:p>
  </w:footnote>
  <w:footnote w:id="53">
    <w:p w:rsidR="00C65A33" w:rsidRPr="002111E6" w:rsidRDefault="00C65A33" w:rsidP="002111E6">
      <w:pPr>
        <w:pStyle w:val="FootnoteText"/>
        <w:spacing w:after="0"/>
        <w:jc w:val="both"/>
        <w:rPr>
          <w:rFonts w:asciiTheme="majorHAnsi" w:hAnsiTheme="majorHAnsi" w:cstheme="majorHAnsi"/>
          <w:sz w:val="16"/>
          <w:szCs w:val="16"/>
        </w:rPr>
      </w:pPr>
      <w:r w:rsidRPr="002111E6">
        <w:rPr>
          <w:rStyle w:val="FootnoteReference"/>
          <w:rFonts w:asciiTheme="majorHAnsi" w:hAnsiTheme="majorHAnsi" w:cstheme="majorHAnsi"/>
          <w:sz w:val="16"/>
          <w:szCs w:val="16"/>
        </w:rPr>
        <w:footnoteRef/>
      </w:r>
      <w:r w:rsidRPr="002111E6">
        <w:rPr>
          <w:rFonts w:asciiTheme="majorHAnsi" w:hAnsiTheme="majorHAnsi" w:cstheme="majorHAnsi"/>
          <w:sz w:val="16"/>
          <w:szCs w:val="16"/>
        </w:rPr>
        <w:t xml:space="preserve"> </w:t>
      </w:r>
      <w:r w:rsidRPr="002111E6">
        <w:rPr>
          <w:rFonts w:asciiTheme="majorHAnsi" w:hAnsiTheme="majorHAnsi" w:cstheme="majorHAnsi"/>
          <w:sz w:val="16"/>
          <w:szCs w:val="16"/>
          <w:lang w:val="ro-MD"/>
        </w:rPr>
        <w:t>Scrisoarea nr. 26/2-10/3-21/566 din 25.06.2020</w:t>
      </w:r>
      <w:r>
        <w:rPr>
          <w:rFonts w:asciiTheme="majorHAnsi" w:hAnsiTheme="majorHAnsi" w:cstheme="majorHAnsi"/>
          <w:sz w:val="16"/>
          <w:szCs w:val="16"/>
          <w:lang w:val="ro-MD"/>
        </w:rPr>
        <w:t>.</w:t>
      </w:r>
    </w:p>
  </w:footnote>
  <w:footnote w:id="54">
    <w:p w:rsidR="00C65A33" w:rsidRPr="002111E6" w:rsidRDefault="00C65A33" w:rsidP="002111E6">
      <w:pPr>
        <w:pStyle w:val="FootnoteText"/>
        <w:spacing w:after="0"/>
        <w:jc w:val="both"/>
        <w:rPr>
          <w:rFonts w:asciiTheme="majorHAnsi" w:hAnsiTheme="majorHAnsi" w:cstheme="majorHAnsi"/>
          <w:sz w:val="16"/>
          <w:szCs w:val="16"/>
        </w:rPr>
      </w:pPr>
      <w:r w:rsidRPr="002111E6">
        <w:rPr>
          <w:rStyle w:val="FootnoteReference"/>
          <w:rFonts w:asciiTheme="majorHAnsi" w:hAnsiTheme="majorHAnsi" w:cstheme="majorHAnsi"/>
          <w:sz w:val="16"/>
          <w:szCs w:val="16"/>
        </w:rPr>
        <w:footnoteRef/>
      </w:r>
      <w:r w:rsidRPr="002111E6">
        <w:rPr>
          <w:rFonts w:asciiTheme="majorHAnsi" w:hAnsiTheme="majorHAnsi" w:cstheme="majorHAnsi"/>
          <w:sz w:val="16"/>
          <w:szCs w:val="16"/>
        </w:rPr>
        <w:t xml:space="preserve"> </w:t>
      </w:r>
      <w:r w:rsidRPr="002111E6">
        <w:rPr>
          <w:rFonts w:asciiTheme="majorHAnsi" w:hAnsiTheme="majorHAnsi" w:cstheme="majorHAnsi"/>
          <w:sz w:val="16"/>
          <w:szCs w:val="16"/>
          <w:lang w:val="ro-MD"/>
        </w:rPr>
        <w:t>Scrisoarea</w:t>
      </w:r>
      <w:r w:rsidRPr="002111E6">
        <w:rPr>
          <w:rFonts w:asciiTheme="majorHAnsi" w:hAnsiTheme="majorHAnsi" w:cstheme="majorHAnsi"/>
          <w:sz w:val="16"/>
          <w:szCs w:val="16"/>
        </w:rPr>
        <w:t xml:space="preserve"> </w:t>
      </w:r>
      <w:proofErr w:type="spellStart"/>
      <w:r>
        <w:rPr>
          <w:rFonts w:asciiTheme="majorHAnsi" w:hAnsiTheme="majorHAnsi" w:cstheme="majorHAnsi"/>
          <w:sz w:val="16"/>
          <w:szCs w:val="16"/>
        </w:rPr>
        <w:t>nr</w:t>
      </w:r>
      <w:proofErr w:type="spellEnd"/>
      <w:r>
        <w:rPr>
          <w:rFonts w:asciiTheme="majorHAnsi" w:hAnsiTheme="majorHAnsi" w:cstheme="majorHAnsi"/>
          <w:sz w:val="16"/>
          <w:szCs w:val="16"/>
        </w:rPr>
        <w:t xml:space="preserve">. </w:t>
      </w:r>
      <w:r w:rsidRPr="002111E6">
        <w:rPr>
          <w:rFonts w:asciiTheme="majorHAnsi" w:hAnsiTheme="majorHAnsi" w:cstheme="majorHAnsi"/>
          <w:sz w:val="16"/>
          <w:szCs w:val="16"/>
        </w:rPr>
        <w:t>021s-78/20 din 30.06.2020</w:t>
      </w:r>
      <w:r>
        <w:rPr>
          <w:rFonts w:asciiTheme="majorHAnsi" w:hAnsiTheme="majorHAnsi" w:cstheme="majorHAnsi"/>
          <w:sz w:val="16"/>
          <w:szCs w:val="16"/>
        </w:rPr>
        <w:t>.</w:t>
      </w:r>
    </w:p>
  </w:footnote>
  <w:footnote w:id="55">
    <w:p w:rsidR="00C65A33" w:rsidRPr="00010C4C" w:rsidRDefault="00C65A33" w:rsidP="002111E6">
      <w:pPr>
        <w:pStyle w:val="FootnoteText"/>
        <w:jc w:val="both"/>
        <w:rPr>
          <w:rFonts w:asciiTheme="minorHAnsi" w:hAnsiTheme="minorHAnsi" w:cstheme="minorHAnsi"/>
          <w:sz w:val="18"/>
          <w:szCs w:val="18"/>
          <w:lang w:val="ro-MD"/>
        </w:rPr>
      </w:pPr>
      <w:r w:rsidRPr="002111E6">
        <w:rPr>
          <w:rStyle w:val="FootnoteReference"/>
          <w:rFonts w:asciiTheme="majorHAnsi" w:hAnsiTheme="majorHAnsi" w:cstheme="majorHAnsi"/>
          <w:sz w:val="16"/>
          <w:szCs w:val="16"/>
        </w:rPr>
        <w:footnoteRef/>
      </w:r>
      <w:r w:rsidRPr="002111E6">
        <w:rPr>
          <w:rFonts w:asciiTheme="majorHAnsi" w:hAnsiTheme="majorHAnsi" w:cstheme="majorHAnsi"/>
          <w:sz w:val="16"/>
          <w:szCs w:val="16"/>
        </w:rPr>
        <w:t xml:space="preserve"> </w:t>
      </w:r>
      <w:r w:rsidRPr="002111E6">
        <w:rPr>
          <w:rFonts w:asciiTheme="majorHAnsi" w:hAnsiTheme="majorHAnsi" w:cstheme="majorHAnsi"/>
          <w:sz w:val="16"/>
          <w:szCs w:val="16"/>
          <w:lang w:val="ro-MD"/>
        </w:rPr>
        <w:t>Acord</w:t>
      </w:r>
      <w:r>
        <w:rPr>
          <w:rFonts w:asciiTheme="majorHAnsi" w:hAnsiTheme="majorHAnsi" w:cstheme="majorHAnsi"/>
          <w:sz w:val="16"/>
          <w:szCs w:val="16"/>
          <w:lang w:val="ro-MD"/>
        </w:rPr>
        <w:t>ul</w:t>
      </w:r>
      <w:r w:rsidRPr="002111E6">
        <w:rPr>
          <w:rFonts w:asciiTheme="majorHAnsi" w:hAnsiTheme="majorHAnsi" w:cstheme="majorHAnsi"/>
          <w:sz w:val="16"/>
          <w:szCs w:val="16"/>
          <w:lang w:val="ro-MD"/>
        </w:rPr>
        <w:t xml:space="preserve"> de reziliere a contractului de prestare a serviciilor de vânzare în comision a bunurilor sechestrate (nr. 1-021/20 din 27.02.2020</w:t>
      </w:r>
      <w:r>
        <w:rPr>
          <w:rFonts w:asciiTheme="majorHAnsi" w:hAnsiTheme="majorHAnsi" w:cstheme="majorHAnsi"/>
          <w:sz w:val="16"/>
          <w:szCs w:val="16"/>
          <w:lang w:val="ro-MD"/>
        </w:rPr>
        <w:t>)</w:t>
      </w:r>
      <w:r w:rsidRPr="002111E6">
        <w:rPr>
          <w:rFonts w:asciiTheme="majorHAnsi" w:hAnsiTheme="majorHAnsi" w:cstheme="majorHAnsi"/>
          <w:sz w:val="16"/>
          <w:szCs w:val="16"/>
          <w:lang w:val="ro-MD"/>
        </w:rPr>
        <w:t>.</w:t>
      </w:r>
    </w:p>
  </w:footnote>
  <w:footnote w:id="56">
    <w:p w:rsidR="00C65A33" w:rsidRPr="002111E6" w:rsidRDefault="00C65A33" w:rsidP="00D23939">
      <w:pPr>
        <w:pStyle w:val="FootnoteText"/>
        <w:spacing w:after="0"/>
        <w:jc w:val="both"/>
        <w:rPr>
          <w:rFonts w:asciiTheme="majorHAnsi" w:hAnsiTheme="majorHAnsi" w:cstheme="majorHAnsi"/>
          <w:sz w:val="16"/>
          <w:szCs w:val="16"/>
        </w:rPr>
      </w:pPr>
      <w:r w:rsidRPr="002111E6">
        <w:rPr>
          <w:rStyle w:val="FootnoteReference"/>
          <w:rFonts w:asciiTheme="majorHAnsi" w:hAnsiTheme="majorHAnsi" w:cstheme="majorHAnsi"/>
          <w:sz w:val="16"/>
          <w:szCs w:val="16"/>
        </w:rPr>
        <w:footnoteRef/>
      </w:r>
      <w:r w:rsidRPr="002111E6">
        <w:rPr>
          <w:rFonts w:asciiTheme="majorHAnsi" w:hAnsiTheme="majorHAnsi" w:cstheme="majorHAnsi"/>
          <w:sz w:val="16"/>
          <w:szCs w:val="16"/>
        </w:rPr>
        <w:t xml:space="preserve"> </w:t>
      </w:r>
      <w:r w:rsidRPr="002111E6">
        <w:rPr>
          <w:rFonts w:asciiTheme="majorHAnsi" w:hAnsiTheme="majorHAnsi" w:cstheme="majorHAnsi"/>
          <w:sz w:val="16"/>
          <w:szCs w:val="16"/>
          <w:lang w:val="ro-MD"/>
        </w:rPr>
        <w:t>Pct.5.5.1</w:t>
      </w:r>
      <w:r>
        <w:rPr>
          <w:rFonts w:asciiTheme="majorHAnsi" w:hAnsiTheme="majorHAnsi" w:cstheme="majorHAnsi"/>
          <w:sz w:val="16"/>
          <w:szCs w:val="16"/>
          <w:lang w:val="ro-MD"/>
        </w:rPr>
        <w:t>.</w:t>
      </w:r>
      <w:r w:rsidRPr="002111E6">
        <w:rPr>
          <w:rFonts w:asciiTheme="majorHAnsi" w:hAnsiTheme="majorHAnsi" w:cstheme="majorHAnsi"/>
          <w:sz w:val="16"/>
          <w:szCs w:val="16"/>
          <w:lang w:val="ro-MD"/>
        </w:rPr>
        <w:t xml:space="preserve">  </w:t>
      </w:r>
      <w:proofErr w:type="spellStart"/>
      <w:r w:rsidRPr="002111E6">
        <w:rPr>
          <w:rFonts w:asciiTheme="majorHAnsi" w:hAnsiTheme="majorHAnsi" w:cstheme="majorHAnsi"/>
          <w:sz w:val="16"/>
          <w:szCs w:val="16"/>
          <w:lang w:val="ro-MD"/>
        </w:rPr>
        <w:t>lit.c</w:t>
      </w:r>
      <w:proofErr w:type="spellEnd"/>
      <w:r w:rsidRPr="002111E6">
        <w:rPr>
          <w:rFonts w:asciiTheme="majorHAnsi" w:hAnsiTheme="majorHAnsi" w:cstheme="majorHAnsi"/>
          <w:sz w:val="16"/>
          <w:szCs w:val="16"/>
          <w:lang w:val="ro-MD"/>
        </w:rPr>
        <w:t>) din Strategia de dezvoltare a managementului finanțelor publice 2013-2020,</w:t>
      </w:r>
      <w:r w:rsidRPr="002111E6">
        <w:rPr>
          <w:rFonts w:asciiTheme="majorHAnsi" w:hAnsiTheme="majorHAnsi" w:cstheme="majorHAnsi"/>
          <w:sz w:val="16"/>
          <w:szCs w:val="16"/>
        </w:rPr>
        <w:t xml:space="preserve"> a</w:t>
      </w:r>
      <w:r w:rsidRPr="002111E6">
        <w:rPr>
          <w:rFonts w:asciiTheme="majorHAnsi" w:hAnsiTheme="majorHAnsi" w:cstheme="majorHAnsi"/>
          <w:sz w:val="16"/>
          <w:szCs w:val="16"/>
          <w:lang w:val="ro-MD"/>
        </w:rPr>
        <w:t>probată prin Hotăr</w:t>
      </w:r>
      <w:r>
        <w:rPr>
          <w:rFonts w:asciiTheme="majorHAnsi" w:hAnsiTheme="majorHAnsi" w:cstheme="majorHAnsi"/>
          <w:sz w:val="16"/>
          <w:szCs w:val="16"/>
          <w:lang w:val="ro-MD"/>
        </w:rPr>
        <w:t>â</w:t>
      </w:r>
      <w:r w:rsidRPr="002111E6">
        <w:rPr>
          <w:rFonts w:asciiTheme="majorHAnsi" w:hAnsiTheme="majorHAnsi" w:cstheme="majorHAnsi"/>
          <w:sz w:val="16"/>
          <w:szCs w:val="16"/>
          <w:lang w:val="ro-MD"/>
        </w:rPr>
        <w:t>rea Guvernului nr.573 din 06.08.2013</w:t>
      </w:r>
      <w:r>
        <w:rPr>
          <w:rFonts w:asciiTheme="majorHAnsi" w:hAnsiTheme="majorHAnsi" w:cstheme="majorHAnsi"/>
          <w:sz w:val="16"/>
          <w:szCs w:val="16"/>
          <w:lang w:val="ro-MD"/>
        </w:rPr>
        <w:t>.</w:t>
      </w:r>
    </w:p>
  </w:footnote>
  <w:footnote w:id="57">
    <w:p w:rsidR="00C65A33" w:rsidRPr="002111E6" w:rsidRDefault="00C65A33" w:rsidP="002111E6">
      <w:pPr>
        <w:pStyle w:val="FootnoteText"/>
        <w:spacing w:after="0"/>
        <w:jc w:val="both"/>
        <w:rPr>
          <w:rFonts w:asciiTheme="majorHAnsi" w:hAnsiTheme="majorHAnsi" w:cstheme="majorHAnsi"/>
          <w:sz w:val="16"/>
          <w:szCs w:val="16"/>
          <w:lang w:val="ro-MD"/>
        </w:rPr>
      </w:pPr>
      <w:r w:rsidRPr="002111E6">
        <w:rPr>
          <w:rStyle w:val="FootnoteReference"/>
          <w:rFonts w:asciiTheme="majorHAnsi" w:hAnsiTheme="majorHAnsi" w:cstheme="majorHAnsi"/>
          <w:sz w:val="16"/>
          <w:szCs w:val="16"/>
        </w:rPr>
        <w:footnoteRef/>
      </w:r>
      <w:r w:rsidRPr="002111E6">
        <w:rPr>
          <w:rFonts w:asciiTheme="majorHAnsi" w:hAnsiTheme="majorHAnsi" w:cstheme="majorHAnsi"/>
          <w:sz w:val="16"/>
          <w:szCs w:val="16"/>
        </w:rPr>
        <w:t xml:space="preserve"> R 320</w:t>
      </w:r>
      <w:r>
        <w:rPr>
          <w:rFonts w:asciiTheme="majorHAnsi" w:hAnsiTheme="majorHAnsi" w:cstheme="majorHAnsi"/>
          <w:sz w:val="16"/>
          <w:szCs w:val="16"/>
        </w:rPr>
        <w:t xml:space="preserve"> </w:t>
      </w:r>
      <w:r w:rsidRPr="002111E6">
        <w:rPr>
          <w:rFonts w:asciiTheme="majorHAnsi" w:hAnsiTheme="majorHAnsi" w:cstheme="majorHAnsi"/>
          <w:sz w:val="16"/>
          <w:szCs w:val="16"/>
        </w:rPr>
        <w:t xml:space="preserve">- M </w:t>
      </w:r>
      <w:r w:rsidRPr="002111E6">
        <w:rPr>
          <w:rFonts w:asciiTheme="majorHAnsi" w:hAnsiTheme="majorHAnsi" w:cstheme="majorHAnsi"/>
          <w:sz w:val="16"/>
          <w:szCs w:val="16"/>
          <w:lang w:val="ro-MD"/>
        </w:rPr>
        <w:t>- Divergențe la capitolul TVA aferentă importului.</w:t>
      </w:r>
    </w:p>
  </w:footnote>
  <w:footnote w:id="58">
    <w:p w:rsidR="00C65A33" w:rsidRPr="009126FE" w:rsidRDefault="00C65A33" w:rsidP="002111E6">
      <w:pPr>
        <w:pStyle w:val="FootnoteText"/>
        <w:spacing w:after="0"/>
        <w:jc w:val="both"/>
        <w:rPr>
          <w:lang w:val="ro-RO"/>
        </w:rPr>
      </w:pPr>
      <w:r w:rsidRPr="002111E6">
        <w:rPr>
          <w:rStyle w:val="FootnoteReference"/>
          <w:rFonts w:asciiTheme="majorHAnsi" w:hAnsiTheme="majorHAnsi" w:cstheme="majorHAnsi"/>
          <w:sz w:val="16"/>
          <w:szCs w:val="16"/>
          <w:lang w:val="ro-MD"/>
        </w:rPr>
        <w:footnoteRef/>
      </w:r>
      <w:r w:rsidRPr="002111E6">
        <w:rPr>
          <w:rFonts w:asciiTheme="majorHAnsi" w:hAnsiTheme="majorHAnsi" w:cstheme="majorHAnsi"/>
          <w:sz w:val="16"/>
          <w:szCs w:val="16"/>
          <w:lang w:val="ro-MD"/>
        </w:rPr>
        <w:t xml:space="preserve"> R213</w:t>
      </w:r>
      <w:r>
        <w:rPr>
          <w:rFonts w:asciiTheme="majorHAnsi" w:hAnsiTheme="majorHAnsi" w:cstheme="majorHAnsi"/>
          <w:sz w:val="16"/>
          <w:szCs w:val="16"/>
          <w:lang w:val="ro-MD"/>
        </w:rPr>
        <w:t xml:space="preserve"> </w:t>
      </w:r>
      <w:r w:rsidRPr="002111E6">
        <w:rPr>
          <w:rFonts w:asciiTheme="majorHAnsi" w:hAnsiTheme="majorHAnsi" w:cstheme="majorHAnsi"/>
          <w:sz w:val="16"/>
          <w:szCs w:val="16"/>
          <w:lang w:val="ro-MD"/>
        </w:rPr>
        <w:t xml:space="preserve">- Neprezentarea dărilor </w:t>
      </w:r>
      <w:r w:rsidRPr="00F5250B">
        <w:rPr>
          <w:rFonts w:asciiTheme="majorHAnsi" w:hAnsiTheme="majorHAnsi" w:cstheme="majorHAnsi"/>
          <w:sz w:val="16"/>
          <w:szCs w:val="16"/>
          <w:lang w:val="ro-MD"/>
        </w:rPr>
        <w:t>de seamă</w:t>
      </w:r>
      <w:r w:rsidRPr="00D570C0">
        <w:rPr>
          <w:rFonts w:asciiTheme="majorHAnsi" w:hAnsiTheme="majorHAnsi" w:cstheme="majorHAnsi"/>
          <w:sz w:val="16"/>
          <w:szCs w:val="16"/>
          <w:lang w:val="ro-MD"/>
        </w:rPr>
        <w:t xml:space="preserve"> privind</w:t>
      </w:r>
      <w:r w:rsidRPr="002111E6">
        <w:rPr>
          <w:rFonts w:asciiTheme="majorHAnsi" w:hAnsiTheme="majorHAnsi" w:cstheme="majorHAnsi"/>
          <w:sz w:val="16"/>
          <w:szCs w:val="16"/>
          <w:lang w:val="ro-MD"/>
        </w:rPr>
        <w:t xml:space="preserve"> reținerea</w:t>
      </w:r>
      <w:r w:rsidRPr="002111E6">
        <w:rPr>
          <w:rFonts w:asciiTheme="majorHAnsi" w:hAnsiTheme="majorHAnsi" w:cstheme="majorHAnsi"/>
          <w:sz w:val="16"/>
          <w:szCs w:val="16"/>
          <w:lang w:val="ro-RO"/>
        </w:rPr>
        <w:t xml:space="preserve"> impozitului pe venit, a primelor de asigurare obligatorie de asistență </w:t>
      </w:r>
      <w:r w:rsidRPr="002111E6">
        <w:rPr>
          <w:rFonts w:asciiTheme="majorHAnsi" w:hAnsiTheme="majorHAnsi" w:cstheme="majorHAnsi"/>
          <w:sz w:val="16"/>
          <w:szCs w:val="16"/>
          <w:lang w:val="ro-MD"/>
        </w:rPr>
        <w:t>medicală și a contribuțiilor de asigurări sociale de stat obligatorii calculate (forma IPC18);</w:t>
      </w:r>
      <w:r>
        <w:rPr>
          <w:rFonts w:asciiTheme="majorHAnsi" w:hAnsiTheme="majorHAnsi" w:cstheme="majorHAnsi"/>
          <w:sz w:val="16"/>
          <w:szCs w:val="16"/>
          <w:lang w:val="ro-MD"/>
        </w:rPr>
        <w:t xml:space="preserve"> </w:t>
      </w:r>
      <w:r w:rsidRPr="002111E6">
        <w:rPr>
          <w:rFonts w:asciiTheme="majorHAnsi" w:hAnsiTheme="majorHAnsi" w:cstheme="majorHAnsi"/>
          <w:sz w:val="16"/>
          <w:szCs w:val="16"/>
          <w:lang w:val="ro-MD"/>
        </w:rPr>
        <w:t>R 214</w:t>
      </w:r>
      <w:r>
        <w:rPr>
          <w:rFonts w:asciiTheme="majorHAnsi" w:hAnsiTheme="majorHAnsi" w:cstheme="majorHAnsi"/>
          <w:sz w:val="16"/>
          <w:szCs w:val="16"/>
          <w:lang w:val="ro-MD"/>
        </w:rPr>
        <w:t xml:space="preserve"> </w:t>
      </w:r>
      <w:r w:rsidRPr="002111E6">
        <w:rPr>
          <w:rFonts w:asciiTheme="majorHAnsi" w:hAnsiTheme="majorHAnsi" w:cstheme="majorHAnsi"/>
          <w:sz w:val="16"/>
          <w:szCs w:val="16"/>
          <w:lang w:val="ro-MD"/>
        </w:rPr>
        <w:t>- Prezentarea tardivă a formei IPC18;</w:t>
      </w:r>
      <w:r>
        <w:rPr>
          <w:rFonts w:asciiTheme="majorHAnsi" w:hAnsiTheme="majorHAnsi" w:cstheme="majorHAnsi"/>
          <w:sz w:val="16"/>
          <w:szCs w:val="16"/>
          <w:lang w:val="ro-MD"/>
        </w:rPr>
        <w:t xml:space="preserve"> </w:t>
      </w:r>
      <w:r w:rsidRPr="002111E6">
        <w:rPr>
          <w:rFonts w:asciiTheme="majorHAnsi" w:hAnsiTheme="majorHAnsi" w:cstheme="majorHAnsi"/>
          <w:sz w:val="16"/>
          <w:szCs w:val="16"/>
          <w:lang w:val="ro-MD"/>
        </w:rPr>
        <w:t xml:space="preserve">R 215 </w:t>
      </w:r>
      <w:r>
        <w:rPr>
          <w:rFonts w:asciiTheme="majorHAnsi" w:hAnsiTheme="majorHAnsi" w:cstheme="majorHAnsi"/>
          <w:sz w:val="16"/>
          <w:szCs w:val="16"/>
          <w:lang w:val="ro-MD"/>
        </w:rPr>
        <w:t xml:space="preserve">- </w:t>
      </w:r>
      <w:r w:rsidRPr="002111E6">
        <w:rPr>
          <w:rFonts w:asciiTheme="majorHAnsi" w:hAnsiTheme="majorHAnsi" w:cstheme="majorHAnsi"/>
          <w:sz w:val="16"/>
          <w:szCs w:val="16"/>
          <w:lang w:val="ro-MD"/>
        </w:rPr>
        <w:t>Prezentarea corectată a formei IPC18;</w:t>
      </w:r>
      <w:r>
        <w:rPr>
          <w:rFonts w:asciiTheme="majorHAnsi" w:hAnsiTheme="majorHAnsi" w:cstheme="majorHAnsi"/>
          <w:sz w:val="16"/>
          <w:szCs w:val="16"/>
          <w:lang w:val="ro-MD"/>
        </w:rPr>
        <w:t xml:space="preserve"> </w:t>
      </w:r>
      <w:r w:rsidRPr="002111E6">
        <w:rPr>
          <w:rFonts w:asciiTheme="majorHAnsi" w:hAnsiTheme="majorHAnsi" w:cstheme="majorHAnsi"/>
          <w:sz w:val="16"/>
          <w:szCs w:val="16"/>
          <w:lang w:val="ro-MD"/>
        </w:rPr>
        <w:t>R 216</w:t>
      </w:r>
      <w:r>
        <w:rPr>
          <w:rFonts w:asciiTheme="majorHAnsi" w:hAnsiTheme="majorHAnsi" w:cstheme="majorHAnsi"/>
          <w:sz w:val="16"/>
          <w:szCs w:val="16"/>
          <w:lang w:val="ro-MD"/>
        </w:rPr>
        <w:t xml:space="preserve"> </w:t>
      </w:r>
      <w:r w:rsidRPr="002111E6">
        <w:rPr>
          <w:rFonts w:asciiTheme="majorHAnsi" w:hAnsiTheme="majorHAnsi" w:cstheme="majorHAnsi"/>
          <w:sz w:val="16"/>
          <w:szCs w:val="16"/>
          <w:lang w:val="ro-MD"/>
        </w:rPr>
        <w:t>- Divergențe privind numărul de persoane asigurate de la o perioadă fiscală la alta;</w:t>
      </w:r>
      <w:r>
        <w:rPr>
          <w:rFonts w:asciiTheme="majorHAnsi" w:hAnsiTheme="majorHAnsi" w:cstheme="majorHAnsi"/>
          <w:sz w:val="16"/>
          <w:szCs w:val="16"/>
          <w:lang w:val="ro-MD"/>
        </w:rPr>
        <w:t xml:space="preserve"> </w:t>
      </w:r>
      <w:r w:rsidRPr="002111E6">
        <w:rPr>
          <w:rFonts w:asciiTheme="majorHAnsi" w:hAnsiTheme="majorHAnsi" w:cstheme="majorHAnsi"/>
          <w:color w:val="1F3864" w:themeColor="accent5" w:themeShade="80"/>
          <w:sz w:val="16"/>
          <w:szCs w:val="16"/>
          <w:lang w:val="ro-MD"/>
        </w:rPr>
        <w:t>R 319</w:t>
      </w:r>
      <w:r w:rsidRPr="002111E6">
        <w:rPr>
          <w:rFonts w:asciiTheme="majorHAnsi" w:hAnsiTheme="majorHAnsi" w:cstheme="majorHAnsi"/>
          <w:sz w:val="16"/>
          <w:szCs w:val="16"/>
          <w:lang w:val="ro-MD"/>
        </w:rPr>
        <w:t xml:space="preserve"> </w:t>
      </w:r>
      <w:r>
        <w:rPr>
          <w:rFonts w:asciiTheme="majorHAnsi" w:hAnsiTheme="majorHAnsi" w:cstheme="majorHAnsi"/>
          <w:sz w:val="16"/>
          <w:szCs w:val="16"/>
          <w:lang w:val="ro-MD"/>
        </w:rPr>
        <w:t>-</w:t>
      </w:r>
      <w:r w:rsidRPr="002111E6">
        <w:rPr>
          <w:rFonts w:asciiTheme="majorHAnsi" w:hAnsiTheme="majorHAnsi" w:cstheme="majorHAnsi"/>
          <w:sz w:val="16"/>
          <w:szCs w:val="16"/>
          <w:lang w:val="ro-MD"/>
        </w:rPr>
        <w:t xml:space="preserve"> </w:t>
      </w:r>
      <w:r>
        <w:rPr>
          <w:rFonts w:asciiTheme="majorHAnsi" w:hAnsiTheme="majorHAnsi" w:cstheme="majorHAnsi"/>
          <w:sz w:val="16"/>
          <w:szCs w:val="16"/>
          <w:lang w:val="ro-MD"/>
        </w:rPr>
        <w:t>E</w:t>
      </w:r>
      <w:r w:rsidRPr="002111E6">
        <w:rPr>
          <w:rFonts w:asciiTheme="majorHAnsi" w:hAnsiTheme="majorHAnsi" w:cstheme="majorHAnsi"/>
          <w:sz w:val="16"/>
          <w:szCs w:val="16"/>
          <w:lang w:val="ro-MD"/>
        </w:rPr>
        <w:t>xportator cu risc;</w:t>
      </w:r>
      <w:r>
        <w:rPr>
          <w:rFonts w:asciiTheme="majorHAnsi" w:hAnsiTheme="majorHAnsi" w:cstheme="majorHAnsi"/>
          <w:sz w:val="16"/>
          <w:szCs w:val="16"/>
          <w:lang w:val="ro-MD"/>
        </w:rPr>
        <w:t xml:space="preserve"> </w:t>
      </w:r>
      <w:r w:rsidRPr="002111E6">
        <w:rPr>
          <w:rFonts w:asciiTheme="majorHAnsi" w:hAnsiTheme="majorHAnsi" w:cstheme="majorHAnsi"/>
          <w:sz w:val="16"/>
          <w:szCs w:val="16"/>
          <w:lang w:val="ro-MD"/>
        </w:rPr>
        <w:t xml:space="preserve">R 321 </w:t>
      </w:r>
      <w:r>
        <w:rPr>
          <w:rFonts w:asciiTheme="majorHAnsi" w:hAnsiTheme="majorHAnsi" w:cstheme="majorHAnsi"/>
          <w:sz w:val="16"/>
          <w:szCs w:val="16"/>
          <w:lang w:val="ro-MD"/>
        </w:rPr>
        <w:t>-</w:t>
      </w:r>
      <w:r w:rsidRPr="002111E6">
        <w:rPr>
          <w:rFonts w:asciiTheme="majorHAnsi" w:hAnsiTheme="majorHAnsi" w:cstheme="majorHAnsi"/>
          <w:sz w:val="16"/>
          <w:szCs w:val="16"/>
          <w:lang w:val="ro-MD"/>
        </w:rPr>
        <w:t xml:space="preserve"> Divergențe </w:t>
      </w:r>
      <w:r>
        <w:rPr>
          <w:rFonts w:asciiTheme="majorHAnsi" w:hAnsiTheme="majorHAnsi" w:cstheme="majorHAnsi"/>
          <w:sz w:val="16"/>
          <w:szCs w:val="16"/>
          <w:lang w:val="ro-MD"/>
        </w:rPr>
        <w:t>î</w:t>
      </w:r>
      <w:r w:rsidRPr="002111E6">
        <w:rPr>
          <w:rFonts w:asciiTheme="majorHAnsi" w:hAnsiTheme="majorHAnsi" w:cstheme="majorHAnsi"/>
          <w:sz w:val="16"/>
          <w:szCs w:val="16"/>
          <w:lang w:val="ro-MD"/>
        </w:rPr>
        <w:t xml:space="preserve">n informațiile privind trecerea </w:t>
      </w:r>
      <w:r w:rsidRPr="00481C66">
        <w:rPr>
          <w:rFonts w:asciiTheme="majorHAnsi" w:hAnsiTheme="majorHAnsi" w:cstheme="majorHAnsi"/>
          <w:sz w:val="16"/>
          <w:szCs w:val="16"/>
          <w:lang w:val="ro-MD"/>
        </w:rPr>
        <w:t>în cont a TVA.</w:t>
      </w:r>
      <w:r w:rsidRPr="009126FE">
        <w:rPr>
          <w:lang w:val="ro-MD"/>
        </w:rPr>
        <w:tab/>
      </w:r>
    </w:p>
  </w:footnote>
  <w:footnote w:id="59">
    <w:p w:rsidR="00C65A33" w:rsidRPr="00CB05B8" w:rsidRDefault="00C65A33" w:rsidP="00CB05B8">
      <w:pPr>
        <w:pStyle w:val="FootnoteText"/>
        <w:spacing w:after="0" w:line="240" w:lineRule="auto"/>
        <w:jc w:val="both"/>
        <w:rPr>
          <w:rFonts w:asciiTheme="majorHAnsi" w:hAnsiTheme="majorHAnsi" w:cstheme="majorHAnsi"/>
          <w:sz w:val="16"/>
          <w:szCs w:val="16"/>
          <w:lang w:val="ro-MD"/>
        </w:rPr>
      </w:pPr>
      <w:r w:rsidRPr="00CB05B8">
        <w:rPr>
          <w:rStyle w:val="FootnoteReference"/>
          <w:rFonts w:asciiTheme="majorHAnsi" w:hAnsiTheme="majorHAnsi" w:cstheme="majorHAnsi"/>
          <w:sz w:val="16"/>
          <w:szCs w:val="16"/>
        </w:rPr>
        <w:footnoteRef/>
      </w:r>
      <w:r w:rsidRPr="00CB05B8">
        <w:rPr>
          <w:rFonts w:asciiTheme="majorHAnsi" w:hAnsiTheme="majorHAnsi" w:cstheme="majorHAnsi"/>
          <w:sz w:val="16"/>
          <w:szCs w:val="16"/>
        </w:rPr>
        <w:t xml:space="preserve"> </w:t>
      </w:r>
      <w:r w:rsidRPr="00CB05B8">
        <w:rPr>
          <w:rFonts w:asciiTheme="majorHAnsi" w:hAnsiTheme="majorHAnsi" w:cstheme="majorHAnsi"/>
          <w:sz w:val="16"/>
          <w:szCs w:val="16"/>
          <w:lang w:val="ro-MD"/>
        </w:rPr>
        <w:t xml:space="preserve">Prevăzute în </w:t>
      </w:r>
      <w:r w:rsidRPr="00CB05B8">
        <w:rPr>
          <w:rFonts w:asciiTheme="majorHAnsi" w:eastAsiaTheme="minorEastAsia" w:hAnsiTheme="majorHAnsi" w:cstheme="majorHAnsi"/>
          <w:sz w:val="16"/>
          <w:szCs w:val="16"/>
          <w:lang w:val="ro-MD"/>
        </w:rPr>
        <w:t>art</w:t>
      </w:r>
      <w:r>
        <w:rPr>
          <w:rFonts w:asciiTheme="majorHAnsi" w:eastAsiaTheme="minorEastAsia" w:hAnsiTheme="majorHAnsi" w:cstheme="majorHAnsi"/>
          <w:sz w:val="16"/>
          <w:szCs w:val="16"/>
          <w:lang w:val="ro-MD"/>
        </w:rPr>
        <w:t>icolele</w:t>
      </w:r>
      <w:r w:rsidRPr="00CB05B8">
        <w:rPr>
          <w:rFonts w:asciiTheme="majorHAnsi" w:eastAsiaTheme="minorEastAsia" w:hAnsiTheme="majorHAnsi" w:cstheme="majorHAnsi"/>
          <w:sz w:val="16"/>
          <w:szCs w:val="16"/>
          <w:lang w:val="ro-MD"/>
        </w:rPr>
        <w:t xml:space="preserve"> 241–242, 244, 244</w:t>
      </w:r>
      <w:r w:rsidRPr="00CB05B8">
        <w:rPr>
          <w:rFonts w:asciiTheme="majorHAnsi" w:eastAsiaTheme="minorEastAsia" w:hAnsiTheme="majorHAnsi" w:cstheme="majorHAnsi"/>
          <w:sz w:val="16"/>
          <w:szCs w:val="16"/>
          <w:vertAlign w:val="superscript"/>
          <w:lang w:val="ro-MD"/>
        </w:rPr>
        <w:t>1</w:t>
      </w:r>
      <w:r w:rsidRPr="00CB05B8">
        <w:rPr>
          <w:rFonts w:asciiTheme="majorHAnsi" w:eastAsiaTheme="minorEastAsia" w:hAnsiTheme="majorHAnsi" w:cstheme="majorHAnsi"/>
          <w:sz w:val="16"/>
          <w:szCs w:val="16"/>
          <w:lang w:val="ro-MD"/>
        </w:rPr>
        <w:t>, 250–253 și 335</w:t>
      </w:r>
      <w:r w:rsidRPr="00CB05B8">
        <w:rPr>
          <w:rFonts w:asciiTheme="majorHAnsi" w:eastAsiaTheme="minorEastAsia" w:hAnsiTheme="majorHAnsi" w:cstheme="majorHAnsi"/>
          <w:sz w:val="16"/>
          <w:szCs w:val="16"/>
          <w:vertAlign w:val="superscript"/>
          <w:lang w:val="ro-MD"/>
        </w:rPr>
        <w:t>1</w:t>
      </w:r>
      <w:r w:rsidRPr="00CB05B8">
        <w:rPr>
          <w:rFonts w:asciiTheme="majorHAnsi" w:eastAsiaTheme="minorEastAsia" w:hAnsiTheme="majorHAnsi" w:cstheme="majorHAnsi"/>
          <w:sz w:val="16"/>
          <w:szCs w:val="16"/>
          <w:lang w:val="ro-MD"/>
        </w:rPr>
        <w:t xml:space="preserve"> din Codul penal</w:t>
      </w:r>
      <w:r>
        <w:rPr>
          <w:rFonts w:asciiTheme="majorHAnsi" w:eastAsiaTheme="minorEastAsia" w:hAnsiTheme="majorHAnsi" w:cstheme="majorHAnsi"/>
          <w:sz w:val="16"/>
          <w:szCs w:val="16"/>
          <w:lang w:val="ro-MD"/>
        </w:rPr>
        <w:t>.</w:t>
      </w:r>
    </w:p>
  </w:footnote>
  <w:footnote w:id="60">
    <w:p w:rsidR="00C65A33" w:rsidRPr="00BD35DB" w:rsidRDefault="00C65A33" w:rsidP="00CB05B8">
      <w:pPr>
        <w:pStyle w:val="NormalWeb"/>
        <w:spacing w:before="0" w:beforeAutospacing="0" w:after="0" w:afterAutospacing="0"/>
        <w:jc w:val="both"/>
        <w:rPr>
          <w:rFonts w:asciiTheme="minorHAnsi" w:eastAsiaTheme="minorHAnsi" w:hAnsiTheme="minorHAnsi" w:cstheme="minorHAnsi"/>
          <w:sz w:val="18"/>
          <w:szCs w:val="18"/>
          <w:lang w:val="ro-RO"/>
        </w:rPr>
      </w:pPr>
      <w:r w:rsidRPr="00CB05B8">
        <w:rPr>
          <w:rStyle w:val="FootnoteReference"/>
          <w:rFonts w:asciiTheme="majorHAnsi" w:hAnsiTheme="majorHAnsi" w:cstheme="majorHAnsi"/>
          <w:sz w:val="16"/>
          <w:szCs w:val="16"/>
          <w:lang w:val="ro-MD"/>
        </w:rPr>
        <w:footnoteRef/>
      </w:r>
      <w:r w:rsidRPr="00CB05B8">
        <w:rPr>
          <w:rFonts w:asciiTheme="majorHAnsi" w:hAnsiTheme="majorHAnsi" w:cstheme="majorHAnsi"/>
          <w:sz w:val="16"/>
          <w:szCs w:val="16"/>
          <w:lang w:val="ro-MD"/>
        </w:rPr>
        <w:t xml:space="preserve"> Constau în promovarea transparenței și răspunderii, economicității, eficienței și eficacit</w:t>
      </w:r>
      <w:r>
        <w:rPr>
          <w:rFonts w:asciiTheme="majorHAnsi" w:hAnsiTheme="majorHAnsi" w:cstheme="majorHAnsi"/>
          <w:sz w:val="16"/>
          <w:szCs w:val="16"/>
          <w:lang w:val="ro-MD"/>
        </w:rPr>
        <w:t>ății</w:t>
      </w:r>
      <w:r w:rsidRPr="00CB05B8">
        <w:rPr>
          <w:rFonts w:asciiTheme="majorHAnsi" w:hAnsiTheme="majorHAnsi" w:cstheme="majorHAnsi"/>
          <w:sz w:val="16"/>
          <w:szCs w:val="16"/>
          <w:lang w:val="ro-MD"/>
        </w:rPr>
        <w:t>, legalit</w:t>
      </w:r>
      <w:r>
        <w:rPr>
          <w:rFonts w:asciiTheme="majorHAnsi" w:hAnsiTheme="majorHAnsi" w:cstheme="majorHAnsi"/>
          <w:sz w:val="16"/>
          <w:szCs w:val="16"/>
          <w:lang w:val="ro-MD"/>
        </w:rPr>
        <w:t>ății</w:t>
      </w:r>
      <w:r w:rsidRPr="00CB05B8">
        <w:rPr>
          <w:rFonts w:asciiTheme="majorHAnsi" w:hAnsiTheme="majorHAnsi" w:cstheme="majorHAnsi"/>
          <w:sz w:val="16"/>
          <w:szCs w:val="16"/>
          <w:lang w:val="ro-MD"/>
        </w:rPr>
        <w:t>, echit</w:t>
      </w:r>
      <w:r>
        <w:rPr>
          <w:rFonts w:asciiTheme="majorHAnsi" w:hAnsiTheme="majorHAnsi" w:cstheme="majorHAnsi"/>
          <w:sz w:val="16"/>
          <w:szCs w:val="16"/>
          <w:lang w:val="ro-MD"/>
        </w:rPr>
        <w:t>ății</w:t>
      </w:r>
      <w:r w:rsidRPr="00CB05B8">
        <w:rPr>
          <w:rFonts w:asciiTheme="majorHAnsi" w:hAnsiTheme="majorHAnsi" w:cstheme="majorHAnsi"/>
          <w:sz w:val="16"/>
          <w:szCs w:val="16"/>
          <w:lang w:val="ro-MD"/>
        </w:rPr>
        <w:t>, etic</w:t>
      </w:r>
      <w:r>
        <w:rPr>
          <w:rFonts w:asciiTheme="majorHAnsi" w:hAnsiTheme="majorHAnsi" w:cstheme="majorHAnsi"/>
          <w:sz w:val="16"/>
          <w:szCs w:val="16"/>
          <w:lang w:val="ro-MD"/>
        </w:rPr>
        <w:t>ii</w:t>
      </w:r>
      <w:r w:rsidRPr="00CB05B8">
        <w:rPr>
          <w:rFonts w:asciiTheme="majorHAnsi" w:hAnsiTheme="majorHAnsi" w:cstheme="majorHAnsi"/>
          <w:sz w:val="16"/>
          <w:szCs w:val="16"/>
          <w:lang w:val="ro-MD"/>
        </w:rPr>
        <w:t xml:space="preserve"> și integrit</w:t>
      </w:r>
      <w:r>
        <w:rPr>
          <w:rFonts w:asciiTheme="majorHAnsi" w:hAnsiTheme="majorHAnsi" w:cstheme="majorHAnsi"/>
          <w:sz w:val="16"/>
          <w:szCs w:val="16"/>
          <w:lang w:val="ro-MD"/>
        </w:rPr>
        <w:t>ății.</w:t>
      </w:r>
    </w:p>
  </w:footnote>
  <w:footnote w:id="61">
    <w:p w:rsidR="00C65A33" w:rsidRPr="00CB05B8" w:rsidRDefault="00C65A33" w:rsidP="005A5A82">
      <w:pPr>
        <w:pStyle w:val="FootnoteText"/>
        <w:spacing w:after="0" w:line="240" w:lineRule="auto"/>
        <w:jc w:val="both"/>
        <w:rPr>
          <w:rFonts w:asciiTheme="majorHAnsi" w:hAnsiTheme="majorHAnsi" w:cstheme="majorHAnsi"/>
          <w:sz w:val="16"/>
          <w:szCs w:val="16"/>
          <w:lang w:val="ro-MD"/>
        </w:rPr>
      </w:pPr>
      <w:r w:rsidRPr="00CB05B8">
        <w:rPr>
          <w:rStyle w:val="FootnoteReference"/>
          <w:rFonts w:asciiTheme="majorHAnsi" w:hAnsiTheme="majorHAnsi" w:cstheme="majorHAnsi"/>
          <w:sz w:val="16"/>
          <w:szCs w:val="16"/>
          <w:lang w:val="ro-MD"/>
        </w:rPr>
        <w:footnoteRef/>
      </w:r>
      <w:r w:rsidRPr="00CB05B8">
        <w:rPr>
          <w:rFonts w:asciiTheme="majorHAnsi" w:hAnsiTheme="majorHAnsi" w:cstheme="majorHAnsi"/>
          <w:sz w:val="16"/>
          <w:szCs w:val="16"/>
          <w:lang w:val="ro-MD"/>
        </w:rPr>
        <w:t xml:space="preserve"> Per contribuabil: Ordonanțele privind intentarea cauzei penale pe faptul evaziunii fiscale, corespondența cu organele de drept, decizia SFS despre stingerea prin scădere a obligației fiscale și trecerea ei  în evidența specială, documentele interne SCAD.</w:t>
      </w:r>
    </w:p>
  </w:footnote>
  <w:footnote w:id="62">
    <w:p w:rsidR="00C65A33" w:rsidRPr="00CB05B8" w:rsidRDefault="00C65A33" w:rsidP="00C55DF6">
      <w:pPr>
        <w:pStyle w:val="FootnoteText"/>
        <w:jc w:val="both"/>
        <w:rPr>
          <w:rFonts w:asciiTheme="majorHAnsi" w:hAnsiTheme="majorHAnsi" w:cstheme="majorHAnsi"/>
          <w:sz w:val="16"/>
          <w:szCs w:val="16"/>
        </w:rPr>
      </w:pPr>
      <w:r w:rsidRPr="00CB05B8">
        <w:rPr>
          <w:rStyle w:val="FootnoteReference"/>
          <w:rFonts w:asciiTheme="majorHAnsi" w:hAnsiTheme="majorHAnsi" w:cstheme="majorHAnsi"/>
          <w:sz w:val="16"/>
          <w:szCs w:val="16"/>
        </w:rPr>
        <w:footnoteRef/>
      </w:r>
      <w:r w:rsidRPr="00CB05B8">
        <w:rPr>
          <w:rFonts w:asciiTheme="majorHAnsi" w:hAnsiTheme="majorHAnsi" w:cstheme="majorHAnsi"/>
          <w:sz w:val="16"/>
          <w:szCs w:val="16"/>
        </w:rPr>
        <w:t xml:space="preserve"> </w:t>
      </w:r>
      <w:r w:rsidRPr="00CB05B8">
        <w:rPr>
          <w:rFonts w:asciiTheme="majorHAnsi" w:hAnsiTheme="majorHAnsi" w:cstheme="majorHAnsi"/>
          <w:sz w:val="16"/>
          <w:szCs w:val="16"/>
          <w:lang w:val="ro-MD"/>
        </w:rPr>
        <w:t xml:space="preserve">Propus spre testare prin </w:t>
      </w:r>
      <w:r w:rsidRPr="00723226">
        <w:rPr>
          <w:rFonts w:asciiTheme="majorHAnsi" w:hAnsiTheme="majorHAnsi" w:cstheme="majorHAnsi"/>
          <w:sz w:val="16"/>
          <w:szCs w:val="16"/>
          <w:lang w:val="ro-MD"/>
        </w:rPr>
        <w:t>H</w:t>
      </w:r>
      <w:r w:rsidRPr="004836DA">
        <w:rPr>
          <w:rFonts w:asciiTheme="majorHAnsi" w:hAnsiTheme="majorHAnsi" w:cstheme="majorHAnsi"/>
          <w:sz w:val="16"/>
          <w:szCs w:val="16"/>
          <w:lang w:val="ro-MD"/>
        </w:rPr>
        <w:t>otărârea Curții de Conturi</w:t>
      </w:r>
      <w:r w:rsidRPr="00CB05B8">
        <w:rPr>
          <w:rFonts w:asciiTheme="majorHAnsi" w:hAnsiTheme="majorHAnsi" w:cstheme="majorHAnsi"/>
          <w:sz w:val="16"/>
          <w:szCs w:val="16"/>
          <w:lang w:val="ro-MD"/>
        </w:rPr>
        <w:t xml:space="preserve"> nr. 55 din </w:t>
      </w:r>
      <w:r w:rsidRPr="005C7A4B">
        <w:rPr>
          <w:rFonts w:asciiTheme="majorHAnsi" w:hAnsiTheme="majorHAnsi" w:cstheme="majorHAnsi"/>
          <w:sz w:val="16"/>
          <w:szCs w:val="16"/>
          <w:lang w:val="ro-MD"/>
        </w:rPr>
        <w:t>20.09.2019</w:t>
      </w:r>
      <w:r w:rsidRPr="00CB05B8">
        <w:rPr>
          <w:rFonts w:asciiTheme="majorHAnsi" w:hAnsiTheme="majorHAnsi" w:cstheme="majorHAnsi"/>
          <w:sz w:val="16"/>
          <w:szCs w:val="16"/>
          <w:lang w:val="ro-MD"/>
        </w:rPr>
        <w:t xml:space="preserve"> cu privire la aprobarea spre testare a proiectului Ghidului privind auditul conformității</w:t>
      </w:r>
      <w:r>
        <w:rPr>
          <w:rFonts w:asciiTheme="majorHAnsi" w:hAnsiTheme="majorHAnsi" w:cstheme="majorHAnsi"/>
          <w:sz w:val="16"/>
          <w:szCs w:val="16"/>
          <w:lang w:val="ro-MD"/>
        </w:rPr>
        <w:t>.</w:t>
      </w:r>
      <w:r w:rsidRPr="00CB05B8">
        <w:rPr>
          <w:rFonts w:asciiTheme="majorHAnsi" w:hAnsiTheme="majorHAnsi" w:cstheme="majorHAnsi"/>
          <w:sz w:val="16"/>
          <w:szCs w:val="16"/>
        </w:rPr>
        <w:t xml:space="preserve"> </w:t>
      </w:r>
    </w:p>
  </w:footnote>
  <w:footnote w:id="63">
    <w:p w:rsidR="00C65A33" w:rsidRPr="00C94467" w:rsidRDefault="00C65A33" w:rsidP="00E74001">
      <w:pPr>
        <w:pStyle w:val="FootnoteText"/>
        <w:spacing w:after="0"/>
        <w:jc w:val="both"/>
        <w:rPr>
          <w:rFonts w:asciiTheme="majorHAnsi" w:hAnsiTheme="majorHAnsi" w:cstheme="majorHAnsi"/>
          <w:sz w:val="16"/>
          <w:szCs w:val="16"/>
          <w:lang w:val="ro-MD"/>
        </w:rPr>
      </w:pPr>
      <w:r w:rsidRPr="00C94467">
        <w:rPr>
          <w:rStyle w:val="FootnoteReference"/>
          <w:rFonts w:asciiTheme="majorHAnsi" w:hAnsiTheme="majorHAnsi" w:cstheme="majorHAnsi"/>
          <w:sz w:val="16"/>
          <w:szCs w:val="16"/>
        </w:rPr>
        <w:footnoteRef/>
      </w:r>
      <w:r w:rsidRPr="00C94467">
        <w:rPr>
          <w:rFonts w:asciiTheme="majorHAnsi" w:hAnsiTheme="majorHAnsi" w:cstheme="majorHAnsi"/>
          <w:sz w:val="16"/>
          <w:szCs w:val="16"/>
          <w:lang w:val="ro-MD"/>
        </w:rPr>
        <w:t xml:space="preserve">verificarea lunară a bunurilor sechestrare; remiterea imediată a </w:t>
      </w:r>
      <w:r w:rsidRPr="005C7A4B">
        <w:rPr>
          <w:rFonts w:asciiTheme="majorHAnsi" w:hAnsiTheme="majorHAnsi" w:cstheme="majorHAnsi"/>
          <w:sz w:val="16"/>
          <w:szCs w:val="16"/>
          <w:lang w:val="ro-MD"/>
        </w:rPr>
        <w:t>materialelor Direcția Juridică a SFS, pentru a fi transmise organelor de drept, în cazul constatării înstrăinării bunurilor sechestrate; verificarea trimestrială a corectitudinii anulării sechestrelor</w:t>
      </w:r>
      <w:r w:rsidRPr="00C94467">
        <w:rPr>
          <w:rFonts w:asciiTheme="majorHAnsi" w:hAnsiTheme="majorHAnsi" w:cstheme="majorHAnsi"/>
          <w:sz w:val="16"/>
          <w:szCs w:val="16"/>
          <w:lang w:val="ro-MD"/>
        </w:rPr>
        <w:t xml:space="preserve"> în cazul înstrăinării sau dispariției bunurilor sechestrate</w:t>
      </w:r>
      <w:r>
        <w:rPr>
          <w:rFonts w:asciiTheme="majorHAnsi" w:hAnsiTheme="majorHAnsi" w:cstheme="majorHAnsi"/>
          <w:sz w:val="16"/>
          <w:szCs w:val="16"/>
          <w:lang w:val="ro-MD"/>
        </w:rPr>
        <w:t>.</w:t>
      </w:r>
    </w:p>
  </w:footnote>
  <w:footnote w:id="64">
    <w:p w:rsidR="00C65A33" w:rsidRPr="00600826" w:rsidRDefault="00C65A33" w:rsidP="00E74001">
      <w:pPr>
        <w:pStyle w:val="FootnoteText"/>
        <w:jc w:val="both"/>
      </w:pPr>
      <w:r w:rsidRPr="00C94467">
        <w:rPr>
          <w:rStyle w:val="FootnoteReference"/>
          <w:rFonts w:asciiTheme="majorHAnsi" w:hAnsiTheme="majorHAnsi" w:cstheme="majorHAnsi"/>
          <w:sz w:val="16"/>
          <w:szCs w:val="16"/>
          <w:lang w:val="ro-MD"/>
        </w:rPr>
        <w:footnoteRef/>
      </w:r>
      <w:r w:rsidRPr="00C94467">
        <w:rPr>
          <w:rFonts w:asciiTheme="majorHAnsi" w:hAnsiTheme="majorHAnsi" w:cstheme="majorHAnsi"/>
          <w:sz w:val="16"/>
          <w:szCs w:val="16"/>
          <w:lang w:val="ro-MD"/>
        </w:rPr>
        <w:t>ținerea strictă a evidenței bunurilor sechestrate, separat pe fiecare contribuabil; întreprinderea promptă a acțiunilor pentru stabilirea locului aflării bunurilor c</w:t>
      </w:r>
      <w:r>
        <w:rPr>
          <w:rFonts w:asciiTheme="majorHAnsi" w:hAnsiTheme="majorHAnsi" w:cstheme="majorHAnsi"/>
          <w:sz w:val="16"/>
          <w:szCs w:val="16"/>
          <w:lang w:val="ro-MD"/>
        </w:rPr>
        <w:t>ar</w:t>
      </w:r>
      <w:r w:rsidRPr="00C94467">
        <w:rPr>
          <w:rFonts w:asciiTheme="majorHAnsi" w:hAnsiTheme="majorHAnsi" w:cstheme="majorHAnsi"/>
          <w:sz w:val="16"/>
          <w:szCs w:val="16"/>
          <w:lang w:val="ro-MD"/>
        </w:rPr>
        <w:t>e nu pot fi depistate la momentul inventarierii; verificarea notificărilor în Registrul producției agricole și reflectarea informației, trimestrial, în Raportul cu privire la rezultatele verificării sechestrelor; prezentarea informației cu privire la verificarea soldurilor bunurilor sechestrate, cu specificarea detaliată a tuturor acțiunilor c</w:t>
      </w:r>
      <w:r>
        <w:rPr>
          <w:rFonts w:asciiTheme="majorHAnsi" w:hAnsiTheme="majorHAnsi" w:cstheme="majorHAnsi"/>
          <w:sz w:val="16"/>
          <w:szCs w:val="16"/>
          <w:lang w:val="ro-MD"/>
        </w:rPr>
        <w:t>ar</w:t>
      </w:r>
      <w:r w:rsidRPr="00C94467">
        <w:rPr>
          <w:rFonts w:asciiTheme="majorHAnsi" w:hAnsiTheme="majorHAnsi" w:cstheme="majorHAnsi"/>
          <w:sz w:val="16"/>
          <w:szCs w:val="16"/>
          <w:lang w:val="ro-MD"/>
        </w:rPr>
        <w:t>e au fost întreprinse pe fiecare contribuabil în parte.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5CED"/>
    <w:multiLevelType w:val="hybridMultilevel"/>
    <w:tmpl w:val="5E8810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31909C2"/>
    <w:multiLevelType w:val="hybridMultilevel"/>
    <w:tmpl w:val="C13E1B40"/>
    <w:lvl w:ilvl="0" w:tplc="3B628D7E">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401F2"/>
    <w:multiLevelType w:val="hybridMultilevel"/>
    <w:tmpl w:val="6CC2BE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C6A51"/>
    <w:multiLevelType w:val="hybridMultilevel"/>
    <w:tmpl w:val="DB8E8B22"/>
    <w:lvl w:ilvl="0" w:tplc="1B1C4166">
      <w:start w:val="1"/>
      <w:numFmt w:val="bullet"/>
      <w:lvlText w:val="o"/>
      <w:lvlJc w:val="left"/>
      <w:pPr>
        <w:ind w:left="720" w:hanging="360"/>
      </w:pPr>
      <w:rPr>
        <w:rFonts w:ascii="Courier New" w:hAnsi="Courier New" w:cs="Courier New" w:hint="default"/>
        <w:color w:val="1F4E79"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1594D"/>
    <w:multiLevelType w:val="hybridMultilevel"/>
    <w:tmpl w:val="93D27316"/>
    <w:lvl w:ilvl="0" w:tplc="B5DC49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D4193"/>
    <w:multiLevelType w:val="multilevel"/>
    <w:tmpl w:val="8752DB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color w:val="1F4E79" w:themeColor="accent1" w:themeShade="8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812770"/>
    <w:multiLevelType w:val="multilevel"/>
    <w:tmpl w:val="EAEE4518"/>
    <w:lvl w:ilvl="0">
      <w:start w:val="1"/>
      <w:numFmt w:val="upperRoman"/>
      <w:lvlText w:val="%1."/>
      <w:lvlJc w:val="left"/>
      <w:pPr>
        <w:ind w:left="1080" w:hanging="720"/>
      </w:pPr>
      <w:rPr>
        <w:rFonts w:hint="default"/>
        <w:color w:val="002060"/>
      </w:rPr>
    </w:lvl>
    <w:lvl w:ilvl="1">
      <w:start w:val="1"/>
      <w:numFmt w:val="decimal"/>
      <w:isLgl/>
      <w:lvlText w:val="%1.%2"/>
      <w:lvlJc w:val="left"/>
      <w:pPr>
        <w:ind w:left="360" w:hanging="360"/>
      </w:pPr>
      <w:rPr>
        <w:rFonts w:asciiTheme="minorHAnsi" w:hAnsiTheme="minorHAnsi" w:cstheme="minorHAnsi"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96C7C7C"/>
    <w:multiLevelType w:val="hybridMultilevel"/>
    <w:tmpl w:val="2A6CD598"/>
    <w:lvl w:ilvl="0" w:tplc="6636C0B4">
      <w:start w:val="8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46391"/>
    <w:multiLevelType w:val="multilevel"/>
    <w:tmpl w:val="70389692"/>
    <w:lvl w:ilvl="0">
      <w:start w:val="7"/>
      <w:numFmt w:val="decimal"/>
      <w:lvlText w:val="%1"/>
      <w:lvlJc w:val="left"/>
      <w:pPr>
        <w:ind w:left="360" w:hanging="360"/>
      </w:pPr>
      <w:rPr>
        <w:rFonts w:hint="default"/>
      </w:rPr>
    </w:lvl>
    <w:lvl w:ilvl="1">
      <w:start w:val="1"/>
      <w:numFmt w:val="decimal"/>
      <w:lvlText w:val="%1.%2"/>
      <w:lvlJc w:val="left"/>
      <w:pPr>
        <w:ind w:left="630" w:hanging="360"/>
      </w:pPr>
      <w:rPr>
        <w:rFonts w:hint="default"/>
        <w:b/>
        <w:color w:val="1F4E79" w:themeColor="accent1" w:themeShade="80"/>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9" w15:restartNumberingAfterBreak="0">
    <w:nsid w:val="1B9016A2"/>
    <w:multiLevelType w:val="hybridMultilevel"/>
    <w:tmpl w:val="AD7C22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F648B9"/>
    <w:multiLevelType w:val="hybridMultilevel"/>
    <w:tmpl w:val="E09437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905284"/>
    <w:multiLevelType w:val="multilevel"/>
    <w:tmpl w:val="2AB49074"/>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0533E19"/>
    <w:multiLevelType w:val="hybridMultilevel"/>
    <w:tmpl w:val="F7CAA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A32AD7"/>
    <w:multiLevelType w:val="hybridMultilevel"/>
    <w:tmpl w:val="CEF4E2C0"/>
    <w:lvl w:ilvl="0" w:tplc="685AB366">
      <w:start w:val="1"/>
      <w:numFmt w:val="bullet"/>
      <w:lvlText w:val="o"/>
      <w:lvlJc w:val="left"/>
      <w:pPr>
        <w:ind w:left="720" w:hanging="360"/>
      </w:pPr>
      <w:rPr>
        <w:rFonts w:ascii="Courier New" w:hAnsi="Courier New" w:cs="Courier New" w:hint="default"/>
        <w:color w:val="1F4E79"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A5B42"/>
    <w:multiLevelType w:val="hybridMultilevel"/>
    <w:tmpl w:val="296EB9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76207"/>
    <w:multiLevelType w:val="hybridMultilevel"/>
    <w:tmpl w:val="73501DDE"/>
    <w:lvl w:ilvl="0" w:tplc="C5BE8D04">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DC2197"/>
    <w:multiLevelType w:val="multilevel"/>
    <w:tmpl w:val="90D81BF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color w:val="1F4E79" w:themeColor="accent1" w:themeShade="8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084E84"/>
    <w:multiLevelType w:val="multilevel"/>
    <w:tmpl w:val="F58ED52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color w:val="1F4E79" w:themeColor="accent1" w:themeShade="8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9460FC"/>
    <w:multiLevelType w:val="multilevel"/>
    <w:tmpl w:val="039AA6B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color w:val="1F4E79" w:themeColor="accent1" w:themeShade="8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F84ED7"/>
    <w:multiLevelType w:val="multilevel"/>
    <w:tmpl w:val="8C529750"/>
    <w:lvl w:ilvl="0">
      <w:start w:val="11"/>
      <w:numFmt w:val="decimal"/>
      <w:lvlText w:val="%1"/>
      <w:lvlJc w:val="left"/>
      <w:pPr>
        <w:ind w:left="420" w:hanging="420"/>
      </w:pPr>
      <w:rPr>
        <w:rFonts w:hint="default"/>
      </w:rPr>
    </w:lvl>
    <w:lvl w:ilvl="1">
      <w:start w:val="1"/>
      <w:numFmt w:val="decimal"/>
      <w:lvlText w:val="%1.%2"/>
      <w:lvlJc w:val="left"/>
      <w:pPr>
        <w:ind w:left="690" w:hanging="420"/>
      </w:pPr>
      <w:rPr>
        <w:rFonts w:hint="default"/>
        <w:b/>
        <w:color w:val="1F4E79" w:themeColor="accent1" w:themeShade="8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295E2D"/>
    <w:multiLevelType w:val="multilevel"/>
    <w:tmpl w:val="7B14171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color w:val="1F4E79" w:themeColor="accent1" w:themeShade="8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2740B90"/>
    <w:multiLevelType w:val="hybridMultilevel"/>
    <w:tmpl w:val="8AA202D0"/>
    <w:lvl w:ilvl="0" w:tplc="53567840">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E27AB0"/>
    <w:multiLevelType w:val="hybridMultilevel"/>
    <w:tmpl w:val="9EB8886A"/>
    <w:lvl w:ilvl="0" w:tplc="DA048B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9F4418"/>
    <w:multiLevelType w:val="hybridMultilevel"/>
    <w:tmpl w:val="5D5874DA"/>
    <w:lvl w:ilvl="0" w:tplc="51A20AFA">
      <w:start w:val="1"/>
      <w:numFmt w:val="decimal"/>
      <w:lvlText w:val="%1."/>
      <w:lvlJc w:val="left"/>
      <w:pPr>
        <w:ind w:left="360" w:hanging="360"/>
      </w:pPr>
      <w:rPr>
        <w:rFonts w:hint="default"/>
        <w:b/>
        <w:color w:val="1F4E79" w:themeColor="accent1" w:themeShade="80"/>
        <w:sz w:val="24"/>
        <w:szCs w:val="24"/>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3C660F"/>
    <w:multiLevelType w:val="hybridMultilevel"/>
    <w:tmpl w:val="3E801E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B04270"/>
    <w:multiLevelType w:val="multilevel"/>
    <w:tmpl w:val="6F1E5348"/>
    <w:lvl w:ilvl="0">
      <w:start w:val="7"/>
      <w:numFmt w:val="decimal"/>
      <w:lvlText w:val="%1"/>
      <w:lvlJc w:val="left"/>
      <w:pPr>
        <w:ind w:left="360" w:hanging="360"/>
      </w:pPr>
      <w:rPr>
        <w:rFonts w:cstheme="minorHAnsi" w:hint="default"/>
      </w:rPr>
    </w:lvl>
    <w:lvl w:ilvl="1">
      <w:start w:val="1"/>
      <w:numFmt w:val="decimal"/>
      <w:lvlText w:val="%1.%2"/>
      <w:lvlJc w:val="left"/>
      <w:pPr>
        <w:ind w:left="360" w:hanging="360"/>
      </w:pPr>
      <w:rPr>
        <w:rFonts w:cstheme="minorHAnsi" w:hint="default"/>
        <w:b/>
        <w:color w:val="1F4E79" w:themeColor="accent1" w:themeShade="80"/>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800" w:hanging="1800"/>
      </w:pPr>
      <w:rPr>
        <w:rFonts w:cstheme="minorHAnsi" w:hint="default"/>
      </w:rPr>
    </w:lvl>
  </w:abstractNum>
  <w:abstractNum w:abstractNumId="26" w15:restartNumberingAfterBreak="0">
    <w:nsid w:val="54DC334C"/>
    <w:multiLevelType w:val="hybridMultilevel"/>
    <w:tmpl w:val="722EBCF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5222E64"/>
    <w:multiLevelType w:val="multilevel"/>
    <w:tmpl w:val="99C6BC6C"/>
    <w:lvl w:ilvl="0">
      <w:start w:val="3"/>
      <w:numFmt w:val="decimal"/>
      <w:lvlText w:val="%1"/>
      <w:lvlJc w:val="left"/>
      <w:pPr>
        <w:ind w:left="360" w:hanging="360"/>
      </w:pPr>
      <w:rPr>
        <w:rFonts w:eastAsiaTheme="majorEastAsia" w:cstheme="majorBidi" w:hint="default"/>
      </w:rPr>
    </w:lvl>
    <w:lvl w:ilvl="1">
      <w:start w:val="1"/>
      <w:numFmt w:val="decimal"/>
      <w:lvlText w:val="%1.%2"/>
      <w:lvlJc w:val="left"/>
      <w:pPr>
        <w:ind w:left="360" w:hanging="360"/>
      </w:pPr>
      <w:rPr>
        <w:rFonts w:asciiTheme="minorHAnsi" w:eastAsiaTheme="majorEastAsia" w:hAnsiTheme="minorHAnsi" w:cstheme="minorHAnsi" w:hint="default"/>
        <w:lang w:val="en-US"/>
      </w:rPr>
    </w:lvl>
    <w:lvl w:ilvl="2">
      <w:start w:val="1"/>
      <w:numFmt w:val="decimal"/>
      <w:lvlText w:val="%1.%2.%3"/>
      <w:lvlJc w:val="left"/>
      <w:pPr>
        <w:ind w:left="720" w:hanging="720"/>
      </w:pPr>
      <w:rPr>
        <w:rFonts w:eastAsiaTheme="majorEastAsia" w:cstheme="majorBidi" w:hint="default"/>
      </w:rPr>
    </w:lvl>
    <w:lvl w:ilvl="3">
      <w:start w:val="1"/>
      <w:numFmt w:val="decimal"/>
      <w:lvlText w:val="%1.%2.%3.%4"/>
      <w:lvlJc w:val="left"/>
      <w:pPr>
        <w:ind w:left="720" w:hanging="72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080" w:hanging="108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440" w:hanging="1440"/>
      </w:pPr>
      <w:rPr>
        <w:rFonts w:eastAsiaTheme="majorEastAsia" w:cstheme="majorBidi" w:hint="default"/>
      </w:rPr>
    </w:lvl>
    <w:lvl w:ilvl="8">
      <w:start w:val="1"/>
      <w:numFmt w:val="decimal"/>
      <w:lvlText w:val="%1.%2.%3.%4.%5.%6.%7.%8.%9"/>
      <w:lvlJc w:val="left"/>
      <w:pPr>
        <w:ind w:left="1800" w:hanging="1800"/>
      </w:pPr>
      <w:rPr>
        <w:rFonts w:eastAsiaTheme="majorEastAsia" w:cstheme="majorBidi" w:hint="default"/>
      </w:rPr>
    </w:lvl>
  </w:abstractNum>
  <w:abstractNum w:abstractNumId="28" w15:restartNumberingAfterBreak="0">
    <w:nsid w:val="565377AF"/>
    <w:multiLevelType w:val="multilevel"/>
    <w:tmpl w:val="B1EC5E0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color w:val="1F4E79" w:themeColor="accent1" w:themeShade="8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CD35CE4"/>
    <w:multiLevelType w:val="hybridMultilevel"/>
    <w:tmpl w:val="E1646FE8"/>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5DC0484E"/>
    <w:multiLevelType w:val="hybridMultilevel"/>
    <w:tmpl w:val="1BBC61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9A0CF8"/>
    <w:multiLevelType w:val="hybridMultilevel"/>
    <w:tmpl w:val="CFD491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C341FF"/>
    <w:multiLevelType w:val="multilevel"/>
    <w:tmpl w:val="19148BE6"/>
    <w:lvl w:ilvl="0">
      <w:start w:val="8"/>
      <w:numFmt w:val="decimal"/>
      <w:lvlText w:val="%1"/>
      <w:lvlJc w:val="left"/>
      <w:pPr>
        <w:ind w:left="360" w:hanging="360"/>
      </w:pPr>
      <w:rPr>
        <w:rFonts w:hint="default"/>
      </w:rPr>
    </w:lvl>
    <w:lvl w:ilvl="1">
      <w:start w:val="1"/>
      <w:numFmt w:val="decimal"/>
      <w:lvlText w:val="%1.%2"/>
      <w:lvlJc w:val="left"/>
      <w:pPr>
        <w:ind w:left="630" w:hanging="360"/>
      </w:pPr>
      <w:rPr>
        <w:rFonts w:hint="default"/>
        <w:b/>
        <w:color w:val="1F4E79" w:themeColor="accent1" w:themeShade="80"/>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3" w15:restartNumberingAfterBreak="0">
    <w:nsid w:val="66726D02"/>
    <w:multiLevelType w:val="hybridMultilevel"/>
    <w:tmpl w:val="851C1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E418AA"/>
    <w:multiLevelType w:val="hybridMultilevel"/>
    <w:tmpl w:val="46DE2B80"/>
    <w:lvl w:ilvl="0" w:tplc="26A027B2">
      <w:start w:val="99"/>
      <w:numFmt w:val="bullet"/>
      <w:lvlText w:val="-"/>
      <w:lvlJc w:val="left"/>
      <w:pPr>
        <w:ind w:left="1440" w:hanging="360"/>
      </w:pPr>
      <w:rPr>
        <w:rFonts w:ascii="Calibri" w:eastAsiaTheme="minorHAnsi" w:hAnsi="Calibri"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EEF0DE6"/>
    <w:multiLevelType w:val="hybridMultilevel"/>
    <w:tmpl w:val="AD1EC9B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F1307C3"/>
    <w:multiLevelType w:val="multilevel"/>
    <w:tmpl w:val="E2322A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B02AD2"/>
    <w:multiLevelType w:val="hybridMultilevel"/>
    <w:tmpl w:val="9D0C3D0C"/>
    <w:lvl w:ilvl="0" w:tplc="33EA0008">
      <w:start w:val="1"/>
      <w:numFmt w:val="bullet"/>
      <w:lvlText w:val=""/>
      <w:lvlJc w:val="left"/>
      <w:pPr>
        <w:ind w:left="720" w:hanging="360"/>
      </w:pPr>
      <w:rPr>
        <w:rFonts w:ascii="Wingdings" w:hAnsi="Wingdings" w:hint="default"/>
        <w:lang w:val="ro-M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273935"/>
    <w:multiLevelType w:val="hybridMultilevel"/>
    <w:tmpl w:val="6CC2BE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EC2DB9"/>
    <w:multiLevelType w:val="hybridMultilevel"/>
    <w:tmpl w:val="2E68B050"/>
    <w:lvl w:ilvl="0" w:tplc="62249D32">
      <w:start w:val="1"/>
      <w:numFmt w:val="lowerLetter"/>
      <w:lvlText w:val="%1)"/>
      <w:lvlJc w:val="left"/>
      <w:pPr>
        <w:ind w:left="1080" w:hanging="360"/>
      </w:pPr>
      <w:rPr>
        <w:b/>
        <w:lang w:val="ro-R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AC77A51"/>
    <w:multiLevelType w:val="hybridMultilevel"/>
    <w:tmpl w:val="6E0C341C"/>
    <w:lvl w:ilvl="0" w:tplc="F59864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6B07C8"/>
    <w:multiLevelType w:val="hybridMultilevel"/>
    <w:tmpl w:val="31B4212E"/>
    <w:lvl w:ilvl="0" w:tplc="043CB9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341AB1"/>
    <w:multiLevelType w:val="hybridMultilevel"/>
    <w:tmpl w:val="1F625104"/>
    <w:lvl w:ilvl="0" w:tplc="8A22BBC4">
      <w:start w:val="1"/>
      <w:numFmt w:val="bullet"/>
      <w:lvlText w:val="o"/>
      <w:lvlJc w:val="left"/>
      <w:pPr>
        <w:ind w:left="720" w:hanging="360"/>
      </w:pPr>
      <w:rPr>
        <w:rFonts w:ascii="Courier New" w:hAnsi="Courier New" w:cs="Courier New" w:hint="default"/>
        <w:color w:val="1F4E79"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B729E"/>
    <w:multiLevelType w:val="hybridMultilevel"/>
    <w:tmpl w:val="D53E42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D439AB"/>
    <w:multiLevelType w:val="hybridMultilevel"/>
    <w:tmpl w:val="BE88F86C"/>
    <w:lvl w:ilvl="0" w:tplc="14A42B7E">
      <w:start w:val="1"/>
      <w:numFmt w:val="lowerRoman"/>
      <w:lvlText w:val="(%1)"/>
      <w:lvlJc w:val="left"/>
      <w:pPr>
        <w:ind w:left="1530" w:hanging="720"/>
      </w:pPr>
      <w:rPr>
        <w:rFonts w:hint="default"/>
        <w:b/>
        <w:i/>
        <w:color w:val="1F4E79"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0"/>
  </w:num>
  <w:num w:numId="3">
    <w:abstractNumId w:val="43"/>
  </w:num>
  <w:num w:numId="4">
    <w:abstractNumId w:val="0"/>
  </w:num>
  <w:num w:numId="5">
    <w:abstractNumId w:val="26"/>
  </w:num>
  <w:num w:numId="6">
    <w:abstractNumId w:val="23"/>
  </w:num>
  <w:num w:numId="7">
    <w:abstractNumId w:val="9"/>
  </w:num>
  <w:num w:numId="8">
    <w:abstractNumId w:val="40"/>
  </w:num>
  <w:num w:numId="9">
    <w:abstractNumId w:val="14"/>
  </w:num>
  <w:num w:numId="10">
    <w:abstractNumId w:val="38"/>
  </w:num>
  <w:num w:numId="11">
    <w:abstractNumId w:val="2"/>
  </w:num>
  <w:num w:numId="12">
    <w:abstractNumId w:val="24"/>
  </w:num>
  <w:num w:numId="13">
    <w:abstractNumId w:val="39"/>
  </w:num>
  <w:num w:numId="14">
    <w:abstractNumId w:val="34"/>
  </w:num>
  <w:num w:numId="15">
    <w:abstractNumId w:val="29"/>
  </w:num>
  <w:num w:numId="16">
    <w:abstractNumId w:val="22"/>
  </w:num>
  <w:num w:numId="17">
    <w:abstractNumId w:val="41"/>
  </w:num>
  <w:num w:numId="18">
    <w:abstractNumId w:val="37"/>
  </w:num>
  <w:num w:numId="19">
    <w:abstractNumId w:val="21"/>
  </w:num>
  <w:num w:numId="20">
    <w:abstractNumId w:val="31"/>
  </w:num>
  <w:num w:numId="21">
    <w:abstractNumId w:val="33"/>
  </w:num>
  <w:num w:numId="22">
    <w:abstractNumId w:val="15"/>
  </w:num>
  <w:num w:numId="23">
    <w:abstractNumId w:val="1"/>
  </w:num>
  <w:num w:numId="24">
    <w:abstractNumId w:val="12"/>
  </w:num>
  <w:num w:numId="25">
    <w:abstractNumId w:val="25"/>
  </w:num>
  <w:num w:numId="26">
    <w:abstractNumId w:val="20"/>
  </w:num>
  <w:num w:numId="27">
    <w:abstractNumId w:val="44"/>
  </w:num>
  <w:num w:numId="28">
    <w:abstractNumId w:val="42"/>
  </w:num>
  <w:num w:numId="29">
    <w:abstractNumId w:val="13"/>
  </w:num>
  <w:num w:numId="30">
    <w:abstractNumId w:val="3"/>
  </w:num>
  <w:num w:numId="31">
    <w:abstractNumId w:val="4"/>
  </w:num>
  <w:num w:numId="32">
    <w:abstractNumId w:val="6"/>
  </w:num>
  <w:num w:numId="33">
    <w:abstractNumId w:val="36"/>
  </w:num>
  <w:num w:numId="34">
    <w:abstractNumId w:val="11"/>
  </w:num>
  <w:num w:numId="35">
    <w:abstractNumId w:val="27"/>
  </w:num>
  <w:num w:numId="36">
    <w:abstractNumId w:val="16"/>
  </w:num>
  <w:num w:numId="37">
    <w:abstractNumId w:val="7"/>
  </w:num>
  <w:num w:numId="38">
    <w:abstractNumId w:val="5"/>
  </w:num>
  <w:num w:numId="39">
    <w:abstractNumId w:val="19"/>
  </w:num>
  <w:num w:numId="40">
    <w:abstractNumId w:val="18"/>
  </w:num>
  <w:num w:numId="41">
    <w:abstractNumId w:val="28"/>
  </w:num>
  <w:num w:numId="42">
    <w:abstractNumId w:val="32"/>
  </w:num>
  <w:num w:numId="43">
    <w:abstractNumId w:val="8"/>
  </w:num>
  <w:num w:numId="44">
    <w:abstractNumId w:val="30"/>
  </w:num>
  <w:num w:numId="45">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A4"/>
    <w:rsid w:val="00000101"/>
    <w:rsid w:val="00000C71"/>
    <w:rsid w:val="00002A3C"/>
    <w:rsid w:val="00005623"/>
    <w:rsid w:val="00006C0A"/>
    <w:rsid w:val="00010BE4"/>
    <w:rsid w:val="00010C4C"/>
    <w:rsid w:val="000123E3"/>
    <w:rsid w:val="00014630"/>
    <w:rsid w:val="000148F2"/>
    <w:rsid w:val="000173F3"/>
    <w:rsid w:val="00017407"/>
    <w:rsid w:val="00021521"/>
    <w:rsid w:val="00022DBF"/>
    <w:rsid w:val="0002428B"/>
    <w:rsid w:val="00026071"/>
    <w:rsid w:val="0002757C"/>
    <w:rsid w:val="000306B2"/>
    <w:rsid w:val="000306F7"/>
    <w:rsid w:val="00032E89"/>
    <w:rsid w:val="0003463E"/>
    <w:rsid w:val="00034B63"/>
    <w:rsid w:val="00034B93"/>
    <w:rsid w:val="00035E5B"/>
    <w:rsid w:val="00037389"/>
    <w:rsid w:val="000406F6"/>
    <w:rsid w:val="00041B88"/>
    <w:rsid w:val="0004386A"/>
    <w:rsid w:val="00044354"/>
    <w:rsid w:val="00044727"/>
    <w:rsid w:val="000449AC"/>
    <w:rsid w:val="000523B7"/>
    <w:rsid w:val="00052997"/>
    <w:rsid w:val="00055C47"/>
    <w:rsid w:val="00056A82"/>
    <w:rsid w:val="00056B1D"/>
    <w:rsid w:val="00060888"/>
    <w:rsid w:val="0006143B"/>
    <w:rsid w:val="00061F6B"/>
    <w:rsid w:val="000637AC"/>
    <w:rsid w:val="00063E96"/>
    <w:rsid w:val="000649B1"/>
    <w:rsid w:val="00065614"/>
    <w:rsid w:val="00065A62"/>
    <w:rsid w:val="00066BBB"/>
    <w:rsid w:val="00071577"/>
    <w:rsid w:val="0007198D"/>
    <w:rsid w:val="00071CD4"/>
    <w:rsid w:val="00074CA7"/>
    <w:rsid w:val="000751C3"/>
    <w:rsid w:val="00076D06"/>
    <w:rsid w:val="00083E7F"/>
    <w:rsid w:val="000851B0"/>
    <w:rsid w:val="00085D3D"/>
    <w:rsid w:val="0008623A"/>
    <w:rsid w:val="00087CA9"/>
    <w:rsid w:val="00090074"/>
    <w:rsid w:val="00095C4F"/>
    <w:rsid w:val="00095CB8"/>
    <w:rsid w:val="000960A4"/>
    <w:rsid w:val="0009713C"/>
    <w:rsid w:val="00097522"/>
    <w:rsid w:val="00097672"/>
    <w:rsid w:val="00097F5A"/>
    <w:rsid w:val="000A10B5"/>
    <w:rsid w:val="000A18FA"/>
    <w:rsid w:val="000A2632"/>
    <w:rsid w:val="000A7E6A"/>
    <w:rsid w:val="000B03D5"/>
    <w:rsid w:val="000B1E24"/>
    <w:rsid w:val="000B204E"/>
    <w:rsid w:val="000B22C5"/>
    <w:rsid w:val="000B2359"/>
    <w:rsid w:val="000B3710"/>
    <w:rsid w:val="000B45CD"/>
    <w:rsid w:val="000B4CA0"/>
    <w:rsid w:val="000B518D"/>
    <w:rsid w:val="000B745F"/>
    <w:rsid w:val="000C2128"/>
    <w:rsid w:val="000C5DF4"/>
    <w:rsid w:val="000C7700"/>
    <w:rsid w:val="000D15B1"/>
    <w:rsid w:val="000D2F7C"/>
    <w:rsid w:val="000D34A8"/>
    <w:rsid w:val="000D57DD"/>
    <w:rsid w:val="000D5D30"/>
    <w:rsid w:val="000D7DAE"/>
    <w:rsid w:val="000E1175"/>
    <w:rsid w:val="000E1811"/>
    <w:rsid w:val="000E4D99"/>
    <w:rsid w:val="000E5D57"/>
    <w:rsid w:val="000E6DC7"/>
    <w:rsid w:val="000F0F86"/>
    <w:rsid w:val="000F17E2"/>
    <w:rsid w:val="000F505D"/>
    <w:rsid w:val="000F5729"/>
    <w:rsid w:val="000F6067"/>
    <w:rsid w:val="000F7760"/>
    <w:rsid w:val="00102346"/>
    <w:rsid w:val="00104E56"/>
    <w:rsid w:val="00105AFD"/>
    <w:rsid w:val="00105B56"/>
    <w:rsid w:val="00106CBF"/>
    <w:rsid w:val="0010740E"/>
    <w:rsid w:val="00107583"/>
    <w:rsid w:val="00110248"/>
    <w:rsid w:val="00110794"/>
    <w:rsid w:val="00111679"/>
    <w:rsid w:val="00115003"/>
    <w:rsid w:val="0011502A"/>
    <w:rsid w:val="00121AF7"/>
    <w:rsid w:val="001229FC"/>
    <w:rsid w:val="0012399F"/>
    <w:rsid w:val="00126870"/>
    <w:rsid w:val="00126D54"/>
    <w:rsid w:val="00127F0A"/>
    <w:rsid w:val="00130037"/>
    <w:rsid w:val="00133D3F"/>
    <w:rsid w:val="00136E87"/>
    <w:rsid w:val="00137EB1"/>
    <w:rsid w:val="00140083"/>
    <w:rsid w:val="001407BC"/>
    <w:rsid w:val="0014535D"/>
    <w:rsid w:val="00147558"/>
    <w:rsid w:val="001511B9"/>
    <w:rsid w:val="0015355C"/>
    <w:rsid w:val="00153730"/>
    <w:rsid w:val="001538E6"/>
    <w:rsid w:val="001556AC"/>
    <w:rsid w:val="001563EA"/>
    <w:rsid w:val="00161100"/>
    <w:rsid w:val="00162093"/>
    <w:rsid w:val="0016722D"/>
    <w:rsid w:val="00170B35"/>
    <w:rsid w:val="001718A6"/>
    <w:rsid w:val="00172B74"/>
    <w:rsid w:val="0017302F"/>
    <w:rsid w:val="0017407D"/>
    <w:rsid w:val="00174EDB"/>
    <w:rsid w:val="00176E82"/>
    <w:rsid w:val="00182063"/>
    <w:rsid w:val="00182365"/>
    <w:rsid w:val="00182704"/>
    <w:rsid w:val="001844A3"/>
    <w:rsid w:val="001855AE"/>
    <w:rsid w:val="00185BC7"/>
    <w:rsid w:val="0018686A"/>
    <w:rsid w:val="00190191"/>
    <w:rsid w:val="001939EB"/>
    <w:rsid w:val="00194C12"/>
    <w:rsid w:val="00195B02"/>
    <w:rsid w:val="001965C4"/>
    <w:rsid w:val="001A1264"/>
    <w:rsid w:val="001A3DB6"/>
    <w:rsid w:val="001A4B60"/>
    <w:rsid w:val="001A71F5"/>
    <w:rsid w:val="001B174E"/>
    <w:rsid w:val="001B2101"/>
    <w:rsid w:val="001B2F93"/>
    <w:rsid w:val="001B330A"/>
    <w:rsid w:val="001B357E"/>
    <w:rsid w:val="001B35A8"/>
    <w:rsid w:val="001B53FB"/>
    <w:rsid w:val="001B61ED"/>
    <w:rsid w:val="001C0614"/>
    <w:rsid w:val="001C0945"/>
    <w:rsid w:val="001C2558"/>
    <w:rsid w:val="001C28FF"/>
    <w:rsid w:val="001C3EB7"/>
    <w:rsid w:val="001C4176"/>
    <w:rsid w:val="001C7148"/>
    <w:rsid w:val="001D08F4"/>
    <w:rsid w:val="001D22F3"/>
    <w:rsid w:val="001D3D74"/>
    <w:rsid w:val="001D3DC3"/>
    <w:rsid w:val="001D6275"/>
    <w:rsid w:val="001E0239"/>
    <w:rsid w:val="001E1014"/>
    <w:rsid w:val="001E1DC9"/>
    <w:rsid w:val="001E2E6E"/>
    <w:rsid w:val="001E37F9"/>
    <w:rsid w:val="001E4A3A"/>
    <w:rsid w:val="001E5314"/>
    <w:rsid w:val="001E658C"/>
    <w:rsid w:val="001E674D"/>
    <w:rsid w:val="001E6CA5"/>
    <w:rsid w:val="001E74BA"/>
    <w:rsid w:val="001E7A1D"/>
    <w:rsid w:val="001F07C4"/>
    <w:rsid w:val="001F1845"/>
    <w:rsid w:val="001F1F55"/>
    <w:rsid w:val="001F3062"/>
    <w:rsid w:val="001F4702"/>
    <w:rsid w:val="001F52B6"/>
    <w:rsid w:val="001F5438"/>
    <w:rsid w:val="00200179"/>
    <w:rsid w:val="00204A6E"/>
    <w:rsid w:val="00204B5D"/>
    <w:rsid w:val="00205A02"/>
    <w:rsid w:val="00210F19"/>
    <w:rsid w:val="002111E6"/>
    <w:rsid w:val="00212729"/>
    <w:rsid w:val="002133C7"/>
    <w:rsid w:val="00213AD3"/>
    <w:rsid w:val="00214758"/>
    <w:rsid w:val="0021477D"/>
    <w:rsid w:val="0022042E"/>
    <w:rsid w:val="002207B5"/>
    <w:rsid w:val="002208A9"/>
    <w:rsid w:val="0022114D"/>
    <w:rsid w:val="00221E08"/>
    <w:rsid w:val="00222839"/>
    <w:rsid w:val="00222BED"/>
    <w:rsid w:val="00222E75"/>
    <w:rsid w:val="00224891"/>
    <w:rsid w:val="00224BB8"/>
    <w:rsid w:val="00226053"/>
    <w:rsid w:val="00226E74"/>
    <w:rsid w:val="00227E44"/>
    <w:rsid w:val="002313C4"/>
    <w:rsid w:val="00231F88"/>
    <w:rsid w:val="00233B10"/>
    <w:rsid w:val="00233BD2"/>
    <w:rsid w:val="002372CA"/>
    <w:rsid w:val="002414FE"/>
    <w:rsid w:val="002418D8"/>
    <w:rsid w:val="00245355"/>
    <w:rsid w:val="0024643A"/>
    <w:rsid w:val="00250B1C"/>
    <w:rsid w:val="00250DD0"/>
    <w:rsid w:val="0025278D"/>
    <w:rsid w:val="00255487"/>
    <w:rsid w:val="00255836"/>
    <w:rsid w:val="00257395"/>
    <w:rsid w:val="00257571"/>
    <w:rsid w:val="002609B0"/>
    <w:rsid w:val="00262ECA"/>
    <w:rsid w:val="00263014"/>
    <w:rsid w:val="00265F3F"/>
    <w:rsid w:val="00272F29"/>
    <w:rsid w:val="002730CE"/>
    <w:rsid w:val="002747E0"/>
    <w:rsid w:val="0027789F"/>
    <w:rsid w:val="00282349"/>
    <w:rsid w:val="00282D3C"/>
    <w:rsid w:val="00283B5B"/>
    <w:rsid w:val="00287EA3"/>
    <w:rsid w:val="00291D18"/>
    <w:rsid w:val="002924E7"/>
    <w:rsid w:val="002934EE"/>
    <w:rsid w:val="0029486D"/>
    <w:rsid w:val="00294E15"/>
    <w:rsid w:val="00295E20"/>
    <w:rsid w:val="00295F6A"/>
    <w:rsid w:val="002967F5"/>
    <w:rsid w:val="002A0857"/>
    <w:rsid w:val="002A2541"/>
    <w:rsid w:val="002A4E32"/>
    <w:rsid w:val="002A5423"/>
    <w:rsid w:val="002A76F7"/>
    <w:rsid w:val="002A7AC6"/>
    <w:rsid w:val="002A7ECF"/>
    <w:rsid w:val="002B05C9"/>
    <w:rsid w:val="002B2298"/>
    <w:rsid w:val="002B39F3"/>
    <w:rsid w:val="002B3F6D"/>
    <w:rsid w:val="002B50DA"/>
    <w:rsid w:val="002B5BEF"/>
    <w:rsid w:val="002C424C"/>
    <w:rsid w:val="002C5D4A"/>
    <w:rsid w:val="002C7203"/>
    <w:rsid w:val="002C7373"/>
    <w:rsid w:val="002C78A1"/>
    <w:rsid w:val="002C7B91"/>
    <w:rsid w:val="002D3B7E"/>
    <w:rsid w:val="002D6368"/>
    <w:rsid w:val="002D67CE"/>
    <w:rsid w:val="002D77B0"/>
    <w:rsid w:val="002E0738"/>
    <w:rsid w:val="002E2071"/>
    <w:rsid w:val="002E2B75"/>
    <w:rsid w:val="002E2EC7"/>
    <w:rsid w:val="002E2F93"/>
    <w:rsid w:val="002E2FC6"/>
    <w:rsid w:val="002E31B8"/>
    <w:rsid w:val="002E452A"/>
    <w:rsid w:val="002E5542"/>
    <w:rsid w:val="002E5C67"/>
    <w:rsid w:val="002E6089"/>
    <w:rsid w:val="002E67D5"/>
    <w:rsid w:val="002E72B6"/>
    <w:rsid w:val="002E7A0C"/>
    <w:rsid w:val="002F4924"/>
    <w:rsid w:val="002F61F3"/>
    <w:rsid w:val="003012D0"/>
    <w:rsid w:val="003016E8"/>
    <w:rsid w:val="00303969"/>
    <w:rsid w:val="00303E4C"/>
    <w:rsid w:val="003070D9"/>
    <w:rsid w:val="0030776C"/>
    <w:rsid w:val="00312B13"/>
    <w:rsid w:val="0031358F"/>
    <w:rsid w:val="0031477D"/>
    <w:rsid w:val="00314CAE"/>
    <w:rsid w:val="0031519F"/>
    <w:rsid w:val="00316B8B"/>
    <w:rsid w:val="003214FA"/>
    <w:rsid w:val="00323853"/>
    <w:rsid w:val="00325BC0"/>
    <w:rsid w:val="0032763D"/>
    <w:rsid w:val="00330824"/>
    <w:rsid w:val="00332899"/>
    <w:rsid w:val="0033393E"/>
    <w:rsid w:val="00334C33"/>
    <w:rsid w:val="0033561D"/>
    <w:rsid w:val="00340A30"/>
    <w:rsid w:val="00340D64"/>
    <w:rsid w:val="003414A7"/>
    <w:rsid w:val="00341B9C"/>
    <w:rsid w:val="00345962"/>
    <w:rsid w:val="00345FAB"/>
    <w:rsid w:val="003545D8"/>
    <w:rsid w:val="00354E87"/>
    <w:rsid w:val="00354F15"/>
    <w:rsid w:val="00354F54"/>
    <w:rsid w:val="003550AE"/>
    <w:rsid w:val="003554FB"/>
    <w:rsid w:val="003562A1"/>
    <w:rsid w:val="00357A00"/>
    <w:rsid w:val="003653CE"/>
    <w:rsid w:val="00365B3F"/>
    <w:rsid w:val="00366935"/>
    <w:rsid w:val="00366AE8"/>
    <w:rsid w:val="00373014"/>
    <w:rsid w:val="00374DFC"/>
    <w:rsid w:val="00376801"/>
    <w:rsid w:val="00380B38"/>
    <w:rsid w:val="00381A16"/>
    <w:rsid w:val="00381CA3"/>
    <w:rsid w:val="0039094C"/>
    <w:rsid w:val="00391236"/>
    <w:rsid w:val="003918CE"/>
    <w:rsid w:val="0039283B"/>
    <w:rsid w:val="00392C16"/>
    <w:rsid w:val="003939E3"/>
    <w:rsid w:val="00393BA4"/>
    <w:rsid w:val="003976A3"/>
    <w:rsid w:val="003A16EC"/>
    <w:rsid w:val="003A530B"/>
    <w:rsid w:val="003A5F14"/>
    <w:rsid w:val="003A77EB"/>
    <w:rsid w:val="003A7DE2"/>
    <w:rsid w:val="003B10E0"/>
    <w:rsid w:val="003B1B79"/>
    <w:rsid w:val="003B1F9E"/>
    <w:rsid w:val="003B604D"/>
    <w:rsid w:val="003B7858"/>
    <w:rsid w:val="003C1C1A"/>
    <w:rsid w:val="003C1FA0"/>
    <w:rsid w:val="003C4497"/>
    <w:rsid w:val="003D0377"/>
    <w:rsid w:val="003D4FC2"/>
    <w:rsid w:val="003D51BE"/>
    <w:rsid w:val="003D561A"/>
    <w:rsid w:val="003D631C"/>
    <w:rsid w:val="003D6612"/>
    <w:rsid w:val="003E096B"/>
    <w:rsid w:val="003E0E70"/>
    <w:rsid w:val="003E310B"/>
    <w:rsid w:val="003E3421"/>
    <w:rsid w:val="003E3EAA"/>
    <w:rsid w:val="003E57B0"/>
    <w:rsid w:val="003E79E8"/>
    <w:rsid w:val="003F24BD"/>
    <w:rsid w:val="003F5068"/>
    <w:rsid w:val="003F5848"/>
    <w:rsid w:val="003F5AF0"/>
    <w:rsid w:val="003F67AE"/>
    <w:rsid w:val="003F6BCB"/>
    <w:rsid w:val="003F701D"/>
    <w:rsid w:val="00400492"/>
    <w:rsid w:val="00400571"/>
    <w:rsid w:val="00401691"/>
    <w:rsid w:val="00401F7D"/>
    <w:rsid w:val="00402E2C"/>
    <w:rsid w:val="0040684A"/>
    <w:rsid w:val="004075B4"/>
    <w:rsid w:val="0041136D"/>
    <w:rsid w:val="004119E9"/>
    <w:rsid w:val="0041201E"/>
    <w:rsid w:val="004129E0"/>
    <w:rsid w:val="00417FD8"/>
    <w:rsid w:val="00420763"/>
    <w:rsid w:val="00421225"/>
    <w:rsid w:val="00421909"/>
    <w:rsid w:val="00421BFB"/>
    <w:rsid w:val="00421C52"/>
    <w:rsid w:val="004224F6"/>
    <w:rsid w:val="004232F5"/>
    <w:rsid w:val="0042369E"/>
    <w:rsid w:val="00425CB3"/>
    <w:rsid w:val="00426572"/>
    <w:rsid w:val="00427CC5"/>
    <w:rsid w:val="00430CF4"/>
    <w:rsid w:val="00430F27"/>
    <w:rsid w:val="0043118C"/>
    <w:rsid w:val="004314D5"/>
    <w:rsid w:val="00431F34"/>
    <w:rsid w:val="00433E18"/>
    <w:rsid w:val="00434567"/>
    <w:rsid w:val="004364A4"/>
    <w:rsid w:val="00436CB2"/>
    <w:rsid w:val="0043795B"/>
    <w:rsid w:val="00440162"/>
    <w:rsid w:val="00440A28"/>
    <w:rsid w:val="004428C4"/>
    <w:rsid w:val="0044334A"/>
    <w:rsid w:val="00443F96"/>
    <w:rsid w:val="0044596E"/>
    <w:rsid w:val="00445A67"/>
    <w:rsid w:val="00445F65"/>
    <w:rsid w:val="00446ACB"/>
    <w:rsid w:val="004536BE"/>
    <w:rsid w:val="00456E95"/>
    <w:rsid w:val="00457C12"/>
    <w:rsid w:val="00460185"/>
    <w:rsid w:val="0046234E"/>
    <w:rsid w:val="00463476"/>
    <w:rsid w:val="00464A5E"/>
    <w:rsid w:val="00467BBF"/>
    <w:rsid w:val="004708CE"/>
    <w:rsid w:val="00471AAF"/>
    <w:rsid w:val="00474D92"/>
    <w:rsid w:val="00477A41"/>
    <w:rsid w:val="00477B51"/>
    <w:rsid w:val="00477B9C"/>
    <w:rsid w:val="00477ED0"/>
    <w:rsid w:val="004802B9"/>
    <w:rsid w:val="00481C66"/>
    <w:rsid w:val="00482703"/>
    <w:rsid w:val="004832BE"/>
    <w:rsid w:val="004836DA"/>
    <w:rsid w:val="004858B1"/>
    <w:rsid w:val="00490BC9"/>
    <w:rsid w:val="00492A34"/>
    <w:rsid w:val="0049323A"/>
    <w:rsid w:val="004937D8"/>
    <w:rsid w:val="00493813"/>
    <w:rsid w:val="00494DE3"/>
    <w:rsid w:val="004950EC"/>
    <w:rsid w:val="004966DD"/>
    <w:rsid w:val="00496C91"/>
    <w:rsid w:val="004A0A84"/>
    <w:rsid w:val="004A0BBD"/>
    <w:rsid w:val="004A160D"/>
    <w:rsid w:val="004A41A9"/>
    <w:rsid w:val="004A5107"/>
    <w:rsid w:val="004A5E9D"/>
    <w:rsid w:val="004A79B0"/>
    <w:rsid w:val="004B31E8"/>
    <w:rsid w:val="004B5178"/>
    <w:rsid w:val="004B5F93"/>
    <w:rsid w:val="004C006C"/>
    <w:rsid w:val="004C1787"/>
    <w:rsid w:val="004C1A6A"/>
    <w:rsid w:val="004C6281"/>
    <w:rsid w:val="004C7465"/>
    <w:rsid w:val="004C7A28"/>
    <w:rsid w:val="004D2F5C"/>
    <w:rsid w:val="004D4C37"/>
    <w:rsid w:val="004D584F"/>
    <w:rsid w:val="004D7F60"/>
    <w:rsid w:val="004E1727"/>
    <w:rsid w:val="004E2F49"/>
    <w:rsid w:val="004E413A"/>
    <w:rsid w:val="004E4C72"/>
    <w:rsid w:val="004E5A6D"/>
    <w:rsid w:val="004F0C0E"/>
    <w:rsid w:val="004F42F5"/>
    <w:rsid w:val="004F4FFA"/>
    <w:rsid w:val="004F5B29"/>
    <w:rsid w:val="004F68C1"/>
    <w:rsid w:val="004F7964"/>
    <w:rsid w:val="00502038"/>
    <w:rsid w:val="00502B6A"/>
    <w:rsid w:val="00502CDC"/>
    <w:rsid w:val="00502FFB"/>
    <w:rsid w:val="00506E2B"/>
    <w:rsid w:val="00507C18"/>
    <w:rsid w:val="0051079B"/>
    <w:rsid w:val="00510F9D"/>
    <w:rsid w:val="0051107E"/>
    <w:rsid w:val="0051116A"/>
    <w:rsid w:val="00511788"/>
    <w:rsid w:val="00513003"/>
    <w:rsid w:val="00513BE9"/>
    <w:rsid w:val="00514ECB"/>
    <w:rsid w:val="00520DC0"/>
    <w:rsid w:val="0052118D"/>
    <w:rsid w:val="00522977"/>
    <w:rsid w:val="005230D9"/>
    <w:rsid w:val="00523E8B"/>
    <w:rsid w:val="00523F88"/>
    <w:rsid w:val="00527118"/>
    <w:rsid w:val="00527FB5"/>
    <w:rsid w:val="00530854"/>
    <w:rsid w:val="00531A10"/>
    <w:rsid w:val="00537EF0"/>
    <w:rsid w:val="0054050F"/>
    <w:rsid w:val="00542EDF"/>
    <w:rsid w:val="00543226"/>
    <w:rsid w:val="00544000"/>
    <w:rsid w:val="0054487F"/>
    <w:rsid w:val="00544C23"/>
    <w:rsid w:val="00545356"/>
    <w:rsid w:val="00545438"/>
    <w:rsid w:val="00547C99"/>
    <w:rsid w:val="005520AC"/>
    <w:rsid w:val="00552A0F"/>
    <w:rsid w:val="00552A39"/>
    <w:rsid w:val="0055342F"/>
    <w:rsid w:val="0055363D"/>
    <w:rsid w:val="00554994"/>
    <w:rsid w:val="005564B3"/>
    <w:rsid w:val="00557917"/>
    <w:rsid w:val="00560FE1"/>
    <w:rsid w:val="0056433D"/>
    <w:rsid w:val="00570900"/>
    <w:rsid w:val="00571A25"/>
    <w:rsid w:val="00573060"/>
    <w:rsid w:val="00573E26"/>
    <w:rsid w:val="00573FF2"/>
    <w:rsid w:val="0057491B"/>
    <w:rsid w:val="00574F3E"/>
    <w:rsid w:val="005774CD"/>
    <w:rsid w:val="00577FE3"/>
    <w:rsid w:val="00581A8E"/>
    <w:rsid w:val="00581F37"/>
    <w:rsid w:val="00583F45"/>
    <w:rsid w:val="0058412D"/>
    <w:rsid w:val="005907EE"/>
    <w:rsid w:val="005913B0"/>
    <w:rsid w:val="0059165A"/>
    <w:rsid w:val="005917A6"/>
    <w:rsid w:val="005922EE"/>
    <w:rsid w:val="00593E13"/>
    <w:rsid w:val="00593FB7"/>
    <w:rsid w:val="00595F0B"/>
    <w:rsid w:val="005976CB"/>
    <w:rsid w:val="005A062D"/>
    <w:rsid w:val="005A10EF"/>
    <w:rsid w:val="005A2F25"/>
    <w:rsid w:val="005A3767"/>
    <w:rsid w:val="005A3F1C"/>
    <w:rsid w:val="005A5337"/>
    <w:rsid w:val="005A5A82"/>
    <w:rsid w:val="005A63E5"/>
    <w:rsid w:val="005A6856"/>
    <w:rsid w:val="005B08BE"/>
    <w:rsid w:val="005B0DF4"/>
    <w:rsid w:val="005B2137"/>
    <w:rsid w:val="005B54E2"/>
    <w:rsid w:val="005B5A70"/>
    <w:rsid w:val="005B64F6"/>
    <w:rsid w:val="005B6EE7"/>
    <w:rsid w:val="005C29E3"/>
    <w:rsid w:val="005C2DC3"/>
    <w:rsid w:val="005C338A"/>
    <w:rsid w:val="005C4EA3"/>
    <w:rsid w:val="005C6CCE"/>
    <w:rsid w:val="005C6FF4"/>
    <w:rsid w:val="005C7166"/>
    <w:rsid w:val="005C72AE"/>
    <w:rsid w:val="005C7A4B"/>
    <w:rsid w:val="005D0481"/>
    <w:rsid w:val="005D1513"/>
    <w:rsid w:val="005D2F65"/>
    <w:rsid w:val="005D3272"/>
    <w:rsid w:val="005D4EE6"/>
    <w:rsid w:val="005D5426"/>
    <w:rsid w:val="005D5B80"/>
    <w:rsid w:val="005D6644"/>
    <w:rsid w:val="005D688C"/>
    <w:rsid w:val="005E0F2C"/>
    <w:rsid w:val="005E53B4"/>
    <w:rsid w:val="005E561A"/>
    <w:rsid w:val="005E59F3"/>
    <w:rsid w:val="005E6742"/>
    <w:rsid w:val="005E6A4B"/>
    <w:rsid w:val="005E744F"/>
    <w:rsid w:val="005F14D1"/>
    <w:rsid w:val="005F1720"/>
    <w:rsid w:val="005F310C"/>
    <w:rsid w:val="005F452D"/>
    <w:rsid w:val="005F56ED"/>
    <w:rsid w:val="005F5F09"/>
    <w:rsid w:val="005F73B1"/>
    <w:rsid w:val="005F7AC7"/>
    <w:rsid w:val="006011EE"/>
    <w:rsid w:val="00601F27"/>
    <w:rsid w:val="00603CC7"/>
    <w:rsid w:val="00605D40"/>
    <w:rsid w:val="00605F32"/>
    <w:rsid w:val="0060679C"/>
    <w:rsid w:val="00606C0F"/>
    <w:rsid w:val="006070F0"/>
    <w:rsid w:val="00610DEA"/>
    <w:rsid w:val="00611A68"/>
    <w:rsid w:val="00611B9F"/>
    <w:rsid w:val="00612519"/>
    <w:rsid w:val="00612A41"/>
    <w:rsid w:val="006144AF"/>
    <w:rsid w:val="0061530E"/>
    <w:rsid w:val="0061781F"/>
    <w:rsid w:val="00622813"/>
    <w:rsid w:val="00622AF4"/>
    <w:rsid w:val="00622F89"/>
    <w:rsid w:val="0062307C"/>
    <w:rsid w:val="00624D20"/>
    <w:rsid w:val="00627B53"/>
    <w:rsid w:val="006331C4"/>
    <w:rsid w:val="00633238"/>
    <w:rsid w:val="00633413"/>
    <w:rsid w:val="00634184"/>
    <w:rsid w:val="0063527E"/>
    <w:rsid w:val="00635BC7"/>
    <w:rsid w:val="006360DE"/>
    <w:rsid w:val="00636940"/>
    <w:rsid w:val="00636D7E"/>
    <w:rsid w:val="0063703D"/>
    <w:rsid w:val="0064019C"/>
    <w:rsid w:val="00641D7D"/>
    <w:rsid w:val="006433D0"/>
    <w:rsid w:val="006449E8"/>
    <w:rsid w:val="00645E14"/>
    <w:rsid w:val="00646798"/>
    <w:rsid w:val="006468BA"/>
    <w:rsid w:val="00646A55"/>
    <w:rsid w:val="00647CF2"/>
    <w:rsid w:val="006507C6"/>
    <w:rsid w:val="0065187C"/>
    <w:rsid w:val="00651B79"/>
    <w:rsid w:val="0065267A"/>
    <w:rsid w:val="00654C2F"/>
    <w:rsid w:val="00655E38"/>
    <w:rsid w:val="00656EA5"/>
    <w:rsid w:val="006613F8"/>
    <w:rsid w:val="00662223"/>
    <w:rsid w:val="00662BF8"/>
    <w:rsid w:val="0066359F"/>
    <w:rsid w:val="0066465E"/>
    <w:rsid w:val="00665E5A"/>
    <w:rsid w:val="00666ED0"/>
    <w:rsid w:val="00667537"/>
    <w:rsid w:val="006714F6"/>
    <w:rsid w:val="0067477E"/>
    <w:rsid w:val="00676D92"/>
    <w:rsid w:val="00681EFA"/>
    <w:rsid w:val="006821B8"/>
    <w:rsid w:val="00685318"/>
    <w:rsid w:val="006870AA"/>
    <w:rsid w:val="00692EE4"/>
    <w:rsid w:val="006942F8"/>
    <w:rsid w:val="00695472"/>
    <w:rsid w:val="006961E7"/>
    <w:rsid w:val="00696A13"/>
    <w:rsid w:val="00696B13"/>
    <w:rsid w:val="0069714E"/>
    <w:rsid w:val="006A1FF5"/>
    <w:rsid w:val="006A4884"/>
    <w:rsid w:val="006A4A05"/>
    <w:rsid w:val="006A4EC5"/>
    <w:rsid w:val="006A5773"/>
    <w:rsid w:val="006B333D"/>
    <w:rsid w:val="006B74D1"/>
    <w:rsid w:val="006C0F5A"/>
    <w:rsid w:val="006C26FD"/>
    <w:rsid w:val="006C27C4"/>
    <w:rsid w:val="006C4EE1"/>
    <w:rsid w:val="006C52EF"/>
    <w:rsid w:val="006C674F"/>
    <w:rsid w:val="006D2173"/>
    <w:rsid w:val="006D35B0"/>
    <w:rsid w:val="006D4F57"/>
    <w:rsid w:val="006D54F9"/>
    <w:rsid w:val="006D5B2B"/>
    <w:rsid w:val="006D5D2E"/>
    <w:rsid w:val="006D6B43"/>
    <w:rsid w:val="006D742B"/>
    <w:rsid w:val="006E1B2A"/>
    <w:rsid w:val="006E1F67"/>
    <w:rsid w:val="006E2016"/>
    <w:rsid w:val="006E40E6"/>
    <w:rsid w:val="006E4857"/>
    <w:rsid w:val="006E4B13"/>
    <w:rsid w:val="006E5490"/>
    <w:rsid w:val="006E553C"/>
    <w:rsid w:val="006E569F"/>
    <w:rsid w:val="006E5C5B"/>
    <w:rsid w:val="006E6DDB"/>
    <w:rsid w:val="006E799A"/>
    <w:rsid w:val="006F0B2C"/>
    <w:rsid w:val="006F135B"/>
    <w:rsid w:val="006F3076"/>
    <w:rsid w:val="006F37FB"/>
    <w:rsid w:val="006F4967"/>
    <w:rsid w:val="006F7588"/>
    <w:rsid w:val="007004BC"/>
    <w:rsid w:val="00700FE6"/>
    <w:rsid w:val="00703082"/>
    <w:rsid w:val="0070502F"/>
    <w:rsid w:val="00711427"/>
    <w:rsid w:val="00711926"/>
    <w:rsid w:val="0071352E"/>
    <w:rsid w:val="0071468C"/>
    <w:rsid w:val="00714C54"/>
    <w:rsid w:val="00715D5F"/>
    <w:rsid w:val="00716164"/>
    <w:rsid w:val="00717AB3"/>
    <w:rsid w:val="00720518"/>
    <w:rsid w:val="00723226"/>
    <w:rsid w:val="00723AE6"/>
    <w:rsid w:val="00723EB7"/>
    <w:rsid w:val="007244B2"/>
    <w:rsid w:val="007244EF"/>
    <w:rsid w:val="00726CCE"/>
    <w:rsid w:val="00726DF0"/>
    <w:rsid w:val="0072702F"/>
    <w:rsid w:val="0073128E"/>
    <w:rsid w:val="00731AE9"/>
    <w:rsid w:val="0073430F"/>
    <w:rsid w:val="00734A00"/>
    <w:rsid w:val="00736CC0"/>
    <w:rsid w:val="007407F2"/>
    <w:rsid w:val="007417AB"/>
    <w:rsid w:val="007420A8"/>
    <w:rsid w:val="00742623"/>
    <w:rsid w:val="007467D9"/>
    <w:rsid w:val="00750409"/>
    <w:rsid w:val="00750659"/>
    <w:rsid w:val="007512EB"/>
    <w:rsid w:val="007519BB"/>
    <w:rsid w:val="007536A6"/>
    <w:rsid w:val="0075440B"/>
    <w:rsid w:val="007545AE"/>
    <w:rsid w:val="0075488E"/>
    <w:rsid w:val="00756682"/>
    <w:rsid w:val="00757959"/>
    <w:rsid w:val="00757D88"/>
    <w:rsid w:val="00760818"/>
    <w:rsid w:val="00760F05"/>
    <w:rsid w:val="00761988"/>
    <w:rsid w:val="00761A26"/>
    <w:rsid w:val="00762C86"/>
    <w:rsid w:val="007631D9"/>
    <w:rsid w:val="007635D5"/>
    <w:rsid w:val="00764721"/>
    <w:rsid w:val="00765932"/>
    <w:rsid w:val="00767045"/>
    <w:rsid w:val="00767193"/>
    <w:rsid w:val="00767C5D"/>
    <w:rsid w:val="00770E2A"/>
    <w:rsid w:val="0077194B"/>
    <w:rsid w:val="007727A9"/>
    <w:rsid w:val="007730CB"/>
    <w:rsid w:val="00773FBE"/>
    <w:rsid w:val="00774F3B"/>
    <w:rsid w:val="0077656A"/>
    <w:rsid w:val="00777F15"/>
    <w:rsid w:val="00780DCA"/>
    <w:rsid w:val="00781A77"/>
    <w:rsid w:val="00781A7F"/>
    <w:rsid w:val="00786B94"/>
    <w:rsid w:val="00787C40"/>
    <w:rsid w:val="00787E8D"/>
    <w:rsid w:val="0079031A"/>
    <w:rsid w:val="007934EC"/>
    <w:rsid w:val="00793550"/>
    <w:rsid w:val="00795BAE"/>
    <w:rsid w:val="00796617"/>
    <w:rsid w:val="00796778"/>
    <w:rsid w:val="007A0B52"/>
    <w:rsid w:val="007A6372"/>
    <w:rsid w:val="007A7670"/>
    <w:rsid w:val="007B39BD"/>
    <w:rsid w:val="007B42B5"/>
    <w:rsid w:val="007B6E56"/>
    <w:rsid w:val="007C0496"/>
    <w:rsid w:val="007C0EE7"/>
    <w:rsid w:val="007C2664"/>
    <w:rsid w:val="007C44CC"/>
    <w:rsid w:val="007C5163"/>
    <w:rsid w:val="007C6E2D"/>
    <w:rsid w:val="007C7442"/>
    <w:rsid w:val="007D13A4"/>
    <w:rsid w:val="007D31B5"/>
    <w:rsid w:val="007D38DE"/>
    <w:rsid w:val="007D44BE"/>
    <w:rsid w:val="007D458D"/>
    <w:rsid w:val="007D52EA"/>
    <w:rsid w:val="007D7226"/>
    <w:rsid w:val="007D753B"/>
    <w:rsid w:val="007E072E"/>
    <w:rsid w:val="007E09AE"/>
    <w:rsid w:val="007E2720"/>
    <w:rsid w:val="007E4D97"/>
    <w:rsid w:val="007E695C"/>
    <w:rsid w:val="007E7E14"/>
    <w:rsid w:val="007F1804"/>
    <w:rsid w:val="007F3DA0"/>
    <w:rsid w:val="007F4396"/>
    <w:rsid w:val="007F5C07"/>
    <w:rsid w:val="007F7A57"/>
    <w:rsid w:val="008007A4"/>
    <w:rsid w:val="008009A0"/>
    <w:rsid w:val="00800D05"/>
    <w:rsid w:val="008024B2"/>
    <w:rsid w:val="0080289D"/>
    <w:rsid w:val="0080462A"/>
    <w:rsid w:val="00804EF5"/>
    <w:rsid w:val="0080562F"/>
    <w:rsid w:val="00806AAE"/>
    <w:rsid w:val="008072C7"/>
    <w:rsid w:val="008101C3"/>
    <w:rsid w:val="0081030B"/>
    <w:rsid w:val="008108CB"/>
    <w:rsid w:val="00810F31"/>
    <w:rsid w:val="008115BC"/>
    <w:rsid w:val="00812C0B"/>
    <w:rsid w:val="008151DC"/>
    <w:rsid w:val="00817C2E"/>
    <w:rsid w:val="0082029E"/>
    <w:rsid w:val="00823468"/>
    <w:rsid w:val="00825439"/>
    <w:rsid w:val="008268CD"/>
    <w:rsid w:val="0083352B"/>
    <w:rsid w:val="00835504"/>
    <w:rsid w:val="00836579"/>
    <w:rsid w:val="0084046B"/>
    <w:rsid w:val="008404B3"/>
    <w:rsid w:val="00842FBA"/>
    <w:rsid w:val="00843F2F"/>
    <w:rsid w:val="00844145"/>
    <w:rsid w:val="00844762"/>
    <w:rsid w:val="00846FE9"/>
    <w:rsid w:val="0085189D"/>
    <w:rsid w:val="00867018"/>
    <w:rsid w:val="00870146"/>
    <w:rsid w:val="00871304"/>
    <w:rsid w:val="00871481"/>
    <w:rsid w:val="0087154E"/>
    <w:rsid w:val="00871EA1"/>
    <w:rsid w:val="00872613"/>
    <w:rsid w:val="00872C24"/>
    <w:rsid w:val="008753FD"/>
    <w:rsid w:val="00875B5B"/>
    <w:rsid w:val="00875EA6"/>
    <w:rsid w:val="00880432"/>
    <w:rsid w:val="008819C7"/>
    <w:rsid w:val="00883811"/>
    <w:rsid w:val="00886A9C"/>
    <w:rsid w:val="008908BE"/>
    <w:rsid w:val="008912E1"/>
    <w:rsid w:val="00891C2F"/>
    <w:rsid w:val="008935CC"/>
    <w:rsid w:val="00894534"/>
    <w:rsid w:val="008951D0"/>
    <w:rsid w:val="00895953"/>
    <w:rsid w:val="008A2613"/>
    <w:rsid w:val="008A4309"/>
    <w:rsid w:val="008A4476"/>
    <w:rsid w:val="008A5A3C"/>
    <w:rsid w:val="008A726D"/>
    <w:rsid w:val="008A73A0"/>
    <w:rsid w:val="008B1889"/>
    <w:rsid w:val="008B1E24"/>
    <w:rsid w:val="008B41DB"/>
    <w:rsid w:val="008B4B89"/>
    <w:rsid w:val="008B6685"/>
    <w:rsid w:val="008B6A9C"/>
    <w:rsid w:val="008B7D15"/>
    <w:rsid w:val="008C0FA3"/>
    <w:rsid w:val="008C5787"/>
    <w:rsid w:val="008C5B18"/>
    <w:rsid w:val="008C6E6A"/>
    <w:rsid w:val="008D001C"/>
    <w:rsid w:val="008D0D1F"/>
    <w:rsid w:val="008D0E78"/>
    <w:rsid w:val="008D0E8F"/>
    <w:rsid w:val="008D110F"/>
    <w:rsid w:val="008D14D7"/>
    <w:rsid w:val="008D30BD"/>
    <w:rsid w:val="008D4672"/>
    <w:rsid w:val="008D4684"/>
    <w:rsid w:val="008D4A40"/>
    <w:rsid w:val="008D4B4E"/>
    <w:rsid w:val="008D52FB"/>
    <w:rsid w:val="008D5DFE"/>
    <w:rsid w:val="008D6D96"/>
    <w:rsid w:val="008E07FF"/>
    <w:rsid w:val="008E0DE3"/>
    <w:rsid w:val="008E1232"/>
    <w:rsid w:val="008E1FD5"/>
    <w:rsid w:val="008E5D14"/>
    <w:rsid w:val="008E61DB"/>
    <w:rsid w:val="008F1D0E"/>
    <w:rsid w:val="008F52E4"/>
    <w:rsid w:val="008F545C"/>
    <w:rsid w:val="008F5527"/>
    <w:rsid w:val="008F6071"/>
    <w:rsid w:val="008F7F4D"/>
    <w:rsid w:val="009038E8"/>
    <w:rsid w:val="00903DBE"/>
    <w:rsid w:val="00904077"/>
    <w:rsid w:val="00904C8B"/>
    <w:rsid w:val="00907987"/>
    <w:rsid w:val="00910280"/>
    <w:rsid w:val="00911241"/>
    <w:rsid w:val="0091249D"/>
    <w:rsid w:val="00912615"/>
    <w:rsid w:val="009148AB"/>
    <w:rsid w:val="00914F35"/>
    <w:rsid w:val="00915F34"/>
    <w:rsid w:val="009212A5"/>
    <w:rsid w:val="009215CC"/>
    <w:rsid w:val="009224E5"/>
    <w:rsid w:val="00924FD8"/>
    <w:rsid w:val="00926099"/>
    <w:rsid w:val="0092777E"/>
    <w:rsid w:val="00927EE2"/>
    <w:rsid w:val="00931AB9"/>
    <w:rsid w:val="00932BE7"/>
    <w:rsid w:val="00933DAF"/>
    <w:rsid w:val="00933E83"/>
    <w:rsid w:val="009342B4"/>
    <w:rsid w:val="009348D3"/>
    <w:rsid w:val="00936482"/>
    <w:rsid w:val="00937BA7"/>
    <w:rsid w:val="00941306"/>
    <w:rsid w:val="00941E45"/>
    <w:rsid w:val="00943830"/>
    <w:rsid w:val="00943B89"/>
    <w:rsid w:val="009466DA"/>
    <w:rsid w:val="00946C28"/>
    <w:rsid w:val="00947D48"/>
    <w:rsid w:val="0095462E"/>
    <w:rsid w:val="00955B1D"/>
    <w:rsid w:val="00956846"/>
    <w:rsid w:val="00956A69"/>
    <w:rsid w:val="009576F2"/>
    <w:rsid w:val="00961463"/>
    <w:rsid w:val="009664A6"/>
    <w:rsid w:val="00966C07"/>
    <w:rsid w:val="00967912"/>
    <w:rsid w:val="009758FF"/>
    <w:rsid w:val="009773DD"/>
    <w:rsid w:val="009807DB"/>
    <w:rsid w:val="00981658"/>
    <w:rsid w:val="0098237D"/>
    <w:rsid w:val="00982F82"/>
    <w:rsid w:val="00983294"/>
    <w:rsid w:val="00983F07"/>
    <w:rsid w:val="00985786"/>
    <w:rsid w:val="00985EC6"/>
    <w:rsid w:val="00987A2A"/>
    <w:rsid w:val="00996380"/>
    <w:rsid w:val="00996A84"/>
    <w:rsid w:val="009A0A94"/>
    <w:rsid w:val="009A1917"/>
    <w:rsid w:val="009A218F"/>
    <w:rsid w:val="009A2EAA"/>
    <w:rsid w:val="009A37CE"/>
    <w:rsid w:val="009A4AE1"/>
    <w:rsid w:val="009A50C8"/>
    <w:rsid w:val="009A57CA"/>
    <w:rsid w:val="009A5914"/>
    <w:rsid w:val="009A79E4"/>
    <w:rsid w:val="009A7B48"/>
    <w:rsid w:val="009B0F2A"/>
    <w:rsid w:val="009B2C26"/>
    <w:rsid w:val="009B644E"/>
    <w:rsid w:val="009C073F"/>
    <w:rsid w:val="009C1A11"/>
    <w:rsid w:val="009C5AD2"/>
    <w:rsid w:val="009C64A2"/>
    <w:rsid w:val="009C76B5"/>
    <w:rsid w:val="009D498D"/>
    <w:rsid w:val="009D58CE"/>
    <w:rsid w:val="009D63B5"/>
    <w:rsid w:val="009D68DD"/>
    <w:rsid w:val="009D6C17"/>
    <w:rsid w:val="009D7261"/>
    <w:rsid w:val="009D76FD"/>
    <w:rsid w:val="009E0C9D"/>
    <w:rsid w:val="009E29EE"/>
    <w:rsid w:val="009E3231"/>
    <w:rsid w:val="009E3344"/>
    <w:rsid w:val="009E3D49"/>
    <w:rsid w:val="009E3E6C"/>
    <w:rsid w:val="009E5CAA"/>
    <w:rsid w:val="009E6ABE"/>
    <w:rsid w:val="009E74D8"/>
    <w:rsid w:val="009E7F36"/>
    <w:rsid w:val="009F15C6"/>
    <w:rsid w:val="009F1A7D"/>
    <w:rsid w:val="009F1E7A"/>
    <w:rsid w:val="009F518C"/>
    <w:rsid w:val="009F7388"/>
    <w:rsid w:val="009F7E85"/>
    <w:rsid w:val="00A028CE"/>
    <w:rsid w:val="00A0303C"/>
    <w:rsid w:val="00A0307C"/>
    <w:rsid w:val="00A030BB"/>
    <w:rsid w:val="00A04610"/>
    <w:rsid w:val="00A05757"/>
    <w:rsid w:val="00A06F6B"/>
    <w:rsid w:val="00A07211"/>
    <w:rsid w:val="00A10969"/>
    <w:rsid w:val="00A112ED"/>
    <w:rsid w:val="00A1135F"/>
    <w:rsid w:val="00A123F2"/>
    <w:rsid w:val="00A127C8"/>
    <w:rsid w:val="00A145EF"/>
    <w:rsid w:val="00A158DD"/>
    <w:rsid w:val="00A16002"/>
    <w:rsid w:val="00A20BCD"/>
    <w:rsid w:val="00A21155"/>
    <w:rsid w:val="00A241AB"/>
    <w:rsid w:val="00A2559B"/>
    <w:rsid w:val="00A25DDD"/>
    <w:rsid w:val="00A25F1E"/>
    <w:rsid w:val="00A26334"/>
    <w:rsid w:val="00A269F4"/>
    <w:rsid w:val="00A27271"/>
    <w:rsid w:val="00A277BC"/>
    <w:rsid w:val="00A307E2"/>
    <w:rsid w:val="00A3138C"/>
    <w:rsid w:val="00A353BB"/>
    <w:rsid w:val="00A41B4C"/>
    <w:rsid w:val="00A422E9"/>
    <w:rsid w:val="00A43960"/>
    <w:rsid w:val="00A44F7B"/>
    <w:rsid w:val="00A4511D"/>
    <w:rsid w:val="00A459CA"/>
    <w:rsid w:val="00A46F53"/>
    <w:rsid w:val="00A50CCC"/>
    <w:rsid w:val="00A50D8F"/>
    <w:rsid w:val="00A51725"/>
    <w:rsid w:val="00A52409"/>
    <w:rsid w:val="00A52AB0"/>
    <w:rsid w:val="00A531F8"/>
    <w:rsid w:val="00A53E43"/>
    <w:rsid w:val="00A6261A"/>
    <w:rsid w:val="00A63543"/>
    <w:rsid w:val="00A63BC6"/>
    <w:rsid w:val="00A71BDE"/>
    <w:rsid w:val="00A7316D"/>
    <w:rsid w:val="00A75DCE"/>
    <w:rsid w:val="00A75F36"/>
    <w:rsid w:val="00A76DA0"/>
    <w:rsid w:val="00A77061"/>
    <w:rsid w:val="00A817B6"/>
    <w:rsid w:val="00A817CA"/>
    <w:rsid w:val="00A819A6"/>
    <w:rsid w:val="00A81A62"/>
    <w:rsid w:val="00A833BD"/>
    <w:rsid w:val="00A850D5"/>
    <w:rsid w:val="00A92473"/>
    <w:rsid w:val="00A9249E"/>
    <w:rsid w:val="00A92929"/>
    <w:rsid w:val="00A93206"/>
    <w:rsid w:val="00A93ACE"/>
    <w:rsid w:val="00A93D45"/>
    <w:rsid w:val="00A94708"/>
    <w:rsid w:val="00A94E2C"/>
    <w:rsid w:val="00A95B7B"/>
    <w:rsid w:val="00A96B60"/>
    <w:rsid w:val="00AA0C1B"/>
    <w:rsid w:val="00AA1A25"/>
    <w:rsid w:val="00AA20DA"/>
    <w:rsid w:val="00AA24AF"/>
    <w:rsid w:val="00AA37EA"/>
    <w:rsid w:val="00AA484E"/>
    <w:rsid w:val="00AA4F71"/>
    <w:rsid w:val="00AA5BCF"/>
    <w:rsid w:val="00AA613B"/>
    <w:rsid w:val="00AA76BD"/>
    <w:rsid w:val="00AA7965"/>
    <w:rsid w:val="00AB21A9"/>
    <w:rsid w:val="00AB33FF"/>
    <w:rsid w:val="00AB6E66"/>
    <w:rsid w:val="00AB76CA"/>
    <w:rsid w:val="00AC04B4"/>
    <w:rsid w:val="00AC0A64"/>
    <w:rsid w:val="00AC58F0"/>
    <w:rsid w:val="00AC659E"/>
    <w:rsid w:val="00AC7EDD"/>
    <w:rsid w:val="00AD0044"/>
    <w:rsid w:val="00AD0B87"/>
    <w:rsid w:val="00AD23AF"/>
    <w:rsid w:val="00AD2B4A"/>
    <w:rsid w:val="00AD61CC"/>
    <w:rsid w:val="00AD690C"/>
    <w:rsid w:val="00AE121A"/>
    <w:rsid w:val="00AE2322"/>
    <w:rsid w:val="00AE2351"/>
    <w:rsid w:val="00AE2B45"/>
    <w:rsid w:val="00AE4B52"/>
    <w:rsid w:val="00AE6358"/>
    <w:rsid w:val="00AE6EFB"/>
    <w:rsid w:val="00AE7ABC"/>
    <w:rsid w:val="00AE7C4B"/>
    <w:rsid w:val="00AF28AF"/>
    <w:rsid w:val="00AF3D3A"/>
    <w:rsid w:val="00B00022"/>
    <w:rsid w:val="00B0095A"/>
    <w:rsid w:val="00B00DB5"/>
    <w:rsid w:val="00B01092"/>
    <w:rsid w:val="00B032D2"/>
    <w:rsid w:val="00B039FD"/>
    <w:rsid w:val="00B1007E"/>
    <w:rsid w:val="00B1095F"/>
    <w:rsid w:val="00B16AFA"/>
    <w:rsid w:val="00B16D90"/>
    <w:rsid w:val="00B2183D"/>
    <w:rsid w:val="00B21F9F"/>
    <w:rsid w:val="00B23043"/>
    <w:rsid w:val="00B2454A"/>
    <w:rsid w:val="00B24C0F"/>
    <w:rsid w:val="00B26282"/>
    <w:rsid w:val="00B26350"/>
    <w:rsid w:val="00B30AF7"/>
    <w:rsid w:val="00B316E8"/>
    <w:rsid w:val="00B32302"/>
    <w:rsid w:val="00B371B1"/>
    <w:rsid w:val="00B4262E"/>
    <w:rsid w:val="00B42AFB"/>
    <w:rsid w:val="00B445D6"/>
    <w:rsid w:val="00B44D33"/>
    <w:rsid w:val="00B44EFF"/>
    <w:rsid w:val="00B45C86"/>
    <w:rsid w:val="00B475F5"/>
    <w:rsid w:val="00B47A72"/>
    <w:rsid w:val="00B47EA2"/>
    <w:rsid w:val="00B50175"/>
    <w:rsid w:val="00B508D8"/>
    <w:rsid w:val="00B533BB"/>
    <w:rsid w:val="00B55950"/>
    <w:rsid w:val="00B618DB"/>
    <w:rsid w:val="00B61E9A"/>
    <w:rsid w:val="00B6223E"/>
    <w:rsid w:val="00B62AD6"/>
    <w:rsid w:val="00B650E7"/>
    <w:rsid w:val="00B72F8C"/>
    <w:rsid w:val="00B73501"/>
    <w:rsid w:val="00B7392B"/>
    <w:rsid w:val="00B74B6A"/>
    <w:rsid w:val="00B76DA0"/>
    <w:rsid w:val="00B77E77"/>
    <w:rsid w:val="00B8096C"/>
    <w:rsid w:val="00B85044"/>
    <w:rsid w:val="00B87C2D"/>
    <w:rsid w:val="00B900C4"/>
    <w:rsid w:val="00B905EC"/>
    <w:rsid w:val="00B9324F"/>
    <w:rsid w:val="00B94556"/>
    <w:rsid w:val="00B9496D"/>
    <w:rsid w:val="00B95678"/>
    <w:rsid w:val="00B97245"/>
    <w:rsid w:val="00B97549"/>
    <w:rsid w:val="00B97B14"/>
    <w:rsid w:val="00B97B49"/>
    <w:rsid w:val="00B97EE1"/>
    <w:rsid w:val="00BA1F90"/>
    <w:rsid w:val="00BA35B2"/>
    <w:rsid w:val="00BA4A54"/>
    <w:rsid w:val="00BA7250"/>
    <w:rsid w:val="00BB0C9E"/>
    <w:rsid w:val="00BB1DEC"/>
    <w:rsid w:val="00BB24FC"/>
    <w:rsid w:val="00BB32D7"/>
    <w:rsid w:val="00BB334D"/>
    <w:rsid w:val="00BB42B9"/>
    <w:rsid w:val="00BB46BA"/>
    <w:rsid w:val="00BB5328"/>
    <w:rsid w:val="00BB57EA"/>
    <w:rsid w:val="00BB5869"/>
    <w:rsid w:val="00BB591F"/>
    <w:rsid w:val="00BB5E1A"/>
    <w:rsid w:val="00BB6001"/>
    <w:rsid w:val="00BB64F3"/>
    <w:rsid w:val="00BB7364"/>
    <w:rsid w:val="00BC04F9"/>
    <w:rsid w:val="00BC1C02"/>
    <w:rsid w:val="00BC3004"/>
    <w:rsid w:val="00BC6344"/>
    <w:rsid w:val="00BC6CBA"/>
    <w:rsid w:val="00BC7709"/>
    <w:rsid w:val="00BC7D2E"/>
    <w:rsid w:val="00BD10FD"/>
    <w:rsid w:val="00BD15C1"/>
    <w:rsid w:val="00BD35DB"/>
    <w:rsid w:val="00BD43EC"/>
    <w:rsid w:val="00BD4C6F"/>
    <w:rsid w:val="00BE0B54"/>
    <w:rsid w:val="00BE2FD6"/>
    <w:rsid w:val="00BE489E"/>
    <w:rsid w:val="00BE5E87"/>
    <w:rsid w:val="00BF0261"/>
    <w:rsid w:val="00BF0DB9"/>
    <w:rsid w:val="00BF1ACE"/>
    <w:rsid w:val="00BF1DFD"/>
    <w:rsid w:val="00BF26DF"/>
    <w:rsid w:val="00BF4EDF"/>
    <w:rsid w:val="00BF5531"/>
    <w:rsid w:val="00BF62D3"/>
    <w:rsid w:val="00C0281C"/>
    <w:rsid w:val="00C02A75"/>
    <w:rsid w:val="00C045E0"/>
    <w:rsid w:val="00C04647"/>
    <w:rsid w:val="00C1421E"/>
    <w:rsid w:val="00C15038"/>
    <w:rsid w:val="00C157E8"/>
    <w:rsid w:val="00C17833"/>
    <w:rsid w:val="00C21D6F"/>
    <w:rsid w:val="00C21FCE"/>
    <w:rsid w:val="00C2202F"/>
    <w:rsid w:val="00C22338"/>
    <w:rsid w:val="00C2643F"/>
    <w:rsid w:val="00C279F4"/>
    <w:rsid w:val="00C3000D"/>
    <w:rsid w:val="00C3010B"/>
    <w:rsid w:val="00C3261E"/>
    <w:rsid w:val="00C32EC8"/>
    <w:rsid w:val="00C33B7F"/>
    <w:rsid w:val="00C350EE"/>
    <w:rsid w:val="00C36B45"/>
    <w:rsid w:val="00C36CF3"/>
    <w:rsid w:val="00C36E90"/>
    <w:rsid w:val="00C37115"/>
    <w:rsid w:val="00C401D2"/>
    <w:rsid w:val="00C402DC"/>
    <w:rsid w:val="00C43E01"/>
    <w:rsid w:val="00C5059E"/>
    <w:rsid w:val="00C53213"/>
    <w:rsid w:val="00C55AE3"/>
    <w:rsid w:val="00C55DF6"/>
    <w:rsid w:val="00C56C31"/>
    <w:rsid w:val="00C57482"/>
    <w:rsid w:val="00C605B0"/>
    <w:rsid w:val="00C612A6"/>
    <w:rsid w:val="00C61635"/>
    <w:rsid w:val="00C62987"/>
    <w:rsid w:val="00C631A5"/>
    <w:rsid w:val="00C63694"/>
    <w:rsid w:val="00C63D7B"/>
    <w:rsid w:val="00C64915"/>
    <w:rsid w:val="00C65A33"/>
    <w:rsid w:val="00C7074B"/>
    <w:rsid w:val="00C72853"/>
    <w:rsid w:val="00C72A44"/>
    <w:rsid w:val="00C774A7"/>
    <w:rsid w:val="00C77845"/>
    <w:rsid w:val="00C80281"/>
    <w:rsid w:val="00C81FFD"/>
    <w:rsid w:val="00C8270E"/>
    <w:rsid w:val="00C84D3A"/>
    <w:rsid w:val="00C876AD"/>
    <w:rsid w:val="00C87E63"/>
    <w:rsid w:val="00C87F1F"/>
    <w:rsid w:val="00C925CC"/>
    <w:rsid w:val="00C93076"/>
    <w:rsid w:val="00C93B1D"/>
    <w:rsid w:val="00C94467"/>
    <w:rsid w:val="00C944F5"/>
    <w:rsid w:val="00CA0153"/>
    <w:rsid w:val="00CA0BAE"/>
    <w:rsid w:val="00CA2F86"/>
    <w:rsid w:val="00CA3593"/>
    <w:rsid w:val="00CA3BED"/>
    <w:rsid w:val="00CA6029"/>
    <w:rsid w:val="00CA6E40"/>
    <w:rsid w:val="00CA74FF"/>
    <w:rsid w:val="00CA7838"/>
    <w:rsid w:val="00CA7DEE"/>
    <w:rsid w:val="00CB05B8"/>
    <w:rsid w:val="00CB2D59"/>
    <w:rsid w:val="00CB56DC"/>
    <w:rsid w:val="00CB5A68"/>
    <w:rsid w:val="00CB6BC1"/>
    <w:rsid w:val="00CB7586"/>
    <w:rsid w:val="00CC1593"/>
    <w:rsid w:val="00CC3492"/>
    <w:rsid w:val="00CC4B97"/>
    <w:rsid w:val="00CC6833"/>
    <w:rsid w:val="00CD1EFF"/>
    <w:rsid w:val="00CD2230"/>
    <w:rsid w:val="00CD22D3"/>
    <w:rsid w:val="00CD2433"/>
    <w:rsid w:val="00CD39C3"/>
    <w:rsid w:val="00CD4813"/>
    <w:rsid w:val="00CD6C2D"/>
    <w:rsid w:val="00CE08AC"/>
    <w:rsid w:val="00CE09AD"/>
    <w:rsid w:val="00CE1526"/>
    <w:rsid w:val="00CE1554"/>
    <w:rsid w:val="00CE3051"/>
    <w:rsid w:val="00CE4CCF"/>
    <w:rsid w:val="00CE5C6C"/>
    <w:rsid w:val="00CE6C04"/>
    <w:rsid w:val="00CF03FB"/>
    <w:rsid w:val="00CF04C9"/>
    <w:rsid w:val="00CF16C4"/>
    <w:rsid w:val="00CF1FA1"/>
    <w:rsid w:val="00CF421B"/>
    <w:rsid w:val="00CF4971"/>
    <w:rsid w:val="00CF6CD6"/>
    <w:rsid w:val="00D00373"/>
    <w:rsid w:val="00D00B47"/>
    <w:rsid w:val="00D026CC"/>
    <w:rsid w:val="00D0376E"/>
    <w:rsid w:val="00D03B41"/>
    <w:rsid w:val="00D10882"/>
    <w:rsid w:val="00D10ED2"/>
    <w:rsid w:val="00D110DE"/>
    <w:rsid w:val="00D12282"/>
    <w:rsid w:val="00D125D1"/>
    <w:rsid w:val="00D13D44"/>
    <w:rsid w:val="00D16206"/>
    <w:rsid w:val="00D16A66"/>
    <w:rsid w:val="00D16FE6"/>
    <w:rsid w:val="00D223E0"/>
    <w:rsid w:val="00D22DD9"/>
    <w:rsid w:val="00D23939"/>
    <w:rsid w:val="00D24C3F"/>
    <w:rsid w:val="00D2516B"/>
    <w:rsid w:val="00D25B1F"/>
    <w:rsid w:val="00D26179"/>
    <w:rsid w:val="00D26DCB"/>
    <w:rsid w:val="00D26E75"/>
    <w:rsid w:val="00D270B2"/>
    <w:rsid w:val="00D271F6"/>
    <w:rsid w:val="00D275B5"/>
    <w:rsid w:val="00D318F2"/>
    <w:rsid w:val="00D321D6"/>
    <w:rsid w:val="00D367D2"/>
    <w:rsid w:val="00D36847"/>
    <w:rsid w:val="00D37DB5"/>
    <w:rsid w:val="00D40F20"/>
    <w:rsid w:val="00D418F3"/>
    <w:rsid w:val="00D41AF5"/>
    <w:rsid w:val="00D42F99"/>
    <w:rsid w:val="00D4504F"/>
    <w:rsid w:val="00D46079"/>
    <w:rsid w:val="00D511CD"/>
    <w:rsid w:val="00D53EA9"/>
    <w:rsid w:val="00D54EB1"/>
    <w:rsid w:val="00D55293"/>
    <w:rsid w:val="00D570C0"/>
    <w:rsid w:val="00D570EA"/>
    <w:rsid w:val="00D5711E"/>
    <w:rsid w:val="00D57A12"/>
    <w:rsid w:val="00D61DCA"/>
    <w:rsid w:val="00D61F75"/>
    <w:rsid w:val="00D6238D"/>
    <w:rsid w:val="00D63184"/>
    <w:rsid w:val="00D65EA7"/>
    <w:rsid w:val="00D661EE"/>
    <w:rsid w:val="00D667DB"/>
    <w:rsid w:val="00D67B9D"/>
    <w:rsid w:val="00D736F3"/>
    <w:rsid w:val="00D7409F"/>
    <w:rsid w:val="00D7457C"/>
    <w:rsid w:val="00D74A70"/>
    <w:rsid w:val="00D74D2D"/>
    <w:rsid w:val="00D80A0C"/>
    <w:rsid w:val="00D81A57"/>
    <w:rsid w:val="00D8260A"/>
    <w:rsid w:val="00D833E8"/>
    <w:rsid w:val="00D84FAE"/>
    <w:rsid w:val="00D8512F"/>
    <w:rsid w:val="00D868DB"/>
    <w:rsid w:val="00D873AF"/>
    <w:rsid w:val="00D90DD3"/>
    <w:rsid w:val="00D90F7A"/>
    <w:rsid w:val="00D9131E"/>
    <w:rsid w:val="00D92B70"/>
    <w:rsid w:val="00D92CB2"/>
    <w:rsid w:val="00D93E19"/>
    <w:rsid w:val="00D93F9E"/>
    <w:rsid w:val="00D9664B"/>
    <w:rsid w:val="00D97CEB"/>
    <w:rsid w:val="00DA11D5"/>
    <w:rsid w:val="00DA38BC"/>
    <w:rsid w:val="00DA3EF7"/>
    <w:rsid w:val="00DA49A4"/>
    <w:rsid w:val="00DA607F"/>
    <w:rsid w:val="00DB337B"/>
    <w:rsid w:val="00DB50D3"/>
    <w:rsid w:val="00DB5CAE"/>
    <w:rsid w:val="00DC000A"/>
    <w:rsid w:val="00DC0F63"/>
    <w:rsid w:val="00DC189C"/>
    <w:rsid w:val="00DC1EFA"/>
    <w:rsid w:val="00DC22E2"/>
    <w:rsid w:val="00DC3C84"/>
    <w:rsid w:val="00DC5851"/>
    <w:rsid w:val="00DC7732"/>
    <w:rsid w:val="00DD071E"/>
    <w:rsid w:val="00DD0B64"/>
    <w:rsid w:val="00DD1570"/>
    <w:rsid w:val="00DD2DBB"/>
    <w:rsid w:val="00DD3F6A"/>
    <w:rsid w:val="00DD41F5"/>
    <w:rsid w:val="00DD5BC0"/>
    <w:rsid w:val="00DD7641"/>
    <w:rsid w:val="00DD7F85"/>
    <w:rsid w:val="00DE0BEE"/>
    <w:rsid w:val="00DE1A4F"/>
    <w:rsid w:val="00DE23A2"/>
    <w:rsid w:val="00DE7184"/>
    <w:rsid w:val="00DF1BD5"/>
    <w:rsid w:val="00DF2E13"/>
    <w:rsid w:val="00DF3A9F"/>
    <w:rsid w:val="00DF52B7"/>
    <w:rsid w:val="00DF55DD"/>
    <w:rsid w:val="00DF5F59"/>
    <w:rsid w:val="00DF6878"/>
    <w:rsid w:val="00DF696C"/>
    <w:rsid w:val="00E0351D"/>
    <w:rsid w:val="00E0450E"/>
    <w:rsid w:val="00E05849"/>
    <w:rsid w:val="00E062D3"/>
    <w:rsid w:val="00E1081B"/>
    <w:rsid w:val="00E10846"/>
    <w:rsid w:val="00E10FC3"/>
    <w:rsid w:val="00E12D62"/>
    <w:rsid w:val="00E12E60"/>
    <w:rsid w:val="00E13920"/>
    <w:rsid w:val="00E1432E"/>
    <w:rsid w:val="00E2145A"/>
    <w:rsid w:val="00E21FB3"/>
    <w:rsid w:val="00E2379B"/>
    <w:rsid w:val="00E23EEA"/>
    <w:rsid w:val="00E240EE"/>
    <w:rsid w:val="00E24927"/>
    <w:rsid w:val="00E25C91"/>
    <w:rsid w:val="00E26B16"/>
    <w:rsid w:val="00E27AFA"/>
    <w:rsid w:val="00E30851"/>
    <w:rsid w:val="00E32842"/>
    <w:rsid w:val="00E33488"/>
    <w:rsid w:val="00E3699E"/>
    <w:rsid w:val="00E3778E"/>
    <w:rsid w:val="00E43EC7"/>
    <w:rsid w:val="00E45E85"/>
    <w:rsid w:val="00E50EA0"/>
    <w:rsid w:val="00E510F9"/>
    <w:rsid w:val="00E519B1"/>
    <w:rsid w:val="00E52A68"/>
    <w:rsid w:val="00E53CDD"/>
    <w:rsid w:val="00E545E0"/>
    <w:rsid w:val="00E54867"/>
    <w:rsid w:val="00E61A6B"/>
    <w:rsid w:val="00E63078"/>
    <w:rsid w:val="00E64FEF"/>
    <w:rsid w:val="00E67A09"/>
    <w:rsid w:val="00E70ED3"/>
    <w:rsid w:val="00E70FD0"/>
    <w:rsid w:val="00E7155A"/>
    <w:rsid w:val="00E71BDD"/>
    <w:rsid w:val="00E720C3"/>
    <w:rsid w:val="00E7214F"/>
    <w:rsid w:val="00E72E10"/>
    <w:rsid w:val="00E734E2"/>
    <w:rsid w:val="00E73509"/>
    <w:rsid w:val="00E74001"/>
    <w:rsid w:val="00E74F4C"/>
    <w:rsid w:val="00E75A4E"/>
    <w:rsid w:val="00E76E15"/>
    <w:rsid w:val="00E7705C"/>
    <w:rsid w:val="00E811EB"/>
    <w:rsid w:val="00E82E3F"/>
    <w:rsid w:val="00E831B9"/>
    <w:rsid w:val="00E84F6B"/>
    <w:rsid w:val="00E868CE"/>
    <w:rsid w:val="00E8734B"/>
    <w:rsid w:val="00E90908"/>
    <w:rsid w:val="00E90B56"/>
    <w:rsid w:val="00E91898"/>
    <w:rsid w:val="00E93530"/>
    <w:rsid w:val="00E946DA"/>
    <w:rsid w:val="00E94CA5"/>
    <w:rsid w:val="00E9637F"/>
    <w:rsid w:val="00E9744D"/>
    <w:rsid w:val="00EA06FA"/>
    <w:rsid w:val="00EA07B7"/>
    <w:rsid w:val="00EA2001"/>
    <w:rsid w:val="00EA47BC"/>
    <w:rsid w:val="00EA47C1"/>
    <w:rsid w:val="00EA4DD2"/>
    <w:rsid w:val="00EA596B"/>
    <w:rsid w:val="00EA6384"/>
    <w:rsid w:val="00EA7226"/>
    <w:rsid w:val="00EA744D"/>
    <w:rsid w:val="00EB08B2"/>
    <w:rsid w:val="00EB39AA"/>
    <w:rsid w:val="00EB68CE"/>
    <w:rsid w:val="00EB7445"/>
    <w:rsid w:val="00EC0FCC"/>
    <w:rsid w:val="00EC1B6B"/>
    <w:rsid w:val="00EC2138"/>
    <w:rsid w:val="00EC2E90"/>
    <w:rsid w:val="00ED12FB"/>
    <w:rsid w:val="00ED500F"/>
    <w:rsid w:val="00ED55A9"/>
    <w:rsid w:val="00ED6B81"/>
    <w:rsid w:val="00EE2872"/>
    <w:rsid w:val="00EE28C1"/>
    <w:rsid w:val="00EE42B2"/>
    <w:rsid w:val="00EE4919"/>
    <w:rsid w:val="00EE72C2"/>
    <w:rsid w:val="00EE7910"/>
    <w:rsid w:val="00EE7CD3"/>
    <w:rsid w:val="00EF1EFC"/>
    <w:rsid w:val="00EF245E"/>
    <w:rsid w:val="00EF4807"/>
    <w:rsid w:val="00EF51C3"/>
    <w:rsid w:val="00EF6A9D"/>
    <w:rsid w:val="00F01CBA"/>
    <w:rsid w:val="00F02526"/>
    <w:rsid w:val="00F030E8"/>
    <w:rsid w:val="00F038CC"/>
    <w:rsid w:val="00F06CEE"/>
    <w:rsid w:val="00F10708"/>
    <w:rsid w:val="00F10F94"/>
    <w:rsid w:val="00F1112C"/>
    <w:rsid w:val="00F11214"/>
    <w:rsid w:val="00F124E3"/>
    <w:rsid w:val="00F12933"/>
    <w:rsid w:val="00F12E79"/>
    <w:rsid w:val="00F14CEA"/>
    <w:rsid w:val="00F14F9D"/>
    <w:rsid w:val="00F153C2"/>
    <w:rsid w:val="00F1600B"/>
    <w:rsid w:val="00F16915"/>
    <w:rsid w:val="00F16AEC"/>
    <w:rsid w:val="00F21C95"/>
    <w:rsid w:val="00F23036"/>
    <w:rsid w:val="00F24365"/>
    <w:rsid w:val="00F245E5"/>
    <w:rsid w:val="00F2684E"/>
    <w:rsid w:val="00F33486"/>
    <w:rsid w:val="00F35CB0"/>
    <w:rsid w:val="00F371A0"/>
    <w:rsid w:val="00F4001C"/>
    <w:rsid w:val="00F43057"/>
    <w:rsid w:val="00F430CF"/>
    <w:rsid w:val="00F43AEA"/>
    <w:rsid w:val="00F448F4"/>
    <w:rsid w:val="00F50B95"/>
    <w:rsid w:val="00F51310"/>
    <w:rsid w:val="00F5250B"/>
    <w:rsid w:val="00F53BF1"/>
    <w:rsid w:val="00F563B1"/>
    <w:rsid w:val="00F568AA"/>
    <w:rsid w:val="00F5703E"/>
    <w:rsid w:val="00F63358"/>
    <w:rsid w:val="00F642C6"/>
    <w:rsid w:val="00F66547"/>
    <w:rsid w:val="00F666B8"/>
    <w:rsid w:val="00F75C6F"/>
    <w:rsid w:val="00F75D47"/>
    <w:rsid w:val="00F76647"/>
    <w:rsid w:val="00F77CF9"/>
    <w:rsid w:val="00F819C2"/>
    <w:rsid w:val="00F84888"/>
    <w:rsid w:val="00F857B1"/>
    <w:rsid w:val="00F86EE5"/>
    <w:rsid w:val="00F931B5"/>
    <w:rsid w:val="00F938A4"/>
    <w:rsid w:val="00F963A8"/>
    <w:rsid w:val="00F97AC0"/>
    <w:rsid w:val="00F97D9F"/>
    <w:rsid w:val="00FA1335"/>
    <w:rsid w:val="00FA1FE2"/>
    <w:rsid w:val="00FA21FB"/>
    <w:rsid w:val="00FA2617"/>
    <w:rsid w:val="00FA298F"/>
    <w:rsid w:val="00FB131C"/>
    <w:rsid w:val="00FB3191"/>
    <w:rsid w:val="00FB3F17"/>
    <w:rsid w:val="00FB4073"/>
    <w:rsid w:val="00FB6A9C"/>
    <w:rsid w:val="00FC1A03"/>
    <w:rsid w:val="00FC1CCA"/>
    <w:rsid w:val="00FC241B"/>
    <w:rsid w:val="00FC3542"/>
    <w:rsid w:val="00FC45D2"/>
    <w:rsid w:val="00FC60ED"/>
    <w:rsid w:val="00FC701B"/>
    <w:rsid w:val="00FD05F9"/>
    <w:rsid w:val="00FD1669"/>
    <w:rsid w:val="00FD3FED"/>
    <w:rsid w:val="00FD42DB"/>
    <w:rsid w:val="00FD7097"/>
    <w:rsid w:val="00FE0374"/>
    <w:rsid w:val="00FE2C1E"/>
    <w:rsid w:val="00FE3E10"/>
    <w:rsid w:val="00FE5B56"/>
    <w:rsid w:val="00FE5C75"/>
    <w:rsid w:val="00FE623B"/>
    <w:rsid w:val="00FE6965"/>
    <w:rsid w:val="00FF3B0A"/>
    <w:rsid w:val="00FF421D"/>
    <w:rsid w:val="00FF5696"/>
    <w:rsid w:val="00FF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78ED719-851D-49D9-A03D-274C23B5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A44F7B"/>
    <w:pPr>
      <w:keepNext/>
      <w:keepLines/>
      <w:spacing w:line="254" w:lineRule="auto"/>
      <w:outlineLvl w:val="0"/>
    </w:pPr>
    <w:rPr>
      <w:rFonts w:ascii="Calibri" w:eastAsia="Calibri" w:hAnsi="Calibri" w:cs="Tahoma"/>
      <w:b/>
      <w:i/>
      <w:szCs w:val="32"/>
    </w:rPr>
  </w:style>
  <w:style w:type="paragraph" w:styleId="Heading2">
    <w:name w:val="heading 2"/>
    <w:basedOn w:val="Normal"/>
    <w:next w:val="Normal"/>
    <w:link w:val="Heading2Char"/>
    <w:uiPriority w:val="9"/>
    <w:unhideWhenUsed/>
    <w:qFormat/>
    <w:rsid w:val="00CA3B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4F7964"/>
    <w:pPr>
      <w:keepNext/>
      <w:keepLines/>
      <w:spacing w:before="40" w:after="0"/>
      <w:outlineLvl w:val="2"/>
    </w:pPr>
    <w:rPr>
      <w:rFonts w:asciiTheme="majorHAnsi" w:eastAsiaTheme="majorEastAsia" w:hAnsiTheme="majorHAnsi" w:cstheme="majorBidi"/>
      <w:color w:val="1F4D78" w:themeColor="accent1" w:themeShade="7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basedOn w:val="Normal"/>
    <w:unhideWhenUsed/>
    <w:qFormat/>
    <w:rsid w:val="00065A6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65A62"/>
    <w:rPr>
      <w:i/>
      <w:iCs/>
    </w:rPr>
  </w:style>
  <w:style w:type="paragraph" w:styleId="ListParagraph">
    <w:name w:val="List Paragraph"/>
    <w:aliases w:val="strikethrough,List Paragraph 1,Scriptoria bullet points,standaard met opsomming,Абзац списка1"/>
    <w:basedOn w:val="Normal"/>
    <w:link w:val="ListParagraphChar"/>
    <w:uiPriority w:val="34"/>
    <w:qFormat/>
    <w:rsid w:val="00F24365"/>
    <w:pPr>
      <w:ind w:left="720"/>
      <w:contextualSpacing/>
    </w:pPr>
  </w:style>
  <w:style w:type="table" w:styleId="TableGrid">
    <w:name w:val="Table Grid"/>
    <w:basedOn w:val="TableNormal"/>
    <w:uiPriority w:val="59"/>
    <w:rsid w:val="00032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turInternet">
    <w:name w:val="Legătură Internet"/>
    <w:basedOn w:val="DefaultParagraphFont"/>
    <w:rsid w:val="00943830"/>
    <w:rPr>
      <w:color w:val="0563C1"/>
      <w:u w:val="single"/>
    </w:rPr>
  </w:style>
  <w:style w:type="paragraph" w:styleId="Header">
    <w:name w:val="header"/>
    <w:basedOn w:val="Normal"/>
    <w:link w:val="HeaderChar"/>
    <w:uiPriority w:val="99"/>
    <w:unhideWhenUsed/>
    <w:rsid w:val="00943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830"/>
  </w:style>
  <w:style w:type="paragraph" w:styleId="Footer">
    <w:name w:val="footer"/>
    <w:basedOn w:val="Normal"/>
    <w:link w:val="FooterChar"/>
    <w:uiPriority w:val="99"/>
    <w:unhideWhenUsed/>
    <w:rsid w:val="00943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830"/>
  </w:style>
  <w:style w:type="paragraph" w:styleId="NoSpacing">
    <w:name w:val="No Spacing"/>
    <w:link w:val="NoSpacingChar"/>
    <w:uiPriority w:val="1"/>
    <w:qFormat/>
    <w:rsid w:val="00EA7226"/>
    <w:pPr>
      <w:spacing w:after="0" w:line="240" w:lineRule="auto"/>
    </w:pPr>
  </w:style>
  <w:style w:type="character" w:customStyle="1" w:styleId="NoSpacingChar">
    <w:name w:val="No Spacing Char"/>
    <w:basedOn w:val="DefaultParagraphFont"/>
    <w:link w:val="NoSpacing"/>
    <w:uiPriority w:val="1"/>
    <w:rsid w:val="00EA7226"/>
  </w:style>
  <w:style w:type="character" w:customStyle="1" w:styleId="Heading1Char">
    <w:name w:val="Heading 1 Char"/>
    <w:basedOn w:val="DefaultParagraphFont"/>
    <w:link w:val="Heading1"/>
    <w:rsid w:val="00A44F7B"/>
    <w:rPr>
      <w:rFonts w:ascii="Calibri" w:eastAsia="Calibri" w:hAnsi="Calibri" w:cs="Tahoma"/>
      <w:b/>
      <w:i/>
      <w:szCs w:val="32"/>
    </w:rPr>
  </w:style>
  <w:style w:type="character" w:customStyle="1" w:styleId="Ancoranoteidesubsol">
    <w:name w:val="Ancora notei de subsol"/>
    <w:rsid w:val="00A44F7B"/>
    <w:rPr>
      <w:vertAlign w:val="superscript"/>
    </w:rPr>
  </w:style>
  <w:style w:type="paragraph" w:styleId="FootnoteText">
    <w:name w:val="footnote text"/>
    <w:aliases w:val="Char,Знак1,single space,FOOTNOTES,fn,Footnote Text Char1,Footnote Text Char2 Char,Footnote Text Char1 Char Char,Footnote Text Char2 Char Char Char,Footnote Text Char1 Char Char Char Char,Cha,A,Знак, Char, Знак1, Знак,footnote text, Cha,ft"/>
    <w:basedOn w:val="Normal"/>
    <w:link w:val="FootnoteTextChar"/>
    <w:uiPriority w:val="99"/>
    <w:qFormat/>
    <w:rsid w:val="00A44F7B"/>
    <w:pPr>
      <w:spacing w:line="254" w:lineRule="auto"/>
    </w:pPr>
    <w:rPr>
      <w:rFonts w:ascii="Calibri" w:eastAsia="Calibri" w:hAnsi="Calibri" w:cs="Tahoma"/>
    </w:rPr>
  </w:style>
  <w:style w:type="character" w:customStyle="1" w:styleId="FootnoteTextChar">
    <w:name w:val="Footnote Text Char"/>
    <w:aliases w:val="Char Char,Знак1 Char,single space Char,FOOTNOTES Char,fn Char,Footnote Text Char1 Char,Footnote Text Char2 Char Char,Footnote Text Char1 Char Char Char,Footnote Text Char2 Char Char Char Char,Cha Char,A Char,Знак Char, Char Char"/>
    <w:basedOn w:val="DefaultParagraphFont"/>
    <w:link w:val="FootnoteText"/>
    <w:rsid w:val="00A44F7B"/>
    <w:rPr>
      <w:rFonts w:ascii="Calibri" w:eastAsia="Calibri" w:hAnsi="Calibri" w:cs="Tahoma"/>
    </w:rPr>
  </w:style>
  <w:style w:type="character" w:customStyle="1" w:styleId="ListParagraphChar">
    <w:name w:val="List Paragraph Char"/>
    <w:aliases w:val="strikethrough Char,List Paragraph 1 Char,Scriptoria bullet points Char,standaard met opsomming Char,Абзац списка1 Char"/>
    <w:link w:val="ListParagraph"/>
    <w:uiPriority w:val="34"/>
    <w:locked/>
    <w:rsid w:val="00696B13"/>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
    <w:basedOn w:val="DefaultParagraphFont"/>
    <w:link w:val="FNRefeCharChar"/>
    <w:unhideWhenUsed/>
    <w:rsid w:val="00F4001C"/>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F4001C"/>
    <w:pPr>
      <w:spacing w:line="240" w:lineRule="exact"/>
    </w:pPr>
    <w:rPr>
      <w:vertAlign w:val="superscript"/>
    </w:rPr>
  </w:style>
  <w:style w:type="character" w:styleId="Strong">
    <w:name w:val="Strong"/>
    <w:basedOn w:val="DefaultParagraphFont"/>
    <w:uiPriority w:val="22"/>
    <w:qFormat/>
    <w:rsid w:val="00F4001C"/>
    <w:rPr>
      <w:b/>
      <w:bCs/>
    </w:rPr>
  </w:style>
  <w:style w:type="character" w:customStyle="1" w:styleId="8">
    <w:name w:val="Основной текст (8)_"/>
    <w:basedOn w:val="DefaultParagraphFont"/>
    <w:link w:val="80"/>
    <w:rsid w:val="00F4001C"/>
    <w:rPr>
      <w:rFonts w:ascii="Times New Roman" w:eastAsia="Times New Roman" w:hAnsi="Times New Roman" w:cs="Times New Roman"/>
      <w:b/>
      <w:bCs/>
      <w:sz w:val="24"/>
      <w:szCs w:val="24"/>
      <w:shd w:val="clear" w:color="auto" w:fill="FFFFFF"/>
    </w:rPr>
  </w:style>
  <w:style w:type="paragraph" w:customStyle="1" w:styleId="80">
    <w:name w:val="Основной текст (8)"/>
    <w:basedOn w:val="Normal"/>
    <w:link w:val="8"/>
    <w:rsid w:val="00F4001C"/>
    <w:pPr>
      <w:widowControl w:val="0"/>
      <w:shd w:val="clear" w:color="auto" w:fill="FFFFFF"/>
      <w:spacing w:after="1720" w:line="317" w:lineRule="exact"/>
    </w:pPr>
    <w:rPr>
      <w:rFonts w:ascii="Times New Roman" w:eastAsia="Times New Roman" w:hAnsi="Times New Roman" w:cs="Times New Roman"/>
      <w:b/>
      <w:bCs/>
      <w:sz w:val="24"/>
      <w:szCs w:val="24"/>
    </w:rPr>
  </w:style>
  <w:style w:type="character" w:customStyle="1" w:styleId="ms-rtefontface-3">
    <w:name w:val="ms-rtefontface-3"/>
    <w:basedOn w:val="DefaultParagraphFont"/>
    <w:rsid w:val="00CF421B"/>
  </w:style>
  <w:style w:type="table" w:styleId="ListTable2-Accent4">
    <w:name w:val="List Table 2 Accent 4"/>
    <w:basedOn w:val="TableNormal"/>
    <w:uiPriority w:val="47"/>
    <w:rsid w:val="00CF421B"/>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Hyperlink">
    <w:name w:val="Hyperlink"/>
    <w:basedOn w:val="DefaultParagraphFont"/>
    <w:uiPriority w:val="99"/>
    <w:unhideWhenUsed/>
    <w:rsid w:val="00CF421B"/>
    <w:rPr>
      <w:color w:val="0000FF"/>
      <w:u w:val="single"/>
    </w:rPr>
  </w:style>
  <w:style w:type="table" w:styleId="GridTable6Colorful-Accent5">
    <w:name w:val="Grid Table 6 Colorful Accent 5"/>
    <w:basedOn w:val="TableNormal"/>
    <w:uiPriority w:val="51"/>
    <w:rsid w:val="000E5D5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3Char">
    <w:name w:val="Heading 3 Char"/>
    <w:basedOn w:val="DefaultParagraphFont"/>
    <w:link w:val="Heading3"/>
    <w:rsid w:val="004F7964"/>
    <w:rPr>
      <w:rFonts w:asciiTheme="majorHAnsi" w:eastAsiaTheme="majorEastAsia" w:hAnsiTheme="majorHAnsi" w:cstheme="majorBidi"/>
      <w:color w:val="1F4D78" w:themeColor="accent1" w:themeShade="7F"/>
      <w:sz w:val="24"/>
      <w:szCs w:val="24"/>
      <w:lang w:val="ro-RO"/>
    </w:rPr>
  </w:style>
  <w:style w:type="table" w:styleId="PlainTable5">
    <w:name w:val="Plain Table 5"/>
    <w:basedOn w:val="TableNormal"/>
    <w:uiPriority w:val="45"/>
    <w:rsid w:val="00C84D3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1Light">
    <w:name w:val="List Table 1 Light"/>
    <w:basedOn w:val="TableNormal"/>
    <w:uiPriority w:val="46"/>
    <w:rsid w:val="00F448F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F448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842FBA"/>
    <w:rPr>
      <w:sz w:val="16"/>
      <w:szCs w:val="16"/>
    </w:rPr>
  </w:style>
  <w:style w:type="paragraph" w:styleId="CommentText">
    <w:name w:val="annotation text"/>
    <w:basedOn w:val="Normal"/>
    <w:link w:val="CommentTextChar"/>
    <w:uiPriority w:val="99"/>
    <w:semiHidden/>
    <w:unhideWhenUsed/>
    <w:rsid w:val="00842FBA"/>
    <w:pPr>
      <w:spacing w:line="240" w:lineRule="auto"/>
    </w:pPr>
    <w:rPr>
      <w:sz w:val="20"/>
      <w:szCs w:val="20"/>
    </w:rPr>
  </w:style>
  <w:style w:type="character" w:customStyle="1" w:styleId="CommentTextChar">
    <w:name w:val="Comment Text Char"/>
    <w:basedOn w:val="DefaultParagraphFont"/>
    <w:link w:val="CommentText"/>
    <w:uiPriority w:val="99"/>
    <w:semiHidden/>
    <w:rsid w:val="00842FBA"/>
    <w:rPr>
      <w:sz w:val="20"/>
      <w:szCs w:val="20"/>
    </w:rPr>
  </w:style>
  <w:style w:type="paragraph" w:styleId="CommentSubject">
    <w:name w:val="annotation subject"/>
    <w:basedOn w:val="CommentText"/>
    <w:next w:val="CommentText"/>
    <w:link w:val="CommentSubjectChar"/>
    <w:uiPriority w:val="99"/>
    <w:semiHidden/>
    <w:unhideWhenUsed/>
    <w:rsid w:val="00842FBA"/>
    <w:rPr>
      <w:b/>
      <w:bCs/>
    </w:rPr>
  </w:style>
  <w:style w:type="character" w:customStyle="1" w:styleId="CommentSubjectChar">
    <w:name w:val="Comment Subject Char"/>
    <w:basedOn w:val="CommentTextChar"/>
    <w:link w:val="CommentSubject"/>
    <w:uiPriority w:val="99"/>
    <w:semiHidden/>
    <w:rsid w:val="00842FBA"/>
    <w:rPr>
      <w:b/>
      <w:bCs/>
      <w:sz w:val="20"/>
      <w:szCs w:val="20"/>
    </w:rPr>
  </w:style>
  <w:style w:type="paragraph" w:styleId="BalloonText">
    <w:name w:val="Balloon Text"/>
    <w:basedOn w:val="Normal"/>
    <w:link w:val="BalloonTextChar"/>
    <w:uiPriority w:val="99"/>
    <w:semiHidden/>
    <w:unhideWhenUsed/>
    <w:rsid w:val="00842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FBA"/>
    <w:rPr>
      <w:rFonts w:ascii="Segoe UI" w:hAnsi="Segoe UI" w:cs="Segoe UI"/>
      <w:sz w:val="18"/>
      <w:szCs w:val="18"/>
    </w:rPr>
  </w:style>
  <w:style w:type="table" w:styleId="GridTable5Dark-Accent1">
    <w:name w:val="Grid Table 5 Dark Accent 1"/>
    <w:basedOn w:val="TableNormal"/>
    <w:uiPriority w:val="50"/>
    <w:rsid w:val="00573E2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3">
    <w:name w:val="Grid Table 5 Dark Accent 3"/>
    <w:basedOn w:val="TableNormal"/>
    <w:uiPriority w:val="50"/>
    <w:rsid w:val="00573E2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5">
    <w:name w:val="Grid Table 5 Dark Accent 5"/>
    <w:basedOn w:val="TableNormal"/>
    <w:uiPriority w:val="50"/>
    <w:rsid w:val="00EE79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TOCHeading">
    <w:name w:val="TOC Heading"/>
    <w:basedOn w:val="Heading1"/>
    <w:next w:val="Normal"/>
    <w:uiPriority w:val="39"/>
    <w:unhideWhenUsed/>
    <w:qFormat/>
    <w:rsid w:val="00AE2351"/>
    <w:pPr>
      <w:spacing w:before="240" w:after="0" w:line="259" w:lineRule="auto"/>
      <w:outlineLvl w:val="9"/>
    </w:pPr>
    <w:rPr>
      <w:rFonts w:asciiTheme="majorHAnsi" w:eastAsiaTheme="majorEastAsia" w:hAnsiTheme="majorHAnsi" w:cstheme="majorBidi"/>
      <w:b w:val="0"/>
      <w:i w:val="0"/>
      <w:color w:val="2E74B5" w:themeColor="accent1" w:themeShade="BF"/>
      <w:sz w:val="32"/>
    </w:rPr>
  </w:style>
  <w:style w:type="paragraph" w:styleId="TOC1">
    <w:name w:val="toc 1"/>
    <w:basedOn w:val="Normal"/>
    <w:next w:val="Normal"/>
    <w:autoRedefine/>
    <w:uiPriority w:val="39"/>
    <w:unhideWhenUsed/>
    <w:rsid w:val="00636940"/>
    <w:pPr>
      <w:tabs>
        <w:tab w:val="left" w:pos="270"/>
        <w:tab w:val="left" w:pos="360"/>
        <w:tab w:val="left" w:pos="630"/>
        <w:tab w:val="left" w:pos="810"/>
        <w:tab w:val="right" w:leader="dot" w:pos="10156"/>
      </w:tabs>
      <w:spacing w:after="100"/>
      <w:ind w:left="450" w:hanging="360"/>
    </w:pPr>
  </w:style>
  <w:style w:type="paragraph" w:styleId="TOC3">
    <w:name w:val="toc 3"/>
    <w:basedOn w:val="Normal"/>
    <w:next w:val="Normal"/>
    <w:autoRedefine/>
    <w:uiPriority w:val="39"/>
    <w:unhideWhenUsed/>
    <w:rsid w:val="00636940"/>
    <w:pPr>
      <w:tabs>
        <w:tab w:val="left" w:pos="810"/>
        <w:tab w:val="right" w:leader="dot" w:pos="10156"/>
      </w:tabs>
      <w:spacing w:after="100"/>
      <w:ind w:left="450"/>
      <w:jc w:val="both"/>
    </w:pPr>
  </w:style>
  <w:style w:type="paragraph" w:styleId="TOC2">
    <w:name w:val="toc 2"/>
    <w:basedOn w:val="Normal"/>
    <w:next w:val="Normal"/>
    <w:autoRedefine/>
    <w:uiPriority w:val="39"/>
    <w:unhideWhenUsed/>
    <w:rsid w:val="00636940"/>
    <w:pPr>
      <w:tabs>
        <w:tab w:val="left" w:pos="0"/>
        <w:tab w:val="left" w:pos="360"/>
        <w:tab w:val="left" w:pos="450"/>
        <w:tab w:val="left" w:pos="630"/>
        <w:tab w:val="left" w:pos="810"/>
        <w:tab w:val="left" w:pos="900"/>
        <w:tab w:val="left" w:pos="990"/>
        <w:tab w:val="right" w:leader="dot" w:pos="10080"/>
      </w:tabs>
      <w:spacing w:after="100" w:line="240" w:lineRule="auto"/>
      <w:ind w:left="180" w:right="-4"/>
      <w:jc w:val="both"/>
    </w:pPr>
    <w:rPr>
      <w:rFonts w:eastAsiaTheme="minorEastAsia" w:cs="Times New Roman"/>
      <w:i/>
      <w:noProof/>
      <w:color w:val="1F4E79" w:themeColor="accent1" w:themeShade="80"/>
      <w:shd w:val="clear" w:color="auto" w:fill="FFFFFF"/>
      <w:lang w:val="ro-MD"/>
    </w:rPr>
  </w:style>
  <w:style w:type="character" w:customStyle="1" w:styleId="Bodytext210">
    <w:name w:val="Body text (2) + 10"/>
    <w:aliases w:val="5 pt"/>
    <w:basedOn w:val="DefaultParagraphFont"/>
    <w:rsid w:val="00C55DF6"/>
    <w:rPr>
      <w:rFonts w:ascii="Times New Roman" w:hAnsi="Times New Roman" w:cs="Times New Roman" w:hint="default"/>
      <w:b w:val="0"/>
      <w:bCs w:val="0"/>
      <w:i w:val="0"/>
      <w:iCs w:val="0"/>
      <w:smallCaps w:val="0"/>
      <w:strike w:val="0"/>
      <w:dstrike w:val="0"/>
      <w:color w:val="000000"/>
      <w:spacing w:val="0"/>
      <w:position w:val="0"/>
      <w:u w:val="none"/>
      <w:effect w:val="none"/>
      <w:lang w:eastAsia="ro-RO"/>
    </w:rPr>
  </w:style>
  <w:style w:type="table" w:customStyle="1" w:styleId="GridTable1Light2">
    <w:name w:val="Grid Table 1 Light2"/>
    <w:basedOn w:val="TableNormal"/>
    <w:next w:val="GridTable1Light"/>
    <w:uiPriority w:val="46"/>
    <w:rsid w:val="00C55DF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C55DF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6Colorful-Accent1">
    <w:name w:val="Grid Table 6 Colorful Accent 1"/>
    <w:basedOn w:val="TableNormal"/>
    <w:uiPriority w:val="51"/>
    <w:rsid w:val="00D61F7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2Char">
    <w:name w:val="Heading 2 Char"/>
    <w:basedOn w:val="DefaultParagraphFont"/>
    <w:link w:val="Heading2"/>
    <w:uiPriority w:val="9"/>
    <w:rsid w:val="00CA3BE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103429">
      <w:bodyDiv w:val="1"/>
      <w:marLeft w:val="0"/>
      <w:marRight w:val="0"/>
      <w:marTop w:val="0"/>
      <w:marBottom w:val="0"/>
      <w:divBdr>
        <w:top w:val="none" w:sz="0" w:space="0" w:color="auto"/>
        <w:left w:val="none" w:sz="0" w:space="0" w:color="auto"/>
        <w:bottom w:val="none" w:sz="0" w:space="0" w:color="auto"/>
        <w:right w:val="none" w:sz="0" w:space="0" w:color="auto"/>
      </w:divBdr>
    </w:div>
    <w:div w:id="955990120">
      <w:bodyDiv w:val="1"/>
      <w:marLeft w:val="0"/>
      <w:marRight w:val="0"/>
      <w:marTop w:val="0"/>
      <w:marBottom w:val="0"/>
      <w:divBdr>
        <w:top w:val="none" w:sz="0" w:space="0" w:color="auto"/>
        <w:left w:val="none" w:sz="0" w:space="0" w:color="auto"/>
        <w:bottom w:val="none" w:sz="0" w:space="0" w:color="auto"/>
        <w:right w:val="none" w:sz="0" w:space="0" w:color="auto"/>
      </w:divBdr>
      <w:divsChild>
        <w:div w:id="1295404942">
          <w:marLeft w:val="0"/>
          <w:marRight w:val="0"/>
          <w:marTop w:val="0"/>
          <w:marBottom w:val="0"/>
          <w:divBdr>
            <w:top w:val="none" w:sz="0" w:space="0" w:color="auto"/>
            <w:left w:val="none" w:sz="0" w:space="0" w:color="auto"/>
            <w:bottom w:val="none" w:sz="0" w:space="0" w:color="auto"/>
            <w:right w:val="none" w:sz="0" w:space="0" w:color="auto"/>
          </w:divBdr>
        </w:div>
        <w:div w:id="503010591">
          <w:marLeft w:val="0"/>
          <w:marRight w:val="0"/>
          <w:marTop w:val="0"/>
          <w:marBottom w:val="0"/>
          <w:divBdr>
            <w:top w:val="none" w:sz="0" w:space="0" w:color="auto"/>
            <w:left w:val="none" w:sz="0" w:space="0" w:color="auto"/>
            <w:bottom w:val="none" w:sz="0" w:space="0" w:color="auto"/>
            <w:right w:val="none" w:sz="0" w:space="0" w:color="auto"/>
          </w:divBdr>
        </w:div>
      </w:divsChild>
    </w:div>
    <w:div w:id="1096440720">
      <w:bodyDiv w:val="1"/>
      <w:marLeft w:val="0"/>
      <w:marRight w:val="0"/>
      <w:marTop w:val="0"/>
      <w:marBottom w:val="0"/>
      <w:divBdr>
        <w:top w:val="none" w:sz="0" w:space="0" w:color="auto"/>
        <w:left w:val="none" w:sz="0" w:space="0" w:color="auto"/>
        <w:bottom w:val="none" w:sz="0" w:space="0" w:color="auto"/>
        <w:right w:val="none" w:sz="0" w:space="0" w:color="auto"/>
      </w:divBdr>
    </w:div>
    <w:div w:id="1180776416">
      <w:bodyDiv w:val="1"/>
      <w:marLeft w:val="0"/>
      <w:marRight w:val="0"/>
      <w:marTop w:val="0"/>
      <w:marBottom w:val="0"/>
      <w:divBdr>
        <w:top w:val="none" w:sz="0" w:space="0" w:color="auto"/>
        <w:left w:val="none" w:sz="0" w:space="0" w:color="auto"/>
        <w:bottom w:val="none" w:sz="0" w:space="0" w:color="auto"/>
        <w:right w:val="none" w:sz="0" w:space="0" w:color="auto"/>
      </w:divBdr>
      <w:divsChild>
        <w:div w:id="479463664">
          <w:marLeft w:val="0"/>
          <w:marRight w:val="0"/>
          <w:marTop w:val="0"/>
          <w:marBottom w:val="0"/>
          <w:divBdr>
            <w:top w:val="none" w:sz="0" w:space="0" w:color="auto"/>
            <w:left w:val="none" w:sz="0" w:space="0" w:color="auto"/>
            <w:bottom w:val="none" w:sz="0" w:space="0" w:color="auto"/>
            <w:right w:val="none" w:sz="0" w:space="0" w:color="auto"/>
          </w:divBdr>
        </w:div>
        <w:div w:id="1496188069">
          <w:marLeft w:val="0"/>
          <w:marRight w:val="0"/>
          <w:marTop w:val="0"/>
          <w:marBottom w:val="0"/>
          <w:divBdr>
            <w:top w:val="none" w:sz="0" w:space="0" w:color="auto"/>
            <w:left w:val="none" w:sz="0" w:space="0" w:color="auto"/>
            <w:bottom w:val="none" w:sz="0" w:space="0" w:color="auto"/>
            <w:right w:val="none" w:sz="0" w:space="0" w:color="auto"/>
          </w:divBdr>
        </w:div>
      </w:divsChild>
    </w:div>
    <w:div w:id="1325008600">
      <w:bodyDiv w:val="1"/>
      <w:marLeft w:val="0"/>
      <w:marRight w:val="0"/>
      <w:marTop w:val="0"/>
      <w:marBottom w:val="0"/>
      <w:divBdr>
        <w:top w:val="none" w:sz="0" w:space="0" w:color="auto"/>
        <w:left w:val="none" w:sz="0" w:space="0" w:color="auto"/>
        <w:bottom w:val="none" w:sz="0" w:space="0" w:color="auto"/>
        <w:right w:val="none" w:sz="0" w:space="0" w:color="auto"/>
      </w:divBdr>
    </w:div>
    <w:div w:id="1629359550">
      <w:bodyDiv w:val="1"/>
      <w:marLeft w:val="0"/>
      <w:marRight w:val="0"/>
      <w:marTop w:val="0"/>
      <w:marBottom w:val="0"/>
      <w:divBdr>
        <w:top w:val="none" w:sz="0" w:space="0" w:color="auto"/>
        <w:left w:val="none" w:sz="0" w:space="0" w:color="auto"/>
        <w:bottom w:val="none" w:sz="0" w:space="0" w:color="auto"/>
        <w:right w:val="none" w:sz="0" w:space="0" w:color="auto"/>
      </w:divBdr>
    </w:div>
    <w:div w:id="1958100182">
      <w:bodyDiv w:val="1"/>
      <w:marLeft w:val="0"/>
      <w:marRight w:val="0"/>
      <w:marTop w:val="0"/>
      <w:marBottom w:val="0"/>
      <w:divBdr>
        <w:top w:val="none" w:sz="0" w:space="0" w:color="auto"/>
        <w:left w:val="none" w:sz="0" w:space="0" w:color="auto"/>
        <w:bottom w:val="none" w:sz="0" w:space="0" w:color="auto"/>
        <w:right w:val="none" w:sz="0" w:space="0" w:color="auto"/>
      </w:divBdr>
      <w:divsChild>
        <w:div w:id="1418281525">
          <w:marLeft w:val="547"/>
          <w:marRight w:val="0"/>
          <w:marTop w:val="0"/>
          <w:marBottom w:val="0"/>
          <w:divBdr>
            <w:top w:val="none" w:sz="0" w:space="0" w:color="auto"/>
            <w:left w:val="none" w:sz="0" w:space="0" w:color="auto"/>
            <w:bottom w:val="none" w:sz="0" w:space="0" w:color="auto"/>
            <w:right w:val="none" w:sz="0" w:space="0" w:color="auto"/>
          </w:divBdr>
        </w:div>
      </w:divsChild>
    </w:div>
    <w:div w:id="210325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diagramData" Target="diagrams/data1.xm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lex.justice.md/index.php?action=view&amp;view=doc&amp;id=336538"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lex:LPLP20120629149" TargetMode="External"/><Relationship Id="rId20" Type="http://schemas.openxmlformats.org/officeDocument/2006/relationships/diagramQuickStyle" Target="diagrams/quickStyle1.xm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4.xml"/><Relationship Id="rId28" Type="http://schemas.openxmlformats.org/officeDocument/2006/relationships/image" Target="media/image5.jpeg"/><Relationship Id="rId10" Type="http://schemas.openxmlformats.org/officeDocument/2006/relationships/hyperlink" Target="mailto:ccrm@ccrm.md" TargetMode="External"/><Relationship Id="rId19" Type="http://schemas.openxmlformats.org/officeDocument/2006/relationships/diagramLayout" Target="diagrams/layout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hyperlink" Target="lex:LPLP199704241163" TargetMode="External"/><Relationship Id="rId22" Type="http://schemas.microsoft.com/office/2007/relationships/diagramDrawing" Target="diagrams/drawing1.xml"/><Relationship Id="rId27" Type="http://schemas.openxmlformats.org/officeDocument/2006/relationships/image" Target="media/image4.jpeg"/><Relationship Id="rId30"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file:///d:\a_certan\Desktop\Raport%20SFS\Anexe\&#1050;&#1085;&#1080;&#1075;&#1072;1%2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oleObject" Target="file:///d:\a_certan\Desktop\Etapa%20Raportare%20SFS\Anexe\Componenta%20restanta%202018-2019.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o-MD" sz="1800" b="1" i="0" baseline="0">
                <a:effectLst/>
              </a:rPr>
              <a:t>Ponderea veniturilor încasate la </a:t>
            </a:r>
            <a:r>
              <a:rPr lang="en-US" sz="1800" b="1" i="0" baseline="0">
                <a:effectLst/>
              </a:rPr>
              <a:t>BS </a:t>
            </a:r>
            <a:r>
              <a:rPr lang="ro-MD" sz="1800" b="1" i="0" baseline="0">
                <a:effectLst/>
              </a:rPr>
              <a:t>și BPN în PIB,      </a:t>
            </a:r>
            <a:r>
              <a:rPr lang="ro-MD" sz="1000" b="1" i="0" baseline="0">
                <a:effectLst/>
              </a:rPr>
              <a:t>(mil. lei)</a:t>
            </a:r>
            <a:endParaRPr lang="en-US" sz="1000">
              <a:effectLst/>
            </a:endParaRPr>
          </a:p>
        </c:rich>
      </c:tx>
      <c:layout>
        <c:manualLayout>
          <c:xMode val="edge"/>
          <c:yMode val="edge"/>
          <c:x val="9.6605491881082431E-2"/>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8249475572310215E-2"/>
          <c:y val="0.1509247311827957"/>
          <c:w val="0.8180789901262342"/>
          <c:h val="0.78538617997576288"/>
        </c:manualLayout>
      </c:layout>
      <c:bar3DChart>
        <c:barDir val="col"/>
        <c:grouping val="standard"/>
        <c:varyColors val="0"/>
        <c:ser>
          <c:idx val="0"/>
          <c:order val="0"/>
          <c:tx>
            <c:strRef>
              <c:f>pib_bpn_bs!$B$1</c:f>
              <c:strCache>
                <c:ptCount val="1"/>
                <c:pt idx="0">
                  <c:v> Venituri BS</c:v>
                </c:pt>
              </c:strCache>
            </c:strRef>
          </c:tx>
          <c:spPr>
            <a:solidFill>
              <a:schemeClr val="accent5">
                <a:lumMod val="50000"/>
              </a:schemeClr>
            </a:solidFill>
            <a:ln>
              <a:noFill/>
            </a:ln>
            <a:effectLst>
              <a:outerShdw blurRad="57150" dist="19050" dir="5400000" algn="ctr" rotWithShape="0">
                <a:srgbClr val="000000">
                  <a:alpha val="63000"/>
                </a:srgbClr>
              </a:outerShdw>
            </a:effectLst>
            <a:scene3d>
              <a:camera prst="orthographicFront">
                <a:rot lat="0" lon="0" rev="0"/>
              </a:camera>
              <a:lightRig rig="threePt" dir="tl">
                <a:rot lat="0" lon="0" rev="20400000"/>
              </a:lightRig>
            </a:scene3d>
            <a:sp3d/>
          </c:spPr>
          <c:invertIfNegative val="0"/>
          <c:dLbls>
            <c:dLbl>
              <c:idx val="0"/>
              <c:layout>
                <c:manualLayout>
                  <c:x val="9.4380094380094384E-2"/>
                  <c:y val="5.0270688321732405E-2"/>
                </c:manualLayout>
              </c:layout>
              <c:tx>
                <c:rich>
                  <a:bodyPr rot="0" spcFirstLastPara="1" vertOverflow="ellipsis" vert="horz" wrap="square" lIns="38100" tIns="19050" rIns="38100" bIns="19050" anchor="ctr" anchorCtr="1">
                    <a:spAutoFit/>
                  </a:bodyPr>
                  <a:lstStyle/>
                  <a:p>
                    <a:pPr>
                      <a:defRPr sz="1050" b="1" i="0" u="none" strike="noStrike" kern="1200" baseline="0">
                        <a:solidFill>
                          <a:schemeClr val="accent5">
                            <a:lumMod val="50000"/>
                          </a:schemeClr>
                        </a:solidFill>
                        <a:latin typeface="+mn-lt"/>
                        <a:ea typeface="+mn-ea"/>
                        <a:cs typeface="+mn-cs"/>
                      </a:defRPr>
                    </a:pPr>
                    <a:r>
                      <a:rPr lang="en-US" sz="1050" b="1">
                        <a:solidFill>
                          <a:schemeClr val="accent5">
                            <a:lumMod val="50000"/>
                          </a:schemeClr>
                        </a:solidFill>
                      </a:rPr>
                      <a:t>14315.4</a:t>
                    </a:r>
                    <a:r>
                      <a:rPr lang="en-US" sz="1050" b="1" baseline="0">
                        <a:solidFill>
                          <a:schemeClr val="accent5">
                            <a:lumMod val="50000"/>
                          </a:schemeClr>
                        </a:solidFill>
                      </a:rPr>
                      <a:t> </a:t>
                    </a:r>
                  </a:p>
                  <a:p>
                    <a:pPr>
                      <a:defRPr sz="1050" b="1">
                        <a:solidFill>
                          <a:schemeClr val="accent5">
                            <a:lumMod val="50000"/>
                          </a:schemeClr>
                        </a:solidFill>
                      </a:defRPr>
                    </a:pPr>
                    <a:r>
                      <a:rPr lang="en-US" sz="1050" b="1" baseline="0">
                        <a:solidFill>
                          <a:schemeClr val="accent5">
                            <a:lumMod val="50000"/>
                          </a:schemeClr>
                        </a:solidFill>
                      </a:rPr>
                      <a:t>8%</a:t>
                    </a:r>
                    <a:endParaRPr lang="en-US" sz="1050" b="1">
                      <a:solidFill>
                        <a:schemeClr val="accent5">
                          <a:lumMod val="50000"/>
                        </a:schemeClr>
                      </a:solidFill>
                    </a:endParaRPr>
                  </a:p>
                </c:rich>
              </c:tx>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accent5">
                          <a:lumMod val="50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0F0-4D62-8C0E-768FD4E909DE}"/>
                </c:ext>
              </c:extLst>
            </c:dLbl>
            <c:dLbl>
              <c:idx val="1"/>
              <c:layout>
                <c:manualLayout>
                  <c:x val="0.10081510081510081"/>
                  <c:y val="5.0270688321732405E-2"/>
                </c:manualLayout>
              </c:layout>
              <c:tx>
                <c:rich>
                  <a:bodyPr rot="0" spcFirstLastPara="1" vertOverflow="ellipsis" vert="horz" wrap="square" lIns="38100" tIns="19050" rIns="38100" bIns="19050" anchor="ctr" anchorCtr="1">
                    <a:spAutoFit/>
                  </a:bodyPr>
                  <a:lstStyle/>
                  <a:p>
                    <a:pPr>
                      <a:defRPr sz="1050" b="1" i="0" u="none" strike="noStrike" kern="1200" baseline="0">
                        <a:solidFill>
                          <a:schemeClr val="accent5">
                            <a:lumMod val="50000"/>
                          </a:schemeClr>
                        </a:solidFill>
                        <a:latin typeface="+mn-lt"/>
                        <a:ea typeface="+mn-ea"/>
                        <a:cs typeface="+mn-cs"/>
                      </a:defRPr>
                    </a:pPr>
                    <a:r>
                      <a:rPr lang="en-US" sz="1050" b="1">
                        <a:solidFill>
                          <a:schemeClr val="accent5">
                            <a:lumMod val="50000"/>
                          </a:schemeClr>
                        </a:solidFill>
                      </a:rPr>
                      <a:t>16475.6</a:t>
                    </a:r>
                  </a:p>
                  <a:p>
                    <a:pPr>
                      <a:defRPr sz="1050" b="1">
                        <a:solidFill>
                          <a:schemeClr val="accent5">
                            <a:lumMod val="50000"/>
                          </a:schemeClr>
                        </a:solidFill>
                      </a:defRPr>
                    </a:pPr>
                    <a:r>
                      <a:rPr lang="en-US" sz="1050" b="1">
                        <a:solidFill>
                          <a:schemeClr val="accent5">
                            <a:lumMod val="50000"/>
                          </a:schemeClr>
                        </a:solidFill>
                      </a:rPr>
                      <a:t>8.6%</a:t>
                    </a:r>
                  </a:p>
                </c:rich>
              </c:tx>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accent5">
                          <a:lumMod val="50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0F0-4D62-8C0E-768FD4E909DE}"/>
                </c:ext>
              </c:extLst>
            </c:dLbl>
            <c:dLbl>
              <c:idx val="2"/>
              <c:layout>
                <c:manualLayout>
                  <c:x val="0.11154011154011154"/>
                  <c:y val="5.8004640371229696E-2"/>
                </c:manualLayout>
              </c:layout>
              <c:tx>
                <c:rich>
                  <a:bodyPr rot="0" spcFirstLastPara="1" vertOverflow="ellipsis" vert="horz" wrap="square" lIns="38100" tIns="19050" rIns="38100" bIns="19050" anchor="ctr" anchorCtr="1">
                    <a:spAutoFit/>
                  </a:bodyPr>
                  <a:lstStyle/>
                  <a:p>
                    <a:pPr>
                      <a:defRPr sz="1050" b="1" i="0" u="none" strike="noStrike" kern="1200" baseline="0">
                        <a:solidFill>
                          <a:schemeClr val="accent5">
                            <a:lumMod val="50000"/>
                          </a:schemeClr>
                        </a:solidFill>
                        <a:latin typeface="+mn-lt"/>
                        <a:ea typeface="+mn-ea"/>
                        <a:cs typeface="+mn-cs"/>
                      </a:defRPr>
                    </a:pPr>
                    <a:r>
                      <a:rPr lang="en-US" sz="1050" b="1">
                        <a:solidFill>
                          <a:schemeClr val="accent5">
                            <a:lumMod val="50000"/>
                          </a:schemeClr>
                        </a:solidFill>
                      </a:rPr>
                      <a:t>17236.0</a:t>
                    </a:r>
                  </a:p>
                  <a:p>
                    <a:pPr>
                      <a:defRPr sz="1050" b="1">
                        <a:solidFill>
                          <a:schemeClr val="accent5">
                            <a:lumMod val="50000"/>
                          </a:schemeClr>
                        </a:solidFill>
                      </a:defRPr>
                    </a:pPr>
                    <a:r>
                      <a:rPr lang="en-US" sz="1050" b="1">
                        <a:solidFill>
                          <a:schemeClr val="accent5">
                            <a:lumMod val="50000"/>
                          </a:schemeClr>
                        </a:solidFill>
                      </a:rPr>
                      <a:t>8.2%</a:t>
                    </a:r>
                  </a:p>
                </c:rich>
              </c:tx>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accent5">
                          <a:lumMod val="50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0F0-4D62-8C0E-768FD4E909DE}"/>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accent5">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pib_bpn_bs!$B$2:$B$4</c:f>
              <c:numCache>
                <c:formatCode>#,##0.00</c:formatCode>
                <c:ptCount val="3"/>
                <c:pt idx="0">
                  <c:v>14315.4</c:v>
                </c:pt>
                <c:pt idx="1">
                  <c:v>16475.599999999999</c:v>
                </c:pt>
                <c:pt idx="2">
                  <c:v>17236</c:v>
                </c:pt>
              </c:numCache>
            </c:numRef>
          </c:val>
          <c:extLst>
            <c:ext xmlns:c16="http://schemas.microsoft.com/office/drawing/2014/chart" uri="{C3380CC4-5D6E-409C-BE32-E72D297353CC}">
              <c16:uniqueId val="{00000003-80F0-4D62-8C0E-768FD4E909DE}"/>
            </c:ext>
          </c:extLst>
        </c:ser>
        <c:ser>
          <c:idx val="1"/>
          <c:order val="1"/>
          <c:tx>
            <c:strRef>
              <c:f>pib_bpn_bs!$C$1</c:f>
              <c:strCache>
                <c:ptCount val="1"/>
                <c:pt idx="0">
                  <c:v>Venituri BPN</c:v>
                </c:pt>
              </c:strCache>
            </c:strRef>
          </c:tx>
          <c:spPr>
            <a:solidFill>
              <a:schemeClr val="bg2">
                <a:lumMod val="75000"/>
              </a:schemeClr>
            </a:solidFill>
            <a:ln>
              <a:noFill/>
            </a:ln>
            <a:effectLst>
              <a:outerShdw blurRad="57150" dist="19050" dir="5400000" algn="ctr" rotWithShape="0">
                <a:srgbClr val="000000">
                  <a:alpha val="63000"/>
                </a:srgbClr>
              </a:outerShdw>
            </a:effectLst>
            <a:scene3d>
              <a:camera prst="orthographicFront">
                <a:rot lat="0" lon="0" rev="0"/>
              </a:camera>
              <a:lightRig rig="threePt" dir="tl">
                <a:rot lat="0" lon="0" rev="20400000"/>
              </a:lightRig>
            </a:scene3d>
            <a:sp3d/>
          </c:spPr>
          <c:invertIfNegative val="0"/>
          <c:dLbls>
            <c:dLbl>
              <c:idx val="0"/>
              <c:layout>
                <c:manualLayout>
                  <c:x val="9.8670098670098627E-2"/>
                  <c:y val="8.1206496519721574E-2"/>
                </c:manualLayout>
              </c:layout>
              <c:tx>
                <c:rich>
                  <a:bodyPr/>
                  <a:lstStyle/>
                  <a:p>
                    <a:r>
                      <a:rPr lang="en-US" b="1">
                        <a:solidFill>
                          <a:srgbClr val="002060"/>
                        </a:solidFill>
                      </a:rPr>
                      <a:t>32700.0</a:t>
                    </a:r>
                  </a:p>
                  <a:p>
                    <a:r>
                      <a:rPr lang="en-US" b="1">
                        <a:solidFill>
                          <a:srgbClr val="002060"/>
                        </a:solidFill>
                      </a:rPr>
                      <a:t>18.3%</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80F0-4D62-8C0E-768FD4E909DE}"/>
                </c:ext>
              </c:extLst>
            </c:dLbl>
            <c:dLbl>
              <c:idx val="1"/>
              <c:layout>
                <c:manualLayout>
                  <c:x val="0.10510510510510503"/>
                  <c:y val="8.8940448569218872E-2"/>
                </c:manualLayout>
              </c:layout>
              <c:tx>
                <c:rich>
                  <a:bodyPr/>
                  <a:lstStyle/>
                  <a:p>
                    <a:r>
                      <a:rPr lang="en-US" b="1">
                        <a:solidFill>
                          <a:srgbClr val="002060"/>
                        </a:solidFill>
                      </a:rPr>
                      <a:t>36903.2</a:t>
                    </a:r>
                  </a:p>
                  <a:p>
                    <a:r>
                      <a:rPr lang="en-US" b="1">
                        <a:solidFill>
                          <a:srgbClr val="002060"/>
                        </a:solidFill>
                      </a:rPr>
                      <a:t>19.2%</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80F0-4D62-8C0E-768FD4E909DE}"/>
                </c:ext>
              </c:extLst>
            </c:dLbl>
            <c:dLbl>
              <c:idx val="2"/>
              <c:layout>
                <c:manualLayout>
                  <c:x val="0.13299013299013299"/>
                  <c:y val="8.507347254447023E-2"/>
                </c:manualLayout>
              </c:layout>
              <c:tx>
                <c:rich>
                  <a:bodyPr/>
                  <a:lstStyle/>
                  <a:p>
                    <a:r>
                      <a:rPr lang="en-US" b="1">
                        <a:solidFill>
                          <a:srgbClr val="002060"/>
                        </a:solidFill>
                      </a:rPr>
                      <a:t>39135.1</a:t>
                    </a:r>
                  </a:p>
                  <a:p>
                    <a:r>
                      <a:rPr lang="en-US" b="1">
                        <a:solidFill>
                          <a:srgbClr val="002060"/>
                        </a:solidFill>
                      </a:rPr>
                      <a:t>18.6%</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80F0-4D62-8C0E-768FD4E909D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pib_bpn_bs!$C$2:$C$4</c:f>
              <c:numCache>
                <c:formatCode>#,##0.00</c:formatCode>
                <c:ptCount val="3"/>
                <c:pt idx="0">
                  <c:v>32700</c:v>
                </c:pt>
                <c:pt idx="1">
                  <c:v>36903.199999999997</c:v>
                </c:pt>
                <c:pt idx="2">
                  <c:v>39135.1</c:v>
                </c:pt>
              </c:numCache>
            </c:numRef>
          </c:val>
          <c:extLst>
            <c:ext xmlns:c16="http://schemas.microsoft.com/office/drawing/2014/chart" uri="{C3380CC4-5D6E-409C-BE32-E72D297353CC}">
              <c16:uniqueId val="{00000007-80F0-4D62-8C0E-768FD4E909DE}"/>
            </c:ext>
          </c:extLst>
        </c:ser>
        <c:ser>
          <c:idx val="2"/>
          <c:order val="2"/>
          <c:tx>
            <c:strRef>
              <c:f>pib_bpn_bs!$D$1</c:f>
              <c:strCache>
                <c:ptCount val="1"/>
                <c:pt idx="0">
                  <c:v>PIB​</c:v>
                </c:pt>
              </c:strCache>
            </c:strRef>
          </c:tx>
          <c:spPr>
            <a:solidFill>
              <a:srgbClr val="C00000"/>
            </a:solidFill>
            <a:ln>
              <a:noFill/>
            </a:ln>
            <a:effectLst>
              <a:outerShdw blurRad="57150" dist="19050" dir="5400000" algn="ctr" rotWithShape="0">
                <a:srgbClr val="000000">
                  <a:alpha val="63000"/>
                </a:srgbClr>
              </a:outerShdw>
            </a:effectLst>
            <a:scene3d>
              <a:camera prst="orthographicFront">
                <a:rot lat="0" lon="0" rev="0"/>
              </a:camera>
              <a:lightRig rig="threePt" dir="tl">
                <a:rot lat="0" lon="0" rev="20400000"/>
              </a:lightRig>
            </a:scene3d>
            <a:sp3d/>
          </c:spPr>
          <c:invertIfNegative val="0"/>
          <c:dLbls>
            <c:dLbl>
              <c:idx val="0"/>
              <c:layout>
                <c:manualLayout>
                  <c:x val="6.6495066495066493E-2"/>
                  <c:y val="-3.4802784222737818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C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80F0-4D62-8C0E-768FD4E909DE}"/>
                </c:ext>
              </c:extLst>
            </c:dLbl>
            <c:dLbl>
              <c:idx val="1"/>
              <c:layout>
                <c:manualLayout>
                  <c:x val="6.4350064350064351E-2"/>
                  <c:y val="-4.253673627223511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C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80F0-4D62-8C0E-768FD4E909DE}"/>
                </c:ext>
              </c:extLst>
            </c:dLbl>
            <c:dLbl>
              <c:idx val="2"/>
              <c:layout>
                <c:manualLayout>
                  <c:x val="6.649506649506641E-2"/>
                  <c:y val="-3.4802784222737818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C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80F0-4D62-8C0E-768FD4E909D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pib_bpn_bs!$D$2:$D$4</c:f>
              <c:numCache>
                <c:formatCode>#,##0.00</c:formatCode>
                <c:ptCount val="3"/>
                <c:pt idx="0">
                  <c:v>178880.9</c:v>
                </c:pt>
                <c:pt idx="1">
                  <c:v>192509</c:v>
                </c:pt>
                <c:pt idx="2">
                  <c:v>210099</c:v>
                </c:pt>
              </c:numCache>
            </c:numRef>
          </c:val>
          <c:extLst>
            <c:ext xmlns:c16="http://schemas.microsoft.com/office/drawing/2014/chart" uri="{C3380CC4-5D6E-409C-BE32-E72D297353CC}">
              <c16:uniqueId val="{0000000B-80F0-4D62-8C0E-768FD4E909DE}"/>
            </c:ext>
          </c:extLst>
        </c:ser>
        <c:dLbls>
          <c:showLegendKey val="0"/>
          <c:showVal val="1"/>
          <c:showCatName val="0"/>
          <c:showSerName val="0"/>
          <c:showPercent val="0"/>
          <c:showBubbleSize val="0"/>
        </c:dLbls>
        <c:gapWidth val="150"/>
        <c:shape val="box"/>
        <c:axId val="2063912767"/>
        <c:axId val="2063908607"/>
        <c:axId val="1889094463"/>
      </c:bar3DChart>
      <c:catAx>
        <c:axId val="2063912767"/>
        <c:scaling>
          <c:orientation val="minMax"/>
        </c:scaling>
        <c:delete val="1"/>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o-MD"/>
                  <a:t>     2017                               2018                                         2019    </a:t>
                </a:r>
                <a:r>
                  <a:rPr lang="ro-MD" baseline="0"/>
                  <a:t>     </a:t>
                </a:r>
                <a:endParaRPr lang="en-US"/>
              </a:p>
            </c:rich>
          </c:tx>
          <c:layout>
            <c:manualLayout>
              <c:xMode val="edge"/>
              <c:yMode val="edge"/>
              <c:x val="0.13314146542492999"/>
              <c:y val="0.944672403188580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crossAx val="2063908607"/>
        <c:crosses val="autoZero"/>
        <c:auto val="1"/>
        <c:lblAlgn val="ctr"/>
        <c:lblOffset val="100"/>
        <c:noMultiLvlLbl val="0"/>
      </c:catAx>
      <c:valAx>
        <c:axId val="2063908607"/>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crossAx val="2063912767"/>
        <c:crosses val="autoZero"/>
        <c:crossBetween val="between"/>
      </c:valAx>
      <c:serAx>
        <c:axId val="1889094463"/>
        <c:scaling>
          <c:orientation val="minMax"/>
        </c:scaling>
        <c:delete val="1"/>
        <c:axPos val="b"/>
        <c:majorTickMark val="out"/>
        <c:minorTickMark val="none"/>
        <c:tickLblPos val="nextTo"/>
        <c:crossAx val="2063908607"/>
        <c:crosses val="autoZero"/>
      </c:ser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20" baseline="0">
                <a:solidFill>
                  <a:srgbClr val="002060"/>
                </a:solidFill>
                <a:latin typeface="+mn-lt"/>
                <a:ea typeface="+mn-ea"/>
                <a:cs typeface="+mn-cs"/>
              </a:defRPr>
            </a:pPr>
            <a:r>
              <a:rPr lang="ro-RO" sz="1400" b="1" i="0" u="none" strike="noStrike" cap="none" baseline="0">
                <a:solidFill>
                  <a:srgbClr val="002060"/>
                </a:solidFill>
                <a:effectLst/>
              </a:rPr>
              <a:t> Evoluția comparativă a r</a:t>
            </a:r>
            <a:r>
              <a:rPr lang="en-US" sz="1400" b="1" i="0" u="none" strike="noStrike" cap="none" baseline="0">
                <a:solidFill>
                  <a:srgbClr val="002060"/>
                </a:solidFill>
                <a:effectLst/>
              </a:rPr>
              <a:t>itmul</a:t>
            </a:r>
            <a:r>
              <a:rPr lang="ro-RO" sz="1400" b="1" i="0" u="none" strike="noStrike" cap="none" baseline="0">
                <a:solidFill>
                  <a:srgbClr val="002060"/>
                </a:solidFill>
                <a:effectLst/>
              </a:rPr>
              <a:t>ui</a:t>
            </a:r>
            <a:r>
              <a:rPr lang="en-US" sz="1400" b="1" i="0" u="none" strike="noStrike" cap="none" baseline="0">
                <a:solidFill>
                  <a:srgbClr val="002060"/>
                </a:solidFill>
                <a:effectLst/>
              </a:rPr>
              <a:t> </a:t>
            </a:r>
            <a:r>
              <a:rPr lang="ro-MD" sz="1400" b="1" i="0" u="none" strike="noStrike" cap="none" baseline="0">
                <a:solidFill>
                  <a:srgbClr val="002060"/>
                </a:solidFill>
                <a:effectLst/>
              </a:rPr>
              <a:t>de creștere</a:t>
            </a:r>
            <a:r>
              <a:rPr lang="en-US" sz="1400" b="1" i="0" u="none" strike="noStrike" cap="none" baseline="0">
                <a:solidFill>
                  <a:srgbClr val="002060"/>
                </a:solidFill>
                <a:effectLst/>
              </a:rPr>
              <a:t> </a:t>
            </a:r>
            <a:r>
              <a:rPr lang="ro-MD" sz="1400" b="1" i="0" u="none" strike="noStrike" cap="none" baseline="0">
                <a:solidFill>
                  <a:srgbClr val="002060"/>
                </a:solidFill>
                <a:effectLst/>
              </a:rPr>
              <a:t>a veniturilor</a:t>
            </a:r>
            <a:r>
              <a:rPr lang="en-US" sz="1400" b="1" i="0" u="none" strike="noStrike" cap="none" baseline="0">
                <a:solidFill>
                  <a:srgbClr val="002060"/>
                </a:solidFill>
                <a:effectLst/>
              </a:rPr>
              <a:t> la BS</a:t>
            </a:r>
            <a:r>
              <a:rPr lang="ro-MD" sz="1400" b="1" i="0" u="none" strike="noStrike" cap="none" baseline="0">
                <a:solidFill>
                  <a:srgbClr val="002060"/>
                </a:solidFill>
                <a:effectLst/>
              </a:rPr>
              <a:t> și </a:t>
            </a:r>
            <a:r>
              <a:rPr lang="en-US" sz="1400" b="1" i="0" u="none" strike="noStrike" cap="none" baseline="0">
                <a:solidFill>
                  <a:srgbClr val="002060"/>
                </a:solidFill>
                <a:effectLst/>
              </a:rPr>
              <a:t>nivelul </a:t>
            </a:r>
            <a:r>
              <a:rPr lang="ro-MD" sz="1400" b="1" i="0" u="none" strike="noStrike" cap="none" baseline="0">
                <a:solidFill>
                  <a:srgbClr val="002060"/>
                </a:solidFill>
                <a:effectLst/>
              </a:rPr>
              <a:t>ratei inflației</a:t>
            </a:r>
            <a:r>
              <a:rPr lang="en-US" sz="1400" b="1" i="0" u="none" strike="noStrike" cap="none" baseline="0">
                <a:solidFill>
                  <a:srgbClr val="002060"/>
                </a:solidFill>
                <a:effectLst/>
              </a:rPr>
              <a:t> </a:t>
            </a:r>
            <a:r>
              <a:rPr lang="ro-RO" sz="1400" b="1" i="0" u="none" strike="noStrike" cap="none" baseline="0">
                <a:solidFill>
                  <a:srgbClr val="002060"/>
                </a:solidFill>
                <a:effectLst/>
              </a:rPr>
              <a:t>î</a:t>
            </a:r>
            <a:r>
              <a:rPr lang="en-US" sz="1400" b="1" i="0" u="none" strike="noStrike" cap="none" baseline="0">
                <a:solidFill>
                  <a:srgbClr val="002060"/>
                </a:solidFill>
                <a:effectLst/>
              </a:rPr>
              <a:t>n anii 2017-2019, %</a:t>
            </a:r>
            <a:endParaRPr lang="en-US" b="1">
              <a:solidFill>
                <a:srgbClr val="002060"/>
              </a:solidFill>
            </a:endParaRPr>
          </a:p>
        </c:rich>
      </c:tx>
      <c:layout/>
      <c:overlay val="0"/>
      <c:spPr>
        <a:noFill/>
        <a:ln>
          <a:noFill/>
        </a:ln>
        <a:effectLst/>
      </c:spPr>
      <c:txPr>
        <a:bodyPr rot="0" spcFirstLastPara="1" vertOverflow="ellipsis" vert="horz" wrap="square" anchor="ctr" anchorCtr="1"/>
        <a:lstStyle/>
        <a:p>
          <a:pPr>
            <a:defRPr sz="1400" b="1" i="0" u="none" strike="noStrike" kern="1200" cap="none" spc="20" baseline="0">
              <a:solidFill>
                <a:srgbClr val="002060"/>
              </a:solidFill>
              <a:latin typeface="+mn-lt"/>
              <a:ea typeface="+mn-ea"/>
              <a:cs typeface="+mn-cs"/>
            </a:defRPr>
          </a:pPr>
          <a:endParaRPr lang="en-US"/>
        </a:p>
      </c:txPr>
    </c:title>
    <c:autoTitleDeleted val="0"/>
    <c:plotArea>
      <c:layout>
        <c:manualLayout>
          <c:layoutTarget val="inner"/>
          <c:xMode val="edge"/>
          <c:yMode val="edge"/>
          <c:x val="6.1039661708953044E-2"/>
          <c:y val="0.215"/>
          <c:w val="0.9181270049577136"/>
          <c:h val="0.60216910386201727"/>
        </c:manualLayout>
      </c:layout>
      <c:lineChart>
        <c:grouping val="standard"/>
        <c:varyColors val="0"/>
        <c:ser>
          <c:idx val="0"/>
          <c:order val="0"/>
          <c:tx>
            <c:strRef>
              <c:f>Sheet1!$B$1</c:f>
              <c:strCache>
                <c:ptCount val="1"/>
                <c:pt idx="0">
                  <c:v>Nivelul de crestere a veniturilor la BS</c:v>
                </c:pt>
              </c:strCache>
            </c:strRef>
          </c:tx>
          <c:spPr>
            <a:ln w="22225" cap="rnd" cmpd="sng" algn="ctr">
              <a:solidFill>
                <a:schemeClr val="accent1">
                  <a:lumMod val="50000"/>
                </a:schemeClr>
              </a:solidFill>
              <a:round/>
            </a:ln>
            <a:effectLst/>
          </c:spPr>
          <c:marker>
            <c:symbol val="none"/>
          </c:marker>
          <c:dLbls>
            <c:dLbl>
              <c:idx val="0"/>
              <c:layout>
                <c:manualLayout>
                  <c:x val="-2.6562591134441569E-2"/>
                  <c:y val="-3.571428571428571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8AE-41F2-BC96-126C2679C0AE}"/>
                </c:ext>
              </c:extLst>
            </c:dLbl>
            <c:dLbl>
              <c:idx val="1"/>
              <c:layout>
                <c:manualLayout>
                  <c:x val="-3.0544072615923009E-2"/>
                  <c:y val="-4.761904761904761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8AE-41F2-BC96-126C2679C0AE}"/>
                </c:ext>
              </c:extLst>
            </c:dLbl>
            <c:dLbl>
              <c:idx val="2"/>
              <c:layout>
                <c:manualLayout>
                  <c:x val="-3.0544072615923009E-2"/>
                  <c:y val="-2.777777777777777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8AE-41F2-BC96-126C2679C0A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1">
                        <a:lumMod val="50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Sheet1!$A$2:$A$4</c:f>
              <c:numCache>
                <c:formatCode>General</c:formatCode>
                <c:ptCount val="3"/>
                <c:pt idx="0">
                  <c:v>2017</c:v>
                </c:pt>
                <c:pt idx="1">
                  <c:v>2018</c:v>
                </c:pt>
                <c:pt idx="2">
                  <c:v>2019</c:v>
                </c:pt>
              </c:numCache>
            </c:numRef>
          </c:cat>
          <c:val>
            <c:numRef>
              <c:f>Sheet1!$B$2:$B$4</c:f>
              <c:numCache>
                <c:formatCode>General</c:formatCode>
                <c:ptCount val="3"/>
                <c:pt idx="0">
                  <c:v>23.9</c:v>
                </c:pt>
                <c:pt idx="1">
                  <c:v>5.0999999999999996</c:v>
                </c:pt>
                <c:pt idx="2">
                  <c:v>4.5999999999999996</c:v>
                </c:pt>
              </c:numCache>
            </c:numRef>
          </c:val>
          <c:smooth val="0"/>
          <c:extLst>
            <c:ext xmlns:c16="http://schemas.microsoft.com/office/drawing/2014/chart" uri="{C3380CC4-5D6E-409C-BE32-E72D297353CC}">
              <c16:uniqueId val="{00000003-78AE-41F2-BC96-126C2679C0AE}"/>
            </c:ext>
          </c:extLst>
        </c:ser>
        <c:ser>
          <c:idx val="1"/>
          <c:order val="1"/>
          <c:tx>
            <c:strRef>
              <c:f>Sheet1!$C$1</c:f>
              <c:strCache>
                <c:ptCount val="1"/>
                <c:pt idx="0">
                  <c:v>Rata inflației</c:v>
                </c:pt>
              </c:strCache>
            </c:strRef>
          </c:tx>
          <c:spPr>
            <a:ln w="22225" cap="rnd" cmpd="sng" algn="ctr">
              <a:solidFill>
                <a:srgbClr val="C00000"/>
              </a:solidFill>
              <a:round/>
            </a:ln>
            <a:effectLst/>
          </c:spPr>
          <c:marker>
            <c:symbol val="none"/>
          </c:marker>
          <c:dLbls>
            <c:dLbl>
              <c:idx val="0"/>
              <c:layout>
                <c:manualLayout>
                  <c:x val="-3.8136665208515622E-2"/>
                  <c:y val="-2.777777777777770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78AE-41F2-BC96-126C2679C0AE}"/>
                </c:ext>
              </c:extLst>
            </c:dLbl>
            <c:dLbl>
              <c:idx val="1"/>
              <c:layout>
                <c:manualLayout>
                  <c:x val="-3.3507035578885971E-2"/>
                  <c:y val="-3.571428571428571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78AE-41F2-BC96-126C2679C0AE}"/>
                </c:ext>
              </c:extLst>
            </c:dLbl>
            <c:dLbl>
              <c:idx val="2"/>
              <c:layout>
                <c:manualLayout>
                  <c:x val="-3.3507035578886145E-2"/>
                  <c:y val="-4.365079365079372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78AE-41F2-BC96-126C2679C0A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Sheet1!$A$2:$A$4</c:f>
              <c:numCache>
                <c:formatCode>General</c:formatCode>
                <c:ptCount val="3"/>
                <c:pt idx="0">
                  <c:v>2017</c:v>
                </c:pt>
                <c:pt idx="1">
                  <c:v>2018</c:v>
                </c:pt>
                <c:pt idx="2">
                  <c:v>2019</c:v>
                </c:pt>
              </c:numCache>
            </c:numRef>
          </c:cat>
          <c:val>
            <c:numRef>
              <c:f>Sheet1!$C$2:$C$4</c:f>
              <c:numCache>
                <c:formatCode>General</c:formatCode>
                <c:ptCount val="3"/>
                <c:pt idx="0">
                  <c:v>7.31</c:v>
                </c:pt>
                <c:pt idx="1">
                  <c:v>0.88</c:v>
                </c:pt>
                <c:pt idx="2">
                  <c:v>7.54</c:v>
                </c:pt>
              </c:numCache>
            </c:numRef>
          </c:val>
          <c:smooth val="0"/>
          <c:extLst>
            <c:ext xmlns:c16="http://schemas.microsoft.com/office/drawing/2014/chart" uri="{C3380CC4-5D6E-409C-BE32-E72D297353CC}">
              <c16:uniqueId val="{00000007-78AE-41F2-BC96-126C2679C0AE}"/>
            </c:ext>
          </c:extLst>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54512648"/>
        <c:axId val="116363080"/>
      </c:lineChart>
      <c:catAx>
        <c:axId val="154512648"/>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116363080"/>
        <c:crosses val="autoZero"/>
        <c:auto val="1"/>
        <c:lblAlgn val="ctr"/>
        <c:lblOffset val="100"/>
        <c:noMultiLvlLbl val="0"/>
      </c:catAx>
      <c:valAx>
        <c:axId val="11636308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bg1"/>
                </a:solidFill>
                <a:latin typeface="+mn-lt"/>
                <a:ea typeface="+mn-ea"/>
                <a:cs typeface="+mn-cs"/>
              </a:defRPr>
            </a:pPr>
            <a:endParaRPr lang="en-US"/>
          </a:p>
        </c:txPr>
        <c:crossAx val="154512648"/>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ayout>
        <c:manualLayout>
          <c:xMode val="edge"/>
          <c:yMode val="edge"/>
          <c:x val="0.24392989938757656"/>
          <c:y val="0.92113048368953876"/>
          <c:w val="0.60704760863225427"/>
          <c:h val="5.505999250093737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1" u="none" strike="noStrike" kern="1200" cap="none" spc="50" normalizeH="0" baseline="0">
                <a:solidFill>
                  <a:schemeClr val="tx1">
                    <a:lumMod val="65000"/>
                    <a:lumOff val="35000"/>
                  </a:schemeClr>
                </a:solidFill>
                <a:latin typeface="+mn-lt"/>
                <a:ea typeface="+mj-ea"/>
                <a:cs typeface="+mj-cs"/>
              </a:defRPr>
            </a:pPr>
            <a:r>
              <a:rPr lang="en-US" sz="1400" b="1" i="1">
                <a:latin typeface="+mn-lt"/>
              </a:rPr>
              <a:t>Dinamica restan</a:t>
            </a:r>
            <a:r>
              <a:rPr lang="ro-MD" sz="1400" b="1" i="1">
                <a:latin typeface="+mn-lt"/>
              </a:rPr>
              <a:t>ței</a:t>
            </a:r>
            <a:r>
              <a:rPr lang="ro-MD" sz="1400" b="1" i="1" baseline="0">
                <a:latin typeface="+mn-lt"/>
              </a:rPr>
              <a:t> la BPN</a:t>
            </a:r>
            <a:r>
              <a:rPr lang="en-US" sz="1400" b="1" i="1" baseline="0">
                <a:latin typeface="+mn-lt"/>
              </a:rPr>
              <a:t>/BS</a:t>
            </a:r>
            <a:r>
              <a:rPr lang="ro-MD" sz="1400" b="1" i="1" baseline="0">
                <a:latin typeface="+mn-lt"/>
              </a:rPr>
              <a:t> </a:t>
            </a:r>
          </a:p>
          <a:p>
            <a:pPr>
              <a:defRPr sz="1400" b="1" i="1">
                <a:latin typeface="+mn-lt"/>
              </a:defRPr>
            </a:pPr>
            <a:r>
              <a:rPr lang="ro-MD" sz="1200" b="0" i="1" baseline="0">
                <a:latin typeface="+mn-lt"/>
              </a:rPr>
              <a:t>mi</a:t>
            </a:r>
            <a:r>
              <a:rPr lang="en-US" sz="1200" b="0" i="1" baseline="0">
                <a:latin typeface="+mn-lt"/>
              </a:rPr>
              <a:t>l.</a:t>
            </a:r>
            <a:r>
              <a:rPr lang="ro-MD" sz="1200" b="0" i="1" baseline="0">
                <a:latin typeface="+mn-lt"/>
              </a:rPr>
              <a:t> lei</a:t>
            </a:r>
            <a:endParaRPr lang="en-US" sz="1200" b="0" i="1">
              <a:latin typeface="+mn-lt"/>
            </a:endParaRPr>
          </a:p>
        </c:rich>
      </c:tx>
      <c:layout>
        <c:manualLayout>
          <c:xMode val="edge"/>
          <c:yMode val="edge"/>
          <c:x val="0.3288213031581394"/>
          <c:y val="1.5169902912621359E-2"/>
        </c:manualLayout>
      </c:layout>
      <c:overlay val="0"/>
      <c:spPr>
        <a:noFill/>
        <a:ln>
          <a:noFill/>
        </a:ln>
        <a:effectLst/>
      </c:spPr>
      <c:txPr>
        <a:bodyPr rot="0" spcFirstLastPara="1" vertOverflow="ellipsis" vert="horz" wrap="square" anchor="ctr" anchorCtr="1"/>
        <a:lstStyle/>
        <a:p>
          <a:pPr>
            <a:defRPr sz="1400" b="1" i="1" u="none" strike="noStrike" kern="1200" cap="none" spc="50" normalizeH="0" baseline="0">
              <a:solidFill>
                <a:schemeClr val="tx1">
                  <a:lumMod val="65000"/>
                  <a:lumOff val="35000"/>
                </a:schemeClr>
              </a:solidFill>
              <a:latin typeface="+mn-lt"/>
              <a:ea typeface="+mj-ea"/>
              <a:cs typeface="+mj-cs"/>
            </a:defRPr>
          </a:pPr>
          <a:endParaRPr lang="en-US"/>
        </a:p>
      </c:txPr>
    </c:title>
    <c:autoTitleDeleted val="0"/>
    <c:plotArea>
      <c:layout>
        <c:manualLayout>
          <c:layoutTarget val="inner"/>
          <c:xMode val="edge"/>
          <c:yMode val="edge"/>
          <c:x val="6.1728918500572043E-2"/>
          <c:y val="6.292436592410873E-2"/>
          <c:w val="0.9077494166496759"/>
          <c:h val="0.78464717081989466"/>
        </c:manualLayout>
      </c:layout>
      <c:barChart>
        <c:barDir val="col"/>
        <c:grouping val="clustered"/>
        <c:varyColors val="0"/>
        <c:ser>
          <c:idx val="0"/>
          <c:order val="0"/>
          <c:spPr>
            <a:solidFill>
              <a:schemeClr val="accent1">
                <a:lumMod val="75000"/>
              </a:schemeClr>
            </a:solidFill>
            <a:ln>
              <a:noFill/>
            </a:ln>
            <a:effectLst/>
          </c:spPr>
          <c:invertIfNegative val="0"/>
          <c:dLbls>
            <c:dLbl>
              <c:idx val="0"/>
              <c:layout>
                <c:manualLayout>
                  <c:x val="-3.9046444718454656E-2"/>
                  <c:y val="-1.5835312747426809E-2"/>
                </c:manualLayout>
              </c:layout>
              <c:tx>
                <c:rich>
                  <a:bodyPr/>
                  <a:lstStyle/>
                  <a:p>
                    <a:fld id="{2E4F1C59-12AB-4F3F-AA51-1ADC77228734}" type="VALUE">
                      <a:rPr lang="en-US"/>
                      <a:pPr/>
                      <a:t>[VALUE]</a:t>
                    </a:fld>
                    <a:r>
                      <a:rPr lang="en-US"/>
                      <a:t> </a:t>
                    </a:r>
                  </a:p>
                  <a:p>
                    <a:r>
                      <a:rPr lang="en-US">
                        <a:solidFill>
                          <a:srgbClr val="FF0000"/>
                        </a:solidFill>
                      </a:rPr>
                      <a:t>63 %</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0-C411-4BCE-A1C1-B1E045FCCFC0}"/>
                </c:ext>
              </c:extLst>
            </c:dLbl>
            <c:dLbl>
              <c:idx val="1"/>
              <c:layout>
                <c:manualLayout>
                  <c:x val="-1.6440608302507268E-2"/>
                  <c:y val="-5.455393590675317E-2"/>
                </c:manualLayout>
              </c:layout>
              <c:tx>
                <c:rich>
                  <a:bodyPr/>
                  <a:lstStyle/>
                  <a:p>
                    <a:fld id="{D98A3DC8-43E5-4E68-8317-C3E2CBC1E15D}" type="VALUE">
                      <a:rPr lang="en-US"/>
                      <a:pPr/>
                      <a:t>[VALUE]</a:t>
                    </a:fld>
                    <a:r>
                      <a:rPr lang="en-US"/>
                      <a:t> </a:t>
                    </a:r>
                  </a:p>
                  <a:p>
                    <a:r>
                      <a:rPr lang="en-US">
                        <a:solidFill>
                          <a:srgbClr val="FF0000"/>
                        </a:solidFill>
                      </a:rPr>
                      <a:t>54 %</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C411-4BCE-A1C1-B1E045FCCFC0}"/>
                </c:ext>
              </c:extLst>
            </c:dLbl>
            <c:dLbl>
              <c:idx val="2"/>
              <c:layout>
                <c:manualLayout>
                  <c:x val="-1.6440608302507344E-2"/>
                  <c:y val="5.0851767098907619E-3"/>
                </c:manualLayout>
              </c:layout>
              <c:tx>
                <c:rich>
                  <a:bodyPr/>
                  <a:lstStyle/>
                  <a:p>
                    <a:fld id="{392B1591-59A0-4E3D-8D87-CBA8ABBAD2DC}" type="VALUE">
                      <a:rPr lang="en-US"/>
                      <a:pPr/>
                      <a:t>[VALUE]</a:t>
                    </a:fld>
                    <a:r>
                      <a:rPr lang="en-US"/>
                      <a:t> </a:t>
                    </a:r>
                  </a:p>
                  <a:p>
                    <a:r>
                      <a:rPr lang="en-US">
                        <a:solidFill>
                          <a:srgbClr val="FF0000"/>
                        </a:solidFill>
                      </a:rPr>
                      <a:t>91 %</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2-C411-4BCE-A1C1-B1E045FCCFC0}"/>
                </c:ext>
              </c:extLst>
            </c:dLbl>
            <c:dLbl>
              <c:idx val="4"/>
              <c:layout>
                <c:manualLayout>
                  <c:x val="-2.0550760378134001E-2"/>
                  <c:y val="-3.0511060259344011E-2"/>
                </c:manualLayout>
              </c:layout>
              <c:tx>
                <c:rich>
                  <a:bodyPr/>
                  <a:lstStyle/>
                  <a:p>
                    <a:fld id="{49434A83-727D-4576-8EB7-2AB9E115C7F3}" type="VALUE">
                      <a:rPr lang="en-US"/>
                      <a:pPr/>
                      <a:t>[VALUE]</a:t>
                    </a:fld>
                    <a:r>
                      <a:rPr lang="en-US"/>
                      <a:t> </a:t>
                    </a:r>
                  </a:p>
                  <a:p>
                    <a:r>
                      <a:rPr lang="en-US">
                        <a:solidFill>
                          <a:srgbClr val="FF0000"/>
                        </a:solidFill>
                      </a:rPr>
                      <a:t>53 %</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C411-4BCE-A1C1-B1E045FCCFC0}"/>
                </c:ext>
              </c:extLst>
            </c:dLbl>
            <c:dLbl>
              <c:idx val="5"/>
              <c:layout>
                <c:manualLayout>
                  <c:x val="-1.2330456226880395E-2"/>
                  <c:y val="0"/>
                </c:manualLayout>
              </c:layout>
              <c:tx>
                <c:rich>
                  <a:bodyPr/>
                  <a:lstStyle/>
                  <a:p>
                    <a:fld id="{01D38ED1-34EF-435C-BE58-3F416A854CDB}" type="VALUE">
                      <a:rPr lang="en-US"/>
                      <a:pPr/>
                      <a:t>[VALUE]</a:t>
                    </a:fld>
                    <a:r>
                      <a:rPr lang="en-US"/>
                      <a:t> </a:t>
                    </a:r>
                  </a:p>
                  <a:p>
                    <a:r>
                      <a:rPr lang="en-US">
                        <a:solidFill>
                          <a:srgbClr val="FF0000"/>
                        </a:solidFill>
                      </a:rPr>
                      <a:t>51 %</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4-C411-4BCE-A1C1-B1E045FCCFC0}"/>
                </c:ext>
              </c:extLst>
            </c:dLbl>
            <c:dLbl>
              <c:idx val="6"/>
              <c:layout>
                <c:manualLayout>
                  <c:x val="-1.2330456226880433E-2"/>
                  <c:y val="7.62776506483591E-3"/>
                </c:manualLayout>
              </c:layout>
              <c:tx>
                <c:rich>
                  <a:bodyPr/>
                  <a:lstStyle/>
                  <a:p>
                    <a:fld id="{07322E08-A1DF-49EF-B820-C74C5442A3BC}" type="VALUE">
                      <a:rPr lang="en-US"/>
                      <a:pPr/>
                      <a:t>[VALUE]</a:t>
                    </a:fld>
                    <a:r>
                      <a:rPr lang="en-US"/>
                      <a:t> </a:t>
                    </a:r>
                  </a:p>
                  <a:p>
                    <a:r>
                      <a:rPr lang="en-US">
                        <a:solidFill>
                          <a:srgbClr val="FF0000"/>
                        </a:solidFill>
                      </a:rPr>
                      <a:t>93 %</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C411-4BCE-A1C1-B1E045FCCFC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Лист1!$C$12:$D$18</c:f>
              <c:strCache>
                <c:ptCount val="7"/>
                <c:pt idx="0">
                  <c:v>*Plăți de bază</c:v>
                </c:pt>
                <c:pt idx="1">
                  <c:v>*Majorări de întîrziere         Anul 2018</c:v>
                </c:pt>
                <c:pt idx="2">
                  <c:v>*Amenzi</c:v>
                </c:pt>
                <c:pt idx="4">
                  <c:v>*Plăți de bază</c:v>
                </c:pt>
                <c:pt idx="5">
                  <c:v>*Majorări de întîrziere         Anul 2019 </c:v>
                </c:pt>
                <c:pt idx="6">
                  <c:v>*Amenzi</c:v>
                </c:pt>
              </c:strCache>
            </c:strRef>
          </c:cat>
          <c:val>
            <c:numRef>
              <c:f>Лист1!$E$12:$E$18</c:f>
              <c:numCache>
                <c:formatCode>General</c:formatCode>
                <c:ptCount val="7"/>
                <c:pt idx="0">
                  <c:v>631.6</c:v>
                </c:pt>
                <c:pt idx="1">
                  <c:v>283.39999999999998</c:v>
                </c:pt>
                <c:pt idx="2">
                  <c:v>228.3</c:v>
                </c:pt>
                <c:pt idx="4">
                  <c:v>425.7</c:v>
                </c:pt>
                <c:pt idx="5">
                  <c:v>212.9</c:v>
                </c:pt>
                <c:pt idx="6">
                  <c:v>163.5</c:v>
                </c:pt>
              </c:numCache>
            </c:numRef>
          </c:val>
          <c:extLst>
            <c:ext xmlns:c16="http://schemas.microsoft.com/office/drawing/2014/chart" uri="{C3380CC4-5D6E-409C-BE32-E72D297353CC}">
              <c16:uniqueId val="{00000006-C411-4BCE-A1C1-B1E045FCCFC0}"/>
            </c:ext>
          </c:extLst>
        </c:ser>
        <c:ser>
          <c:idx val="1"/>
          <c:order val="1"/>
          <c:spPr>
            <a:solidFill>
              <a:srgbClr val="C00000"/>
            </a:solidFill>
            <a:ln>
              <a:noFill/>
            </a:ln>
            <a:effectLst/>
          </c:spPr>
          <c:invertIfNegative val="0"/>
          <c:dLbls>
            <c:dLbl>
              <c:idx val="0"/>
              <c:layout>
                <c:manualLayout>
                  <c:x val="0"/>
                  <c:y val="-7.6277650648360262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C411-4BCE-A1C1-B1E045FCCFC0}"/>
                </c:ext>
              </c:extLst>
            </c:dLbl>
            <c:dLbl>
              <c:idx val="1"/>
              <c:layout>
                <c:manualLayout>
                  <c:x val="0"/>
                  <c:y val="-1.017035341978133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C411-4BCE-A1C1-B1E045FCCFC0}"/>
                </c:ext>
              </c:extLst>
            </c:dLbl>
            <c:dLbl>
              <c:idx val="2"/>
              <c:layout>
                <c:manualLayout>
                  <c:x val="-1.5070383516275208E-16"/>
                  <c:y val="-2.5425883549453437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C411-4BCE-A1C1-B1E045FCCFC0}"/>
                </c:ext>
              </c:extLst>
            </c:dLbl>
            <c:dLbl>
              <c:idx val="4"/>
              <c:layout>
                <c:manualLayout>
                  <c:x val="-2.0550760378134181E-3"/>
                  <c:y val="-7.6277650648360028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C411-4BCE-A1C1-B1E045FCCFC0}"/>
                </c:ext>
              </c:extLst>
            </c:dLbl>
            <c:dLbl>
              <c:idx val="5"/>
              <c:layout>
                <c:manualLayout>
                  <c:x val="-3.7675958790688019E-17"/>
                  <c:y val="-2.0340706839562676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C411-4BCE-A1C1-B1E045FCCFC0}"/>
                </c:ext>
              </c:extLst>
            </c:dLbl>
            <c:dLbl>
              <c:idx val="6"/>
              <c:layout>
                <c:manualLayout>
                  <c:x val="-7.5351917581376038E-17"/>
                  <c:y val="-2.7968471904398769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C411-4BCE-A1C1-B1E045FCCFC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Лист1!$C$12:$D$18</c:f>
              <c:strCache>
                <c:ptCount val="7"/>
                <c:pt idx="0">
                  <c:v>*Plăți de bază</c:v>
                </c:pt>
                <c:pt idx="1">
                  <c:v>*Majorări de întîrziere         Anul 2018</c:v>
                </c:pt>
                <c:pt idx="2">
                  <c:v>*Amenzi</c:v>
                </c:pt>
                <c:pt idx="4">
                  <c:v>*Plăți de bază</c:v>
                </c:pt>
                <c:pt idx="5">
                  <c:v>*Majorări de întîrziere         Anul 2019 </c:v>
                </c:pt>
                <c:pt idx="6">
                  <c:v>*Amenzi</c:v>
                </c:pt>
              </c:strCache>
            </c:strRef>
          </c:cat>
          <c:val>
            <c:numRef>
              <c:f>Лист1!$F$12:$F$18</c:f>
              <c:numCache>
                <c:formatCode>General</c:formatCode>
                <c:ptCount val="7"/>
                <c:pt idx="0">
                  <c:v>1007.9</c:v>
                </c:pt>
                <c:pt idx="1">
                  <c:v>520.6</c:v>
                </c:pt>
                <c:pt idx="2">
                  <c:v>250.8</c:v>
                </c:pt>
                <c:pt idx="4">
                  <c:v>804.6</c:v>
                </c:pt>
                <c:pt idx="5" formatCode="0.0">
                  <c:v>419</c:v>
                </c:pt>
                <c:pt idx="6">
                  <c:v>176.1</c:v>
                </c:pt>
              </c:numCache>
            </c:numRef>
          </c:val>
          <c:extLst>
            <c:ext xmlns:c16="http://schemas.microsoft.com/office/drawing/2014/chart" uri="{C3380CC4-5D6E-409C-BE32-E72D297353CC}">
              <c16:uniqueId val="{0000000D-C411-4BCE-A1C1-B1E045FCCFC0}"/>
            </c:ext>
          </c:extLst>
        </c:ser>
        <c:dLbls>
          <c:dLblPos val="outEnd"/>
          <c:showLegendKey val="0"/>
          <c:showVal val="1"/>
          <c:showCatName val="0"/>
          <c:showSerName val="0"/>
          <c:showPercent val="0"/>
          <c:showBubbleSize val="0"/>
        </c:dLbls>
        <c:gapWidth val="80"/>
        <c:overlap val="25"/>
        <c:axId val="1416805823"/>
        <c:axId val="1416811231"/>
      </c:barChart>
      <c:catAx>
        <c:axId val="1416805823"/>
        <c:scaling>
          <c:orientation val="minMax"/>
        </c:scaling>
        <c:delete val="0"/>
        <c:axPos val="b"/>
        <c:numFmt formatCode="General" sourceLinked="1"/>
        <c:majorTickMark val="out"/>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1416811231"/>
        <c:crosses val="autoZero"/>
        <c:auto val="0"/>
        <c:lblAlgn val="ctr"/>
        <c:lblOffset val="100"/>
        <c:noMultiLvlLbl val="0"/>
      </c:catAx>
      <c:valAx>
        <c:axId val="1416811231"/>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1416805823"/>
        <c:crosses val="autoZero"/>
        <c:crossBetween val="between"/>
      </c:valAx>
      <c:spPr>
        <a:noFill/>
        <a:ln>
          <a:noFill/>
        </a:ln>
        <a:effectLst/>
      </c:spPr>
    </c:plotArea>
    <c:legend>
      <c:legendPos val="r"/>
      <c:layout>
        <c:manualLayout>
          <c:xMode val="edge"/>
          <c:yMode val="edge"/>
          <c:x val="0.37399811296681112"/>
          <c:y val="0.92322476301505985"/>
          <c:w val="0.25857490798478344"/>
          <c:h val="4.475193028055958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sz="1200">
                <a:solidFill>
                  <a:schemeClr val="bg2">
                    <a:lumMod val="50000"/>
                  </a:schemeClr>
                </a:solidFill>
              </a:rPr>
              <a:t>Nivel</a:t>
            </a:r>
            <a:r>
              <a:rPr lang="ro-RO" sz="1200">
                <a:solidFill>
                  <a:schemeClr val="bg2">
                    <a:lumMod val="50000"/>
                  </a:schemeClr>
                </a:solidFill>
              </a:rPr>
              <a:t>ul</a:t>
            </a:r>
            <a:r>
              <a:rPr lang="en-US" sz="1200">
                <a:solidFill>
                  <a:schemeClr val="bg2">
                    <a:lumMod val="50000"/>
                  </a:schemeClr>
                </a:solidFill>
              </a:rPr>
              <a:t> redus de încasare la buget a sumelor calculate suplimentar în rezultatul controalelor</a:t>
            </a:r>
            <a:r>
              <a:rPr lang="ro-MD" sz="1200">
                <a:solidFill>
                  <a:schemeClr val="bg2">
                    <a:lumMod val="50000"/>
                  </a:schemeClr>
                </a:solidFill>
              </a:rPr>
              <a:t> în anul 2019</a:t>
            </a:r>
            <a:endParaRPr lang="en-US" sz="1200">
              <a:solidFill>
                <a:schemeClr val="bg2">
                  <a:lumMod val="50000"/>
                </a:schemeClr>
              </a:solidFill>
            </a:endParaRPr>
          </a:p>
        </c:rich>
      </c:tx>
      <c:layout>
        <c:manualLayout>
          <c:xMode val="edge"/>
          <c:yMode val="edge"/>
          <c:x val="4.8013779527559058E-2"/>
          <c:y val="3.7037037037037035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3.6111111111111108E-2"/>
          <c:y val="0.22824074074074074"/>
          <c:w val="0.66384164479440066"/>
          <c:h val="0.72083333333333333"/>
        </c:manualLayout>
      </c:layout>
      <c:ofPieChart>
        <c:ofPieType val="pie"/>
        <c:varyColors val="1"/>
        <c:ser>
          <c:idx val="0"/>
          <c:order val="0"/>
          <c:dPt>
            <c:idx val="0"/>
            <c:bubble3D val="0"/>
            <c:spPr>
              <a:gradFill rotWithShape="1">
                <a:gsLst>
                  <a:gs pos="0">
                    <a:schemeClr val="accent5">
                      <a:shade val="76000"/>
                      <a:satMod val="103000"/>
                      <a:lumMod val="102000"/>
                      <a:tint val="94000"/>
                    </a:schemeClr>
                  </a:gs>
                  <a:gs pos="50000">
                    <a:schemeClr val="accent5">
                      <a:shade val="76000"/>
                      <a:satMod val="110000"/>
                      <a:lumMod val="100000"/>
                      <a:shade val="100000"/>
                    </a:schemeClr>
                  </a:gs>
                  <a:gs pos="100000">
                    <a:schemeClr val="accent5">
                      <a:shade val="76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l">
                  <a:rot lat="0" lon="0" rev="20400000"/>
                </a:lightRig>
              </a:scene3d>
              <a:sp3d contourW="15875">
                <a:bevelT w="101600" h="25400" prst="softRound"/>
                <a:contourClr>
                  <a:scrgbClr r="0" g="0" b="0">
                    <a:shade val="30000"/>
                  </a:scrgbClr>
                </a:contourClr>
              </a:sp3d>
            </c:spPr>
            <c:extLst>
              <c:ext xmlns:c16="http://schemas.microsoft.com/office/drawing/2014/chart" uri="{C3380CC4-5D6E-409C-BE32-E72D297353CC}">
                <c16:uniqueId val="{00000001-5B76-41EB-8462-1F8517FF7B9E}"/>
              </c:ext>
            </c:extLst>
          </c:dPt>
          <c:dPt>
            <c:idx val="1"/>
            <c:bubble3D val="0"/>
            <c:spPr>
              <a:gradFill rotWithShape="1">
                <a:gsLst>
                  <a:gs pos="0">
                    <a:schemeClr val="accent5">
                      <a:tint val="77000"/>
                      <a:satMod val="103000"/>
                      <a:lumMod val="102000"/>
                      <a:tint val="94000"/>
                    </a:schemeClr>
                  </a:gs>
                  <a:gs pos="50000">
                    <a:schemeClr val="accent5">
                      <a:tint val="77000"/>
                      <a:satMod val="110000"/>
                      <a:lumMod val="100000"/>
                      <a:shade val="100000"/>
                    </a:schemeClr>
                  </a:gs>
                  <a:gs pos="100000">
                    <a:schemeClr val="accent5">
                      <a:tint val="77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l">
                  <a:rot lat="0" lon="0" rev="20400000"/>
                </a:lightRig>
              </a:scene3d>
              <a:sp3d contourW="15875">
                <a:bevelT w="101600" h="25400" prst="softRound"/>
                <a:contourClr>
                  <a:scrgbClr r="0" g="0" b="0">
                    <a:shade val="30000"/>
                  </a:scrgbClr>
                </a:contourClr>
              </a:sp3d>
            </c:spPr>
            <c:extLst>
              <c:ext xmlns:c16="http://schemas.microsoft.com/office/drawing/2014/chart" uri="{C3380CC4-5D6E-409C-BE32-E72D297353CC}">
                <c16:uniqueId val="{00000003-5B76-41EB-8462-1F8517FF7B9E}"/>
              </c:ext>
            </c:extLst>
          </c:dPt>
          <c:dPt>
            <c:idx val="2"/>
            <c:bubble3D val="0"/>
            <c:spPr>
              <a:gradFill rotWithShape="1">
                <a:gsLst>
                  <a:gs pos="0">
                    <a:schemeClr val="accent5">
                      <a:tint val="30000"/>
                      <a:satMod val="103000"/>
                      <a:lumMod val="102000"/>
                      <a:tint val="94000"/>
                    </a:schemeClr>
                  </a:gs>
                  <a:gs pos="50000">
                    <a:schemeClr val="accent5">
                      <a:tint val="30000"/>
                      <a:satMod val="110000"/>
                      <a:lumMod val="100000"/>
                      <a:shade val="100000"/>
                    </a:schemeClr>
                  </a:gs>
                  <a:gs pos="100000">
                    <a:schemeClr val="accent5">
                      <a:tint val="3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l">
                  <a:rot lat="0" lon="0" rev="20400000"/>
                </a:lightRig>
              </a:scene3d>
              <a:sp3d contourW="15875">
                <a:bevelT w="101600" h="25400" prst="softRound"/>
                <a:contourClr>
                  <a:scrgbClr r="0" g="0" b="0">
                    <a:shade val="30000"/>
                  </a:scrgbClr>
                </a:contourClr>
              </a:sp3d>
            </c:spPr>
            <c:extLst>
              <c:ext xmlns:c16="http://schemas.microsoft.com/office/drawing/2014/chart" uri="{C3380CC4-5D6E-409C-BE32-E72D297353CC}">
                <c16:uniqueId val="{00000005-5B76-41EB-8462-1F8517FF7B9E}"/>
              </c:ext>
            </c:extLst>
          </c:dPt>
          <c:dLbls>
            <c:dLbl>
              <c:idx val="0"/>
              <c:layout>
                <c:manualLayout>
                  <c:x val="2.3149387576552931E-2"/>
                  <c:y val="-0.25000000000000006"/>
                </c:manualLayout>
              </c:layout>
              <c:tx>
                <c:rich>
                  <a:bodyPr/>
                  <a:lstStyle/>
                  <a:p>
                    <a:r>
                      <a:rPr lang="en-US"/>
                      <a:t>539.8</a:t>
                    </a:r>
                    <a:r>
                      <a:rPr lang="en-US" baseline="0"/>
                      <a:t> mil. lei</a:t>
                    </a:r>
                    <a:endParaRPr lang="en-US"/>
                  </a:p>
                </c:rich>
              </c:tx>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5B76-41EB-8462-1F8517FF7B9E}"/>
                </c:ext>
              </c:extLst>
            </c:dLbl>
            <c:dLbl>
              <c:idx val="1"/>
              <c:layout>
                <c:manualLayout>
                  <c:x val="0.19452996500437436"/>
                  <c:y val="-7.0298920968212344E-2"/>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fld id="{1DA8F4F5-D8FC-49E9-B19D-2469B03D4BA4}" type="VALUE">
                      <a:rPr lang="en-US"/>
                      <a:pPr>
                        <a:defRPr sz="1100" b="1"/>
                      </a:pPr>
                      <a:t>[VALUE]</a:t>
                    </a:fld>
                    <a:r>
                      <a:rPr lang="en-US"/>
                      <a:t> mil. lei</a:t>
                    </a:r>
                  </a:p>
                  <a:p>
                    <a:pPr>
                      <a:defRPr sz="1100" b="1"/>
                    </a:pPr>
                    <a:endParaRPr lang="en-US"/>
                  </a:p>
                </c:rich>
              </c:tx>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0"/>
              <c:showSerName val="0"/>
              <c:showPercent val="1"/>
              <c:showBubbleSize val="0"/>
              <c:extLst>
                <c:ext xmlns:c15="http://schemas.microsoft.com/office/drawing/2012/chart" uri="{CE6537A1-D6FC-4f65-9D91-7224C49458BB}">
                  <c15:layout>
                    <c:manualLayout>
                      <c:w val="0.18733333333333332"/>
                      <c:h val="8.2685185185185181E-2"/>
                    </c:manualLayout>
                  </c15:layout>
                  <c15:dlblFieldTable/>
                  <c15:showDataLabelsRange val="0"/>
                </c:ext>
                <c:ext xmlns:c16="http://schemas.microsoft.com/office/drawing/2014/chart" uri="{C3380CC4-5D6E-409C-BE32-E72D297353CC}">
                  <c16:uniqueId val="{00000003-5B76-41EB-8462-1F8517FF7B9E}"/>
                </c:ext>
              </c:extLst>
            </c:dLbl>
            <c:dLbl>
              <c:idx val="2"/>
              <c:layout/>
              <c:tx>
                <c:rich>
                  <a:bodyPr/>
                  <a:lstStyle/>
                  <a:p>
                    <a:r>
                      <a:rPr lang="en-US"/>
                      <a:t>29.2 %</a:t>
                    </a:r>
                  </a:p>
                </c:rich>
              </c:tx>
              <c:dLblPos val="ctr"/>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5B76-41EB-8462-1F8517FF7B9E}"/>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Sheet4!$C$8:$C$9</c:f>
              <c:strCache>
                <c:ptCount val="2"/>
                <c:pt idx="0">
                  <c:v>Total sume calculate </c:v>
                </c:pt>
                <c:pt idx="1">
                  <c:v>Sume încasate  </c:v>
                </c:pt>
              </c:strCache>
            </c:strRef>
          </c:cat>
          <c:val>
            <c:numRef>
              <c:f>Sheet4!$D$8:$D$9</c:f>
              <c:numCache>
                <c:formatCode>General</c:formatCode>
                <c:ptCount val="2"/>
                <c:pt idx="0">
                  <c:v>539.79999999999995</c:v>
                </c:pt>
                <c:pt idx="1">
                  <c:v>158.1</c:v>
                </c:pt>
              </c:numCache>
            </c:numRef>
          </c:val>
          <c:extLst>
            <c:ext xmlns:c16="http://schemas.microsoft.com/office/drawing/2014/chart" uri="{C3380CC4-5D6E-409C-BE32-E72D297353CC}">
              <c16:uniqueId val="{00000006-5B76-41EB-8462-1F8517FF7B9E}"/>
            </c:ext>
          </c:extLst>
        </c:ser>
        <c:dLbls>
          <c:dLblPos val="ctr"/>
          <c:showLegendKey val="0"/>
          <c:showVal val="0"/>
          <c:showCatName val="0"/>
          <c:showSerName val="0"/>
          <c:showPercent val="1"/>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o-RO" baseline="0">
                <a:solidFill>
                  <a:srgbClr val="0070C0"/>
                </a:solidFill>
              </a:rPr>
              <a:t> ACTIVITĂȚI DE CONTROL FISCAL realizate în anul 2019 </a:t>
            </a:r>
            <a:endParaRPr lang="en-US">
              <a:solidFill>
                <a:srgbClr val="0070C0"/>
              </a:solidFill>
            </a:endParaRP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6783471265862264"/>
          <c:y val="9.8300234267674799E-2"/>
          <c:w val="0.50025031984590651"/>
          <c:h val="0.83569934954061142"/>
        </c:manualLayout>
      </c:layout>
      <c:barChart>
        <c:barDir val="bar"/>
        <c:grouping val="clustered"/>
        <c:varyColors val="0"/>
        <c:ser>
          <c:idx val="0"/>
          <c:order val="0"/>
          <c:spPr>
            <a:solidFill>
              <a:schemeClr val="accent1"/>
            </a:solidFill>
            <a:ln>
              <a:solidFill>
                <a:sysClr val="windowText" lastClr="000000"/>
              </a:solidFill>
            </a:ln>
            <a:effectLst>
              <a:outerShdw blurRad="57150" dist="19050" dir="5400000" algn="ctr" rotWithShape="0">
                <a:srgbClr val="000000">
                  <a:alpha val="63000"/>
                </a:srgbClr>
              </a:outerShdw>
            </a:effectLst>
            <a:scene3d>
              <a:camera prst="orthographicFront">
                <a:rot lat="0" lon="0" rev="0"/>
              </a:camera>
              <a:lightRig rig="threePt" dir="tl">
                <a:rot lat="0" lon="0" rev="20400000"/>
              </a:lightRig>
            </a:scene3d>
            <a:sp3d contourW="15875">
              <a:bevelT w="101600" h="25400" prst="softRound"/>
              <a:contourClr>
                <a:scrgbClr r="0" g="0" b="0">
                  <a:shade val="30000"/>
                </a:scrgbClr>
              </a:contourClr>
            </a:sp3d>
          </c:spPr>
          <c:invertIfNegative val="0"/>
          <c:dLbls>
            <c:spPr>
              <a:solidFill>
                <a:srgbClr val="FFFF00"/>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'tipuri de conroale'!$A$1:$K$1</c:f>
              <c:strCache>
                <c:ptCount val="11"/>
                <c:pt idx="0">
                  <c:v>10. numărul controale fiscale planificate</c:v>
                </c:pt>
                <c:pt idx="1">
                  <c:v> 9.controale fiscale prin metoda de verificare totală (neplanificate) </c:v>
                </c:pt>
                <c:pt idx="2">
                  <c:v>8.controale fiscale la fața locului prin metoda de verificare tematică </c:v>
                </c:pt>
                <c:pt idx="3">
                  <c:v>7.controalele fiscale de verificare tematice (privind restituirea TVA, accize, înregistrarea/ anularea plătitorilor de TVA)</c:v>
                </c:pt>
                <c:pt idx="4">
                  <c:v>6.controale fiscale  prin metoda operativă </c:v>
                </c:pt>
                <c:pt idx="5">
                  <c:v>5.controale fiscale prin metoda de verificare camerală </c:v>
                </c:pt>
                <c:pt idx="6">
                  <c:v>4.controale fiscale prin metoda de verificare repetată </c:v>
                </c:pt>
                <c:pt idx="7">
                  <c:v>3.controale fiscale prin metoda de contrapunere</c:v>
                </c:pt>
                <c:pt idx="8">
                  <c:v>2.controale fiscale prin metoda de verificare parțială</c:v>
                </c:pt>
                <c:pt idx="9">
                  <c:v>1.controale fiscale prin metoda de verificare faptică</c:v>
                </c:pt>
                <c:pt idx="10">
                  <c:v>TOTAL, inclusiv: </c:v>
                </c:pt>
              </c:strCache>
            </c:strRef>
          </c:cat>
          <c:val>
            <c:numRef>
              <c:f>'tipuri de conroale'!$A$2:$K$2</c:f>
              <c:numCache>
                <c:formatCode>General</c:formatCode>
                <c:ptCount val="11"/>
                <c:pt idx="0">
                  <c:v>1007</c:v>
                </c:pt>
                <c:pt idx="1">
                  <c:v>685</c:v>
                </c:pt>
                <c:pt idx="2">
                  <c:v>222</c:v>
                </c:pt>
                <c:pt idx="3">
                  <c:v>20731</c:v>
                </c:pt>
                <c:pt idx="4">
                  <c:v>15694</c:v>
                </c:pt>
                <c:pt idx="5">
                  <c:v>5912</c:v>
                </c:pt>
                <c:pt idx="6">
                  <c:v>36</c:v>
                </c:pt>
                <c:pt idx="7">
                  <c:v>1049</c:v>
                </c:pt>
                <c:pt idx="8">
                  <c:v>209</c:v>
                </c:pt>
                <c:pt idx="9">
                  <c:v>2801</c:v>
                </c:pt>
                <c:pt idx="10">
                  <c:v>48346</c:v>
                </c:pt>
              </c:numCache>
            </c:numRef>
          </c:val>
          <c:extLst>
            <c:ext xmlns:c16="http://schemas.microsoft.com/office/drawing/2014/chart" uri="{C3380CC4-5D6E-409C-BE32-E72D297353CC}">
              <c16:uniqueId val="{00000000-242E-44A8-B35B-B42FCC869FC6}"/>
            </c:ext>
          </c:extLst>
        </c:ser>
        <c:dLbls>
          <c:dLblPos val="inEnd"/>
          <c:showLegendKey val="0"/>
          <c:showVal val="1"/>
          <c:showCatName val="0"/>
          <c:showSerName val="0"/>
          <c:showPercent val="0"/>
          <c:showBubbleSize val="0"/>
        </c:dLbls>
        <c:gapWidth val="115"/>
        <c:overlap val="-20"/>
        <c:axId val="182281904"/>
        <c:axId val="182282296"/>
      </c:barChart>
      <c:catAx>
        <c:axId val="18228190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accent5">
                    <a:lumMod val="50000"/>
                  </a:schemeClr>
                </a:solidFill>
                <a:latin typeface="+mn-lt"/>
                <a:ea typeface="+mn-ea"/>
                <a:cs typeface="+mn-cs"/>
              </a:defRPr>
            </a:pPr>
            <a:endParaRPr lang="en-US"/>
          </a:p>
        </c:txPr>
        <c:crossAx val="182282296"/>
        <c:crosses val="autoZero"/>
        <c:auto val="1"/>
        <c:lblAlgn val="ctr"/>
        <c:lblOffset val="100"/>
        <c:noMultiLvlLbl val="0"/>
      </c:catAx>
      <c:valAx>
        <c:axId val="1822822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281904"/>
        <c:crosses val="autoZero"/>
        <c:crossBetween val="between"/>
      </c:valAx>
      <c:spPr>
        <a:solidFill>
          <a:schemeClr val="accent1">
            <a:lumMod val="20000"/>
            <a:lumOff val="80000"/>
          </a:schemeClr>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 id="18">
  <a:schemeClr val="accent5"/>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9F524A-0085-4CD9-B8AD-A16786F94586}" type="doc">
      <dgm:prSet loTypeId="urn:microsoft.com/office/officeart/2005/8/layout/list1" loCatId="list" qsTypeId="urn:microsoft.com/office/officeart/2005/8/quickstyle/simple3" qsCatId="simple" csTypeId="urn:microsoft.com/office/officeart/2005/8/colors/accent5_1" csCatId="accent5" phldr="1"/>
      <dgm:spPr/>
      <dgm:t>
        <a:bodyPr/>
        <a:lstStyle/>
        <a:p>
          <a:endParaRPr lang="en-US"/>
        </a:p>
      </dgm:t>
    </dgm:pt>
    <dgm:pt modelId="{71B5BE35-3D18-4B8B-8173-3ABF59C2978B}">
      <dgm:prSet phldrT="[Text]" custT="1"/>
      <dgm:spPr/>
      <dgm:t>
        <a:bodyPr/>
        <a:lstStyle/>
        <a:p>
          <a:r>
            <a:rPr lang="ro-RO" sz="1100" b="0"/>
            <a:t>Acțiuni de intentare a procedurii de executare de către executorii judecătorești</a:t>
          </a:r>
        </a:p>
        <a:p>
          <a:r>
            <a:rPr lang="en-US" sz="1100" b="1"/>
            <a:t> </a:t>
          </a:r>
          <a:r>
            <a:rPr lang="ro-RO" sz="1100" b="1">
              <a:solidFill>
                <a:schemeClr val="accent1">
                  <a:lumMod val="50000"/>
                </a:schemeClr>
              </a:solidFill>
            </a:rPr>
            <a:t>191 de </a:t>
          </a:r>
          <a:r>
            <a:rPr lang="en-US" sz="1100" b="1">
              <a:solidFill>
                <a:schemeClr val="accent1">
                  <a:lumMod val="50000"/>
                </a:schemeClr>
              </a:solidFill>
            </a:rPr>
            <a:t>documente exectorii </a:t>
          </a:r>
          <a:r>
            <a:rPr lang="ro-RO" sz="1100" b="1">
              <a:solidFill>
                <a:schemeClr val="accent1">
                  <a:lumMod val="50000"/>
                </a:schemeClr>
              </a:solidFill>
            </a:rPr>
            <a:t>în</a:t>
          </a:r>
          <a:r>
            <a:rPr lang="en-US" sz="1100" b="1">
              <a:solidFill>
                <a:schemeClr val="accent1">
                  <a:lumMod val="50000"/>
                </a:schemeClr>
              </a:solidFill>
            </a:rPr>
            <a:t> valoare </a:t>
          </a:r>
          <a:r>
            <a:rPr lang="ro-RO" sz="1100" b="1">
              <a:solidFill>
                <a:schemeClr val="accent1">
                  <a:lumMod val="50000"/>
                </a:schemeClr>
              </a:solidFill>
            </a:rPr>
            <a:t>de 134,5 mil. lei</a:t>
          </a:r>
          <a:endParaRPr lang="en-US" sz="1100">
            <a:solidFill>
              <a:schemeClr val="accent1">
                <a:lumMod val="50000"/>
              </a:schemeClr>
            </a:solidFill>
          </a:endParaRPr>
        </a:p>
      </dgm:t>
    </dgm:pt>
    <dgm:pt modelId="{98954DF2-F2B8-4150-BBCF-DE9C2744324D}" type="parTrans" cxnId="{C21AAA05-1B87-4D87-B14D-64BAA15654A1}">
      <dgm:prSet/>
      <dgm:spPr/>
      <dgm:t>
        <a:bodyPr/>
        <a:lstStyle/>
        <a:p>
          <a:endParaRPr lang="en-US" sz="1100"/>
        </a:p>
      </dgm:t>
    </dgm:pt>
    <dgm:pt modelId="{11A76B49-D30C-47BF-93B3-251EFED07F89}" type="sibTrans" cxnId="{C21AAA05-1B87-4D87-B14D-64BAA15654A1}">
      <dgm:prSet/>
      <dgm:spPr/>
      <dgm:t>
        <a:bodyPr/>
        <a:lstStyle/>
        <a:p>
          <a:endParaRPr lang="en-US" sz="1100"/>
        </a:p>
      </dgm:t>
    </dgm:pt>
    <dgm:pt modelId="{A700BAF6-E1C2-4F4A-9F17-C41158D07BEC}">
      <dgm:prSet phldrT="[Text]" custT="1"/>
      <dgm:spPr/>
      <dgm:t>
        <a:bodyPr/>
        <a:lstStyle/>
        <a:p>
          <a:pPr>
            <a:spcAft>
              <a:spcPts val="600"/>
            </a:spcAft>
          </a:pPr>
          <a:r>
            <a:rPr lang="ro-RO" sz="1100" b="0"/>
            <a:t>Acțiuni de alăturare la solicitarea executorilor judecătorești:</a:t>
          </a:r>
        </a:p>
        <a:p>
          <a:pPr>
            <a:spcAft>
              <a:spcPts val="600"/>
            </a:spcAft>
          </a:pPr>
          <a:r>
            <a:rPr lang="ro-RO" sz="1100" b="1">
              <a:solidFill>
                <a:schemeClr val="accent1">
                  <a:lumMod val="50000"/>
                </a:schemeClr>
              </a:solidFill>
            </a:rPr>
            <a:t>195</a:t>
          </a:r>
          <a:r>
            <a:rPr lang="en-US" sz="1100" b="1">
              <a:solidFill>
                <a:schemeClr val="accent1">
                  <a:lumMod val="50000"/>
                </a:schemeClr>
              </a:solidFill>
            </a:rPr>
            <a:t> </a:t>
          </a:r>
          <a:r>
            <a:rPr lang="ro-RO" sz="1100" b="1">
              <a:solidFill>
                <a:schemeClr val="accent1">
                  <a:lumMod val="50000"/>
                </a:schemeClr>
              </a:solidFill>
            </a:rPr>
            <a:t>de </a:t>
          </a:r>
          <a:r>
            <a:rPr lang="en-US" sz="1100" b="1">
              <a:solidFill>
                <a:schemeClr val="accent1">
                  <a:lumMod val="50000"/>
                </a:schemeClr>
              </a:solidFill>
            </a:rPr>
            <a:t>documente exectorii </a:t>
          </a:r>
          <a:r>
            <a:rPr lang="ro-RO" sz="1100" b="1">
              <a:solidFill>
                <a:schemeClr val="accent1">
                  <a:lumMod val="50000"/>
                </a:schemeClr>
              </a:solidFill>
            </a:rPr>
            <a:t>în</a:t>
          </a:r>
          <a:r>
            <a:rPr lang="en-US" sz="1100" b="1">
              <a:solidFill>
                <a:schemeClr val="accent1">
                  <a:lumMod val="50000"/>
                </a:schemeClr>
              </a:solidFill>
            </a:rPr>
            <a:t> valoare </a:t>
          </a:r>
          <a:r>
            <a:rPr lang="ro-RO" sz="1100" b="1">
              <a:solidFill>
                <a:schemeClr val="accent1">
                  <a:lumMod val="50000"/>
                </a:schemeClr>
              </a:solidFill>
            </a:rPr>
            <a:t>de 43,5 mil. lei</a:t>
          </a:r>
          <a:endParaRPr lang="en-US" sz="1100" b="1">
            <a:solidFill>
              <a:schemeClr val="accent1">
                <a:lumMod val="50000"/>
              </a:schemeClr>
            </a:solidFill>
          </a:endParaRPr>
        </a:p>
      </dgm:t>
    </dgm:pt>
    <dgm:pt modelId="{E1B08AEF-85C0-4234-9B44-56985740C64B}" type="sibTrans" cxnId="{CAAA7360-DD3A-48E5-934A-9B9B1C23282E}">
      <dgm:prSet/>
      <dgm:spPr/>
      <dgm:t>
        <a:bodyPr/>
        <a:lstStyle/>
        <a:p>
          <a:endParaRPr lang="en-US" sz="1100"/>
        </a:p>
      </dgm:t>
    </dgm:pt>
    <dgm:pt modelId="{FE3F30DC-0FC9-4821-BC40-22411EA2A6D3}" type="parTrans" cxnId="{CAAA7360-DD3A-48E5-934A-9B9B1C23282E}">
      <dgm:prSet/>
      <dgm:spPr/>
      <dgm:t>
        <a:bodyPr/>
        <a:lstStyle/>
        <a:p>
          <a:endParaRPr lang="en-US" sz="1100"/>
        </a:p>
      </dgm:t>
    </dgm:pt>
    <dgm:pt modelId="{4E637131-1567-4BA6-AB93-B75D75F4F92E}">
      <dgm:prSet phldrT="[Text]" custT="1"/>
      <dgm:spPr/>
      <dgm:t>
        <a:bodyPr/>
        <a:lstStyle/>
        <a:p>
          <a:r>
            <a:rPr lang="ro-RO" sz="1100" b="0"/>
            <a:t>Acțiuni de alăturare/remitere la inițiativa SFS:</a:t>
          </a:r>
        </a:p>
        <a:p>
          <a:r>
            <a:rPr lang="en-US" sz="1100" b="1">
              <a:solidFill>
                <a:schemeClr val="accent1">
                  <a:lumMod val="50000"/>
                </a:schemeClr>
              </a:solidFill>
            </a:rPr>
            <a:t>793 </a:t>
          </a:r>
          <a:r>
            <a:rPr lang="ro-RO" sz="1100" b="1">
              <a:solidFill>
                <a:schemeClr val="accent1">
                  <a:lumMod val="50000"/>
                </a:schemeClr>
              </a:solidFill>
            </a:rPr>
            <a:t>de </a:t>
          </a:r>
          <a:r>
            <a:rPr lang="en-US" sz="1100" b="1">
              <a:solidFill>
                <a:schemeClr val="accent1">
                  <a:lumMod val="50000"/>
                </a:schemeClr>
              </a:solidFill>
            </a:rPr>
            <a:t>documente exectorii </a:t>
          </a:r>
          <a:r>
            <a:rPr lang="ro-RO" sz="1100" b="1">
              <a:solidFill>
                <a:schemeClr val="accent1">
                  <a:lumMod val="50000"/>
                </a:schemeClr>
              </a:solidFill>
            </a:rPr>
            <a:t>în</a:t>
          </a:r>
          <a:r>
            <a:rPr lang="en-US" sz="1100" b="1">
              <a:solidFill>
                <a:schemeClr val="accent1">
                  <a:lumMod val="50000"/>
                </a:schemeClr>
              </a:solidFill>
            </a:rPr>
            <a:t> valoare </a:t>
          </a:r>
          <a:r>
            <a:rPr lang="ro-RO" sz="1100" b="1">
              <a:solidFill>
                <a:schemeClr val="accent1">
                  <a:lumMod val="50000"/>
                </a:schemeClr>
              </a:solidFill>
            </a:rPr>
            <a:t>de 709,5 mil. lei</a:t>
          </a:r>
          <a:endParaRPr lang="en-US" sz="1100" b="1">
            <a:solidFill>
              <a:schemeClr val="accent1">
                <a:lumMod val="50000"/>
              </a:schemeClr>
            </a:solidFill>
          </a:endParaRPr>
        </a:p>
      </dgm:t>
    </dgm:pt>
    <dgm:pt modelId="{F240C799-C378-4C09-8981-4AACDDCCD7F0}" type="sibTrans" cxnId="{8D4C0930-F8EF-426C-9B9A-28027D70A8D7}">
      <dgm:prSet/>
      <dgm:spPr/>
      <dgm:t>
        <a:bodyPr/>
        <a:lstStyle/>
        <a:p>
          <a:endParaRPr lang="en-US" sz="1100"/>
        </a:p>
      </dgm:t>
    </dgm:pt>
    <dgm:pt modelId="{0E9479E2-7E79-40D2-B730-9C155DB11AE4}" type="parTrans" cxnId="{8D4C0930-F8EF-426C-9B9A-28027D70A8D7}">
      <dgm:prSet/>
      <dgm:spPr/>
      <dgm:t>
        <a:bodyPr/>
        <a:lstStyle/>
        <a:p>
          <a:endParaRPr lang="en-US" sz="1100"/>
        </a:p>
      </dgm:t>
    </dgm:pt>
    <dgm:pt modelId="{0F0A2B0C-0080-4534-B208-D2E75D72EABA}" type="pres">
      <dgm:prSet presAssocID="{FC9F524A-0085-4CD9-B8AD-A16786F94586}" presName="linear" presStyleCnt="0">
        <dgm:presLayoutVars>
          <dgm:dir/>
          <dgm:animLvl val="lvl"/>
          <dgm:resizeHandles val="exact"/>
        </dgm:presLayoutVars>
      </dgm:prSet>
      <dgm:spPr/>
      <dgm:t>
        <a:bodyPr/>
        <a:lstStyle/>
        <a:p>
          <a:endParaRPr lang="en-US"/>
        </a:p>
      </dgm:t>
    </dgm:pt>
    <dgm:pt modelId="{294FA50D-C55E-47B7-8D7E-7E654E923D05}" type="pres">
      <dgm:prSet presAssocID="{4E637131-1567-4BA6-AB93-B75D75F4F92E}" presName="parentLin" presStyleCnt="0"/>
      <dgm:spPr/>
      <dgm:t>
        <a:bodyPr/>
        <a:lstStyle/>
        <a:p>
          <a:endParaRPr lang="en-US"/>
        </a:p>
      </dgm:t>
    </dgm:pt>
    <dgm:pt modelId="{F188B60C-85A9-4B9D-B5E8-3A8C836DD121}" type="pres">
      <dgm:prSet presAssocID="{4E637131-1567-4BA6-AB93-B75D75F4F92E}" presName="parentLeftMargin" presStyleLbl="node1" presStyleIdx="0" presStyleCnt="3"/>
      <dgm:spPr/>
      <dgm:t>
        <a:bodyPr/>
        <a:lstStyle/>
        <a:p>
          <a:endParaRPr lang="en-US"/>
        </a:p>
      </dgm:t>
    </dgm:pt>
    <dgm:pt modelId="{0031626C-7428-4B73-8342-A2126FBBAA59}" type="pres">
      <dgm:prSet presAssocID="{4E637131-1567-4BA6-AB93-B75D75F4F92E}" presName="parentText" presStyleLbl="node1" presStyleIdx="0" presStyleCnt="3" custScaleY="75669" custLinFactNeighborX="-7692" custLinFactNeighborY="11293">
        <dgm:presLayoutVars>
          <dgm:chMax val="0"/>
          <dgm:bulletEnabled val="1"/>
        </dgm:presLayoutVars>
      </dgm:prSet>
      <dgm:spPr/>
      <dgm:t>
        <a:bodyPr/>
        <a:lstStyle/>
        <a:p>
          <a:endParaRPr lang="en-US"/>
        </a:p>
      </dgm:t>
    </dgm:pt>
    <dgm:pt modelId="{BB8B4551-4424-4C63-A60F-F4A5ADF9B393}" type="pres">
      <dgm:prSet presAssocID="{4E637131-1567-4BA6-AB93-B75D75F4F92E}" presName="negativeSpace" presStyleCnt="0"/>
      <dgm:spPr/>
      <dgm:t>
        <a:bodyPr/>
        <a:lstStyle/>
        <a:p>
          <a:endParaRPr lang="en-US"/>
        </a:p>
      </dgm:t>
    </dgm:pt>
    <dgm:pt modelId="{A9479DFE-6720-4232-A6F9-FC4F9ECD687F}" type="pres">
      <dgm:prSet presAssocID="{4E637131-1567-4BA6-AB93-B75D75F4F92E}" presName="childText" presStyleLbl="conFgAcc1" presStyleIdx="0" presStyleCnt="3">
        <dgm:presLayoutVars>
          <dgm:bulletEnabled val="1"/>
        </dgm:presLayoutVars>
      </dgm:prSet>
      <dgm:spPr>
        <a:noFill/>
        <a:ln>
          <a:solidFill>
            <a:schemeClr val="bg2">
              <a:lumMod val="75000"/>
            </a:schemeClr>
          </a:solidFill>
        </a:ln>
      </dgm:spPr>
      <dgm:t>
        <a:bodyPr/>
        <a:lstStyle/>
        <a:p>
          <a:endParaRPr lang="en-US"/>
        </a:p>
      </dgm:t>
    </dgm:pt>
    <dgm:pt modelId="{F98B59B7-8488-45BF-BB92-146E74FB200F}" type="pres">
      <dgm:prSet presAssocID="{F240C799-C378-4C09-8981-4AACDDCCD7F0}" presName="spaceBetweenRectangles" presStyleCnt="0"/>
      <dgm:spPr/>
      <dgm:t>
        <a:bodyPr/>
        <a:lstStyle/>
        <a:p>
          <a:endParaRPr lang="en-US"/>
        </a:p>
      </dgm:t>
    </dgm:pt>
    <dgm:pt modelId="{1B69CD02-BD66-4CF6-B7A7-2B1DB5805A87}" type="pres">
      <dgm:prSet presAssocID="{A700BAF6-E1C2-4F4A-9F17-C41158D07BEC}" presName="parentLin" presStyleCnt="0"/>
      <dgm:spPr/>
      <dgm:t>
        <a:bodyPr/>
        <a:lstStyle/>
        <a:p>
          <a:endParaRPr lang="en-US"/>
        </a:p>
      </dgm:t>
    </dgm:pt>
    <dgm:pt modelId="{41A8FDED-275F-47A9-8F9D-C1244F2038FD}" type="pres">
      <dgm:prSet presAssocID="{A700BAF6-E1C2-4F4A-9F17-C41158D07BEC}" presName="parentLeftMargin" presStyleLbl="node1" presStyleIdx="0" presStyleCnt="3"/>
      <dgm:spPr/>
      <dgm:t>
        <a:bodyPr/>
        <a:lstStyle/>
        <a:p>
          <a:endParaRPr lang="en-US"/>
        </a:p>
      </dgm:t>
    </dgm:pt>
    <dgm:pt modelId="{F44C4190-5220-46BC-8AA1-AF56131C10C0}" type="pres">
      <dgm:prSet presAssocID="{A700BAF6-E1C2-4F4A-9F17-C41158D07BEC}" presName="parentText" presStyleLbl="node1" presStyleIdx="1" presStyleCnt="3" custScaleY="75896" custLinFactNeighborX="2538" custLinFactNeighborY="13170">
        <dgm:presLayoutVars>
          <dgm:chMax val="0"/>
          <dgm:bulletEnabled val="1"/>
        </dgm:presLayoutVars>
      </dgm:prSet>
      <dgm:spPr/>
      <dgm:t>
        <a:bodyPr/>
        <a:lstStyle/>
        <a:p>
          <a:endParaRPr lang="en-US"/>
        </a:p>
      </dgm:t>
    </dgm:pt>
    <dgm:pt modelId="{8C704E07-2F8C-4FBA-ABC7-338EBC0F0EBA}" type="pres">
      <dgm:prSet presAssocID="{A700BAF6-E1C2-4F4A-9F17-C41158D07BEC}" presName="negativeSpace" presStyleCnt="0"/>
      <dgm:spPr/>
      <dgm:t>
        <a:bodyPr/>
        <a:lstStyle/>
        <a:p>
          <a:endParaRPr lang="en-US"/>
        </a:p>
      </dgm:t>
    </dgm:pt>
    <dgm:pt modelId="{B0C724A7-6B7C-46A4-A3E7-4A31D513B075}" type="pres">
      <dgm:prSet presAssocID="{A700BAF6-E1C2-4F4A-9F17-C41158D07BEC}" presName="childText" presStyleLbl="conFgAcc1" presStyleIdx="1" presStyleCnt="3">
        <dgm:presLayoutVars>
          <dgm:bulletEnabled val="1"/>
        </dgm:presLayoutVars>
      </dgm:prSet>
      <dgm:spPr>
        <a:noFill/>
        <a:ln>
          <a:solidFill>
            <a:schemeClr val="bg2">
              <a:lumMod val="75000"/>
            </a:schemeClr>
          </a:solidFill>
        </a:ln>
      </dgm:spPr>
      <dgm:t>
        <a:bodyPr/>
        <a:lstStyle/>
        <a:p>
          <a:endParaRPr lang="en-US"/>
        </a:p>
      </dgm:t>
    </dgm:pt>
    <dgm:pt modelId="{60AE3934-AC3B-485E-BE00-0010F0FE7398}" type="pres">
      <dgm:prSet presAssocID="{E1B08AEF-85C0-4234-9B44-56985740C64B}" presName="spaceBetweenRectangles" presStyleCnt="0"/>
      <dgm:spPr/>
      <dgm:t>
        <a:bodyPr/>
        <a:lstStyle/>
        <a:p>
          <a:endParaRPr lang="en-US"/>
        </a:p>
      </dgm:t>
    </dgm:pt>
    <dgm:pt modelId="{895887AC-391A-4CF1-A87E-72329944F0E6}" type="pres">
      <dgm:prSet presAssocID="{71B5BE35-3D18-4B8B-8173-3ABF59C2978B}" presName="parentLin" presStyleCnt="0"/>
      <dgm:spPr/>
      <dgm:t>
        <a:bodyPr/>
        <a:lstStyle/>
        <a:p>
          <a:endParaRPr lang="en-US"/>
        </a:p>
      </dgm:t>
    </dgm:pt>
    <dgm:pt modelId="{67D14498-6460-48E2-8565-12DEFE65AD43}" type="pres">
      <dgm:prSet presAssocID="{71B5BE35-3D18-4B8B-8173-3ABF59C2978B}" presName="parentLeftMargin" presStyleLbl="node1" presStyleIdx="1" presStyleCnt="3"/>
      <dgm:spPr/>
      <dgm:t>
        <a:bodyPr/>
        <a:lstStyle/>
        <a:p>
          <a:endParaRPr lang="en-US"/>
        </a:p>
      </dgm:t>
    </dgm:pt>
    <dgm:pt modelId="{EF170C87-8CDA-4580-A52B-3348FE79A5F7}" type="pres">
      <dgm:prSet presAssocID="{71B5BE35-3D18-4B8B-8173-3ABF59C2978B}" presName="parentText" presStyleLbl="node1" presStyleIdx="2" presStyleCnt="3" custScaleY="110598" custLinFactNeighborX="-40" custLinFactNeighborY="10218">
        <dgm:presLayoutVars>
          <dgm:chMax val="0"/>
          <dgm:bulletEnabled val="1"/>
        </dgm:presLayoutVars>
      </dgm:prSet>
      <dgm:spPr/>
      <dgm:t>
        <a:bodyPr/>
        <a:lstStyle/>
        <a:p>
          <a:endParaRPr lang="en-US"/>
        </a:p>
      </dgm:t>
    </dgm:pt>
    <dgm:pt modelId="{283CF8F8-83BB-4D20-BE6A-C9FCC43E27FB}" type="pres">
      <dgm:prSet presAssocID="{71B5BE35-3D18-4B8B-8173-3ABF59C2978B}" presName="negativeSpace" presStyleCnt="0"/>
      <dgm:spPr/>
      <dgm:t>
        <a:bodyPr/>
        <a:lstStyle/>
        <a:p>
          <a:endParaRPr lang="en-US"/>
        </a:p>
      </dgm:t>
    </dgm:pt>
    <dgm:pt modelId="{80EFC09C-3B76-4EC8-AA73-4FDBF86BF6AF}" type="pres">
      <dgm:prSet presAssocID="{71B5BE35-3D18-4B8B-8173-3ABF59C2978B}" presName="childText" presStyleLbl="conFgAcc1" presStyleIdx="2" presStyleCnt="3">
        <dgm:presLayoutVars>
          <dgm:bulletEnabled val="1"/>
        </dgm:presLayoutVars>
      </dgm:prSet>
      <dgm:spPr>
        <a:noFill/>
        <a:ln>
          <a:solidFill>
            <a:schemeClr val="bg2">
              <a:lumMod val="75000"/>
            </a:schemeClr>
          </a:solidFill>
        </a:ln>
      </dgm:spPr>
      <dgm:t>
        <a:bodyPr/>
        <a:lstStyle/>
        <a:p>
          <a:endParaRPr lang="en-US"/>
        </a:p>
      </dgm:t>
    </dgm:pt>
  </dgm:ptLst>
  <dgm:cxnLst>
    <dgm:cxn modelId="{989DE16D-98C4-4E11-902D-376D459525E8}" type="presOf" srcId="{4E637131-1567-4BA6-AB93-B75D75F4F92E}" destId="{F188B60C-85A9-4B9D-B5E8-3A8C836DD121}" srcOrd="0" destOrd="0" presId="urn:microsoft.com/office/officeart/2005/8/layout/list1"/>
    <dgm:cxn modelId="{8D4C0930-F8EF-426C-9B9A-28027D70A8D7}" srcId="{FC9F524A-0085-4CD9-B8AD-A16786F94586}" destId="{4E637131-1567-4BA6-AB93-B75D75F4F92E}" srcOrd="0" destOrd="0" parTransId="{0E9479E2-7E79-40D2-B730-9C155DB11AE4}" sibTransId="{F240C799-C378-4C09-8981-4AACDDCCD7F0}"/>
    <dgm:cxn modelId="{71E05CFF-42F6-41FE-8747-BED80E31F8C5}" type="presOf" srcId="{71B5BE35-3D18-4B8B-8173-3ABF59C2978B}" destId="{EF170C87-8CDA-4580-A52B-3348FE79A5F7}" srcOrd="1" destOrd="0" presId="urn:microsoft.com/office/officeart/2005/8/layout/list1"/>
    <dgm:cxn modelId="{B0BD2482-FC2C-4DF8-A2BA-003344937E68}" type="presOf" srcId="{4E637131-1567-4BA6-AB93-B75D75F4F92E}" destId="{0031626C-7428-4B73-8342-A2126FBBAA59}" srcOrd="1" destOrd="0" presId="urn:microsoft.com/office/officeart/2005/8/layout/list1"/>
    <dgm:cxn modelId="{C21AAA05-1B87-4D87-B14D-64BAA15654A1}" srcId="{FC9F524A-0085-4CD9-B8AD-A16786F94586}" destId="{71B5BE35-3D18-4B8B-8173-3ABF59C2978B}" srcOrd="2" destOrd="0" parTransId="{98954DF2-F2B8-4150-BBCF-DE9C2744324D}" sibTransId="{11A76B49-D30C-47BF-93B3-251EFED07F89}"/>
    <dgm:cxn modelId="{CAAA7360-DD3A-48E5-934A-9B9B1C23282E}" srcId="{FC9F524A-0085-4CD9-B8AD-A16786F94586}" destId="{A700BAF6-E1C2-4F4A-9F17-C41158D07BEC}" srcOrd="1" destOrd="0" parTransId="{FE3F30DC-0FC9-4821-BC40-22411EA2A6D3}" sibTransId="{E1B08AEF-85C0-4234-9B44-56985740C64B}"/>
    <dgm:cxn modelId="{7C4D503D-4AD7-4432-B1B4-D906D1FDD065}" type="presOf" srcId="{A700BAF6-E1C2-4F4A-9F17-C41158D07BEC}" destId="{F44C4190-5220-46BC-8AA1-AF56131C10C0}" srcOrd="1" destOrd="0" presId="urn:microsoft.com/office/officeart/2005/8/layout/list1"/>
    <dgm:cxn modelId="{0AA4F400-EC42-47E1-960A-B4EAABE01A64}" type="presOf" srcId="{71B5BE35-3D18-4B8B-8173-3ABF59C2978B}" destId="{67D14498-6460-48E2-8565-12DEFE65AD43}" srcOrd="0" destOrd="0" presId="urn:microsoft.com/office/officeart/2005/8/layout/list1"/>
    <dgm:cxn modelId="{222A1F51-2CD4-42E6-8461-A00306135E62}" type="presOf" srcId="{FC9F524A-0085-4CD9-B8AD-A16786F94586}" destId="{0F0A2B0C-0080-4534-B208-D2E75D72EABA}" srcOrd="0" destOrd="0" presId="urn:microsoft.com/office/officeart/2005/8/layout/list1"/>
    <dgm:cxn modelId="{A5E20F58-E9E3-4052-9406-1F0578B5D581}" type="presOf" srcId="{A700BAF6-E1C2-4F4A-9F17-C41158D07BEC}" destId="{41A8FDED-275F-47A9-8F9D-C1244F2038FD}" srcOrd="0" destOrd="0" presId="urn:microsoft.com/office/officeart/2005/8/layout/list1"/>
    <dgm:cxn modelId="{26D869F0-30C7-466D-86BE-17F0EA88450D}" type="presParOf" srcId="{0F0A2B0C-0080-4534-B208-D2E75D72EABA}" destId="{294FA50D-C55E-47B7-8D7E-7E654E923D05}" srcOrd="0" destOrd="0" presId="urn:microsoft.com/office/officeart/2005/8/layout/list1"/>
    <dgm:cxn modelId="{24D46937-4B6D-4B5D-B8D0-7ADD9D71EDA5}" type="presParOf" srcId="{294FA50D-C55E-47B7-8D7E-7E654E923D05}" destId="{F188B60C-85A9-4B9D-B5E8-3A8C836DD121}" srcOrd="0" destOrd="0" presId="urn:microsoft.com/office/officeart/2005/8/layout/list1"/>
    <dgm:cxn modelId="{BC160B8D-FAC7-4542-BC94-994F139F4DD7}" type="presParOf" srcId="{294FA50D-C55E-47B7-8D7E-7E654E923D05}" destId="{0031626C-7428-4B73-8342-A2126FBBAA59}" srcOrd="1" destOrd="0" presId="urn:microsoft.com/office/officeart/2005/8/layout/list1"/>
    <dgm:cxn modelId="{2AEEB8F7-D42B-494A-A9D2-8B136089758C}" type="presParOf" srcId="{0F0A2B0C-0080-4534-B208-D2E75D72EABA}" destId="{BB8B4551-4424-4C63-A60F-F4A5ADF9B393}" srcOrd="1" destOrd="0" presId="urn:microsoft.com/office/officeart/2005/8/layout/list1"/>
    <dgm:cxn modelId="{C4CF8678-4EAC-422C-BBEB-66C1B3AED028}" type="presParOf" srcId="{0F0A2B0C-0080-4534-B208-D2E75D72EABA}" destId="{A9479DFE-6720-4232-A6F9-FC4F9ECD687F}" srcOrd="2" destOrd="0" presId="urn:microsoft.com/office/officeart/2005/8/layout/list1"/>
    <dgm:cxn modelId="{76246995-DB27-473A-A044-EAFF9C0EE627}" type="presParOf" srcId="{0F0A2B0C-0080-4534-B208-D2E75D72EABA}" destId="{F98B59B7-8488-45BF-BB92-146E74FB200F}" srcOrd="3" destOrd="0" presId="urn:microsoft.com/office/officeart/2005/8/layout/list1"/>
    <dgm:cxn modelId="{0F98B035-ED45-4965-9113-DA4483D00FB2}" type="presParOf" srcId="{0F0A2B0C-0080-4534-B208-D2E75D72EABA}" destId="{1B69CD02-BD66-4CF6-B7A7-2B1DB5805A87}" srcOrd="4" destOrd="0" presId="urn:microsoft.com/office/officeart/2005/8/layout/list1"/>
    <dgm:cxn modelId="{61EEF1C5-ED03-439E-878F-C3240386D64B}" type="presParOf" srcId="{1B69CD02-BD66-4CF6-B7A7-2B1DB5805A87}" destId="{41A8FDED-275F-47A9-8F9D-C1244F2038FD}" srcOrd="0" destOrd="0" presId="urn:microsoft.com/office/officeart/2005/8/layout/list1"/>
    <dgm:cxn modelId="{3F88374B-70A4-40B7-B3D4-641241FF3CD3}" type="presParOf" srcId="{1B69CD02-BD66-4CF6-B7A7-2B1DB5805A87}" destId="{F44C4190-5220-46BC-8AA1-AF56131C10C0}" srcOrd="1" destOrd="0" presId="urn:microsoft.com/office/officeart/2005/8/layout/list1"/>
    <dgm:cxn modelId="{0536C61E-5249-4D5C-9DD4-562EF393380A}" type="presParOf" srcId="{0F0A2B0C-0080-4534-B208-D2E75D72EABA}" destId="{8C704E07-2F8C-4FBA-ABC7-338EBC0F0EBA}" srcOrd="5" destOrd="0" presId="urn:microsoft.com/office/officeart/2005/8/layout/list1"/>
    <dgm:cxn modelId="{793BF27F-81FB-4FB7-BC66-3EA0F32C52BF}" type="presParOf" srcId="{0F0A2B0C-0080-4534-B208-D2E75D72EABA}" destId="{B0C724A7-6B7C-46A4-A3E7-4A31D513B075}" srcOrd="6" destOrd="0" presId="urn:microsoft.com/office/officeart/2005/8/layout/list1"/>
    <dgm:cxn modelId="{CE4A4A72-A291-4C90-B733-14FDD3BF20E4}" type="presParOf" srcId="{0F0A2B0C-0080-4534-B208-D2E75D72EABA}" destId="{60AE3934-AC3B-485E-BE00-0010F0FE7398}" srcOrd="7" destOrd="0" presId="urn:microsoft.com/office/officeart/2005/8/layout/list1"/>
    <dgm:cxn modelId="{2491799A-AB9B-45F6-8C15-5E18C9C95FB8}" type="presParOf" srcId="{0F0A2B0C-0080-4534-B208-D2E75D72EABA}" destId="{895887AC-391A-4CF1-A87E-72329944F0E6}" srcOrd="8" destOrd="0" presId="urn:microsoft.com/office/officeart/2005/8/layout/list1"/>
    <dgm:cxn modelId="{A20FA829-0EFD-4956-A1E6-699885074731}" type="presParOf" srcId="{895887AC-391A-4CF1-A87E-72329944F0E6}" destId="{67D14498-6460-48E2-8565-12DEFE65AD43}" srcOrd="0" destOrd="0" presId="urn:microsoft.com/office/officeart/2005/8/layout/list1"/>
    <dgm:cxn modelId="{E9D4C972-3357-4691-AF8C-511810A01B95}" type="presParOf" srcId="{895887AC-391A-4CF1-A87E-72329944F0E6}" destId="{EF170C87-8CDA-4580-A52B-3348FE79A5F7}" srcOrd="1" destOrd="0" presId="urn:microsoft.com/office/officeart/2005/8/layout/list1"/>
    <dgm:cxn modelId="{DC817F27-EAD1-42B8-BBE8-A92F21C0E875}" type="presParOf" srcId="{0F0A2B0C-0080-4534-B208-D2E75D72EABA}" destId="{283CF8F8-83BB-4D20-BE6A-C9FCC43E27FB}" srcOrd="9" destOrd="0" presId="urn:microsoft.com/office/officeart/2005/8/layout/list1"/>
    <dgm:cxn modelId="{24EA0D73-AC7D-42DC-A6E3-4E8F8B4392D3}" type="presParOf" srcId="{0F0A2B0C-0080-4534-B208-D2E75D72EABA}" destId="{80EFC09C-3B76-4EC8-AA73-4FDBF86BF6AF}" srcOrd="10" destOrd="0" presId="urn:microsoft.com/office/officeart/2005/8/layout/list1"/>
  </dgm:cxnLst>
  <dgm:bg/>
  <dgm:whole/>
  <dgm:extLst>
    <a:ext uri="http://schemas.microsoft.com/office/drawing/2008/diagram">
      <dsp:dataModelExt xmlns:dsp="http://schemas.microsoft.com/office/drawing/2008/diagram" relId="rId2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479DFE-6720-4232-A6F9-FC4F9ECD687F}">
      <dsp:nvSpPr>
        <dsp:cNvPr id="0" name=""/>
        <dsp:cNvSpPr/>
      </dsp:nvSpPr>
      <dsp:spPr>
        <a:xfrm>
          <a:off x="0" y="135420"/>
          <a:ext cx="5943600" cy="352800"/>
        </a:xfrm>
        <a:prstGeom prst="rect">
          <a:avLst/>
        </a:prstGeom>
        <a:noFill/>
        <a:ln w="9525" cap="flat" cmpd="sng" algn="ctr">
          <a:solidFill>
            <a:schemeClr val="bg2">
              <a:lumMod val="75000"/>
            </a:schemeClr>
          </a:solidFill>
          <a:prstDash val="solid"/>
        </a:ln>
        <a:effectLst/>
      </dsp:spPr>
      <dsp:style>
        <a:lnRef idx="1">
          <a:scrgbClr r="0" g="0" b="0"/>
        </a:lnRef>
        <a:fillRef idx="1">
          <a:scrgbClr r="0" g="0" b="0"/>
        </a:fillRef>
        <a:effectRef idx="0">
          <a:scrgbClr r="0" g="0" b="0"/>
        </a:effectRef>
        <a:fontRef idx="minor"/>
      </dsp:style>
    </dsp:sp>
    <dsp:sp modelId="{0031626C-7428-4B73-8342-A2126FBBAA59}">
      <dsp:nvSpPr>
        <dsp:cNvPr id="0" name=""/>
        <dsp:cNvSpPr/>
      </dsp:nvSpPr>
      <dsp:spPr>
        <a:xfrm>
          <a:off x="274320" y="76007"/>
          <a:ext cx="4160520" cy="312724"/>
        </a:xfrm>
        <a:prstGeom prst="roundRect">
          <a:avLst/>
        </a:prstGeom>
        <a:gradFill rotWithShape="0">
          <a:gsLst>
            <a:gs pos="0">
              <a:schemeClr val="lt1">
                <a:hueOff val="0"/>
                <a:satOff val="0"/>
                <a:lumOff val="0"/>
                <a:alphaOff val="0"/>
                <a:tint val="20000"/>
                <a:satMod val="180000"/>
                <a:lumMod val="98000"/>
              </a:schemeClr>
            </a:gs>
            <a:gs pos="40000">
              <a:schemeClr val="lt1">
                <a:hueOff val="0"/>
                <a:satOff val="0"/>
                <a:lumOff val="0"/>
                <a:alphaOff val="0"/>
                <a:tint val="30000"/>
                <a:satMod val="260000"/>
                <a:lumMod val="84000"/>
              </a:schemeClr>
            </a:gs>
            <a:gs pos="100000">
              <a:schemeClr val="lt1">
                <a:hueOff val="0"/>
                <a:satOff val="0"/>
                <a:lumOff val="0"/>
                <a:alphaOff val="0"/>
                <a:tint val="100000"/>
                <a:satMod val="110000"/>
                <a:lumMod val="100000"/>
              </a:schemeClr>
            </a:gs>
          </a:gsLst>
          <a:lin ang="504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7258" tIns="0" rIns="157258" bIns="0" numCol="1" spcCol="1270" anchor="ctr" anchorCtr="0">
          <a:noAutofit/>
        </a:bodyPr>
        <a:lstStyle/>
        <a:p>
          <a:pPr lvl="0" algn="l" defTabSz="488950">
            <a:lnSpc>
              <a:spcPct val="90000"/>
            </a:lnSpc>
            <a:spcBef>
              <a:spcPct val="0"/>
            </a:spcBef>
            <a:spcAft>
              <a:spcPct val="35000"/>
            </a:spcAft>
          </a:pPr>
          <a:r>
            <a:rPr lang="ro-RO" sz="1100" b="0" kern="1200"/>
            <a:t>Acțiuni de alăturare/remitere la inițiativa SFS:</a:t>
          </a:r>
        </a:p>
        <a:p>
          <a:pPr lvl="0" algn="l" defTabSz="488950">
            <a:lnSpc>
              <a:spcPct val="90000"/>
            </a:lnSpc>
            <a:spcBef>
              <a:spcPct val="0"/>
            </a:spcBef>
            <a:spcAft>
              <a:spcPct val="35000"/>
            </a:spcAft>
          </a:pPr>
          <a:r>
            <a:rPr lang="en-US" sz="1100" b="1" kern="1200">
              <a:solidFill>
                <a:schemeClr val="accent1">
                  <a:lumMod val="50000"/>
                </a:schemeClr>
              </a:solidFill>
            </a:rPr>
            <a:t>793 </a:t>
          </a:r>
          <a:r>
            <a:rPr lang="ro-RO" sz="1100" b="1" kern="1200">
              <a:solidFill>
                <a:schemeClr val="accent1">
                  <a:lumMod val="50000"/>
                </a:schemeClr>
              </a:solidFill>
            </a:rPr>
            <a:t>de </a:t>
          </a:r>
          <a:r>
            <a:rPr lang="en-US" sz="1100" b="1" kern="1200">
              <a:solidFill>
                <a:schemeClr val="accent1">
                  <a:lumMod val="50000"/>
                </a:schemeClr>
              </a:solidFill>
            </a:rPr>
            <a:t>documente exectorii </a:t>
          </a:r>
          <a:r>
            <a:rPr lang="ro-RO" sz="1100" b="1" kern="1200">
              <a:solidFill>
                <a:schemeClr val="accent1">
                  <a:lumMod val="50000"/>
                </a:schemeClr>
              </a:solidFill>
            </a:rPr>
            <a:t>în</a:t>
          </a:r>
          <a:r>
            <a:rPr lang="en-US" sz="1100" b="1" kern="1200">
              <a:solidFill>
                <a:schemeClr val="accent1">
                  <a:lumMod val="50000"/>
                </a:schemeClr>
              </a:solidFill>
            </a:rPr>
            <a:t> valoare </a:t>
          </a:r>
          <a:r>
            <a:rPr lang="ro-RO" sz="1100" b="1" kern="1200">
              <a:solidFill>
                <a:schemeClr val="accent1">
                  <a:lumMod val="50000"/>
                </a:schemeClr>
              </a:solidFill>
            </a:rPr>
            <a:t>de 709,5 mil. lei</a:t>
          </a:r>
          <a:endParaRPr lang="en-US" sz="1100" b="1" kern="1200">
            <a:solidFill>
              <a:schemeClr val="accent1">
                <a:lumMod val="50000"/>
              </a:schemeClr>
            </a:solidFill>
          </a:endParaRPr>
        </a:p>
      </dsp:txBody>
      <dsp:txXfrm>
        <a:off x="289586" y="91273"/>
        <a:ext cx="4129988" cy="282192"/>
      </dsp:txXfrm>
    </dsp:sp>
    <dsp:sp modelId="{B0C724A7-6B7C-46A4-A3E7-4A31D513B075}">
      <dsp:nvSpPr>
        <dsp:cNvPr id="0" name=""/>
        <dsp:cNvSpPr/>
      </dsp:nvSpPr>
      <dsp:spPr>
        <a:xfrm>
          <a:off x="0" y="670843"/>
          <a:ext cx="5943600" cy="352800"/>
        </a:xfrm>
        <a:prstGeom prst="rect">
          <a:avLst/>
        </a:prstGeom>
        <a:noFill/>
        <a:ln w="9525" cap="flat" cmpd="sng" algn="ctr">
          <a:solidFill>
            <a:schemeClr val="bg2">
              <a:lumMod val="75000"/>
            </a:schemeClr>
          </a:solidFill>
          <a:prstDash val="solid"/>
        </a:ln>
        <a:effectLst/>
      </dsp:spPr>
      <dsp:style>
        <a:lnRef idx="1">
          <a:scrgbClr r="0" g="0" b="0"/>
        </a:lnRef>
        <a:fillRef idx="1">
          <a:scrgbClr r="0" g="0" b="0"/>
        </a:fillRef>
        <a:effectRef idx="0">
          <a:scrgbClr r="0" g="0" b="0"/>
        </a:effectRef>
        <a:fontRef idx="minor"/>
      </dsp:style>
    </dsp:sp>
    <dsp:sp modelId="{F44C4190-5220-46BC-8AA1-AF56131C10C0}">
      <dsp:nvSpPr>
        <dsp:cNvPr id="0" name=""/>
        <dsp:cNvSpPr/>
      </dsp:nvSpPr>
      <dsp:spPr>
        <a:xfrm>
          <a:off x="304722" y="618249"/>
          <a:ext cx="4160520" cy="313662"/>
        </a:xfrm>
        <a:prstGeom prst="roundRect">
          <a:avLst/>
        </a:prstGeom>
        <a:gradFill rotWithShape="0">
          <a:gsLst>
            <a:gs pos="0">
              <a:schemeClr val="lt1">
                <a:hueOff val="0"/>
                <a:satOff val="0"/>
                <a:lumOff val="0"/>
                <a:alphaOff val="0"/>
                <a:tint val="20000"/>
                <a:satMod val="180000"/>
                <a:lumMod val="98000"/>
              </a:schemeClr>
            </a:gs>
            <a:gs pos="40000">
              <a:schemeClr val="lt1">
                <a:hueOff val="0"/>
                <a:satOff val="0"/>
                <a:lumOff val="0"/>
                <a:alphaOff val="0"/>
                <a:tint val="30000"/>
                <a:satMod val="260000"/>
                <a:lumMod val="84000"/>
              </a:schemeClr>
            </a:gs>
            <a:gs pos="100000">
              <a:schemeClr val="lt1">
                <a:hueOff val="0"/>
                <a:satOff val="0"/>
                <a:lumOff val="0"/>
                <a:alphaOff val="0"/>
                <a:tint val="100000"/>
                <a:satMod val="110000"/>
                <a:lumMod val="100000"/>
              </a:schemeClr>
            </a:gs>
          </a:gsLst>
          <a:lin ang="504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7258" tIns="0" rIns="157258" bIns="0" numCol="1" spcCol="1270" anchor="ctr" anchorCtr="0">
          <a:noAutofit/>
        </a:bodyPr>
        <a:lstStyle/>
        <a:p>
          <a:pPr lvl="0" algn="l" defTabSz="488950">
            <a:lnSpc>
              <a:spcPct val="90000"/>
            </a:lnSpc>
            <a:spcBef>
              <a:spcPct val="0"/>
            </a:spcBef>
            <a:spcAft>
              <a:spcPts val="600"/>
            </a:spcAft>
          </a:pPr>
          <a:r>
            <a:rPr lang="ro-RO" sz="1100" b="0" kern="1200"/>
            <a:t>Acțiuni de alăturare la solicitarea executorilor judecătorești:</a:t>
          </a:r>
        </a:p>
        <a:p>
          <a:pPr lvl="0" algn="l" defTabSz="488950">
            <a:lnSpc>
              <a:spcPct val="90000"/>
            </a:lnSpc>
            <a:spcBef>
              <a:spcPct val="0"/>
            </a:spcBef>
            <a:spcAft>
              <a:spcPts val="600"/>
            </a:spcAft>
          </a:pPr>
          <a:r>
            <a:rPr lang="ro-RO" sz="1100" b="1" kern="1200">
              <a:solidFill>
                <a:schemeClr val="accent1">
                  <a:lumMod val="50000"/>
                </a:schemeClr>
              </a:solidFill>
            </a:rPr>
            <a:t>195</a:t>
          </a:r>
          <a:r>
            <a:rPr lang="en-US" sz="1100" b="1" kern="1200">
              <a:solidFill>
                <a:schemeClr val="accent1">
                  <a:lumMod val="50000"/>
                </a:schemeClr>
              </a:solidFill>
            </a:rPr>
            <a:t> </a:t>
          </a:r>
          <a:r>
            <a:rPr lang="ro-RO" sz="1100" b="1" kern="1200">
              <a:solidFill>
                <a:schemeClr val="accent1">
                  <a:lumMod val="50000"/>
                </a:schemeClr>
              </a:solidFill>
            </a:rPr>
            <a:t>de </a:t>
          </a:r>
          <a:r>
            <a:rPr lang="en-US" sz="1100" b="1" kern="1200">
              <a:solidFill>
                <a:schemeClr val="accent1">
                  <a:lumMod val="50000"/>
                </a:schemeClr>
              </a:solidFill>
            </a:rPr>
            <a:t>documente exectorii </a:t>
          </a:r>
          <a:r>
            <a:rPr lang="ro-RO" sz="1100" b="1" kern="1200">
              <a:solidFill>
                <a:schemeClr val="accent1">
                  <a:lumMod val="50000"/>
                </a:schemeClr>
              </a:solidFill>
            </a:rPr>
            <a:t>în</a:t>
          </a:r>
          <a:r>
            <a:rPr lang="en-US" sz="1100" b="1" kern="1200">
              <a:solidFill>
                <a:schemeClr val="accent1">
                  <a:lumMod val="50000"/>
                </a:schemeClr>
              </a:solidFill>
            </a:rPr>
            <a:t> valoare </a:t>
          </a:r>
          <a:r>
            <a:rPr lang="ro-RO" sz="1100" b="1" kern="1200">
              <a:solidFill>
                <a:schemeClr val="accent1">
                  <a:lumMod val="50000"/>
                </a:schemeClr>
              </a:solidFill>
            </a:rPr>
            <a:t>de 43,5 mil. lei</a:t>
          </a:r>
          <a:endParaRPr lang="en-US" sz="1100" b="1" kern="1200">
            <a:solidFill>
              <a:schemeClr val="accent1">
                <a:lumMod val="50000"/>
              </a:schemeClr>
            </a:solidFill>
          </a:endParaRPr>
        </a:p>
      </dsp:txBody>
      <dsp:txXfrm>
        <a:off x="320034" y="633561"/>
        <a:ext cx="4129896" cy="283038"/>
      </dsp:txXfrm>
    </dsp:sp>
    <dsp:sp modelId="{80EFC09C-3B76-4EC8-AA73-4FDBF86BF6AF}">
      <dsp:nvSpPr>
        <dsp:cNvPr id="0" name=""/>
        <dsp:cNvSpPr/>
      </dsp:nvSpPr>
      <dsp:spPr>
        <a:xfrm>
          <a:off x="0" y="1349682"/>
          <a:ext cx="5943600" cy="352800"/>
        </a:xfrm>
        <a:prstGeom prst="rect">
          <a:avLst/>
        </a:prstGeom>
        <a:noFill/>
        <a:ln w="9525" cap="flat" cmpd="sng" algn="ctr">
          <a:solidFill>
            <a:schemeClr val="bg2">
              <a:lumMod val="75000"/>
            </a:schemeClr>
          </a:solidFill>
          <a:prstDash val="solid"/>
        </a:ln>
        <a:effectLst/>
      </dsp:spPr>
      <dsp:style>
        <a:lnRef idx="1">
          <a:scrgbClr r="0" g="0" b="0"/>
        </a:lnRef>
        <a:fillRef idx="1">
          <a:scrgbClr r="0" g="0" b="0"/>
        </a:fillRef>
        <a:effectRef idx="0">
          <a:scrgbClr r="0" g="0" b="0"/>
        </a:effectRef>
        <a:fontRef idx="minor"/>
      </dsp:style>
    </dsp:sp>
    <dsp:sp modelId="{EF170C87-8CDA-4580-A52B-3348FE79A5F7}">
      <dsp:nvSpPr>
        <dsp:cNvPr id="0" name=""/>
        <dsp:cNvSpPr/>
      </dsp:nvSpPr>
      <dsp:spPr>
        <a:xfrm>
          <a:off x="296771" y="1141472"/>
          <a:ext cx="4156456" cy="457079"/>
        </a:xfrm>
        <a:prstGeom prst="roundRect">
          <a:avLst/>
        </a:prstGeom>
        <a:gradFill rotWithShape="0">
          <a:gsLst>
            <a:gs pos="0">
              <a:schemeClr val="lt1">
                <a:hueOff val="0"/>
                <a:satOff val="0"/>
                <a:lumOff val="0"/>
                <a:alphaOff val="0"/>
                <a:tint val="20000"/>
                <a:satMod val="180000"/>
                <a:lumMod val="98000"/>
              </a:schemeClr>
            </a:gs>
            <a:gs pos="40000">
              <a:schemeClr val="lt1">
                <a:hueOff val="0"/>
                <a:satOff val="0"/>
                <a:lumOff val="0"/>
                <a:alphaOff val="0"/>
                <a:tint val="30000"/>
                <a:satMod val="260000"/>
                <a:lumMod val="84000"/>
              </a:schemeClr>
            </a:gs>
            <a:gs pos="100000">
              <a:schemeClr val="lt1">
                <a:hueOff val="0"/>
                <a:satOff val="0"/>
                <a:lumOff val="0"/>
                <a:alphaOff val="0"/>
                <a:tint val="100000"/>
                <a:satMod val="110000"/>
                <a:lumMod val="100000"/>
              </a:schemeClr>
            </a:gs>
          </a:gsLst>
          <a:lin ang="504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7258" tIns="0" rIns="157258" bIns="0" numCol="1" spcCol="1270" anchor="ctr" anchorCtr="0">
          <a:noAutofit/>
        </a:bodyPr>
        <a:lstStyle/>
        <a:p>
          <a:pPr lvl="0" algn="l" defTabSz="488950">
            <a:lnSpc>
              <a:spcPct val="90000"/>
            </a:lnSpc>
            <a:spcBef>
              <a:spcPct val="0"/>
            </a:spcBef>
            <a:spcAft>
              <a:spcPct val="35000"/>
            </a:spcAft>
          </a:pPr>
          <a:r>
            <a:rPr lang="ro-RO" sz="1100" b="0" kern="1200"/>
            <a:t>Acțiuni de intentare a procedurii de executare de către executorii judecătorești</a:t>
          </a:r>
        </a:p>
        <a:p>
          <a:pPr lvl="0" algn="l" defTabSz="488950">
            <a:lnSpc>
              <a:spcPct val="90000"/>
            </a:lnSpc>
            <a:spcBef>
              <a:spcPct val="0"/>
            </a:spcBef>
            <a:spcAft>
              <a:spcPct val="35000"/>
            </a:spcAft>
          </a:pPr>
          <a:r>
            <a:rPr lang="en-US" sz="1100" b="1" kern="1200"/>
            <a:t> </a:t>
          </a:r>
          <a:r>
            <a:rPr lang="ro-RO" sz="1100" b="1" kern="1200">
              <a:solidFill>
                <a:schemeClr val="accent1">
                  <a:lumMod val="50000"/>
                </a:schemeClr>
              </a:solidFill>
            </a:rPr>
            <a:t>191 de </a:t>
          </a:r>
          <a:r>
            <a:rPr lang="en-US" sz="1100" b="1" kern="1200">
              <a:solidFill>
                <a:schemeClr val="accent1">
                  <a:lumMod val="50000"/>
                </a:schemeClr>
              </a:solidFill>
            </a:rPr>
            <a:t>documente exectorii </a:t>
          </a:r>
          <a:r>
            <a:rPr lang="ro-RO" sz="1100" b="1" kern="1200">
              <a:solidFill>
                <a:schemeClr val="accent1">
                  <a:lumMod val="50000"/>
                </a:schemeClr>
              </a:solidFill>
            </a:rPr>
            <a:t>în</a:t>
          </a:r>
          <a:r>
            <a:rPr lang="en-US" sz="1100" b="1" kern="1200">
              <a:solidFill>
                <a:schemeClr val="accent1">
                  <a:lumMod val="50000"/>
                </a:schemeClr>
              </a:solidFill>
            </a:rPr>
            <a:t> valoare </a:t>
          </a:r>
          <a:r>
            <a:rPr lang="ro-RO" sz="1100" b="1" kern="1200">
              <a:solidFill>
                <a:schemeClr val="accent1">
                  <a:lumMod val="50000"/>
                </a:schemeClr>
              </a:solidFill>
            </a:rPr>
            <a:t>de 134,5 mil. lei</a:t>
          </a:r>
          <a:endParaRPr lang="en-US" sz="1100" kern="1200">
            <a:solidFill>
              <a:schemeClr val="accent1">
                <a:lumMod val="50000"/>
              </a:schemeClr>
            </a:solidFill>
          </a:endParaRPr>
        </a:p>
      </dsp:txBody>
      <dsp:txXfrm>
        <a:off x="319084" y="1163785"/>
        <a:ext cx="4111830" cy="412453"/>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0.93258</cdr:x>
      <cdr:y>0.50619</cdr:y>
    </cdr:from>
    <cdr:to>
      <cdr:x>0.97978</cdr:x>
      <cdr:y>0.53427</cdr:y>
    </cdr:to>
    <cdr:sp macro="" textlink="">
      <cdr:nvSpPr>
        <cdr:cNvPr id="2" name="TextBox 1"/>
        <cdr:cNvSpPr txBox="1"/>
      </cdr:nvSpPr>
      <cdr:spPr>
        <a:xfrm xmlns:a="http://schemas.openxmlformats.org/drawingml/2006/main">
          <a:off x="6324600" y="2335530"/>
          <a:ext cx="320040" cy="1295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0.53977</cdr:x>
      <cdr:y>0.90943</cdr:y>
    </cdr:from>
    <cdr:to>
      <cdr:x>0.62522</cdr:x>
      <cdr:y>0.98669</cdr:y>
    </cdr:to>
    <cdr:sp macro="" textlink="">
      <cdr:nvSpPr>
        <cdr:cNvPr id="8" name="Rectangle 7"/>
        <cdr:cNvSpPr/>
      </cdr:nvSpPr>
      <cdr:spPr>
        <a:xfrm xmlns:a="http://schemas.openxmlformats.org/drawingml/2006/main">
          <a:off x="2927488" y="2689951"/>
          <a:ext cx="463411" cy="228509"/>
        </a:xfrm>
        <a:prstGeom xmlns:a="http://schemas.openxmlformats.org/drawingml/2006/main" prst="rect">
          <a:avLst/>
        </a:prstGeom>
        <a:ln xmlns:a="http://schemas.openxmlformats.org/drawingml/2006/main">
          <a:noFill/>
        </a:ln>
      </cdr:spPr>
      <cdr:style>
        <a:lnRef xmlns:a="http://schemas.openxmlformats.org/drawingml/2006/main" idx="2">
          <a:schemeClr val="accent3"/>
        </a:lnRef>
        <a:fillRef xmlns:a="http://schemas.openxmlformats.org/drawingml/2006/main" idx="1">
          <a:schemeClr val="lt1"/>
        </a:fillRef>
        <a:effectRef xmlns:a="http://schemas.openxmlformats.org/drawingml/2006/main" idx="0">
          <a:schemeClr val="accent3"/>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lang="en-US" sz="1100"/>
            <a:t>BPN</a:t>
          </a:r>
        </a:p>
      </cdr:txBody>
    </cdr:sp>
  </cdr:relSizeAnchor>
  <cdr:relSizeAnchor xmlns:cdr="http://schemas.openxmlformats.org/drawingml/2006/chartDrawing">
    <cdr:from>
      <cdr:x>0.42616</cdr:x>
      <cdr:y>0.91515</cdr:y>
    </cdr:from>
    <cdr:to>
      <cdr:x>0.49732</cdr:x>
      <cdr:y>0.96147</cdr:y>
    </cdr:to>
    <cdr:sp macro="" textlink="">
      <cdr:nvSpPr>
        <cdr:cNvPr id="4" name="Rectangle 3"/>
        <cdr:cNvSpPr/>
      </cdr:nvSpPr>
      <cdr:spPr>
        <a:xfrm xmlns:a="http://schemas.openxmlformats.org/drawingml/2006/main">
          <a:off x="2311294" y="2706858"/>
          <a:ext cx="385939" cy="137007"/>
        </a:xfrm>
        <a:prstGeom xmlns:a="http://schemas.openxmlformats.org/drawingml/2006/main" prst="rect">
          <a:avLst/>
        </a:prstGeom>
        <a:ln xmlns:a="http://schemas.openxmlformats.org/drawingml/2006/main">
          <a:noFill/>
        </a:ln>
      </cdr:spPr>
      <cdr:style>
        <a:lnRef xmlns:a="http://schemas.openxmlformats.org/drawingml/2006/main" idx="2">
          <a:schemeClr val="accent3"/>
        </a:lnRef>
        <a:fillRef xmlns:a="http://schemas.openxmlformats.org/drawingml/2006/main" idx="1">
          <a:schemeClr val="lt1"/>
        </a:fillRef>
        <a:effectRef xmlns:a="http://schemas.openxmlformats.org/drawingml/2006/main" idx="0">
          <a:schemeClr val="accent3"/>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lang="en-US" sz="1100"/>
            <a:t>BS</a:t>
          </a:r>
        </a:p>
      </cdr:txBody>
    </cdr:sp>
  </cdr:relSizeAnchor>
  <cdr:relSizeAnchor xmlns:cdr="http://schemas.openxmlformats.org/drawingml/2006/chartDrawing">
    <cdr:from>
      <cdr:x>0.11656</cdr:x>
      <cdr:y>0.15307</cdr:y>
    </cdr:from>
    <cdr:to>
      <cdr:x>0.7156</cdr:x>
      <cdr:y>0.28953</cdr:y>
    </cdr:to>
    <cdr:sp macro="" textlink="">
      <cdr:nvSpPr>
        <cdr:cNvPr id="5" name="Freeform 4"/>
        <cdr:cNvSpPr/>
      </cdr:nvSpPr>
      <cdr:spPr>
        <a:xfrm xmlns:a="http://schemas.openxmlformats.org/drawingml/2006/main">
          <a:off x="632166" y="452753"/>
          <a:ext cx="3248914" cy="403625"/>
        </a:xfrm>
        <a:custGeom xmlns:a="http://schemas.openxmlformats.org/drawingml/2006/main">
          <a:avLst/>
          <a:gdLst>
            <a:gd name="connsiteX0" fmla="*/ 0 w 3746023"/>
            <a:gd name="connsiteY0" fmla="*/ 17597 h 633336"/>
            <a:gd name="connsiteX1" fmla="*/ 426720 w 3746023"/>
            <a:gd name="connsiteY1" fmla="*/ 17597 h 633336"/>
            <a:gd name="connsiteX2" fmla="*/ 1874520 w 3746023"/>
            <a:gd name="connsiteY2" fmla="*/ 200477 h 633336"/>
            <a:gd name="connsiteX3" fmla="*/ 2682240 w 3746023"/>
            <a:gd name="connsiteY3" fmla="*/ 490037 h 633336"/>
            <a:gd name="connsiteX4" fmla="*/ 3665220 w 3746023"/>
            <a:gd name="connsiteY4" fmla="*/ 627197 h 633336"/>
            <a:gd name="connsiteX5" fmla="*/ 3619500 w 3746023"/>
            <a:gd name="connsiteY5" fmla="*/ 596717 h 6333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746023" h="633336">
              <a:moveTo>
                <a:pt x="0" y="17597"/>
              </a:moveTo>
              <a:cubicBezTo>
                <a:pt x="57150" y="2357"/>
                <a:pt x="114300" y="-12883"/>
                <a:pt x="426720" y="17597"/>
              </a:cubicBezTo>
              <a:cubicBezTo>
                <a:pt x="739140" y="48077"/>
                <a:pt x="1498600" y="121737"/>
                <a:pt x="1874520" y="200477"/>
              </a:cubicBezTo>
              <a:cubicBezTo>
                <a:pt x="2250440" y="279217"/>
                <a:pt x="2383790" y="418917"/>
                <a:pt x="2682240" y="490037"/>
              </a:cubicBezTo>
              <a:cubicBezTo>
                <a:pt x="2980690" y="561157"/>
                <a:pt x="3509010" y="609417"/>
                <a:pt x="3665220" y="627197"/>
              </a:cubicBezTo>
              <a:cubicBezTo>
                <a:pt x="3821430" y="644977"/>
                <a:pt x="3720465" y="620847"/>
                <a:pt x="3619500" y="596717"/>
              </a:cubicBezTo>
            </a:path>
          </a:pathLst>
        </a:custGeom>
        <a:ln xmlns:a="http://schemas.openxmlformats.org/drawingml/2006/main" w="6350" cap="flat" cmpd="sng" algn="ctr">
          <a:solidFill>
            <a:schemeClr val="accent5"/>
          </a:solidFill>
          <a:prstDash val="dash"/>
          <a:round/>
          <a:headEnd type="none" w="med" len="med"/>
          <a:tailEnd type="none" w="med" len="med"/>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nset">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41AD5-FD82-4B16-8FAB-E2B806878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53</Pages>
  <Words>21877</Words>
  <Characters>124702</Characters>
  <Application>Microsoft Office Word</Application>
  <DocSecurity>0</DocSecurity>
  <Lines>1039</Lines>
  <Paragraphs>292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Frunze</dc:creator>
  <cp:keywords/>
  <dc:description/>
  <cp:lastModifiedBy>Caraman Tatiana</cp:lastModifiedBy>
  <cp:revision>3</cp:revision>
  <cp:lastPrinted>2020-09-10T06:21:00Z</cp:lastPrinted>
  <dcterms:created xsi:type="dcterms:W3CDTF">2020-11-06T08:43:00Z</dcterms:created>
  <dcterms:modified xsi:type="dcterms:W3CDTF">2020-11-06T08:46:00Z</dcterms:modified>
</cp:coreProperties>
</file>