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6A" w:rsidRPr="006768CA" w:rsidRDefault="008A006A" w:rsidP="006768CA">
      <w:pPr>
        <w:pStyle w:val="cn"/>
        <w:rPr>
          <w:lang w:val="ro-RO"/>
        </w:rPr>
      </w:pPr>
      <w:r w:rsidRPr="000068E7">
        <w:rPr>
          <w:noProof/>
          <w:sz w:val="26"/>
          <w:szCs w:val="26"/>
        </w:rPr>
        <w:drawing>
          <wp:inline distT="0" distB="0" distL="0" distR="0">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A006A" w:rsidRPr="000068E7" w:rsidRDefault="008A006A" w:rsidP="00E44946">
      <w:pPr>
        <w:spacing w:after="0" w:line="240" w:lineRule="auto"/>
        <w:jc w:val="center"/>
        <w:rPr>
          <w:rFonts w:ascii="Calibri Light" w:eastAsia="Times New Roman" w:hAnsi="Calibri Light" w:cs="Calibri Light"/>
          <w:bCs/>
          <w:sz w:val="28"/>
          <w:szCs w:val="28"/>
          <w:lang w:val="ro-RO"/>
        </w:rPr>
      </w:pPr>
      <w:r w:rsidRPr="000068E7">
        <w:rPr>
          <w:rFonts w:ascii="Calibri Light" w:eastAsia="Times New Roman" w:hAnsi="Calibri Light" w:cs="Calibri Light"/>
          <w:bCs/>
          <w:sz w:val="28"/>
          <w:szCs w:val="28"/>
          <w:lang w:val="ro-RO"/>
        </w:rPr>
        <w:t>CURTEA DE CONTURI A REPUBLICII MOLDOVA</w:t>
      </w:r>
    </w:p>
    <w:p w:rsidR="008A006A" w:rsidRPr="000068E7" w:rsidRDefault="008A006A" w:rsidP="00E44946">
      <w:pPr>
        <w:spacing w:after="0" w:line="240" w:lineRule="auto"/>
        <w:jc w:val="center"/>
        <w:rPr>
          <w:rFonts w:ascii="Calibri Light" w:eastAsia="Times New Roman" w:hAnsi="Calibri Light" w:cs="Calibri Light"/>
          <w:bCs/>
          <w:sz w:val="28"/>
          <w:szCs w:val="28"/>
          <w:lang w:val="ro-RO"/>
        </w:rPr>
      </w:pPr>
    </w:p>
    <w:p w:rsidR="008A006A" w:rsidRPr="000068E7" w:rsidRDefault="008A006A" w:rsidP="00E44946">
      <w:pPr>
        <w:spacing w:after="0" w:line="240" w:lineRule="auto"/>
        <w:jc w:val="center"/>
        <w:rPr>
          <w:rFonts w:ascii="Calibri Light" w:eastAsia="Times New Roman" w:hAnsi="Calibri Light" w:cs="Calibri Light"/>
          <w:b/>
          <w:bCs/>
          <w:sz w:val="28"/>
          <w:szCs w:val="28"/>
          <w:lang w:val="ro-RO"/>
        </w:rPr>
      </w:pPr>
      <w:bookmarkStart w:id="0" w:name="_Toc450123757"/>
      <w:r w:rsidRPr="000068E7">
        <w:rPr>
          <w:rFonts w:ascii="Calibri Light" w:eastAsia="Times New Roman" w:hAnsi="Calibri Light" w:cs="Calibri Light"/>
          <w:b/>
          <w:bCs/>
          <w:sz w:val="28"/>
          <w:szCs w:val="28"/>
          <w:lang w:val="ro-RO"/>
        </w:rPr>
        <w:t>H O T Ă R Â R E A nr.</w:t>
      </w:r>
      <w:bookmarkEnd w:id="0"/>
      <w:r w:rsidR="0046641A">
        <w:rPr>
          <w:rFonts w:ascii="Calibri Light" w:eastAsia="Times New Roman" w:hAnsi="Calibri Light" w:cs="Calibri Light"/>
          <w:b/>
          <w:bCs/>
          <w:sz w:val="28"/>
          <w:szCs w:val="28"/>
          <w:lang w:val="ro-RO"/>
        </w:rPr>
        <w:t>46</w:t>
      </w:r>
    </w:p>
    <w:p w:rsidR="008A006A" w:rsidRPr="000068E7" w:rsidRDefault="008A006A" w:rsidP="00E44946">
      <w:pPr>
        <w:spacing w:after="0" w:line="240" w:lineRule="auto"/>
        <w:jc w:val="center"/>
        <w:rPr>
          <w:rFonts w:ascii="Calibri Light" w:eastAsia="Times New Roman" w:hAnsi="Calibri Light" w:cs="Calibri Light"/>
          <w:bCs/>
          <w:sz w:val="28"/>
          <w:szCs w:val="28"/>
          <w:lang w:val="ro-RO"/>
        </w:rPr>
      </w:pPr>
      <w:r w:rsidRPr="000068E7">
        <w:rPr>
          <w:rFonts w:ascii="Calibri Light" w:eastAsia="Times New Roman" w:hAnsi="Calibri Light" w:cs="Calibri Light"/>
          <w:bCs/>
          <w:sz w:val="28"/>
          <w:szCs w:val="28"/>
          <w:lang w:val="ro-RO"/>
        </w:rPr>
        <w:t xml:space="preserve">din </w:t>
      </w:r>
      <w:r w:rsidR="00EA382C">
        <w:rPr>
          <w:rFonts w:ascii="Calibri Light" w:eastAsia="Times New Roman" w:hAnsi="Calibri Light" w:cs="Calibri Light"/>
          <w:bCs/>
          <w:sz w:val="28"/>
          <w:szCs w:val="28"/>
          <w:lang w:val="ro-RO"/>
        </w:rPr>
        <w:t xml:space="preserve">29 </w:t>
      </w:r>
      <w:r w:rsidR="00D734A9" w:rsidRPr="000068E7">
        <w:rPr>
          <w:rFonts w:ascii="Calibri Light" w:eastAsia="Times New Roman" w:hAnsi="Calibri Light" w:cs="Calibri Light"/>
          <w:bCs/>
          <w:sz w:val="28"/>
          <w:szCs w:val="28"/>
          <w:lang w:val="ro-RO"/>
        </w:rPr>
        <w:t>iulie</w:t>
      </w:r>
      <w:r w:rsidRPr="000068E7">
        <w:rPr>
          <w:rFonts w:ascii="Calibri Light" w:eastAsia="Times New Roman" w:hAnsi="Calibri Light" w:cs="Calibri Light"/>
          <w:bCs/>
          <w:sz w:val="28"/>
          <w:szCs w:val="28"/>
          <w:lang w:val="ro-RO"/>
        </w:rPr>
        <w:t xml:space="preserve"> 2021</w:t>
      </w:r>
    </w:p>
    <w:p w:rsidR="008A006A" w:rsidRPr="000068E7" w:rsidRDefault="008A006A" w:rsidP="00E44946">
      <w:pPr>
        <w:spacing w:after="0" w:line="240" w:lineRule="auto"/>
        <w:jc w:val="center"/>
        <w:rPr>
          <w:rFonts w:ascii="Times New Roman" w:eastAsia="Times New Roman" w:hAnsi="Times New Roman" w:cs="Times New Roman"/>
          <w:bCs/>
          <w:sz w:val="28"/>
          <w:szCs w:val="28"/>
          <w:lang w:val="ro-RO"/>
        </w:rPr>
      </w:pPr>
    </w:p>
    <w:p w:rsidR="00BA0E1E" w:rsidRPr="000068E7" w:rsidRDefault="008A006A" w:rsidP="00E44946">
      <w:pPr>
        <w:spacing w:after="0" w:line="240" w:lineRule="auto"/>
        <w:jc w:val="center"/>
        <w:rPr>
          <w:rFonts w:asciiTheme="majorHAnsi" w:eastAsia="Times New Roman" w:hAnsiTheme="majorHAnsi" w:cs="Times New Roman"/>
          <w:b/>
          <w:bCs/>
          <w:sz w:val="24"/>
          <w:szCs w:val="24"/>
          <w:lang w:val="ro-RO" w:eastAsia="ru-RU"/>
        </w:rPr>
      </w:pPr>
      <w:r w:rsidRPr="000068E7">
        <w:rPr>
          <w:rFonts w:asciiTheme="majorHAnsi" w:eastAsia="Times New Roman" w:hAnsiTheme="majorHAnsi" w:cs="Times New Roman"/>
          <w:b/>
          <w:bCs/>
          <w:sz w:val="24"/>
          <w:szCs w:val="24"/>
          <w:lang w:val="ro-RO" w:eastAsia="ru-RU"/>
        </w:rPr>
        <w:t xml:space="preserve">cu privire la </w:t>
      </w:r>
      <w:r w:rsidR="00BA0E1E" w:rsidRPr="000068E7">
        <w:rPr>
          <w:rFonts w:asciiTheme="majorHAnsi" w:eastAsia="Times New Roman" w:hAnsiTheme="majorHAnsi" w:cs="Times New Roman"/>
          <w:b/>
          <w:bCs/>
          <w:sz w:val="24"/>
          <w:szCs w:val="24"/>
          <w:lang w:val="ro-RO" w:eastAsia="ru-RU"/>
        </w:rPr>
        <w:t xml:space="preserve">Raportul auditului conformității </w:t>
      </w:r>
      <w:r w:rsidR="00C04145" w:rsidRPr="000068E7">
        <w:rPr>
          <w:rFonts w:asciiTheme="majorHAnsi" w:eastAsia="Times New Roman" w:hAnsiTheme="majorHAnsi" w:cs="Times New Roman"/>
          <w:b/>
          <w:bCs/>
          <w:sz w:val="24"/>
          <w:szCs w:val="24"/>
          <w:lang w:val="ro-RO" w:eastAsia="ru-RU"/>
        </w:rPr>
        <w:t xml:space="preserve">asupra </w:t>
      </w:r>
      <w:r w:rsidR="00BA0E1E" w:rsidRPr="000068E7">
        <w:rPr>
          <w:rFonts w:asciiTheme="majorHAnsi" w:eastAsia="Times New Roman" w:hAnsiTheme="majorHAnsi" w:cs="Times New Roman"/>
          <w:b/>
          <w:bCs/>
          <w:sz w:val="24"/>
          <w:szCs w:val="24"/>
          <w:lang w:val="ro-RO" w:eastAsia="ru-RU"/>
        </w:rPr>
        <w:t xml:space="preserve">achizițiilor publice </w:t>
      </w:r>
    </w:p>
    <w:p w:rsidR="008A006A" w:rsidRPr="000068E7" w:rsidRDefault="00BA0E1E" w:rsidP="00604E25">
      <w:pPr>
        <w:spacing w:after="0" w:line="240" w:lineRule="auto"/>
        <w:jc w:val="center"/>
        <w:rPr>
          <w:rFonts w:asciiTheme="majorHAnsi" w:eastAsia="Times New Roman" w:hAnsiTheme="majorHAnsi" w:cs="Times New Roman"/>
          <w:b/>
          <w:bCs/>
          <w:sz w:val="24"/>
          <w:szCs w:val="24"/>
          <w:lang w:val="ro-RO" w:eastAsia="ru-RU"/>
        </w:rPr>
      </w:pPr>
      <w:r w:rsidRPr="000068E7">
        <w:rPr>
          <w:rFonts w:asciiTheme="majorHAnsi" w:eastAsia="Times New Roman" w:hAnsiTheme="majorHAnsi" w:cs="Times New Roman"/>
          <w:b/>
          <w:bCs/>
          <w:sz w:val="24"/>
          <w:szCs w:val="24"/>
          <w:lang w:val="ro-RO" w:eastAsia="ru-RU"/>
        </w:rPr>
        <w:t>în cadrul sistemului Ministerului A</w:t>
      </w:r>
      <w:r w:rsidR="00C51D59" w:rsidRPr="000068E7">
        <w:rPr>
          <w:rFonts w:asciiTheme="majorHAnsi" w:eastAsia="Times New Roman" w:hAnsiTheme="majorHAnsi" w:cs="Times New Roman"/>
          <w:b/>
          <w:bCs/>
          <w:sz w:val="24"/>
          <w:szCs w:val="24"/>
          <w:lang w:val="ro-RO" w:eastAsia="ru-RU"/>
        </w:rPr>
        <w:t>griculturii</w:t>
      </w:r>
      <w:r w:rsidR="00C04145" w:rsidRPr="000068E7">
        <w:rPr>
          <w:rFonts w:asciiTheme="majorHAnsi" w:eastAsia="Times New Roman" w:hAnsiTheme="majorHAnsi" w:cs="Times New Roman"/>
          <w:b/>
          <w:bCs/>
          <w:sz w:val="24"/>
          <w:szCs w:val="24"/>
          <w:lang w:val="ro-RO" w:eastAsia="ru-RU"/>
        </w:rPr>
        <w:t>,</w:t>
      </w:r>
      <w:r w:rsidR="00C51D59" w:rsidRPr="000068E7">
        <w:rPr>
          <w:rFonts w:asciiTheme="majorHAnsi" w:eastAsia="Times New Roman" w:hAnsiTheme="majorHAnsi" w:cs="Times New Roman"/>
          <w:b/>
          <w:bCs/>
          <w:sz w:val="24"/>
          <w:szCs w:val="24"/>
          <w:lang w:val="ro-RO" w:eastAsia="ru-RU"/>
        </w:rPr>
        <w:t xml:space="preserve"> Dezvoltării Regionale și Mediu</w:t>
      </w:r>
      <w:r w:rsidR="00C04145" w:rsidRPr="000068E7">
        <w:rPr>
          <w:rFonts w:asciiTheme="majorHAnsi" w:eastAsia="Times New Roman" w:hAnsiTheme="majorHAnsi" w:cs="Times New Roman"/>
          <w:b/>
          <w:bCs/>
          <w:sz w:val="24"/>
          <w:szCs w:val="24"/>
          <w:lang w:val="ro-RO" w:eastAsia="ru-RU"/>
        </w:rPr>
        <w:t>lui</w:t>
      </w:r>
      <w:r w:rsidRPr="000068E7">
        <w:rPr>
          <w:rFonts w:asciiTheme="majorHAnsi" w:eastAsia="Times New Roman" w:hAnsiTheme="majorHAnsi" w:cs="Times New Roman"/>
          <w:b/>
          <w:bCs/>
          <w:sz w:val="24"/>
          <w:szCs w:val="24"/>
          <w:lang w:val="ro-RO" w:eastAsia="ru-RU"/>
        </w:rPr>
        <w:t xml:space="preserve"> în anii 2019-2020</w:t>
      </w:r>
    </w:p>
    <w:p w:rsidR="00FD62BA" w:rsidRPr="000068E7" w:rsidRDefault="00FD62BA" w:rsidP="00604E25">
      <w:pPr>
        <w:spacing w:after="0" w:line="240" w:lineRule="auto"/>
        <w:jc w:val="center"/>
        <w:rPr>
          <w:rFonts w:asciiTheme="majorHAnsi" w:eastAsia="Times New Roman" w:hAnsiTheme="majorHAnsi" w:cs="Times New Roman"/>
          <w:b/>
          <w:bCs/>
          <w:sz w:val="24"/>
          <w:szCs w:val="24"/>
          <w:lang w:val="ro-RO" w:eastAsia="ru-RU"/>
        </w:rPr>
      </w:pPr>
      <w:r w:rsidRPr="000068E7">
        <w:rPr>
          <w:rFonts w:asciiTheme="majorHAnsi" w:eastAsia="Times New Roman" w:hAnsiTheme="majorHAnsi" w:cs="Times New Roman"/>
          <w:b/>
          <w:bCs/>
          <w:sz w:val="24"/>
          <w:szCs w:val="24"/>
          <w:lang w:val="ro-RO" w:eastAsia="ru-RU"/>
        </w:rPr>
        <w:t>_______________________________________________________________________________</w:t>
      </w:r>
    </w:p>
    <w:p w:rsidR="00C04145" w:rsidRPr="000068E7" w:rsidRDefault="00C51D59" w:rsidP="00604E25">
      <w:pPr>
        <w:spacing w:after="0" w:line="240" w:lineRule="auto"/>
        <w:ind w:firstLine="567"/>
        <w:jc w:val="both"/>
        <w:rPr>
          <w:rFonts w:asciiTheme="majorHAnsi" w:hAnsiTheme="majorHAnsi"/>
          <w:sz w:val="24"/>
          <w:szCs w:val="24"/>
          <w:lang w:val="ro-RO"/>
        </w:rPr>
      </w:pPr>
      <w:r w:rsidRPr="000068E7">
        <w:rPr>
          <w:rFonts w:asciiTheme="majorHAnsi" w:hAnsiTheme="majorHAnsi" w:cstheme="majorHAnsi"/>
          <w:sz w:val="24"/>
          <w:szCs w:val="24"/>
          <w:lang w:val="ro-RO"/>
        </w:rPr>
        <w:t>Cur</w:t>
      </w:r>
      <w:r w:rsidR="000839B7" w:rsidRPr="000068E7">
        <w:rPr>
          <w:rFonts w:asciiTheme="majorHAnsi" w:hAnsiTheme="majorHAnsi" w:cstheme="majorHAnsi"/>
          <w:sz w:val="24"/>
          <w:szCs w:val="24"/>
          <w:lang w:val="ro-RO"/>
        </w:rPr>
        <w:t xml:space="preserve">tea de Conturi, în prezența dlui </w:t>
      </w:r>
      <w:r w:rsidR="0046641A" w:rsidRPr="0046641A">
        <w:rPr>
          <w:rFonts w:asciiTheme="majorHAnsi" w:hAnsiTheme="majorHAnsi" w:cstheme="majorHAnsi"/>
          <w:sz w:val="24"/>
          <w:szCs w:val="24"/>
          <w:lang w:val="ro-MD"/>
        </w:rPr>
        <w:t>Mihail Machidon</w:t>
      </w:r>
      <w:r w:rsidR="000839B7" w:rsidRPr="000068E7">
        <w:rPr>
          <w:rFonts w:asciiTheme="majorHAnsi" w:hAnsiTheme="majorHAnsi" w:cstheme="majorHAnsi"/>
          <w:sz w:val="24"/>
          <w:szCs w:val="24"/>
          <w:lang w:val="ro-RO"/>
        </w:rPr>
        <w:t>,</w:t>
      </w:r>
      <w:r w:rsidRPr="000068E7">
        <w:rPr>
          <w:rFonts w:asciiTheme="majorHAnsi" w:hAnsiTheme="majorHAnsi" w:cstheme="majorHAnsi"/>
          <w:sz w:val="24"/>
          <w:szCs w:val="24"/>
          <w:lang w:val="ro-RO"/>
        </w:rPr>
        <w:t xml:space="preserve"> </w:t>
      </w:r>
      <w:r w:rsidR="00AC1163">
        <w:rPr>
          <w:rFonts w:asciiTheme="majorHAnsi" w:hAnsiTheme="majorHAnsi" w:cstheme="majorHAnsi"/>
          <w:sz w:val="24"/>
          <w:szCs w:val="24"/>
          <w:lang w:val="ro-MD"/>
        </w:rPr>
        <w:t>S</w:t>
      </w:r>
      <w:r w:rsidR="0046641A">
        <w:rPr>
          <w:rFonts w:asciiTheme="majorHAnsi" w:hAnsiTheme="majorHAnsi" w:cstheme="majorHAnsi"/>
          <w:sz w:val="24"/>
          <w:szCs w:val="24"/>
          <w:lang w:val="ro-MD"/>
        </w:rPr>
        <w:t xml:space="preserve">ecretar de </w:t>
      </w:r>
      <w:r w:rsidR="00AC1163">
        <w:rPr>
          <w:rFonts w:asciiTheme="majorHAnsi" w:hAnsiTheme="majorHAnsi" w:cstheme="majorHAnsi"/>
          <w:sz w:val="24"/>
          <w:szCs w:val="24"/>
          <w:lang w:val="ro-MD"/>
        </w:rPr>
        <w:t>S</w:t>
      </w:r>
      <w:r w:rsidR="0046641A">
        <w:rPr>
          <w:rFonts w:asciiTheme="majorHAnsi" w:hAnsiTheme="majorHAnsi" w:cstheme="majorHAnsi"/>
          <w:sz w:val="24"/>
          <w:szCs w:val="24"/>
          <w:lang w:val="ro-MD"/>
        </w:rPr>
        <w:t xml:space="preserve">tat al </w:t>
      </w:r>
      <w:r w:rsidR="0046641A" w:rsidRPr="0046641A">
        <w:rPr>
          <w:rFonts w:asciiTheme="majorHAnsi" w:hAnsiTheme="majorHAnsi" w:cstheme="majorHAnsi"/>
          <w:sz w:val="24"/>
          <w:szCs w:val="24"/>
          <w:lang w:val="ro-MD"/>
        </w:rPr>
        <w:t>Ministerul</w:t>
      </w:r>
      <w:r w:rsidR="0046641A">
        <w:rPr>
          <w:rFonts w:asciiTheme="majorHAnsi" w:hAnsiTheme="majorHAnsi" w:cstheme="majorHAnsi"/>
          <w:sz w:val="24"/>
          <w:szCs w:val="24"/>
          <w:lang w:val="ro-MD"/>
        </w:rPr>
        <w:t>ui</w:t>
      </w:r>
      <w:r w:rsidR="0046641A" w:rsidRPr="0046641A">
        <w:rPr>
          <w:rFonts w:asciiTheme="majorHAnsi" w:hAnsiTheme="majorHAnsi" w:cstheme="majorHAnsi"/>
          <w:sz w:val="24"/>
          <w:szCs w:val="24"/>
          <w:lang w:val="ro-MD"/>
        </w:rPr>
        <w:t xml:space="preserve"> Agriculturii, Dezvoltării Regionale și Mediului</w:t>
      </w:r>
      <w:r w:rsidR="00D70A96" w:rsidRPr="000068E7">
        <w:rPr>
          <w:rFonts w:asciiTheme="majorHAnsi" w:hAnsiTheme="majorHAnsi" w:cstheme="majorHAnsi"/>
          <w:sz w:val="24"/>
          <w:szCs w:val="24"/>
          <w:lang w:val="ro-RO"/>
        </w:rPr>
        <w:t>;</w:t>
      </w:r>
      <w:r w:rsidRPr="000068E7">
        <w:rPr>
          <w:rFonts w:asciiTheme="majorHAnsi" w:hAnsiTheme="majorHAnsi" w:cstheme="majorHAnsi"/>
          <w:sz w:val="24"/>
          <w:szCs w:val="24"/>
          <w:lang w:val="ro-RO"/>
        </w:rPr>
        <w:t xml:space="preserve"> </w:t>
      </w:r>
      <w:r w:rsidR="0046641A">
        <w:rPr>
          <w:rFonts w:asciiTheme="majorHAnsi" w:hAnsiTheme="majorHAnsi" w:cstheme="majorHAnsi"/>
          <w:sz w:val="24"/>
          <w:szCs w:val="24"/>
          <w:lang w:val="ro-RO"/>
        </w:rPr>
        <w:t xml:space="preserve">dlui </w:t>
      </w:r>
      <w:r w:rsidR="0046641A">
        <w:rPr>
          <w:rFonts w:asciiTheme="majorHAnsi" w:hAnsiTheme="majorHAnsi" w:cstheme="majorHAnsi"/>
          <w:sz w:val="24"/>
          <w:szCs w:val="24"/>
          <w:lang w:val="ro-MD"/>
        </w:rPr>
        <w:t>Viorel Pană,</w:t>
      </w:r>
      <w:r w:rsidR="0046641A" w:rsidRPr="0046641A">
        <w:rPr>
          <w:rFonts w:ascii="Times New Roman" w:hAnsi="Times New Roman" w:cs="Times New Roman"/>
          <w:sz w:val="28"/>
          <w:szCs w:val="28"/>
          <w:lang w:val="ro-MD"/>
        </w:rPr>
        <w:t xml:space="preserve"> </w:t>
      </w:r>
      <w:r w:rsidR="0046641A" w:rsidRPr="0046641A">
        <w:rPr>
          <w:rFonts w:asciiTheme="majorHAnsi" w:hAnsiTheme="majorHAnsi" w:cstheme="majorHAnsi"/>
          <w:sz w:val="24"/>
          <w:szCs w:val="24"/>
          <w:lang w:val="ro-MD"/>
        </w:rPr>
        <w:t>șef al Direcției investiții publice</w:t>
      </w:r>
      <w:r w:rsidR="0046641A">
        <w:rPr>
          <w:rFonts w:asciiTheme="majorHAnsi" w:hAnsiTheme="majorHAnsi" w:cstheme="majorHAnsi"/>
          <w:sz w:val="24"/>
          <w:szCs w:val="24"/>
          <w:lang w:val="ro-MD"/>
        </w:rPr>
        <w:t xml:space="preserve"> a</w:t>
      </w:r>
      <w:r w:rsidR="0046641A" w:rsidRPr="0046641A">
        <w:rPr>
          <w:rFonts w:asciiTheme="majorHAnsi" w:hAnsiTheme="majorHAnsi" w:cstheme="majorHAnsi"/>
          <w:sz w:val="24"/>
          <w:szCs w:val="24"/>
          <w:lang w:val="ro-MD"/>
        </w:rPr>
        <w:t xml:space="preserve"> Ministerul</w:t>
      </w:r>
      <w:r w:rsidR="0046641A">
        <w:rPr>
          <w:rFonts w:asciiTheme="majorHAnsi" w:hAnsiTheme="majorHAnsi" w:cstheme="majorHAnsi"/>
          <w:sz w:val="24"/>
          <w:szCs w:val="24"/>
          <w:lang w:val="ro-MD"/>
        </w:rPr>
        <w:t>ui</w:t>
      </w:r>
      <w:r w:rsidR="0046641A" w:rsidRPr="0046641A">
        <w:rPr>
          <w:rFonts w:asciiTheme="majorHAnsi" w:hAnsiTheme="majorHAnsi" w:cstheme="majorHAnsi"/>
          <w:sz w:val="24"/>
          <w:szCs w:val="24"/>
          <w:lang w:val="ro-MD"/>
        </w:rPr>
        <w:t xml:space="preserve"> Finanțelor</w:t>
      </w:r>
      <w:r w:rsidR="0046641A">
        <w:rPr>
          <w:rFonts w:asciiTheme="majorHAnsi" w:hAnsiTheme="majorHAnsi" w:cstheme="majorHAnsi"/>
          <w:sz w:val="24"/>
          <w:szCs w:val="24"/>
          <w:lang w:val="ro-MD"/>
        </w:rPr>
        <w:t xml:space="preserve">; dlui </w:t>
      </w:r>
      <w:r w:rsidR="0046641A" w:rsidRPr="0046641A">
        <w:rPr>
          <w:rFonts w:asciiTheme="majorHAnsi" w:hAnsiTheme="majorHAnsi" w:cstheme="majorHAnsi"/>
          <w:sz w:val="24"/>
          <w:szCs w:val="24"/>
          <w:lang w:val="ro-MD"/>
        </w:rPr>
        <w:t xml:space="preserve">Mihail </w:t>
      </w:r>
      <w:proofErr w:type="spellStart"/>
      <w:r w:rsidR="0046641A" w:rsidRPr="0046641A">
        <w:rPr>
          <w:rFonts w:asciiTheme="majorHAnsi" w:hAnsiTheme="majorHAnsi" w:cstheme="majorHAnsi"/>
          <w:sz w:val="24"/>
          <w:szCs w:val="24"/>
          <w:lang w:val="ro-MD"/>
        </w:rPr>
        <w:t>S</w:t>
      </w:r>
      <w:r w:rsidR="0046641A">
        <w:rPr>
          <w:rFonts w:asciiTheme="majorHAnsi" w:hAnsiTheme="majorHAnsi" w:cstheme="majorHAnsi"/>
          <w:sz w:val="24"/>
          <w:szCs w:val="24"/>
          <w:lang w:val="ro-MD"/>
        </w:rPr>
        <w:t>oțchi</w:t>
      </w:r>
      <w:proofErr w:type="spellEnd"/>
      <w:r w:rsidR="0046641A">
        <w:rPr>
          <w:rFonts w:asciiTheme="majorHAnsi" w:hAnsiTheme="majorHAnsi" w:cstheme="majorHAnsi"/>
          <w:sz w:val="24"/>
          <w:szCs w:val="24"/>
          <w:lang w:val="ro-MD"/>
        </w:rPr>
        <w:t>,</w:t>
      </w:r>
      <w:r w:rsidR="0046641A">
        <w:rPr>
          <w:rFonts w:ascii="Times New Roman" w:hAnsi="Times New Roman" w:cs="Times New Roman"/>
          <w:sz w:val="28"/>
          <w:szCs w:val="28"/>
          <w:lang w:val="ro-MD"/>
        </w:rPr>
        <w:t xml:space="preserve"> </w:t>
      </w:r>
      <w:r w:rsidR="0046641A">
        <w:rPr>
          <w:rFonts w:asciiTheme="majorHAnsi" w:hAnsiTheme="majorHAnsi" w:cstheme="majorHAnsi"/>
          <w:sz w:val="24"/>
          <w:szCs w:val="24"/>
          <w:lang w:val="ro-MD"/>
        </w:rPr>
        <w:t>director general adjunct al Agenției</w:t>
      </w:r>
      <w:r w:rsidR="0046641A" w:rsidRPr="0046641A">
        <w:rPr>
          <w:rFonts w:asciiTheme="majorHAnsi" w:hAnsiTheme="majorHAnsi" w:cstheme="majorHAnsi"/>
          <w:sz w:val="24"/>
          <w:szCs w:val="24"/>
          <w:lang w:val="ro-MD"/>
        </w:rPr>
        <w:t xml:space="preserve"> Proprietății Publice</w:t>
      </w:r>
      <w:r w:rsidR="0046641A">
        <w:rPr>
          <w:rFonts w:asciiTheme="majorHAnsi" w:hAnsiTheme="majorHAnsi" w:cstheme="majorHAnsi"/>
          <w:sz w:val="24"/>
          <w:szCs w:val="24"/>
          <w:lang w:val="ro-MD"/>
        </w:rPr>
        <w:t>;</w:t>
      </w:r>
      <w:r w:rsidR="0046641A" w:rsidRPr="0046641A">
        <w:rPr>
          <w:rFonts w:asciiTheme="majorHAnsi" w:hAnsiTheme="majorHAnsi" w:cstheme="majorHAnsi"/>
          <w:sz w:val="24"/>
          <w:szCs w:val="24"/>
          <w:lang w:val="ro-RO"/>
        </w:rPr>
        <w:t xml:space="preserve"> </w:t>
      </w:r>
      <w:r w:rsidR="0046641A">
        <w:rPr>
          <w:rFonts w:asciiTheme="majorHAnsi" w:hAnsiTheme="majorHAnsi" w:cstheme="majorHAnsi"/>
          <w:sz w:val="24"/>
          <w:szCs w:val="24"/>
          <w:lang w:val="ro-RO"/>
        </w:rPr>
        <w:t>dnei</w:t>
      </w:r>
      <w:r w:rsidR="0046641A" w:rsidRPr="0046641A">
        <w:rPr>
          <w:rFonts w:ascii="Times New Roman" w:eastAsia="Times New Roman" w:hAnsi="Times New Roman" w:cs="Times New Roman"/>
          <w:sz w:val="28"/>
          <w:szCs w:val="28"/>
          <w:lang w:val="ro-MD" w:eastAsia="ru-RU"/>
        </w:rPr>
        <w:t xml:space="preserve"> </w:t>
      </w:r>
      <w:r w:rsidR="0046641A" w:rsidRPr="0046641A">
        <w:rPr>
          <w:rFonts w:asciiTheme="majorHAnsi" w:hAnsiTheme="majorHAnsi" w:cstheme="majorHAnsi"/>
          <w:sz w:val="24"/>
          <w:szCs w:val="24"/>
          <w:lang w:val="ro-MD"/>
        </w:rPr>
        <w:t xml:space="preserve">Nadejda </w:t>
      </w:r>
      <w:proofErr w:type="spellStart"/>
      <w:r w:rsidR="0046641A" w:rsidRPr="0046641A">
        <w:rPr>
          <w:rFonts w:asciiTheme="majorHAnsi" w:hAnsiTheme="majorHAnsi" w:cstheme="majorHAnsi"/>
          <w:sz w:val="24"/>
          <w:szCs w:val="24"/>
          <w:lang w:val="ro-MD"/>
        </w:rPr>
        <w:t>Tanasov</w:t>
      </w:r>
      <w:proofErr w:type="spellEnd"/>
      <w:r w:rsidR="0046641A">
        <w:rPr>
          <w:rFonts w:asciiTheme="majorHAnsi" w:hAnsiTheme="majorHAnsi" w:cstheme="majorHAnsi"/>
          <w:sz w:val="24"/>
          <w:szCs w:val="24"/>
          <w:lang w:val="ro-MD"/>
        </w:rPr>
        <w:t>,</w:t>
      </w:r>
      <w:r w:rsidR="0046641A">
        <w:rPr>
          <w:rFonts w:asciiTheme="majorHAnsi" w:hAnsiTheme="majorHAnsi" w:cstheme="majorHAnsi"/>
          <w:sz w:val="24"/>
          <w:szCs w:val="24"/>
          <w:lang w:val="ro-RO"/>
        </w:rPr>
        <w:t xml:space="preserve"> </w:t>
      </w:r>
      <w:r w:rsidR="0046641A" w:rsidRPr="0046641A">
        <w:rPr>
          <w:rFonts w:asciiTheme="majorHAnsi" w:hAnsiTheme="majorHAnsi" w:cstheme="majorHAnsi"/>
          <w:sz w:val="24"/>
          <w:szCs w:val="24"/>
          <w:lang w:val="ro-MD"/>
        </w:rPr>
        <w:t>ș</w:t>
      </w:r>
      <w:r w:rsidR="0046641A">
        <w:rPr>
          <w:rFonts w:asciiTheme="majorHAnsi" w:hAnsiTheme="majorHAnsi" w:cstheme="majorHAnsi"/>
          <w:sz w:val="24"/>
          <w:szCs w:val="24"/>
          <w:lang w:val="ro-MD"/>
        </w:rPr>
        <w:t>ef al Direcției monitorizare a Agenției</w:t>
      </w:r>
      <w:r w:rsidR="0046641A" w:rsidRPr="0046641A">
        <w:rPr>
          <w:rFonts w:asciiTheme="majorHAnsi" w:hAnsiTheme="majorHAnsi" w:cstheme="majorHAnsi"/>
          <w:sz w:val="24"/>
          <w:szCs w:val="24"/>
          <w:lang w:val="ro-MD"/>
        </w:rPr>
        <w:t xml:space="preserve"> Achiziții Publice</w:t>
      </w:r>
      <w:r w:rsidR="0046641A">
        <w:rPr>
          <w:rFonts w:asciiTheme="majorHAnsi" w:hAnsiTheme="majorHAnsi" w:cstheme="majorHAnsi"/>
          <w:sz w:val="24"/>
          <w:szCs w:val="24"/>
          <w:lang w:val="ro-MD"/>
        </w:rPr>
        <w:t>;</w:t>
      </w:r>
      <w:r w:rsidR="00055149">
        <w:rPr>
          <w:rFonts w:asciiTheme="majorHAnsi" w:hAnsiTheme="majorHAnsi" w:cstheme="majorHAnsi"/>
          <w:sz w:val="24"/>
          <w:szCs w:val="24"/>
          <w:lang w:val="ro-MD"/>
        </w:rPr>
        <w:t xml:space="preserve"> dlui</w:t>
      </w:r>
      <w:r w:rsidR="00055149" w:rsidRPr="00055149">
        <w:rPr>
          <w:rFonts w:ascii="Times New Roman" w:hAnsi="Times New Roman" w:cs="Times New Roman"/>
          <w:sz w:val="28"/>
          <w:szCs w:val="28"/>
          <w:lang w:val="ro-RO"/>
        </w:rPr>
        <w:t xml:space="preserve"> </w:t>
      </w:r>
      <w:r w:rsidR="00055149" w:rsidRPr="00055149">
        <w:rPr>
          <w:rFonts w:asciiTheme="majorHAnsi" w:hAnsiTheme="majorHAnsi" w:cstheme="majorHAnsi"/>
          <w:sz w:val="24"/>
          <w:szCs w:val="24"/>
          <w:lang w:val="ro-RO"/>
        </w:rPr>
        <w:t xml:space="preserve">Ruslan </w:t>
      </w:r>
      <w:proofErr w:type="spellStart"/>
      <w:r w:rsidR="00055149" w:rsidRPr="00055149">
        <w:rPr>
          <w:rFonts w:asciiTheme="majorHAnsi" w:hAnsiTheme="majorHAnsi" w:cstheme="majorHAnsi"/>
          <w:sz w:val="24"/>
          <w:szCs w:val="24"/>
          <w:lang w:val="ro-RO"/>
        </w:rPr>
        <w:t>Tabacari</w:t>
      </w:r>
      <w:proofErr w:type="spellEnd"/>
      <w:r w:rsidR="00055149">
        <w:rPr>
          <w:rFonts w:asciiTheme="majorHAnsi" w:hAnsiTheme="majorHAnsi" w:cstheme="majorHAnsi"/>
          <w:sz w:val="24"/>
          <w:szCs w:val="24"/>
          <w:lang w:val="ro-RO"/>
        </w:rPr>
        <w:t xml:space="preserve">, </w:t>
      </w:r>
      <w:r w:rsidR="00055149">
        <w:rPr>
          <w:rFonts w:asciiTheme="majorHAnsi" w:hAnsiTheme="majorHAnsi" w:cstheme="majorHAnsi"/>
          <w:sz w:val="24"/>
          <w:szCs w:val="24"/>
          <w:lang w:val="ro-MD"/>
        </w:rPr>
        <w:t>director interimar a</w:t>
      </w:r>
      <w:r w:rsidR="00AC1163">
        <w:rPr>
          <w:rFonts w:asciiTheme="majorHAnsi" w:hAnsiTheme="majorHAnsi" w:cstheme="majorHAnsi"/>
          <w:sz w:val="24"/>
          <w:szCs w:val="24"/>
          <w:lang w:val="ro-MD"/>
        </w:rPr>
        <w:t>l</w:t>
      </w:r>
      <w:r w:rsidR="00055149" w:rsidRPr="00055149">
        <w:rPr>
          <w:rFonts w:asciiTheme="majorHAnsi" w:hAnsiTheme="majorHAnsi" w:cstheme="majorHAnsi"/>
          <w:sz w:val="24"/>
          <w:szCs w:val="24"/>
          <w:lang w:val="ro-MD"/>
        </w:rPr>
        <w:t xml:space="preserve"> Comisi</w:t>
      </w:r>
      <w:r w:rsidR="00055149">
        <w:rPr>
          <w:rFonts w:asciiTheme="majorHAnsi" w:hAnsiTheme="majorHAnsi" w:cstheme="majorHAnsi"/>
          <w:sz w:val="24"/>
          <w:szCs w:val="24"/>
          <w:lang w:val="ro-MD"/>
        </w:rPr>
        <w:t>ei</w:t>
      </w:r>
      <w:r w:rsidR="00055149" w:rsidRPr="00055149">
        <w:rPr>
          <w:rFonts w:asciiTheme="majorHAnsi" w:hAnsiTheme="majorHAnsi" w:cstheme="majorHAnsi"/>
          <w:sz w:val="24"/>
          <w:szCs w:val="24"/>
          <w:lang w:val="ro-MD"/>
        </w:rPr>
        <w:t xml:space="preserve"> de Stat pentru Testarea Soiurilor de Plante</w:t>
      </w:r>
      <w:r w:rsidR="00055149">
        <w:rPr>
          <w:rFonts w:asciiTheme="majorHAnsi" w:hAnsiTheme="majorHAnsi" w:cstheme="majorHAnsi"/>
          <w:sz w:val="24"/>
          <w:szCs w:val="24"/>
          <w:lang w:val="ro-MD"/>
        </w:rPr>
        <w:t xml:space="preserve">; dlui </w:t>
      </w:r>
      <w:r w:rsidR="00055149" w:rsidRPr="00055149">
        <w:rPr>
          <w:rFonts w:asciiTheme="majorHAnsi" w:hAnsiTheme="majorHAnsi" w:cstheme="majorHAnsi"/>
          <w:sz w:val="24"/>
          <w:szCs w:val="24"/>
          <w:lang w:val="ro-MD"/>
        </w:rPr>
        <w:t xml:space="preserve">Ion </w:t>
      </w:r>
      <w:proofErr w:type="spellStart"/>
      <w:r w:rsidR="00055149" w:rsidRPr="00055149">
        <w:rPr>
          <w:rFonts w:asciiTheme="majorHAnsi" w:hAnsiTheme="majorHAnsi" w:cstheme="majorHAnsi"/>
          <w:sz w:val="24"/>
          <w:szCs w:val="24"/>
          <w:lang w:val="ro-MD"/>
        </w:rPr>
        <w:t>Garaba</w:t>
      </w:r>
      <w:proofErr w:type="spellEnd"/>
      <w:r w:rsidR="00055149">
        <w:rPr>
          <w:rFonts w:asciiTheme="majorHAnsi" w:hAnsiTheme="majorHAnsi" w:cstheme="majorHAnsi"/>
          <w:sz w:val="24"/>
          <w:szCs w:val="24"/>
          <w:lang w:val="ro-MD"/>
        </w:rPr>
        <w:t>,</w:t>
      </w:r>
      <w:r w:rsidR="00055149" w:rsidRPr="00055149">
        <w:rPr>
          <w:rFonts w:asciiTheme="majorHAnsi" w:hAnsiTheme="majorHAnsi" w:cstheme="majorHAnsi"/>
          <w:sz w:val="24"/>
          <w:szCs w:val="24"/>
          <w:lang w:val="ro-RO"/>
        </w:rPr>
        <w:t xml:space="preserve"> </w:t>
      </w:r>
      <w:r w:rsidR="00055149" w:rsidRPr="00055149">
        <w:rPr>
          <w:rFonts w:asciiTheme="majorHAnsi" w:hAnsiTheme="majorHAnsi" w:cstheme="majorHAnsi"/>
          <w:sz w:val="24"/>
          <w:szCs w:val="24"/>
          <w:lang w:val="ro-MD"/>
        </w:rPr>
        <w:t>director</w:t>
      </w:r>
      <w:r w:rsidR="00055149">
        <w:rPr>
          <w:rFonts w:asciiTheme="majorHAnsi" w:hAnsiTheme="majorHAnsi" w:cstheme="majorHAnsi"/>
          <w:sz w:val="24"/>
          <w:szCs w:val="24"/>
          <w:lang w:val="ro-MD"/>
        </w:rPr>
        <w:t xml:space="preserve"> al </w:t>
      </w:r>
      <w:r w:rsidR="00055149" w:rsidRPr="00055149">
        <w:rPr>
          <w:rFonts w:asciiTheme="majorHAnsi" w:hAnsiTheme="majorHAnsi" w:cstheme="majorHAnsi"/>
          <w:sz w:val="24"/>
          <w:szCs w:val="24"/>
          <w:lang w:val="ro-MD"/>
        </w:rPr>
        <w:t>Serviciul</w:t>
      </w:r>
      <w:r w:rsidR="00055149">
        <w:rPr>
          <w:rFonts w:asciiTheme="majorHAnsi" w:hAnsiTheme="majorHAnsi" w:cstheme="majorHAnsi"/>
          <w:sz w:val="24"/>
          <w:szCs w:val="24"/>
          <w:lang w:val="ro-MD"/>
        </w:rPr>
        <w:t>ui Special pentru Influențe</w:t>
      </w:r>
      <w:r w:rsidR="00055149" w:rsidRPr="00055149">
        <w:rPr>
          <w:rFonts w:asciiTheme="majorHAnsi" w:hAnsiTheme="majorHAnsi" w:cstheme="majorHAnsi"/>
          <w:sz w:val="24"/>
          <w:szCs w:val="24"/>
          <w:lang w:val="ro-MD"/>
        </w:rPr>
        <w:t xml:space="preserve"> Active asupra Proceselor Hidrometeorologice</w:t>
      </w:r>
      <w:r w:rsidR="00055149">
        <w:rPr>
          <w:rFonts w:asciiTheme="majorHAnsi" w:hAnsiTheme="majorHAnsi" w:cstheme="majorHAnsi"/>
          <w:sz w:val="24"/>
          <w:szCs w:val="24"/>
          <w:lang w:val="ro-MD"/>
        </w:rPr>
        <w:t>;</w:t>
      </w:r>
      <w:r w:rsidR="00055149" w:rsidRPr="00055149">
        <w:rPr>
          <w:rFonts w:asciiTheme="majorHAnsi" w:hAnsiTheme="majorHAnsi" w:cstheme="majorHAnsi"/>
          <w:sz w:val="24"/>
          <w:szCs w:val="24"/>
          <w:lang w:val="ro-RO"/>
        </w:rPr>
        <w:t xml:space="preserve"> </w:t>
      </w:r>
      <w:r w:rsidR="00055149">
        <w:rPr>
          <w:rFonts w:asciiTheme="majorHAnsi" w:hAnsiTheme="majorHAnsi" w:cstheme="majorHAnsi"/>
          <w:sz w:val="24"/>
          <w:szCs w:val="24"/>
          <w:lang w:val="ro-RO"/>
        </w:rPr>
        <w:t xml:space="preserve">dlui </w:t>
      </w:r>
      <w:r w:rsidR="00055149" w:rsidRPr="00055149">
        <w:rPr>
          <w:rFonts w:asciiTheme="majorHAnsi" w:hAnsiTheme="majorHAnsi" w:cstheme="majorHAnsi"/>
          <w:sz w:val="24"/>
          <w:szCs w:val="24"/>
          <w:lang w:val="ro-MD"/>
        </w:rPr>
        <w:t>Ion Racoviță</w:t>
      </w:r>
      <w:r w:rsidR="00055149">
        <w:rPr>
          <w:rFonts w:asciiTheme="majorHAnsi" w:hAnsiTheme="majorHAnsi" w:cstheme="majorHAnsi"/>
          <w:sz w:val="24"/>
          <w:szCs w:val="24"/>
          <w:lang w:val="ro-MD"/>
        </w:rPr>
        <w:t xml:space="preserve">, </w:t>
      </w:r>
      <w:r w:rsidR="00055149" w:rsidRPr="00055149">
        <w:rPr>
          <w:rFonts w:asciiTheme="majorHAnsi" w:hAnsiTheme="majorHAnsi" w:cstheme="majorHAnsi"/>
          <w:sz w:val="24"/>
          <w:szCs w:val="24"/>
          <w:lang w:val="ro-MD"/>
        </w:rPr>
        <w:t>director</w:t>
      </w:r>
      <w:r w:rsidR="00055149">
        <w:rPr>
          <w:rFonts w:asciiTheme="majorHAnsi" w:hAnsiTheme="majorHAnsi" w:cstheme="majorHAnsi"/>
          <w:sz w:val="24"/>
          <w:szCs w:val="24"/>
          <w:lang w:val="ro-MD"/>
        </w:rPr>
        <w:t xml:space="preserve"> al</w:t>
      </w:r>
      <w:r w:rsidR="00055149" w:rsidRPr="00055149">
        <w:rPr>
          <w:rFonts w:asciiTheme="majorHAnsi" w:hAnsiTheme="majorHAnsi" w:cstheme="majorHAnsi"/>
          <w:sz w:val="24"/>
          <w:szCs w:val="24"/>
          <w:lang w:val="ro-MD"/>
        </w:rPr>
        <w:t xml:space="preserve"> Agenți</w:t>
      </w:r>
      <w:r w:rsidR="00055149">
        <w:rPr>
          <w:rFonts w:asciiTheme="majorHAnsi" w:hAnsiTheme="majorHAnsi" w:cstheme="majorHAnsi"/>
          <w:sz w:val="24"/>
          <w:szCs w:val="24"/>
          <w:lang w:val="ro-MD"/>
        </w:rPr>
        <w:t>ei</w:t>
      </w:r>
      <w:r w:rsidR="00055149" w:rsidRPr="00055149">
        <w:rPr>
          <w:rFonts w:asciiTheme="majorHAnsi" w:hAnsiTheme="majorHAnsi" w:cstheme="majorHAnsi"/>
          <w:sz w:val="24"/>
          <w:szCs w:val="24"/>
          <w:lang w:val="ro-MD"/>
        </w:rPr>
        <w:t xml:space="preserve"> pentru Geologie și Resurse Minerale</w:t>
      </w:r>
      <w:r w:rsidR="00055149">
        <w:rPr>
          <w:rFonts w:asciiTheme="majorHAnsi" w:hAnsiTheme="majorHAnsi" w:cstheme="majorHAnsi"/>
          <w:sz w:val="24"/>
          <w:szCs w:val="24"/>
          <w:lang w:val="ro-MD"/>
        </w:rPr>
        <w:t>; dlui</w:t>
      </w:r>
      <w:r w:rsidR="00055149" w:rsidRPr="00055149">
        <w:rPr>
          <w:rFonts w:ascii="Times New Roman" w:hAnsi="Times New Roman" w:cs="Times New Roman"/>
          <w:sz w:val="28"/>
          <w:szCs w:val="28"/>
          <w:lang w:val="ro-RO"/>
        </w:rPr>
        <w:t xml:space="preserve"> </w:t>
      </w:r>
      <w:r w:rsidR="00055149" w:rsidRPr="00055149">
        <w:rPr>
          <w:rFonts w:asciiTheme="majorHAnsi" w:hAnsiTheme="majorHAnsi" w:cstheme="majorHAnsi"/>
          <w:sz w:val="24"/>
          <w:szCs w:val="24"/>
          <w:lang w:val="ro-RO"/>
        </w:rPr>
        <w:t>Daniel Zugravu</w:t>
      </w:r>
      <w:r w:rsidR="00055149">
        <w:rPr>
          <w:rFonts w:asciiTheme="majorHAnsi" w:hAnsiTheme="majorHAnsi" w:cstheme="majorHAnsi"/>
          <w:sz w:val="24"/>
          <w:szCs w:val="24"/>
          <w:lang w:val="ro-MD"/>
        </w:rPr>
        <w:t xml:space="preserve">, </w:t>
      </w:r>
      <w:r w:rsidR="00055149" w:rsidRPr="00055149">
        <w:rPr>
          <w:rFonts w:asciiTheme="majorHAnsi" w:hAnsiTheme="majorHAnsi" w:cstheme="majorHAnsi"/>
          <w:sz w:val="24"/>
          <w:szCs w:val="24"/>
          <w:lang w:val="ro-MD"/>
        </w:rPr>
        <w:t>șef adjunct al Inspectoratului pentru Protecția Mediului</w:t>
      </w:r>
      <w:r w:rsidR="00055149">
        <w:rPr>
          <w:rFonts w:asciiTheme="majorHAnsi" w:hAnsiTheme="majorHAnsi" w:cstheme="majorHAnsi"/>
          <w:sz w:val="24"/>
          <w:szCs w:val="24"/>
          <w:lang w:val="ro-MD"/>
        </w:rPr>
        <w:t xml:space="preserve">; dlui </w:t>
      </w:r>
      <w:r w:rsidR="00055149" w:rsidRPr="00055149">
        <w:rPr>
          <w:rFonts w:asciiTheme="majorHAnsi" w:hAnsiTheme="majorHAnsi" w:cstheme="majorHAnsi"/>
          <w:sz w:val="24"/>
          <w:szCs w:val="24"/>
          <w:lang w:val="ro-MD"/>
        </w:rPr>
        <w:t xml:space="preserve">Oleg </w:t>
      </w:r>
      <w:proofErr w:type="spellStart"/>
      <w:r w:rsidR="00055149" w:rsidRPr="00055149">
        <w:rPr>
          <w:rFonts w:asciiTheme="majorHAnsi" w:hAnsiTheme="majorHAnsi" w:cstheme="majorHAnsi"/>
          <w:sz w:val="24"/>
          <w:szCs w:val="24"/>
          <w:lang w:val="ro-MD"/>
        </w:rPr>
        <w:t>Mașner</w:t>
      </w:r>
      <w:proofErr w:type="spellEnd"/>
      <w:r w:rsidR="00055149">
        <w:rPr>
          <w:rFonts w:asciiTheme="majorHAnsi" w:hAnsiTheme="majorHAnsi" w:cstheme="majorHAnsi"/>
          <w:sz w:val="24"/>
          <w:szCs w:val="24"/>
          <w:lang w:val="ro-MD"/>
        </w:rPr>
        <w:t xml:space="preserve">, </w:t>
      </w:r>
      <w:r w:rsidR="00055149" w:rsidRPr="00055149">
        <w:rPr>
          <w:rFonts w:asciiTheme="majorHAnsi" w:hAnsiTheme="majorHAnsi" w:cstheme="majorHAnsi"/>
          <w:sz w:val="24"/>
          <w:szCs w:val="24"/>
          <w:lang w:val="ro-MD"/>
        </w:rPr>
        <w:t>director interimar</w:t>
      </w:r>
      <w:r w:rsidR="00055149">
        <w:rPr>
          <w:rFonts w:asciiTheme="majorHAnsi" w:hAnsiTheme="majorHAnsi" w:cstheme="majorHAnsi"/>
          <w:sz w:val="24"/>
          <w:szCs w:val="24"/>
          <w:lang w:val="ro-MD"/>
        </w:rPr>
        <w:t xml:space="preserve"> al</w:t>
      </w:r>
      <w:r w:rsidR="00055149" w:rsidRPr="00055149">
        <w:rPr>
          <w:rFonts w:asciiTheme="majorHAnsi" w:hAnsiTheme="majorHAnsi" w:cstheme="majorHAnsi"/>
          <w:sz w:val="24"/>
          <w:szCs w:val="24"/>
          <w:lang w:val="ro-MD"/>
        </w:rPr>
        <w:t xml:space="preserve"> I.P. Institutul </w:t>
      </w:r>
      <w:proofErr w:type="spellStart"/>
      <w:r w:rsidR="00055149" w:rsidRPr="00055149">
        <w:rPr>
          <w:rFonts w:asciiTheme="majorHAnsi" w:hAnsiTheme="majorHAnsi" w:cstheme="majorHAnsi"/>
          <w:sz w:val="24"/>
          <w:szCs w:val="24"/>
          <w:lang w:val="ro-MD"/>
        </w:rPr>
        <w:t>Științifico</w:t>
      </w:r>
      <w:proofErr w:type="spellEnd"/>
      <w:r w:rsidR="00055149" w:rsidRPr="00055149">
        <w:rPr>
          <w:rFonts w:asciiTheme="majorHAnsi" w:hAnsiTheme="majorHAnsi" w:cstheme="majorHAnsi"/>
          <w:sz w:val="24"/>
          <w:szCs w:val="24"/>
          <w:lang w:val="ro-MD"/>
        </w:rPr>
        <w:t>-Practic de Biotehnologii în Zootehnie și Medicină Veterinară</w:t>
      </w:r>
      <w:r w:rsidR="00055149">
        <w:rPr>
          <w:rFonts w:asciiTheme="majorHAnsi" w:hAnsiTheme="majorHAnsi" w:cstheme="majorHAnsi"/>
          <w:sz w:val="24"/>
          <w:szCs w:val="24"/>
          <w:lang w:val="ro-MD"/>
        </w:rPr>
        <w:t>;</w:t>
      </w:r>
      <w:r w:rsidR="00055149" w:rsidRPr="00055149">
        <w:rPr>
          <w:rFonts w:asciiTheme="majorHAnsi" w:hAnsiTheme="majorHAnsi" w:cstheme="majorHAnsi"/>
          <w:sz w:val="24"/>
          <w:szCs w:val="24"/>
          <w:lang w:val="ro-MD"/>
        </w:rPr>
        <w:t xml:space="preserve"> </w:t>
      </w:r>
      <w:r w:rsidR="000839B7" w:rsidRPr="000068E7">
        <w:rPr>
          <w:rFonts w:asciiTheme="majorHAnsi" w:hAnsiTheme="majorHAnsi" w:cstheme="majorHAnsi"/>
          <w:sz w:val="24"/>
          <w:szCs w:val="24"/>
          <w:lang w:val="ro-RO"/>
        </w:rPr>
        <w:t xml:space="preserve">dlui Liviu </w:t>
      </w:r>
      <w:proofErr w:type="spellStart"/>
      <w:r w:rsidR="00D70A96" w:rsidRPr="000068E7">
        <w:rPr>
          <w:rFonts w:asciiTheme="majorHAnsi" w:hAnsiTheme="majorHAnsi" w:cstheme="majorHAnsi"/>
          <w:color w:val="000000"/>
          <w:sz w:val="24"/>
          <w:szCs w:val="24"/>
          <w:lang w:val="ro-RO"/>
        </w:rPr>
        <w:t>Volconovici</w:t>
      </w:r>
      <w:proofErr w:type="spellEnd"/>
      <w:r w:rsidR="00D70A96" w:rsidRPr="000068E7">
        <w:rPr>
          <w:rFonts w:asciiTheme="majorHAnsi" w:hAnsiTheme="majorHAnsi" w:cstheme="majorHAnsi"/>
          <w:color w:val="000000"/>
          <w:sz w:val="24"/>
          <w:szCs w:val="24"/>
          <w:lang w:val="ro-RO"/>
        </w:rPr>
        <w:t>, rector al Universității Agrar</w:t>
      </w:r>
      <w:r w:rsidR="00C04145" w:rsidRPr="000068E7">
        <w:rPr>
          <w:rFonts w:asciiTheme="majorHAnsi" w:hAnsiTheme="majorHAnsi" w:cstheme="majorHAnsi"/>
          <w:color w:val="000000"/>
          <w:sz w:val="24"/>
          <w:szCs w:val="24"/>
          <w:lang w:val="ro-RO"/>
        </w:rPr>
        <w:t>e</w:t>
      </w:r>
      <w:r w:rsidR="00055149">
        <w:rPr>
          <w:rFonts w:asciiTheme="majorHAnsi" w:hAnsiTheme="majorHAnsi" w:cstheme="majorHAnsi"/>
          <w:color w:val="000000"/>
          <w:sz w:val="24"/>
          <w:szCs w:val="24"/>
          <w:lang w:val="ro-RO"/>
        </w:rPr>
        <w:t xml:space="preserve"> de Stat din Moldova</w:t>
      </w:r>
      <w:r w:rsidR="00D70A96" w:rsidRPr="000068E7">
        <w:rPr>
          <w:rFonts w:asciiTheme="majorHAnsi" w:hAnsiTheme="majorHAnsi" w:cstheme="majorHAnsi"/>
          <w:color w:val="000000"/>
          <w:sz w:val="24"/>
          <w:szCs w:val="24"/>
          <w:lang w:val="ro-RO"/>
        </w:rPr>
        <w:t>;</w:t>
      </w:r>
      <w:r w:rsidR="00D70A96" w:rsidRPr="000068E7">
        <w:rPr>
          <w:rFonts w:asciiTheme="majorHAnsi" w:hAnsiTheme="majorHAnsi" w:cstheme="majorHAnsi"/>
          <w:color w:val="000000"/>
          <w:sz w:val="20"/>
          <w:szCs w:val="20"/>
          <w:lang w:val="ro-RO"/>
        </w:rPr>
        <w:t xml:space="preserve"> </w:t>
      </w:r>
      <w:r w:rsidR="00D70A96" w:rsidRPr="000068E7">
        <w:rPr>
          <w:rFonts w:asciiTheme="majorHAnsi" w:hAnsiTheme="majorHAnsi" w:cstheme="majorHAnsi"/>
          <w:color w:val="000000"/>
          <w:sz w:val="24"/>
          <w:szCs w:val="24"/>
          <w:lang w:val="ro-RO"/>
        </w:rPr>
        <w:t xml:space="preserve">dlui Leonid Popov, director al I.P. Institutul de Pedologie, Agrochimie și Protecție a Solului </w:t>
      </w:r>
      <w:r w:rsidR="00C04145" w:rsidRPr="000068E7">
        <w:rPr>
          <w:rFonts w:asciiTheme="majorHAnsi" w:hAnsiTheme="majorHAnsi" w:cstheme="majorHAnsi"/>
          <w:color w:val="000000"/>
          <w:sz w:val="24"/>
          <w:szCs w:val="24"/>
          <w:lang w:val="ro-RO"/>
        </w:rPr>
        <w:t>„</w:t>
      </w:r>
      <w:r w:rsidR="00D70A96" w:rsidRPr="000068E7">
        <w:rPr>
          <w:rFonts w:asciiTheme="majorHAnsi" w:hAnsiTheme="majorHAnsi" w:cstheme="majorHAnsi"/>
          <w:color w:val="000000"/>
          <w:sz w:val="24"/>
          <w:szCs w:val="24"/>
          <w:lang w:val="ro-RO"/>
        </w:rPr>
        <w:t>N</w:t>
      </w:r>
      <w:r w:rsidR="00C04145" w:rsidRPr="000068E7">
        <w:rPr>
          <w:rFonts w:asciiTheme="majorHAnsi" w:hAnsiTheme="majorHAnsi" w:cstheme="majorHAnsi"/>
          <w:color w:val="000000"/>
          <w:sz w:val="24"/>
          <w:szCs w:val="24"/>
          <w:lang w:val="ro-RO"/>
        </w:rPr>
        <w:t>icolae</w:t>
      </w:r>
      <w:r w:rsidR="009056FF" w:rsidRPr="000068E7">
        <w:rPr>
          <w:rFonts w:asciiTheme="majorHAnsi" w:hAnsiTheme="majorHAnsi" w:cstheme="majorHAnsi"/>
          <w:color w:val="000000"/>
          <w:sz w:val="24"/>
          <w:szCs w:val="24"/>
          <w:lang w:val="ro-RO"/>
        </w:rPr>
        <w:t xml:space="preserve"> </w:t>
      </w:r>
      <w:proofErr w:type="spellStart"/>
      <w:r w:rsidR="009056FF" w:rsidRPr="000068E7">
        <w:rPr>
          <w:rFonts w:asciiTheme="majorHAnsi" w:hAnsiTheme="majorHAnsi" w:cstheme="majorHAnsi"/>
          <w:color w:val="000000"/>
          <w:sz w:val="24"/>
          <w:szCs w:val="24"/>
          <w:lang w:val="ro-RO"/>
        </w:rPr>
        <w:t>Dimo</w:t>
      </w:r>
      <w:proofErr w:type="spellEnd"/>
      <w:r w:rsidR="009056FF" w:rsidRPr="000068E7">
        <w:rPr>
          <w:rFonts w:asciiTheme="majorHAnsi" w:hAnsiTheme="majorHAnsi" w:cstheme="majorHAnsi"/>
          <w:color w:val="000000"/>
          <w:sz w:val="24"/>
          <w:szCs w:val="24"/>
          <w:lang w:val="ro-RO"/>
        </w:rPr>
        <w:t>”</w:t>
      </w:r>
      <w:r w:rsidR="00055149">
        <w:rPr>
          <w:rFonts w:asciiTheme="majorHAnsi" w:hAnsiTheme="majorHAnsi" w:cstheme="majorHAnsi"/>
          <w:color w:val="000000"/>
          <w:sz w:val="24"/>
          <w:szCs w:val="24"/>
          <w:lang w:val="ro-RO"/>
        </w:rPr>
        <w:t xml:space="preserve">; dlui </w:t>
      </w:r>
      <w:r w:rsidR="00055149" w:rsidRPr="00055149">
        <w:rPr>
          <w:rFonts w:asciiTheme="majorHAnsi" w:hAnsiTheme="majorHAnsi" w:cstheme="majorHAnsi"/>
          <w:color w:val="000000"/>
          <w:sz w:val="24"/>
          <w:szCs w:val="24"/>
          <w:lang w:val="ro-MD"/>
        </w:rPr>
        <w:t xml:space="preserve">Aurel </w:t>
      </w:r>
      <w:proofErr w:type="spellStart"/>
      <w:r w:rsidR="00055149" w:rsidRPr="00055149">
        <w:rPr>
          <w:rFonts w:asciiTheme="majorHAnsi" w:hAnsiTheme="majorHAnsi" w:cstheme="majorHAnsi"/>
          <w:color w:val="000000"/>
          <w:sz w:val="24"/>
          <w:szCs w:val="24"/>
          <w:lang w:val="ro-MD"/>
        </w:rPr>
        <w:t>Serdeşniuc</w:t>
      </w:r>
      <w:proofErr w:type="spellEnd"/>
      <w:r w:rsidR="00055149">
        <w:rPr>
          <w:rFonts w:asciiTheme="majorHAnsi" w:hAnsiTheme="majorHAnsi" w:cstheme="majorHAnsi"/>
          <w:color w:val="000000"/>
          <w:sz w:val="24"/>
          <w:szCs w:val="24"/>
          <w:lang w:val="ro-RO"/>
        </w:rPr>
        <w:t>,</w:t>
      </w:r>
      <w:r w:rsidR="00055149" w:rsidRPr="00055149">
        <w:rPr>
          <w:rFonts w:ascii="Times New Roman" w:eastAsiaTheme="majorEastAsia" w:hAnsi="Times New Roman" w:cs="Times New Roman"/>
          <w:sz w:val="28"/>
          <w:szCs w:val="28"/>
          <w:lang w:val="ro-MD"/>
        </w:rPr>
        <w:t xml:space="preserve"> </w:t>
      </w:r>
      <w:r w:rsidR="00055149" w:rsidRPr="00055149">
        <w:rPr>
          <w:rFonts w:asciiTheme="majorHAnsi" w:hAnsiTheme="majorHAnsi" w:cstheme="majorHAnsi"/>
          <w:color w:val="000000"/>
          <w:sz w:val="24"/>
          <w:szCs w:val="24"/>
          <w:lang w:val="ro-MD"/>
        </w:rPr>
        <w:t>director</w:t>
      </w:r>
      <w:r w:rsidR="00AC1163">
        <w:rPr>
          <w:rFonts w:asciiTheme="majorHAnsi" w:hAnsiTheme="majorHAnsi" w:cstheme="majorHAnsi"/>
          <w:color w:val="000000"/>
          <w:sz w:val="24"/>
          <w:szCs w:val="24"/>
          <w:lang w:val="ro-MD"/>
        </w:rPr>
        <w:t xml:space="preserve"> al</w:t>
      </w:r>
      <w:r w:rsidR="00055149" w:rsidRPr="00055149">
        <w:rPr>
          <w:rFonts w:asciiTheme="majorHAnsi" w:hAnsiTheme="majorHAnsi" w:cstheme="majorHAnsi"/>
          <w:color w:val="000000"/>
          <w:sz w:val="24"/>
          <w:szCs w:val="24"/>
          <w:lang w:val="ro-MD"/>
        </w:rPr>
        <w:t xml:space="preserve"> Centrul</w:t>
      </w:r>
      <w:r w:rsidR="00AC1163">
        <w:rPr>
          <w:rFonts w:asciiTheme="majorHAnsi" w:hAnsiTheme="majorHAnsi" w:cstheme="majorHAnsi"/>
          <w:color w:val="000000"/>
          <w:sz w:val="24"/>
          <w:szCs w:val="24"/>
          <w:lang w:val="ro-MD"/>
        </w:rPr>
        <w:t>ui</w:t>
      </w:r>
      <w:r w:rsidR="00055149" w:rsidRPr="00055149">
        <w:rPr>
          <w:rFonts w:asciiTheme="majorHAnsi" w:hAnsiTheme="majorHAnsi" w:cstheme="majorHAnsi"/>
          <w:color w:val="000000"/>
          <w:sz w:val="24"/>
          <w:szCs w:val="24"/>
          <w:lang w:val="ro-MD"/>
        </w:rPr>
        <w:t xml:space="preserve"> de Excelență în Horticultură </w:t>
      </w:r>
      <w:proofErr w:type="spellStart"/>
      <w:r w:rsidR="00055149" w:rsidRPr="00055149">
        <w:rPr>
          <w:rFonts w:asciiTheme="majorHAnsi" w:hAnsiTheme="majorHAnsi" w:cstheme="majorHAnsi"/>
          <w:color w:val="000000"/>
          <w:sz w:val="24"/>
          <w:szCs w:val="24"/>
          <w:lang w:val="ro-MD"/>
        </w:rPr>
        <w:t>şi</w:t>
      </w:r>
      <w:proofErr w:type="spellEnd"/>
      <w:r w:rsidR="00055149" w:rsidRPr="00055149">
        <w:rPr>
          <w:rFonts w:asciiTheme="majorHAnsi" w:hAnsiTheme="majorHAnsi" w:cstheme="majorHAnsi"/>
          <w:color w:val="000000"/>
          <w:sz w:val="24"/>
          <w:szCs w:val="24"/>
          <w:lang w:val="ro-MD"/>
        </w:rPr>
        <w:t xml:space="preserve"> Tehnologii Agricole din Țaul</w:t>
      </w:r>
      <w:r w:rsidR="00055149">
        <w:rPr>
          <w:rFonts w:asciiTheme="majorHAnsi" w:hAnsiTheme="majorHAnsi" w:cstheme="majorHAnsi"/>
          <w:color w:val="000000"/>
          <w:sz w:val="24"/>
          <w:szCs w:val="24"/>
          <w:lang w:val="ro-MD"/>
        </w:rPr>
        <w:t>;</w:t>
      </w:r>
      <w:r w:rsidR="00055149">
        <w:rPr>
          <w:rFonts w:asciiTheme="majorHAnsi" w:hAnsiTheme="majorHAnsi" w:cstheme="majorHAnsi"/>
          <w:color w:val="000000"/>
          <w:sz w:val="24"/>
          <w:szCs w:val="24"/>
          <w:lang w:val="ro-RO"/>
        </w:rPr>
        <w:t xml:space="preserve"> dlui Vlad </w:t>
      </w:r>
      <w:proofErr w:type="spellStart"/>
      <w:r w:rsidR="00055149">
        <w:rPr>
          <w:rFonts w:asciiTheme="majorHAnsi" w:hAnsiTheme="majorHAnsi" w:cstheme="majorHAnsi"/>
          <w:color w:val="000000"/>
          <w:sz w:val="24"/>
          <w:szCs w:val="24"/>
          <w:lang w:val="ro-RO"/>
        </w:rPr>
        <w:t>Ceban</w:t>
      </w:r>
      <w:proofErr w:type="spellEnd"/>
      <w:r w:rsidR="00055149">
        <w:rPr>
          <w:rFonts w:asciiTheme="majorHAnsi" w:hAnsiTheme="majorHAnsi" w:cstheme="majorHAnsi"/>
          <w:color w:val="000000"/>
          <w:sz w:val="24"/>
          <w:szCs w:val="24"/>
          <w:lang w:val="ro-RO"/>
        </w:rPr>
        <w:t xml:space="preserve">, </w:t>
      </w:r>
      <w:r w:rsidR="006E1E79">
        <w:rPr>
          <w:rFonts w:asciiTheme="majorHAnsi" w:hAnsiTheme="majorHAnsi" w:cstheme="majorHAnsi"/>
          <w:color w:val="000000"/>
          <w:sz w:val="24"/>
          <w:szCs w:val="24"/>
          <w:lang w:val="ro-MD"/>
        </w:rPr>
        <w:t xml:space="preserve">specialist principal al Secției investiții capitale și implementare a proiectelor </w:t>
      </w:r>
      <w:r w:rsidR="00055149">
        <w:rPr>
          <w:rFonts w:asciiTheme="majorHAnsi" w:hAnsiTheme="majorHAnsi" w:cstheme="majorHAnsi"/>
          <w:color w:val="000000"/>
          <w:sz w:val="24"/>
          <w:szCs w:val="24"/>
          <w:lang w:val="ro-MD"/>
        </w:rPr>
        <w:t>a Agenției</w:t>
      </w:r>
      <w:r w:rsidR="00055149" w:rsidRPr="00055149">
        <w:rPr>
          <w:rFonts w:asciiTheme="majorHAnsi" w:hAnsiTheme="majorHAnsi" w:cstheme="majorHAnsi"/>
          <w:color w:val="000000"/>
          <w:sz w:val="24"/>
          <w:szCs w:val="24"/>
          <w:lang w:val="ro-MD"/>
        </w:rPr>
        <w:t xml:space="preserve"> „Apele Moldovei”</w:t>
      </w:r>
      <w:r w:rsidR="00055149">
        <w:rPr>
          <w:rFonts w:asciiTheme="majorHAnsi" w:hAnsiTheme="majorHAnsi" w:cstheme="majorHAnsi"/>
          <w:color w:val="000000"/>
          <w:sz w:val="24"/>
          <w:szCs w:val="24"/>
          <w:lang w:val="ro-MD"/>
        </w:rPr>
        <w:t>,</w:t>
      </w:r>
      <w:r w:rsidR="00D70A96" w:rsidRPr="000068E7">
        <w:rPr>
          <w:rFonts w:ascii="Arial" w:eastAsia="Times New Roman" w:hAnsi="Arial" w:cs="Arial"/>
          <w:color w:val="000000"/>
          <w:lang w:val="ro-RO"/>
        </w:rPr>
        <w:t xml:space="preserve"> </w:t>
      </w:r>
      <w:r w:rsidRPr="000068E7">
        <w:rPr>
          <w:rFonts w:asciiTheme="majorHAnsi" w:hAnsiTheme="majorHAnsi" w:cstheme="majorHAnsi"/>
          <w:sz w:val="24"/>
          <w:szCs w:val="24"/>
          <w:lang w:val="ro-RO"/>
        </w:rPr>
        <w:t xml:space="preserve">precum și a altor persoane cu funcții de răspundere, </w:t>
      </w:r>
      <w:r w:rsidR="004448AB" w:rsidRPr="000068E7">
        <w:rPr>
          <w:rFonts w:asciiTheme="majorHAnsi" w:hAnsiTheme="majorHAnsi"/>
          <w:sz w:val="24"/>
          <w:szCs w:val="24"/>
          <w:lang w:val="ro-RO"/>
        </w:rPr>
        <w:t>în cadrul ședinței video, în legătură cu instituirea stării de urgență în sănătate publică pe întreg teritoriul Republicii Moldova</w:t>
      </w:r>
      <w:r w:rsidR="003E5B76" w:rsidRPr="000068E7">
        <w:rPr>
          <w:rStyle w:val="FootnoteReference"/>
          <w:rFonts w:asciiTheme="majorHAnsi" w:hAnsiTheme="majorHAnsi"/>
          <w:sz w:val="24"/>
          <w:szCs w:val="24"/>
          <w:lang w:val="ro-RO"/>
        </w:rPr>
        <w:footnoteReference w:id="1"/>
      </w:r>
      <w:r w:rsidR="004448AB" w:rsidRPr="000068E7">
        <w:rPr>
          <w:rFonts w:asciiTheme="majorHAnsi" w:hAnsiTheme="majorHAnsi"/>
          <w:sz w:val="24"/>
          <w:szCs w:val="24"/>
          <w:lang w:val="ro-RO"/>
        </w:rPr>
        <w:t xml:space="preserve">, călăuzindu-se de art.3 alin.(1) și art.5 alin.(1) </w:t>
      </w:r>
      <w:proofErr w:type="spellStart"/>
      <w:r w:rsidR="004448AB" w:rsidRPr="000068E7">
        <w:rPr>
          <w:rFonts w:asciiTheme="majorHAnsi" w:hAnsiTheme="majorHAnsi"/>
          <w:sz w:val="24"/>
          <w:szCs w:val="24"/>
          <w:lang w:val="ro-RO"/>
        </w:rPr>
        <w:t>lit.a</w:t>
      </w:r>
      <w:proofErr w:type="spellEnd"/>
      <w:r w:rsidR="004448AB" w:rsidRPr="000068E7">
        <w:rPr>
          <w:rFonts w:asciiTheme="majorHAnsi" w:hAnsiTheme="majorHAnsi"/>
          <w:sz w:val="24"/>
          <w:szCs w:val="24"/>
          <w:lang w:val="ro-RO"/>
        </w:rPr>
        <w:t>) din Legea privind organizarea și funcționarea Curții de Conturi a Republicii Moldova</w:t>
      </w:r>
      <w:r w:rsidR="00C04145" w:rsidRPr="000068E7">
        <w:rPr>
          <w:rStyle w:val="FootnoteReference"/>
          <w:rFonts w:asciiTheme="majorHAnsi" w:hAnsiTheme="majorHAnsi"/>
          <w:sz w:val="24"/>
          <w:szCs w:val="24"/>
          <w:lang w:val="ro-RO"/>
        </w:rPr>
        <w:footnoteReference w:id="2"/>
      </w:r>
      <w:r w:rsidR="004448AB" w:rsidRPr="000068E7">
        <w:rPr>
          <w:rFonts w:asciiTheme="majorHAnsi" w:hAnsiTheme="majorHAnsi"/>
          <w:sz w:val="24"/>
          <w:szCs w:val="24"/>
          <w:lang w:val="ro-RO"/>
        </w:rPr>
        <w:t xml:space="preserve">, a examinat Raportul auditului conformității </w:t>
      </w:r>
      <w:r w:rsidR="00C04145" w:rsidRPr="000068E7">
        <w:rPr>
          <w:rFonts w:asciiTheme="majorHAnsi" w:hAnsiTheme="majorHAnsi"/>
          <w:sz w:val="24"/>
          <w:szCs w:val="24"/>
          <w:lang w:val="ro-RO"/>
        </w:rPr>
        <w:t xml:space="preserve">asupra </w:t>
      </w:r>
      <w:r w:rsidR="004448AB" w:rsidRPr="000068E7">
        <w:rPr>
          <w:rFonts w:asciiTheme="majorHAnsi" w:hAnsiTheme="majorHAnsi"/>
          <w:sz w:val="24"/>
          <w:szCs w:val="24"/>
          <w:lang w:val="ro-RO"/>
        </w:rPr>
        <w:t>achizițiilor publice în cadrul sistemului Ministerului Agriculturii</w:t>
      </w:r>
      <w:r w:rsidR="00C04145" w:rsidRPr="000068E7">
        <w:rPr>
          <w:rFonts w:asciiTheme="majorHAnsi" w:hAnsiTheme="majorHAnsi"/>
          <w:sz w:val="24"/>
          <w:szCs w:val="24"/>
          <w:lang w:val="ro-RO"/>
        </w:rPr>
        <w:t>,</w:t>
      </w:r>
      <w:r w:rsidR="004448AB" w:rsidRPr="000068E7">
        <w:rPr>
          <w:rFonts w:asciiTheme="majorHAnsi" w:hAnsiTheme="majorHAnsi"/>
          <w:sz w:val="24"/>
          <w:szCs w:val="24"/>
          <w:lang w:val="ro-RO"/>
        </w:rPr>
        <w:t xml:space="preserve"> Dezvoltării Regionale și Mediu</w:t>
      </w:r>
      <w:r w:rsidR="00C04145" w:rsidRPr="000068E7">
        <w:rPr>
          <w:rFonts w:asciiTheme="majorHAnsi" w:hAnsiTheme="majorHAnsi"/>
          <w:sz w:val="24"/>
          <w:szCs w:val="24"/>
          <w:lang w:val="ro-RO"/>
        </w:rPr>
        <w:t>lui</w:t>
      </w:r>
      <w:r w:rsidR="004448AB" w:rsidRPr="000068E7">
        <w:rPr>
          <w:rFonts w:asciiTheme="majorHAnsi" w:hAnsiTheme="majorHAnsi"/>
          <w:sz w:val="24"/>
          <w:szCs w:val="24"/>
          <w:lang w:val="ro-RO"/>
        </w:rPr>
        <w:t xml:space="preserve"> în anii 2019-2020. </w:t>
      </w:r>
    </w:p>
    <w:p w:rsidR="004448AB" w:rsidRPr="000068E7" w:rsidRDefault="004448AB" w:rsidP="00E44946">
      <w:pPr>
        <w:spacing w:after="0" w:line="240" w:lineRule="auto"/>
        <w:ind w:firstLine="567"/>
        <w:jc w:val="both"/>
        <w:rPr>
          <w:rFonts w:asciiTheme="majorHAnsi" w:eastAsia="Times New Roman" w:hAnsiTheme="majorHAnsi" w:cs="Times New Roman"/>
          <w:sz w:val="24"/>
          <w:szCs w:val="24"/>
          <w:lang w:val="ro-RO"/>
        </w:rPr>
      </w:pPr>
      <w:r w:rsidRPr="000068E7">
        <w:rPr>
          <w:rFonts w:asciiTheme="majorHAnsi" w:eastAsia="Times New Roman" w:hAnsiTheme="majorHAnsi" w:cs="Times New Roman"/>
          <w:sz w:val="24"/>
          <w:szCs w:val="24"/>
          <w:lang w:val="ro-RO"/>
        </w:rPr>
        <w:t xml:space="preserve">Misiunea de audit public extern s-a realizat conform </w:t>
      </w:r>
      <w:r w:rsidRPr="000068E7">
        <w:rPr>
          <w:rFonts w:asciiTheme="majorHAnsi" w:hAnsiTheme="majorHAnsi" w:cs="Times New Roman"/>
          <w:sz w:val="24"/>
          <w:szCs w:val="24"/>
          <w:lang w:val="ro-RO"/>
        </w:rPr>
        <w:t>Programelor activității de audit a</w:t>
      </w:r>
      <w:r w:rsidR="00C04145" w:rsidRPr="000068E7">
        <w:rPr>
          <w:rFonts w:asciiTheme="majorHAnsi" w:hAnsiTheme="majorHAnsi" w:cs="Times New Roman"/>
          <w:sz w:val="24"/>
          <w:szCs w:val="24"/>
          <w:lang w:val="ro-RO"/>
        </w:rPr>
        <w:t>le</w:t>
      </w:r>
      <w:r w:rsidRPr="000068E7">
        <w:rPr>
          <w:rFonts w:asciiTheme="majorHAnsi" w:hAnsiTheme="majorHAnsi" w:cs="Times New Roman"/>
          <w:sz w:val="24"/>
          <w:szCs w:val="24"/>
          <w:lang w:val="ro-RO"/>
        </w:rPr>
        <w:t xml:space="preserve"> Curții de Conturi pe anii 2020 și 2021 (cu modificările ulterioare)</w:t>
      </w:r>
      <w:r w:rsidRPr="000068E7">
        <w:rPr>
          <w:rStyle w:val="FootnoteReference"/>
          <w:rFonts w:asciiTheme="majorHAnsi" w:hAnsiTheme="majorHAnsi"/>
          <w:color w:val="000000"/>
          <w:sz w:val="24"/>
          <w:szCs w:val="24"/>
          <w:lang w:val="ro-RO"/>
        </w:rPr>
        <w:footnoteReference w:id="3"/>
      </w:r>
      <w:r w:rsidRPr="000068E7">
        <w:rPr>
          <w:rFonts w:asciiTheme="majorHAnsi" w:hAnsiTheme="majorHAnsi" w:cs="Times New Roman"/>
          <w:sz w:val="24"/>
          <w:szCs w:val="24"/>
          <w:lang w:val="ro-RO"/>
        </w:rPr>
        <w:t xml:space="preserve">, </w:t>
      </w:r>
      <w:r w:rsidRPr="000068E7">
        <w:rPr>
          <w:rFonts w:asciiTheme="majorHAnsi" w:eastAsia="Times New Roman" w:hAnsiTheme="majorHAnsi" w:cs="Times New Roman"/>
          <w:sz w:val="24"/>
          <w:szCs w:val="24"/>
          <w:lang w:val="ro-RO"/>
        </w:rPr>
        <w:t xml:space="preserve">având drept </w:t>
      </w:r>
      <w:r w:rsidRPr="000068E7">
        <w:rPr>
          <w:rFonts w:asciiTheme="majorHAnsi" w:hAnsiTheme="majorHAnsi"/>
          <w:color w:val="000000"/>
          <w:sz w:val="24"/>
          <w:szCs w:val="24"/>
          <w:lang w:val="ro-RO"/>
        </w:rPr>
        <w:t>scop evaluare</w:t>
      </w:r>
      <w:r w:rsidR="00C04145" w:rsidRPr="000068E7">
        <w:rPr>
          <w:rFonts w:asciiTheme="majorHAnsi" w:hAnsiTheme="majorHAnsi"/>
          <w:color w:val="000000"/>
          <w:sz w:val="24"/>
          <w:szCs w:val="24"/>
          <w:lang w:val="ro-RO"/>
        </w:rPr>
        <w:t>a</w:t>
      </w:r>
      <w:r w:rsidRPr="000068E7">
        <w:rPr>
          <w:rFonts w:asciiTheme="majorHAnsi" w:hAnsiTheme="majorHAnsi"/>
          <w:color w:val="000000"/>
          <w:sz w:val="24"/>
          <w:szCs w:val="24"/>
          <w:lang w:val="ro-RO"/>
        </w:rPr>
        <w:t xml:space="preserve"> </w:t>
      </w:r>
      <w:r w:rsidRPr="000068E7">
        <w:rPr>
          <w:rFonts w:asciiTheme="majorHAnsi" w:eastAsia="Times New Roman" w:hAnsiTheme="majorHAnsi" w:cs="Times New Roman"/>
          <w:sz w:val="24"/>
          <w:szCs w:val="24"/>
          <w:lang w:val="ro-RO"/>
        </w:rPr>
        <w:t xml:space="preserve">conformității desfășurării achizițiilor publice în cadrul sistemului </w:t>
      </w:r>
      <w:r w:rsidR="00AF7BC6" w:rsidRPr="000068E7">
        <w:rPr>
          <w:rFonts w:asciiTheme="majorHAnsi" w:eastAsia="Times New Roman" w:hAnsiTheme="majorHAnsi" w:cs="Times New Roman"/>
          <w:sz w:val="24"/>
          <w:szCs w:val="24"/>
          <w:lang w:val="ro-RO"/>
        </w:rPr>
        <w:t xml:space="preserve">Ministerului </w:t>
      </w:r>
      <w:r w:rsidR="00C04145" w:rsidRPr="000068E7">
        <w:rPr>
          <w:rFonts w:asciiTheme="majorHAnsi" w:hAnsiTheme="majorHAnsi"/>
          <w:sz w:val="24"/>
          <w:szCs w:val="24"/>
          <w:lang w:val="ro-RO"/>
        </w:rPr>
        <w:t>Agriculturii, Dezvoltării Regionale și Mediului</w:t>
      </w:r>
      <w:r w:rsidRPr="000068E7">
        <w:rPr>
          <w:rFonts w:asciiTheme="majorHAnsi" w:eastAsia="Times New Roman" w:hAnsiTheme="majorHAnsi" w:cs="Times New Roman"/>
          <w:sz w:val="24"/>
          <w:szCs w:val="24"/>
          <w:lang w:val="ro-RO"/>
        </w:rPr>
        <w:t xml:space="preserve"> în anii 2019-2020.</w:t>
      </w:r>
    </w:p>
    <w:p w:rsidR="004448AB" w:rsidRPr="000068E7" w:rsidRDefault="004448AB" w:rsidP="00E44946">
      <w:pPr>
        <w:spacing w:after="0" w:line="240" w:lineRule="auto"/>
        <w:ind w:firstLine="567"/>
        <w:jc w:val="both"/>
        <w:rPr>
          <w:rFonts w:asciiTheme="majorHAnsi" w:eastAsia="Times New Roman" w:hAnsiTheme="majorHAnsi" w:cs="Times New Roman"/>
          <w:sz w:val="24"/>
          <w:szCs w:val="24"/>
          <w:lang w:val="ro-RO"/>
        </w:rPr>
      </w:pPr>
      <w:r w:rsidRPr="000068E7">
        <w:rPr>
          <w:rFonts w:asciiTheme="majorHAnsi" w:eastAsia="Times New Roman" w:hAnsiTheme="majorHAnsi" w:cs="Times New Roman"/>
          <w:sz w:val="24"/>
          <w:szCs w:val="24"/>
          <w:lang w:val="ro-RO"/>
        </w:rPr>
        <w:t>Auditul a fost planificat și s-a desfășurat în conformitate cu Standardele Internaționale ale Instituțiilor Supreme de Audit aplicate de Curtea de Conturi (ISSAI 100, ISSAI 400 și ISSAI 4000)</w:t>
      </w:r>
      <w:r w:rsidRPr="000068E7">
        <w:rPr>
          <w:rStyle w:val="FootnoteReference"/>
          <w:rFonts w:asciiTheme="majorHAnsi" w:eastAsia="Times New Roman" w:hAnsiTheme="majorHAnsi" w:cs="Times New Roman"/>
          <w:sz w:val="24"/>
          <w:szCs w:val="24"/>
          <w:lang w:val="ro-RO"/>
        </w:rPr>
        <w:footnoteReference w:id="4"/>
      </w:r>
      <w:r w:rsidRPr="000068E7">
        <w:rPr>
          <w:rFonts w:asciiTheme="majorHAnsi" w:eastAsia="Times New Roman" w:hAnsiTheme="majorHAnsi" w:cs="Times New Roman"/>
          <w:sz w:val="24"/>
          <w:szCs w:val="24"/>
          <w:lang w:val="ro-RO"/>
        </w:rPr>
        <w:t xml:space="preserve">. </w:t>
      </w:r>
    </w:p>
    <w:p w:rsidR="004448AB" w:rsidRPr="000068E7" w:rsidRDefault="004448AB" w:rsidP="00E44946">
      <w:pPr>
        <w:spacing w:line="240" w:lineRule="auto"/>
        <w:ind w:firstLine="567"/>
        <w:jc w:val="both"/>
        <w:rPr>
          <w:rFonts w:asciiTheme="majorHAnsi" w:eastAsia="Times New Roman" w:hAnsiTheme="majorHAnsi" w:cs="Times New Roman"/>
          <w:sz w:val="24"/>
          <w:szCs w:val="24"/>
          <w:lang w:val="ro-RO"/>
        </w:rPr>
      </w:pPr>
      <w:r w:rsidRPr="000068E7">
        <w:rPr>
          <w:rFonts w:asciiTheme="majorHAnsi" w:eastAsia="Times New Roman" w:hAnsiTheme="majorHAnsi" w:cs="Times New Roman"/>
          <w:sz w:val="24"/>
          <w:szCs w:val="24"/>
          <w:lang w:val="ro-RO"/>
        </w:rPr>
        <w:t>Examinând Raportul de audit, precum și explicațiile persoanelor cu funcții de răspundere prezente la ședința video, Curtea de Conturi</w:t>
      </w:r>
    </w:p>
    <w:p w:rsidR="008A006A" w:rsidRPr="000068E7" w:rsidRDefault="008A006A" w:rsidP="00E44946">
      <w:pPr>
        <w:spacing w:after="0" w:line="240" w:lineRule="auto"/>
        <w:jc w:val="center"/>
        <w:rPr>
          <w:rFonts w:asciiTheme="majorHAnsi" w:eastAsia="Times New Roman" w:hAnsiTheme="majorHAnsi" w:cs="Times New Roman"/>
          <w:b/>
          <w:bCs/>
          <w:sz w:val="24"/>
          <w:szCs w:val="24"/>
          <w:lang w:val="ro-RO"/>
        </w:rPr>
      </w:pPr>
      <w:r w:rsidRPr="000068E7">
        <w:rPr>
          <w:rFonts w:asciiTheme="majorHAnsi" w:eastAsia="Times New Roman" w:hAnsiTheme="majorHAnsi" w:cs="Times New Roman"/>
          <w:b/>
          <w:bCs/>
          <w:sz w:val="24"/>
          <w:szCs w:val="24"/>
          <w:lang w:val="ro-RO"/>
        </w:rPr>
        <w:t>A CONSTATAT:</w:t>
      </w:r>
    </w:p>
    <w:p w:rsidR="001641B9" w:rsidRPr="000068E7" w:rsidRDefault="00C04145" w:rsidP="00E44946">
      <w:pPr>
        <w:tabs>
          <w:tab w:val="left" w:pos="720"/>
        </w:tabs>
        <w:spacing w:after="0" w:line="240" w:lineRule="auto"/>
        <w:ind w:firstLine="540"/>
        <w:jc w:val="both"/>
        <w:rPr>
          <w:rFonts w:asciiTheme="majorHAnsi" w:hAnsiTheme="majorHAnsi"/>
          <w:sz w:val="24"/>
          <w:szCs w:val="24"/>
          <w:lang w:val="ro-RO"/>
        </w:rPr>
      </w:pPr>
      <w:r w:rsidRPr="000068E7">
        <w:rPr>
          <w:rFonts w:asciiTheme="majorHAnsi" w:hAnsiTheme="majorHAnsi" w:cstheme="minorHAnsi"/>
          <w:sz w:val="24"/>
          <w:szCs w:val="24"/>
          <w:lang w:val="ro-RO"/>
        </w:rPr>
        <w:lastRenderedPageBreak/>
        <w:t>a</w:t>
      </w:r>
      <w:r w:rsidR="0094294D" w:rsidRPr="000068E7">
        <w:rPr>
          <w:rFonts w:asciiTheme="majorHAnsi" w:hAnsiTheme="majorHAnsi" w:cstheme="minorHAnsi"/>
          <w:sz w:val="24"/>
          <w:szCs w:val="24"/>
          <w:lang w:val="ro-RO"/>
        </w:rPr>
        <w:t>chizițiile publice desfășurate în cadrul sistemului Ministerului A</w:t>
      </w:r>
      <w:r w:rsidR="000A122A" w:rsidRPr="000068E7">
        <w:rPr>
          <w:rFonts w:asciiTheme="majorHAnsi" w:hAnsiTheme="majorHAnsi" w:cstheme="minorHAnsi"/>
          <w:sz w:val="24"/>
          <w:szCs w:val="24"/>
          <w:lang w:val="ro-RO"/>
        </w:rPr>
        <w:t>griculturii</w:t>
      </w:r>
      <w:r w:rsidRPr="000068E7">
        <w:rPr>
          <w:rFonts w:asciiTheme="majorHAnsi" w:hAnsiTheme="majorHAnsi" w:cstheme="minorHAnsi"/>
          <w:sz w:val="24"/>
          <w:szCs w:val="24"/>
          <w:lang w:val="ro-RO"/>
        </w:rPr>
        <w:t>,</w:t>
      </w:r>
      <w:r w:rsidR="000A122A" w:rsidRPr="000068E7">
        <w:rPr>
          <w:rFonts w:asciiTheme="majorHAnsi" w:hAnsiTheme="majorHAnsi" w:cstheme="minorHAnsi"/>
          <w:sz w:val="24"/>
          <w:szCs w:val="24"/>
          <w:lang w:val="ro-RO"/>
        </w:rPr>
        <w:t xml:space="preserve"> Dezvoltării Regionale și Mediu</w:t>
      </w:r>
      <w:r w:rsidRPr="000068E7">
        <w:rPr>
          <w:rFonts w:asciiTheme="majorHAnsi" w:hAnsiTheme="majorHAnsi" w:cstheme="minorHAnsi"/>
          <w:sz w:val="24"/>
          <w:szCs w:val="24"/>
          <w:lang w:val="ro-RO"/>
        </w:rPr>
        <w:t>lui</w:t>
      </w:r>
      <w:r w:rsidR="0094294D" w:rsidRPr="000068E7">
        <w:rPr>
          <w:rFonts w:asciiTheme="majorHAnsi" w:hAnsiTheme="majorHAnsi" w:cstheme="minorHAnsi"/>
          <w:sz w:val="24"/>
          <w:szCs w:val="24"/>
          <w:lang w:val="ro-RO"/>
        </w:rPr>
        <w:t xml:space="preserve"> în anii 2019-2020 nu au întrunit în totalitate principiile fundamentale </w:t>
      </w:r>
      <w:r w:rsidR="001641B9" w:rsidRPr="000068E7">
        <w:rPr>
          <w:rFonts w:ascii="Calibri Light" w:hAnsi="Calibri Light" w:cs="Calibri Light"/>
          <w:bCs/>
          <w:sz w:val="24"/>
          <w:szCs w:val="24"/>
          <w:lang w:val="ro-RO"/>
        </w:rPr>
        <w:t xml:space="preserve">care guvernează acest domeniu, fiind </w:t>
      </w:r>
      <w:r w:rsidR="001641B9" w:rsidRPr="000068E7">
        <w:rPr>
          <w:rFonts w:asciiTheme="majorHAnsi" w:hAnsiTheme="majorHAnsi" w:cstheme="minorHAnsi"/>
          <w:sz w:val="24"/>
          <w:szCs w:val="24"/>
          <w:lang w:val="ro-RO"/>
        </w:rPr>
        <w:t xml:space="preserve">identificate următoarele probleme: reglementarea </w:t>
      </w:r>
      <w:r w:rsidR="00125FCA" w:rsidRPr="000068E7">
        <w:rPr>
          <w:rFonts w:asciiTheme="majorHAnsi" w:hAnsiTheme="majorHAnsi" w:cstheme="minorHAnsi"/>
          <w:sz w:val="24"/>
          <w:szCs w:val="24"/>
          <w:lang w:val="ro-RO"/>
        </w:rPr>
        <w:t xml:space="preserve">internă </w:t>
      </w:r>
      <w:r w:rsidR="001641B9" w:rsidRPr="000068E7">
        <w:rPr>
          <w:rFonts w:asciiTheme="majorHAnsi" w:hAnsiTheme="majorHAnsi" w:cstheme="minorHAnsi"/>
          <w:sz w:val="24"/>
          <w:szCs w:val="24"/>
          <w:lang w:val="ro-RO"/>
        </w:rPr>
        <w:t xml:space="preserve">necorespunzătoare a activității grupurilor de lucru pentru achiziții </w:t>
      </w:r>
      <w:r w:rsidRPr="000068E7">
        <w:rPr>
          <w:rFonts w:asciiTheme="majorHAnsi" w:hAnsiTheme="majorHAnsi" w:cstheme="minorHAnsi"/>
          <w:sz w:val="24"/>
          <w:szCs w:val="24"/>
          <w:lang w:val="ro-RO"/>
        </w:rPr>
        <w:t>di</w:t>
      </w:r>
      <w:r w:rsidR="001641B9" w:rsidRPr="000068E7">
        <w:rPr>
          <w:rFonts w:asciiTheme="majorHAnsi" w:hAnsiTheme="majorHAnsi" w:cstheme="minorHAnsi"/>
          <w:sz w:val="24"/>
          <w:szCs w:val="24"/>
          <w:lang w:val="ro-RO"/>
        </w:rPr>
        <w:t xml:space="preserve">n cadrul autorităților contractante; calitatea redusă a planificării achizițiilor publice; </w:t>
      </w:r>
      <w:r w:rsidRPr="000068E7">
        <w:rPr>
          <w:rFonts w:asciiTheme="majorHAnsi" w:hAnsiTheme="majorHAnsi" w:cstheme="minorHAnsi"/>
          <w:sz w:val="24"/>
          <w:szCs w:val="24"/>
          <w:lang w:val="ro-RO"/>
        </w:rPr>
        <w:t>lips</w:t>
      </w:r>
      <w:r w:rsidR="00AF7BC6" w:rsidRPr="000068E7">
        <w:rPr>
          <w:rFonts w:asciiTheme="majorHAnsi" w:hAnsiTheme="majorHAnsi" w:cstheme="minorHAnsi"/>
          <w:sz w:val="24"/>
          <w:szCs w:val="24"/>
          <w:lang w:val="ro-RO"/>
        </w:rPr>
        <w:t>a</w:t>
      </w:r>
      <w:r w:rsidRPr="000068E7">
        <w:rPr>
          <w:rFonts w:asciiTheme="majorHAnsi" w:hAnsiTheme="majorHAnsi" w:cstheme="minorHAnsi"/>
          <w:sz w:val="24"/>
          <w:szCs w:val="24"/>
          <w:lang w:val="ro-RO"/>
        </w:rPr>
        <w:t xml:space="preserve"> de </w:t>
      </w:r>
      <w:r w:rsidR="001641B9" w:rsidRPr="000068E7">
        <w:rPr>
          <w:rFonts w:asciiTheme="majorHAnsi" w:hAnsiTheme="majorHAnsi" w:cstheme="minorHAnsi"/>
          <w:sz w:val="24"/>
          <w:szCs w:val="24"/>
          <w:lang w:val="ro-RO"/>
        </w:rPr>
        <w:t>raportare și analiză a achizițiilor publice desfășurate</w:t>
      </w:r>
      <w:r w:rsidR="005B0DD7" w:rsidRPr="000068E7">
        <w:rPr>
          <w:rFonts w:asciiTheme="majorHAnsi" w:hAnsiTheme="majorHAnsi" w:cstheme="minorHAnsi"/>
          <w:sz w:val="24"/>
          <w:szCs w:val="24"/>
          <w:lang w:val="ro-RO"/>
        </w:rPr>
        <w:t xml:space="preserve"> ș.a</w:t>
      </w:r>
      <w:r w:rsidR="00AF7BC6" w:rsidRPr="000068E7">
        <w:rPr>
          <w:rFonts w:asciiTheme="majorHAnsi" w:hAnsiTheme="majorHAnsi" w:cstheme="minorHAnsi"/>
          <w:sz w:val="24"/>
          <w:szCs w:val="24"/>
          <w:lang w:val="ro-RO"/>
        </w:rPr>
        <w:t>.</w:t>
      </w:r>
      <w:r w:rsidR="001641B9" w:rsidRPr="000068E7">
        <w:rPr>
          <w:rFonts w:asciiTheme="majorHAnsi" w:hAnsiTheme="majorHAnsi" w:cstheme="minorHAnsi"/>
          <w:sz w:val="24"/>
          <w:szCs w:val="24"/>
          <w:lang w:val="ro-RO"/>
        </w:rPr>
        <w:t xml:space="preserve"> În consecință, cele consemnate </w:t>
      </w:r>
      <w:r w:rsidR="001641B9" w:rsidRPr="000068E7">
        <w:rPr>
          <w:rFonts w:asciiTheme="majorHAnsi" w:hAnsiTheme="majorHAnsi"/>
          <w:sz w:val="24"/>
          <w:szCs w:val="24"/>
          <w:lang w:val="ro-RO"/>
        </w:rPr>
        <w:t>au influențat în mod negativ procesele de estimare, planificare și executare a bugetelor autorităților contractante în corelare cu principiile de bun</w:t>
      </w:r>
      <w:r w:rsidRPr="000068E7">
        <w:rPr>
          <w:rFonts w:asciiTheme="majorHAnsi" w:hAnsiTheme="majorHAnsi"/>
          <w:sz w:val="24"/>
          <w:szCs w:val="24"/>
          <w:lang w:val="ro-RO"/>
        </w:rPr>
        <w:t>ă</w:t>
      </w:r>
      <w:r w:rsidR="001641B9" w:rsidRPr="000068E7">
        <w:rPr>
          <w:rFonts w:asciiTheme="majorHAnsi" w:hAnsiTheme="majorHAnsi"/>
          <w:sz w:val="24"/>
          <w:szCs w:val="24"/>
          <w:lang w:val="ro-RO"/>
        </w:rPr>
        <w:t xml:space="preserve"> guvernare, au </w:t>
      </w:r>
      <w:r w:rsidR="001641B9" w:rsidRPr="000068E7">
        <w:rPr>
          <w:rFonts w:asciiTheme="majorHAnsi" w:hAnsiTheme="majorHAnsi" w:cstheme="majorHAnsi"/>
          <w:sz w:val="24"/>
          <w:szCs w:val="24"/>
          <w:lang w:val="ro-RO"/>
        </w:rPr>
        <w:t>limitat transparența în ceea ce privește informarea și accesibilitatea operatori</w:t>
      </w:r>
      <w:r w:rsidR="00AC1163">
        <w:rPr>
          <w:rFonts w:asciiTheme="majorHAnsi" w:hAnsiTheme="majorHAnsi" w:cstheme="majorHAnsi"/>
          <w:sz w:val="24"/>
          <w:szCs w:val="24"/>
          <w:lang w:val="ro-RO"/>
        </w:rPr>
        <w:t>lor</w:t>
      </w:r>
      <w:r w:rsidR="001641B9" w:rsidRPr="000068E7">
        <w:rPr>
          <w:rFonts w:asciiTheme="majorHAnsi" w:hAnsiTheme="majorHAnsi" w:cstheme="majorHAnsi"/>
          <w:sz w:val="24"/>
          <w:szCs w:val="24"/>
          <w:lang w:val="ro-RO"/>
        </w:rPr>
        <w:t xml:space="preserve"> economici privind </w:t>
      </w:r>
      <w:r w:rsidR="001641B9" w:rsidRPr="000068E7">
        <w:rPr>
          <w:rFonts w:asciiTheme="majorHAnsi" w:hAnsiTheme="majorHAnsi"/>
          <w:color w:val="000000"/>
          <w:sz w:val="24"/>
          <w:szCs w:val="24"/>
          <w:lang w:val="ro-RO"/>
        </w:rPr>
        <w:t>achizițiile publice desfășurate</w:t>
      </w:r>
      <w:r w:rsidR="001641B9" w:rsidRPr="000068E7">
        <w:rPr>
          <w:rFonts w:asciiTheme="majorHAnsi" w:hAnsiTheme="majorHAnsi"/>
          <w:sz w:val="24"/>
          <w:szCs w:val="24"/>
          <w:lang w:val="ro-RO"/>
        </w:rPr>
        <w:t>.</w:t>
      </w:r>
    </w:p>
    <w:p w:rsidR="00286770" w:rsidRPr="000068E7" w:rsidRDefault="00F84B96" w:rsidP="00E44946">
      <w:pPr>
        <w:tabs>
          <w:tab w:val="left" w:pos="720"/>
        </w:tabs>
        <w:spacing w:after="0" w:line="240" w:lineRule="auto"/>
        <w:ind w:firstLine="540"/>
        <w:jc w:val="both"/>
        <w:rPr>
          <w:rFonts w:asciiTheme="majorHAnsi" w:hAnsiTheme="majorHAnsi" w:cstheme="minorHAnsi"/>
          <w:sz w:val="24"/>
          <w:szCs w:val="24"/>
          <w:lang w:val="ro-RO"/>
        </w:rPr>
      </w:pPr>
      <w:r w:rsidRPr="000068E7">
        <w:rPr>
          <w:rFonts w:asciiTheme="majorHAnsi" w:hAnsiTheme="majorHAnsi" w:cstheme="minorHAnsi"/>
          <w:sz w:val="24"/>
          <w:szCs w:val="24"/>
          <w:lang w:val="ro-RO"/>
        </w:rPr>
        <w:t>Totodată, auditul a relevat unele lacune și necorelări ale cadrului normativ aferent domeniului achiziții publ</w:t>
      </w:r>
      <w:r w:rsidR="00286770" w:rsidRPr="000068E7">
        <w:rPr>
          <w:rFonts w:asciiTheme="majorHAnsi" w:hAnsiTheme="majorHAnsi" w:cstheme="minorHAnsi"/>
          <w:sz w:val="24"/>
          <w:szCs w:val="24"/>
          <w:lang w:val="ro-RO"/>
        </w:rPr>
        <w:t xml:space="preserve">ice. Astfel, </w:t>
      </w:r>
      <w:r w:rsidR="003E5B76" w:rsidRPr="000068E7">
        <w:rPr>
          <w:rFonts w:asciiTheme="majorHAnsi" w:hAnsiTheme="majorHAnsi" w:cstheme="minorHAnsi"/>
          <w:sz w:val="24"/>
          <w:szCs w:val="24"/>
          <w:lang w:val="ro-RO"/>
        </w:rPr>
        <w:t xml:space="preserve">cadrul </w:t>
      </w:r>
      <w:r w:rsidR="00286770" w:rsidRPr="000068E7">
        <w:rPr>
          <w:rFonts w:asciiTheme="majorHAnsi" w:hAnsiTheme="majorHAnsi" w:cstheme="minorHAnsi"/>
          <w:sz w:val="24"/>
          <w:szCs w:val="24"/>
          <w:lang w:val="ro-RO"/>
        </w:rPr>
        <w:t xml:space="preserve">regulator de punere în aplicare a actelor normative ce reglementează achizițiile publice </w:t>
      </w:r>
      <w:r w:rsidR="00966F01" w:rsidRPr="000068E7">
        <w:rPr>
          <w:rFonts w:asciiTheme="majorHAnsi" w:hAnsiTheme="majorHAnsi" w:cstheme="minorHAnsi"/>
          <w:sz w:val="24"/>
          <w:szCs w:val="24"/>
          <w:lang w:val="ro-RO"/>
        </w:rPr>
        <w:t xml:space="preserve">nu a fost </w:t>
      </w:r>
      <w:r w:rsidR="00286770" w:rsidRPr="000068E7">
        <w:rPr>
          <w:rFonts w:asciiTheme="majorHAnsi" w:hAnsiTheme="majorHAnsi" w:cstheme="minorHAnsi"/>
          <w:sz w:val="24"/>
          <w:szCs w:val="24"/>
          <w:lang w:val="ro-RO"/>
        </w:rPr>
        <w:t>racordat la unele prevederi ale acestora.</w:t>
      </w:r>
    </w:p>
    <w:p w:rsidR="001641B9" w:rsidRPr="000068E7" w:rsidRDefault="001641B9" w:rsidP="00E44946">
      <w:pPr>
        <w:tabs>
          <w:tab w:val="left" w:pos="720"/>
        </w:tabs>
        <w:spacing w:after="0" w:line="240" w:lineRule="auto"/>
        <w:ind w:firstLine="540"/>
        <w:jc w:val="both"/>
        <w:rPr>
          <w:rFonts w:asciiTheme="majorHAnsi" w:hAnsiTheme="majorHAnsi" w:cstheme="minorHAnsi"/>
          <w:sz w:val="24"/>
          <w:szCs w:val="24"/>
          <w:lang w:val="ro-RO"/>
        </w:rPr>
      </w:pPr>
      <w:r w:rsidRPr="000068E7">
        <w:rPr>
          <w:rFonts w:asciiTheme="majorHAnsi" w:hAnsiTheme="majorHAnsi" w:cstheme="minorHAnsi"/>
          <w:sz w:val="24"/>
          <w:szCs w:val="24"/>
          <w:lang w:val="ro-RO"/>
        </w:rPr>
        <w:t>De asemenea</w:t>
      </w:r>
      <w:r w:rsidR="00460C02" w:rsidRPr="000068E7">
        <w:rPr>
          <w:rFonts w:asciiTheme="majorHAnsi" w:hAnsiTheme="majorHAnsi" w:cstheme="minorHAnsi"/>
          <w:sz w:val="24"/>
          <w:szCs w:val="24"/>
          <w:lang w:val="ro-RO"/>
        </w:rPr>
        <w:t>,</w:t>
      </w:r>
      <w:r w:rsidRPr="000068E7">
        <w:rPr>
          <w:rFonts w:asciiTheme="majorHAnsi" w:hAnsiTheme="majorHAnsi" w:cstheme="minorHAnsi"/>
          <w:sz w:val="24"/>
          <w:szCs w:val="24"/>
          <w:lang w:val="ro-RO"/>
        </w:rPr>
        <w:t xml:space="preserve"> auditul a atestat unele imperfecțiuni ale sistemului informațional (SIA „RSAP”/</w:t>
      </w:r>
      <w:proofErr w:type="spellStart"/>
      <w:r w:rsidRPr="000068E7">
        <w:rPr>
          <w:rFonts w:asciiTheme="majorHAnsi" w:hAnsiTheme="majorHAnsi" w:cstheme="minorHAnsi"/>
          <w:sz w:val="24"/>
          <w:szCs w:val="24"/>
          <w:lang w:val="ro-RO"/>
        </w:rPr>
        <w:t>MTender</w:t>
      </w:r>
      <w:proofErr w:type="spellEnd"/>
      <w:r w:rsidRPr="000068E7">
        <w:rPr>
          <w:rFonts w:asciiTheme="majorHAnsi" w:hAnsiTheme="majorHAnsi" w:cstheme="minorHAnsi"/>
          <w:sz w:val="24"/>
          <w:szCs w:val="24"/>
          <w:lang w:val="ro-RO"/>
        </w:rPr>
        <w:t>)</w:t>
      </w:r>
      <w:r w:rsidR="000D48CF">
        <w:rPr>
          <w:rFonts w:asciiTheme="majorHAnsi" w:hAnsiTheme="majorHAnsi" w:cstheme="minorHAnsi"/>
          <w:sz w:val="24"/>
          <w:szCs w:val="24"/>
          <w:lang w:val="ro-RO"/>
        </w:rPr>
        <w:t>,</w:t>
      </w:r>
      <w:r w:rsidRPr="000068E7">
        <w:rPr>
          <w:rFonts w:asciiTheme="majorHAnsi" w:hAnsiTheme="majorHAnsi" w:cstheme="minorHAnsi"/>
          <w:sz w:val="24"/>
          <w:szCs w:val="24"/>
          <w:lang w:val="ro-RO"/>
        </w:rPr>
        <w:t xml:space="preserve"> care au impact asupra sistemului național de achiziții publice</w:t>
      </w:r>
      <w:r w:rsidR="00125FCA" w:rsidRPr="000068E7">
        <w:rPr>
          <w:rFonts w:asciiTheme="majorHAnsi" w:hAnsiTheme="majorHAnsi" w:cstheme="minorHAnsi"/>
          <w:sz w:val="24"/>
          <w:szCs w:val="24"/>
          <w:lang w:val="ro-RO"/>
        </w:rPr>
        <w:t xml:space="preserve"> electronice</w:t>
      </w:r>
      <w:r w:rsidRPr="000068E7">
        <w:rPr>
          <w:rFonts w:asciiTheme="majorHAnsi" w:hAnsiTheme="majorHAnsi" w:cstheme="minorHAnsi"/>
          <w:sz w:val="24"/>
          <w:szCs w:val="24"/>
          <w:lang w:val="ro-RO"/>
        </w:rPr>
        <w:t xml:space="preserve">, printre care: controalele slabe ale </w:t>
      </w:r>
      <w:proofErr w:type="spellStart"/>
      <w:r w:rsidRPr="000068E7">
        <w:rPr>
          <w:rFonts w:asciiTheme="majorHAnsi" w:hAnsiTheme="majorHAnsi" w:cstheme="minorHAnsi"/>
          <w:sz w:val="24"/>
          <w:szCs w:val="24"/>
          <w:lang w:val="ro-RO"/>
        </w:rPr>
        <w:t>MTender</w:t>
      </w:r>
      <w:proofErr w:type="spellEnd"/>
      <w:r w:rsidRPr="000068E7">
        <w:rPr>
          <w:rFonts w:asciiTheme="majorHAnsi" w:hAnsiTheme="majorHAnsi" w:cstheme="minorHAnsi"/>
          <w:sz w:val="24"/>
          <w:szCs w:val="24"/>
          <w:lang w:val="ro-RO"/>
        </w:rPr>
        <w:t xml:space="preserve"> permit operatorilor economici care nu au depus toate documentele aferente ofertei să fie înregistrați în calitate de ofertanți; sistemul informațional este incomplet și nu asigură monitorizarea datelor întregului ciclu de desfășurare a achizițiilor publice și înregistrarea tuturor operațiunilor și tranzacțiilor, lipsind documentele de evaluare a ofertelor, dările de seamă, contractele de achiziții publice încheiate etc.; sistemul informațional nu este racordat cu alte platforme aferente domeniului achiziții publice etc. </w:t>
      </w:r>
    </w:p>
    <w:p w:rsidR="001641B9" w:rsidRPr="000068E7" w:rsidRDefault="001641B9" w:rsidP="00E44946">
      <w:pPr>
        <w:pStyle w:val="NormalWeb"/>
        <w:rPr>
          <w:rFonts w:asciiTheme="majorHAnsi" w:hAnsiTheme="majorHAnsi"/>
          <w:lang w:val="ro-RO"/>
        </w:rPr>
      </w:pPr>
      <w:r w:rsidRPr="000068E7">
        <w:rPr>
          <w:rFonts w:asciiTheme="majorHAnsi" w:hAnsiTheme="majorHAnsi"/>
          <w:lang w:val="ro-RO"/>
        </w:rPr>
        <w:t xml:space="preserve">Reieșind din cele expuse, în temeiul art.14 alin.(2), art.15 </w:t>
      </w:r>
      <w:proofErr w:type="spellStart"/>
      <w:r w:rsidRPr="000068E7">
        <w:rPr>
          <w:rFonts w:asciiTheme="majorHAnsi" w:hAnsiTheme="majorHAnsi"/>
          <w:lang w:val="ro-RO"/>
        </w:rPr>
        <w:t>lit.d</w:t>
      </w:r>
      <w:proofErr w:type="spellEnd"/>
      <w:r w:rsidRPr="000068E7">
        <w:rPr>
          <w:rFonts w:asciiTheme="majorHAnsi" w:hAnsiTheme="majorHAnsi"/>
          <w:lang w:val="ro-RO"/>
        </w:rPr>
        <w:t>) și art.37 alin.(2) din Legea nr.260 din 07.12.2017, Curtea de Conturi</w:t>
      </w:r>
    </w:p>
    <w:p w:rsidR="0094294D" w:rsidRPr="000068E7" w:rsidRDefault="0094294D" w:rsidP="00E44946">
      <w:pPr>
        <w:pStyle w:val="cp"/>
        <w:rPr>
          <w:rFonts w:asciiTheme="majorHAnsi" w:hAnsiTheme="majorHAnsi"/>
          <w:lang w:val="ro-RO"/>
        </w:rPr>
      </w:pPr>
      <w:r w:rsidRPr="000068E7">
        <w:rPr>
          <w:rFonts w:asciiTheme="majorHAnsi" w:hAnsiTheme="majorHAnsi"/>
          <w:lang w:val="ro-RO"/>
        </w:rPr>
        <w:t>HOTĂRĂŞTE:</w:t>
      </w:r>
    </w:p>
    <w:p w:rsidR="00E62DEA" w:rsidRDefault="0094294D">
      <w:pPr>
        <w:pStyle w:val="NormalWeb"/>
        <w:ind w:firstLine="720"/>
        <w:rPr>
          <w:rFonts w:asciiTheme="majorHAnsi" w:hAnsiTheme="majorHAnsi"/>
          <w:lang w:val="ro-RO"/>
        </w:rPr>
      </w:pPr>
      <w:r w:rsidRPr="000068E7">
        <w:rPr>
          <w:rFonts w:asciiTheme="majorHAnsi" w:hAnsiTheme="majorHAnsi"/>
          <w:b/>
          <w:bCs/>
          <w:lang w:val="ro-RO"/>
        </w:rPr>
        <w:t>1.</w:t>
      </w:r>
      <w:r w:rsidRPr="000068E7">
        <w:rPr>
          <w:rFonts w:asciiTheme="majorHAnsi" w:hAnsiTheme="majorHAnsi"/>
          <w:lang w:val="ro-RO"/>
        </w:rPr>
        <w:t xml:space="preserve"> Se aprobă </w:t>
      </w:r>
      <w:r w:rsidRPr="000068E7">
        <w:rPr>
          <w:rFonts w:asciiTheme="majorHAnsi" w:hAnsiTheme="majorHAnsi"/>
          <w:bCs/>
          <w:lang w:val="ro-RO" w:eastAsia="ru-RU"/>
        </w:rPr>
        <w:t xml:space="preserve">Raportul auditului </w:t>
      </w:r>
      <w:r w:rsidR="00831628" w:rsidRPr="000068E7">
        <w:rPr>
          <w:rFonts w:asciiTheme="majorHAnsi" w:hAnsiTheme="majorHAnsi"/>
          <w:lang w:val="ro-RO"/>
        </w:rPr>
        <w:t xml:space="preserve">conformității </w:t>
      </w:r>
      <w:r w:rsidR="00460C02" w:rsidRPr="000068E7">
        <w:rPr>
          <w:rFonts w:asciiTheme="majorHAnsi" w:hAnsiTheme="majorHAnsi"/>
          <w:lang w:val="ro-RO"/>
        </w:rPr>
        <w:t xml:space="preserve">asupra </w:t>
      </w:r>
      <w:r w:rsidRPr="000068E7">
        <w:rPr>
          <w:rFonts w:asciiTheme="majorHAnsi" w:hAnsiTheme="majorHAnsi"/>
          <w:lang w:val="ro-RO"/>
        </w:rPr>
        <w:t xml:space="preserve">achizițiilor publice în cadrul sistemului Ministerului </w:t>
      </w:r>
      <w:r w:rsidR="00831628" w:rsidRPr="000068E7">
        <w:rPr>
          <w:rFonts w:asciiTheme="majorHAnsi" w:hAnsiTheme="majorHAnsi"/>
          <w:lang w:val="ro-RO"/>
        </w:rPr>
        <w:t>Agriculturii</w:t>
      </w:r>
      <w:r w:rsidR="00460C02" w:rsidRPr="000068E7">
        <w:rPr>
          <w:rFonts w:asciiTheme="majorHAnsi" w:hAnsiTheme="majorHAnsi"/>
          <w:lang w:val="ro-RO"/>
        </w:rPr>
        <w:t>,</w:t>
      </w:r>
      <w:r w:rsidR="00831628" w:rsidRPr="000068E7">
        <w:rPr>
          <w:rFonts w:asciiTheme="majorHAnsi" w:hAnsiTheme="majorHAnsi"/>
          <w:lang w:val="ro-RO"/>
        </w:rPr>
        <w:t xml:space="preserve"> Dezvoltării Regionale și Mediu</w:t>
      </w:r>
      <w:r w:rsidR="00460C02" w:rsidRPr="000068E7">
        <w:rPr>
          <w:rFonts w:asciiTheme="majorHAnsi" w:hAnsiTheme="majorHAnsi"/>
          <w:lang w:val="ro-RO"/>
        </w:rPr>
        <w:t>lui</w:t>
      </w:r>
      <w:r w:rsidR="00831628" w:rsidRPr="000068E7">
        <w:rPr>
          <w:rFonts w:asciiTheme="majorHAnsi" w:hAnsiTheme="majorHAnsi"/>
          <w:lang w:val="ro-RO"/>
        </w:rPr>
        <w:t xml:space="preserve"> </w:t>
      </w:r>
      <w:r w:rsidRPr="000068E7">
        <w:rPr>
          <w:rFonts w:asciiTheme="majorHAnsi" w:hAnsiTheme="majorHAnsi"/>
          <w:lang w:val="ro-RO"/>
        </w:rPr>
        <w:t>în anii 2019-2020.</w:t>
      </w:r>
    </w:p>
    <w:p w:rsidR="00E62DEA" w:rsidRDefault="0094294D">
      <w:pPr>
        <w:pStyle w:val="NormalWeb"/>
        <w:ind w:firstLine="720"/>
        <w:rPr>
          <w:rFonts w:asciiTheme="majorHAnsi" w:hAnsiTheme="majorHAnsi"/>
          <w:lang w:val="ro-RO"/>
        </w:rPr>
      </w:pPr>
      <w:r w:rsidRPr="000068E7">
        <w:rPr>
          <w:rFonts w:asciiTheme="majorHAnsi" w:hAnsiTheme="majorHAnsi"/>
          <w:b/>
          <w:bCs/>
          <w:lang w:val="ro-RO"/>
        </w:rPr>
        <w:t>2.</w:t>
      </w:r>
      <w:r w:rsidRPr="000068E7">
        <w:rPr>
          <w:rFonts w:asciiTheme="majorHAnsi" w:hAnsiTheme="majorHAnsi"/>
          <w:lang w:val="ro-RO"/>
        </w:rPr>
        <w:t xml:space="preserve"> Prezenta Hotărâre și Raportul de audit se remit:</w:t>
      </w:r>
    </w:p>
    <w:p w:rsidR="00E62DEA" w:rsidRDefault="0094294D">
      <w:pPr>
        <w:pStyle w:val="NormalWeb"/>
        <w:ind w:firstLine="720"/>
        <w:rPr>
          <w:rFonts w:asciiTheme="majorHAnsi" w:hAnsiTheme="majorHAnsi" w:cstheme="majorHAnsi"/>
          <w:bCs/>
          <w:lang w:val="ro-RO"/>
        </w:rPr>
      </w:pPr>
      <w:r w:rsidRPr="000068E7">
        <w:rPr>
          <w:rFonts w:asciiTheme="majorHAnsi" w:hAnsiTheme="majorHAnsi" w:cstheme="majorHAnsi"/>
          <w:b/>
          <w:lang w:val="ro-RO"/>
        </w:rPr>
        <w:t>2.1.</w:t>
      </w:r>
      <w:r w:rsidRPr="000068E7">
        <w:rPr>
          <w:rFonts w:asciiTheme="majorHAnsi" w:hAnsiTheme="majorHAnsi" w:cstheme="majorHAnsi"/>
          <w:lang w:val="ro-RO"/>
        </w:rPr>
        <w:t xml:space="preserve"> </w:t>
      </w:r>
      <w:r w:rsidRPr="000068E7">
        <w:rPr>
          <w:rFonts w:asciiTheme="majorHAnsi" w:hAnsiTheme="majorHAnsi" w:cstheme="majorHAnsi"/>
          <w:b/>
          <w:lang w:val="ro-RO"/>
        </w:rPr>
        <w:t>Guvernului Republicii Moldova,</w:t>
      </w:r>
      <w:r w:rsidRPr="000068E7">
        <w:rPr>
          <w:rFonts w:asciiTheme="majorHAnsi" w:hAnsiTheme="majorHAnsi" w:cstheme="majorHAnsi"/>
          <w:lang w:val="ro-RO"/>
        </w:rPr>
        <w:t xml:space="preserve"> pentru</w:t>
      </w:r>
      <w:r w:rsidRPr="000068E7">
        <w:rPr>
          <w:rFonts w:asciiTheme="majorHAnsi" w:hAnsiTheme="majorHAnsi" w:cstheme="majorHAnsi"/>
          <w:bCs/>
          <w:lang w:val="ro-RO"/>
        </w:rPr>
        <w:t xml:space="preserve"> informare și luare de atitudine în vederea monitorizării asigurării implementării recomandărilor de audit;</w:t>
      </w:r>
    </w:p>
    <w:p w:rsidR="00E62DEA" w:rsidRDefault="0094294D">
      <w:pPr>
        <w:pStyle w:val="NormalWeb"/>
        <w:ind w:firstLine="720"/>
        <w:rPr>
          <w:rFonts w:asciiTheme="majorHAnsi" w:hAnsiTheme="majorHAnsi" w:cstheme="majorHAnsi"/>
          <w:bCs/>
          <w:lang w:val="ro-RO"/>
        </w:rPr>
      </w:pPr>
      <w:r w:rsidRPr="000068E7">
        <w:rPr>
          <w:rFonts w:asciiTheme="majorHAnsi" w:hAnsiTheme="majorHAnsi" w:cstheme="majorHAnsi"/>
          <w:b/>
          <w:lang w:val="ro-RO"/>
        </w:rPr>
        <w:t xml:space="preserve">2.2. </w:t>
      </w:r>
      <w:r w:rsidRPr="000068E7">
        <w:rPr>
          <w:rFonts w:asciiTheme="majorHAnsi" w:hAnsiTheme="majorHAnsi" w:cstheme="majorHAnsi"/>
          <w:b/>
          <w:bCs/>
          <w:lang w:val="ro-RO"/>
        </w:rPr>
        <w:t>Președintelui Republicii Moldova</w:t>
      </w:r>
      <w:r w:rsidRPr="000068E7">
        <w:rPr>
          <w:rFonts w:asciiTheme="majorHAnsi" w:hAnsiTheme="majorHAnsi" w:cstheme="majorHAnsi"/>
          <w:bCs/>
          <w:lang w:val="ro-RO"/>
        </w:rPr>
        <w:t>, pentru informare;</w:t>
      </w:r>
    </w:p>
    <w:p w:rsidR="00E62DEA" w:rsidRDefault="0094294D">
      <w:pPr>
        <w:pStyle w:val="NormalWeb"/>
        <w:ind w:firstLine="720"/>
        <w:rPr>
          <w:rFonts w:asciiTheme="majorHAnsi" w:hAnsiTheme="majorHAnsi" w:cstheme="majorHAnsi"/>
          <w:bCs/>
          <w:lang w:val="ro-RO"/>
        </w:rPr>
      </w:pPr>
      <w:r w:rsidRPr="000068E7">
        <w:rPr>
          <w:rFonts w:asciiTheme="majorHAnsi" w:hAnsiTheme="majorHAnsi" w:cstheme="majorHAnsi"/>
          <w:b/>
          <w:bCs/>
          <w:lang w:val="ro-RO"/>
        </w:rPr>
        <w:t>2.3.</w:t>
      </w:r>
      <w:r w:rsidRPr="000068E7">
        <w:rPr>
          <w:rFonts w:asciiTheme="majorHAnsi" w:hAnsiTheme="majorHAnsi" w:cstheme="majorHAnsi"/>
          <w:bCs/>
          <w:lang w:val="ro-RO"/>
        </w:rPr>
        <w:t xml:space="preserve"> </w:t>
      </w:r>
      <w:r w:rsidRPr="000068E7">
        <w:rPr>
          <w:rFonts w:asciiTheme="majorHAnsi" w:hAnsiTheme="majorHAnsi" w:cstheme="majorHAnsi"/>
          <w:b/>
          <w:bCs/>
          <w:lang w:val="ro-RO"/>
        </w:rPr>
        <w:t>Parlamentului Republicii Moldova,</w:t>
      </w:r>
      <w:r w:rsidRPr="000068E7">
        <w:rPr>
          <w:rFonts w:asciiTheme="majorHAnsi" w:hAnsiTheme="majorHAnsi" w:cstheme="majorHAnsi"/>
          <w:bCs/>
          <w:lang w:val="ro-RO"/>
        </w:rPr>
        <w:t xml:space="preserve"> pentru informare și examinare, după caz, în cadrul Comisiei parlamentare de control al finanțelor publice;</w:t>
      </w:r>
    </w:p>
    <w:p w:rsidR="00E62DEA" w:rsidRDefault="00F02953">
      <w:pPr>
        <w:pStyle w:val="NormalWeb"/>
        <w:ind w:firstLine="720"/>
        <w:rPr>
          <w:rFonts w:asciiTheme="majorHAnsi" w:hAnsiTheme="majorHAnsi"/>
          <w:b/>
          <w:lang w:val="ro-RO"/>
        </w:rPr>
      </w:pPr>
      <w:r w:rsidRPr="000068E7">
        <w:rPr>
          <w:rFonts w:asciiTheme="majorHAnsi" w:hAnsiTheme="majorHAnsi"/>
          <w:b/>
          <w:lang w:val="ro-RO"/>
        </w:rPr>
        <w:t xml:space="preserve">2.4. </w:t>
      </w:r>
      <w:r w:rsidRPr="000068E7">
        <w:rPr>
          <w:rFonts w:ascii="Calibri Light" w:hAnsi="Calibri Light" w:cs="Calibri Light"/>
          <w:b/>
          <w:lang w:val="ro-RO"/>
        </w:rPr>
        <w:t xml:space="preserve">Ministerului Agriculturii, Dezvoltării Regionale și Mediului și instituțiilor din subordine supuse auditului, </w:t>
      </w:r>
      <w:r w:rsidRPr="000068E7">
        <w:rPr>
          <w:rFonts w:ascii="Calibri Light" w:hAnsi="Calibri Light" w:cs="Calibri Light"/>
          <w:lang w:val="ro-RO"/>
        </w:rPr>
        <w:t>pentru</w:t>
      </w:r>
      <w:r w:rsidRPr="000068E7">
        <w:rPr>
          <w:rFonts w:asciiTheme="majorHAnsi" w:hAnsiTheme="majorHAnsi"/>
          <w:lang w:val="ro-RO"/>
        </w:rPr>
        <w:t xml:space="preserve"> luare de atitudine și asigurarea implementării recomandărilor </w:t>
      </w:r>
      <w:r w:rsidR="00E36C85" w:rsidRPr="000068E7">
        <w:rPr>
          <w:rFonts w:asciiTheme="majorHAnsi" w:hAnsiTheme="majorHAnsi"/>
          <w:lang w:val="ro-RO"/>
        </w:rPr>
        <w:t>din</w:t>
      </w:r>
      <w:r w:rsidRPr="000068E7">
        <w:rPr>
          <w:rFonts w:asciiTheme="majorHAnsi" w:hAnsiTheme="majorHAnsi"/>
          <w:lang w:val="ro-RO"/>
        </w:rPr>
        <w:t xml:space="preserve"> Raportul de audit</w:t>
      </w:r>
      <w:r w:rsidR="000D48CF">
        <w:rPr>
          <w:rFonts w:asciiTheme="majorHAnsi" w:hAnsiTheme="majorHAnsi"/>
          <w:lang w:val="ro-RO"/>
        </w:rPr>
        <w:t>;</w:t>
      </w:r>
    </w:p>
    <w:p w:rsidR="00E62DEA" w:rsidRDefault="0094294D">
      <w:pPr>
        <w:pStyle w:val="NormalWeb"/>
        <w:ind w:firstLine="720"/>
        <w:rPr>
          <w:rFonts w:asciiTheme="majorHAnsi" w:hAnsiTheme="majorHAnsi"/>
          <w:lang w:val="ro-RO"/>
        </w:rPr>
      </w:pPr>
      <w:r w:rsidRPr="000068E7">
        <w:rPr>
          <w:rFonts w:asciiTheme="majorHAnsi" w:hAnsiTheme="majorHAnsi"/>
          <w:b/>
          <w:lang w:val="ro-RO"/>
        </w:rPr>
        <w:t>2.</w:t>
      </w:r>
      <w:r w:rsidR="00F02953" w:rsidRPr="000068E7">
        <w:rPr>
          <w:rFonts w:asciiTheme="majorHAnsi" w:hAnsiTheme="majorHAnsi"/>
          <w:b/>
          <w:lang w:val="ro-RO"/>
        </w:rPr>
        <w:t>5</w:t>
      </w:r>
      <w:r w:rsidRPr="000068E7">
        <w:rPr>
          <w:rFonts w:asciiTheme="majorHAnsi" w:hAnsiTheme="majorHAnsi"/>
          <w:b/>
          <w:lang w:val="ro-RO"/>
        </w:rPr>
        <w:t>.</w:t>
      </w:r>
      <w:r w:rsidRPr="000068E7">
        <w:rPr>
          <w:rFonts w:asciiTheme="majorHAnsi" w:hAnsiTheme="majorHAnsi"/>
          <w:lang w:val="ro-RO"/>
        </w:rPr>
        <w:t xml:space="preserve"> </w:t>
      </w:r>
      <w:r w:rsidR="00DB1D8C" w:rsidRPr="000068E7">
        <w:rPr>
          <w:rFonts w:asciiTheme="majorHAnsi" w:hAnsiTheme="majorHAnsi"/>
          <w:b/>
          <w:lang w:val="ro-RO"/>
        </w:rPr>
        <w:t>Ministerului Finanțelor</w:t>
      </w:r>
      <w:r w:rsidR="00460C02" w:rsidRPr="000068E7">
        <w:rPr>
          <w:rFonts w:asciiTheme="majorHAnsi" w:hAnsiTheme="majorHAnsi"/>
          <w:b/>
          <w:lang w:val="ro-RO"/>
        </w:rPr>
        <w:t>,</w:t>
      </w:r>
      <w:r w:rsidR="00DB1D8C" w:rsidRPr="000068E7">
        <w:rPr>
          <w:rFonts w:asciiTheme="majorHAnsi" w:hAnsiTheme="majorHAnsi"/>
          <w:b/>
          <w:lang w:val="ro-RO"/>
        </w:rPr>
        <w:t xml:space="preserve"> </w:t>
      </w:r>
      <w:r w:rsidR="000A389B" w:rsidRPr="000068E7">
        <w:rPr>
          <w:rFonts w:asciiTheme="majorHAnsi" w:hAnsiTheme="majorHAnsi"/>
          <w:lang w:val="ro-RO"/>
        </w:rPr>
        <w:t xml:space="preserve">pentru luare de atitudine și </w:t>
      </w:r>
      <w:r w:rsidR="00F02953" w:rsidRPr="000068E7">
        <w:rPr>
          <w:rFonts w:asciiTheme="majorHAnsi" w:hAnsiTheme="majorHAnsi"/>
          <w:lang w:val="ro-RO"/>
        </w:rPr>
        <w:t>se recomandă:</w:t>
      </w:r>
    </w:p>
    <w:p w:rsidR="00E62DEA" w:rsidRDefault="00F02953">
      <w:pPr>
        <w:pStyle w:val="NormalWeb"/>
        <w:ind w:firstLine="720"/>
        <w:rPr>
          <w:rFonts w:asciiTheme="majorHAnsi" w:hAnsiTheme="majorHAnsi"/>
          <w:lang w:val="ro-RO"/>
        </w:rPr>
      </w:pPr>
      <w:r w:rsidRPr="000068E7">
        <w:rPr>
          <w:rFonts w:asciiTheme="majorHAnsi" w:hAnsiTheme="majorHAnsi"/>
          <w:b/>
          <w:lang w:val="ro-RO"/>
        </w:rPr>
        <w:t>2.5.1.</w:t>
      </w:r>
      <w:r w:rsidRPr="000068E7">
        <w:rPr>
          <w:rFonts w:asciiTheme="majorHAnsi" w:hAnsiTheme="majorHAnsi"/>
          <w:lang w:val="ro-RO"/>
        </w:rPr>
        <w:t xml:space="preserve"> a</w:t>
      </w:r>
      <w:r w:rsidR="00F22489" w:rsidRPr="000068E7">
        <w:rPr>
          <w:rFonts w:asciiTheme="majorHAnsi" w:hAnsiTheme="majorHAnsi"/>
          <w:lang w:val="ro-RO"/>
        </w:rPr>
        <w:t>probarea alocațiilor pentru obiectivele de investiții multianuale care urmează a fi finanțate din bugetul de stat doar în baza unor analize privind starea lor</w:t>
      </w:r>
      <w:r w:rsidRPr="000068E7">
        <w:rPr>
          <w:rFonts w:asciiTheme="majorHAnsi" w:hAnsiTheme="majorHAnsi"/>
          <w:lang w:val="ro-RO"/>
        </w:rPr>
        <w:t xml:space="preserve">, </w:t>
      </w:r>
      <w:r w:rsidR="00F22489" w:rsidRPr="000068E7">
        <w:rPr>
          <w:rFonts w:asciiTheme="majorHAnsi" w:hAnsiTheme="majorHAnsi"/>
          <w:lang w:val="ro-RO"/>
        </w:rPr>
        <w:t>relevanța și eficiența alocării resurselor</w:t>
      </w:r>
      <w:r w:rsidR="000D48CF">
        <w:rPr>
          <w:rFonts w:asciiTheme="majorHAnsi" w:hAnsiTheme="majorHAnsi"/>
          <w:lang w:val="ro-RO"/>
        </w:rPr>
        <w:t>,</w:t>
      </w:r>
      <w:r w:rsidR="00F22489" w:rsidRPr="000068E7">
        <w:rPr>
          <w:rFonts w:asciiTheme="majorHAnsi" w:hAnsiTheme="majorHAnsi"/>
          <w:lang w:val="ro-RO"/>
        </w:rPr>
        <w:t xml:space="preserve"> în scopul finalizării și/sau dării în exploatare a acestora</w:t>
      </w:r>
      <w:r w:rsidR="00E36C85" w:rsidRPr="000068E7">
        <w:rPr>
          <w:rFonts w:asciiTheme="majorHAnsi" w:hAnsiTheme="majorHAnsi"/>
          <w:lang w:val="ro-RO"/>
        </w:rPr>
        <w:t>;</w:t>
      </w:r>
    </w:p>
    <w:p w:rsidR="00E62DEA" w:rsidRDefault="00F02953">
      <w:pPr>
        <w:pStyle w:val="NormalWeb"/>
        <w:ind w:firstLine="720"/>
        <w:rPr>
          <w:rFonts w:asciiTheme="majorHAnsi" w:hAnsiTheme="majorHAnsi"/>
          <w:lang w:val="ro-RO"/>
        </w:rPr>
      </w:pPr>
      <w:r w:rsidRPr="000068E7">
        <w:rPr>
          <w:rFonts w:asciiTheme="majorHAnsi" w:hAnsiTheme="majorHAnsi"/>
          <w:b/>
          <w:lang w:val="ro-RO"/>
        </w:rPr>
        <w:t>2.5.2.</w:t>
      </w:r>
      <w:r w:rsidRPr="000068E7">
        <w:rPr>
          <w:rFonts w:asciiTheme="majorHAnsi" w:hAnsiTheme="majorHAnsi"/>
          <w:lang w:val="ro-RO"/>
        </w:rPr>
        <w:t xml:space="preserve"> d</w:t>
      </w:r>
      <w:r w:rsidR="00F22489" w:rsidRPr="000068E7">
        <w:rPr>
          <w:rFonts w:asciiTheme="majorHAnsi" w:hAnsiTheme="majorHAnsi"/>
          <w:lang w:val="ro-RO"/>
        </w:rPr>
        <w:t>ezvoltarea</w:t>
      </w:r>
      <w:r w:rsidR="00E44946" w:rsidRPr="000068E7">
        <w:rPr>
          <w:rFonts w:ascii="Calibri Light" w:eastAsia="Calibri" w:hAnsi="Calibri Light" w:cs="Calibri Light"/>
          <w:iCs/>
          <w:lang w:val="ro-RO"/>
        </w:rPr>
        <w:t xml:space="preserve"> Sistemul</w:t>
      </w:r>
      <w:r w:rsidR="00E36C85" w:rsidRPr="000068E7">
        <w:rPr>
          <w:rFonts w:ascii="Calibri Light" w:eastAsia="Calibri" w:hAnsi="Calibri Light" w:cs="Calibri Light"/>
          <w:iCs/>
          <w:lang w:val="ro-RO"/>
        </w:rPr>
        <w:t>ui</w:t>
      </w:r>
      <w:r w:rsidR="00E44946" w:rsidRPr="000068E7">
        <w:rPr>
          <w:rFonts w:ascii="Calibri Light" w:eastAsia="Calibri" w:hAnsi="Calibri Light" w:cs="Calibri Light"/>
          <w:iCs/>
          <w:lang w:val="ro-RO"/>
        </w:rPr>
        <w:t xml:space="preserve"> </w:t>
      </w:r>
      <w:r w:rsidR="00E36C85" w:rsidRPr="000068E7">
        <w:rPr>
          <w:rFonts w:ascii="Calibri Light" w:eastAsia="Calibri" w:hAnsi="Calibri Light" w:cs="Calibri Light"/>
          <w:iCs/>
          <w:lang w:val="ro-RO"/>
        </w:rPr>
        <w:t>I</w:t>
      </w:r>
      <w:r w:rsidR="00E44946" w:rsidRPr="000068E7">
        <w:rPr>
          <w:rFonts w:ascii="Calibri Light" w:eastAsia="Calibri" w:hAnsi="Calibri Light" w:cs="Calibri Light"/>
          <w:iCs/>
          <w:lang w:val="ro-RO"/>
        </w:rPr>
        <w:t xml:space="preserve">nformațional </w:t>
      </w:r>
      <w:r w:rsidR="00E36C85" w:rsidRPr="000068E7">
        <w:rPr>
          <w:rFonts w:ascii="Calibri Light" w:eastAsia="Calibri" w:hAnsi="Calibri Light" w:cs="Calibri Light"/>
          <w:iCs/>
          <w:lang w:val="ro-RO"/>
        </w:rPr>
        <w:t>A</w:t>
      </w:r>
      <w:r w:rsidR="00E44946" w:rsidRPr="000068E7">
        <w:rPr>
          <w:rFonts w:ascii="Calibri Light" w:eastAsia="Calibri" w:hAnsi="Calibri Light" w:cs="Calibri Light"/>
          <w:iCs/>
          <w:lang w:val="ro-RO"/>
        </w:rPr>
        <w:t>utomatizat „Registrul de stat al achizițiilor publice”</w:t>
      </w:r>
      <w:r w:rsidR="00F22489" w:rsidRPr="000068E7">
        <w:rPr>
          <w:rFonts w:asciiTheme="majorHAnsi" w:hAnsiTheme="majorHAnsi"/>
          <w:lang w:val="ro-RO"/>
        </w:rPr>
        <w:t>/</w:t>
      </w:r>
      <w:proofErr w:type="spellStart"/>
      <w:r w:rsidR="00F22489" w:rsidRPr="000068E7">
        <w:rPr>
          <w:rFonts w:asciiTheme="majorHAnsi" w:hAnsiTheme="majorHAnsi"/>
          <w:lang w:val="ro-RO"/>
        </w:rPr>
        <w:t>MTender</w:t>
      </w:r>
      <w:proofErr w:type="spellEnd"/>
      <w:r w:rsidR="00F22489" w:rsidRPr="000068E7">
        <w:rPr>
          <w:rFonts w:asciiTheme="majorHAnsi" w:hAnsiTheme="majorHAnsi"/>
          <w:lang w:val="ro-RO"/>
        </w:rPr>
        <w:t xml:space="preserve"> în scopul armonizării funcționalităților cu prevederile cadrului regulator în domeniu, prin asigurarea stocării informațiilor aferente întregului proces al achizițiilor publice (planificare, desfăș</w:t>
      </w:r>
      <w:r w:rsidR="00E36C85" w:rsidRPr="000068E7">
        <w:rPr>
          <w:rFonts w:asciiTheme="majorHAnsi" w:hAnsiTheme="majorHAnsi"/>
          <w:lang w:val="ro-RO"/>
        </w:rPr>
        <w:t>ur</w:t>
      </w:r>
      <w:r w:rsidR="00F22489" w:rsidRPr="000068E7">
        <w:rPr>
          <w:rFonts w:asciiTheme="majorHAnsi" w:hAnsiTheme="majorHAnsi"/>
          <w:lang w:val="ro-RO"/>
        </w:rPr>
        <w:t>are, monitorizare) în sistemul de achiziții electronice</w:t>
      </w:r>
      <w:r w:rsidR="00E36C85" w:rsidRPr="000068E7">
        <w:rPr>
          <w:rFonts w:asciiTheme="majorHAnsi" w:hAnsiTheme="majorHAnsi"/>
          <w:lang w:val="ro-RO"/>
        </w:rPr>
        <w:t>;</w:t>
      </w:r>
    </w:p>
    <w:p w:rsidR="00E62DEA" w:rsidRDefault="00F02953">
      <w:pPr>
        <w:pStyle w:val="NormalWeb"/>
        <w:ind w:firstLine="720"/>
        <w:rPr>
          <w:rFonts w:asciiTheme="majorHAnsi" w:hAnsiTheme="majorHAnsi"/>
          <w:lang w:val="ro-RO"/>
        </w:rPr>
      </w:pPr>
      <w:r w:rsidRPr="000068E7">
        <w:rPr>
          <w:rFonts w:asciiTheme="majorHAnsi" w:hAnsiTheme="majorHAnsi"/>
          <w:b/>
          <w:lang w:val="ro-RO"/>
        </w:rPr>
        <w:t>2.5.</w:t>
      </w:r>
      <w:r w:rsidR="00F22489" w:rsidRPr="000068E7">
        <w:rPr>
          <w:rFonts w:asciiTheme="majorHAnsi" w:hAnsiTheme="majorHAnsi"/>
          <w:b/>
          <w:lang w:val="ro-RO"/>
        </w:rPr>
        <w:t>3.</w:t>
      </w:r>
      <w:r w:rsidRPr="000068E7">
        <w:rPr>
          <w:rFonts w:asciiTheme="majorHAnsi" w:hAnsiTheme="majorHAnsi"/>
          <w:lang w:val="ro-RO"/>
        </w:rPr>
        <w:t xml:space="preserve"> f</w:t>
      </w:r>
      <w:r w:rsidR="00F22489" w:rsidRPr="000068E7">
        <w:rPr>
          <w:rFonts w:asciiTheme="majorHAnsi" w:hAnsiTheme="majorHAnsi"/>
          <w:lang w:val="ro-RO"/>
        </w:rPr>
        <w:t xml:space="preserve">ormalizarea întregului proces al achizițiilor, inclusiv electronice, </w:t>
      </w:r>
      <w:r w:rsidR="00E36C85" w:rsidRPr="000068E7">
        <w:rPr>
          <w:rFonts w:asciiTheme="majorHAnsi" w:hAnsiTheme="majorHAnsi"/>
          <w:lang w:val="ro-RO"/>
        </w:rPr>
        <w:t>astfel</w:t>
      </w:r>
      <w:r w:rsidR="00F22489" w:rsidRPr="000068E7">
        <w:rPr>
          <w:rFonts w:asciiTheme="majorHAnsi" w:hAnsiTheme="majorHAnsi"/>
          <w:lang w:val="ro-RO"/>
        </w:rPr>
        <w:t xml:space="preserve"> ca informațiile din documentele formalizate să fie adapta</w:t>
      </w:r>
      <w:r w:rsidR="009035CF" w:rsidRPr="000068E7">
        <w:rPr>
          <w:rFonts w:asciiTheme="majorHAnsi" w:hAnsiTheme="majorHAnsi"/>
          <w:lang w:val="ro-RO"/>
        </w:rPr>
        <w:t>te pentru generalizare, sinte</w:t>
      </w:r>
      <w:r w:rsidR="00E36C85" w:rsidRPr="000068E7">
        <w:rPr>
          <w:rFonts w:asciiTheme="majorHAnsi" w:hAnsiTheme="majorHAnsi"/>
          <w:lang w:val="ro-RO"/>
        </w:rPr>
        <w:t>ti</w:t>
      </w:r>
      <w:r w:rsidR="009035CF" w:rsidRPr="000068E7">
        <w:rPr>
          <w:rFonts w:asciiTheme="majorHAnsi" w:hAnsiTheme="majorHAnsi"/>
          <w:lang w:val="ro-RO"/>
        </w:rPr>
        <w:t>zare</w:t>
      </w:r>
      <w:r w:rsidR="00F22489" w:rsidRPr="000068E7">
        <w:rPr>
          <w:rFonts w:asciiTheme="majorHAnsi" w:hAnsiTheme="majorHAnsi"/>
          <w:lang w:val="ro-RO"/>
        </w:rPr>
        <w:t xml:space="preserve"> și analiză</w:t>
      </w:r>
      <w:r w:rsidR="00E36C85" w:rsidRPr="000068E7">
        <w:rPr>
          <w:rFonts w:asciiTheme="majorHAnsi" w:hAnsiTheme="majorHAnsi"/>
          <w:lang w:val="ro-RO"/>
        </w:rPr>
        <w:t>;</w:t>
      </w:r>
    </w:p>
    <w:p w:rsidR="00E62DEA" w:rsidRDefault="00F02953">
      <w:pPr>
        <w:pStyle w:val="NormalWeb"/>
        <w:ind w:firstLine="720"/>
        <w:rPr>
          <w:rFonts w:asciiTheme="majorHAnsi" w:hAnsiTheme="majorHAnsi"/>
          <w:lang w:val="ro-RO"/>
        </w:rPr>
      </w:pPr>
      <w:r w:rsidRPr="000068E7">
        <w:rPr>
          <w:rFonts w:asciiTheme="majorHAnsi" w:hAnsiTheme="majorHAnsi"/>
          <w:b/>
          <w:lang w:val="ro-RO"/>
        </w:rPr>
        <w:t>2.5.4.</w:t>
      </w:r>
      <w:r w:rsidRPr="000068E7">
        <w:rPr>
          <w:rFonts w:asciiTheme="majorHAnsi" w:hAnsiTheme="majorHAnsi"/>
          <w:lang w:val="ro-RO"/>
        </w:rPr>
        <w:t xml:space="preserve"> a</w:t>
      </w:r>
      <w:r w:rsidR="00F22489" w:rsidRPr="000068E7">
        <w:rPr>
          <w:rFonts w:asciiTheme="majorHAnsi" w:hAnsiTheme="majorHAnsi"/>
          <w:lang w:val="ro-RO"/>
        </w:rPr>
        <w:t>ducerea în concordanță a prevederilor legislaț</w:t>
      </w:r>
      <w:r w:rsidR="00F57956" w:rsidRPr="000068E7">
        <w:rPr>
          <w:rFonts w:asciiTheme="majorHAnsi" w:hAnsiTheme="majorHAnsi"/>
          <w:lang w:val="ro-RO"/>
        </w:rPr>
        <w:t>iei secundare cu prevederile cadrului normativ</w:t>
      </w:r>
      <w:r w:rsidR="00E36C85" w:rsidRPr="000068E7">
        <w:rPr>
          <w:rFonts w:asciiTheme="majorHAnsi" w:hAnsiTheme="majorHAnsi"/>
          <w:lang w:val="ro-RO"/>
        </w:rPr>
        <w:t>;</w:t>
      </w:r>
    </w:p>
    <w:p w:rsidR="00E62DEA" w:rsidRDefault="00F02953">
      <w:pPr>
        <w:pStyle w:val="NormalWeb"/>
        <w:ind w:firstLine="720"/>
        <w:rPr>
          <w:rFonts w:asciiTheme="majorHAnsi" w:hAnsiTheme="majorHAnsi"/>
          <w:lang w:val="ro-RO"/>
        </w:rPr>
      </w:pPr>
      <w:r w:rsidRPr="00F43C69">
        <w:rPr>
          <w:rFonts w:asciiTheme="majorHAnsi" w:hAnsiTheme="majorHAnsi"/>
          <w:b/>
          <w:lang w:val="ro-RO"/>
        </w:rPr>
        <w:lastRenderedPageBreak/>
        <w:t>2.5</w:t>
      </w:r>
      <w:r w:rsidR="002062E1" w:rsidRPr="00F43C69">
        <w:rPr>
          <w:rFonts w:asciiTheme="majorHAnsi" w:hAnsiTheme="majorHAnsi"/>
          <w:b/>
          <w:lang w:val="ro-RO"/>
        </w:rPr>
        <w:t>.5</w:t>
      </w:r>
      <w:r w:rsidR="00F22489" w:rsidRPr="00F43C69">
        <w:rPr>
          <w:rFonts w:asciiTheme="majorHAnsi" w:hAnsiTheme="majorHAnsi"/>
          <w:b/>
          <w:lang w:val="ro-RO"/>
        </w:rPr>
        <w:t>.</w:t>
      </w:r>
      <w:r w:rsidRPr="00F43C69">
        <w:rPr>
          <w:rFonts w:asciiTheme="majorHAnsi" w:hAnsiTheme="majorHAnsi"/>
          <w:lang w:val="ro-RO"/>
        </w:rPr>
        <w:t xml:space="preserve"> asigurarea </w:t>
      </w:r>
      <w:r w:rsidR="00F22489" w:rsidRPr="00F43C69">
        <w:rPr>
          <w:rFonts w:asciiTheme="majorHAnsi" w:hAnsiTheme="majorHAnsi"/>
          <w:lang w:val="ro-RO"/>
        </w:rPr>
        <w:t>interconexiun</w:t>
      </w:r>
      <w:r w:rsidR="000D7ADB" w:rsidRPr="00F43C69">
        <w:rPr>
          <w:rFonts w:asciiTheme="majorHAnsi" w:hAnsiTheme="majorHAnsi"/>
          <w:lang w:val="ro-RO"/>
        </w:rPr>
        <w:t>i</w:t>
      </w:r>
      <w:r w:rsidRPr="00F43C69">
        <w:rPr>
          <w:rFonts w:asciiTheme="majorHAnsi" w:hAnsiTheme="majorHAnsi"/>
          <w:lang w:val="ro-RO"/>
        </w:rPr>
        <w:t xml:space="preserve">i </w:t>
      </w:r>
      <w:r w:rsidR="00F22489" w:rsidRPr="00F43C69">
        <w:rPr>
          <w:rFonts w:asciiTheme="majorHAnsi" w:hAnsiTheme="majorHAnsi"/>
          <w:lang w:val="ro-RO"/>
        </w:rPr>
        <w:t>între List</w:t>
      </w:r>
      <w:r w:rsidR="00BB7BD7" w:rsidRPr="00F43C69">
        <w:rPr>
          <w:rFonts w:asciiTheme="majorHAnsi" w:hAnsiTheme="majorHAnsi"/>
          <w:lang w:val="ro-RO"/>
        </w:rPr>
        <w:t>a</w:t>
      </w:r>
      <w:r w:rsidR="00F22489" w:rsidRPr="00F43C69">
        <w:rPr>
          <w:rFonts w:asciiTheme="majorHAnsi" w:hAnsiTheme="majorHAnsi"/>
          <w:lang w:val="ro-RO"/>
        </w:rPr>
        <w:t xml:space="preserve"> de interdicție din </w:t>
      </w:r>
      <w:proofErr w:type="spellStart"/>
      <w:r w:rsidR="00F22489" w:rsidRPr="00F43C69">
        <w:rPr>
          <w:rFonts w:asciiTheme="majorHAnsi" w:hAnsiTheme="majorHAnsi"/>
          <w:lang w:val="ro-RO"/>
        </w:rPr>
        <w:t>MTender</w:t>
      </w:r>
      <w:proofErr w:type="spellEnd"/>
      <w:r w:rsidR="00F22489" w:rsidRPr="00F43C69">
        <w:rPr>
          <w:rFonts w:asciiTheme="majorHAnsi" w:hAnsiTheme="majorHAnsi"/>
          <w:lang w:val="ro-RO"/>
        </w:rPr>
        <w:t xml:space="preserve"> și ofertele depuse în cadrul achizițiilor electronice, cu identific</w:t>
      </w:r>
      <w:r w:rsidR="000D7ADB" w:rsidRPr="00F43C69">
        <w:rPr>
          <w:rFonts w:asciiTheme="majorHAnsi" w:hAnsiTheme="majorHAnsi"/>
          <w:lang w:val="ro-RO"/>
        </w:rPr>
        <w:t>area</w:t>
      </w:r>
      <w:r w:rsidR="00F22489" w:rsidRPr="00F43C69">
        <w:rPr>
          <w:rFonts w:asciiTheme="majorHAnsi" w:hAnsiTheme="majorHAnsi"/>
          <w:lang w:val="ro-RO"/>
        </w:rPr>
        <w:t xml:space="preserve"> și excluder</w:t>
      </w:r>
      <w:r w:rsidR="000D7ADB" w:rsidRPr="00F43C69">
        <w:rPr>
          <w:rFonts w:asciiTheme="majorHAnsi" w:hAnsiTheme="majorHAnsi"/>
          <w:lang w:val="ro-RO"/>
        </w:rPr>
        <w:t>ea</w:t>
      </w:r>
      <w:r w:rsidR="00F22489" w:rsidRPr="00F43C69">
        <w:rPr>
          <w:rFonts w:asciiTheme="majorHAnsi" w:hAnsiTheme="majorHAnsi"/>
          <w:lang w:val="ro-RO"/>
        </w:rPr>
        <w:t xml:space="preserve"> de la licitațiile electronice a operatorilor economici neeligibili, incluși în aceasta</w:t>
      </w:r>
      <w:r w:rsidR="00BB7BD7" w:rsidRPr="00F43C69">
        <w:rPr>
          <w:rFonts w:asciiTheme="majorHAnsi" w:hAnsiTheme="majorHAnsi"/>
          <w:lang w:val="ro-RO"/>
        </w:rPr>
        <w:t>;</w:t>
      </w:r>
    </w:p>
    <w:p w:rsidR="00E62DEA" w:rsidRDefault="00F02953">
      <w:pPr>
        <w:pStyle w:val="NormalWeb"/>
        <w:ind w:firstLine="720"/>
        <w:rPr>
          <w:rFonts w:asciiTheme="majorHAnsi" w:hAnsiTheme="majorHAnsi"/>
          <w:lang w:val="ro-RO"/>
        </w:rPr>
      </w:pPr>
      <w:r w:rsidRPr="00F43C69">
        <w:rPr>
          <w:rFonts w:asciiTheme="majorHAnsi" w:hAnsiTheme="majorHAnsi"/>
          <w:b/>
          <w:lang w:val="ro-RO"/>
        </w:rPr>
        <w:t>2.5</w:t>
      </w:r>
      <w:r w:rsidR="002062E1" w:rsidRPr="00F43C69">
        <w:rPr>
          <w:rFonts w:asciiTheme="majorHAnsi" w:hAnsiTheme="majorHAnsi"/>
          <w:b/>
          <w:lang w:val="ro-RO"/>
        </w:rPr>
        <w:t>.6.</w:t>
      </w:r>
      <w:r w:rsidRPr="00F43C69">
        <w:rPr>
          <w:rFonts w:asciiTheme="majorHAnsi" w:hAnsiTheme="majorHAnsi"/>
          <w:lang w:val="ro-RO"/>
        </w:rPr>
        <w:t xml:space="preserve"> </w:t>
      </w:r>
      <w:r w:rsidR="003C0454" w:rsidRPr="00F43C69">
        <w:rPr>
          <w:rFonts w:asciiTheme="majorHAnsi" w:hAnsiTheme="majorHAnsi"/>
          <w:lang w:val="ro-RO"/>
        </w:rPr>
        <w:t xml:space="preserve">asigurarea instruirilor pentru autoritățile contractante în scopul dezvoltării abilităților de întocmite a </w:t>
      </w:r>
      <w:r w:rsidR="000D48CF">
        <w:rPr>
          <w:rFonts w:asciiTheme="majorHAnsi" w:hAnsiTheme="majorHAnsi"/>
          <w:lang w:val="ro-RO"/>
        </w:rPr>
        <w:t>d</w:t>
      </w:r>
      <w:r w:rsidR="003C0454" w:rsidRPr="00F43C69">
        <w:rPr>
          <w:rFonts w:asciiTheme="majorHAnsi" w:hAnsiTheme="majorHAnsi"/>
          <w:lang w:val="ro-RO"/>
        </w:rPr>
        <w:t>ocumentațiilor de atribuire</w:t>
      </w:r>
      <w:r w:rsidR="000D48CF">
        <w:rPr>
          <w:rFonts w:asciiTheme="majorHAnsi" w:hAnsiTheme="majorHAnsi"/>
          <w:lang w:val="ro-RO"/>
        </w:rPr>
        <w:t>,</w:t>
      </w:r>
      <w:r w:rsidR="003C0454" w:rsidRPr="00F43C69">
        <w:rPr>
          <w:rFonts w:asciiTheme="majorHAnsi" w:hAnsiTheme="majorHAnsi"/>
          <w:lang w:val="ro-RO"/>
        </w:rPr>
        <w:t xml:space="preserve"> pentru a exclude cazuri</w:t>
      </w:r>
      <w:r w:rsidR="000D48CF">
        <w:rPr>
          <w:rFonts w:asciiTheme="majorHAnsi" w:hAnsiTheme="majorHAnsi"/>
          <w:lang w:val="ro-RO"/>
        </w:rPr>
        <w:t>le</w:t>
      </w:r>
      <w:r w:rsidR="003C0454" w:rsidRPr="00F43C69">
        <w:rPr>
          <w:rFonts w:asciiTheme="majorHAnsi" w:hAnsiTheme="majorHAnsi"/>
          <w:lang w:val="ro-RO"/>
        </w:rPr>
        <w:t xml:space="preserve"> de conținere în specificații</w:t>
      </w:r>
      <w:r w:rsidR="000D48CF">
        <w:rPr>
          <w:rFonts w:asciiTheme="majorHAnsi" w:hAnsiTheme="majorHAnsi"/>
          <w:lang w:val="ro-RO"/>
        </w:rPr>
        <w:t>le</w:t>
      </w:r>
      <w:r w:rsidR="003C0454" w:rsidRPr="00F43C69">
        <w:rPr>
          <w:rFonts w:asciiTheme="majorHAnsi" w:hAnsiTheme="majorHAnsi"/>
          <w:lang w:val="ro-RO"/>
        </w:rPr>
        <w:t xml:space="preserve"> tehnice a clauzelor părtinitoare, incomplete sau vagi</w:t>
      </w:r>
      <w:r w:rsidR="008F67B9">
        <w:rPr>
          <w:rFonts w:asciiTheme="majorHAnsi" w:hAnsiTheme="majorHAnsi"/>
          <w:lang w:val="ro-RO"/>
        </w:rPr>
        <w:t>,</w:t>
      </w:r>
      <w:r w:rsidR="003C0454" w:rsidRPr="00F43C69">
        <w:rPr>
          <w:rFonts w:asciiTheme="majorHAnsi" w:hAnsiTheme="majorHAnsi"/>
          <w:lang w:val="ro-RO"/>
        </w:rPr>
        <w:t xml:space="preserve"> în comparație cu importanța</w:t>
      </w:r>
      <w:r w:rsidR="000D48CF">
        <w:rPr>
          <w:rFonts w:asciiTheme="majorHAnsi" w:hAnsiTheme="majorHAnsi"/>
          <w:lang w:val="ro-RO"/>
        </w:rPr>
        <w:t>/</w:t>
      </w:r>
      <w:r w:rsidR="003C0454" w:rsidRPr="00F43C69">
        <w:rPr>
          <w:rFonts w:asciiTheme="majorHAnsi" w:hAnsiTheme="majorHAnsi"/>
          <w:lang w:val="ro-RO"/>
        </w:rPr>
        <w:t>complexitatea contractul</w:t>
      </w:r>
      <w:r w:rsidR="000D48CF">
        <w:rPr>
          <w:rFonts w:asciiTheme="majorHAnsi" w:hAnsiTheme="majorHAnsi"/>
          <w:lang w:val="ro-RO"/>
        </w:rPr>
        <w:t>ui</w:t>
      </w:r>
      <w:r w:rsidR="003C0454" w:rsidRPr="00F43C69">
        <w:rPr>
          <w:rFonts w:asciiTheme="majorHAnsi" w:hAnsiTheme="majorHAnsi"/>
          <w:lang w:val="ro-RO"/>
        </w:rPr>
        <w:t xml:space="preserve"> care urmează să fie încheiat, </w:t>
      </w:r>
      <w:r w:rsidR="000D48CF">
        <w:rPr>
          <w:rFonts w:asciiTheme="majorHAnsi" w:hAnsiTheme="majorHAnsi"/>
          <w:lang w:val="ro-RO"/>
        </w:rPr>
        <w:t>în vederea</w:t>
      </w:r>
      <w:r w:rsidR="003C0454" w:rsidRPr="00F43C69">
        <w:rPr>
          <w:rFonts w:asciiTheme="majorHAnsi" w:hAnsiTheme="majorHAnsi"/>
          <w:lang w:val="ro-RO"/>
        </w:rPr>
        <w:t xml:space="preserve"> diminu</w:t>
      </w:r>
      <w:r w:rsidR="000D48CF">
        <w:rPr>
          <w:rFonts w:asciiTheme="majorHAnsi" w:hAnsiTheme="majorHAnsi"/>
          <w:lang w:val="ro-RO"/>
        </w:rPr>
        <w:t>ării</w:t>
      </w:r>
      <w:r w:rsidR="003C0454" w:rsidRPr="00F43C69">
        <w:rPr>
          <w:rFonts w:asciiTheme="majorHAnsi" w:hAnsiTheme="majorHAnsi"/>
          <w:lang w:val="ro-RO"/>
        </w:rPr>
        <w:t xml:space="preserve"> </w:t>
      </w:r>
      <w:r w:rsidR="008F67B9">
        <w:rPr>
          <w:rFonts w:asciiTheme="majorHAnsi" w:hAnsiTheme="majorHAnsi"/>
          <w:lang w:val="ro-RO"/>
        </w:rPr>
        <w:t>numărului</w:t>
      </w:r>
      <w:r w:rsidR="003C0454" w:rsidRPr="00F43C69">
        <w:rPr>
          <w:rFonts w:asciiTheme="majorHAnsi" w:hAnsiTheme="majorHAnsi"/>
          <w:lang w:val="ro-RO"/>
        </w:rPr>
        <w:t xml:space="preserve"> de contest</w:t>
      </w:r>
      <w:r w:rsidR="008F67B9">
        <w:rPr>
          <w:rFonts w:asciiTheme="majorHAnsi" w:hAnsiTheme="majorHAnsi"/>
          <w:lang w:val="ro-RO"/>
        </w:rPr>
        <w:t>ă</w:t>
      </w:r>
      <w:r w:rsidR="003C0454" w:rsidRPr="00F43C69">
        <w:rPr>
          <w:rFonts w:asciiTheme="majorHAnsi" w:hAnsiTheme="majorHAnsi"/>
          <w:lang w:val="ro-RO"/>
        </w:rPr>
        <w:t>r</w:t>
      </w:r>
      <w:r w:rsidR="008F67B9">
        <w:rPr>
          <w:rFonts w:asciiTheme="majorHAnsi" w:hAnsiTheme="majorHAnsi"/>
          <w:lang w:val="ro-RO"/>
        </w:rPr>
        <w:t>i</w:t>
      </w:r>
      <w:r w:rsidR="003C0454" w:rsidRPr="00F43C69">
        <w:rPr>
          <w:rFonts w:asciiTheme="majorHAnsi" w:hAnsiTheme="majorHAnsi"/>
          <w:lang w:val="ro-RO"/>
        </w:rPr>
        <w:t xml:space="preserve"> a</w:t>
      </w:r>
      <w:r w:rsidR="008F67B9">
        <w:rPr>
          <w:rFonts w:asciiTheme="majorHAnsi" w:hAnsiTheme="majorHAnsi"/>
          <w:lang w:val="ro-RO"/>
        </w:rPr>
        <w:t>le</w:t>
      </w:r>
      <w:r w:rsidR="003C0454" w:rsidRPr="00F43C69">
        <w:rPr>
          <w:rFonts w:asciiTheme="majorHAnsi" w:hAnsiTheme="majorHAnsi"/>
          <w:lang w:val="ro-RO"/>
        </w:rPr>
        <w:t xml:space="preserve"> licitațiilor publice și tergivers</w:t>
      </w:r>
      <w:r w:rsidR="000D48CF">
        <w:rPr>
          <w:rFonts w:asciiTheme="majorHAnsi" w:hAnsiTheme="majorHAnsi"/>
          <w:lang w:val="ro-RO"/>
        </w:rPr>
        <w:t>ării</w:t>
      </w:r>
      <w:r w:rsidR="003C0454" w:rsidRPr="00F43C69">
        <w:rPr>
          <w:rFonts w:asciiTheme="majorHAnsi" w:hAnsiTheme="majorHAnsi"/>
          <w:lang w:val="ro-RO"/>
        </w:rPr>
        <w:t xml:space="preserve"> realizării procedurii</w:t>
      </w:r>
      <w:r w:rsidR="003C0454" w:rsidRPr="000068E7">
        <w:rPr>
          <w:rFonts w:asciiTheme="majorHAnsi" w:hAnsiTheme="majorHAnsi"/>
          <w:lang w:val="ro-RO"/>
        </w:rPr>
        <w:t xml:space="preserve"> de achiziție în termen</w:t>
      </w:r>
      <w:r w:rsidR="000D48CF">
        <w:rPr>
          <w:rFonts w:asciiTheme="majorHAnsi" w:hAnsiTheme="majorHAnsi"/>
          <w:lang w:val="ro-RO"/>
        </w:rPr>
        <w:t>e</w:t>
      </w:r>
      <w:r w:rsidR="003C0454" w:rsidRPr="000068E7">
        <w:rPr>
          <w:rFonts w:asciiTheme="majorHAnsi" w:hAnsiTheme="majorHAnsi"/>
          <w:lang w:val="ro-RO"/>
        </w:rPr>
        <w:t xml:space="preserve"> rezonabil</w:t>
      </w:r>
      <w:r w:rsidR="000D48CF">
        <w:rPr>
          <w:rFonts w:asciiTheme="majorHAnsi" w:hAnsiTheme="majorHAnsi"/>
          <w:lang w:val="ro-RO"/>
        </w:rPr>
        <w:t>e</w:t>
      </w:r>
      <w:r w:rsidR="003C0454" w:rsidRPr="000068E7">
        <w:rPr>
          <w:rFonts w:asciiTheme="majorHAnsi" w:hAnsiTheme="majorHAnsi"/>
          <w:lang w:val="ro-RO"/>
        </w:rPr>
        <w:t>, precum și în vederea dezvoltării cunoștințelor și înțeleger</w:t>
      </w:r>
      <w:r w:rsidR="008F67B9">
        <w:rPr>
          <w:rFonts w:asciiTheme="majorHAnsi" w:hAnsiTheme="majorHAnsi"/>
          <w:lang w:val="ro-RO"/>
        </w:rPr>
        <w:t>ii</w:t>
      </w:r>
      <w:r w:rsidR="003C0454" w:rsidRPr="000068E7">
        <w:rPr>
          <w:rFonts w:asciiTheme="majorHAnsi" w:hAnsiTheme="majorHAnsi"/>
          <w:lang w:val="ro-RO"/>
        </w:rPr>
        <w:t xml:space="preserve"> avantajelor </w:t>
      </w:r>
      <w:r w:rsidR="008F67B9">
        <w:rPr>
          <w:rFonts w:asciiTheme="majorHAnsi" w:hAnsiTheme="majorHAnsi"/>
          <w:lang w:val="ro-RO"/>
        </w:rPr>
        <w:t xml:space="preserve">de </w:t>
      </w:r>
      <w:r w:rsidR="003C0454" w:rsidRPr="000068E7">
        <w:rPr>
          <w:rFonts w:asciiTheme="majorHAnsi" w:hAnsiTheme="majorHAnsi"/>
          <w:lang w:val="ro-RO"/>
        </w:rPr>
        <w:t>stabilir</w:t>
      </w:r>
      <w:r w:rsidR="008F67B9">
        <w:rPr>
          <w:rFonts w:asciiTheme="majorHAnsi" w:hAnsiTheme="majorHAnsi"/>
          <w:lang w:val="ro-RO"/>
        </w:rPr>
        <w:t>e</w:t>
      </w:r>
      <w:r w:rsidR="003C0454" w:rsidRPr="000068E7">
        <w:rPr>
          <w:rFonts w:asciiTheme="majorHAnsi" w:hAnsiTheme="majorHAnsi"/>
          <w:lang w:val="ro-RO"/>
        </w:rPr>
        <w:t xml:space="preserve"> </w:t>
      </w:r>
      <w:r w:rsidR="000D48CF">
        <w:rPr>
          <w:rFonts w:asciiTheme="majorHAnsi" w:hAnsiTheme="majorHAnsi"/>
          <w:lang w:val="ro-RO"/>
        </w:rPr>
        <w:t>drept</w:t>
      </w:r>
      <w:r w:rsidR="003C0454" w:rsidRPr="000068E7">
        <w:rPr>
          <w:rFonts w:asciiTheme="majorHAnsi" w:hAnsiTheme="majorHAnsi"/>
          <w:lang w:val="ro-RO"/>
        </w:rPr>
        <w:t xml:space="preserve"> criterii de evaluare a ofertelor </w:t>
      </w:r>
      <w:r w:rsidR="008F67B9" w:rsidRPr="000068E7">
        <w:rPr>
          <w:rFonts w:asciiTheme="majorHAnsi" w:hAnsiTheme="majorHAnsi"/>
          <w:lang w:val="ro-RO"/>
        </w:rPr>
        <w:t xml:space="preserve">a altor criterii </w:t>
      </w:r>
      <w:r w:rsidR="003C0454" w:rsidRPr="000068E7">
        <w:rPr>
          <w:rFonts w:asciiTheme="majorHAnsi" w:hAnsiTheme="majorHAnsi"/>
          <w:lang w:val="ro-RO"/>
        </w:rPr>
        <w:t xml:space="preserve">decât </w:t>
      </w:r>
      <w:r w:rsidR="008F67B9">
        <w:rPr>
          <w:rFonts w:asciiTheme="majorHAnsi" w:hAnsiTheme="majorHAnsi"/>
          <w:lang w:val="ro-RO"/>
        </w:rPr>
        <w:t>„</w:t>
      </w:r>
      <w:r w:rsidR="003C0454" w:rsidRPr="000068E7">
        <w:rPr>
          <w:rFonts w:asciiTheme="majorHAnsi" w:hAnsiTheme="majorHAnsi"/>
          <w:lang w:val="ro-RO"/>
        </w:rPr>
        <w:t>cel mai mic preț</w:t>
      </w:r>
      <w:r w:rsidR="008F67B9">
        <w:rPr>
          <w:rFonts w:asciiTheme="majorHAnsi" w:hAnsiTheme="majorHAnsi"/>
          <w:lang w:val="ro-RO"/>
        </w:rPr>
        <w:t>”</w:t>
      </w:r>
      <w:r w:rsidR="003C0454" w:rsidRPr="000068E7">
        <w:rPr>
          <w:rFonts w:asciiTheme="majorHAnsi" w:hAnsiTheme="majorHAnsi"/>
          <w:lang w:val="ro-RO"/>
        </w:rPr>
        <w:t>, pentru a crește abilitățile de utilizare a lor</w:t>
      </w:r>
      <w:r w:rsidR="00BB7BD7" w:rsidRPr="000068E7">
        <w:rPr>
          <w:rFonts w:asciiTheme="majorHAnsi" w:hAnsiTheme="majorHAnsi"/>
          <w:lang w:val="ro-RO"/>
        </w:rPr>
        <w:t>;</w:t>
      </w:r>
    </w:p>
    <w:p w:rsidR="00E62DEA" w:rsidRDefault="000A7F50">
      <w:pPr>
        <w:pStyle w:val="NormalWeb"/>
        <w:shd w:val="clear" w:color="auto" w:fill="FFFFFF" w:themeFill="background1"/>
        <w:ind w:firstLine="720"/>
        <w:rPr>
          <w:rFonts w:asciiTheme="majorHAnsi" w:hAnsiTheme="majorHAnsi"/>
          <w:lang w:val="ro-RO"/>
        </w:rPr>
      </w:pPr>
      <w:r w:rsidRPr="00F43C69">
        <w:rPr>
          <w:rFonts w:asciiTheme="majorHAnsi" w:hAnsiTheme="majorHAnsi"/>
          <w:b/>
          <w:lang w:val="ro-RO"/>
        </w:rPr>
        <w:t>2.6.</w:t>
      </w:r>
      <w:r w:rsidRPr="00F43C69">
        <w:rPr>
          <w:rFonts w:asciiTheme="majorHAnsi" w:hAnsiTheme="majorHAnsi"/>
          <w:lang w:val="ro-RO"/>
        </w:rPr>
        <w:t xml:space="preserve"> </w:t>
      </w:r>
      <w:r w:rsidR="00BA5B73" w:rsidRPr="00F43C69">
        <w:rPr>
          <w:rFonts w:asciiTheme="majorHAnsi" w:hAnsiTheme="majorHAnsi"/>
          <w:b/>
          <w:lang w:val="ro-RO"/>
        </w:rPr>
        <w:t>Ministerului Finanțelor</w:t>
      </w:r>
      <w:r w:rsidR="00792FBD" w:rsidRPr="00F43C69">
        <w:rPr>
          <w:rFonts w:asciiTheme="majorHAnsi" w:hAnsiTheme="majorHAnsi"/>
          <w:b/>
          <w:lang w:val="ro-RO"/>
        </w:rPr>
        <w:t>,</w:t>
      </w:r>
      <w:r w:rsidR="00AB4A33" w:rsidRPr="00F43C69">
        <w:rPr>
          <w:rFonts w:asciiTheme="majorHAnsi" w:hAnsiTheme="majorHAnsi"/>
          <w:b/>
          <w:lang w:val="ro-RO"/>
        </w:rPr>
        <w:t xml:space="preserve"> de comun cu </w:t>
      </w:r>
      <w:r w:rsidR="00A62FEB" w:rsidRPr="00F43C69">
        <w:rPr>
          <w:rFonts w:asciiTheme="majorHAnsi" w:hAnsiTheme="majorHAnsi"/>
          <w:b/>
          <w:lang w:val="ro-RO"/>
        </w:rPr>
        <w:t>Ministerul Economiei și Infrastructurii,</w:t>
      </w:r>
      <w:r w:rsidR="00AB4A33" w:rsidRPr="00F43C69">
        <w:rPr>
          <w:rFonts w:asciiTheme="majorHAnsi" w:hAnsiTheme="majorHAnsi"/>
          <w:b/>
          <w:lang w:val="ro-RO"/>
        </w:rPr>
        <w:t xml:space="preserve"> Ministerul </w:t>
      </w:r>
      <w:proofErr w:type="spellStart"/>
      <w:r w:rsidR="00AB4A33" w:rsidRPr="00F43C69">
        <w:rPr>
          <w:rFonts w:asciiTheme="majorHAnsi" w:hAnsiTheme="majorHAnsi"/>
          <w:b/>
          <w:lang w:val="ro-RO"/>
        </w:rPr>
        <w:t>Sănătăţii</w:t>
      </w:r>
      <w:proofErr w:type="spellEnd"/>
      <w:r w:rsidR="00AB4A33" w:rsidRPr="00F43C69">
        <w:rPr>
          <w:rFonts w:asciiTheme="majorHAnsi" w:hAnsiTheme="majorHAnsi"/>
          <w:b/>
          <w:lang w:val="ro-RO"/>
        </w:rPr>
        <w:t xml:space="preserve">, Muncii </w:t>
      </w:r>
      <w:proofErr w:type="spellStart"/>
      <w:r w:rsidR="00AB4A33" w:rsidRPr="00F43C69">
        <w:rPr>
          <w:rFonts w:asciiTheme="majorHAnsi" w:hAnsiTheme="majorHAnsi"/>
          <w:b/>
          <w:lang w:val="ro-RO"/>
        </w:rPr>
        <w:t>şi</w:t>
      </w:r>
      <w:proofErr w:type="spellEnd"/>
      <w:r w:rsidR="00AB4A33" w:rsidRPr="00F43C69">
        <w:rPr>
          <w:rFonts w:asciiTheme="majorHAnsi" w:hAnsiTheme="majorHAnsi"/>
          <w:b/>
          <w:lang w:val="ro-RO"/>
        </w:rPr>
        <w:t xml:space="preserve"> </w:t>
      </w:r>
      <w:proofErr w:type="spellStart"/>
      <w:r w:rsidR="00AB4A33" w:rsidRPr="00F43C69">
        <w:rPr>
          <w:rFonts w:asciiTheme="majorHAnsi" w:hAnsiTheme="majorHAnsi"/>
          <w:b/>
          <w:lang w:val="ro-RO"/>
        </w:rPr>
        <w:t>Protecţiei</w:t>
      </w:r>
      <w:proofErr w:type="spellEnd"/>
      <w:r w:rsidR="00AB4A33" w:rsidRPr="00F43C69">
        <w:rPr>
          <w:rFonts w:asciiTheme="majorHAnsi" w:hAnsiTheme="majorHAnsi"/>
          <w:b/>
          <w:lang w:val="ro-RO"/>
        </w:rPr>
        <w:t xml:space="preserve"> Sociale, </w:t>
      </w:r>
      <w:proofErr w:type="spellStart"/>
      <w:r w:rsidR="00AB4A33" w:rsidRPr="00F43C69">
        <w:rPr>
          <w:rFonts w:asciiTheme="majorHAnsi" w:hAnsiTheme="majorHAnsi"/>
          <w:b/>
          <w:lang w:val="ro-RO"/>
        </w:rPr>
        <w:t>Agenţia</w:t>
      </w:r>
      <w:proofErr w:type="spellEnd"/>
      <w:r w:rsidR="00AB4A33" w:rsidRPr="00F43C69">
        <w:rPr>
          <w:rFonts w:asciiTheme="majorHAnsi" w:hAnsiTheme="majorHAnsi"/>
          <w:b/>
          <w:lang w:val="ro-RO"/>
        </w:rPr>
        <w:t xml:space="preserve"> </w:t>
      </w:r>
      <w:proofErr w:type="spellStart"/>
      <w:r w:rsidR="00AB4A33" w:rsidRPr="00F43C69">
        <w:rPr>
          <w:rFonts w:asciiTheme="majorHAnsi" w:hAnsiTheme="majorHAnsi"/>
          <w:b/>
          <w:lang w:val="ro-RO"/>
        </w:rPr>
        <w:t>Naţională</w:t>
      </w:r>
      <w:proofErr w:type="spellEnd"/>
      <w:r w:rsidR="00AB4A33" w:rsidRPr="00F43C69">
        <w:rPr>
          <w:rFonts w:asciiTheme="majorHAnsi" w:hAnsiTheme="majorHAnsi"/>
          <w:b/>
          <w:lang w:val="ro-RO"/>
        </w:rPr>
        <w:t xml:space="preserve"> pentru </w:t>
      </w:r>
      <w:proofErr w:type="spellStart"/>
      <w:r w:rsidR="00AB4A33" w:rsidRPr="00F43C69">
        <w:rPr>
          <w:rFonts w:asciiTheme="majorHAnsi" w:hAnsiTheme="majorHAnsi"/>
          <w:b/>
          <w:lang w:val="ro-RO"/>
        </w:rPr>
        <w:t>Siguranţa</w:t>
      </w:r>
      <w:proofErr w:type="spellEnd"/>
      <w:r w:rsidR="00AB4A33" w:rsidRPr="00F43C69">
        <w:rPr>
          <w:rFonts w:asciiTheme="majorHAnsi" w:hAnsiTheme="majorHAnsi"/>
          <w:b/>
          <w:lang w:val="ro-RO"/>
        </w:rPr>
        <w:t xml:space="preserve"> Alimentelor,  Agenția pentru Supraveghere Tehnică</w:t>
      </w:r>
      <w:r w:rsidR="008F67B9">
        <w:rPr>
          <w:rFonts w:asciiTheme="majorHAnsi" w:hAnsiTheme="majorHAnsi"/>
          <w:b/>
          <w:lang w:val="ro-RO"/>
        </w:rPr>
        <w:t>,</w:t>
      </w:r>
      <w:r w:rsidRPr="00F43C69">
        <w:rPr>
          <w:rFonts w:asciiTheme="majorHAnsi" w:hAnsiTheme="majorHAnsi"/>
          <w:lang w:val="ro-RO"/>
        </w:rPr>
        <w:t xml:space="preserve"> pentru luare de atitudine și se recomandă dezvoltarea, </w:t>
      </w:r>
      <w:r w:rsidR="002412FA" w:rsidRPr="00F43C69">
        <w:rPr>
          <w:rFonts w:asciiTheme="majorHAnsi" w:hAnsiTheme="majorHAnsi"/>
          <w:lang w:val="ro-RO"/>
        </w:rPr>
        <w:t xml:space="preserve">inclusiv </w:t>
      </w:r>
      <w:r w:rsidRPr="00F43C69">
        <w:rPr>
          <w:rFonts w:asciiTheme="majorHAnsi" w:hAnsiTheme="majorHAnsi"/>
          <w:lang w:val="ro-RO"/>
        </w:rPr>
        <w:t>cu suportul</w:t>
      </w:r>
      <w:r w:rsidR="00792FBD" w:rsidRPr="00F43C69">
        <w:rPr>
          <w:rFonts w:asciiTheme="majorHAnsi" w:hAnsiTheme="majorHAnsi"/>
          <w:lang w:val="ro-RO"/>
        </w:rPr>
        <w:t>,</w:t>
      </w:r>
      <w:r w:rsidRPr="00F43C69">
        <w:rPr>
          <w:rFonts w:asciiTheme="majorHAnsi" w:hAnsiTheme="majorHAnsi"/>
          <w:lang w:val="ro-RO"/>
        </w:rPr>
        <w:t xml:space="preserve"> </w:t>
      </w:r>
      <w:r w:rsidR="00D37235" w:rsidRPr="00F43C69">
        <w:rPr>
          <w:rFonts w:asciiTheme="majorHAnsi" w:hAnsiTheme="majorHAnsi"/>
          <w:lang w:val="ro-RO"/>
        </w:rPr>
        <w:t xml:space="preserve"> </w:t>
      </w:r>
      <w:r w:rsidR="00CC19BB" w:rsidRPr="00F43C69">
        <w:rPr>
          <w:rFonts w:asciiTheme="majorHAnsi" w:hAnsiTheme="majorHAnsi"/>
          <w:lang w:val="ro-RO"/>
        </w:rPr>
        <w:t>după caz</w:t>
      </w:r>
      <w:r w:rsidR="00792FBD" w:rsidRPr="00F43C69">
        <w:rPr>
          <w:rFonts w:asciiTheme="majorHAnsi" w:hAnsiTheme="majorHAnsi"/>
          <w:lang w:val="ro-RO"/>
        </w:rPr>
        <w:t>,</w:t>
      </w:r>
      <w:r w:rsidR="00CC19BB" w:rsidRPr="00F43C69">
        <w:rPr>
          <w:rFonts w:asciiTheme="majorHAnsi" w:hAnsiTheme="majorHAnsi"/>
          <w:lang w:val="ro-RO"/>
        </w:rPr>
        <w:t xml:space="preserve"> a</w:t>
      </w:r>
      <w:r w:rsidR="008F67B9">
        <w:rPr>
          <w:rFonts w:asciiTheme="majorHAnsi" w:hAnsiTheme="majorHAnsi"/>
          <w:lang w:val="ro-RO"/>
        </w:rPr>
        <w:t>l</w:t>
      </w:r>
      <w:r w:rsidR="000A48CA" w:rsidRPr="00F43C69">
        <w:rPr>
          <w:rFonts w:asciiTheme="majorHAnsi" w:hAnsiTheme="majorHAnsi"/>
          <w:lang w:val="ro-RO"/>
        </w:rPr>
        <w:t xml:space="preserve"> altor</w:t>
      </w:r>
      <w:r w:rsidR="00CC19BB" w:rsidRPr="00F43C69">
        <w:rPr>
          <w:rFonts w:asciiTheme="majorHAnsi" w:hAnsiTheme="majorHAnsi"/>
          <w:lang w:val="ro-RO"/>
        </w:rPr>
        <w:t xml:space="preserve"> </w:t>
      </w:r>
      <w:r w:rsidR="002412FA" w:rsidRPr="00F43C69">
        <w:rPr>
          <w:rFonts w:asciiTheme="majorHAnsi" w:hAnsiTheme="majorHAnsi"/>
          <w:lang w:val="ro-RO"/>
        </w:rPr>
        <w:t xml:space="preserve">organe </w:t>
      </w:r>
      <w:r w:rsidRPr="00F43C69">
        <w:rPr>
          <w:rFonts w:asciiTheme="majorHAnsi" w:hAnsiTheme="majorHAnsi"/>
          <w:lang w:val="ro-RO"/>
        </w:rPr>
        <w:t xml:space="preserve">abilitate din diferite sectoare ale economiei naționale, a datelor din Specificațiile tehnice și </w:t>
      </w:r>
      <w:r w:rsidR="008F67B9">
        <w:rPr>
          <w:rFonts w:asciiTheme="majorHAnsi" w:hAnsiTheme="majorHAnsi"/>
          <w:lang w:val="ro-RO"/>
        </w:rPr>
        <w:t xml:space="preserve">din </w:t>
      </w:r>
      <w:r w:rsidRPr="00F43C69">
        <w:rPr>
          <w:rFonts w:asciiTheme="majorHAnsi" w:hAnsiTheme="majorHAnsi"/>
          <w:lang w:val="ro-RO"/>
        </w:rPr>
        <w:t>Caietul de sarcini model privitor la caracteristicile funcționale și performanța obiectului de achiziție, cu elaborarea îndrumărilor</w:t>
      </w:r>
      <w:r w:rsidR="002412FA" w:rsidRPr="00F43C69">
        <w:rPr>
          <w:rFonts w:asciiTheme="majorHAnsi" w:hAnsiTheme="majorHAnsi"/>
          <w:lang w:val="ro-RO"/>
        </w:rPr>
        <w:t>/ghidurilor</w:t>
      </w:r>
      <w:r w:rsidRPr="00F43C69">
        <w:rPr>
          <w:rFonts w:asciiTheme="majorHAnsi" w:hAnsiTheme="majorHAnsi"/>
          <w:lang w:val="ro-RO"/>
        </w:rPr>
        <w:t xml:space="preserve"> în </w:t>
      </w:r>
      <w:r w:rsidR="007543EC">
        <w:rPr>
          <w:rFonts w:asciiTheme="majorHAnsi" w:hAnsiTheme="majorHAnsi"/>
          <w:lang w:val="ro-RO"/>
        </w:rPr>
        <w:t>acest sens</w:t>
      </w:r>
      <w:r w:rsidRPr="00F43C69">
        <w:rPr>
          <w:rFonts w:asciiTheme="majorHAnsi" w:hAnsiTheme="majorHAnsi"/>
          <w:lang w:val="ro-RO"/>
        </w:rPr>
        <w:t>, ceea ce va permite aplicarea în calitate de criterii de evaluare în cadrul achizițiilor electronice nu doar a criteriului „cel mai mic preț”, dar și a altora prevăzute în cadrul regulator</w:t>
      </w:r>
      <w:r w:rsidR="000A48CA" w:rsidRPr="00F43C69">
        <w:rPr>
          <w:rFonts w:asciiTheme="majorHAnsi" w:hAnsiTheme="majorHAnsi"/>
          <w:lang w:val="ro-RO"/>
        </w:rPr>
        <w:t>,</w:t>
      </w:r>
      <w:r w:rsidR="0005013B" w:rsidRPr="00F43C69">
        <w:rPr>
          <w:rFonts w:asciiTheme="majorHAnsi" w:hAnsiTheme="majorHAnsi"/>
          <w:lang w:val="ro-RO"/>
        </w:rPr>
        <w:t xml:space="preserve"> </w:t>
      </w:r>
      <w:r w:rsidR="00C00D0F" w:rsidRPr="00F43C69">
        <w:rPr>
          <w:rFonts w:asciiTheme="majorHAnsi" w:hAnsiTheme="majorHAnsi"/>
          <w:lang w:val="ro-RO"/>
        </w:rPr>
        <w:t>inclusiv</w:t>
      </w:r>
      <w:r w:rsidR="0005013B" w:rsidRPr="00F43C69">
        <w:rPr>
          <w:rFonts w:asciiTheme="majorHAnsi" w:hAnsiTheme="majorHAnsi"/>
          <w:lang w:val="ro-RO"/>
        </w:rPr>
        <w:t xml:space="preserve"> </w:t>
      </w:r>
      <w:r w:rsidR="000A48CA" w:rsidRPr="00F43C69">
        <w:rPr>
          <w:rFonts w:asciiTheme="majorHAnsi" w:hAnsiTheme="majorHAnsi"/>
          <w:lang w:val="ro-RO"/>
        </w:rPr>
        <w:t>„</w:t>
      </w:r>
      <w:r w:rsidR="00587F01" w:rsidRPr="00F43C69">
        <w:rPr>
          <w:rFonts w:asciiTheme="majorHAnsi" w:hAnsiTheme="majorHAnsi"/>
          <w:lang w:val="ro-RO"/>
        </w:rPr>
        <w:t>cel mai bun rapo</w:t>
      </w:r>
      <w:r w:rsidR="00F2187C" w:rsidRPr="00F43C69">
        <w:rPr>
          <w:rFonts w:asciiTheme="majorHAnsi" w:hAnsiTheme="majorHAnsi"/>
          <w:lang w:val="ro-RO"/>
        </w:rPr>
        <w:t>r</w:t>
      </w:r>
      <w:r w:rsidR="00587F01" w:rsidRPr="00F43C69">
        <w:rPr>
          <w:rFonts w:asciiTheme="majorHAnsi" w:hAnsiTheme="majorHAnsi"/>
          <w:lang w:val="ro-RO"/>
        </w:rPr>
        <w:t xml:space="preserve">t calitate-preț” </w:t>
      </w:r>
      <w:r w:rsidR="008F67B9">
        <w:rPr>
          <w:rFonts w:asciiTheme="majorHAnsi" w:hAnsiTheme="majorHAnsi"/>
          <w:lang w:val="ro-RO"/>
        </w:rPr>
        <w:t>și</w:t>
      </w:r>
      <w:r w:rsidR="00587F01" w:rsidRPr="00F43C69">
        <w:rPr>
          <w:rFonts w:asciiTheme="majorHAnsi" w:hAnsiTheme="majorHAnsi"/>
          <w:lang w:val="ro-RO"/>
        </w:rPr>
        <w:t xml:space="preserve"> „cel mai bun raport calitate</w:t>
      </w:r>
      <w:r w:rsidR="0005013B" w:rsidRPr="00F43C69">
        <w:rPr>
          <w:rFonts w:asciiTheme="majorHAnsi" w:hAnsiTheme="majorHAnsi"/>
          <w:lang w:val="ro-RO"/>
        </w:rPr>
        <w:t>-</w:t>
      </w:r>
      <w:r w:rsidR="00587F01" w:rsidRPr="00F43C69">
        <w:rPr>
          <w:rFonts w:asciiTheme="majorHAnsi" w:hAnsiTheme="majorHAnsi"/>
          <w:lang w:val="ro-RO"/>
        </w:rPr>
        <w:t>cost”</w:t>
      </w:r>
      <w:r w:rsidRPr="00F43C69">
        <w:rPr>
          <w:rFonts w:asciiTheme="majorHAnsi" w:hAnsiTheme="majorHAnsi"/>
          <w:lang w:val="ro-RO"/>
        </w:rPr>
        <w:t>;</w:t>
      </w:r>
    </w:p>
    <w:p w:rsidR="00E62DEA" w:rsidRDefault="00F02953">
      <w:pPr>
        <w:pStyle w:val="NormalWeb"/>
        <w:shd w:val="clear" w:color="auto" w:fill="FFFFFF" w:themeFill="background1"/>
        <w:ind w:firstLine="720"/>
        <w:rPr>
          <w:rFonts w:asciiTheme="majorHAnsi" w:hAnsiTheme="majorHAnsi"/>
          <w:bCs/>
          <w:color w:val="000000"/>
          <w:lang w:val="ro-RO" w:eastAsia="ru-RU"/>
        </w:rPr>
      </w:pPr>
      <w:r w:rsidRPr="00F43C69">
        <w:rPr>
          <w:rFonts w:asciiTheme="majorHAnsi" w:hAnsiTheme="majorHAnsi"/>
          <w:b/>
          <w:lang w:val="ro-RO"/>
        </w:rPr>
        <w:t>2.</w:t>
      </w:r>
      <w:r w:rsidR="000A7F50" w:rsidRPr="00F43C69">
        <w:rPr>
          <w:rFonts w:asciiTheme="majorHAnsi" w:hAnsiTheme="majorHAnsi"/>
          <w:b/>
          <w:lang w:val="ro-RO"/>
        </w:rPr>
        <w:t>7</w:t>
      </w:r>
      <w:r w:rsidRPr="00F43C69">
        <w:rPr>
          <w:rFonts w:asciiTheme="majorHAnsi" w:hAnsiTheme="majorHAnsi"/>
          <w:b/>
          <w:lang w:val="ro-RO"/>
        </w:rPr>
        <w:t>. M</w:t>
      </w:r>
      <w:r w:rsidR="00A6494E" w:rsidRPr="00F43C69">
        <w:rPr>
          <w:rFonts w:asciiTheme="majorHAnsi" w:hAnsiTheme="majorHAnsi"/>
          <w:b/>
          <w:lang w:val="ro-RO"/>
        </w:rPr>
        <w:t>inisterul</w:t>
      </w:r>
      <w:r w:rsidR="0026505B" w:rsidRPr="00F43C69">
        <w:rPr>
          <w:rFonts w:asciiTheme="majorHAnsi" w:hAnsiTheme="majorHAnsi"/>
          <w:b/>
          <w:lang w:val="ro-RO"/>
        </w:rPr>
        <w:t xml:space="preserve">ui </w:t>
      </w:r>
      <w:r w:rsidRPr="00F43C69">
        <w:rPr>
          <w:rFonts w:asciiTheme="majorHAnsi" w:hAnsiTheme="majorHAnsi"/>
          <w:b/>
          <w:lang w:val="ro-RO"/>
        </w:rPr>
        <w:t>A</w:t>
      </w:r>
      <w:r w:rsidR="00A6494E" w:rsidRPr="00F43C69">
        <w:rPr>
          <w:rFonts w:asciiTheme="majorHAnsi" w:hAnsiTheme="majorHAnsi"/>
          <w:b/>
          <w:lang w:val="ro-RO"/>
        </w:rPr>
        <w:t>griculturii</w:t>
      </w:r>
      <w:r w:rsidR="00FB0242" w:rsidRPr="00F43C69">
        <w:rPr>
          <w:rFonts w:asciiTheme="majorHAnsi" w:hAnsiTheme="majorHAnsi"/>
          <w:b/>
          <w:lang w:val="ro-RO"/>
        </w:rPr>
        <w:t>,</w:t>
      </w:r>
      <w:r w:rsidR="00A6494E" w:rsidRPr="00F43C69">
        <w:rPr>
          <w:rFonts w:asciiTheme="majorHAnsi" w:hAnsiTheme="majorHAnsi"/>
          <w:b/>
          <w:lang w:val="ro-RO"/>
        </w:rPr>
        <w:t xml:space="preserve"> </w:t>
      </w:r>
      <w:r w:rsidR="00E44946" w:rsidRPr="00F43C69">
        <w:rPr>
          <w:rFonts w:asciiTheme="majorHAnsi" w:hAnsiTheme="majorHAnsi"/>
          <w:b/>
          <w:lang w:val="ro-RO"/>
        </w:rPr>
        <w:t>Dezvoltării</w:t>
      </w:r>
      <w:r w:rsidR="00A6494E" w:rsidRPr="00F43C69">
        <w:rPr>
          <w:rFonts w:asciiTheme="majorHAnsi" w:hAnsiTheme="majorHAnsi"/>
          <w:b/>
          <w:lang w:val="ro-RO"/>
        </w:rPr>
        <w:t xml:space="preserve"> </w:t>
      </w:r>
      <w:r w:rsidRPr="00F43C69">
        <w:rPr>
          <w:rFonts w:asciiTheme="majorHAnsi" w:hAnsiTheme="majorHAnsi"/>
          <w:b/>
          <w:lang w:val="ro-RO"/>
        </w:rPr>
        <w:t>R</w:t>
      </w:r>
      <w:r w:rsidR="00A6494E" w:rsidRPr="00F43C69">
        <w:rPr>
          <w:rFonts w:asciiTheme="majorHAnsi" w:hAnsiTheme="majorHAnsi"/>
          <w:b/>
          <w:lang w:val="ro-RO"/>
        </w:rPr>
        <w:t xml:space="preserve">egionale </w:t>
      </w:r>
      <w:r w:rsidR="00E44946" w:rsidRPr="00F43C69">
        <w:rPr>
          <w:rFonts w:asciiTheme="majorHAnsi" w:hAnsiTheme="majorHAnsi"/>
          <w:b/>
          <w:lang w:val="ro-RO"/>
        </w:rPr>
        <w:t>ș</w:t>
      </w:r>
      <w:r w:rsidR="0026505B" w:rsidRPr="00F43C69">
        <w:rPr>
          <w:rFonts w:asciiTheme="majorHAnsi" w:hAnsiTheme="majorHAnsi"/>
          <w:b/>
          <w:lang w:val="ro-RO"/>
        </w:rPr>
        <w:t xml:space="preserve">i </w:t>
      </w:r>
      <w:r w:rsidRPr="00F43C69">
        <w:rPr>
          <w:rFonts w:asciiTheme="majorHAnsi" w:hAnsiTheme="majorHAnsi"/>
          <w:b/>
          <w:lang w:val="ro-RO"/>
        </w:rPr>
        <w:t>M</w:t>
      </w:r>
      <w:r w:rsidR="00A6494E" w:rsidRPr="00F43C69">
        <w:rPr>
          <w:rFonts w:asciiTheme="majorHAnsi" w:hAnsiTheme="majorHAnsi"/>
          <w:b/>
          <w:lang w:val="ro-RO"/>
        </w:rPr>
        <w:t>ediului</w:t>
      </w:r>
      <w:r w:rsidR="00FB0242" w:rsidRPr="00F43C69">
        <w:rPr>
          <w:rFonts w:asciiTheme="majorHAnsi" w:hAnsiTheme="majorHAnsi"/>
          <w:b/>
          <w:lang w:val="ro-RO"/>
        </w:rPr>
        <w:t>,</w:t>
      </w:r>
      <w:r w:rsidRPr="00F43C69">
        <w:rPr>
          <w:rFonts w:asciiTheme="majorHAnsi" w:hAnsiTheme="majorHAnsi"/>
          <w:b/>
          <w:lang w:val="ro-RO"/>
        </w:rPr>
        <w:t xml:space="preserve"> de comun cu Agenția Proprietăți</w:t>
      </w:r>
      <w:r w:rsidR="00FB0242" w:rsidRPr="00F43C69">
        <w:rPr>
          <w:rFonts w:asciiTheme="majorHAnsi" w:hAnsiTheme="majorHAnsi"/>
          <w:b/>
          <w:lang w:val="ro-RO"/>
        </w:rPr>
        <w:t>i</w:t>
      </w:r>
      <w:r w:rsidRPr="00F43C69">
        <w:rPr>
          <w:rFonts w:asciiTheme="majorHAnsi" w:hAnsiTheme="majorHAnsi"/>
          <w:b/>
          <w:lang w:val="ro-RO"/>
        </w:rPr>
        <w:t xml:space="preserve"> Publice și U</w:t>
      </w:r>
      <w:r w:rsidR="00B203C6" w:rsidRPr="00F43C69">
        <w:rPr>
          <w:rFonts w:asciiTheme="majorHAnsi" w:hAnsiTheme="majorHAnsi"/>
          <w:b/>
          <w:lang w:val="ro-RO"/>
        </w:rPr>
        <w:t xml:space="preserve">niversitatea </w:t>
      </w:r>
      <w:r w:rsidRPr="00F43C69">
        <w:rPr>
          <w:rFonts w:asciiTheme="majorHAnsi" w:hAnsiTheme="majorHAnsi"/>
          <w:b/>
          <w:lang w:val="ro-RO"/>
        </w:rPr>
        <w:t>A</w:t>
      </w:r>
      <w:r w:rsidR="00B203C6" w:rsidRPr="00F43C69">
        <w:rPr>
          <w:rFonts w:asciiTheme="majorHAnsi" w:hAnsiTheme="majorHAnsi"/>
          <w:b/>
          <w:lang w:val="ro-RO"/>
        </w:rPr>
        <w:t xml:space="preserve">grară de </w:t>
      </w:r>
      <w:r w:rsidRPr="00F43C69">
        <w:rPr>
          <w:rFonts w:asciiTheme="majorHAnsi" w:hAnsiTheme="majorHAnsi"/>
          <w:b/>
          <w:lang w:val="ro-RO"/>
        </w:rPr>
        <w:t>S</w:t>
      </w:r>
      <w:r w:rsidR="00B203C6" w:rsidRPr="00F43C69">
        <w:rPr>
          <w:rFonts w:asciiTheme="majorHAnsi" w:hAnsiTheme="majorHAnsi"/>
          <w:b/>
          <w:lang w:val="ro-RO"/>
        </w:rPr>
        <w:t xml:space="preserve">tat a </w:t>
      </w:r>
      <w:r w:rsidRPr="00F43C69">
        <w:rPr>
          <w:rFonts w:asciiTheme="majorHAnsi" w:hAnsiTheme="majorHAnsi"/>
          <w:b/>
          <w:lang w:val="ro-RO"/>
        </w:rPr>
        <w:t>M</w:t>
      </w:r>
      <w:r w:rsidR="00B203C6" w:rsidRPr="00F43C69">
        <w:rPr>
          <w:rFonts w:asciiTheme="majorHAnsi" w:hAnsiTheme="majorHAnsi"/>
          <w:b/>
          <w:lang w:val="ro-RO"/>
        </w:rPr>
        <w:t>oldovei</w:t>
      </w:r>
      <w:r w:rsidRPr="00F43C69">
        <w:rPr>
          <w:rFonts w:asciiTheme="majorHAnsi" w:hAnsiTheme="majorHAnsi"/>
          <w:b/>
          <w:lang w:val="ro-RO"/>
        </w:rPr>
        <w:t xml:space="preserve">, </w:t>
      </w:r>
      <w:r w:rsidRPr="00F43C69">
        <w:rPr>
          <w:rFonts w:asciiTheme="majorHAnsi" w:hAnsiTheme="majorHAnsi"/>
          <w:lang w:val="ro-RO"/>
        </w:rPr>
        <w:t xml:space="preserve">pentru luare de atitudine și asigurarea </w:t>
      </w:r>
      <w:r w:rsidR="00B203C6" w:rsidRPr="00F43C69">
        <w:rPr>
          <w:rFonts w:asciiTheme="majorHAnsi" w:hAnsiTheme="majorHAnsi"/>
          <w:lang w:val="ro-RO"/>
        </w:rPr>
        <w:t>întocmirii actului de primire-predare a terenurilor gestionate de Universitatea Agrară de Stat a Moldovei către Agenția Proprietăți</w:t>
      </w:r>
      <w:r w:rsidR="00FB0242" w:rsidRPr="00F43C69">
        <w:rPr>
          <w:rFonts w:asciiTheme="majorHAnsi" w:hAnsiTheme="majorHAnsi"/>
          <w:lang w:val="ro-RO"/>
        </w:rPr>
        <w:t>i</w:t>
      </w:r>
      <w:r w:rsidR="00B203C6" w:rsidRPr="00F43C69">
        <w:rPr>
          <w:rFonts w:asciiTheme="majorHAnsi" w:hAnsiTheme="majorHAnsi"/>
          <w:lang w:val="ro-RO"/>
        </w:rPr>
        <w:t xml:space="preserve"> Publice, în scopul realizării prevederilor Hotărârii Guvernului nr. 161</w:t>
      </w:r>
      <w:r w:rsidR="00F57956" w:rsidRPr="00F43C69">
        <w:rPr>
          <w:rFonts w:asciiTheme="majorHAnsi" w:hAnsiTheme="majorHAnsi"/>
          <w:color w:val="000000"/>
          <w:lang w:val="ro-RO" w:eastAsia="ru-RU"/>
        </w:rPr>
        <w:t xml:space="preserve"> din</w:t>
      </w:r>
      <w:r w:rsidR="00B203C6" w:rsidRPr="00F43C69">
        <w:rPr>
          <w:rFonts w:asciiTheme="majorHAnsi" w:hAnsiTheme="majorHAnsi"/>
          <w:color w:val="000000"/>
          <w:lang w:val="ro-RO" w:eastAsia="ru-RU"/>
        </w:rPr>
        <w:t xml:space="preserve"> 07.03.2019 </w:t>
      </w:r>
      <w:r w:rsidR="00FB0242" w:rsidRPr="00F43C69">
        <w:rPr>
          <w:rFonts w:asciiTheme="majorHAnsi" w:hAnsiTheme="majorHAnsi"/>
          <w:color w:val="000000"/>
          <w:lang w:val="ro-RO" w:eastAsia="ru-RU"/>
        </w:rPr>
        <w:t>„</w:t>
      </w:r>
      <w:r w:rsidR="00FB0242" w:rsidRPr="00F43C69">
        <w:rPr>
          <w:rFonts w:asciiTheme="majorHAnsi" w:hAnsiTheme="majorHAnsi"/>
          <w:bCs/>
          <w:color w:val="000000"/>
          <w:lang w:val="ro-RO" w:eastAsia="ru-RU"/>
        </w:rPr>
        <w:t>C</w:t>
      </w:r>
      <w:r w:rsidR="00B203C6" w:rsidRPr="00F43C69">
        <w:rPr>
          <w:rFonts w:asciiTheme="majorHAnsi" w:hAnsiTheme="majorHAnsi"/>
          <w:bCs/>
          <w:color w:val="000000"/>
          <w:lang w:val="ro-RO" w:eastAsia="ru-RU"/>
        </w:rPr>
        <w:t>u privire la aprobarea listei terenurilor proprietate publică a statului din administrarea Agenției Proprietății Publice</w:t>
      </w:r>
      <w:r w:rsidR="00FB0242" w:rsidRPr="00F43C69">
        <w:rPr>
          <w:rFonts w:asciiTheme="majorHAnsi" w:hAnsiTheme="majorHAnsi"/>
          <w:bCs/>
          <w:color w:val="000000"/>
          <w:lang w:val="ro-RO" w:eastAsia="ru-RU"/>
        </w:rPr>
        <w:t>”</w:t>
      </w:r>
      <w:r w:rsidR="00A6494E" w:rsidRPr="00F43C69">
        <w:rPr>
          <w:rFonts w:asciiTheme="majorHAnsi" w:hAnsiTheme="majorHAnsi"/>
          <w:bCs/>
          <w:color w:val="000000"/>
          <w:lang w:val="ro-RO" w:eastAsia="ru-RU"/>
        </w:rPr>
        <w:t xml:space="preserve">, cu </w:t>
      </w:r>
      <w:r w:rsidR="00E44946" w:rsidRPr="00F43C69">
        <w:rPr>
          <w:rFonts w:asciiTheme="majorHAnsi" w:hAnsiTheme="majorHAnsi"/>
          <w:bCs/>
          <w:color w:val="000000"/>
          <w:lang w:val="ro-RO" w:eastAsia="ru-RU"/>
        </w:rPr>
        <w:t>încheierea</w:t>
      </w:r>
      <w:r w:rsidR="00FB0242" w:rsidRPr="00F43C69">
        <w:rPr>
          <w:rFonts w:asciiTheme="majorHAnsi" w:hAnsiTheme="majorHAnsi"/>
          <w:bCs/>
          <w:color w:val="000000"/>
          <w:lang w:val="ro-RO" w:eastAsia="ru-RU"/>
        </w:rPr>
        <w:t>,</w:t>
      </w:r>
      <w:r w:rsidR="00A6494E" w:rsidRPr="00F43C69">
        <w:rPr>
          <w:rFonts w:asciiTheme="majorHAnsi" w:hAnsiTheme="majorHAnsi"/>
          <w:bCs/>
          <w:color w:val="000000"/>
          <w:lang w:val="ro-RO" w:eastAsia="ru-RU"/>
        </w:rPr>
        <w:t xml:space="preserve"> dup</w:t>
      </w:r>
      <w:r w:rsidR="00E44946" w:rsidRPr="00F43C69">
        <w:rPr>
          <w:rFonts w:asciiTheme="majorHAnsi" w:hAnsiTheme="majorHAnsi"/>
          <w:bCs/>
          <w:color w:val="000000"/>
          <w:lang w:val="ro-RO" w:eastAsia="ru-RU"/>
        </w:rPr>
        <w:t>ă</w:t>
      </w:r>
      <w:r w:rsidR="00A6494E" w:rsidRPr="00F43C69">
        <w:rPr>
          <w:rFonts w:asciiTheme="majorHAnsi" w:hAnsiTheme="majorHAnsi"/>
          <w:bCs/>
          <w:color w:val="000000"/>
          <w:lang w:val="ro-RO" w:eastAsia="ru-RU"/>
        </w:rPr>
        <w:t xml:space="preserve"> caz, a contractului de arend</w:t>
      </w:r>
      <w:r w:rsidR="00E44946" w:rsidRPr="00F43C69">
        <w:rPr>
          <w:rFonts w:asciiTheme="majorHAnsi" w:hAnsiTheme="majorHAnsi"/>
          <w:bCs/>
          <w:color w:val="000000"/>
          <w:lang w:val="ro-RO" w:eastAsia="ru-RU"/>
        </w:rPr>
        <w:t>ă</w:t>
      </w:r>
      <w:r w:rsidR="00A6494E" w:rsidRPr="00F43C69">
        <w:rPr>
          <w:rFonts w:asciiTheme="majorHAnsi" w:hAnsiTheme="majorHAnsi"/>
          <w:bCs/>
          <w:color w:val="000000"/>
          <w:lang w:val="ro-RO" w:eastAsia="ru-RU"/>
        </w:rPr>
        <w:t xml:space="preserve"> a terenului aferent </w:t>
      </w:r>
      <w:r w:rsidR="00E44946" w:rsidRPr="00F43C69">
        <w:rPr>
          <w:rFonts w:asciiTheme="majorHAnsi" w:hAnsiTheme="majorHAnsi"/>
          <w:bCs/>
          <w:color w:val="000000"/>
          <w:lang w:val="ro-RO" w:eastAsia="ru-RU"/>
        </w:rPr>
        <w:t>construcției</w:t>
      </w:r>
      <w:r w:rsidR="00A6494E" w:rsidRPr="00F43C69">
        <w:rPr>
          <w:rFonts w:asciiTheme="majorHAnsi" w:hAnsiTheme="majorHAnsi"/>
          <w:bCs/>
          <w:color w:val="000000"/>
          <w:lang w:val="ro-RO" w:eastAsia="ru-RU"/>
        </w:rPr>
        <w:t xml:space="preserve"> nefinisate</w:t>
      </w:r>
      <w:r w:rsidR="007D114A">
        <w:rPr>
          <w:rFonts w:asciiTheme="majorHAnsi" w:hAnsiTheme="majorHAnsi"/>
          <w:bCs/>
          <w:color w:val="000000"/>
          <w:lang w:val="ro-RO" w:eastAsia="ru-RU"/>
        </w:rPr>
        <w:t>;</w:t>
      </w:r>
    </w:p>
    <w:p w:rsidR="005A22A8" w:rsidRPr="005A22A8" w:rsidRDefault="003E0D0D" w:rsidP="005A22A8">
      <w:pPr>
        <w:pStyle w:val="NormalWeb"/>
        <w:ind w:firstLine="720"/>
        <w:rPr>
          <w:rFonts w:asciiTheme="majorHAnsi" w:hAnsiTheme="majorHAnsi"/>
          <w:bCs/>
          <w:color w:val="000000"/>
          <w:lang w:val="ro-RO" w:eastAsia="ru-RU"/>
        </w:rPr>
      </w:pPr>
      <w:r w:rsidRPr="00F43C69">
        <w:rPr>
          <w:rFonts w:asciiTheme="majorHAnsi" w:hAnsiTheme="majorHAnsi"/>
          <w:b/>
          <w:bCs/>
          <w:color w:val="000000"/>
          <w:lang w:val="ro-RO" w:eastAsia="ru-RU"/>
        </w:rPr>
        <w:t>2.</w:t>
      </w:r>
      <w:r w:rsidR="00D37235" w:rsidRPr="00F43C69">
        <w:rPr>
          <w:rFonts w:asciiTheme="majorHAnsi" w:hAnsiTheme="majorHAnsi"/>
          <w:b/>
          <w:bCs/>
          <w:color w:val="000000"/>
          <w:lang w:val="ro-RO" w:eastAsia="ru-RU"/>
        </w:rPr>
        <w:t>8</w:t>
      </w:r>
      <w:r w:rsidRPr="00F43C69">
        <w:rPr>
          <w:rFonts w:asciiTheme="majorHAnsi" w:hAnsiTheme="majorHAnsi"/>
          <w:b/>
          <w:bCs/>
          <w:color w:val="000000"/>
          <w:lang w:val="ro-RO" w:eastAsia="ru-RU"/>
        </w:rPr>
        <w:t xml:space="preserve">. </w:t>
      </w:r>
      <w:r w:rsidRPr="007448C9">
        <w:rPr>
          <w:rFonts w:asciiTheme="majorHAnsi" w:hAnsiTheme="majorHAnsi"/>
          <w:b/>
          <w:bCs/>
          <w:color w:val="000000"/>
          <w:lang w:val="ro-RO" w:eastAsia="ru-RU"/>
        </w:rPr>
        <w:t xml:space="preserve">Procuraturii Generale, </w:t>
      </w:r>
      <w:r w:rsidR="005A22A8" w:rsidRPr="007448C9">
        <w:rPr>
          <w:rFonts w:asciiTheme="majorHAnsi" w:hAnsiTheme="majorHAnsi"/>
          <w:bCs/>
          <w:color w:val="000000"/>
          <w:lang w:val="ro-RO" w:eastAsia="ru-RU"/>
        </w:rPr>
        <w:t xml:space="preserve">pentru examinare și autosesizare în vederea întreprinderii măsurilor ce se impun referitor la situațiile expuse în Raportul de audit, în special a celor </w:t>
      </w:r>
      <w:r w:rsidR="007D114A">
        <w:rPr>
          <w:rFonts w:asciiTheme="majorHAnsi" w:hAnsiTheme="majorHAnsi"/>
          <w:bCs/>
          <w:color w:val="000000"/>
          <w:lang w:val="ro-RO" w:eastAsia="ru-RU"/>
        </w:rPr>
        <w:t>din</w:t>
      </w:r>
      <w:r w:rsidR="005A22A8" w:rsidRPr="007448C9">
        <w:rPr>
          <w:rFonts w:asciiTheme="majorHAnsi" w:hAnsiTheme="majorHAnsi"/>
          <w:bCs/>
          <w:color w:val="000000"/>
          <w:lang w:val="ro-RO" w:eastAsia="ru-RU"/>
        </w:rPr>
        <w:t xml:space="preserve"> pct.</w:t>
      </w:r>
      <w:r w:rsidR="0080415B" w:rsidRPr="0080415B">
        <w:rPr>
          <w:rFonts w:asciiTheme="majorHAnsi" w:eastAsiaTheme="minorHAnsi" w:hAnsiTheme="majorHAnsi" w:cstheme="minorBidi"/>
          <w:bCs/>
          <w:color w:val="000000"/>
          <w:sz w:val="22"/>
          <w:szCs w:val="22"/>
          <w:lang w:val="ro-RO" w:eastAsia="ru-RU"/>
        </w:rPr>
        <w:t xml:space="preserve"> </w:t>
      </w:r>
      <w:r w:rsidR="0080415B" w:rsidRPr="0080415B">
        <w:rPr>
          <w:rFonts w:asciiTheme="majorHAnsi" w:hAnsiTheme="majorHAnsi"/>
          <w:bCs/>
          <w:color w:val="000000"/>
          <w:lang w:val="ro-RO" w:eastAsia="ru-RU"/>
        </w:rPr>
        <w:t>4.2.1</w:t>
      </w:r>
      <w:r w:rsidR="005A22A8" w:rsidRPr="007448C9">
        <w:rPr>
          <w:rFonts w:asciiTheme="majorHAnsi" w:hAnsiTheme="majorHAnsi"/>
          <w:bCs/>
          <w:color w:val="000000"/>
          <w:lang w:val="ro-RO" w:eastAsia="ru-RU"/>
        </w:rPr>
        <w:t>, pct. 4.3.</w:t>
      </w:r>
      <w:r w:rsidR="0080415B">
        <w:rPr>
          <w:rFonts w:asciiTheme="majorHAnsi" w:hAnsiTheme="majorHAnsi"/>
          <w:bCs/>
          <w:color w:val="000000"/>
          <w:lang w:val="ro-RO" w:eastAsia="ru-RU"/>
        </w:rPr>
        <w:t>1</w:t>
      </w:r>
      <w:r w:rsidR="005A22A8" w:rsidRPr="007448C9">
        <w:rPr>
          <w:rFonts w:asciiTheme="majorHAnsi" w:hAnsiTheme="majorHAnsi"/>
          <w:bCs/>
          <w:color w:val="000000"/>
          <w:lang w:val="ro-RO" w:eastAsia="ru-RU"/>
        </w:rPr>
        <w:t xml:space="preserve"> și pct.</w:t>
      </w:r>
      <w:r w:rsidR="0080415B">
        <w:rPr>
          <w:rFonts w:asciiTheme="majorHAnsi" w:hAnsiTheme="majorHAnsi"/>
          <w:bCs/>
          <w:color w:val="000000"/>
          <w:lang w:val="ro-RO" w:eastAsia="ru-RU"/>
        </w:rPr>
        <w:t>4.3.2</w:t>
      </w:r>
      <w:r w:rsidR="005A22A8" w:rsidRPr="007448C9">
        <w:rPr>
          <w:rFonts w:asciiTheme="majorHAnsi" w:hAnsiTheme="majorHAnsi"/>
          <w:bCs/>
          <w:color w:val="000000"/>
          <w:lang w:val="ro-RO" w:eastAsia="ru-RU"/>
        </w:rPr>
        <w:t>.</w:t>
      </w:r>
    </w:p>
    <w:p w:rsidR="00E62DEA" w:rsidRDefault="0094294D" w:rsidP="005A22A8">
      <w:pPr>
        <w:pStyle w:val="NormalWeb"/>
        <w:ind w:firstLine="720"/>
        <w:rPr>
          <w:rFonts w:asciiTheme="majorHAnsi" w:hAnsiTheme="majorHAnsi"/>
          <w:bCs/>
          <w:lang w:val="ro-RO"/>
        </w:rPr>
      </w:pPr>
      <w:r w:rsidRPr="00F43C69">
        <w:rPr>
          <w:rFonts w:asciiTheme="majorHAnsi" w:hAnsiTheme="majorHAnsi"/>
          <w:b/>
          <w:lang w:val="ro-RO"/>
        </w:rPr>
        <w:t>3.</w:t>
      </w:r>
      <w:r w:rsidRPr="00F43C69">
        <w:rPr>
          <w:rFonts w:asciiTheme="majorHAnsi" w:hAnsiTheme="majorHAnsi"/>
          <w:lang w:val="ro-RO"/>
        </w:rPr>
        <w:t xml:space="preserve"> </w:t>
      </w:r>
      <w:r w:rsidRPr="00F43C69">
        <w:rPr>
          <w:rFonts w:asciiTheme="majorHAnsi" w:hAnsiTheme="majorHAnsi"/>
          <w:bCs/>
          <w:lang w:val="ro-RO"/>
        </w:rPr>
        <w:t xml:space="preserve">Prezenta Hotărâre intră în vigoare din data publicării </w:t>
      </w:r>
      <w:r w:rsidRPr="00F43C69">
        <w:rPr>
          <w:rFonts w:asciiTheme="majorHAnsi" w:hAnsiTheme="majorHAnsi"/>
          <w:lang w:val="ro-RO"/>
        </w:rPr>
        <w:t xml:space="preserve">în Monitorul Oficial al Republicii Moldova </w:t>
      </w:r>
      <w:r w:rsidRPr="00F43C69">
        <w:rPr>
          <w:rFonts w:asciiTheme="majorHAnsi" w:hAnsiTheme="majorHAnsi" w:cstheme="majorHAnsi"/>
          <w:lang w:val="ro-RO"/>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E62DEA" w:rsidRDefault="0094294D">
      <w:pPr>
        <w:pStyle w:val="NormalWeb"/>
        <w:ind w:firstLine="720"/>
        <w:rPr>
          <w:rFonts w:asciiTheme="majorHAnsi" w:hAnsiTheme="majorHAnsi"/>
          <w:lang w:val="ro-RO"/>
        </w:rPr>
      </w:pPr>
      <w:r w:rsidRPr="000068E7">
        <w:rPr>
          <w:rFonts w:asciiTheme="majorHAnsi" w:hAnsiTheme="majorHAnsi"/>
          <w:b/>
          <w:bCs/>
          <w:lang w:val="ro-RO"/>
        </w:rPr>
        <w:t xml:space="preserve">4. </w:t>
      </w:r>
      <w:r w:rsidRPr="000068E7">
        <w:rPr>
          <w:rFonts w:asciiTheme="majorHAnsi" w:hAnsiTheme="majorHAnsi" w:cstheme="majorHAnsi"/>
          <w:bCs/>
          <w:lang w:val="ro-RO"/>
        </w:rPr>
        <w:t>Curtea de Conturi va fi informată, în termen de 12 luni din data publicării Hotărârii în Monitorul Oficial al Republicii Moldova</w:t>
      </w:r>
      <w:r w:rsidR="003E0D0D" w:rsidRPr="000068E7">
        <w:rPr>
          <w:rFonts w:asciiTheme="majorHAnsi" w:hAnsiTheme="majorHAnsi" w:cstheme="majorHAnsi"/>
          <w:bCs/>
          <w:lang w:val="ro-RO"/>
        </w:rPr>
        <w:t>, cu raportarea semestrială</w:t>
      </w:r>
      <w:r w:rsidRPr="000068E7">
        <w:rPr>
          <w:rFonts w:asciiTheme="majorHAnsi" w:hAnsiTheme="majorHAnsi" w:cstheme="majorHAnsi"/>
          <w:bCs/>
          <w:lang w:val="ro-RO"/>
        </w:rPr>
        <w:t xml:space="preserve"> despre acțiunile întreprinse pentru executarea subpunctelor </w:t>
      </w:r>
      <w:r w:rsidRPr="000068E7">
        <w:rPr>
          <w:rFonts w:asciiTheme="majorHAnsi" w:hAnsiTheme="majorHAnsi" w:cstheme="majorHAnsi"/>
          <w:b/>
          <w:bCs/>
          <w:lang w:val="ro-RO"/>
        </w:rPr>
        <w:t>2.4.</w:t>
      </w:r>
      <w:r w:rsidRPr="000068E7">
        <w:rPr>
          <w:rFonts w:asciiTheme="majorHAnsi" w:hAnsiTheme="majorHAnsi" w:cstheme="majorHAnsi"/>
          <w:bCs/>
          <w:lang w:val="ro-RO"/>
        </w:rPr>
        <w:t xml:space="preserve"> - </w:t>
      </w:r>
      <w:r w:rsidRPr="000068E7">
        <w:rPr>
          <w:rFonts w:asciiTheme="majorHAnsi" w:hAnsiTheme="majorHAnsi" w:cstheme="majorHAnsi"/>
          <w:b/>
          <w:bCs/>
          <w:lang w:val="ro-RO"/>
        </w:rPr>
        <w:t>2.</w:t>
      </w:r>
      <w:r w:rsidR="00614B9C">
        <w:rPr>
          <w:rFonts w:asciiTheme="majorHAnsi" w:hAnsiTheme="majorHAnsi" w:cstheme="majorHAnsi"/>
          <w:b/>
          <w:bCs/>
          <w:lang w:val="ro-RO"/>
        </w:rPr>
        <w:t>7</w:t>
      </w:r>
      <w:r w:rsidRPr="000068E7">
        <w:rPr>
          <w:rFonts w:asciiTheme="majorHAnsi" w:hAnsiTheme="majorHAnsi" w:cstheme="majorHAnsi"/>
          <w:b/>
          <w:bCs/>
          <w:lang w:val="ro-RO"/>
        </w:rPr>
        <w:t>.</w:t>
      </w:r>
      <w:r w:rsidRPr="000068E7">
        <w:rPr>
          <w:rFonts w:asciiTheme="majorHAnsi" w:hAnsiTheme="majorHAnsi" w:cstheme="majorHAnsi"/>
          <w:bCs/>
          <w:lang w:val="ro-RO"/>
        </w:rPr>
        <w:t xml:space="preserve"> din prezenta Hotărâre.</w:t>
      </w:r>
    </w:p>
    <w:p w:rsidR="00E62DEA" w:rsidRDefault="0094294D">
      <w:pPr>
        <w:pStyle w:val="NormalWeb"/>
        <w:spacing w:after="240" w:line="276" w:lineRule="auto"/>
        <w:ind w:firstLine="720"/>
        <w:rPr>
          <w:rFonts w:ascii="Calibri Light" w:hAnsi="Calibri Light" w:cs="Calibri Light"/>
          <w:lang w:val="ro-RO"/>
        </w:rPr>
      </w:pPr>
      <w:r w:rsidRPr="000068E7">
        <w:rPr>
          <w:rFonts w:asciiTheme="majorHAnsi" w:hAnsiTheme="majorHAnsi"/>
          <w:b/>
          <w:lang w:val="ro-RO"/>
        </w:rPr>
        <w:t>5.</w:t>
      </w:r>
      <w:r w:rsidRPr="000068E7">
        <w:rPr>
          <w:rFonts w:asciiTheme="majorHAnsi" w:hAnsiTheme="majorHAnsi"/>
          <w:lang w:val="ro-RO"/>
        </w:rPr>
        <w:t xml:space="preserve"> Hotărârea și </w:t>
      </w:r>
      <w:r w:rsidRPr="000068E7">
        <w:rPr>
          <w:rFonts w:asciiTheme="majorHAnsi" w:hAnsiTheme="majorHAnsi"/>
          <w:bCs/>
          <w:lang w:val="ro-RO" w:eastAsia="ru-RU"/>
        </w:rPr>
        <w:t xml:space="preserve">Raportul auditului conformității </w:t>
      </w:r>
      <w:r w:rsidR="00460C02" w:rsidRPr="000068E7">
        <w:rPr>
          <w:rFonts w:asciiTheme="majorHAnsi" w:hAnsiTheme="majorHAnsi"/>
          <w:bCs/>
          <w:lang w:val="ro-RO" w:eastAsia="ru-RU"/>
        </w:rPr>
        <w:t xml:space="preserve">asupra </w:t>
      </w:r>
      <w:r w:rsidRPr="000068E7">
        <w:rPr>
          <w:rFonts w:asciiTheme="majorHAnsi" w:hAnsiTheme="majorHAnsi"/>
          <w:bCs/>
          <w:lang w:val="ro-RO" w:eastAsia="ru-RU"/>
        </w:rPr>
        <w:t xml:space="preserve">achizițiilor publice în cadrul sistemului Ministerului </w:t>
      </w:r>
      <w:r w:rsidR="00831628" w:rsidRPr="000068E7">
        <w:rPr>
          <w:rFonts w:asciiTheme="majorHAnsi" w:hAnsiTheme="majorHAnsi"/>
          <w:bCs/>
          <w:lang w:val="ro-RO" w:eastAsia="ru-RU"/>
        </w:rPr>
        <w:t>Agriculturii</w:t>
      </w:r>
      <w:r w:rsidR="00460C02" w:rsidRPr="000068E7">
        <w:rPr>
          <w:rFonts w:asciiTheme="majorHAnsi" w:hAnsiTheme="majorHAnsi"/>
          <w:bCs/>
          <w:lang w:val="ro-RO" w:eastAsia="ru-RU"/>
        </w:rPr>
        <w:t>,</w:t>
      </w:r>
      <w:r w:rsidR="00831628" w:rsidRPr="000068E7">
        <w:rPr>
          <w:rFonts w:asciiTheme="majorHAnsi" w:hAnsiTheme="majorHAnsi"/>
          <w:bCs/>
          <w:lang w:val="ro-RO" w:eastAsia="ru-RU"/>
        </w:rPr>
        <w:t xml:space="preserve"> Dezvoltării Regionale și Mediu</w:t>
      </w:r>
      <w:r w:rsidR="00460C02" w:rsidRPr="000068E7">
        <w:rPr>
          <w:rFonts w:asciiTheme="majorHAnsi" w:hAnsiTheme="majorHAnsi"/>
          <w:bCs/>
          <w:lang w:val="ro-RO" w:eastAsia="ru-RU"/>
        </w:rPr>
        <w:t>lui</w:t>
      </w:r>
      <w:r w:rsidRPr="000068E7">
        <w:rPr>
          <w:rFonts w:asciiTheme="majorHAnsi" w:hAnsiTheme="majorHAnsi"/>
          <w:bCs/>
          <w:lang w:val="ro-RO" w:eastAsia="ru-RU"/>
        </w:rPr>
        <w:t xml:space="preserve"> în anii 2019-2020 </w:t>
      </w:r>
      <w:r w:rsidRPr="000068E7">
        <w:rPr>
          <w:rFonts w:asciiTheme="majorHAnsi" w:hAnsiTheme="majorHAnsi"/>
          <w:lang w:val="ro-RO"/>
        </w:rPr>
        <w:t xml:space="preserve">se plasează pe site-ul oficial al Curții de Conturi </w:t>
      </w:r>
      <w:r w:rsidR="00F43C69" w:rsidRPr="00F43C69">
        <w:rPr>
          <w:rFonts w:ascii="Calibri Light" w:hAnsi="Calibri Light" w:cs="Calibri Light"/>
          <w:lang w:val="ro-RO"/>
        </w:rPr>
        <w:t>(</w:t>
      </w:r>
      <w:hyperlink r:id="rId8" w:history="1">
        <w:r w:rsidR="00F43C69" w:rsidRPr="00F43C69">
          <w:rPr>
            <w:rStyle w:val="Hyperlink"/>
            <w:rFonts w:ascii="Calibri Light" w:eastAsiaTheme="majorEastAsia" w:hAnsi="Calibri Light" w:cs="Calibri Light"/>
            <w:lang w:val="ro-RO"/>
          </w:rPr>
          <w:t>http://www.ccrm.md/hotariri-si-rapoarte-1-95</w:t>
        </w:r>
      </w:hyperlink>
      <w:r w:rsidR="00F43C69" w:rsidRPr="00F43C69">
        <w:rPr>
          <w:rFonts w:ascii="Calibri Light" w:hAnsi="Calibri Light" w:cs="Calibri Light"/>
          <w:lang w:val="ro-RO"/>
        </w:rPr>
        <w:t>).</w:t>
      </w:r>
    </w:p>
    <w:p w:rsidR="00F43C69" w:rsidRPr="000068E7" w:rsidRDefault="00F43C69" w:rsidP="006768CA">
      <w:pPr>
        <w:spacing w:after="0" w:line="240" w:lineRule="auto"/>
        <w:rPr>
          <w:rFonts w:asciiTheme="majorHAnsi" w:eastAsia="Times New Roman" w:hAnsiTheme="majorHAnsi" w:cs="Times New Roman"/>
          <w:b/>
          <w:sz w:val="24"/>
          <w:szCs w:val="24"/>
          <w:lang w:val="ro-RO"/>
        </w:rPr>
      </w:pPr>
    </w:p>
    <w:p w:rsidR="008A006A" w:rsidRPr="000068E7" w:rsidRDefault="008A006A" w:rsidP="00E44946">
      <w:pPr>
        <w:spacing w:after="0" w:line="240" w:lineRule="auto"/>
        <w:jc w:val="right"/>
        <w:rPr>
          <w:rFonts w:asciiTheme="majorHAnsi" w:eastAsia="Times New Roman" w:hAnsiTheme="majorHAnsi" w:cs="Times New Roman"/>
          <w:b/>
          <w:sz w:val="24"/>
          <w:szCs w:val="24"/>
          <w:lang w:val="ro-RO"/>
        </w:rPr>
      </w:pPr>
      <w:r w:rsidRPr="000068E7">
        <w:rPr>
          <w:rFonts w:asciiTheme="majorHAnsi" w:eastAsia="Times New Roman" w:hAnsiTheme="majorHAnsi" w:cs="Times New Roman"/>
          <w:b/>
          <w:sz w:val="24"/>
          <w:szCs w:val="24"/>
          <w:lang w:val="ro-RO"/>
        </w:rPr>
        <w:t>Marian LUPU,</w:t>
      </w:r>
    </w:p>
    <w:p w:rsidR="0040217A" w:rsidRDefault="008A006A" w:rsidP="00100F0F">
      <w:pPr>
        <w:spacing w:after="0" w:line="240" w:lineRule="auto"/>
        <w:jc w:val="right"/>
        <w:rPr>
          <w:rFonts w:asciiTheme="majorHAnsi" w:eastAsia="Times New Roman" w:hAnsiTheme="majorHAnsi" w:cs="Times New Roman"/>
          <w:b/>
          <w:sz w:val="24"/>
          <w:szCs w:val="24"/>
          <w:lang w:val="ro-RO"/>
        </w:rPr>
      </w:pPr>
      <w:r w:rsidRPr="000068E7">
        <w:rPr>
          <w:rFonts w:asciiTheme="majorHAnsi" w:eastAsia="Times New Roman" w:hAnsiTheme="majorHAnsi" w:cs="Times New Roman"/>
          <w:b/>
          <w:sz w:val="24"/>
          <w:szCs w:val="24"/>
          <w:lang w:val="ro-RO"/>
        </w:rPr>
        <w:t>Președinte</w:t>
      </w:r>
    </w:p>
    <w:p w:rsidR="000068E7" w:rsidRDefault="000068E7">
      <w:pPr>
        <w:rPr>
          <w:rFonts w:asciiTheme="majorHAnsi" w:eastAsia="Times New Roman" w:hAnsiTheme="majorHAnsi" w:cs="Times New Roman"/>
          <w:b/>
          <w:sz w:val="24"/>
          <w:szCs w:val="24"/>
          <w:lang w:val="ro-RO"/>
        </w:rPr>
      </w:pPr>
      <w:bookmarkStart w:id="1" w:name="_GoBack"/>
      <w:bookmarkEnd w:id="1"/>
    </w:p>
    <w:sectPr w:rsidR="000068E7" w:rsidSect="009D5AE4">
      <w:footerReference w:type="default" r:id="rId9"/>
      <w:headerReference w:type="first" r:id="rId10"/>
      <w:footerReference w:type="first" r:id="rId11"/>
      <w:pgSz w:w="12240" w:h="15840"/>
      <w:pgMar w:top="851" w:right="851" w:bottom="85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96" w:rsidRDefault="00001596" w:rsidP="008A006A">
      <w:pPr>
        <w:spacing w:after="0" w:line="240" w:lineRule="auto"/>
      </w:pPr>
      <w:r>
        <w:separator/>
      </w:r>
    </w:p>
  </w:endnote>
  <w:endnote w:type="continuationSeparator" w:id="0">
    <w:p w:rsidR="00001596" w:rsidRDefault="00001596" w:rsidP="008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rsidR="00044F16" w:rsidRDefault="00502882">
        <w:pPr>
          <w:pStyle w:val="Footer"/>
          <w:jc w:val="right"/>
        </w:pPr>
        <w:r>
          <w:fldChar w:fldCharType="begin"/>
        </w:r>
        <w:r w:rsidR="00A84BAD">
          <w:instrText xml:space="preserve"> PAGE   \* MERGEFORMAT </w:instrText>
        </w:r>
        <w:r>
          <w:fldChar w:fldCharType="separate"/>
        </w:r>
        <w:r w:rsidR="00164913">
          <w:rPr>
            <w:noProof/>
          </w:rPr>
          <w:t>2</w:t>
        </w:r>
        <w:r>
          <w:rPr>
            <w:noProof/>
          </w:rPr>
          <w:fldChar w:fldCharType="end"/>
        </w:r>
      </w:p>
    </w:sdtContent>
  </w:sdt>
  <w:p w:rsidR="00044F16" w:rsidRDefault="00001596"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rsidR="00044F16" w:rsidRDefault="00502882">
        <w:pPr>
          <w:pStyle w:val="Footer"/>
          <w:jc w:val="right"/>
        </w:pPr>
        <w:r>
          <w:fldChar w:fldCharType="begin"/>
        </w:r>
        <w:r w:rsidR="00A84BAD">
          <w:instrText xml:space="preserve"> PAGE   \* MERGEFORMAT </w:instrText>
        </w:r>
        <w:r>
          <w:fldChar w:fldCharType="separate"/>
        </w:r>
        <w:r w:rsidR="00A84BAD">
          <w:rPr>
            <w:noProof/>
          </w:rPr>
          <w:t>1</w:t>
        </w:r>
        <w:r>
          <w:rPr>
            <w:noProof/>
          </w:rPr>
          <w:fldChar w:fldCharType="end"/>
        </w:r>
      </w:p>
    </w:sdtContent>
  </w:sdt>
  <w:p w:rsidR="00044F16" w:rsidRDefault="0000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96" w:rsidRDefault="00001596" w:rsidP="008A006A">
      <w:pPr>
        <w:spacing w:after="0" w:line="240" w:lineRule="auto"/>
      </w:pPr>
      <w:r>
        <w:separator/>
      </w:r>
    </w:p>
  </w:footnote>
  <w:footnote w:type="continuationSeparator" w:id="0">
    <w:p w:rsidR="00001596" w:rsidRDefault="00001596" w:rsidP="008A006A">
      <w:pPr>
        <w:spacing w:after="0" w:line="240" w:lineRule="auto"/>
      </w:pPr>
      <w:r>
        <w:continuationSeparator/>
      </w:r>
    </w:p>
  </w:footnote>
  <w:footnote w:id="1">
    <w:p w:rsidR="003E5B76" w:rsidRPr="0080415B" w:rsidRDefault="00502882" w:rsidP="00A3461B">
      <w:pPr>
        <w:pStyle w:val="FootnoteText"/>
        <w:jc w:val="both"/>
        <w:rPr>
          <w:rFonts w:asciiTheme="majorHAnsi" w:hAnsiTheme="majorHAnsi" w:cstheme="majorHAnsi"/>
          <w:sz w:val="16"/>
          <w:szCs w:val="16"/>
          <w:lang w:val="ro-MD"/>
        </w:rPr>
      </w:pPr>
      <w:r w:rsidRPr="0080415B">
        <w:rPr>
          <w:rStyle w:val="FootnoteReference"/>
          <w:rFonts w:asciiTheme="majorHAnsi" w:hAnsiTheme="majorHAnsi" w:cstheme="majorHAnsi"/>
          <w:sz w:val="18"/>
          <w:szCs w:val="18"/>
          <w:lang w:val="ro-MD"/>
        </w:rPr>
        <w:footnoteRef/>
      </w:r>
      <w:r w:rsidRPr="0080415B">
        <w:rPr>
          <w:rFonts w:asciiTheme="majorHAnsi" w:hAnsiTheme="majorHAnsi" w:cstheme="majorHAnsi"/>
          <w:sz w:val="18"/>
          <w:szCs w:val="18"/>
          <w:lang w:val="ro-MD"/>
        </w:rPr>
        <w:t xml:space="preserve"> </w:t>
      </w:r>
      <w:r w:rsidRPr="0080415B">
        <w:rPr>
          <w:rFonts w:asciiTheme="majorHAnsi" w:hAnsiTheme="majorHAnsi" w:cstheme="majorHAnsi"/>
          <w:sz w:val="16"/>
          <w:szCs w:val="16"/>
          <w:lang w:val="ro-MD"/>
        </w:rPr>
        <w:t>Hotărârea Parlamentului nr.55 din 17.03.2020 privind declararea stării de urgență.</w:t>
      </w:r>
    </w:p>
  </w:footnote>
  <w:footnote w:id="2">
    <w:p w:rsidR="00C04145" w:rsidRPr="0080415B" w:rsidRDefault="00502882" w:rsidP="00A3461B">
      <w:pPr>
        <w:pStyle w:val="FootnoteText"/>
        <w:jc w:val="both"/>
        <w:rPr>
          <w:rFonts w:asciiTheme="majorHAnsi" w:hAnsiTheme="majorHAnsi" w:cstheme="majorHAnsi"/>
          <w:sz w:val="16"/>
          <w:szCs w:val="16"/>
          <w:lang w:val="ro-MD"/>
        </w:rPr>
      </w:pPr>
      <w:r w:rsidRPr="0080415B">
        <w:rPr>
          <w:rStyle w:val="FootnoteReference"/>
          <w:rFonts w:asciiTheme="majorHAnsi" w:hAnsiTheme="majorHAnsi" w:cstheme="majorHAnsi"/>
          <w:sz w:val="16"/>
          <w:szCs w:val="16"/>
          <w:lang w:val="ro-MD"/>
        </w:rPr>
        <w:footnoteRef/>
      </w:r>
      <w:r w:rsidRPr="0080415B">
        <w:rPr>
          <w:rFonts w:asciiTheme="majorHAnsi" w:hAnsiTheme="majorHAnsi" w:cstheme="majorHAnsi"/>
          <w:sz w:val="16"/>
          <w:szCs w:val="16"/>
          <w:lang w:val="ro-MD"/>
        </w:rPr>
        <w:t xml:space="preserve"> </w:t>
      </w:r>
      <w:r w:rsidRPr="0080415B">
        <w:rPr>
          <w:rFonts w:asciiTheme="majorHAnsi" w:hAnsiTheme="majorHAnsi" w:cstheme="majorHAnsi"/>
          <w:sz w:val="16"/>
          <w:szCs w:val="16"/>
          <w:lang w:val="ro-MD"/>
        </w:rPr>
        <w:t xml:space="preserve">Legea privind organizarea </w:t>
      </w:r>
      <w:proofErr w:type="spellStart"/>
      <w:r w:rsidRPr="0080415B">
        <w:rPr>
          <w:rFonts w:asciiTheme="majorHAnsi" w:hAnsiTheme="majorHAnsi" w:cstheme="majorHAnsi"/>
          <w:sz w:val="16"/>
          <w:szCs w:val="16"/>
          <w:lang w:val="ro-MD"/>
        </w:rPr>
        <w:t>şi</w:t>
      </w:r>
      <w:proofErr w:type="spellEnd"/>
      <w:r w:rsidRPr="0080415B">
        <w:rPr>
          <w:rFonts w:asciiTheme="majorHAnsi" w:hAnsiTheme="majorHAnsi" w:cstheme="majorHAnsi"/>
          <w:sz w:val="16"/>
          <w:szCs w:val="16"/>
          <w:lang w:val="ro-MD"/>
        </w:rPr>
        <w:t xml:space="preserve"> funcționarea Curții de Conturi a Republicii Moldova nr.260 din 07.12.2017 (în continuare – Legea nr.260 din 07.12.2017).</w:t>
      </w:r>
    </w:p>
  </w:footnote>
  <w:footnote w:id="3">
    <w:p w:rsidR="004448AB" w:rsidRPr="0080415B" w:rsidRDefault="00502882" w:rsidP="00A3461B">
      <w:pPr>
        <w:spacing w:after="0"/>
        <w:jc w:val="both"/>
        <w:rPr>
          <w:rFonts w:asciiTheme="majorHAnsi" w:hAnsiTheme="majorHAnsi" w:cs="Times New Roman"/>
          <w:sz w:val="16"/>
          <w:szCs w:val="16"/>
          <w:lang w:val="ro-MD"/>
        </w:rPr>
      </w:pPr>
      <w:r w:rsidRPr="0080415B">
        <w:rPr>
          <w:rStyle w:val="FootnoteReference"/>
          <w:rFonts w:asciiTheme="majorHAnsi" w:hAnsiTheme="majorHAnsi" w:cs="Times New Roman"/>
          <w:sz w:val="16"/>
          <w:szCs w:val="16"/>
          <w:lang w:val="ro-MD"/>
        </w:rPr>
        <w:footnoteRef/>
      </w:r>
      <w:r w:rsidRPr="0080415B">
        <w:rPr>
          <w:rFonts w:asciiTheme="majorHAnsi" w:hAnsiTheme="majorHAnsi" w:cs="Times New Roman"/>
          <w:sz w:val="16"/>
          <w:szCs w:val="16"/>
          <w:lang w:val="ro-MD"/>
        </w:rPr>
        <w:t xml:space="preserve"> </w:t>
      </w:r>
      <w:r w:rsidRPr="0080415B">
        <w:rPr>
          <w:rFonts w:asciiTheme="majorHAnsi" w:hAnsiTheme="majorHAnsi" w:cs="Times New Roman"/>
          <w:color w:val="000000"/>
          <w:sz w:val="16"/>
          <w:szCs w:val="16"/>
          <w:lang w:val="ro-MD"/>
        </w:rPr>
        <w:t>Hotărârea Curții de Conturi nr.</w:t>
      </w:r>
      <w:r w:rsidRPr="0080415B">
        <w:rPr>
          <w:rFonts w:asciiTheme="majorHAnsi" w:hAnsiTheme="majorHAnsi" w:cs="Times New Roman"/>
          <w:color w:val="000000"/>
          <w:spacing w:val="-1"/>
          <w:sz w:val="16"/>
          <w:szCs w:val="16"/>
          <w:lang w:val="ro-MD"/>
        </w:rPr>
        <w:t>77</w:t>
      </w:r>
      <w:r w:rsidRPr="0080415B">
        <w:rPr>
          <w:rFonts w:asciiTheme="majorHAnsi" w:hAnsiTheme="majorHAnsi" w:cs="Times New Roman"/>
          <w:color w:val="000000"/>
          <w:sz w:val="16"/>
          <w:szCs w:val="16"/>
          <w:lang w:val="ro-MD"/>
        </w:rPr>
        <w:t xml:space="preserve"> din 27.12.2019 </w:t>
      </w:r>
      <w:r w:rsidRPr="0080415B">
        <w:rPr>
          <w:rFonts w:asciiTheme="majorHAnsi" w:hAnsiTheme="majorHAnsi"/>
          <w:bCs/>
          <w:sz w:val="16"/>
          <w:szCs w:val="16"/>
          <w:lang w:val="ro-MD"/>
        </w:rPr>
        <w:t xml:space="preserve">„Privind aprobarea </w:t>
      </w:r>
      <w:r w:rsidRPr="0080415B">
        <w:rPr>
          <w:rFonts w:asciiTheme="majorHAnsi" w:hAnsiTheme="majorHAnsi"/>
          <w:sz w:val="16"/>
          <w:szCs w:val="16"/>
          <w:lang w:val="ro-MD"/>
        </w:rPr>
        <w:t>Programului activității de audit a Curții de Conturi pe anul 2020”</w:t>
      </w:r>
      <w:r w:rsidRPr="0080415B">
        <w:rPr>
          <w:rFonts w:asciiTheme="majorHAnsi" w:hAnsiTheme="majorHAnsi" w:cs="Times New Roman"/>
          <w:color w:val="000000"/>
          <w:sz w:val="16"/>
          <w:szCs w:val="16"/>
          <w:lang w:val="ro-MD"/>
        </w:rPr>
        <w:t xml:space="preserve"> (cu modificările și completările ulterioare); Hotărârea Curții de Conturi nr.6</w:t>
      </w:r>
      <w:r w:rsidRPr="0080415B">
        <w:rPr>
          <w:rFonts w:asciiTheme="majorHAnsi" w:hAnsiTheme="majorHAnsi" w:cs="Times New Roman"/>
          <w:color w:val="000000"/>
          <w:spacing w:val="-1"/>
          <w:sz w:val="16"/>
          <w:szCs w:val="16"/>
          <w:lang w:val="ro-MD"/>
        </w:rPr>
        <w:t>2</w:t>
      </w:r>
      <w:r w:rsidRPr="0080415B">
        <w:rPr>
          <w:rFonts w:asciiTheme="majorHAnsi" w:hAnsiTheme="majorHAnsi" w:cs="Times New Roman"/>
          <w:color w:val="000000"/>
          <w:sz w:val="16"/>
          <w:szCs w:val="16"/>
          <w:lang w:val="ro-MD"/>
        </w:rPr>
        <w:t xml:space="preserve"> din 10.12.2020 </w:t>
      </w:r>
      <w:r w:rsidRPr="0080415B">
        <w:rPr>
          <w:rFonts w:asciiTheme="majorHAnsi" w:hAnsiTheme="majorHAnsi"/>
          <w:bCs/>
          <w:sz w:val="16"/>
          <w:szCs w:val="16"/>
          <w:lang w:val="ro-MD"/>
        </w:rPr>
        <w:t xml:space="preserve">„Privind aprobarea </w:t>
      </w:r>
      <w:r w:rsidRPr="0080415B">
        <w:rPr>
          <w:rFonts w:asciiTheme="majorHAnsi" w:hAnsiTheme="majorHAnsi"/>
          <w:sz w:val="16"/>
          <w:szCs w:val="16"/>
          <w:lang w:val="ro-MD"/>
        </w:rPr>
        <w:t>Programului activității de audit a Curții de Conturi pe anul 2021”</w:t>
      </w:r>
      <w:r w:rsidRPr="0080415B">
        <w:rPr>
          <w:rFonts w:asciiTheme="majorHAnsi" w:hAnsiTheme="majorHAnsi" w:cs="Times New Roman"/>
          <w:color w:val="000000"/>
          <w:sz w:val="16"/>
          <w:szCs w:val="16"/>
          <w:lang w:val="ro-MD"/>
        </w:rPr>
        <w:t xml:space="preserve"> (cu modificările și completările ulterioare).</w:t>
      </w:r>
    </w:p>
  </w:footnote>
  <w:footnote w:id="4">
    <w:p w:rsidR="004448AB" w:rsidRPr="0080415B" w:rsidRDefault="00502882" w:rsidP="00A3461B">
      <w:pPr>
        <w:spacing w:after="0" w:line="240" w:lineRule="auto"/>
        <w:jc w:val="both"/>
        <w:rPr>
          <w:rFonts w:ascii="Times New Roman" w:eastAsia="Times New Roman" w:hAnsi="Times New Roman" w:cs="Times New Roman"/>
          <w:sz w:val="16"/>
          <w:szCs w:val="16"/>
          <w:lang w:val="ro-MD"/>
        </w:rPr>
      </w:pPr>
      <w:r w:rsidRPr="0080415B">
        <w:rPr>
          <w:rStyle w:val="FootnoteReference"/>
          <w:rFonts w:asciiTheme="majorHAnsi" w:hAnsiTheme="majorHAnsi" w:cs="Times New Roman"/>
          <w:sz w:val="16"/>
          <w:szCs w:val="16"/>
          <w:lang w:val="ro-MD"/>
        </w:rPr>
        <w:footnoteRef/>
      </w:r>
      <w:r w:rsidRPr="0080415B">
        <w:rPr>
          <w:rFonts w:asciiTheme="majorHAnsi" w:hAnsiTheme="majorHAnsi" w:cs="Times New Roman"/>
          <w:sz w:val="16"/>
          <w:szCs w:val="16"/>
          <w:lang w:val="ro-MD"/>
        </w:rPr>
        <w:t xml:space="preserve"> </w:t>
      </w:r>
      <w:r w:rsidRPr="0080415B">
        <w:rPr>
          <w:rFonts w:asciiTheme="majorHAnsi" w:eastAsia="Times New Roman" w:hAnsiTheme="majorHAnsi" w:cstheme="majorHAnsi"/>
          <w:sz w:val="16"/>
          <w:szCs w:val="16"/>
          <w:lang w:val="ro-MD"/>
        </w:rPr>
        <w:t>Hotărârea Curții de Conturi nr.2 din 24.01.2020 „Cu privire la Cadrul Declarațiilor Profesionale ale INTOSAI”</w:t>
      </w:r>
      <w:r w:rsidRPr="0080415B">
        <w:rPr>
          <w:rFonts w:asciiTheme="majorHAnsi" w:eastAsia="Times New Roman" w:hAnsiTheme="majorHAnsi" w:cs="Times New Roman"/>
          <w:sz w:val="16"/>
          <w:szCs w:val="16"/>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16" w:rsidRPr="0091121A" w:rsidRDefault="00001596" w:rsidP="00044F16">
    <w:pPr>
      <w:pStyle w:val="Header"/>
      <w:jc w:val="right"/>
      <w:rPr>
        <w:rFonts w:asciiTheme="majorHAnsi" w:hAnsiTheme="majorHAnsi"/>
        <w:i/>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A"/>
    <w:rsid w:val="00001596"/>
    <w:rsid w:val="000018F6"/>
    <w:rsid w:val="000068E7"/>
    <w:rsid w:val="00006E5A"/>
    <w:rsid w:val="00046DB9"/>
    <w:rsid w:val="0005013B"/>
    <w:rsid w:val="00051774"/>
    <w:rsid w:val="00055149"/>
    <w:rsid w:val="00061C47"/>
    <w:rsid w:val="0006511F"/>
    <w:rsid w:val="00071DA3"/>
    <w:rsid w:val="00077862"/>
    <w:rsid w:val="00083226"/>
    <w:rsid w:val="000839B7"/>
    <w:rsid w:val="000A122A"/>
    <w:rsid w:val="000A389B"/>
    <w:rsid w:val="000A48CA"/>
    <w:rsid w:val="000A7F50"/>
    <w:rsid w:val="000B0BBA"/>
    <w:rsid w:val="000B4C27"/>
    <w:rsid w:val="000B6845"/>
    <w:rsid w:val="000B6C4D"/>
    <w:rsid w:val="000C0085"/>
    <w:rsid w:val="000C05EC"/>
    <w:rsid w:val="000C6322"/>
    <w:rsid w:val="000D48CF"/>
    <w:rsid w:val="000D7ADB"/>
    <w:rsid w:val="000F5D07"/>
    <w:rsid w:val="00100F0F"/>
    <w:rsid w:val="00107C7F"/>
    <w:rsid w:val="00110E17"/>
    <w:rsid w:val="00123F37"/>
    <w:rsid w:val="00125FCA"/>
    <w:rsid w:val="00143950"/>
    <w:rsid w:val="001447D2"/>
    <w:rsid w:val="001526B9"/>
    <w:rsid w:val="00152BAC"/>
    <w:rsid w:val="001641B9"/>
    <w:rsid w:val="00164913"/>
    <w:rsid w:val="00170325"/>
    <w:rsid w:val="001764F9"/>
    <w:rsid w:val="001817E9"/>
    <w:rsid w:val="00190F72"/>
    <w:rsid w:val="001A29B6"/>
    <w:rsid w:val="001A343D"/>
    <w:rsid w:val="001C1962"/>
    <w:rsid w:val="001E4874"/>
    <w:rsid w:val="001F7C49"/>
    <w:rsid w:val="002062E1"/>
    <w:rsid w:val="00206B10"/>
    <w:rsid w:val="002075B4"/>
    <w:rsid w:val="002101EF"/>
    <w:rsid w:val="0022577F"/>
    <w:rsid w:val="00230A0E"/>
    <w:rsid w:val="002412FA"/>
    <w:rsid w:val="00245DA2"/>
    <w:rsid w:val="002517D2"/>
    <w:rsid w:val="00253471"/>
    <w:rsid w:val="00256BE0"/>
    <w:rsid w:val="0026505B"/>
    <w:rsid w:val="00266797"/>
    <w:rsid w:val="002745F8"/>
    <w:rsid w:val="00277603"/>
    <w:rsid w:val="00280E2C"/>
    <w:rsid w:val="00286770"/>
    <w:rsid w:val="00296746"/>
    <w:rsid w:val="00297C74"/>
    <w:rsid w:val="002A2D64"/>
    <w:rsid w:val="002A5245"/>
    <w:rsid w:val="002B00A7"/>
    <w:rsid w:val="002C388D"/>
    <w:rsid w:val="002C46C6"/>
    <w:rsid w:val="002E4C91"/>
    <w:rsid w:val="002F1F79"/>
    <w:rsid w:val="00321979"/>
    <w:rsid w:val="00341461"/>
    <w:rsid w:val="00345130"/>
    <w:rsid w:val="00362CF1"/>
    <w:rsid w:val="0037147C"/>
    <w:rsid w:val="0037416A"/>
    <w:rsid w:val="00374909"/>
    <w:rsid w:val="0037637F"/>
    <w:rsid w:val="00393BCD"/>
    <w:rsid w:val="00396C3E"/>
    <w:rsid w:val="003C0120"/>
    <w:rsid w:val="003C0454"/>
    <w:rsid w:val="003D1991"/>
    <w:rsid w:val="003E0D0D"/>
    <w:rsid w:val="003E3353"/>
    <w:rsid w:val="003E5B76"/>
    <w:rsid w:val="0040217A"/>
    <w:rsid w:val="00413F93"/>
    <w:rsid w:val="004148DA"/>
    <w:rsid w:val="00420F56"/>
    <w:rsid w:val="0044455D"/>
    <w:rsid w:val="004448AB"/>
    <w:rsid w:val="00445709"/>
    <w:rsid w:val="00460C02"/>
    <w:rsid w:val="00463164"/>
    <w:rsid w:val="0046641A"/>
    <w:rsid w:val="00487D35"/>
    <w:rsid w:val="004A0DD0"/>
    <w:rsid w:val="004B393D"/>
    <w:rsid w:val="004C1073"/>
    <w:rsid w:val="004D3310"/>
    <w:rsid w:val="00502882"/>
    <w:rsid w:val="00506D62"/>
    <w:rsid w:val="0051483D"/>
    <w:rsid w:val="0052069B"/>
    <w:rsid w:val="00527708"/>
    <w:rsid w:val="005337B3"/>
    <w:rsid w:val="00536BE1"/>
    <w:rsid w:val="00546947"/>
    <w:rsid w:val="0058443D"/>
    <w:rsid w:val="00585519"/>
    <w:rsid w:val="00587F01"/>
    <w:rsid w:val="005A22A8"/>
    <w:rsid w:val="005A727A"/>
    <w:rsid w:val="005B0DD7"/>
    <w:rsid w:val="005C1F42"/>
    <w:rsid w:val="005D21AA"/>
    <w:rsid w:val="005D25C1"/>
    <w:rsid w:val="005D3A11"/>
    <w:rsid w:val="005D57B0"/>
    <w:rsid w:val="005D74C0"/>
    <w:rsid w:val="005E33E0"/>
    <w:rsid w:val="005E6823"/>
    <w:rsid w:val="005F3298"/>
    <w:rsid w:val="00601BDC"/>
    <w:rsid w:val="00604E25"/>
    <w:rsid w:val="00614B9C"/>
    <w:rsid w:val="00630006"/>
    <w:rsid w:val="00651454"/>
    <w:rsid w:val="00652747"/>
    <w:rsid w:val="006624F8"/>
    <w:rsid w:val="00662595"/>
    <w:rsid w:val="006768CA"/>
    <w:rsid w:val="0068413D"/>
    <w:rsid w:val="00690B2D"/>
    <w:rsid w:val="006970F7"/>
    <w:rsid w:val="006A6C4B"/>
    <w:rsid w:val="006C6174"/>
    <w:rsid w:val="006C7423"/>
    <w:rsid w:val="006E06D1"/>
    <w:rsid w:val="006E1E79"/>
    <w:rsid w:val="006E54F0"/>
    <w:rsid w:val="007024E2"/>
    <w:rsid w:val="00703901"/>
    <w:rsid w:val="00713A36"/>
    <w:rsid w:val="00715D99"/>
    <w:rsid w:val="00720658"/>
    <w:rsid w:val="0072085C"/>
    <w:rsid w:val="00721298"/>
    <w:rsid w:val="00723730"/>
    <w:rsid w:val="00730820"/>
    <w:rsid w:val="00741624"/>
    <w:rsid w:val="007448C9"/>
    <w:rsid w:val="007467DB"/>
    <w:rsid w:val="007543EC"/>
    <w:rsid w:val="007678AD"/>
    <w:rsid w:val="00792FBD"/>
    <w:rsid w:val="007A1BE2"/>
    <w:rsid w:val="007B537E"/>
    <w:rsid w:val="007B6060"/>
    <w:rsid w:val="007D114A"/>
    <w:rsid w:val="007D7376"/>
    <w:rsid w:val="007E5FB8"/>
    <w:rsid w:val="007F09FB"/>
    <w:rsid w:val="007F4089"/>
    <w:rsid w:val="007F6879"/>
    <w:rsid w:val="0080415B"/>
    <w:rsid w:val="00806117"/>
    <w:rsid w:val="00824D33"/>
    <w:rsid w:val="00831628"/>
    <w:rsid w:val="0084282F"/>
    <w:rsid w:val="00882F85"/>
    <w:rsid w:val="008857E3"/>
    <w:rsid w:val="008A006A"/>
    <w:rsid w:val="008D4051"/>
    <w:rsid w:val="008E4462"/>
    <w:rsid w:val="008F67B9"/>
    <w:rsid w:val="0090259E"/>
    <w:rsid w:val="009035CF"/>
    <w:rsid w:val="009056FF"/>
    <w:rsid w:val="0094294D"/>
    <w:rsid w:val="00966F01"/>
    <w:rsid w:val="00970D97"/>
    <w:rsid w:val="00976B78"/>
    <w:rsid w:val="00985108"/>
    <w:rsid w:val="00991199"/>
    <w:rsid w:val="009B16BB"/>
    <w:rsid w:val="009C1171"/>
    <w:rsid w:val="009D2F7F"/>
    <w:rsid w:val="009D36D6"/>
    <w:rsid w:val="009D5AE4"/>
    <w:rsid w:val="009D5BA0"/>
    <w:rsid w:val="009E6068"/>
    <w:rsid w:val="009F2B0E"/>
    <w:rsid w:val="00A00415"/>
    <w:rsid w:val="00A14DFB"/>
    <w:rsid w:val="00A3461B"/>
    <w:rsid w:val="00A35F23"/>
    <w:rsid w:val="00A37870"/>
    <w:rsid w:val="00A43A8E"/>
    <w:rsid w:val="00A50C22"/>
    <w:rsid w:val="00A5675F"/>
    <w:rsid w:val="00A57E4A"/>
    <w:rsid w:val="00A61655"/>
    <w:rsid w:val="00A62FEB"/>
    <w:rsid w:val="00A6494E"/>
    <w:rsid w:val="00A71FE5"/>
    <w:rsid w:val="00A7225B"/>
    <w:rsid w:val="00A84BAD"/>
    <w:rsid w:val="00A8577F"/>
    <w:rsid w:val="00A94384"/>
    <w:rsid w:val="00A9757D"/>
    <w:rsid w:val="00AA35DE"/>
    <w:rsid w:val="00AB1873"/>
    <w:rsid w:val="00AB434F"/>
    <w:rsid w:val="00AB4A33"/>
    <w:rsid w:val="00AC1163"/>
    <w:rsid w:val="00AC34BC"/>
    <w:rsid w:val="00AD021A"/>
    <w:rsid w:val="00AE56AB"/>
    <w:rsid w:val="00AE6F62"/>
    <w:rsid w:val="00AF3F28"/>
    <w:rsid w:val="00AF7BC6"/>
    <w:rsid w:val="00B01543"/>
    <w:rsid w:val="00B01DC8"/>
    <w:rsid w:val="00B040E8"/>
    <w:rsid w:val="00B05809"/>
    <w:rsid w:val="00B141D4"/>
    <w:rsid w:val="00B1486C"/>
    <w:rsid w:val="00B203C6"/>
    <w:rsid w:val="00B20D1F"/>
    <w:rsid w:val="00B303BA"/>
    <w:rsid w:val="00B32C99"/>
    <w:rsid w:val="00B6031E"/>
    <w:rsid w:val="00B620F4"/>
    <w:rsid w:val="00B96562"/>
    <w:rsid w:val="00BA04E0"/>
    <w:rsid w:val="00BA0E1E"/>
    <w:rsid w:val="00BA5B73"/>
    <w:rsid w:val="00BA7E54"/>
    <w:rsid w:val="00BB5F1B"/>
    <w:rsid w:val="00BB7BD7"/>
    <w:rsid w:val="00BC1E74"/>
    <w:rsid w:val="00BC318F"/>
    <w:rsid w:val="00BC397A"/>
    <w:rsid w:val="00BD11D0"/>
    <w:rsid w:val="00BD3DEC"/>
    <w:rsid w:val="00BD7986"/>
    <w:rsid w:val="00BE5B7C"/>
    <w:rsid w:val="00C006C0"/>
    <w:rsid w:val="00C00D0F"/>
    <w:rsid w:val="00C04145"/>
    <w:rsid w:val="00C10411"/>
    <w:rsid w:val="00C233D6"/>
    <w:rsid w:val="00C34ABC"/>
    <w:rsid w:val="00C35E19"/>
    <w:rsid w:val="00C468FB"/>
    <w:rsid w:val="00C51D59"/>
    <w:rsid w:val="00C5396D"/>
    <w:rsid w:val="00C9338A"/>
    <w:rsid w:val="00CA5729"/>
    <w:rsid w:val="00CC19BB"/>
    <w:rsid w:val="00CC2406"/>
    <w:rsid w:val="00CC5DE1"/>
    <w:rsid w:val="00CC7B20"/>
    <w:rsid w:val="00CD6E1B"/>
    <w:rsid w:val="00CF0B52"/>
    <w:rsid w:val="00CF1100"/>
    <w:rsid w:val="00CF134D"/>
    <w:rsid w:val="00D17B10"/>
    <w:rsid w:val="00D27C1D"/>
    <w:rsid w:val="00D37235"/>
    <w:rsid w:val="00D376F0"/>
    <w:rsid w:val="00D52248"/>
    <w:rsid w:val="00D70A96"/>
    <w:rsid w:val="00D71622"/>
    <w:rsid w:val="00D734A9"/>
    <w:rsid w:val="00D81177"/>
    <w:rsid w:val="00D825FA"/>
    <w:rsid w:val="00D8733F"/>
    <w:rsid w:val="00D91538"/>
    <w:rsid w:val="00D937DD"/>
    <w:rsid w:val="00DA1771"/>
    <w:rsid w:val="00DA40CA"/>
    <w:rsid w:val="00DA58FE"/>
    <w:rsid w:val="00DA76DA"/>
    <w:rsid w:val="00DB1D8C"/>
    <w:rsid w:val="00DC0DD7"/>
    <w:rsid w:val="00DD294B"/>
    <w:rsid w:val="00E047B0"/>
    <w:rsid w:val="00E05860"/>
    <w:rsid w:val="00E07A3D"/>
    <w:rsid w:val="00E12093"/>
    <w:rsid w:val="00E20FC4"/>
    <w:rsid w:val="00E2478E"/>
    <w:rsid w:val="00E33006"/>
    <w:rsid w:val="00E36C85"/>
    <w:rsid w:val="00E429DE"/>
    <w:rsid w:val="00E44946"/>
    <w:rsid w:val="00E62DEA"/>
    <w:rsid w:val="00E63021"/>
    <w:rsid w:val="00E76BBE"/>
    <w:rsid w:val="00E8609F"/>
    <w:rsid w:val="00E87A7C"/>
    <w:rsid w:val="00EA382C"/>
    <w:rsid w:val="00EA38D2"/>
    <w:rsid w:val="00EA4204"/>
    <w:rsid w:val="00EB0DE7"/>
    <w:rsid w:val="00EB3E71"/>
    <w:rsid w:val="00EC4001"/>
    <w:rsid w:val="00ED016F"/>
    <w:rsid w:val="00EF7D47"/>
    <w:rsid w:val="00F02953"/>
    <w:rsid w:val="00F05F37"/>
    <w:rsid w:val="00F16076"/>
    <w:rsid w:val="00F2187C"/>
    <w:rsid w:val="00F22489"/>
    <w:rsid w:val="00F277A5"/>
    <w:rsid w:val="00F27800"/>
    <w:rsid w:val="00F3327B"/>
    <w:rsid w:val="00F36AE7"/>
    <w:rsid w:val="00F42432"/>
    <w:rsid w:val="00F4371B"/>
    <w:rsid w:val="00F43C69"/>
    <w:rsid w:val="00F52456"/>
    <w:rsid w:val="00F546CB"/>
    <w:rsid w:val="00F56990"/>
    <w:rsid w:val="00F57956"/>
    <w:rsid w:val="00F60A4E"/>
    <w:rsid w:val="00F620A4"/>
    <w:rsid w:val="00F74CF0"/>
    <w:rsid w:val="00F83222"/>
    <w:rsid w:val="00F84B96"/>
    <w:rsid w:val="00F94599"/>
    <w:rsid w:val="00FA23EF"/>
    <w:rsid w:val="00FB0242"/>
    <w:rsid w:val="00FB2DB0"/>
    <w:rsid w:val="00FC6361"/>
    <w:rsid w:val="00FD3860"/>
    <w:rsid w:val="00FD45E8"/>
    <w:rsid w:val="00FD62BA"/>
    <w:rsid w:val="00FE0220"/>
    <w:rsid w:val="00FE38B6"/>
    <w:rsid w:val="00FE4F45"/>
    <w:rsid w:val="00FE772A"/>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F423"/>
  <w15:docId w15:val="{57F835D8-6D7B-47FB-A4B6-C4E2071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8A006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8A006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A006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8A006A"/>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8A006A"/>
    <w:rPr>
      <w:vertAlign w:val="superscript"/>
    </w:rPr>
  </w:style>
  <w:style w:type="paragraph" w:styleId="Footer">
    <w:name w:val="footer"/>
    <w:basedOn w:val="Normal"/>
    <w:link w:val="FooterChar"/>
    <w:uiPriority w:val="99"/>
    <w:unhideWhenUsed/>
    <w:rsid w:val="008A00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A006A"/>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A006A"/>
    <w:pPr>
      <w:spacing w:line="240" w:lineRule="exact"/>
    </w:pPr>
    <w:rPr>
      <w:vertAlign w:val="superscript"/>
    </w:rPr>
  </w:style>
  <w:style w:type="paragraph" w:customStyle="1" w:styleId="cp">
    <w:name w:val="cp"/>
    <w:basedOn w:val="Normal"/>
    <w:rsid w:val="008A006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006A"/>
    <w:rPr>
      <w:color w:val="0563C1" w:themeColor="hyperlink"/>
      <w:u w:val="single"/>
    </w:rPr>
  </w:style>
  <w:style w:type="paragraph" w:styleId="Header">
    <w:name w:val="header"/>
    <w:basedOn w:val="Normal"/>
    <w:link w:val="HeaderChar"/>
    <w:uiPriority w:val="99"/>
    <w:unhideWhenUsed/>
    <w:rsid w:val="008A00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006A"/>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721298"/>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721298"/>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CF0B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62"/>
    <w:rPr>
      <w:rFonts w:ascii="Segoe UI" w:hAnsi="Segoe UI" w:cs="Segoe UI"/>
      <w:sz w:val="18"/>
      <w:szCs w:val="18"/>
    </w:rPr>
  </w:style>
  <w:style w:type="character" w:styleId="CommentReference">
    <w:name w:val="annotation reference"/>
    <w:basedOn w:val="DefaultParagraphFont"/>
    <w:uiPriority w:val="99"/>
    <w:semiHidden/>
    <w:unhideWhenUsed/>
    <w:rsid w:val="00662595"/>
    <w:rPr>
      <w:sz w:val="16"/>
      <w:szCs w:val="16"/>
    </w:rPr>
  </w:style>
  <w:style w:type="paragraph" w:styleId="CommentText">
    <w:name w:val="annotation text"/>
    <w:basedOn w:val="Normal"/>
    <w:link w:val="CommentTextChar"/>
    <w:uiPriority w:val="99"/>
    <w:semiHidden/>
    <w:unhideWhenUsed/>
    <w:rsid w:val="00662595"/>
    <w:pPr>
      <w:spacing w:line="240" w:lineRule="auto"/>
    </w:pPr>
    <w:rPr>
      <w:sz w:val="20"/>
      <w:szCs w:val="20"/>
    </w:rPr>
  </w:style>
  <w:style w:type="character" w:customStyle="1" w:styleId="CommentTextChar">
    <w:name w:val="Comment Text Char"/>
    <w:basedOn w:val="DefaultParagraphFont"/>
    <w:link w:val="CommentText"/>
    <w:uiPriority w:val="99"/>
    <w:semiHidden/>
    <w:rsid w:val="00662595"/>
    <w:rPr>
      <w:sz w:val="20"/>
      <w:szCs w:val="20"/>
    </w:rPr>
  </w:style>
  <w:style w:type="paragraph" w:styleId="CommentSubject">
    <w:name w:val="annotation subject"/>
    <w:basedOn w:val="CommentText"/>
    <w:next w:val="CommentText"/>
    <w:link w:val="CommentSubjectChar"/>
    <w:uiPriority w:val="99"/>
    <w:semiHidden/>
    <w:unhideWhenUsed/>
    <w:rsid w:val="00662595"/>
    <w:rPr>
      <w:b/>
      <w:bCs/>
    </w:rPr>
  </w:style>
  <w:style w:type="character" w:customStyle="1" w:styleId="CommentSubjectChar">
    <w:name w:val="Comment Subject Char"/>
    <w:basedOn w:val="CommentTextChar"/>
    <w:link w:val="CommentSubject"/>
    <w:uiPriority w:val="99"/>
    <w:semiHidden/>
    <w:rsid w:val="00662595"/>
    <w:rPr>
      <w:b/>
      <w:bCs/>
      <w:sz w:val="20"/>
      <w:szCs w:val="20"/>
    </w:rPr>
  </w:style>
  <w:style w:type="character" w:customStyle="1" w:styleId="docheader">
    <w:name w:val="doc_header"/>
    <w:basedOn w:val="DefaultParagraphFont"/>
    <w:rsid w:val="00B2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4755">
      <w:bodyDiv w:val="1"/>
      <w:marLeft w:val="0"/>
      <w:marRight w:val="0"/>
      <w:marTop w:val="0"/>
      <w:marBottom w:val="0"/>
      <w:divBdr>
        <w:top w:val="none" w:sz="0" w:space="0" w:color="auto"/>
        <w:left w:val="none" w:sz="0" w:space="0" w:color="auto"/>
        <w:bottom w:val="none" w:sz="0" w:space="0" w:color="auto"/>
        <w:right w:val="none" w:sz="0" w:space="0" w:color="auto"/>
      </w:divBdr>
      <w:divsChild>
        <w:div w:id="1560827457">
          <w:marLeft w:val="0"/>
          <w:marRight w:val="0"/>
          <w:marTop w:val="0"/>
          <w:marBottom w:val="0"/>
          <w:divBdr>
            <w:top w:val="none" w:sz="0" w:space="0" w:color="auto"/>
            <w:left w:val="none" w:sz="0" w:space="0" w:color="auto"/>
            <w:bottom w:val="none" w:sz="0" w:space="0" w:color="auto"/>
            <w:right w:val="none" w:sz="0" w:space="0" w:color="auto"/>
          </w:divBdr>
        </w:div>
      </w:divsChild>
    </w:div>
    <w:div w:id="363095585">
      <w:bodyDiv w:val="1"/>
      <w:marLeft w:val="0"/>
      <w:marRight w:val="0"/>
      <w:marTop w:val="0"/>
      <w:marBottom w:val="0"/>
      <w:divBdr>
        <w:top w:val="none" w:sz="0" w:space="0" w:color="auto"/>
        <w:left w:val="none" w:sz="0" w:space="0" w:color="auto"/>
        <w:bottom w:val="none" w:sz="0" w:space="0" w:color="auto"/>
        <w:right w:val="none" w:sz="0" w:space="0" w:color="auto"/>
      </w:divBdr>
    </w:div>
    <w:div w:id="1084766022">
      <w:bodyDiv w:val="1"/>
      <w:marLeft w:val="0"/>
      <w:marRight w:val="0"/>
      <w:marTop w:val="0"/>
      <w:marBottom w:val="0"/>
      <w:divBdr>
        <w:top w:val="none" w:sz="0" w:space="0" w:color="auto"/>
        <w:left w:val="none" w:sz="0" w:space="0" w:color="auto"/>
        <w:bottom w:val="none" w:sz="0" w:space="0" w:color="auto"/>
        <w:right w:val="none" w:sz="0" w:space="0" w:color="auto"/>
      </w:divBdr>
    </w:div>
    <w:div w:id="11204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FA39-39F4-4BF5-886F-9B9E1F7A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Caraman Tatiana</dc:creator>
  <cp:lastModifiedBy>Paiu Eugenia</cp:lastModifiedBy>
  <cp:revision>3</cp:revision>
  <cp:lastPrinted>2021-07-30T04:30:00Z</cp:lastPrinted>
  <dcterms:created xsi:type="dcterms:W3CDTF">2021-08-06T10:46:00Z</dcterms:created>
  <dcterms:modified xsi:type="dcterms:W3CDTF">2021-08-09T19:10:00Z</dcterms:modified>
</cp:coreProperties>
</file>