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E8D61" w14:textId="0E5EAA23" w:rsidR="0001290E" w:rsidRPr="00B53F4F" w:rsidRDefault="00E018A8" w:rsidP="009E00F6">
      <w:pPr>
        <w:pStyle w:val="cn"/>
        <w:spacing w:line="276" w:lineRule="auto"/>
        <w:rPr>
          <w:sz w:val="20"/>
          <w:szCs w:val="20"/>
          <w:lang w:val="ro-RO"/>
        </w:rPr>
      </w:pPr>
      <w:r w:rsidRPr="009E00F6">
        <w:rPr>
          <w:noProof/>
          <w:sz w:val="26"/>
          <w:szCs w:val="26"/>
        </w:rPr>
        <w:drawing>
          <wp:anchor distT="0" distB="0" distL="114300" distR="114300" simplePos="0" relativeHeight="251658240" behindDoc="0" locked="0" layoutInCell="1" allowOverlap="1" wp14:anchorId="4A2CF870" wp14:editId="7C0BFE29">
            <wp:simplePos x="0" y="0"/>
            <wp:positionH relativeFrom="page">
              <wp:posOffset>3421380</wp:posOffset>
            </wp:positionH>
            <wp:positionV relativeFrom="paragraph">
              <wp:posOffset>112395</wp:posOffset>
            </wp:positionV>
            <wp:extent cx="990600" cy="11137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85715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E00F6">
        <w:rPr>
          <w:lang w:val="ro-RO"/>
        </w:rPr>
        <w:br w:type="textWrapping" w:clear="all"/>
      </w:r>
    </w:p>
    <w:p w14:paraId="02CF8A64" w14:textId="258DEE83" w:rsidR="0001290E" w:rsidRPr="009E00F6" w:rsidRDefault="0001290E" w:rsidP="009E00F6">
      <w:pPr>
        <w:spacing w:after="0" w:line="276" w:lineRule="auto"/>
        <w:jc w:val="center"/>
        <w:rPr>
          <w:rFonts w:ascii="Calibri Light" w:eastAsia="Times New Roman" w:hAnsi="Calibri Light" w:cs="Calibri Light"/>
          <w:bCs/>
          <w:sz w:val="28"/>
          <w:szCs w:val="28"/>
          <w:lang w:val="ro-RO"/>
        </w:rPr>
      </w:pPr>
      <w:r w:rsidRPr="009E00F6">
        <w:rPr>
          <w:rFonts w:ascii="Calibri Light" w:eastAsia="Times New Roman" w:hAnsi="Calibri Light" w:cs="Calibri Light"/>
          <w:bCs/>
          <w:sz w:val="28"/>
          <w:szCs w:val="28"/>
          <w:lang w:val="ro-RO"/>
        </w:rPr>
        <w:t>CURTEA DE CONTURI A REPUBLICII MOLDOVA</w:t>
      </w:r>
    </w:p>
    <w:p w14:paraId="6EFCD7F2" w14:textId="7EA1BDF8" w:rsidR="0001290E" w:rsidRPr="009E00F6" w:rsidRDefault="0001290E" w:rsidP="009E00F6">
      <w:pPr>
        <w:spacing w:after="0" w:line="276" w:lineRule="auto"/>
        <w:jc w:val="center"/>
        <w:rPr>
          <w:rFonts w:ascii="Calibri Light" w:eastAsia="Times New Roman" w:hAnsi="Calibri Light" w:cs="Calibri Light"/>
          <w:b/>
          <w:bCs/>
          <w:sz w:val="24"/>
          <w:szCs w:val="24"/>
          <w:lang w:val="ro-RO"/>
        </w:rPr>
      </w:pPr>
      <w:bookmarkStart w:id="0" w:name="_Toc450123757"/>
      <w:r w:rsidRPr="009E00F6">
        <w:rPr>
          <w:rFonts w:ascii="Calibri Light" w:eastAsia="Times New Roman" w:hAnsi="Calibri Light" w:cs="Calibri Light"/>
          <w:b/>
          <w:bCs/>
          <w:sz w:val="24"/>
          <w:szCs w:val="24"/>
          <w:lang w:val="ro-RO"/>
        </w:rPr>
        <w:t>H O T Ă R Â R E A nr.</w:t>
      </w:r>
      <w:bookmarkEnd w:id="0"/>
      <w:r w:rsidR="003870A5">
        <w:rPr>
          <w:rFonts w:ascii="Calibri Light" w:eastAsia="Times New Roman" w:hAnsi="Calibri Light" w:cs="Calibri Light"/>
          <w:b/>
          <w:bCs/>
          <w:sz w:val="24"/>
          <w:szCs w:val="24"/>
          <w:lang w:val="ro-RO"/>
        </w:rPr>
        <w:t xml:space="preserve"> </w:t>
      </w:r>
      <w:r w:rsidR="003870A5">
        <w:rPr>
          <w:rFonts w:ascii="Calibri Light" w:eastAsia="Times New Roman" w:hAnsi="Calibri Light" w:cs="Calibri Light"/>
          <w:b/>
          <w:bCs/>
          <w:sz w:val="24"/>
          <w:szCs w:val="24"/>
          <w:lang w:val="ro-RO"/>
        </w:rPr>
        <w:softHyphen/>
        <w:t>82</w:t>
      </w:r>
    </w:p>
    <w:p w14:paraId="027A5FBB" w14:textId="78024CAE" w:rsidR="0001290E" w:rsidRPr="009E00F6" w:rsidRDefault="003870A5" w:rsidP="009E00F6">
      <w:pPr>
        <w:spacing w:after="0" w:line="276" w:lineRule="auto"/>
        <w:jc w:val="center"/>
        <w:rPr>
          <w:rFonts w:ascii="Calibri Light" w:eastAsia="Times New Roman" w:hAnsi="Calibri Light" w:cs="Calibri Light"/>
          <w:bCs/>
          <w:sz w:val="28"/>
          <w:szCs w:val="28"/>
          <w:lang w:val="ro-RO"/>
        </w:rPr>
      </w:pPr>
      <w:r>
        <w:rPr>
          <w:rFonts w:ascii="Calibri Light" w:eastAsia="Times New Roman" w:hAnsi="Calibri Light" w:cs="Calibri Light"/>
          <w:bCs/>
          <w:sz w:val="24"/>
          <w:szCs w:val="24"/>
          <w:lang w:val="ro-RO"/>
        </w:rPr>
        <w:t>din 28</w:t>
      </w:r>
      <w:r w:rsidR="00185CEA" w:rsidRPr="009E00F6">
        <w:rPr>
          <w:rFonts w:ascii="Calibri Light" w:eastAsia="Times New Roman" w:hAnsi="Calibri Light" w:cs="Calibri Light"/>
          <w:bCs/>
          <w:sz w:val="24"/>
          <w:szCs w:val="24"/>
          <w:lang w:val="ro-RO"/>
        </w:rPr>
        <w:t xml:space="preserve"> decembrie</w:t>
      </w:r>
      <w:r w:rsidR="0001290E" w:rsidRPr="009E00F6">
        <w:rPr>
          <w:rFonts w:ascii="Calibri Light" w:eastAsia="Times New Roman" w:hAnsi="Calibri Light" w:cs="Calibri Light"/>
          <w:bCs/>
          <w:sz w:val="24"/>
          <w:szCs w:val="24"/>
          <w:lang w:val="ro-RO"/>
        </w:rPr>
        <w:t xml:space="preserve"> 2020</w:t>
      </w:r>
    </w:p>
    <w:p w14:paraId="692B0360" w14:textId="5313E3FC" w:rsidR="00B53F4F" w:rsidRDefault="00E018A8" w:rsidP="009E00F6">
      <w:pPr>
        <w:spacing w:after="0" w:line="276" w:lineRule="auto"/>
        <w:ind w:right="-1"/>
        <w:jc w:val="center"/>
        <w:rPr>
          <w:rFonts w:asciiTheme="majorHAnsi" w:hAnsiTheme="majorHAnsi" w:cstheme="majorHAnsi"/>
          <w:b/>
          <w:sz w:val="24"/>
          <w:szCs w:val="24"/>
          <w:lang w:val="ro-RO"/>
        </w:rPr>
      </w:pPr>
      <w:r w:rsidRPr="009E00F6">
        <w:rPr>
          <w:rFonts w:asciiTheme="majorHAnsi" w:hAnsiTheme="majorHAnsi" w:cstheme="majorHAnsi"/>
          <w:b/>
          <w:sz w:val="24"/>
          <w:szCs w:val="24"/>
          <w:lang w:val="ro-RO"/>
        </w:rPr>
        <w:t>pentru</w:t>
      </w:r>
      <w:r w:rsidR="0001290E" w:rsidRPr="009E00F6">
        <w:rPr>
          <w:rFonts w:asciiTheme="majorHAnsi" w:hAnsiTheme="majorHAnsi" w:cstheme="majorHAnsi"/>
          <w:b/>
          <w:sz w:val="24"/>
          <w:szCs w:val="24"/>
          <w:lang w:val="ro-RO"/>
        </w:rPr>
        <w:t xml:space="preserve"> aprobarea Raportului</w:t>
      </w:r>
      <w:r w:rsidR="00155F02" w:rsidRPr="009E00F6">
        <w:rPr>
          <w:rFonts w:asciiTheme="majorHAnsi" w:hAnsiTheme="majorHAnsi" w:cstheme="majorHAnsi"/>
          <w:b/>
          <w:sz w:val="24"/>
          <w:szCs w:val="24"/>
          <w:lang w:val="ro-RO"/>
        </w:rPr>
        <w:t xml:space="preserve"> auditului performanței</w:t>
      </w:r>
      <w:r w:rsidR="0001290E" w:rsidRPr="009E00F6">
        <w:rPr>
          <w:rFonts w:asciiTheme="majorHAnsi" w:hAnsiTheme="majorHAnsi" w:cstheme="majorHAnsi"/>
          <w:b/>
          <w:sz w:val="24"/>
          <w:szCs w:val="24"/>
          <w:lang w:val="ro-RO"/>
        </w:rPr>
        <w:t xml:space="preserve"> </w:t>
      </w:r>
    </w:p>
    <w:p w14:paraId="1EE5ECF8" w14:textId="14BCCDEF" w:rsidR="007C6869" w:rsidRPr="00B53F4F" w:rsidRDefault="00155F02" w:rsidP="00B53F4F">
      <w:pPr>
        <w:spacing w:after="0" w:line="276" w:lineRule="auto"/>
        <w:ind w:right="-1"/>
        <w:jc w:val="center"/>
        <w:rPr>
          <w:rFonts w:asciiTheme="majorHAnsi" w:eastAsia="Times New Roman" w:hAnsiTheme="majorHAnsi" w:cstheme="majorHAnsi"/>
          <w:b/>
          <w:bCs/>
          <w:sz w:val="24"/>
          <w:szCs w:val="24"/>
          <w:lang w:val="ro-RO" w:eastAsia="ru-RU"/>
        </w:rPr>
      </w:pPr>
      <w:r w:rsidRPr="009E00F6">
        <w:rPr>
          <w:rFonts w:asciiTheme="majorHAnsi" w:hAnsiTheme="majorHAnsi" w:cstheme="majorHAnsi"/>
          <w:b/>
          <w:sz w:val="24"/>
          <w:szCs w:val="24"/>
          <w:lang w:val="ro-RO"/>
        </w:rPr>
        <w:t xml:space="preserve">„În ce mod activitățile realizate pentru crearea/elaborarea, implementarea și gestionarea sistemelor informaționale în sectorul public contribuie la utilizarea eficientă a resurselor alocate în acest scop?” </w:t>
      </w:r>
    </w:p>
    <w:p w14:paraId="2453E80A" w14:textId="77777777" w:rsidR="00CC791C" w:rsidRPr="00CC791C" w:rsidRDefault="00CC791C" w:rsidP="00CC791C">
      <w:pPr>
        <w:spacing w:after="0" w:line="240" w:lineRule="auto"/>
        <w:ind w:right="-1" w:firstLine="720"/>
        <w:jc w:val="both"/>
        <w:rPr>
          <w:rFonts w:asciiTheme="majorHAnsi" w:hAnsiTheme="majorHAnsi" w:cstheme="majorHAnsi"/>
          <w:sz w:val="16"/>
          <w:szCs w:val="16"/>
          <w:lang w:val="ro-RO"/>
        </w:rPr>
      </w:pPr>
    </w:p>
    <w:p w14:paraId="4659E664" w14:textId="31301452" w:rsidR="0001290E" w:rsidRPr="009E00F6" w:rsidRDefault="0001290E" w:rsidP="00112951">
      <w:pPr>
        <w:spacing w:after="0" w:line="276" w:lineRule="auto"/>
        <w:ind w:right="-1" w:firstLine="720"/>
        <w:jc w:val="both"/>
        <w:rPr>
          <w:rFonts w:asciiTheme="majorHAnsi" w:hAnsiTheme="majorHAnsi" w:cstheme="majorHAnsi"/>
          <w:sz w:val="24"/>
          <w:szCs w:val="24"/>
          <w:lang w:val="ro-RO"/>
        </w:rPr>
      </w:pPr>
      <w:r w:rsidRPr="009E00F6">
        <w:rPr>
          <w:rFonts w:asciiTheme="majorHAnsi" w:hAnsiTheme="majorHAnsi" w:cstheme="majorHAnsi"/>
          <w:sz w:val="24"/>
          <w:szCs w:val="24"/>
          <w:lang w:val="ro-RO"/>
        </w:rPr>
        <w:t xml:space="preserve">Curtea de Conturi, </w:t>
      </w:r>
      <w:r w:rsidR="008661FF" w:rsidRPr="009E00F6">
        <w:rPr>
          <w:rFonts w:asciiTheme="majorHAnsi" w:hAnsiTheme="majorHAnsi" w:cstheme="majorHAnsi"/>
          <w:sz w:val="24"/>
          <w:szCs w:val="24"/>
          <w:lang w:val="ro-RO"/>
        </w:rPr>
        <w:t xml:space="preserve">în prezența </w:t>
      </w:r>
      <w:r w:rsidR="00E92C20" w:rsidRPr="00E92C20">
        <w:rPr>
          <w:rFonts w:asciiTheme="majorHAnsi" w:hAnsiTheme="majorHAnsi" w:cstheme="majorHAnsi"/>
          <w:sz w:val="24"/>
          <w:szCs w:val="24"/>
          <w:lang w:val="ro-RO"/>
        </w:rPr>
        <w:t>Secretar</w:t>
      </w:r>
      <w:r w:rsidR="00E92C20">
        <w:rPr>
          <w:rFonts w:asciiTheme="majorHAnsi" w:hAnsiTheme="majorHAnsi" w:cstheme="majorHAnsi"/>
          <w:sz w:val="24"/>
          <w:szCs w:val="24"/>
          <w:lang w:val="ro-RO"/>
        </w:rPr>
        <w:t>ului</w:t>
      </w:r>
      <w:r w:rsidR="00E92C20" w:rsidRPr="00E92C20">
        <w:rPr>
          <w:rFonts w:asciiTheme="majorHAnsi" w:hAnsiTheme="majorHAnsi" w:cstheme="majorHAnsi"/>
          <w:sz w:val="24"/>
          <w:szCs w:val="24"/>
          <w:lang w:val="ro-RO"/>
        </w:rPr>
        <w:t xml:space="preserve"> general adjunct al Guvernului</w:t>
      </w:r>
      <w:r w:rsidR="009D3247">
        <w:rPr>
          <w:rFonts w:asciiTheme="majorHAnsi" w:hAnsiTheme="majorHAnsi" w:cstheme="majorHAnsi"/>
          <w:sz w:val="24"/>
          <w:szCs w:val="24"/>
          <w:lang w:val="ro-RO"/>
        </w:rPr>
        <w:t xml:space="preserve">, dl Adrian </w:t>
      </w:r>
      <w:proofErr w:type="spellStart"/>
      <w:r w:rsidR="009D3247">
        <w:rPr>
          <w:rFonts w:asciiTheme="majorHAnsi" w:hAnsiTheme="majorHAnsi" w:cstheme="majorHAnsi"/>
          <w:sz w:val="24"/>
          <w:szCs w:val="24"/>
          <w:lang w:val="ro-RO"/>
        </w:rPr>
        <w:t>Ermurachi</w:t>
      </w:r>
      <w:proofErr w:type="spellEnd"/>
      <w:r w:rsidR="009D3247">
        <w:rPr>
          <w:rFonts w:asciiTheme="majorHAnsi" w:hAnsiTheme="majorHAnsi" w:cstheme="majorHAnsi"/>
          <w:sz w:val="24"/>
          <w:szCs w:val="24"/>
          <w:lang w:val="ro-RO"/>
        </w:rPr>
        <w:t>;</w:t>
      </w:r>
      <w:r w:rsidR="00E92C20">
        <w:rPr>
          <w:rFonts w:asciiTheme="majorHAnsi" w:hAnsiTheme="majorHAnsi" w:cstheme="majorHAnsi"/>
          <w:sz w:val="24"/>
          <w:szCs w:val="24"/>
          <w:lang w:val="ro-RO"/>
        </w:rPr>
        <w:t xml:space="preserve"> </w:t>
      </w:r>
      <w:r w:rsidR="009D3247" w:rsidRPr="009D3247">
        <w:rPr>
          <w:rFonts w:asciiTheme="majorHAnsi" w:hAnsiTheme="majorHAnsi" w:cstheme="majorHAnsi"/>
          <w:sz w:val="24"/>
          <w:szCs w:val="24"/>
          <w:lang w:val="ro-RO"/>
        </w:rPr>
        <w:t>Secretar</w:t>
      </w:r>
      <w:r w:rsidR="009D3247">
        <w:rPr>
          <w:rFonts w:asciiTheme="majorHAnsi" w:hAnsiTheme="majorHAnsi" w:cstheme="majorHAnsi"/>
          <w:sz w:val="24"/>
          <w:szCs w:val="24"/>
          <w:lang w:val="ro-RO"/>
        </w:rPr>
        <w:t>ului de Stat al</w:t>
      </w:r>
      <w:r w:rsidR="009D3247" w:rsidRPr="009D3247">
        <w:rPr>
          <w:rFonts w:asciiTheme="majorHAnsi" w:hAnsiTheme="majorHAnsi" w:cstheme="majorHAnsi"/>
          <w:sz w:val="24"/>
          <w:szCs w:val="24"/>
          <w:lang w:val="ro-RO"/>
        </w:rPr>
        <w:t xml:space="preserve"> Ministerul</w:t>
      </w:r>
      <w:r w:rsidR="009D3247">
        <w:rPr>
          <w:rFonts w:asciiTheme="majorHAnsi" w:hAnsiTheme="majorHAnsi" w:cstheme="majorHAnsi"/>
          <w:sz w:val="24"/>
          <w:szCs w:val="24"/>
          <w:lang w:val="ro-RO"/>
        </w:rPr>
        <w:t>ui</w:t>
      </w:r>
      <w:r w:rsidR="009D3247" w:rsidRPr="009D3247">
        <w:rPr>
          <w:rFonts w:asciiTheme="majorHAnsi" w:hAnsiTheme="majorHAnsi" w:cstheme="majorHAnsi"/>
          <w:sz w:val="24"/>
          <w:szCs w:val="24"/>
          <w:lang w:val="ro-RO"/>
        </w:rPr>
        <w:t xml:space="preserve"> Finanțelor</w:t>
      </w:r>
      <w:r w:rsidR="009D3247">
        <w:rPr>
          <w:rFonts w:asciiTheme="majorHAnsi" w:hAnsiTheme="majorHAnsi" w:cstheme="majorHAnsi"/>
          <w:sz w:val="24"/>
          <w:szCs w:val="24"/>
          <w:lang w:val="ro-RO"/>
        </w:rPr>
        <w:t xml:space="preserve">, dna Gabriela </w:t>
      </w:r>
      <w:proofErr w:type="spellStart"/>
      <w:r w:rsidR="009D3247">
        <w:rPr>
          <w:rFonts w:asciiTheme="majorHAnsi" w:hAnsiTheme="majorHAnsi" w:cstheme="majorHAnsi"/>
          <w:sz w:val="24"/>
          <w:szCs w:val="24"/>
          <w:lang w:val="ro-RO"/>
        </w:rPr>
        <w:t>Cuneva</w:t>
      </w:r>
      <w:proofErr w:type="spellEnd"/>
      <w:r w:rsidR="009D3247">
        <w:rPr>
          <w:rFonts w:asciiTheme="majorHAnsi" w:hAnsiTheme="majorHAnsi" w:cstheme="majorHAnsi"/>
          <w:sz w:val="24"/>
          <w:szCs w:val="24"/>
          <w:lang w:val="ro-RO"/>
        </w:rPr>
        <w:t xml:space="preserve">; </w:t>
      </w:r>
      <w:r w:rsidR="00E1584A">
        <w:rPr>
          <w:rFonts w:asciiTheme="majorHAnsi" w:hAnsiTheme="majorHAnsi" w:cstheme="majorHAnsi"/>
          <w:sz w:val="24"/>
          <w:szCs w:val="24"/>
          <w:lang w:val="ro-RO"/>
        </w:rPr>
        <w:t>S</w:t>
      </w:r>
      <w:r w:rsidR="00112951">
        <w:rPr>
          <w:rFonts w:asciiTheme="majorHAnsi" w:hAnsiTheme="majorHAnsi" w:cstheme="majorHAnsi"/>
          <w:sz w:val="24"/>
          <w:szCs w:val="24"/>
          <w:lang w:val="ro-RO"/>
        </w:rPr>
        <w:t xml:space="preserve">ecretarului de Stat al </w:t>
      </w:r>
      <w:r w:rsidR="00E1584A">
        <w:rPr>
          <w:rFonts w:asciiTheme="majorHAnsi" w:hAnsiTheme="majorHAnsi" w:cstheme="majorHAnsi"/>
          <w:sz w:val="24"/>
          <w:szCs w:val="24"/>
          <w:lang w:val="ro-RO"/>
        </w:rPr>
        <w:t>M</w:t>
      </w:r>
      <w:r w:rsidR="00112951">
        <w:rPr>
          <w:rFonts w:asciiTheme="majorHAnsi" w:hAnsiTheme="majorHAnsi" w:cstheme="majorHAnsi"/>
          <w:sz w:val="24"/>
          <w:szCs w:val="24"/>
          <w:lang w:val="ro-RO"/>
        </w:rPr>
        <w:t xml:space="preserve">inisterului Afacerilor Interne, dl Sergiu </w:t>
      </w:r>
      <w:proofErr w:type="spellStart"/>
      <w:r w:rsidR="00112951">
        <w:rPr>
          <w:rFonts w:asciiTheme="majorHAnsi" w:hAnsiTheme="majorHAnsi" w:cstheme="majorHAnsi"/>
          <w:sz w:val="24"/>
          <w:szCs w:val="24"/>
          <w:lang w:val="ro-RO"/>
        </w:rPr>
        <w:t>Golovaci</w:t>
      </w:r>
      <w:proofErr w:type="spellEnd"/>
      <w:r w:rsidR="00112951">
        <w:rPr>
          <w:rFonts w:asciiTheme="majorHAnsi" w:hAnsiTheme="majorHAnsi" w:cstheme="majorHAnsi"/>
          <w:sz w:val="24"/>
          <w:szCs w:val="24"/>
          <w:lang w:val="ro-RO"/>
        </w:rPr>
        <w:t xml:space="preserve">; </w:t>
      </w:r>
      <w:r w:rsidR="00112951" w:rsidRPr="00112951">
        <w:rPr>
          <w:rFonts w:asciiTheme="majorHAnsi" w:hAnsiTheme="majorHAnsi" w:cstheme="majorHAnsi"/>
          <w:sz w:val="24"/>
          <w:szCs w:val="24"/>
          <w:lang w:val="ro-RO"/>
        </w:rPr>
        <w:t>director</w:t>
      </w:r>
      <w:r w:rsidR="00112951">
        <w:rPr>
          <w:rFonts w:asciiTheme="majorHAnsi" w:hAnsiTheme="majorHAnsi" w:cstheme="majorHAnsi"/>
          <w:sz w:val="24"/>
          <w:szCs w:val="24"/>
          <w:lang w:val="ro-RO"/>
        </w:rPr>
        <w:t>ului</w:t>
      </w:r>
      <w:r w:rsidR="00112951" w:rsidRPr="00112951">
        <w:rPr>
          <w:rFonts w:asciiTheme="majorHAnsi" w:hAnsiTheme="majorHAnsi" w:cstheme="majorHAnsi"/>
          <w:sz w:val="24"/>
          <w:szCs w:val="24"/>
          <w:lang w:val="ro-RO"/>
        </w:rPr>
        <w:t xml:space="preserve"> Instituției Publice „Agenția de Guvernare Electronică”</w:t>
      </w:r>
      <w:r w:rsidR="00112951">
        <w:rPr>
          <w:rFonts w:asciiTheme="majorHAnsi" w:hAnsiTheme="majorHAnsi" w:cstheme="majorHAnsi"/>
          <w:sz w:val="24"/>
          <w:szCs w:val="24"/>
          <w:lang w:val="ro-RO"/>
        </w:rPr>
        <w:t xml:space="preserve">, dl </w:t>
      </w:r>
      <w:r w:rsidR="00112951" w:rsidRPr="00112951">
        <w:rPr>
          <w:rFonts w:asciiTheme="majorHAnsi" w:hAnsiTheme="majorHAnsi" w:cstheme="majorHAnsi"/>
          <w:sz w:val="24"/>
          <w:szCs w:val="24"/>
          <w:lang w:val="ro-RO"/>
        </w:rPr>
        <w:t>Iurie Ț</w:t>
      </w:r>
      <w:r w:rsidR="00112951">
        <w:rPr>
          <w:rFonts w:asciiTheme="majorHAnsi" w:hAnsiTheme="majorHAnsi" w:cstheme="majorHAnsi"/>
          <w:sz w:val="24"/>
          <w:szCs w:val="24"/>
          <w:lang w:val="ro-RO"/>
        </w:rPr>
        <w:t>urcanu;</w:t>
      </w:r>
      <w:r w:rsidR="00112951" w:rsidRPr="00112951">
        <w:rPr>
          <w:rFonts w:asciiTheme="majorHAnsi" w:hAnsiTheme="majorHAnsi" w:cstheme="majorHAnsi"/>
          <w:sz w:val="24"/>
          <w:szCs w:val="24"/>
          <w:lang w:val="ro-RO"/>
        </w:rPr>
        <w:t xml:space="preserve"> director</w:t>
      </w:r>
      <w:r w:rsidR="00112951">
        <w:rPr>
          <w:rFonts w:asciiTheme="majorHAnsi" w:hAnsiTheme="majorHAnsi" w:cstheme="majorHAnsi"/>
          <w:sz w:val="24"/>
          <w:szCs w:val="24"/>
          <w:lang w:val="ro-RO"/>
        </w:rPr>
        <w:t>ului</w:t>
      </w:r>
      <w:r w:rsidR="00112951" w:rsidRPr="00112951">
        <w:rPr>
          <w:rFonts w:asciiTheme="majorHAnsi" w:hAnsiTheme="majorHAnsi" w:cstheme="majorHAnsi"/>
          <w:sz w:val="24"/>
          <w:szCs w:val="24"/>
          <w:lang w:val="ro-RO"/>
        </w:rPr>
        <w:t xml:space="preserve"> Instituției Publice „Agenția Servicii Publice”</w:t>
      </w:r>
      <w:r w:rsidR="00112951">
        <w:rPr>
          <w:rFonts w:asciiTheme="majorHAnsi" w:hAnsiTheme="majorHAnsi" w:cstheme="majorHAnsi"/>
          <w:sz w:val="24"/>
          <w:szCs w:val="24"/>
          <w:lang w:val="ro-RO"/>
        </w:rPr>
        <w:t xml:space="preserve">, dl Vladislav Zara; </w:t>
      </w:r>
      <w:r w:rsidR="009D3247" w:rsidRPr="009D3247">
        <w:rPr>
          <w:rFonts w:asciiTheme="majorHAnsi" w:hAnsiTheme="majorHAnsi" w:cstheme="majorHAnsi"/>
          <w:sz w:val="24"/>
          <w:szCs w:val="24"/>
          <w:lang w:val="ro-RO"/>
        </w:rPr>
        <w:t>director</w:t>
      </w:r>
      <w:r w:rsidR="009D3247">
        <w:rPr>
          <w:rFonts w:asciiTheme="majorHAnsi" w:hAnsiTheme="majorHAnsi" w:cstheme="majorHAnsi"/>
          <w:sz w:val="24"/>
          <w:szCs w:val="24"/>
          <w:lang w:val="ro-RO"/>
        </w:rPr>
        <w:t>ului</w:t>
      </w:r>
      <w:r w:rsidR="009D3247" w:rsidRPr="009D3247">
        <w:rPr>
          <w:rFonts w:asciiTheme="majorHAnsi" w:hAnsiTheme="majorHAnsi" w:cstheme="majorHAnsi"/>
          <w:sz w:val="24"/>
          <w:szCs w:val="24"/>
          <w:lang w:val="ro-RO"/>
        </w:rPr>
        <w:t xml:space="preserve"> Instituției Publice </w:t>
      </w:r>
      <w:r w:rsidR="00E1584A">
        <w:rPr>
          <w:rFonts w:asciiTheme="majorHAnsi" w:hAnsiTheme="majorHAnsi" w:cstheme="majorHAnsi"/>
          <w:sz w:val="24"/>
          <w:szCs w:val="24"/>
          <w:lang w:val="ro-RO"/>
        </w:rPr>
        <w:t>„</w:t>
      </w:r>
      <w:r w:rsidR="009D3247" w:rsidRPr="009D3247">
        <w:rPr>
          <w:rFonts w:asciiTheme="majorHAnsi" w:hAnsiTheme="majorHAnsi" w:cstheme="majorHAnsi"/>
          <w:sz w:val="24"/>
          <w:szCs w:val="24"/>
          <w:lang w:val="ro-RO"/>
        </w:rPr>
        <w:t>Centrul de Tehnologii Informaționale în Finanțe</w:t>
      </w:r>
      <w:r w:rsidR="00E1584A">
        <w:rPr>
          <w:rFonts w:asciiTheme="majorHAnsi" w:hAnsiTheme="majorHAnsi" w:cstheme="majorHAnsi"/>
          <w:sz w:val="24"/>
          <w:szCs w:val="24"/>
          <w:lang w:val="ro-RO"/>
        </w:rPr>
        <w:t>”</w:t>
      </w:r>
      <w:r w:rsidR="009D3247">
        <w:rPr>
          <w:rFonts w:asciiTheme="majorHAnsi" w:hAnsiTheme="majorHAnsi" w:cstheme="majorHAnsi"/>
          <w:sz w:val="24"/>
          <w:szCs w:val="24"/>
          <w:lang w:val="ro-RO"/>
        </w:rPr>
        <w:t xml:space="preserve">, dl Vitalie Coceban; </w:t>
      </w:r>
      <w:r w:rsidR="00132C33" w:rsidRPr="00132C33">
        <w:rPr>
          <w:rFonts w:asciiTheme="majorHAnsi" w:hAnsiTheme="majorHAnsi" w:cstheme="majorHAnsi"/>
          <w:sz w:val="24"/>
          <w:szCs w:val="24"/>
          <w:lang w:val="ro-RO"/>
        </w:rPr>
        <w:t>director</w:t>
      </w:r>
      <w:r w:rsidR="00132C33">
        <w:rPr>
          <w:rFonts w:asciiTheme="majorHAnsi" w:hAnsiTheme="majorHAnsi" w:cstheme="majorHAnsi"/>
          <w:sz w:val="24"/>
          <w:szCs w:val="24"/>
          <w:lang w:val="ro-RO"/>
        </w:rPr>
        <w:t>ului</w:t>
      </w:r>
      <w:r w:rsidR="00132C33" w:rsidRPr="00132C33">
        <w:rPr>
          <w:rFonts w:asciiTheme="majorHAnsi" w:hAnsiTheme="majorHAnsi" w:cstheme="majorHAnsi"/>
          <w:sz w:val="24"/>
          <w:szCs w:val="24"/>
          <w:lang w:val="ro-RO"/>
        </w:rPr>
        <w:t xml:space="preserve"> adjunct al Serviciului Fiscal de Stat</w:t>
      </w:r>
      <w:r w:rsidR="00132C33">
        <w:rPr>
          <w:rFonts w:asciiTheme="majorHAnsi" w:hAnsiTheme="majorHAnsi" w:cstheme="majorHAnsi"/>
          <w:sz w:val="24"/>
          <w:szCs w:val="24"/>
          <w:lang w:val="ro-RO"/>
        </w:rPr>
        <w:t xml:space="preserve">, dl Igor Țurcanu; </w:t>
      </w:r>
      <w:r w:rsidR="00112951" w:rsidRPr="00112951">
        <w:rPr>
          <w:rFonts w:asciiTheme="majorHAnsi" w:hAnsiTheme="majorHAnsi" w:cstheme="majorHAnsi"/>
          <w:sz w:val="24"/>
          <w:szCs w:val="24"/>
          <w:lang w:val="ro-RO"/>
        </w:rPr>
        <w:t>director</w:t>
      </w:r>
      <w:r w:rsidR="00112951">
        <w:rPr>
          <w:rFonts w:asciiTheme="majorHAnsi" w:hAnsiTheme="majorHAnsi" w:cstheme="majorHAnsi"/>
          <w:sz w:val="24"/>
          <w:szCs w:val="24"/>
          <w:lang w:val="ro-RO"/>
        </w:rPr>
        <w:t xml:space="preserve">ului </w:t>
      </w:r>
      <w:r w:rsidR="00112951" w:rsidRPr="00112951">
        <w:rPr>
          <w:rFonts w:asciiTheme="majorHAnsi" w:hAnsiTheme="majorHAnsi" w:cstheme="majorHAnsi"/>
          <w:sz w:val="24"/>
          <w:szCs w:val="24"/>
          <w:lang w:val="ro-RO"/>
        </w:rPr>
        <w:t>adjunct al Serviciului Vamal</w:t>
      </w:r>
      <w:r w:rsidR="00112951">
        <w:rPr>
          <w:rFonts w:asciiTheme="majorHAnsi" w:hAnsiTheme="majorHAnsi" w:cstheme="majorHAnsi"/>
          <w:sz w:val="24"/>
          <w:szCs w:val="24"/>
          <w:lang w:val="ro-RO"/>
        </w:rPr>
        <w:t xml:space="preserve">, dl Viorel </w:t>
      </w:r>
      <w:proofErr w:type="spellStart"/>
      <w:r w:rsidR="00112951">
        <w:rPr>
          <w:rFonts w:asciiTheme="majorHAnsi" w:hAnsiTheme="majorHAnsi" w:cstheme="majorHAnsi"/>
          <w:sz w:val="24"/>
          <w:szCs w:val="24"/>
          <w:lang w:val="ro-RO"/>
        </w:rPr>
        <w:t>Mihaila</w:t>
      </w:r>
      <w:proofErr w:type="spellEnd"/>
      <w:r w:rsidR="00112951">
        <w:rPr>
          <w:rFonts w:asciiTheme="majorHAnsi" w:hAnsiTheme="majorHAnsi" w:cstheme="majorHAnsi"/>
          <w:sz w:val="24"/>
          <w:szCs w:val="24"/>
          <w:lang w:val="ro-RO"/>
        </w:rPr>
        <w:t xml:space="preserve">; </w:t>
      </w:r>
      <w:r w:rsidR="00132C33" w:rsidRPr="00132C33">
        <w:rPr>
          <w:rFonts w:asciiTheme="majorHAnsi" w:hAnsiTheme="majorHAnsi" w:cstheme="majorHAnsi"/>
          <w:sz w:val="24"/>
          <w:szCs w:val="24"/>
          <w:lang w:val="ro-RO"/>
        </w:rPr>
        <w:t>director</w:t>
      </w:r>
      <w:r w:rsidR="00132C33">
        <w:rPr>
          <w:rFonts w:asciiTheme="majorHAnsi" w:hAnsiTheme="majorHAnsi" w:cstheme="majorHAnsi"/>
          <w:sz w:val="24"/>
          <w:szCs w:val="24"/>
          <w:lang w:val="ro-RO"/>
        </w:rPr>
        <w:t>ului</w:t>
      </w:r>
      <w:r w:rsidR="00132C33" w:rsidRPr="00132C33">
        <w:rPr>
          <w:rFonts w:asciiTheme="majorHAnsi" w:hAnsiTheme="majorHAnsi" w:cstheme="majorHAnsi"/>
          <w:sz w:val="24"/>
          <w:szCs w:val="24"/>
          <w:lang w:val="ro-RO"/>
        </w:rPr>
        <w:t xml:space="preserve"> Serviciului Tehnologii Informaționale al Ministerului Afacerilor Interne</w:t>
      </w:r>
      <w:r w:rsidR="00132C33">
        <w:rPr>
          <w:rFonts w:asciiTheme="majorHAnsi" w:hAnsiTheme="majorHAnsi" w:cstheme="majorHAnsi"/>
          <w:sz w:val="24"/>
          <w:szCs w:val="24"/>
          <w:lang w:val="ro-RO"/>
        </w:rPr>
        <w:t xml:space="preserve">, dl Andrian Șova; </w:t>
      </w:r>
      <w:r w:rsidR="00112951" w:rsidRPr="00112951">
        <w:rPr>
          <w:rFonts w:asciiTheme="majorHAnsi" w:hAnsiTheme="majorHAnsi" w:cstheme="majorHAnsi"/>
          <w:sz w:val="24"/>
          <w:szCs w:val="24"/>
          <w:lang w:val="ro-RO"/>
        </w:rPr>
        <w:t>ș</w:t>
      </w:r>
      <w:r w:rsidR="00112951">
        <w:rPr>
          <w:rFonts w:asciiTheme="majorHAnsi" w:hAnsiTheme="majorHAnsi" w:cstheme="majorHAnsi"/>
          <w:sz w:val="24"/>
          <w:szCs w:val="24"/>
          <w:lang w:val="ro-RO"/>
        </w:rPr>
        <w:t>efu</w:t>
      </w:r>
      <w:r w:rsidR="00112951" w:rsidRPr="00112951">
        <w:rPr>
          <w:rFonts w:asciiTheme="majorHAnsi" w:hAnsiTheme="majorHAnsi" w:cstheme="majorHAnsi"/>
          <w:sz w:val="24"/>
          <w:szCs w:val="24"/>
          <w:lang w:val="ro-RO"/>
        </w:rPr>
        <w:t>l</w:t>
      </w:r>
      <w:r w:rsidR="00112951">
        <w:rPr>
          <w:rFonts w:asciiTheme="majorHAnsi" w:hAnsiTheme="majorHAnsi" w:cstheme="majorHAnsi"/>
          <w:sz w:val="24"/>
          <w:szCs w:val="24"/>
          <w:lang w:val="ro-RO"/>
        </w:rPr>
        <w:t>ui</w:t>
      </w:r>
      <w:r w:rsidR="00112951" w:rsidRPr="00112951">
        <w:rPr>
          <w:rFonts w:asciiTheme="majorHAnsi" w:hAnsiTheme="majorHAnsi" w:cstheme="majorHAnsi"/>
          <w:sz w:val="24"/>
          <w:szCs w:val="24"/>
          <w:lang w:val="ro-RO"/>
        </w:rPr>
        <w:t xml:space="preserve"> Direcției politici și reglementări în domeniul societății infor</w:t>
      </w:r>
      <w:r w:rsidR="00112951">
        <w:rPr>
          <w:rFonts w:asciiTheme="majorHAnsi" w:hAnsiTheme="majorHAnsi" w:cstheme="majorHAnsi"/>
          <w:sz w:val="24"/>
          <w:szCs w:val="24"/>
          <w:lang w:val="ro-RO"/>
        </w:rPr>
        <w:t>maționale și economiei digitale a</w:t>
      </w:r>
      <w:r w:rsidR="00112951" w:rsidRPr="00112951">
        <w:rPr>
          <w:rFonts w:asciiTheme="majorHAnsi" w:hAnsiTheme="majorHAnsi" w:cstheme="majorHAnsi"/>
          <w:sz w:val="24"/>
          <w:szCs w:val="24"/>
          <w:lang w:val="ro-RO"/>
        </w:rPr>
        <w:t xml:space="preserve"> Ministerul</w:t>
      </w:r>
      <w:r w:rsidR="00112951">
        <w:rPr>
          <w:rFonts w:asciiTheme="majorHAnsi" w:hAnsiTheme="majorHAnsi" w:cstheme="majorHAnsi"/>
          <w:sz w:val="24"/>
          <w:szCs w:val="24"/>
          <w:lang w:val="ro-RO"/>
        </w:rPr>
        <w:t>ui</w:t>
      </w:r>
      <w:r w:rsidR="00112951" w:rsidRPr="00112951">
        <w:rPr>
          <w:rFonts w:asciiTheme="majorHAnsi" w:hAnsiTheme="majorHAnsi" w:cstheme="majorHAnsi"/>
          <w:sz w:val="24"/>
          <w:szCs w:val="24"/>
          <w:lang w:val="ro-RO"/>
        </w:rPr>
        <w:t xml:space="preserve"> Economiei și Infrastructurii</w:t>
      </w:r>
      <w:r w:rsidR="00112951">
        <w:rPr>
          <w:rFonts w:asciiTheme="majorHAnsi" w:hAnsiTheme="majorHAnsi" w:cstheme="majorHAnsi"/>
          <w:sz w:val="24"/>
          <w:szCs w:val="24"/>
          <w:lang w:val="ro-RO"/>
        </w:rPr>
        <w:t xml:space="preserve">, dl Andrei Cușcă; </w:t>
      </w:r>
      <w:r w:rsidR="00112951" w:rsidRPr="00112951">
        <w:rPr>
          <w:rFonts w:asciiTheme="majorHAnsi" w:hAnsiTheme="majorHAnsi" w:cstheme="majorHAnsi"/>
          <w:sz w:val="24"/>
          <w:szCs w:val="24"/>
          <w:lang w:val="ro-RO"/>
        </w:rPr>
        <w:t>șef</w:t>
      </w:r>
      <w:r w:rsidR="00112951">
        <w:rPr>
          <w:rFonts w:asciiTheme="majorHAnsi" w:hAnsiTheme="majorHAnsi" w:cstheme="majorHAnsi"/>
          <w:sz w:val="24"/>
          <w:szCs w:val="24"/>
          <w:lang w:val="ro-RO"/>
        </w:rPr>
        <w:t>ului</w:t>
      </w:r>
      <w:r w:rsidR="00112951" w:rsidRPr="00112951">
        <w:rPr>
          <w:rFonts w:asciiTheme="majorHAnsi" w:hAnsiTheme="majorHAnsi" w:cstheme="majorHAnsi"/>
          <w:sz w:val="24"/>
          <w:szCs w:val="24"/>
          <w:lang w:val="ro-RO"/>
        </w:rPr>
        <w:t xml:space="preserve"> Dir</w:t>
      </w:r>
      <w:r w:rsidR="00112951">
        <w:rPr>
          <w:rFonts w:asciiTheme="majorHAnsi" w:hAnsiTheme="majorHAnsi" w:cstheme="majorHAnsi"/>
          <w:sz w:val="24"/>
          <w:szCs w:val="24"/>
          <w:lang w:val="ro-RO"/>
        </w:rPr>
        <w:t>ecției management instituțional din cadrul</w:t>
      </w:r>
      <w:r w:rsidR="00112951" w:rsidRPr="00112951">
        <w:rPr>
          <w:rFonts w:asciiTheme="majorHAnsi" w:hAnsiTheme="majorHAnsi" w:cstheme="majorHAnsi"/>
          <w:sz w:val="24"/>
          <w:szCs w:val="24"/>
          <w:lang w:val="ro-RO"/>
        </w:rPr>
        <w:t xml:space="preserve"> Ministerul</w:t>
      </w:r>
      <w:r w:rsidR="00112951">
        <w:rPr>
          <w:rFonts w:asciiTheme="majorHAnsi" w:hAnsiTheme="majorHAnsi" w:cstheme="majorHAnsi"/>
          <w:sz w:val="24"/>
          <w:szCs w:val="24"/>
          <w:lang w:val="ro-RO"/>
        </w:rPr>
        <w:t>ui</w:t>
      </w:r>
      <w:r w:rsidR="00112951" w:rsidRPr="00112951">
        <w:rPr>
          <w:rFonts w:asciiTheme="majorHAnsi" w:hAnsiTheme="majorHAnsi" w:cstheme="majorHAnsi"/>
          <w:sz w:val="24"/>
          <w:szCs w:val="24"/>
          <w:lang w:val="ro-RO"/>
        </w:rPr>
        <w:t xml:space="preserve"> Justiției</w:t>
      </w:r>
      <w:r w:rsidR="00112951">
        <w:rPr>
          <w:rFonts w:asciiTheme="majorHAnsi" w:hAnsiTheme="majorHAnsi" w:cstheme="majorHAnsi"/>
          <w:sz w:val="24"/>
          <w:szCs w:val="24"/>
          <w:lang w:val="ro-RO"/>
        </w:rPr>
        <w:t xml:space="preserve">, </w:t>
      </w:r>
      <w:r w:rsidR="00E1584A">
        <w:rPr>
          <w:rFonts w:asciiTheme="majorHAnsi" w:hAnsiTheme="majorHAnsi" w:cstheme="majorHAnsi"/>
          <w:sz w:val="24"/>
          <w:szCs w:val="24"/>
          <w:lang w:val="ro-RO"/>
        </w:rPr>
        <w:t xml:space="preserve">dna </w:t>
      </w:r>
      <w:r w:rsidR="00112951">
        <w:rPr>
          <w:rFonts w:asciiTheme="majorHAnsi" w:hAnsiTheme="majorHAnsi" w:cstheme="majorHAnsi"/>
          <w:sz w:val="24"/>
          <w:szCs w:val="24"/>
          <w:lang w:val="ro-RO"/>
        </w:rPr>
        <w:t xml:space="preserve">Silvia Marchitan; </w:t>
      </w:r>
      <w:r w:rsidR="00112951" w:rsidRPr="00112951">
        <w:rPr>
          <w:rFonts w:asciiTheme="majorHAnsi" w:hAnsiTheme="majorHAnsi" w:cstheme="majorHAnsi"/>
          <w:sz w:val="24"/>
          <w:szCs w:val="24"/>
          <w:lang w:val="ro-RO"/>
        </w:rPr>
        <w:t>ș</w:t>
      </w:r>
      <w:r w:rsidR="00112951">
        <w:rPr>
          <w:rFonts w:asciiTheme="majorHAnsi" w:hAnsiTheme="majorHAnsi" w:cstheme="majorHAnsi"/>
          <w:sz w:val="24"/>
          <w:szCs w:val="24"/>
          <w:lang w:val="ro-RO"/>
        </w:rPr>
        <w:t>efului</w:t>
      </w:r>
      <w:r w:rsidR="00112951" w:rsidRPr="00112951">
        <w:rPr>
          <w:rFonts w:asciiTheme="majorHAnsi" w:hAnsiTheme="majorHAnsi" w:cstheme="majorHAnsi"/>
          <w:sz w:val="24"/>
          <w:szCs w:val="24"/>
          <w:lang w:val="ro-RO"/>
        </w:rPr>
        <w:t xml:space="preserve"> Serviciului Tehnologii Informaționale și Comunicații</w:t>
      </w:r>
      <w:r w:rsidR="00112951">
        <w:rPr>
          <w:rFonts w:asciiTheme="majorHAnsi" w:hAnsiTheme="majorHAnsi" w:cstheme="majorHAnsi"/>
          <w:sz w:val="24"/>
          <w:szCs w:val="24"/>
          <w:lang w:val="ro-RO"/>
        </w:rPr>
        <w:t xml:space="preserve"> din cadrul Agenției Naționale</w:t>
      </w:r>
      <w:r w:rsidR="00112951" w:rsidRPr="00112951">
        <w:rPr>
          <w:rFonts w:asciiTheme="majorHAnsi" w:hAnsiTheme="majorHAnsi" w:cstheme="majorHAnsi"/>
          <w:sz w:val="24"/>
          <w:szCs w:val="24"/>
          <w:lang w:val="ro-RO"/>
        </w:rPr>
        <w:t xml:space="preserve"> Transport Auto</w:t>
      </w:r>
      <w:r w:rsidR="00112951">
        <w:rPr>
          <w:rFonts w:asciiTheme="majorHAnsi" w:hAnsiTheme="majorHAnsi" w:cstheme="majorHAnsi"/>
          <w:sz w:val="24"/>
          <w:szCs w:val="24"/>
          <w:lang w:val="ro-RO"/>
        </w:rPr>
        <w:t xml:space="preserve">, dl Radu Cornea; </w:t>
      </w:r>
      <w:r w:rsidR="00112951" w:rsidRPr="00112951">
        <w:rPr>
          <w:rFonts w:asciiTheme="majorHAnsi" w:hAnsiTheme="majorHAnsi" w:cstheme="majorHAnsi"/>
          <w:sz w:val="24"/>
          <w:szCs w:val="24"/>
          <w:lang w:val="ro-RO"/>
        </w:rPr>
        <w:t>șef</w:t>
      </w:r>
      <w:r w:rsidR="00112951">
        <w:rPr>
          <w:rFonts w:asciiTheme="majorHAnsi" w:hAnsiTheme="majorHAnsi" w:cstheme="majorHAnsi"/>
          <w:sz w:val="24"/>
          <w:szCs w:val="24"/>
          <w:lang w:val="ro-RO"/>
        </w:rPr>
        <w:t>ului Direcției TI din cadrul</w:t>
      </w:r>
      <w:r w:rsidR="00112951" w:rsidRPr="00112951">
        <w:rPr>
          <w:rFonts w:asciiTheme="majorHAnsi" w:hAnsiTheme="majorHAnsi" w:cstheme="majorHAnsi"/>
          <w:sz w:val="24"/>
          <w:szCs w:val="24"/>
          <w:lang w:val="ro-RO"/>
        </w:rPr>
        <w:t xml:space="preserve"> Agenți</w:t>
      </w:r>
      <w:r w:rsidR="00112951">
        <w:rPr>
          <w:rFonts w:asciiTheme="majorHAnsi" w:hAnsiTheme="majorHAnsi" w:cstheme="majorHAnsi"/>
          <w:sz w:val="24"/>
          <w:szCs w:val="24"/>
          <w:lang w:val="ro-RO"/>
        </w:rPr>
        <w:t>ei</w:t>
      </w:r>
      <w:r w:rsidR="00112951" w:rsidRPr="00112951">
        <w:rPr>
          <w:rFonts w:asciiTheme="majorHAnsi" w:hAnsiTheme="majorHAnsi" w:cstheme="majorHAnsi"/>
          <w:sz w:val="24"/>
          <w:szCs w:val="24"/>
          <w:lang w:val="ro-RO"/>
        </w:rPr>
        <w:t xml:space="preserve"> Resurse Informaționale Juridice</w:t>
      </w:r>
      <w:r w:rsidR="00BD5970">
        <w:rPr>
          <w:rFonts w:asciiTheme="majorHAnsi" w:hAnsiTheme="majorHAnsi" w:cstheme="majorHAnsi"/>
          <w:sz w:val="24"/>
          <w:szCs w:val="24"/>
          <w:lang w:val="ro-RO"/>
        </w:rPr>
        <w:t xml:space="preserve"> din subordinea Ministerului Justiției</w:t>
      </w:r>
      <w:r w:rsidR="00112951">
        <w:rPr>
          <w:rFonts w:asciiTheme="majorHAnsi" w:hAnsiTheme="majorHAnsi" w:cstheme="majorHAnsi"/>
          <w:sz w:val="24"/>
          <w:szCs w:val="24"/>
          <w:lang w:val="ro-RO"/>
        </w:rPr>
        <w:t xml:space="preserve">, dl Nicolae Bujor, </w:t>
      </w:r>
      <w:r w:rsidR="007C6869" w:rsidRPr="009E00F6">
        <w:rPr>
          <w:rFonts w:asciiTheme="majorHAnsi" w:hAnsiTheme="majorHAnsi" w:cstheme="majorHAnsi"/>
          <w:sz w:val="24"/>
          <w:szCs w:val="24"/>
          <w:lang w:val="ro-RO"/>
        </w:rPr>
        <w:t>precum și a altor persoane cu funcții de răspundere, în cadrul ședinței video, în legătură cu instituirea stării de urgență în sănătatea publică</w:t>
      </w:r>
      <w:r w:rsidR="00ED59DD" w:rsidRPr="009E00F6">
        <w:rPr>
          <w:rFonts w:asciiTheme="majorHAnsi" w:hAnsiTheme="majorHAnsi" w:cstheme="majorHAnsi"/>
          <w:sz w:val="24"/>
          <w:szCs w:val="24"/>
          <w:vertAlign w:val="superscript"/>
          <w:lang w:val="ro-RO"/>
        </w:rPr>
        <w:footnoteReference w:id="1"/>
      </w:r>
      <w:r w:rsidR="00ED59DD" w:rsidRPr="009E00F6">
        <w:rPr>
          <w:rFonts w:asciiTheme="majorHAnsi" w:hAnsiTheme="majorHAnsi" w:cstheme="majorHAnsi"/>
          <w:sz w:val="24"/>
          <w:szCs w:val="24"/>
          <w:lang w:val="ro-RO"/>
        </w:rPr>
        <w:t xml:space="preserve">, </w:t>
      </w:r>
      <w:r w:rsidR="007C6869" w:rsidRPr="009E00F6">
        <w:rPr>
          <w:rFonts w:asciiTheme="majorHAnsi" w:hAnsiTheme="majorHAnsi" w:cstheme="majorHAnsi"/>
          <w:sz w:val="24"/>
          <w:szCs w:val="24"/>
          <w:lang w:val="ro-RO"/>
        </w:rPr>
        <w:t xml:space="preserve">călăuzindu-se de art.3 alin.(1) și art.5 alin.(1) lit. a) din Legea privind organizarea și funcționarea Curții </w:t>
      </w:r>
      <w:r w:rsidR="00E018A8" w:rsidRPr="009E00F6">
        <w:rPr>
          <w:rFonts w:asciiTheme="majorHAnsi" w:hAnsiTheme="majorHAnsi" w:cstheme="majorHAnsi"/>
          <w:sz w:val="24"/>
          <w:szCs w:val="24"/>
          <w:lang w:val="ro-RO"/>
        </w:rPr>
        <w:t>de Conturi a Republicii Moldova</w:t>
      </w:r>
      <w:r w:rsidR="007C6869" w:rsidRPr="009E00F6">
        <w:rPr>
          <w:rFonts w:asciiTheme="majorHAnsi" w:eastAsia="Times New Roman" w:hAnsiTheme="majorHAnsi" w:cstheme="majorHAnsi"/>
          <w:sz w:val="24"/>
          <w:szCs w:val="24"/>
          <w:vertAlign w:val="superscript"/>
          <w:lang w:val="ro-RO"/>
        </w:rPr>
        <w:footnoteReference w:id="2"/>
      </w:r>
      <w:r w:rsidR="007C6869" w:rsidRPr="009E00F6">
        <w:rPr>
          <w:rFonts w:asciiTheme="majorHAnsi" w:eastAsia="Times New Roman" w:hAnsiTheme="majorHAnsi" w:cstheme="majorHAnsi"/>
          <w:sz w:val="24"/>
          <w:szCs w:val="24"/>
          <w:lang w:val="ro-RO"/>
        </w:rPr>
        <w:t xml:space="preserve">, </w:t>
      </w:r>
      <w:r w:rsidR="007C6869" w:rsidRPr="009E00F6">
        <w:rPr>
          <w:rFonts w:asciiTheme="majorHAnsi" w:hAnsiTheme="majorHAnsi" w:cstheme="majorHAnsi"/>
          <w:sz w:val="24"/>
          <w:szCs w:val="24"/>
          <w:lang w:val="ro-RO"/>
        </w:rPr>
        <w:t>a examin</w:t>
      </w:r>
      <w:r w:rsidR="007C6869" w:rsidRPr="00E1584A">
        <w:rPr>
          <w:rFonts w:asciiTheme="majorHAnsi" w:hAnsiTheme="majorHAnsi" w:cstheme="majorHAnsi"/>
          <w:sz w:val="24"/>
          <w:szCs w:val="24"/>
          <w:lang w:val="ro-RO"/>
        </w:rPr>
        <w:t>at Raportul</w:t>
      </w:r>
      <w:r w:rsidR="009E00F6" w:rsidRPr="00E1584A">
        <w:rPr>
          <w:rFonts w:asciiTheme="majorHAnsi" w:hAnsiTheme="majorHAnsi" w:cstheme="majorHAnsi"/>
          <w:sz w:val="24"/>
          <w:szCs w:val="24"/>
          <w:lang w:val="ro-RO"/>
        </w:rPr>
        <w:t xml:space="preserve"> </w:t>
      </w:r>
      <w:r w:rsidR="00E1584A" w:rsidRPr="003C2EDC">
        <w:rPr>
          <w:rFonts w:asciiTheme="majorHAnsi" w:hAnsiTheme="majorHAnsi" w:cstheme="majorHAnsi"/>
          <w:sz w:val="24"/>
          <w:szCs w:val="24"/>
          <w:lang w:val="ro-RO"/>
        </w:rPr>
        <w:t>auditului performanței</w:t>
      </w:r>
      <w:r w:rsidR="00E1584A" w:rsidRPr="00E1584A">
        <w:rPr>
          <w:rFonts w:asciiTheme="majorHAnsi" w:hAnsiTheme="majorHAnsi" w:cstheme="majorHAnsi"/>
          <w:sz w:val="24"/>
          <w:szCs w:val="24"/>
          <w:lang w:val="ro-RO"/>
        </w:rPr>
        <w:t xml:space="preserve"> </w:t>
      </w:r>
      <w:r w:rsidR="009E00F6" w:rsidRPr="009E00F6">
        <w:rPr>
          <w:rFonts w:asciiTheme="majorHAnsi" w:hAnsiTheme="majorHAnsi" w:cstheme="majorHAnsi"/>
          <w:sz w:val="24"/>
          <w:szCs w:val="24"/>
          <w:lang w:val="ro-RO"/>
        </w:rPr>
        <w:t>„În ce mod activitățile realizate pentru crearea/elaborarea, implementarea și gestionarea sistemelor informaționale în sectorul public contribuie la utilizarea eficientă a resurselor alocate în acest scop?”</w:t>
      </w:r>
      <w:r w:rsidR="00BA1741" w:rsidRPr="009E00F6">
        <w:rPr>
          <w:rFonts w:asciiTheme="majorHAnsi" w:eastAsia="Times New Roman" w:hAnsiTheme="majorHAnsi" w:cstheme="majorHAnsi"/>
          <w:bCs/>
          <w:sz w:val="24"/>
          <w:szCs w:val="24"/>
          <w:lang w:val="ro-RO" w:eastAsia="ru-RU"/>
        </w:rPr>
        <w:t>.</w:t>
      </w:r>
    </w:p>
    <w:p w14:paraId="40D29B9B" w14:textId="3F48AE0D" w:rsidR="009E00F6" w:rsidRPr="009E00F6" w:rsidRDefault="00BA1741" w:rsidP="009E00F6">
      <w:pPr>
        <w:pStyle w:val="NormalWeb"/>
        <w:spacing w:line="276" w:lineRule="auto"/>
        <w:ind w:right="-22"/>
        <w:rPr>
          <w:rFonts w:asciiTheme="majorHAnsi" w:eastAsia="Calibri" w:hAnsiTheme="majorHAnsi" w:cstheme="majorHAnsi"/>
          <w:lang w:val="ro-RO"/>
        </w:rPr>
      </w:pPr>
      <w:r w:rsidRPr="009E00F6">
        <w:rPr>
          <w:rFonts w:asciiTheme="majorHAnsi" w:hAnsiTheme="majorHAnsi" w:cstheme="majorHAnsi"/>
          <w:lang w:val="ro-RO"/>
        </w:rPr>
        <w:t xml:space="preserve">Misiunea de </w:t>
      </w:r>
      <w:r w:rsidR="009E00F6" w:rsidRPr="009E00F6">
        <w:rPr>
          <w:rFonts w:asciiTheme="majorHAnsi" w:hAnsiTheme="majorHAnsi" w:cstheme="majorHAnsi"/>
          <w:lang w:val="ro-RO"/>
        </w:rPr>
        <w:t xml:space="preserve">audit </w:t>
      </w:r>
      <w:r w:rsidRPr="009E00F6">
        <w:rPr>
          <w:rFonts w:asciiTheme="majorHAnsi" w:hAnsiTheme="majorHAnsi" w:cstheme="majorHAnsi"/>
          <w:lang w:val="ro-RO"/>
        </w:rPr>
        <w:t>a fost realizată</w:t>
      </w:r>
      <w:r w:rsidRPr="009E00F6">
        <w:rPr>
          <w:rFonts w:asciiTheme="majorHAnsi" w:eastAsia="Calibri" w:hAnsiTheme="majorHAnsi" w:cstheme="majorHAnsi"/>
          <w:lang w:val="ro-RO"/>
        </w:rPr>
        <w:t xml:space="preserve"> </w:t>
      </w:r>
      <w:r w:rsidRPr="009E00F6">
        <w:rPr>
          <w:rFonts w:asciiTheme="majorHAnsi" w:hAnsiTheme="majorHAnsi" w:cstheme="majorHAnsi"/>
          <w:lang w:val="ro-RO" w:eastAsia="ro-RO"/>
        </w:rPr>
        <w:t xml:space="preserve">în temeiul Legii nr.260 din 07.12.2017 și în conformitate cu </w:t>
      </w:r>
      <w:r w:rsidR="009E00F6" w:rsidRPr="009E00F6">
        <w:rPr>
          <w:rFonts w:asciiTheme="majorHAnsi" w:hAnsiTheme="majorHAnsi" w:cstheme="majorHAnsi"/>
          <w:lang w:val="ro-RO" w:eastAsia="ro-RO"/>
        </w:rPr>
        <w:t>Programele activității de audit pe anii 2019 și 2020</w:t>
      </w:r>
      <w:r w:rsidR="009E00F6" w:rsidRPr="009E00F6">
        <w:rPr>
          <w:rFonts w:asciiTheme="majorHAnsi" w:hAnsiTheme="majorHAnsi" w:cstheme="majorHAnsi"/>
          <w:vertAlign w:val="superscript"/>
          <w:lang w:val="ro-RO" w:eastAsia="ro-RO"/>
        </w:rPr>
        <w:footnoteReference w:id="3"/>
      </w:r>
      <w:r w:rsidRPr="009E00F6">
        <w:rPr>
          <w:rFonts w:asciiTheme="majorHAnsi" w:eastAsia="Calibri" w:hAnsiTheme="majorHAnsi" w:cstheme="majorHAnsi"/>
          <w:lang w:val="ro-RO"/>
        </w:rPr>
        <w:t xml:space="preserve">, având ca scop </w:t>
      </w:r>
      <w:r w:rsidR="009E00F6" w:rsidRPr="009E00F6">
        <w:rPr>
          <w:rFonts w:asciiTheme="majorHAnsi" w:hAnsiTheme="majorHAnsi" w:cstheme="majorHAnsi"/>
          <w:lang w:val="ro-RO"/>
        </w:rPr>
        <w:t>colectarea datelor și informațiilor pertinente și exhaustive pentru susținerea constatărilor și concluziilor de audit privind progresele înregistrate în implementarea SI, a riscurilor și vulnerabilităților ce pot afecta buna gestiune a resurselor financiare utilizate pentru crearea/elaborarea, implementarea și gestionarea SI în sectorul public, inclusiv prin prisma cadrului normativ și instituțional, cu determinarea oportunităților de îmbunătățire în vederea asigurării/maximizării beneficiilor digitalizării proceselor în sectorul public.</w:t>
      </w:r>
    </w:p>
    <w:p w14:paraId="5DA6D3C8" w14:textId="77777777" w:rsidR="009E00F6" w:rsidRDefault="000518BF" w:rsidP="009E00F6">
      <w:pPr>
        <w:spacing w:line="276" w:lineRule="auto"/>
        <w:ind w:firstLine="567"/>
        <w:jc w:val="both"/>
        <w:rPr>
          <w:rFonts w:asciiTheme="majorHAnsi" w:eastAsia="Times New Roman" w:hAnsiTheme="majorHAnsi" w:cstheme="majorHAnsi"/>
          <w:sz w:val="24"/>
          <w:szCs w:val="24"/>
          <w:lang w:val="ro-RO" w:eastAsia="ro-RO"/>
        </w:rPr>
      </w:pPr>
      <w:r w:rsidRPr="009E00F6">
        <w:rPr>
          <w:rFonts w:asciiTheme="majorHAnsi" w:eastAsia="Times New Roman" w:hAnsiTheme="majorHAnsi" w:cstheme="majorHAnsi"/>
          <w:bCs/>
          <w:sz w:val="24"/>
          <w:szCs w:val="24"/>
          <w:lang w:val="ro-RO"/>
        </w:rPr>
        <w:t>Sfera</w:t>
      </w:r>
      <w:r w:rsidRPr="009E00F6">
        <w:rPr>
          <w:rFonts w:asciiTheme="majorHAnsi" w:eastAsia="Times New Roman" w:hAnsiTheme="majorHAnsi" w:cstheme="majorHAnsi"/>
          <w:b/>
          <w:bCs/>
          <w:sz w:val="24"/>
          <w:szCs w:val="24"/>
          <w:lang w:val="ro-RO"/>
        </w:rPr>
        <w:t xml:space="preserve"> </w:t>
      </w:r>
      <w:r w:rsidRPr="009E00F6">
        <w:rPr>
          <w:rFonts w:asciiTheme="majorHAnsi" w:eastAsia="Times New Roman" w:hAnsiTheme="majorHAnsi" w:cstheme="majorHAnsi"/>
          <w:bCs/>
          <w:sz w:val="24"/>
          <w:szCs w:val="24"/>
          <w:lang w:val="ro-RO"/>
        </w:rPr>
        <w:t xml:space="preserve">misiunii </w:t>
      </w:r>
      <w:r w:rsidRPr="009E00F6">
        <w:rPr>
          <w:rFonts w:asciiTheme="majorHAnsi" w:eastAsia="Times New Roman" w:hAnsiTheme="majorHAnsi" w:cstheme="majorHAnsi"/>
          <w:sz w:val="24"/>
          <w:szCs w:val="24"/>
          <w:lang w:val="ro-RO"/>
        </w:rPr>
        <w:t xml:space="preserve">a cuprins acțiunile realizate în </w:t>
      </w:r>
      <w:r w:rsidR="00812C6D" w:rsidRPr="009E00F6">
        <w:rPr>
          <w:rFonts w:asciiTheme="majorHAnsi" w:eastAsia="Times New Roman" w:hAnsiTheme="majorHAnsi" w:cstheme="majorHAnsi"/>
          <w:sz w:val="24"/>
          <w:szCs w:val="24"/>
          <w:lang w:val="ro-RO"/>
        </w:rPr>
        <w:t>anii</w:t>
      </w:r>
      <w:r w:rsidR="00F04329" w:rsidRPr="009E00F6">
        <w:rPr>
          <w:rFonts w:asciiTheme="majorHAnsi" w:eastAsia="Times New Roman" w:hAnsiTheme="majorHAnsi" w:cstheme="majorHAnsi"/>
          <w:sz w:val="24"/>
          <w:szCs w:val="24"/>
          <w:lang w:val="ro-RO"/>
        </w:rPr>
        <w:t xml:space="preserve"> </w:t>
      </w:r>
      <w:r w:rsidR="00430ACA" w:rsidRPr="009E00F6">
        <w:rPr>
          <w:rFonts w:asciiTheme="majorHAnsi" w:eastAsia="Times New Roman" w:hAnsiTheme="majorHAnsi" w:cstheme="majorHAnsi"/>
          <w:sz w:val="24"/>
          <w:szCs w:val="24"/>
          <w:lang w:val="ro-RO"/>
        </w:rPr>
        <w:t>2018</w:t>
      </w:r>
      <w:r w:rsidRPr="009E00F6">
        <w:rPr>
          <w:rFonts w:asciiTheme="majorHAnsi" w:eastAsia="Times New Roman" w:hAnsiTheme="majorHAnsi" w:cstheme="majorHAnsi"/>
          <w:sz w:val="24"/>
          <w:szCs w:val="24"/>
          <w:lang w:val="ro-RO"/>
        </w:rPr>
        <w:t>-20</w:t>
      </w:r>
      <w:r w:rsidR="00430ACA" w:rsidRPr="009E00F6">
        <w:rPr>
          <w:rFonts w:asciiTheme="majorHAnsi" w:eastAsia="Times New Roman" w:hAnsiTheme="majorHAnsi" w:cstheme="majorHAnsi"/>
          <w:sz w:val="24"/>
          <w:szCs w:val="24"/>
          <w:lang w:val="ro-RO"/>
        </w:rPr>
        <w:t>20 (noiembrie)</w:t>
      </w:r>
      <w:r w:rsidRPr="009E00F6">
        <w:rPr>
          <w:rFonts w:asciiTheme="majorHAnsi" w:eastAsia="Times New Roman" w:hAnsiTheme="majorHAnsi" w:cstheme="majorHAnsi"/>
          <w:sz w:val="24"/>
          <w:szCs w:val="24"/>
          <w:lang w:val="ro-RO"/>
        </w:rPr>
        <w:t xml:space="preserve"> </w:t>
      </w:r>
      <w:r w:rsidR="009E00F6" w:rsidRPr="009E00F6">
        <w:rPr>
          <w:rFonts w:asciiTheme="majorHAnsi" w:eastAsia="Times New Roman" w:hAnsiTheme="majorHAnsi" w:cstheme="majorHAnsi"/>
          <w:sz w:val="24"/>
          <w:szCs w:val="24"/>
          <w:lang w:val="ro-RO" w:eastAsia="ro-RO"/>
        </w:rPr>
        <w:t>de autoritățile și instituțiile publice autonome, ministere și instituțiile din subordinea acestora, precum și cele din sfera lor de competență, după caz, fiind colectate probe ce vizează și alte perioade relevante auditului.</w:t>
      </w:r>
    </w:p>
    <w:p w14:paraId="30535CA6" w14:textId="1DC4C7FA" w:rsidR="00D97CF8" w:rsidRPr="009E00F6" w:rsidRDefault="006E5EF0" w:rsidP="009E00F6">
      <w:pPr>
        <w:spacing w:line="276" w:lineRule="auto"/>
        <w:ind w:firstLine="567"/>
        <w:jc w:val="both"/>
        <w:rPr>
          <w:rFonts w:asciiTheme="majorHAnsi" w:eastAsia="Times New Roman" w:hAnsiTheme="majorHAnsi" w:cstheme="majorHAnsi"/>
          <w:sz w:val="24"/>
          <w:szCs w:val="24"/>
          <w:lang w:val="ro-RO" w:eastAsia="ro-RO"/>
        </w:rPr>
      </w:pPr>
      <w:r w:rsidRPr="009E00F6">
        <w:rPr>
          <w:rFonts w:asciiTheme="majorHAnsi" w:eastAsia="Times New Roman" w:hAnsiTheme="majorHAnsi" w:cstheme="majorHAnsi"/>
          <w:sz w:val="24"/>
          <w:szCs w:val="24"/>
          <w:lang w:val="ro-RO"/>
        </w:rPr>
        <w:lastRenderedPageBreak/>
        <w:t xml:space="preserve">Examinând Raportul de audit, </w:t>
      </w:r>
      <w:r w:rsidR="00AA27B6" w:rsidRPr="009E00F6">
        <w:rPr>
          <w:rFonts w:asciiTheme="majorHAnsi" w:eastAsia="Times New Roman" w:hAnsiTheme="majorHAnsi" w:cstheme="majorHAnsi"/>
          <w:sz w:val="24"/>
          <w:szCs w:val="24"/>
          <w:lang w:val="ro-RO"/>
        </w:rPr>
        <w:t xml:space="preserve">constatările </w:t>
      </w:r>
      <w:r w:rsidR="00430ACA" w:rsidRPr="009E00F6">
        <w:rPr>
          <w:rFonts w:asciiTheme="majorHAnsi" w:eastAsia="Times New Roman" w:hAnsiTheme="majorHAnsi" w:cstheme="majorHAnsi"/>
          <w:sz w:val="24"/>
          <w:szCs w:val="24"/>
          <w:lang w:val="ro-RO"/>
        </w:rPr>
        <w:t>și concluziile</w:t>
      </w:r>
      <w:r w:rsidR="009E00F6">
        <w:rPr>
          <w:rFonts w:asciiTheme="majorHAnsi" w:eastAsia="Times New Roman" w:hAnsiTheme="majorHAnsi" w:cstheme="majorHAnsi"/>
          <w:sz w:val="24"/>
          <w:szCs w:val="24"/>
          <w:lang w:val="ro-RO"/>
        </w:rPr>
        <w:t xml:space="preserve"> auditului</w:t>
      </w:r>
      <w:r w:rsidR="00AA27B6" w:rsidRPr="009E00F6">
        <w:rPr>
          <w:rFonts w:asciiTheme="majorHAnsi" w:eastAsia="Times New Roman" w:hAnsiTheme="majorHAnsi" w:cstheme="majorHAnsi"/>
          <w:sz w:val="24"/>
          <w:szCs w:val="24"/>
          <w:lang w:val="ro-RO"/>
        </w:rPr>
        <w:t xml:space="preserve">, </w:t>
      </w:r>
      <w:r w:rsidRPr="009E00F6">
        <w:rPr>
          <w:rFonts w:asciiTheme="majorHAnsi" w:eastAsia="Times New Roman" w:hAnsiTheme="majorHAnsi" w:cstheme="majorHAnsi"/>
          <w:sz w:val="24"/>
          <w:szCs w:val="24"/>
          <w:lang w:val="ro-RO"/>
        </w:rPr>
        <w:t xml:space="preserve">Curtea de Conturi </w:t>
      </w:r>
    </w:p>
    <w:p w14:paraId="49D1705E" w14:textId="287BFF7D" w:rsidR="00BA1741" w:rsidRPr="009E00F6" w:rsidRDefault="00BA1741" w:rsidP="009E00F6">
      <w:pPr>
        <w:spacing w:after="0" w:line="276" w:lineRule="auto"/>
        <w:jc w:val="center"/>
        <w:rPr>
          <w:rFonts w:ascii="Calibri Light" w:eastAsia="Times New Roman" w:hAnsi="Calibri Light" w:cs="Calibri Light"/>
          <w:b/>
          <w:bCs/>
          <w:sz w:val="24"/>
          <w:szCs w:val="24"/>
          <w:lang w:val="ro-RO"/>
        </w:rPr>
      </w:pPr>
      <w:r w:rsidRPr="009E00F6">
        <w:rPr>
          <w:rFonts w:ascii="Calibri Light" w:eastAsia="Times New Roman" w:hAnsi="Calibri Light" w:cs="Calibri Light"/>
          <w:b/>
          <w:bCs/>
          <w:sz w:val="24"/>
          <w:szCs w:val="24"/>
          <w:lang w:val="ro-RO"/>
        </w:rPr>
        <w:t>A CONSTATAT:</w:t>
      </w:r>
    </w:p>
    <w:p w14:paraId="38051628" w14:textId="77777777" w:rsidR="00D97CF8" w:rsidRPr="009E00F6" w:rsidRDefault="00D97CF8" w:rsidP="009E00F6">
      <w:pPr>
        <w:spacing w:after="0" w:line="276" w:lineRule="auto"/>
        <w:ind w:firstLine="567"/>
        <w:jc w:val="center"/>
        <w:rPr>
          <w:rFonts w:ascii="Calibri Light" w:eastAsia="Times New Roman" w:hAnsi="Calibri Light" w:cs="Calibri Light"/>
          <w:b/>
          <w:bCs/>
          <w:sz w:val="10"/>
          <w:szCs w:val="10"/>
          <w:lang w:val="ro-RO"/>
        </w:rPr>
      </w:pPr>
    </w:p>
    <w:p w14:paraId="37967C9F" w14:textId="6524F0F9" w:rsidR="00975B85" w:rsidRDefault="001B0A2A" w:rsidP="00EC6E9C">
      <w:pPr>
        <w:spacing w:after="0" w:line="276" w:lineRule="auto"/>
        <w:ind w:right="-23"/>
        <w:jc w:val="both"/>
      </w:pPr>
      <w:r w:rsidRPr="009E00F6">
        <w:rPr>
          <w:rFonts w:asciiTheme="majorHAnsi" w:eastAsia="Times New Roman" w:hAnsiTheme="majorHAnsi" w:cstheme="majorHAnsi"/>
          <w:sz w:val="24"/>
          <w:szCs w:val="24"/>
          <w:lang w:val="ro-RO"/>
        </w:rPr>
        <w:t xml:space="preserve">  </w:t>
      </w:r>
      <w:r w:rsidR="00EC6E9C">
        <w:rPr>
          <w:rFonts w:asciiTheme="majorHAnsi" w:eastAsia="Times New Roman" w:hAnsiTheme="majorHAnsi" w:cstheme="majorHAnsi"/>
          <w:sz w:val="24"/>
          <w:szCs w:val="24"/>
          <w:lang w:val="ro-RO"/>
        </w:rPr>
        <w:tab/>
        <w:t xml:space="preserve">în scopul eficientizării </w:t>
      </w:r>
      <w:r w:rsidR="005307C6">
        <w:rPr>
          <w:rFonts w:asciiTheme="majorHAnsi" w:eastAsia="Times New Roman" w:hAnsiTheme="majorHAnsi" w:cstheme="majorHAnsi"/>
          <w:sz w:val="24"/>
          <w:szCs w:val="24"/>
          <w:lang w:val="ro-RO"/>
        </w:rPr>
        <w:t xml:space="preserve">unor </w:t>
      </w:r>
      <w:r w:rsidR="00EC6E9C">
        <w:rPr>
          <w:rFonts w:asciiTheme="majorHAnsi" w:eastAsia="Times New Roman" w:hAnsiTheme="majorHAnsi" w:cstheme="majorHAnsi"/>
          <w:sz w:val="24"/>
          <w:szCs w:val="24"/>
          <w:lang w:val="ro-RO"/>
        </w:rPr>
        <w:t>activități prin automatizarea proceselor</w:t>
      </w:r>
      <w:r w:rsidR="005307C6">
        <w:rPr>
          <w:rFonts w:asciiTheme="majorHAnsi" w:eastAsia="Times New Roman" w:hAnsiTheme="majorHAnsi" w:cstheme="majorHAnsi"/>
          <w:sz w:val="24"/>
          <w:szCs w:val="24"/>
          <w:lang w:val="ro-RO"/>
        </w:rPr>
        <w:t xml:space="preserve"> aferente</w:t>
      </w:r>
      <w:r w:rsidR="00EC6E9C">
        <w:rPr>
          <w:rFonts w:asciiTheme="majorHAnsi" w:eastAsia="Times New Roman" w:hAnsiTheme="majorHAnsi" w:cstheme="majorHAnsi"/>
          <w:sz w:val="24"/>
          <w:szCs w:val="24"/>
          <w:lang w:val="ro-RO"/>
        </w:rPr>
        <w:t xml:space="preserve">, autoritățile și instituțiile publice, inclusiv cele din subordinea și sfera </w:t>
      </w:r>
      <w:r w:rsidR="005307C6">
        <w:rPr>
          <w:rFonts w:asciiTheme="majorHAnsi" w:eastAsia="Times New Roman" w:hAnsiTheme="majorHAnsi" w:cstheme="majorHAnsi"/>
          <w:sz w:val="24"/>
          <w:szCs w:val="24"/>
          <w:lang w:val="ro-RO"/>
        </w:rPr>
        <w:t xml:space="preserve">lor </w:t>
      </w:r>
      <w:r w:rsidR="00EC6E9C">
        <w:rPr>
          <w:rFonts w:asciiTheme="majorHAnsi" w:eastAsia="Times New Roman" w:hAnsiTheme="majorHAnsi" w:cstheme="majorHAnsi"/>
          <w:sz w:val="24"/>
          <w:szCs w:val="24"/>
          <w:lang w:val="ro-RO"/>
        </w:rPr>
        <w:t>de competență</w:t>
      </w:r>
      <w:r w:rsidR="005307C6">
        <w:rPr>
          <w:rFonts w:asciiTheme="majorHAnsi" w:eastAsia="Times New Roman" w:hAnsiTheme="majorHAnsi" w:cstheme="majorHAnsi"/>
          <w:sz w:val="24"/>
          <w:szCs w:val="24"/>
          <w:lang w:val="ro-RO"/>
        </w:rPr>
        <w:t>,</w:t>
      </w:r>
      <w:r w:rsidR="00EC6E9C">
        <w:rPr>
          <w:rFonts w:asciiTheme="majorHAnsi" w:eastAsia="Times New Roman" w:hAnsiTheme="majorHAnsi" w:cstheme="majorHAnsi"/>
          <w:sz w:val="24"/>
          <w:szCs w:val="24"/>
          <w:lang w:val="ro-RO"/>
        </w:rPr>
        <w:t xml:space="preserve"> </w:t>
      </w:r>
      <w:r w:rsidR="00964BFD">
        <w:rPr>
          <w:rFonts w:asciiTheme="majorHAnsi" w:eastAsia="Times New Roman" w:hAnsiTheme="majorHAnsi" w:cstheme="majorHAnsi"/>
          <w:sz w:val="24"/>
          <w:szCs w:val="24"/>
          <w:lang w:val="ro-RO"/>
        </w:rPr>
        <w:t xml:space="preserve">pe parcursul anilor </w:t>
      </w:r>
      <w:r w:rsidR="00EC6E9C">
        <w:rPr>
          <w:rFonts w:asciiTheme="majorHAnsi" w:eastAsia="Times New Roman" w:hAnsiTheme="majorHAnsi" w:cstheme="majorHAnsi"/>
          <w:sz w:val="24"/>
          <w:szCs w:val="24"/>
          <w:lang w:val="ro-RO"/>
        </w:rPr>
        <w:t>au implementat și</w:t>
      </w:r>
      <w:r w:rsidR="00964BFD">
        <w:rPr>
          <w:rFonts w:asciiTheme="majorHAnsi" w:eastAsia="Times New Roman" w:hAnsiTheme="majorHAnsi" w:cstheme="majorHAnsi"/>
          <w:sz w:val="24"/>
          <w:szCs w:val="24"/>
          <w:lang w:val="ro-RO"/>
        </w:rPr>
        <w:t xml:space="preserve"> au</w:t>
      </w:r>
      <w:r w:rsidR="00EC6E9C">
        <w:rPr>
          <w:rFonts w:asciiTheme="majorHAnsi" w:eastAsia="Times New Roman" w:hAnsiTheme="majorHAnsi" w:cstheme="majorHAnsi"/>
          <w:sz w:val="24"/>
          <w:szCs w:val="24"/>
          <w:lang w:val="ro-RO"/>
        </w:rPr>
        <w:t xml:space="preserve"> dezvoltat</w:t>
      </w:r>
      <w:r w:rsidR="00EC6E9C" w:rsidRPr="00EC6E9C">
        <w:rPr>
          <w:rFonts w:asciiTheme="majorHAnsi" w:eastAsia="Times New Roman" w:hAnsiTheme="majorHAnsi" w:cstheme="majorHAnsi"/>
          <w:sz w:val="24"/>
          <w:szCs w:val="24"/>
          <w:lang w:val="ro-RO"/>
        </w:rPr>
        <w:t xml:space="preserve">, inclusiv din resurse financiare externe, un șir de </w:t>
      </w:r>
      <w:r w:rsidR="005307C6">
        <w:rPr>
          <w:rFonts w:asciiTheme="majorHAnsi" w:eastAsia="Times New Roman" w:hAnsiTheme="majorHAnsi" w:cstheme="majorHAnsi"/>
          <w:sz w:val="24"/>
          <w:szCs w:val="24"/>
          <w:lang w:val="ro-RO"/>
        </w:rPr>
        <w:t>s</w:t>
      </w:r>
      <w:r w:rsidR="00EC6E9C" w:rsidRPr="00EC6E9C">
        <w:rPr>
          <w:rFonts w:asciiTheme="majorHAnsi" w:eastAsia="Times New Roman" w:hAnsiTheme="majorHAnsi" w:cstheme="majorHAnsi"/>
          <w:sz w:val="24"/>
          <w:szCs w:val="24"/>
          <w:lang w:val="ro-RO"/>
        </w:rPr>
        <w:t>isteme informatice</w:t>
      </w:r>
      <w:r w:rsidR="005307C6">
        <w:rPr>
          <w:rFonts w:asciiTheme="majorHAnsi" w:eastAsia="Times New Roman" w:hAnsiTheme="majorHAnsi" w:cstheme="majorHAnsi"/>
          <w:sz w:val="24"/>
          <w:szCs w:val="24"/>
          <w:lang w:val="ro-RO"/>
        </w:rPr>
        <w:t>. Prezenta misiune a stabilit că</w:t>
      </w:r>
      <w:r w:rsidR="00EC6E9C" w:rsidRPr="00EC6E9C">
        <w:rPr>
          <w:rFonts w:asciiTheme="majorHAnsi" w:eastAsia="Times New Roman" w:hAnsiTheme="majorHAnsi" w:cstheme="majorHAnsi"/>
          <w:sz w:val="24"/>
          <w:szCs w:val="24"/>
          <w:lang w:val="ro-RO"/>
        </w:rPr>
        <w:t xml:space="preserve"> nu toate </w:t>
      </w:r>
      <w:r w:rsidR="005307C6">
        <w:rPr>
          <w:rFonts w:asciiTheme="majorHAnsi" w:eastAsia="Times New Roman" w:hAnsiTheme="majorHAnsi" w:cstheme="majorHAnsi"/>
          <w:sz w:val="24"/>
          <w:szCs w:val="24"/>
          <w:lang w:val="ro-RO"/>
        </w:rPr>
        <w:t xml:space="preserve">sistemele informatice </w:t>
      </w:r>
      <w:r w:rsidR="00EC6E9C" w:rsidRPr="00EC6E9C">
        <w:rPr>
          <w:rFonts w:asciiTheme="majorHAnsi" w:eastAsia="Times New Roman" w:hAnsiTheme="majorHAnsi" w:cstheme="majorHAnsi"/>
          <w:sz w:val="24"/>
          <w:szCs w:val="24"/>
          <w:lang w:val="ro-RO"/>
        </w:rPr>
        <w:t>sunt funcționale și valorificate/utilizate corespunzător.</w:t>
      </w:r>
      <w:r w:rsidR="00EC6E9C" w:rsidRPr="00EC6E9C">
        <w:t xml:space="preserve"> </w:t>
      </w:r>
    </w:p>
    <w:p w14:paraId="03B758B7" w14:textId="44C9BE71" w:rsidR="00EC6E9C" w:rsidRDefault="00EC6E9C" w:rsidP="003C2EDC">
      <w:pPr>
        <w:spacing w:after="0" w:line="276" w:lineRule="auto"/>
        <w:ind w:right="-23" w:firstLine="567"/>
        <w:jc w:val="both"/>
        <w:rPr>
          <w:rFonts w:asciiTheme="majorHAnsi" w:eastAsia="Times New Roman" w:hAnsiTheme="majorHAnsi" w:cstheme="majorHAnsi"/>
          <w:sz w:val="24"/>
          <w:szCs w:val="24"/>
          <w:lang w:val="ro-RO"/>
        </w:rPr>
      </w:pPr>
      <w:r>
        <w:rPr>
          <w:rFonts w:asciiTheme="majorHAnsi" w:eastAsia="Times New Roman" w:hAnsiTheme="majorHAnsi" w:cstheme="majorHAnsi"/>
          <w:sz w:val="24"/>
          <w:szCs w:val="24"/>
          <w:lang w:val="ro-RO"/>
        </w:rPr>
        <w:t xml:space="preserve">Totodată, </w:t>
      </w:r>
      <w:r w:rsidRPr="00EC6E9C">
        <w:rPr>
          <w:rFonts w:asciiTheme="majorHAnsi" w:eastAsia="Times New Roman" w:hAnsiTheme="majorHAnsi" w:cstheme="majorHAnsi"/>
          <w:sz w:val="24"/>
          <w:szCs w:val="24"/>
          <w:lang w:val="ro-RO"/>
        </w:rPr>
        <w:t>lipsa unor strategii sectoriale</w:t>
      </w:r>
      <w:r>
        <w:rPr>
          <w:rFonts w:asciiTheme="majorHAnsi" w:eastAsia="Times New Roman" w:hAnsiTheme="majorHAnsi" w:cstheme="majorHAnsi"/>
          <w:sz w:val="24"/>
          <w:szCs w:val="24"/>
          <w:lang w:val="ro-RO"/>
        </w:rPr>
        <w:t xml:space="preserve"> și instituționale privind tehnologiile informaționale și comunicațiile (TIC), </w:t>
      </w:r>
      <w:r w:rsidRPr="00EC6E9C">
        <w:rPr>
          <w:rFonts w:asciiTheme="majorHAnsi" w:eastAsia="Times New Roman" w:hAnsiTheme="majorHAnsi" w:cstheme="majorHAnsi"/>
          <w:sz w:val="24"/>
          <w:szCs w:val="24"/>
          <w:lang w:val="ro-RO"/>
        </w:rPr>
        <w:t>care ar stabili viziunea unică de automatizare a proceselor de bază din sectorul public</w:t>
      </w:r>
      <w:r w:rsidR="00786C55">
        <w:rPr>
          <w:rFonts w:asciiTheme="majorHAnsi" w:eastAsia="Times New Roman" w:hAnsiTheme="majorHAnsi" w:cstheme="majorHAnsi"/>
          <w:sz w:val="24"/>
          <w:szCs w:val="24"/>
          <w:lang w:val="ro-RO"/>
        </w:rPr>
        <w:t xml:space="preserve"> (</w:t>
      </w:r>
      <w:r w:rsidRPr="00EC6E9C">
        <w:rPr>
          <w:rFonts w:asciiTheme="majorHAnsi" w:eastAsia="Times New Roman" w:hAnsiTheme="majorHAnsi" w:cstheme="majorHAnsi"/>
          <w:i/>
          <w:sz w:val="24"/>
          <w:szCs w:val="24"/>
          <w:lang w:val="ro-RO"/>
        </w:rPr>
        <w:t>asistență socială, medic</w:t>
      </w:r>
      <w:r w:rsidR="005307C6">
        <w:rPr>
          <w:rFonts w:asciiTheme="majorHAnsi" w:eastAsia="Times New Roman" w:hAnsiTheme="majorHAnsi" w:cstheme="majorHAnsi"/>
          <w:i/>
          <w:sz w:val="24"/>
          <w:szCs w:val="24"/>
          <w:lang w:val="ro-RO"/>
        </w:rPr>
        <w:t>ină</w:t>
      </w:r>
      <w:r w:rsidRPr="00EC6E9C">
        <w:rPr>
          <w:rFonts w:asciiTheme="majorHAnsi" w:eastAsia="Times New Roman" w:hAnsiTheme="majorHAnsi" w:cstheme="majorHAnsi"/>
          <w:i/>
          <w:sz w:val="24"/>
          <w:szCs w:val="24"/>
          <w:lang w:val="ro-RO"/>
        </w:rPr>
        <w:t xml:space="preserve">, justiție, agricultură, mediu </w:t>
      </w:r>
      <w:r w:rsidRPr="00EC6E9C">
        <w:rPr>
          <w:rFonts w:asciiTheme="majorHAnsi" w:eastAsia="Times New Roman" w:hAnsiTheme="majorHAnsi" w:cstheme="majorHAnsi"/>
          <w:sz w:val="24"/>
          <w:szCs w:val="24"/>
          <w:lang w:val="ro-RO"/>
        </w:rPr>
        <w:t>etc</w:t>
      </w:r>
      <w:r w:rsidR="005307C6">
        <w:rPr>
          <w:rFonts w:asciiTheme="majorHAnsi" w:eastAsia="Times New Roman" w:hAnsiTheme="majorHAnsi" w:cstheme="majorHAnsi"/>
          <w:sz w:val="24"/>
          <w:szCs w:val="24"/>
          <w:lang w:val="ro-RO"/>
        </w:rPr>
        <w:t>.</w:t>
      </w:r>
      <w:r w:rsidR="00786C55">
        <w:rPr>
          <w:rFonts w:asciiTheme="majorHAnsi" w:eastAsia="Times New Roman" w:hAnsiTheme="majorHAnsi" w:cstheme="majorHAnsi"/>
          <w:sz w:val="24"/>
          <w:szCs w:val="24"/>
          <w:lang w:val="ro-RO"/>
        </w:rPr>
        <w:t>)</w:t>
      </w:r>
      <w:r w:rsidRPr="00EC6E9C">
        <w:rPr>
          <w:rFonts w:asciiTheme="majorHAnsi" w:eastAsia="Times New Roman" w:hAnsiTheme="majorHAnsi" w:cstheme="majorHAnsi"/>
          <w:sz w:val="24"/>
          <w:szCs w:val="24"/>
          <w:lang w:val="ro-RO"/>
        </w:rPr>
        <w:t xml:space="preserve">, racordate la Strategia națională în domeniul TIC și la politicile de e-Transformare a Guvernării, </w:t>
      </w:r>
      <w:r>
        <w:rPr>
          <w:rFonts w:asciiTheme="majorHAnsi" w:eastAsia="Times New Roman" w:hAnsiTheme="majorHAnsi" w:cstheme="majorHAnsi"/>
          <w:sz w:val="24"/>
          <w:szCs w:val="24"/>
          <w:lang w:val="ro-RO"/>
        </w:rPr>
        <w:t xml:space="preserve">precum și </w:t>
      </w:r>
      <w:r w:rsidRPr="00EC6E9C">
        <w:rPr>
          <w:rFonts w:asciiTheme="majorHAnsi" w:eastAsia="Times New Roman" w:hAnsiTheme="majorHAnsi" w:cstheme="majorHAnsi"/>
          <w:sz w:val="24"/>
          <w:szCs w:val="24"/>
          <w:lang w:val="ro-RO"/>
        </w:rPr>
        <w:t xml:space="preserve">lipsa unei evidențe centralizate adecvate la nivel național </w:t>
      </w:r>
      <w:r>
        <w:rPr>
          <w:rFonts w:asciiTheme="majorHAnsi" w:eastAsia="Times New Roman" w:hAnsiTheme="majorHAnsi" w:cstheme="majorHAnsi"/>
          <w:sz w:val="24"/>
          <w:szCs w:val="24"/>
          <w:lang w:val="ro-RO"/>
        </w:rPr>
        <w:t>și instituțional a sistemelor informaționale implementate</w:t>
      </w:r>
      <w:r w:rsidRPr="00EC6E9C">
        <w:rPr>
          <w:rFonts w:asciiTheme="majorHAnsi" w:eastAsia="Times New Roman" w:hAnsiTheme="majorHAnsi" w:cstheme="majorHAnsi"/>
          <w:sz w:val="24"/>
          <w:szCs w:val="24"/>
          <w:lang w:val="ro-RO"/>
        </w:rPr>
        <w:t xml:space="preserve">, insuficienta coordonare, monitorizare și control </w:t>
      </w:r>
      <w:r w:rsidR="005307C6">
        <w:rPr>
          <w:rFonts w:asciiTheme="majorHAnsi" w:eastAsia="Times New Roman" w:hAnsiTheme="majorHAnsi" w:cstheme="majorHAnsi"/>
          <w:sz w:val="24"/>
          <w:szCs w:val="24"/>
          <w:lang w:val="ro-RO"/>
        </w:rPr>
        <w:t>la</w:t>
      </w:r>
      <w:r w:rsidRPr="00EC6E9C">
        <w:rPr>
          <w:rFonts w:asciiTheme="majorHAnsi" w:eastAsia="Times New Roman" w:hAnsiTheme="majorHAnsi" w:cstheme="majorHAnsi"/>
          <w:sz w:val="24"/>
          <w:szCs w:val="24"/>
          <w:lang w:val="ro-RO"/>
        </w:rPr>
        <w:t xml:space="preserve"> </w:t>
      </w:r>
      <w:r>
        <w:rPr>
          <w:rFonts w:asciiTheme="majorHAnsi" w:eastAsia="Times New Roman" w:hAnsiTheme="majorHAnsi" w:cstheme="majorHAnsi"/>
          <w:sz w:val="24"/>
          <w:szCs w:val="24"/>
          <w:lang w:val="ro-RO"/>
        </w:rPr>
        <w:t>elaborare</w:t>
      </w:r>
      <w:r w:rsidR="005307C6">
        <w:rPr>
          <w:rFonts w:asciiTheme="majorHAnsi" w:eastAsia="Times New Roman" w:hAnsiTheme="majorHAnsi" w:cstheme="majorHAnsi"/>
          <w:sz w:val="24"/>
          <w:szCs w:val="24"/>
          <w:lang w:val="ro-RO"/>
        </w:rPr>
        <w:t>a</w:t>
      </w:r>
      <w:r>
        <w:rPr>
          <w:rFonts w:asciiTheme="majorHAnsi" w:eastAsia="Times New Roman" w:hAnsiTheme="majorHAnsi" w:cstheme="majorHAnsi"/>
          <w:sz w:val="24"/>
          <w:szCs w:val="24"/>
          <w:lang w:val="ro-RO"/>
        </w:rPr>
        <w:t>, implementare</w:t>
      </w:r>
      <w:r w:rsidR="005307C6">
        <w:rPr>
          <w:rFonts w:asciiTheme="majorHAnsi" w:eastAsia="Times New Roman" w:hAnsiTheme="majorHAnsi" w:cstheme="majorHAnsi"/>
          <w:sz w:val="24"/>
          <w:szCs w:val="24"/>
          <w:lang w:val="ro-RO"/>
        </w:rPr>
        <w:t>a</w:t>
      </w:r>
      <w:r>
        <w:rPr>
          <w:rFonts w:asciiTheme="majorHAnsi" w:eastAsia="Times New Roman" w:hAnsiTheme="majorHAnsi" w:cstheme="majorHAnsi"/>
          <w:sz w:val="24"/>
          <w:szCs w:val="24"/>
          <w:lang w:val="ro-RO"/>
        </w:rPr>
        <w:t xml:space="preserve">, </w:t>
      </w:r>
      <w:r w:rsidRPr="00EC6E9C">
        <w:rPr>
          <w:rFonts w:asciiTheme="majorHAnsi" w:eastAsia="Times New Roman" w:hAnsiTheme="majorHAnsi" w:cstheme="majorHAnsi"/>
          <w:sz w:val="24"/>
          <w:szCs w:val="24"/>
          <w:lang w:val="ro-RO"/>
        </w:rPr>
        <w:t>dezvoltare</w:t>
      </w:r>
      <w:r w:rsidR="005307C6">
        <w:rPr>
          <w:rFonts w:asciiTheme="majorHAnsi" w:eastAsia="Times New Roman" w:hAnsiTheme="majorHAnsi" w:cstheme="majorHAnsi"/>
          <w:sz w:val="24"/>
          <w:szCs w:val="24"/>
          <w:lang w:val="ro-RO"/>
        </w:rPr>
        <w:t>a</w:t>
      </w:r>
      <w:r>
        <w:rPr>
          <w:rFonts w:asciiTheme="majorHAnsi" w:eastAsia="Times New Roman" w:hAnsiTheme="majorHAnsi" w:cstheme="majorHAnsi"/>
          <w:sz w:val="24"/>
          <w:szCs w:val="24"/>
          <w:lang w:val="ro-RO"/>
        </w:rPr>
        <w:t xml:space="preserve"> și gestionare</w:t>
      </w:r>
      <w:r w:rsidRPr="00EC6E9C">
        <w:rPr>
          <w:rFonts w:asciiTheme="majorHAnsi" w:eastAsia="Times New Roman" w:hAnsiTheme="majorHAnsi" w:cstheme="majorHAnsi"/>
          <w:sz w:val="24"/>
          <w:szCs w:val="24"/>
          <w:lang w:val="ro-RO"/>
        </w:rPr>
        <w:t xml:space="preserve">a acestora, </w:t>
      </w:r>
      <w:r>
        <w:rPr>
          <w:rFonts w:asciiTheme="majorHAnsi" w:eastAsia="Times New Roman" w:hAnsiTheme="majorHAnsi" w:cstheme="majorHAnsi"/>
          <w:sz w:val="24"/>
          <w:szCs w:val="24"/>
          <w:lang w:val="ro-RO"/>
        </w:rPr>
        <w:t>a</w:t>
      </w:r>
      <w:r w:rsidR="00786C55">
        <w:rPr>
          <w:rFonts w:asciiTheme="majorHAnsi" w:eastAsia="Times New Roman" w:hAnsiTheme="majorHAnsi" w:cstheme="majorHAnsi"/>
          <w:sz w:val="24"/>
          <w:szCs w:val="24"/>
          <w:lang w:val="ro-RO"/>
        </w:rPr>
        <w:t>u</w:t>
      </w:r>
      <w:r>
        <w:rPr>
          <w:rFonts w:asciiTheme="majorHAnsi" w:eastAsia="Times New Roman" w:hAnsiTheme="majorHAnsi" w:cstheme="majorHAnsi"/>
          <w:sz w:val="24"/>
          <w:szCs w:val="24"/>
          <w:lang w:val="ro-RO"/>
        </w:rPr>
        <w:t xml:space="preserve"> </w:t>
      </w:r>
      <w:r w:rsidRPr="00EC6E9C">
        <w:rPr>
          <w:rFonts w:asciiTheme="majorHAnsi" w:eastAsia="Times New Roman" w:hAnsiTheme="majorHAnsi" w:cstheme="majorHAnsi"/>
          <w:sz w:val="24"/>
          <w:szCs w:val="24"/>
          <w:lang w:val="ro-RO"/>
        </w:rPr>
        <w:t>condițion</w:t>
      </w:r>
      <w:r>
        <w:rPr>
          <w:rFonts w:asciiTheme="majorHAnsi" w:eastAsia="Times New Roman" w:hAnsiTheme="majorHAnsi" w:cstheme="majorHAnsi"/>
          <w:sz w:val="24"/>
          <w:szCs w:val="24"/>
          <w:lang w:val="ro-RO"/>
        </w:rPr>
        <w:t>at</w:t>
      </w:r>
      <w:r w:rsidRPr="00EC6E9C">
        <w:rPr>
          <w:rFonts w:asciiTheme="majorHAnsi" w:eastAsia="Times New Roman" w:hAnsiTheme="majorHAnsi" w:cstheme="majorHAnsi"/>
          <w:sz w:val="24"/>
          <w:szCs w:val="24"/>
          <w:lang w:val="ro-RO"/>
        </w:rPr>
        <w:t xml:space="preserve"> procesul „haotic” de informatizare/automatizare a sectorului publi</w:t>
      </w:r>
      <w:r>
        <w:rPr>
          <w:rFonts w:asciiTheme="majorHAnsi" w:eastAsia="Times New Roman" w:hAnsiTheme="majorHAnsi" w:cstheme="majorHAnsi"/>
          <w:sz w:val="24"/>
          <w:szCs w:val="24"/>
          <w:lang w:val="ro-RO"/>
        </w:rPr>
        <w:t xml:space="preserve">c, </w:t>
      </w:r>
      <w:r w:rsidRPr="00EC6E9C">
        <w:rPr>
          <w:rFonts w:asciiTheme="majorHAnsi" w:eastAsia="Times New Roman" w:hAnsiTheme="majorHAnsi" w:cstheme="majorHAnsi"/>
          <w:sz w:val="24"/>
          <w:szCs w:val="24"/>
          <w:lang w:val="ro-RO"/>
        </w:rPr>
        <w:t>creare</w:t>
      </w:r>
      <w:r w:rsidR="00786C55">
        <w:rPr>
          <w:rFonts w:asciiTheme="majorHAnsi" w:eastAsia="Times New Roman" w:hAnsiTheme="majorHAnsi" w:cstheme="majorHAnsi"/>
          <w:sz w:val="24"/>
          <w:szCs w:val="24"/>
          <w:lang w:val="ro-RO"/>
        </w:rPr>
        <w:t>a</w:t>
      </w:r>
      <w:r w:rsidRPr="00EC6E9C">
        <w:rPr>
          <w:rFonts w:asciiTheme="majorHAnsi" w:eastAsia="Times New Roman" w:hAnsiTheme="majorHAnsi" w:cstheme="majorHAnsi"/>
          <w:sz w:val="24"/>
          <w:szCs w:val="24"/>
          <w:lang w:val="ro-RO"/>
        </w:rPr>
        <w:t xml:space="preserve"> și implementare</w:t>
      </w:r>
      <w:r w:rsidR="00786C55">
        <w:rPr>
          <w:rFonts w:asciiTheme="majorHAnsi" w:eastAsia="Times New Roman" w:hAnsiTheme="majorHAnsi" w:cstheme="majorHAnsi"/>
          <w:sz w:val="24"/>
          <w:szCs w:val="24"/>
          <w:lang w:val="ro-RO"/>
        </w:rPr>
        <w:t>a</w:t>
      </w:r>
      <w:r w:rsidRPr="00EC6E9C">
        <w:rPr>
          <w:rFonts w:asciiTheme="majorHAnsi" w:eastAsia="Times New Roman" w:hAnsiTheme="majorHAnsi" w:cstheme="majorHAnsi"/>
          <w:sz w:val="24"/>
          <w:szCs w:val="24"/>
          <w:lang w:val="ro-RO"/>
        </w:rPr>
        <w:t xml:space="preserve"> în paralel a SI care automatizează aceleași procese, fie similare, fie </w:t>
      </w:r>
      <w:r w:rsidR="005307C6">
        <w:rPr>
          <w:rFonts w:asciiTheme="majorHAnsi" w:eastAsia="Times New Roman" w:hAnsiTheme="majorHAnsi" w:cstheme="majorHAnsi"/>
          <w:sz w:val="24"/>
          <w:szCs w:val="24"/>
          <w:lang w:val="ro-RO"/>
        </w:rPr>
        <w:t>ne</w:t>
      </w:r>
      <w:r>
        <w:rPr>
          <w:rFonts w:asciiTheme="majorHAnsi" w:eastAsia="Times New Roman" w:hAnsiTheme="majorHAnsi" w:cstheme="majorHAnsi"/>
          <w:sz w:val="24"/>
          <w:szCs w:val="24"/>
          <w:lang w:val="ro-RO"/>
        </w:rPr>
        <w:t xml:space="preserve">utilizate corespunzător. </w:t>
      </w:r>
    </w:p>
    <w:p w14:paraId="0A08F0D6" w14:textId="3E5C5634" w:rsidR="00537684" w:rsidRDefault="00EC6E9C" w:rsidP="00537684">
      <w:pPr>
        <w:spacing w:after="0" w:line="276" w:lineRule="auto"/>
        <w:ind w:right="-23" w:firstLine="567"/>
        <w:jc w:val="both"/>
        <w:rPr>
          <w:rFonts w:asciiTheme="majorHAnsi" w:eastAsia="Times New Roman" w:hAnsiTheme="majorHAnsi" w:cstheme="majorHAnsi"/>
          <w:sz w:val="24"/>
          <w:szCs w:val="24"/>
          <w:lang w:val="ro-RO"/>
        </w:rPr>
      </w:pPr>
      <w:r>
        <w:rPr>
          <w:rFonts w:asciiTheme="majorHAnsi" w:eastAsia="Times New Roman" w:hAnsiTheme="majorHAnsi" w:cstheme="majorHAnsi"/>
          <w:sz w:val="24"/>
          <w:szCs w:val="24"/>
          <w:lang w:val="ro-RO"/>
        </w:rPr>
        <w:t xml:space="preserve">În aceeași ordine de idei, </w:t>
      </w:r>
      <w:r w:rsidRPr="00EC6E9C">
        <w:rPr>
          <w:rFonts w:asciiTheme="majorHAnsi" w:eastAsia="Times New Roman" w:hAnsiTheme="majorHAnsi" w:cstheme="majorHAnsi"/>
          <w:sz w:val="24"/>
          <w:szCs w:val="24"/>
          <w:lang w:val="ro-RO"/>
        </w:rPr>
        <w:t xml:space="preserve">multiplele carențe în materie de norme și proceduri de reglementare, </w:t>
      </w:r>
      <w:r w:rsidR="000240E1">
        <w:rPr>
          <w:rFonts w:asciiTheme="majorHAnsi" w:eastAsia="Times New Roman" w:hAnsiTheme="majorHAnsi" w:cstheme="majorHAnsi"/>
          <w:sz w:val="24"/>
          <w:szCs w:val="24"/>
          <w:lang w:val="ro-RO"/>
        </w:rPr>
        <w:t xml:space="preserve"> aplicarea </w:t>
      </w:r>
      <w:r w:rsidRPr="00EC6E9C">
        <w:rPr>
          <w:rFonts w:asciiTheme="majorHAnsi" w:eastAsia="Times New Roman" w:hAnsiTheme="majorHAnsi" w:cstheme="majorHAnsi"/>
          <w:sz w:val="24"/>
          <w:szCs w:val="24"/>
          <w:lang w:val="ro-RO"/>
        </w:rPr>
        <w:t>superficială a legislației în domeniul TIC</w:t>
      </w:r>
      <w:r w:rsidR="000240E1" w:rsidRPr="000240E1">
        <w:rPr>
          <w:rFonts w:asciiTheme="majorHAnsi" w:eastAsia="Times New Roman" w:hAnsiTheme="majorHAnsi" w:cstheme="majorHAnsi"/>
          <w:sz w:val="24"/>
          <w:szCs w:val="24"/>
          <w:lang w:val="ro-RO"/>
        </w:rPr>
        <w:t xml:space="preserve"> </w:t>
      </w:r>
      <w:r w:rsidR="000240E1">
        <w:rPr>
          <w:rFonts w:asciiTheme="majorHAnsi" w:eastAsia="Times New Roman" w:hAnsiTheme="majorHAnsi" w:cstheme="majorHAnsi"/>
          <w:sz w:val="24"/>
          <w:szCs w:val="24"/>
          <w:lang w:val="ro-RO"/>
        </w:rPr>
        <w:t xml:space="preserve">(în </w:t>
      </w:r>
      <w:r w:rsidR="000240E1" w:rsidRPr="000240E1">
        <w:rPr>
          <w:rFonts w:asciiTheme="majorHAnsi" w:eastAsia="Times New Roman" w:hAnsiTheme="majorHAnsi" w:cstheme="majorHAnsi"/>
          <w:sz w:val="24"/>
          <w:szCs w:val="24"/>
          <w:lang w:val="ro-RO"/>
        </w:rPr>
        <w:t>lipsa documentației necesare</w:t>
      </w:r>
      <w:r w:rsidR="000240E1">
        <w:rPr>
          <w:rFonts w:asciiTheme="majorHAnsi" w:eastAsia="Times New Roman" w:hAnsiTheme="majorHAnsi" w:cstheme="majorHAnsi"/>
          <w:sz w:val="24"/>
          <w:szCs w:val="24"/>
          <w:lang w:val="ro-RO"/>
        </w:rPr>
        <w:t xml:space="preserve"> Sistemelor</w:t>
      </w:r>
      <w:r w:rsidR="009B27EF">
        <w:rPr>
          <w:rFonts w:asciiTheme="majorHAnsi" w:eastAsia="Times New Roman" w:hAnsiTheme="majorHAnsi" w:cstheme="majorHAnsi"/>
          <w:sz w:val="24"/>
          <w:szCs w:val="24"/>
          <w:lang w:val="ro-RO"/>
        </w:rPr>
        <w:t>)</w:t>
      </w:r>
      <w:r w:rsidR="00975B85">
        <w:rPr>
          <w:rFonts w:asciiTheme="majorHAnsi" w:eastAsia="Times New Roman" w:hAnsiTheme="majorHAnsi" w:cstheme="majorHAnsi"/>
          <w:sz w:val="24"/>
          <w:szCs w:val="24"/>
          <w:lang w:val="ro-RO"/>
        </w:rPr>
        <w:t>,</w:t>
      </w:r>
      <w:r w:rsidR="009B27EF">
        <w:rPr>
          <w:rFonts w:asciiTheme="majorHAnsi" w:eastAsia="Times New Roman" w:hAnsiTheme="majorHAnsi" w:cstheme="majorHAnsi"/>
          <w:sz w:val="24"/>
          <w:szCs w:val="24"/>
          <w:lang w:val="ro-RO"/>
        </w:rPr>
        <w:t xml:space="preserve"> </w:t>
      </w:r>
      <w:r w:rsidR="009B27EF" w:rsidRPr="009B27EF">
        <w:rPr>
          <w:rFonts w:asciiTheme="majorHAnsi" w:eastAsia="Times New Roman" w:hAnsiTheme="majorHAnsi" w:cstheme="majorHAnsi"/>
          <w:sz w:val="24"/>
          <w:szCs w:val="24"/>
          <w:lang w:val="ro-RO"/>
        </w:rPr>
        <w:t>neasig</w:t>
      </w:r>
      <w:r w:rsidR="009B27EF">
        <w:rPr>
          <w:rFonts w:asciiTheme="majorHAnsi" w:eastAsia="Times New Roman" w:hAnsiTheme="majorHAnsi" w:cstheme="majorHAnsi"/>
          <w:sz w:val="24"/>
          <w:szCs w:val="24"/>
          <w:lang w:val="ro-RO"/>
        </w:rPr>
        <w:t xml:space="preserve">urarea memoriei instituționale </w:t>
      </w:r>
      <w:r w:rsidR="009B27EF" w:rsidRPr="009B27EF">
        <w:rPr>
          <w:rFonts w:asciiTheme="majorHAnsi" w:eastAsia="Times New Roman" w:hAnsiTheme="majorHAnsi" w:cstheme="majorHAnsi"/>
          <w:sz w:val="24"/>
          <w:szCs w:val="24"/>
          <w:lang w:val="ro-RO"/>
        </w:rPr>
        <w:t xml:space="preserve">și a continuității activităților </w:t>
      </w:r>
      <w:r w:rsidR="000240E1">
        <w:rPr>
          <w:rFonts w:asciiTheme="majorHAnsi" w:eastAsia="Times New Roman" w:hAnsiTheme="majorHAnsi" w:cstheme="majorHAnsi"/>
          <w:sz w:val="24"/>
          <w:szCs w:val="24"/>
          <w:lang w:val="ro-RO"/>
        </w:rPr>
        <w:t xml:space="preserve">influențează </w:t>
      </w:r>
      <w:r w:rsidR="00975B85">
        <w:rPr>
          <w:rFonts w:asciiTheme="majorHAnsi" w:eastAsia="Times New Roman" w:hAnsiTheme="majorHAnsi" w:cstheme="majorHAnsi"/>
          <w:sz w:val="24"/>
          <w:szCs w:val="24"/>
          <w:lang w:val="ro-RO"/>
        </w:rPr>
        <w:t xml:space="preserve">negativ </w:t>
      </w:r>
      <w:r w:rsidR="000240E1">
        <w:rPr>
          <w:rFonts w:asciiTheme="majorHAnsi" w:eastAsia="Times New Roman" w:hAnsiTheme="majorHAnsi" w:cstheme="majorHAnsi"/>
          <w:sz w:val="24"/>
          <w:szCs w:val="24"/>
          <w:lang w:val="ro-RO"/>
        </w:rPr>
        <w:t>asupra sustenabilității și durabilității lor, cât și asupra eficienței utilizării resurselor în acest sens. Totodată,</w:t>
      </w:r>
      <w:r w:rsidRPr="00EC6E9C">
        <w:rPr>
          <w:rFonts w:asciiTheme="majorHAnsi" w:eastAsia="Times New Roman" w:hAnsiTheme="majorHAnsi" w:cstheme="majorHAnsi"/>
          <w:sz w:val="24"/>
          <w:szCs w:val="24"/>
          <w:lang w:val="ro-RO"/>
        </w:rPr>
        <w:t xml:space="preserve"> necorelarea </w:t>
      </w:r>
      <w:r w:rsidR="006C2DB3">
        <w:rPr>
          <w:rFonts w:asciiTheme="majorHAnsi" w:eastAsia="Times New Roman" w:hAnsiTheme="majorHAnsi" w:cstheme="majorHAnsi"/>
          <w:sz w:val="24"/>
          <w:szCs w:val="24"/>
          <w:lang w:val="ro-RO"/>
        </w:rPr>
        <w:t>SI</w:t>
      </w:r>
      <w:r w:rsidRPr="00EC6E9C">
        <w:rPr>
          <w:rFonts w:asciiTheme="majorHAnsi" w:eastAsia="Times New Roman" w:hAnsiTheme="majorHAnsi" w:cstheme="majorHAnsi"/>
          <w:sz w:val="24"/>
          <w:szCs w:val="24"/>
          <w:lang w:val="ro-RO"/>
        </w:rPr>
        <w:t xml:space="preserve"> cu platformele</w:t>
      </w:r>
      <w:r w:rsidR="00537684">
        <w:rPr>
          <w:rFonts w:asciiTheme="majorHAnsi" w:eastAsia="Times New Roman" w:hAnsiTheme="majorHAnsi" w:cstheme="majorHAnsi"/>
          <w:sz w:val="24"/>
          <w:szCs w:val="24"/>
          <w:lang w:val="ro-RO"/>
        </w:rPr>
        <w:t xml:space="preserve"> și serviciile</w:t>
      </w:r>
      <w:r w:rsidRPr="00EC6E9C">
        <w:rPr>
          <w:rFonts w:asciiTheme="majorHAnsi" w:eastAsia="Times New Roman" w:hAnsiTheme="majorHAnsi" w:cstheme="majorHAnsi"/>
          <w:sz w:val="24"/>
          <w:szCs w:val="24"/>
          <w:lang w:val="ro-RO"/>
        </w:rPr>
        <w:t xml:space="preserve"> guvernamentale (</w:t>
      </w:r>
      <w:proofErr w:type="spellStart"/>
      <w:r w:rsidRPr="000240E1">
        <w:rPr>
          <w:rFonts w:asciiTheme="majorHAnsi" w:eastAsia="Times New Roman" w:hAnsiTheme="majorHAnsi" w:cstheme="majorHAnsi"/>
          <w:i/>
          <w:sz w:val="24"/>
          <w:szCs w:val="24"/>
          <w:lang w:val="ro-RO"/>
        </w:rPr>
        <w:t>MCloud</w:t>
      </w:r>
      <w:proofErr w:type="spellEnd"/>
      <w:r w:rsidRPr="000240E1">
        <w:rPr>
          <w:rFonts w:asciiTheme="majorHAnsi" w:eastAsia="Times New Roman" w:hAnsiTheme="majorHAnsi" w:cstheme="majorHAnsi"/>
          <w:i/>
          <w:sz w:val="24"/>
          <w:szCs w:val="24"/>
          <w:lang w:val="ro-RO"/>
        </w:rPr>
        <w:t xml:space="preserve">, </w:t>
      </w:r>
      <w:proofErr w:type="spellStart"/>
      <w:r w:rsidRPr="000240E1">
        <w:rPr>
          <w:rFonts w:asciiTheme="majorHAnsi" w:eastAsia="Times New Roman" w:hAnsiTheme="majorHAnsi" w:cstheme="majorHAnsi"/>
          <w:i/>
          <w:sz w:val="24"/>
          <w:szCs w:val="24"/>
          <w:lang w:val="ro-RO"/>
        </w:rPr>
        <w:t>MConnect</w:t>
      </w:r>
      <w:proofErr w:type="spellEnd"/>
      <w:r w:rsidRPr="000240E1">
        <w:rPr>
          <w:rFonts w:asciiTheme="majorHAnsi" w:eastAsia="Times New Roman" w:hAnsiTheme="majorHAnsi" w:cstheme="majorHAnsi"/>
          <w:i/>
          <w:sz w:val="24"/>
          <w:szCs w:val="24"/>
          <w:lang w:val="ro-RO"/>
        </w:rPr>
        <w:t xml:space="preserve">, </w:t>
      </w:r>
      <w:proofErr w:type="spellStart"/>
      <w:r w:rsidR="000240E1">
        <w:rPr>
          <w:rFonts w:asciiTheme="majorHAnsi" w:eastAsia="Times New Roman" w:hAnsiTheme="majorHAnsi" w:cstheme="majorHAnsi"/>
          <w:i/>
          <w:sz w:val="24"/>
          <w:szCs w:val="24"/>
          <w:lang w:val="ro-RO"/>
        </w:rPr>
        <w:t>MPay</w:t>
      </w:r>
      <w:proofErr w:type="spellEnd"/>
      <w:r w:rsidR="000240E1">
        <w:rPr>
          <w:rFonts w:asciiTheme="majorHAnsi" w:eastAsia="Times New Roman" w:hAnsiTheme="majorHAnsi" w:cstheme="majorHAnsi"/>
          <w:i/>
          <w:sz w:val="24"/>
          <w:szCs w:val="24"/>
          <w:lang w:val="ro-RO"/>
        </w:rPr>
        <w:t xml:space="preserve">, </w:t>
      </w:r>
      <w:proofErr w:type="spellStart"/>
      <w:r w:rsidRPr="000240E1">
        <w:rPr>
          <w:rFonts w:asciiTheme="majorHAnsi" w:eastAsia="Times New Roman" w:hAnsiTheme="majorHAnsi" w:cstheme="majorHAnsi"/>
          <w:i/>
          <w:sz w:val="24"/>
          <w:szCs w:val="24"/>
          <w:lang w:val="ro-RO"/>
        </w:rPr>
        <w:t>MPass</w:t>
      </w:r>
      <w:proofErr w:type="spellEnd"/>
      <w:r w:rsidRPr="000240E1">
        <w:rPr>
          <w:rFonts w:asciiTheme="majorHAnsi" w:eastAsia="Times New Roman" w:hAnsiTheme="majorHAnsi" w:cstheme="majorHAnsi"/>
          <w:i/>
          <w:sz w:val="24"/>
          <w:szCs w:val="24"/>
          <w:lang w:val="ro-RO"/>
        </w:rPr>
        <w:t xml:space="preserve">, </w:t>
      </w:r>
      <w:proofErr w:type="spellStart"/>
      <w:r w:rsidRPr="000240E1">
        <w:rPr>
          <w:rFonts w:asciiTheme="majorHAnsi" w:eastAsia="Times New Roman" w:hAnsiTheme="majorHAnsi" w:cstheme="majorHAnsi"/>
          <w:i/>
          <w:sz w:val="24"/>
          <w:szCs w:val="24"/>
          <w:lang w:val="ro-RO"/>
        </w:rPr>
        <w:t>MSign</w:t>
      </w:r>
      <w:proofErr w:type="spellEnd"/>
      <w:r w:rsidRPr="000240E1">
        <w:rPr>
          <w:rFonts w:asciiTheme="majorHAnsi" w:eastAsia="Times New Roman" w:hAnsiTheme="majorHAnsi" w:cstheme="majorHAnsi"/>
          <w:i/>
          <w:sz w:val="24"/>
          <w:szCs w:val="24"/>
          <w:lang w:val="ro-RO"/>
        </w:rPr>
        <w:t xml:space="preserve"> </w:t>
      </w:r>
      <w:r w:rsidRPr="003C2EDC">
        <w:rPr>
          <w:rFonts w:asciiTheme="majorHAnsi" w:eastAsia="Times New Roman" w:hAnsiTheme="majorHAnsi" w:cstheme="majorHAnsi"/>
          <w:sz w:val="24"/>
          <w:szCs w:val="24"/>
          <w:lang w:val="ro-RO"/>
        </w:rPr>
        <w:t>e</w:t>
      </w:r>
      <w:r w:rsidRPr="00EC6E9C">
        <w:rPr>
          <w:rFonts w:asciiTheme="majorHAnsi" w:eastAsia="Times New Roman" w:hAnsiTheme="majorHAnsi" w:cstheme="majorHAnsi"/>
          <w:sz w:val="24"/>
          <w:szCs w:val="24"/>
          <w:lang w:val="ro-RO"/>
        </w:rPr>
        <w:t xml:space="preserve">tc.), a condiționat </w:t>
      </w:r>
      <w:r w:rsidR="00537684">
        <w:rPr>
          <w:rFonts w:asciiTheme="majorHAnsi" w:eastAsia="Times New Roman" w:hAnsiTheme="majorHAnsi" w:cstheme="majorHAnsi"/>
          <w:sz w:val="24"/>
          <w:szCs w:val="24"/>
          <w:lang w:val="ro-RO"/>
        </w:rPr>
        <w:t xml:space="preserve">disfuncționalități în funcționare, </w:t>
      </w:r>
      <w:r w:rsidR="00537684" w:rsidRPr="00537684">
        <w:rPr>
          <w:rFonts w:asciiTheme="majorHAnsi" w:eastAsia="Times New Roman" w:hAnsiTheme="majorHAnsi" w:cstheme="majorHAnsi"/>
          <w:sz w:val="24"/>
          <w:szCs w:val="24"/>
          <w:lang w:val="ro-RO"/>
        </w:rPr>
        <w:t>vulnerabilit</w:t>
      </w:r>
      <w:r w:rsidR="000240E1">
        <w:rPr>
          <w:rFonts w:asciiTheme="majorHAnsi" w:eastAsia="Times New Roman" w:hAnsiTheme="majorHAnsi" w:cstheme="majorHAnsi"/>
          <w:sz w:val="24"/>
          <w:szCs w:val="24"/>
          <w:lang w:val="ro-RO"/>
        </w:rPr>
        <w:t>ăți</w:t>
      </w:r>
      <w:r w:rsidR="00537684" w:rsidRPr="00537684">
        <w:rPr>
          <w:rFonts w:asciiTheme="majorHAnsi" w:eastAsia="Times New Roman" w:hAnsiTheme="majorHAnsi" w:cstheme="majorHAnsi"/>
          <w:sz w:val="24"/>
          <w:szCs w:val="24"/>
          <w:lang w:val="ro-RO"/>
        </w:rPr>
        <w:t xml:space="preserve"> în aspectul securității datelor, </w:t>
      </w:r>
      <w:r w:rsidRPr="00EC6E9C">
        <w:rPr>
          <w:rFonts w:asciiTheme="majorHAnsi" w:eastAsia="Times New Roman" w:hAnsiTheme="majorHAnsi" w:cstheme="majorHAnsi"/>
          <w:sz w:val="24"/>
          <w:szCs w:val="24"/>
          <w:lang w:val="ro-RO"/>
        </w:rPr>
        <w:t>incompatibilitatea soluțiilor TI, dificultăți în asig</w:t>
      </w:r>
      <w:r w:rsidR="000240E1">
        <w:rPr>
          <w:rFonts w:asciiTheme="majorHAnsi" w:eastAsia="Times New Roman" w:hAnsiTheme="majorHAnsi" w:cstheme="majorHAnsi"/>
          <w:sz w:val="24"/>
          <w:szCs w:val="24"/>
          <w:lang w:val="ro-RO"/>
        </w:rPr>
        <w:t>urarea interoperabilității cu alte registre și</w:t>
      </w:r>
      <w:r w:rsidRPr="00EC6E9C">
        <w:rPr>
          <w:rFonts w:asciiTheme="majorHAnsi" w:eastAsia="Times New Roman" w:hAnsiTheme="majorHAnsi" w:cstheme="majorHAnsi"/>
          <w:sz w:val="24"/>
          <w:szCs w:val="24"/>
          <w:lang w:val="ro-RO"/>
        </w:rPr>
        <w:t xml:space="preserve"> SI de stat, precum și costuri adiționale în vederea conformării acestora la cerințele impuse (cheltuieli de întreținere, mentenanță și dezvoltare), pentru obținerea impactului scontat. Astfel, o mare parte dintre SI create și implementate nu asigură schimbul de informații între ele, necesitând eforturi suplimentare și reducând efic</w:t>
      </w:r>
      <w:r w:rsidR="00537684">
        <w:rPr>
          <w:rFonts w:asciiTheme="majorHAnsi" w:eastAsia="Times New Roman" w:hAnsiTheme="majorHAnsi" w:cstheme="majorHAnsi"/>
          <w:sz w:val="24"/>
          <w:szCs w:val="24"/>
          <w:lang w:val="ro-RO"/>
        </w:rPr>
        <w:t xml:space="preserve">iența utilizării </w:t>
      </w:r>
      <w:r w:rsidR="000240E1">
        <w:rPr>
          <w:rFonts w:asciiTheme="majorHAnsi" w:eastAsia="Times New Roman" w:hAnsiTheme="majorHAnsi" w:cstheme="majorHAnsi"/>
          <w:sz w:val="24"/>
          <w:szCs w:val="24"/>
          <w:lang w:val="ro-RO"/>
        </w:rPr>
        <w:t>acestora</w:t>
      </w:r>
      <w:r w:rsidR="00537684">
        <w:rPr>
          <w:rFonts w:asciiTheme="majorHAnsi" w:eastAsia="Times New Roman" w:hAnsiTheme="majorHAnsi" w:cstheme="majorHAnsi"/>
          <w:sz w:val="24"/>
          <w:szCs w:val="24"/>
          <w:lang w:val="ro-RO"/>
        </w:rPr>
        <w:t>.</w:t>
      </w:r>
    </w:p>
    <w:p w14:paraId="1C0ADA9C" w14:textId="5E2F8123" w:rsidR="000240E1" w:rsidRDefault="000240E1" w:rsidP="00537684">
      <w:pPr>
        <w:spacing w:after="0" w:line="276" w:lineRule="auto"/>
        <w:ind w:right="-23" w:firstLine="567"/>
        <w:jc w:val="both"/>
        <w:rPr>
          <w:rFonts w:asciiTheme="majorHAnsi" w:eastAsia="Times New Roman" w:hAnsiTheme="majorHAnsi" w:cstheme="majorHAnsi"/>
          <w:sz w:val="24"/>
          <w:szCs w:val="24"/>
          <w:lang w:val="ro-RO"/>
        </w:rPr>
      </w:pPr>
      <w:r>
        <w:rPr>
          <w:rFonts w:asciiTheme="majorHAnsi" w:eastAsia="Times New Roman" w:hAnsiTheme="majorHAnsi" w:cstheme="majorHAnsi"/>
          <w:sz w:val="24"/>
          <w:szCs w:val="24"/>
          <w:lang w:val="ro-RO"/>
        </w:rPr>
        <w:t>De asemenea,</w:t>
      </w:r>
      <w:r w:rsidR="00026856">
        <w:rPr>
          <w:rFonts w:asciiTheme="majorHAnsi" w:eastAsia="Times New Roman" w:hAnsiTheme="majorHAnsi" w:cstheme="majorHAnsi"/>
          <w:sz w:val="24"/>
          <w:szCs w:val="24"/>
          <w:lang w:val="ro-RO"/>
        </w:rPr>
        <w:t xml:space="preserve"> carențel</w:t>
      </w:r>
      <w:r w:rsidR="009B27EF">
        <w:rPr>
          <w:rFonts w:asciiTheme="majorHAnsi" w:eastAsia="Times New Roman" w:hAnsiTheme="majorHAnsi" w:cstheme="majorHAnsi"/>
          <w:sz w:val="24"/>
          <w:szCs w:val="24"/>
          <w:lang w:val="ro-RO"/>
        </w:rPr>
        <w:t>e cadrului normativ-metodologic</w:t>
      </w:r>
      <w:r w:rsidR="00026856">
        <w:rPr>
          <w:rFonts w:asciiTheme="majorHAnsi" w:eastAsia="Times New Roman" w:hAnsiTheme="majorHAnsi" w:cstheme="majorHAnsi"/>
          <w:sz w:val="24"/>
          <w:szCs w:val="24"/>
          <w:lang w:val="ro-RO"/>
        </w:rPr>
        <w:t xml:space="preserve"> </w:t>
      </w:r>
      <w:r w:rsidR="00B53F4F">
        <w:rPr>
          <w:rFonts w:asciiTheme="majorHAnsi" w:eastAsia="Times New Roman" w:hAnsiTheme="majorHAnsi" w:cstheme="majorHAnsi"/>
          <w:sz w:val="24"/>
          <w:szCs w:val="24"/>
          <w:lang w:val="ro-RO"/>
        </w:rPr>
        <w:t xml:space="preserve">privind </w:t>
      </w:r>
      <w:r w:rsidR="00B53F4F" w:rsidRPr="00B53F4F">
        <w:rPr>
          <w:rFonts w:asciiTheme="majorHAnsi" w:eastAsia="Times New Roman" w:hAnsiTheme="majorHAnsi" w:cstheme="majorHAnsi"/>
          <w:sz w:val="24"/>
          <w:szCs w:val="24"/>
          <w:lang w:val="ro-RO"/>
        </w:rPr>
        <w:t>modul de luare în evidență a livrabilelor TI care au constituit obiectul, rezultatul achiziției sau primirii cu titlul gratuit în cadrul proiectelor</w:t>
      </w:r>
      <w:r w:rsidR="00B53F4F">
        <w:rPr>
          <w:rFonts w:asciiTheme="majorHAnsi" w:eastAsia="Times New Roman" w:hAnsiTheme="majorHAnsi" w:cstheme="majorHAnsi"/>
          <w:sz w:val="24"/>
          <w:szCs w:val="24"/>
          <w:lang w:val="ro-RO"/>
        </w:rPr>
        <w:t>, inclusiv finanțate din surse externe, condiționează</w:t>
      </w:r>
      <w:r w:rsidR="00026856">
        <w:rPr>
          <w:rFonts w:asciiTheme="majorHAnsi" w:eastAsia="Times New Roman" w:hAnsiTheme="majorHAnsi" w:cstheme="majorHAnsi"/>
          <w:sz w:val="24"/>
          <w:szCs w:val="24"/>
          <w:lang w:val="ro-RO"/>
        </w:rPr>
        <w:t xml:space="preserve"> tratarea neuniformă a prevederilor acestora</w:t>
      </w:r>
      <w:r>
        <w:rPr>
          <w:rFonts w:asciiTheme="majorHAnsi" w:eastAsia="Times New Roman" w:hAnsiTheme="majorHAnsi" w:cstheme="majorHAnsi"/>
          <w:sz w:val="24"/>
          <w:szCs w:val="24"/>
          <w:lang w:val="ro-RO"/>
        </w:rPr>
        <w:t xml:space="preserve"> </w:t>
      </w:r>
      <w:r w:rsidR="006C2DB3">
        <w:rPr>
          <w:rFonts w:asciiTheme="majorHAnsi" w:eastAsia="Times New Roman" w:hAnsiTheme="majorHAnsi" w:cstheme="majorHAnsi"/>
          <w:sz w:val="24"/>
          <w:szCs w:val="24"/>
          <w:lang w:val="ro-RO"/>
        </w:rPr>
        <w:t>la contabilizarea</w:t>
      </w:r>
      <w:r w:rsidR="006C2DB3" w:rsidRPr="006C2DB3">
        <w:rPr>
          <w:rFonts w:asciiTheme="majorHAnsi" w:eastAsia="Times New Roman" w:hAnsiTheme="majorHAnsi" w:cstheme="majorHAnsi"/>
          <w:sz w:val="24"/>
          <w:szCs w:val="24"/>
          <w:lang w:val="ro-RO"/>
        </w:rPr>
        <w:t xml:space="preserve"> </w:t>
      </w:r>
      <w:r w:rsidR="006C2DB3">
        <w:rPr>
          <w:rFonts w:asciiTheme="majorHAnsi" w:eastAsia="Times New Roman" w:hAnsiTheme="majorHAnsi" w:cstheme="majorHAnsi"/>
          <w:sz w:val="24"/>
          <w:szCs w:val="24"/>
          <w:lang w:val="ro-RO"/>
        </w:rPr>
        <w:t xml:space="preserve">SI, </w:t>
      </w:r>
      <w:r w:rsidR="00B53F4F">
        <w:rPr>
          <w:rFonts w:asciiTheme="majorHAnsi" w:eastAsia="Times New Roman" w:hAnsiTheme="majorHAnsi" w:cstheme="majorHAnsi"/>
          <w:sz w:val="24"/>
          <w:szCs w:val="24"/>
          <w:lang w:val="ro-RO"/>
        </w:rPr>
        <w:t xml:space="preserve">îndeosebi în cazul deținerii doar a dreptului de utilizare a softului, </w:t>
      </w:r>
      <w:r w:rsidR="006C2DB3">
        <w:rPr>
          <w:rFonts w:asciiTheme="majorHAnsi" w:eastAsia="Times New Roman" w:hAnsiTheme="majorHAnsi" w:cstheme="majorHAnsi"/>
          <w:sz w:val="24"/>
          <w:szCs w:val="24"/>
          <w:lang w:val="ro-RO"/>
        </w:rPr>
        <w:t xml:space="preserve">a </w:t>
      </w:r>
      <w:r w:rsidR="006C2DB3" w:rsidRPr="006C2DB3">
        <w:rPr>
          <w:rFonts w:asciiTheme="majorHAnsi" w:eastAsia="Times New Roman" w:hAnsiTheme="majorHAnsi" w:cstheme="majorHAnsi"/>
          <w:sz w:val="24"/>
          <w:szCs w:val="24"/>
          <w:lang w:val="ro-RO"/>
        </w:rPr>
        <w:t xml:space="preserve">cheltuielilor aferente </w:t>
      </w:r>
      <w:r w:rsidR="006C2DB3">
        <w:rPr>
          <w:rFonts w:asciiTheme="majorHAnsi" w:eastAsia="Times New Roman" w:hAnsiTheme="majorHAnsi" w:cstheme="majorHAnsi"/>
          <w:sz w:val="24"/>
          <w:szCs w:val="24"/>
          <w:lang w:val="ro-RO"/>
        </w:rPr>
        <w:t>dezvoltării</w:t>
      </w:r>
      <w:r w:rsidR="00401DEC">
        <w:rPr>
          <w:rFonts w:asciiTheme="majorHAnsi" w:eastAsia="Times New Roman" w:hAnsiTheme="majorHAnsi" w:cstheme="majorHAnsi"/>
          <w:sz w:val="24"/>
          <w:szCs w:val="24"/>
          <w:lang w:val="ro-RO"/>
        </w:rPr>
        <w:t xml:space="preserve"> și</w:t>
      </w:r>
      <w:r w:rsidR="006C2DB3">
        <w:rPr>
          <w:rFonts w:asciiTheme="majorHAnsi" w:eastAsia="Times New Roman" w:hAnsiTheme="majorHAnsi" w:cstheme="majorHAnsi"/>
          <w:sz w:val="24"/>
          <w:szCs w:val="24"/>
          <w:lang w:val="ro-RO"/>
        </w:rPr>
        <w:t xml:space="preserve"> </w:t>
      </w:r>
      <w:proofErr w:type="spellStart"/>
      <w:r w:rsidR="006C2DB3" w:rsidRPr="006C2DB3">
        <w:rPr>
          <w:rFonts w:asciiTheme="majorHAnsi" w:eastAsia="Times New Roman" w:hAnsiTheme="majorHAnsi" w:cstheme="majorHAnsi"/>
          <w:sz w:val="24"/>
          <w:szCs w:val="24"/>
          <w:lang w:val="ro-RO"/>
        </w:rPr>
        <w:t>reingineriei</w:t>
      </w:r>
      <w:proofErr w:type="spellEnd"/>
      <w:r w:rsidR="006C2DB3">
        <w:rPr>
          <w:rFonts w:asciiTheme="majorHAnsi" w:eastAsia="Times New Roman" w:hAnsiTheme="majorHAnsi" w:cstheme="majorHAnsi"/>
          <w:sz w:val="24"/>
          <w:szCs w:val="24"/>
          <w:lang w:val="ro-RO"/>
        </w:rPr>
        <w:t xml:space="preserve"> acestora</w:t>
      </w:r>
      <w:r w:rsidR="00B53F4F">
        <w:rPr>
          <w:rFonts w:asciiTheme="majorHAnsi" w:eastAsia="Times New Roman" w:hAnsiTheme="majorHAnsi" w:cstheme="majorHAnsi"/>
          <w:sz w:val="24"/>
          <w:szCs w:val="24"/>
          <w:lang w:val="ro-RO"/>
        </w:rPr>
        <w:t xml:space="preserve">. </w:t>
      </w:r>
      <w:r w:rsidR="00BD5970">
        <w:rPr>
          <w:rFonts w:asciiTheme="majorHAnsi" w:eastAsia="Times New Roman" w:hAnsiTheme="majorHAnsi" w:cstheme="majorHAnsi"/>
          <w:sz w:val="24"/>
          <w:szCs w:val="24"/>
          <w:lang w:val="ro-RO"/>
        </w:rPr>
        <w:t xml:space="preserve">Verificările </w:t>
      </w:r>
      <w:r w:rsidR="00BD5970" w:rsidRPr="006A541B">
        <w:rPr>
          <w:rFonts w:asciiTheme="majorHAnsi" w:eastAsia="Times New Roman" w:hAnsiTheme="majorHAnsi" w:cstheme="majorHAnsi"/>
          <w:sz w:val="24"/>
          <w:szCs w:val="24"/>
          <w:lang w:val="ro-RO"/>
        </w:rPr>
        <w:t xml:space="preserve">auditului </w:t>
      </w:r>
      <w:r w:rsidR="00B53F4F" w:rsidRPr="006A541B">
        <w:rPr>
          <w:rFonts w:asciiTheme="majorHAnsi" w:eastAsia="Times New Roman" w:hAnsiTheme="majorHAnsi" w:cstheme="majorHAnsi"/>
          <w:sz w:val="24"/>
          <w:szCs w:val="24"/>
          <w:lang w:val="ro-RO"/>
        </w:rPr>
        <w:t>con</w:t>
      </w:r>
      <w:r w:rsidR="00401DEC" w:rsidRPr="006A541B">
        <w:rPr>
          <w:rFonts w:asciiTheme="majorHAnsi" w:eastAsia="Times New Roman" w:hAnsiTheme="majorHAnsi" w:cstheme="majorHAnsi"/>
          <w:sz w:val="24"/>
          <w:szCs w:val="24"/>
          <w:lang w:val="ro-RO"/>
        </w:rPr>
        <w:t>s</w:t>
      </w:r>
      <w:r w:rsidR="00B53F4F" w:rsidRPr="006A541B">
        <w:rPr>
          <w:rFonts w:asciiTheme="majorHAnsi" w:eastAsia="Times New Roman" w:hAnsiTheme="majorHAnsi" w:cstheme="majorHAnsi"/>
          <w:sz w:val="24"/>
          <w:szCs w:val="24"/>
          <w:lang w:val="ro-RO"/>
        </w:rPr>
        <w:t xml:space="preserve">tată </w:t>
      </w:r>
      <w:r w:rsidRPr="006A541B">
        <w:rPr>
          <w:rFonts w:asciiTheme="majorHAnsi" w:eastAsia="Times New Roman" w:hAnsiTheme="majorHAnsi" w:cstheme="majorHAnsi"/>
          <w:sz w:val="24"/>
          <w:szCs w:val="24"/>
          <w:lang w:val="ro-RO"/>
        </w:rPr>
        <w:t xml:space="preserve">neînregistrarea </w:t>
      </w:r>
      <w:r w:rsidR="00BD5970" w:rsidRPr="006A541B">
        <w:rPr>
          <w:rFonts w:asciiTheme="majorHAnsi" w:eastAsia="Times New Roman" w:hAnsiTheme="majorHAnsi" w:cstheme="majorHAnsi"/>
          <w:sz w:val="24"/>
          <w:szCs w:val="24"/>
          <w:lang w:val="ro-RO"/>
        </w:rPr>
        <w:t xml:space="preserve">unor </w:t>
      </w:r>
      <w:r w:rsidRPr="006A541B">
        <w:rPr>
          <w:rFonts w:asciiTheme="majorHAnsi" w:eastAsia="Times New Roman" w:hAnsiTheme="majorHAnsi" w:cstheme="majorHAnsi"/>
          <w:sz w:val="24"/>
          <w:szCs w:val="24"/>
          <w:lang w:val="ro-RO"/>
        </w:rPr>
        <w:t xml:space="preserve">SI în evidența contabilă a entităților, </w:t>
      </w:r>
      <w:r w:rsidR="006A541B" w:rsidRPr="006A541B">
        <w:rPr>
          <w:rFonts w:asciiTheme="majorHAnsi" w:eastAsia="Times New Roman" w:hAnsiTheme="majorHAnsi" w:cstheme="majorHAnsi"/>
          <w:sz w:val="24"/>
          <w:szCs w:val="24"/>
          <w:lang w:val="ro-RO"/>
        </w:rPr>
        <w:t xml:space="preserve">iar unele dintre cele </w:t>
      </w:r>
      <w:r w:rsidRPr="006A541B">
        <w:rPr>
          <w:rFonts w:asciiTheme="majorHAnsi" w:eastAsia="Times New Roman" w:hAnsiTheme="majorHAnsi" w:cstheme="majorHAnsi"/>
          <w:sz w:val="24"/>
          <w:szCs w:val="24"/>
          <w:lang w:val="ro-RO"/>
        </w:rPr>
        <w:t xml:space="preserve">înregistrate,  nu sunt utilizate/valorificate corespunzător, </w:t>
      </w:r>
      <w:r w:rsidR="006A541B" w:rsidRPr="006A541B">
        <w:rPr>
          <w:rFonts w:asciiTheme="majorHAnsi" w:eastAsia="Times New Roman" w:hAnsiTheme="majorHAnsi" w:cstheme="majorHAnsi"/>
          <w:sz w:val="24"/>
          <w:szCs w:val="24"/>
          <w:lang w:val="ro-RO"/>
        </w:rPr>
        <w:t xml:space="preserve">din diverse motive, </w:t>
      </w:r>
      <w:r w:rsidR="00BD5970" w:rsidRPr="006A541B">
        <w:rPr>
          <w:rFonts w:asciiTheme="majorHAnsi" w:eastAsia="Times New Roman" w:hAnsiTheme="majorHAnsi" w:cstheme="majorHAnsi"/>
          <w:sz w:val="24"/>
          <w:szCs w:val="24"/>
          <w:lang w:val="ro-RO"/>
        </w:rPr>
        <w:t xml:space="preserve">fapt ce </w:t>
      </w:r>
      <w:r w:rsidRPr="006A541B">
        <w:rPr>
          <w:rFonts w:asciiTheme="majorHAnsi" w:eastAsia="Times New Roman" w:hAnsiTheme="majorHAnsi" w:cstheme="majorHAnsi"/>
          <w:sz w:val="24"/>
          <w:szCs w:val="24"/>
          <w:lang w:val="ro-RO"/>
        </w:rPr>
        <w:t>afectează utilizarea eficientă și conformă a resurselor</w:t>
      </w:r>
      <w:r w:rsidR="00BD5970" w:rsidRPr="006A541B">
        <w:rPr>
          <w:rFonts w:asciiTheme="majorHAnsi" w:eastAsia="Times New Roman" w:hAnsiTheme="majorHAnsi" w:cstheme="majorHAnsi"/>
          <w:sz w:val="24"/>
          <w:szCs w:val="24"/>
          <w:lang w:val="ro-RO"/>
        </w:rPr>
        <w:t xml:space="preserve"> financiare</w:t>
      </w:r>
      <w:r w:rsidRPr="006A541B">
        <w:rPr>
          <w:rFonts w:asciiTheme="majorHAnsi" w:eastAsia="Times New Roman" w:hAnsiTheme="majorHAnsi" w:cstheme="majorHAnsi"/>
          <w:sz w:val="24"/>
          <w:szCs w:val="24"/>
          <w:lang w:val="ro-RO"/>
        </w:rPr>
        <w:t>, dezvoltarea/achiziționarea de către beneficiari a soluțiilor TI cu funcționalități similare, precum și veridicitatea raportării elementelor patrimoniale reflectate în situațiile financiare ale autorităților publice</w:t>
      </w:r>
      <w:r w:rsidR="00401DEC" w:rsidRPr="006A541B">
        <w:rPr>
          <w:rFonts w:asciiTheme="majorHAnsi" w:eastAsia="Times New Roman" w:hAnsiTheme="majorHAnsi" w:cstheme="majorHAnsi"/>
          <w:sz w:val="24"/>
          <w:szCs w:val="24"/>
          <w:lang w:val="ro-RO"/>
        </w:rPr>
        <w:t>.</w:t>
      </w:r>
    </w:p>
    <w:p w14:paraId="42664689" w14:textId="7CE94BCF" w:rsidR="000D2942" w:rsidRPr="000240E1" w:rsidRDefault="00537684" w:rsidP="006C2DB3">
      <w:pPr>
        <w:spacing w:after="0" w:line="276" w:lineRule="auto"/>
        <w:ind w:right="-23" w:firstLine="567"/>
        <w:jc w:val="both"/>
        <w:rPr>
          <w:rFonts w:asciiTheme="majorHAnsi" w:eastAsia="Times New Roman" w:hAnsiTheme="majorHAnsi" w:cstheme="majorHAnsi"/>
          <w:sz w:val="24"/>
          <w:szCs w:val="24"/>
          <w:lang w:val="ro-RO"/>
        </w:rPr>
      </w:pPr>
      <w:r>
        <w:rPr>
          <w:rFonts w:asciiTheme="majorHAnsi" w:eastAsia="Times New Roman" w:hAnsiTheme="majorHAnsi" w:cstheme="majorHAnsi"/>
          <w:sz w:val="24"/>
          <w:szCs w:val="24"/>
          <w:lang w:val="ro-RO"/>
        </w:rPr>
        <w:t>Curtea de Conturi reiterează</w:t>
      </w:r>
      <w:r w:rsidR="00026856">
        <w:rPr>
          <w:rFonts w:asciiTheme="majorHAnsi" w:eastAsia="Times New Roman" w:hAnsiTheme="majorHAnsi" w:cstheme="majorHAnsi"/>
          <w:sz w:val="24"/>
          <w:szCs w:val="24"/>
          <w:lang w:val="ro-RO"/>
        </w:rPr>
        <w:t xml:space="preserve"> necesitatea consolidării </w:t>
      </w:r>
      <w:r w:rsidR="00026856" w:rsidRPr="00026856">
        <w:rPr>
          <w:rFonts w:asciiTheme="majorHAnsi" w:eastAsia="Times New Roman" w:hAnsiTheme="majorHAnsi" w:cstheme="majorHAnsi"/>
          <w:sz w:val="24"/>
          <w:szCs w:val="24"/>
          <w:lang w:val="ro-RO"/>
        </w:rPr>
        <w:t>cadrul</w:t>
      </w:r>
      <w:r w:rsidR="00026856">
        <w:rPr>
          <w:rFonts w:asciiTheme="majorHAnsi" w:eastAsia="Times New Roman" w:hAnsiTheme="majorHAnsi" w:cstheme="majorHAnsi"/>
          <w:sz w:val="24"/>
          <w:szCs w:val="24"/>
          <w:lang w:val="ro-RO"/>
        </w:rPr>
        <w:t>ui normativ și</w:t>
      </w:r>
      <w:r w:rsidR="00026856" w:rsidRPr="00026856">
        <w:rPr>
          <w:rFonts w:asciiTheme="majorHAnsi" w:eastAsia="Times New Roman" w:hAnsiTheme="majorHAnsi" w:cstheme="majorHAnsi"/>
          <w:sz w:val="24"/>
          <w:szCs w:val="24"/>
          <w:lang w:val="ro-RO"/>
        </w:rPr>
        <w:t xml:space="preserve"> </w:t>
      </w:r>
      <w:r w:rsidR="00026856">
        <w:rPr>
          <w:rFonts w:asciiTheme="majorHAnsi" w:eastAsia="Times New Roman" w:hAnsiTheme="majorHAnsi" w:cstheme="majorHAnsi"/>
          <w:sz w:val="24"/>
          <w:szCs w:val="24"/>
          <w:lang w:val="ro-RO"/>
        </w:rPr>
        <w:t xml:space="preserve">a celui </w:t>
      </w:r>
      <w:r w:rsidR="00026856" w:rsidRPr="00026856">
        <w:rPr>
          <w:rFonts w:asciiTheme="majorHAnsi" w:eastAsia="Times New Roman" w:hAnsiTheme="majorHAnsi" w:cstheme="majorHAnsi"/>
          <w:sz w:val="24"/>
          <w:szCs w:val="24"/>
          <w:lang w:val="ro-RO"/>
        </w:rPr>
        <w:t>instituțional</w:t>
      </w:r>
      <w:r w:rsidR="00026856">
        <w:rPr>
          <w:rFonts w:asciiTheme="majorHAnsi" w:eastAsia="Times New Roman" w:hAnsiTheme="majorHAnsi" w:cstheme="majorHAnsi"/>
          <w:sz w:val="24"/>
          <w:szCs w:val="24"/>
          <w:lang w:val="ro-RO"/>
        </w:rPr>
        <w:t xml:space="preserve"> aferent TIC</w:t>
      </w:r>
      <w:r w:rsidR="00401DEC">
        <w:rPr>
          <w:rFonts w:asciiTheme="majorHAnsi" w:eastAsia="Times New Roman" w:hAnsiTheme="majorHAnsi" w:cstheme="majorHAnsi"/>
          <w:sz w:val="24"/>
          <w:szCs w:val="24"/>
          <w:lang w:val="ro-RO"/>
        </w:rPr>
        <w:t>,</w:t>
      </w:r>
      <w:r w:rsidR="00026856" w:rsidRPr="00026856">
        <w:rPr>
          <w:rFonts w:asciiTheme="majorHAnsi" w:eastAsia="Times New Roman" w:hAnsiTheme="majorHAnsi" w:cstheme="majorHAnsi"/>
          <w:sz w:val="24"/>
          <w:szCs w:val="24"/>
          <w:lang w:val="ro-RO"/>
        </w:rPr>
        <w:t xml:space="preserve"> pentru asigurarea </w:t>
      </w:r>
      <w:r w:rsidR="009B27EF">
        <w:rPr>
          <w:rFonts w:asciiTheme="majorHAnsi" w:eastAsia="Times New Roman" w:hAnsiTheme="majorHAnsi" w:cstheme="majorHAnsi"/>
          <w:sz w:val="24"/>
          <w:szCs w:val="24"/>
          <w:lang w:val="ro-RO"/>
        </w:rPr>
        <w:t xml:space="preserve">unui </w:t>
      </w:r>
      <w:r w:rsidR="00026856">
        <w:rPr>
          <w:rFonts w:asciiTheme="majorHAnsi" w:eastAsia="Times New Roman" w:hAnsiTheme="majorHAnsi" w:cstheme="majorHAnsi"/>
          <w:sz w:val="24"/>
          <w:szCs w:val="24"/>
          <w:lang w:val="ro-RO"/>
        </w:rPr>
        <w:t>management eficient și eficace a</w:t>
      </w:r>
      <w:r w:rsidR="00401DEC">
        <w:rPr>
          <w:rFonts w:asciiTheme="majorHAnsi" w:eastAsia="Times New Roman" w:hAnsiTheme="majorHAnsi" w:cstheme="majorHAnsi"/>
          <w:sz w:val="24"/>
          <w:szCs w:val="24"/>
          <w:lang w:val="ro-RO"/>
        </w:rPr>
        <w:t>l</w:t>
      </w:r>
      <w:r w:rsidR="00026856">
        <w:rPr>
          <w:rFonts w:asciiTheme="majorHAnsi" w:eastAsia="Times New Roman" w:hAnsiTheme="majorHAnsi" w:cstheme="majorHAnsi"/>
          <w:sz w:val="24"/>
          <w:szCs w:val="24"/>
          <w:lang w:val="ro-RO"/>
        </w:rPr>
        <w:t xml:space="preserve"> proceselor de digitalizare </w:t>
      </w:r>
      <w:r w:rsidR="009B27EF">
        <w:rPr>
          <w:rFonts w:asciiTheme="majorHAnsi" w:eastAsia="Times New Roman" w:hAnsiTheme="majorHAnsi" w:cstheme="majorHAnsi"/>
          <w:sz w:val="24"/>
          <w:szCs w:val="24"/>
          <w:lang w:val="ro-RO"/>
        </w:rPr>
        <w:t>în</w:t>
      </w:r>
      <w:r w:rsidR="00026856">
        <w:rPr>
          <w:rFonts w:asciiTheme="majorHAnsi" w:eastAsia="Times New Roman" w:hAnsiTheme="majorHAnsi" w:cstheme="majorHAnsi"/>
          <w:sz w:val="24"/>
          <w:szCs w:val="24"/>
          <w:lang w:val="ro-RO"/>
        </w:rPr>
        <w:t xml:space="preserve"> sectorul public</w:t>
      </w:r>
      <w:r w:rsidR="00026856" w:rsidRPr="00026856">
        <w:rPr>
          <w:rFonts w:asciiTheme="majorHAnsi" w:eastAsia="Times New Roman" w:hAnsiTheme="majorHAnsi" w:cstheme="majorHAnsi"/>
          <w:sz w:val="24"/>
          <w:szCs w:val="24"/>
          <w:lang w:val="ro-RO"/>
        </w:rPr>
        <w:t xml:space="preserve">, precum și </w:t>
      </w:r>
      <w:r w:rsidR="009B27EF">
        <w:rPr>
          <w:rFonts w:asciiTheme="majorHAnsi" w:eastAsia="Times New Roman" w:hAnsiTheme="majorHAnsi" w:cstheme="majorHAnsi"/>
          <w:sz w:val="24"/>
          <w:szCs w:val="24"/>
          <w:lang w:val="ro-RO"/>
        </w:rPr>
        <w:t>i</w:t>
      </w:r>
      <w:r w:rsidR="00026856">
        <w:rPr>
          <w:rFonts w:asciiTheme="majorHAnsi" w:eastAsia="Times New Roman" w:hAnsiTheme="majorHAnsi" w:cstheme="majorHAnsi"/>
          <w:sz w:val="24"/>
          <w:szCs w:val="24"/>
          <w:lang w:val="ro-RO"/>
        </w:rPr>
        <w:t xml:space="preserve">ntensificarea </w:t>
      </w:r>
      <w:r w:rsidR="00026856" w:rsidRPr="00026856">
        <w:rPr>
          <w:rFonts w:asciiTheme="majorHAnsi" w:eastAsia="Times New Roman" w:hAnsiTheme="majorHAnsi" w:cstheme="majorHAnsi"/>
          <w:sz w:val="24"/>
          <w:szCs w:val="24"/>
          <w:lang w:val="ro-RO"/>
        </w:rPr>
        <w:t>monitoriz</w:t>
      </w:r>
      <w:r w:rsidR="00026856">
        <w:rPr>
          <w:rFonts w:asciiTheme="majorHAnsi" w:eastAsia="Times New Roman" w:hAnsiTheme="majorHAnsi" w:cstheme="majorHAnsi"/>
          <w:sz w:val="24"/>
          <w:szCs w:val="24"/>
          <w:lang w:val="ro-RO"/>
        </w:rPr>
        <w:t>ării</w:t>
      </w:r>
      <w:r w:rsidR="00026856" w:rsidRPr="00026856">
        <w:rPr>
          <w:rFonts w:asciiTheme="majorHAnsi" w:eastAsia="Times New Roman" w:hAnsiTheme="majorHAnsi" w:cstheme="majorHAnsi"/>
          <w:sz w:val="24"/>
          <w:szCs w:val="24"/>
          <w:lang w:val="ro-RO"/>
        </w:rPr>
        <w:t xml:space="preserve"> și controlul</w:t>
      </w:r>
      <w:r w:rsidR="00026856">
        <w:rPr>
          <w:rFonts w:asciiTheme="majorHAnsi" w:eastAsia="Times New Roman" w:hAnsiTheme="majorHAnsi" w:cstheme="majorHAnsi"/>
          <w:sz w:val="24"/>
          <w:szCs w:val="24"/>
          <w:lang w:val="ro-RO"/>
        </w:rPr>
        <w:t>ui</w:t>
      </w:r>
      <w:r w:rsidR="00026856" w:rsidRPr="00026856">
        <w:rPr>
          <w:rFonts w:asciiTheme="majorHAnsi" w:eastAsia="Times New Roman" w:hAnsiTheme="majorHAnsi" w:cstheme="majorHAnsi"/>
          <w:sz w:val="24"/>
          <w:szCs w:val="24"/>
          <w:lang w:val="ro-RO"/>
        </w:rPr>
        <w:t xml:space="preserve"> </w:t>
      </w:r>
      <w:r w:rsidR="00401DEC">
        <w:rPr>
          <w:rFonts w:asciiTheme="majorHAnsi" w:eastAsia="Times New Roman" w:hAnsiTheme="majorHAnsi" w:cstheme="majorHAnsi"/>
          <w:sz w:val="24"/>
          <w:szCs w:val="24"/>
          <w:lang w:val="ro-RO"/>
        </w:rPr>
        <w:t xml:space="preserve">de </w:t>
      </w:r>
      <w:r w:rsidR="009B27EF">
        <w:rPr>
          <w:rFonts w:asciiTheme="majorHAnsi" w:eastAsia="Times New Roman" w:hAnsiTheme="majorHAnsi" w:cstheme="majorHAnsi"/>
          <w:sz w:val="24"/>
          <w:szCs w:val="24"/>
          <w:lang w:val="ro-RO"/>
        </w:rPr>
        <w:t>aplic</w:t>
      </w:r>
      <w:r w:rsidR="00401DEC">
        <w:rPr>
          <w:rFonts w:asciiTheme="majorHAnsi" w:eastAsia="Times New Roman" w:hAnsiTheme="majorHAnsi" w:cstheme="majorHAnsi"/>
          <w:sz w:val="24"/>
          <w:szCs w:val="24"/>
          <w:lang w:val="ro-RO"/>
        </w:rPr>
        <w:t>are a</w:t>
      </w:r>
      <w:r w:rsidR="00026856" w:rsidRPr="00026856">
        <w:rPr>
          <w:rFonts w:asciiTheme="majorHAnsi" w:eastAsia="Times New Roman" w:hAnsiTheme="majorHAnsi" w:cstheme="majorHAnsi"/>
          <w:sz w:val="24"/>
          <w:szCs w:val="24"/>
          <w:lang w:val="ro-RO"/>
        </w:rPr>
        <w:t xml:space="preserve"> reglementărilor </w:t>
      </w:r>
      <w:r w:rsidR="009B27EF">
        <w:rPr>
          <w:rFonts w:asciiTheme="majorHAnsi" w:eastAsia="Times New Roman" w:hAnsiTheme="majorHAnsi" w:cstheme="majorHAnsi"/>
          <w:sz w:val="24"/>
          <w:szCs w:val="24"/>
          <w:lang w:val="ro-RO"/>
        </w:rPr>
        <w:t>aferente domeniului TIC</w:t>
      </w:r>
      <w:r w:rsidR="00401DEC">
        <w:rPr>
          <w:rFonts w:asciiTheme="majorHAnsi" w:eastAsia="Times New Roman" w:hAnsiTheme="majorHAnsi" w:cstheme="majorHAnsi"/>
          <w:sz w:val="24"/>
          <w:szCs w:val="24"/>
          <w:lang w:val="ro-RO"/>
        </w:rPr>
        <w:t>,</w:t>
      </w:r>
      <w:r w:rsidR="009B27EF">
        <w:rPr>
          <w:rFonts w:asciiTheme="majorHAnsi" w:eastAsia="Times New Roman" w:hAnsiTheme="majorHAnsi" w:cstheme="majorHAnsi"/>
          <w:sz w:val="24"/>
          <w:szCs w:val="24"/>
          <w:lang w:val="ro-RO"/>
        </w:rPr>
        <w:t xml:space="preserve"> </w:t>
      </w:r>
      <w:r w:rsidR="00026856">
        <w:rPr>
          <w:rFonts w:asciiTheme="majorHAnsi" w:eastAsia="Times New Roman" w:hAnsiTheme="majorHAnsi" w:cstheme="majorHAnsi"/>
          <w:sz w:val="24"/>
          <w:szCs w:val="24"/>
          <w:lang w:val="ro-RO"/>
        </w:rPr>
        <w:t xml:space="preserve">în scopul asigurării </w:t>
      </w:r>
      <w:r w:rsidR="009B27EF">
        <w:rPr>
          <w:rFonts w:asciiTheme="majorHAnsi" w:eastAsia="Times New Roman" w:hAnsiTheme="majorHAnsi" w:cstheme="majorHAnsi"/>
          <w:sz w:val="24"/>
          <w:szCs w:val="24"/>
          <w:lang w:val="ro-RO"/>
        </w:rPr>
        <w:t>gestionării</w:t>
      </w:r>
      <w:r w:rsidR="00026856">
        <w:rPr>
          <w:rFonts w:asciiTheme="majorHAnsi" w:eastAsia="Times New Roman" w:hAnsiTheme="majorHAnsi" w:cstheme="majorHAnsi"/>
          <w:sz w:val="24"/>
          <w:szCs w:val="24"/>
          <w:lang w:val="ro-RO"/>
        </w:rPr>
        <w:t xml:space="preserve"> adecvat</w:t>
      </w:r>
      <w:r w:rsidR="009B27EF">
        <w:rPr>
          <w:rFonts w:asciiTheme="majorHAnsi" w:eastAsia="Times New Roman" w:hAnsiTheme="majorHAnsi" w:cstheme="majorHAnsi"/>
          <w:sz w:val="24"/>
          <w:szCs w:val="24"/>
          <w:lang w:val="ro-RO"/>
        </w:rPr>
        <w:t>e</w:t>
      </w:r>
      <w:r w:rsidR="00026856">
        <w:rPr>
          <w:rFonts w:asciiTheme="majorHAnsi" w:eastAsia="Times New Roman" w:hAnsiTheme="majorHAnsi" w:cstheme="majorHAnsi"/>
          <w:sz w:val="24"/>
          <w:szCs w:val="24"/>
          <w:lang w:val="ro-RO"/>
        </w:rPr>
        <w:t xml:space="preserve"> a patrimoniului TI și a resurselor</w:t>
      </w:r>
      <w:r w:rsidR="009B27EF">
        <w:rPr>
          <w:rFonts w:asciiTheme="majorHAnsi" w:eastAsia="Times New Roman" w:hAnsiTheme="majorHAnsi" w:cstheme="majorHAnsi"/>
          <w:sz w:val="24"/>
          <w:szCs w:val="24"/>
          <w:lang w:val="ro-RO"/>
        </w:rPr>
        <w:t xml:space="preserve"> finanțare utilizate, sporirii impactului acestora</w:t>
      </w:r>
      <w:r w:rsidR="00026856">
        <w:rPr>
          <w:rFonts w:asciiTheme="majorHAnsi" w:eastAsia="Times New Roman" w:hAnsiTheme="majorHAnsi" w:cstheme="majorHAnsi"/>
          <w:sz w:val="24"/>
          <w:szCs w:val="24"/>
          <w:lang w:val="ro-RO"/>
        </w:rPr>
        <w:t>.</w:t>
      </w:r>
      <w:r w:rsidR="00026856" w:rsidRPr="00026856">
        <w:rPr>
          <w:rFonts w:asciiTheme="majorHAnsi" w:eastAsia="Times New Roman" w:hAnsiTheme="majorHAnsi" w:cstheme="majorHAnsi"/>
          <w:sz w:val="24"/>
          <w:szCs w:val="24"/>
          <w:lang w:val="ro-RO"/>
        </w:rPr>
        <w:t xml:space="preserve"> </w:t>
      </w:r>
      <w:r w:rsidR="00026856">
        <w:rPr>
          <w:rFonts w:asciiTheme="majorHAnsi" w:eastAsia="Times New Roman" w:hAnsiTheme="majorHAnsi" w:cstheme="majorHAnsi"/>
          <w:sz w:val="24"/>
          <w:szCs w:val="24"/>
          <w:lang w:val="ro-RO"/>
        </w:rPr>
        <w:t xml:space="preserve">În context, se relevă că </w:t>
      </w:r>
      <w:r w:rsidR="00026856" w:rsidRPr="00EC6E9C">
        <w:rPr>
          <w:rFonts w:asciiTheme="majorHAnsi" w:eastAsia="Times New Roman" w:hAnsiTheme="majorHAnsi" w:cstheme="majorHAnsi"/>
          <w:sz w:val="24"/>
          <w:szCs w:val="24"/>
          <w:lang w:val="ro-RO"/>
        </w:rPr>
        <w:t xml:space="preserve">capacitatea instituțională redusă a autorităților publice pentru gestiunea proiectelor de </w:t>
      </w:r>
      <w:r w:rsidR="00026856">
        <w:rPr>
          <w:rFonts w:asciiTheme="majorHAnsi" w:eastAsia="Times New Roman" w:hAnsiTheme="majorHAnsi" w:cstheme="majorHAnsi"/>
          <w:sz w:val="24"/>
          <w:szCs w:val="24"/>
          <w:lang w:val="ro-RO"/>
        </w:rPr>
        <w:t xml:space="preserve">elaborare, implementare și dezvoltare </w:t>
      </w:r>
      <w:r w:rsidR="00026856" w:rsidRPr="00EC6E9C">
        <w:rPr>
          <w:rFonts w:asciiTheme="majorHAnsi" w:eastAsia="Times New Roman" w:hAnsiTheme="majorHAnsi" w:cstheme="majorHAnsi"/>
          <w:sz w:val="24"/>
          <w:szCs w:val="24"/>
          <w:lang w:val="ro-RO"/>
        </w:rPr>
        <w:t>a SI, precum și de gestionar</w:t>
      </w:r>
      <w:r w:rsidR="00026856">
        <w:rPr>
          <w:rFonts w:asciiTheme="majorHAnsi" w:eastAsia="Times New Roman" w:hAnsiTheme="majorHAnsi" w:cstheme="majorHAnsi"/>
          <w:sz w:val="24"/>
          <w:szCs w:val="24"/>
          <w:lang w:val="ro-RO"/>
        </w:rPr>
        <w:t>e/administrare și mentenanță a acestora, a condiționat și în perioada de referință</w:t>
      </w:r>
      <w:r w:rsidR="00026856" w:rsidRPr="00EC6E9C">
        <w:rPr>
          <w:rFonts w:asciiTheme="majorHAnsi" w:eastAsia="Times New Roman" w:hAnsiTheme="majorHAnsi" w:cstheme="majorHAnsi"/>
          <w:sz w:val="24"/>
          <w:szCs w:val="24"/>
          <w:lang w:val="ro-RO"/>
        </w:rPr>
        <w:t xml:space="preserve"> externalizarea serviciilor în acest sens, generând riscuri </w:t>
      </w:r>
      <w:r w:rsidR="00026856">
        <w:rPr>
          <w:rFonts w:asciiTheme="majorHAnsi" w:eastAsia="Times New Roman" w:hAnsiTheme="majorHAnsi" w:cstheme="majorHAnsi"/>
          <w:sz w:val="24"/>
          <w:szCs w:val="24"/>
          <w:lang w:val="ro-RO"/>
        </w:rPr>
        <w:t xml:space="preserve">de utilizare ineficientă a resurselor, riscuri de </w:t>
      </w:r>
      <w:r w:rsidR="00026856">
        <w:rPr>
          <w:rFonts w:asciiTheme="majorHAnsi" w:eastAsia="Times New Roman" w:hAnsiTheme="majorHAnsi" w:cstheme="majorHAnsi"/>
          <w:sz w:val="24"/>
          <w:szCs w:val="24"/>
          <w:lang w:val="ro-RO"/>
        </w:rPr>
        <w:lastRenderedPageBreak/>
        <w:t>fraudă, cât și riscuri d</w:t>
      </w:r>
      <w:r w:rsidR="00026856" w:rsidRPr="00EC6E9C">
        <w:rPr>
          <w:rFonts w:asciiTheme="majorHAnsi" w:eastAsia="Times New Roman" w:hAnsiTheme="majorHAnsi" w:cstheme="majorHAnsi"/>
          <w:sz w:val="24"/>
          <w:szCs w:val="24"/>
          <w:lang w:val="ro-RO"/>
        </w:rPr>
        <w:t>e securitate și integritate a datelor prelucrate prin in</w:t>
      </w:r>
      <w:r w:rsidR="00026856">
        <w:rPr>
          <w:rFonts w:asciiTheme="majorHAnsi" w:eastAsia="Times New Roman" w:hAnsiTheme="majorHAnsi" w:cstheme="majorHAnsi"/>
          <w:sz w:val="24"/>
          <w:szCs w:val="24"/>
          <w:lang w:val="ro-RO"/>
        </w:rPr>
        <w:t>termediul sistemelor respective.</w:t>
      </w:r>
      <w:r w:rsidR="00026856" w:rsidRPr="00EC6E9C">
        <w:rPr>
          <w:rFonts w:asciiTheme="majorHAnsi" w:eastAsia="Times New Roman" w:hAnsiTheme="majorHAnsi" w:cstheme="majorHAnsi"/>
          <w:sz w:val="24"/>
          <w:szCs w:val="24"/>
          <w:lang w:val="ro-RO"/>
        </w:rPr>
        <w:t xml:space="preserve"> Totodată, lipsa unui siste</w:t>
      </w:r>
      <w:r w:rsidR="00026856">
        <w:rPr>
          <w:rFonts w:asciiTheme="majorHAnsi" w:eastAsia="Times New Roman" w:hAnsiTheme="majorHAnsi" w:cstheme="majorHAnsi"/>
          <w:sz w:val="24"/>
          <w:szCs w:val="24"/>
          <w:lang w:val="ro-RO"/>
        </w:rPr>
        <w:t>m de evaluare a conformității sistemelor elaborate/create</w:t>
      </w:r>
      <w:r w:rsidR="00026856" w:rsidRPr="00EC6E9C">
        <w:rPr>
          <w:rFonts w:asciiTheme="majorHAnsi" w:eastAsia="Times New Roman" w:hAnsiTheme="majorHAnsi" w:cstheme="majorHAnsi"/>
          <w:sz w:val="24"/>
          <w:szCs w:val="24"/>
          <w:lang w:val="ro-RO"/>
        </w:rPr>
        <w:t xml:space="preserve">, lipsa/insuficiența specialiștilor TI calificați în cadrul autorităților publice </w:t>
      </w:r>
      <w:r w:rsidR="00026856">
        <w:rPr>
          <w:rFonts w:asciiTheme="majorHAnsi" w:eastAsia="Times New Roman" w:hAnsiTheme="majorHAnsi" w:cstheme="majorHAnsi"/>
          <w:sz w:val="24"/>
          <w:szCs w:val="24"/>
          <w:lang w:val="ro-RO"/>
        </w:rPr>
        <w:t xml:space="preserve">condiționează </w:t>
      </w:r>
      <w:r w:rsidR="00026856" w:rsidRPr="00EC6E9C">
        <w:rPr>
          <w:rFonts w:asciiTheme="majorHAnsi" w:eastAsia="Times New Roman" w:hAnsiTheme="majorHAnsi" w:cstheme="majorHAnsi"/>
          <w:sz w:val="24"/>
          <w:szCs w:val="24"/>
          <w:lang w:val="ro-RO"/>
        </w:rPr>
        <w:t>dependența considerabilă a calității serviciilor</w:t>
      </w:r>
      <w:r w:rsidR="00026856">
        <w:rPr>
          <w:rFonts w:asciiTheme="majorHAnsi" w:eastAsia="Times New Roman" w:hAnsiTheme="majorHAnsi" w:cstheme="majorHAnsi"/>
          <w:sz w:val="24"/>
          <w:szCs w:val="24"/>
          <w:lang w:val="ro-RO"/>
        </w:rPr>
        <w:t xml:space="preserve"> TI</w:t>
      </w:r>
      <w:r w:rsidR="00026856" w:rsidRPr="00EC6E9C">
        <w:rPr>
          <w:rFonts w:asciiTheme="majorHAnsi" w:eastAsia="Times New Roman" w:hAnsiTheme="majorHAnsi" w:cstheme="majorHAnsi"/>
          <w:sz w:val="24"/>
          <w:szCs w:val="24"/>
          <w:lang w:val="ro-RO"/>
        </w:rPr>
        <w:t xml:space="preserve"> prestate</w:t>
      </w:r>
      <w:r w:rsidR="00026856">
        <w:rPr>
          <w:rFonts w:asciiTheme="majorHAnsi" w:eastAsia="Times New Roman" w:hAnsiTheme="majorHAnsi" w:cstheme="majorHAnsi"/>
          <w:sz w:val="24"/>
          <w:szCs w:val="24"/>
          <w:lang w:val="ro-RO"/>
        </w:rPr>
        <w:t xml:space="preserve"> în contextul externalizării acestora</w:t>
      </w:r>
      <w:r w:rsidR="00026856" w:rsidRPr="00EC6E9C">
        <w:rPr>
          <w:rFonts w:asciiTheme="majorHAnsi" w:eastAsia="Times New Roman" w:hAnsiTheme="majorHAnsi" w:cstheme="majorHAnsi"/>
          <w:sz w:val="24"/>
          <w:szCs w:val="24"/>
          <w:lang w:val="ro-RO"/>
        </w:rPr>
        <w:t xml:space="preserve"> de conștiinciozitatea prestatorului sau d</w:t>
      </w:r>
      <w:r w:rsidR="00026856">
        <w:rPr>
          <w:rFonts w:asciiTheme="majorHAnsi" w:eastAsia="Times New Roman" w:hAnsiTheme="majorHAnsi" w:cstheme="majorHAnsi"/>
          <w:sz w:val="24"/>
          <w:szCs w:val="24"/>
          <w:lang w:val="ro-RO"/>
        </w:rPr>
        <w:t>e nivelul conlucrării cu acesta, cu impact asupra funcționalității și sustenabilității sistemelor.</w:t>
      </w:r>
      <w:r>
        <w:rPr>
          <w:rFonts w:asciiTheme="majorHAnsi" w:eastAsia="Times New Roman" w:hAnsiTheme="majorHAnsi" w:cstheme="majorHAnsi"/>
          <w:sz w:val="24"/>
          <w:szCs w:val="24"/>
          <w:lang w:val="ro-RO"/>
        </w:rPr>
        <w:t xml:space="preserve"> </w:t>
      </w:r>
    </w:p>
    <w:p w14:paraId="36BD1044" w14:textId="7984CB67" w:rsidR="00DB46C2" w:rsidRPr="009E00F6" w:rsidRDefault="006E5EF0" w:rsidP="009E00F6">
      <w:pPr>
        <w:spacing w:after="0" w:line="276" w:lineRule="auto"/>
        <w:ind w:firstLine="567"/>
        <w:jc w:val="both"/>
        <w:rPr>
          <w:rFonts w:asciiTheme="majorHAnsi" w:eastAsia="Times New Roman" w:hAnsiTheme="majorHAnsi" w:cstheme="majorHAnsi"/>
          <w:sz w:val="24"/>
          <w:szCs w:val="24"/>
          <w:lang w:val="ro-RO"/>
        </w:rPr>
      </w:pPr>
      <w:r w:rsidRPr="009E00F6">
        <w:rPr>
          <w:rFonts w:asciiTheme="majorHAnsi" w:eastAsia="Times New Roman" w:hAnsiTheme="majorHAnsi" w:cstheme="majorHAnsi"/>
          <w:sz w:val="24"/>
          <w:szCs w:val="24"/>
          <w:lang w:val="ro-RO"/>
        </w:rPr>
        <w:t>Reieșind din cele expuse, în temeiul art.14 alin.(2) şi art.15 lit.</w:t>
      </w:r>
      <w:r w:rsidR="007B39F0">
        <w:rPr>
          <w:rFonts w:asciiTheme="majorHAnsi" w:eastAsia="Times New Roman" w:hAnsiTheme="majorHAnsi" w:cstheme="majorHAnsi"/>
          <w:sz w:val="24"/>
          <w:szCs w:val="24"/>
          <w:lang w:val="ro-RO"/>
        </w:rPr>
        <w:t xml:space="preserve"> </w:t>
      </w:r>
      <w:r w:rsidRPr="009E00F6">
        <w:rPr>
          <w:rFonts w:asciiTheme="majorHAnsi" w:eastAsia="Times New Roman" w:hAnsiTheme="majorHAnsi" w:cstheme="majorHAnsi"/>
          <w:sz w:val="24"/>
          <w:szCs w:val="24"/>
          <w:lang w:val="ro-RO"/>
        </w:rPr>
        <w:t xml:space="preserve">d) din Legea nr.260 din 07.12.2017, Curtea de Conturi </w:t>
      </w:r>
    </w:p>
    <w:p w14:paraId="5CD44880" w14:textId="31FBC92F" w:rsidR="000518BF" w:rsidRPr="009E00F6" w:rsidRDefault="000518BF" w:rsidP="009E00F6">
      <w:pPr>
        <w:spacing w:after="0" w:line="276" w:lineRule="auto"/>
        <w:ind w:right="-45"/>
        <w:jc w:val="center"/>
        <w:rPr>
          <w:rFonts w:ascii="Calibri Light" w:eastAsia="Times New Roman" w:hAnsi="Calibri Light" w:cs="Calibri Light"/>
          <w:b/>
          <w:bCs/>
          <w:sz w:val="28"/>
          <w:szCs w:val="28"/>
          <w:lang w:val="ro-RO" w:eastAsia="ru-RU"/>
        </w:rPr>
      </w:pPr>
      <w:r w:rsidRPr="009E00F6">
        <w:rPr>
          <w:rFonts w:ascii="Calibri Light" w:eastAsia="Times New Roman" w:hAnsi="Calibri Light" w:cs="Calibri Light"/>
          <w:b/>
          <w:bCs/>
          <w:sz w:val="28"/>
          <w:szCs w:val="28"/>
          <w:lang w:val="ro-RO" w:eastAsia="ru-RU"/>
        </w:rPr>
        <w:t>HOTĂRĂȘTE:</w:t>
      </w:r>
    </w:p>
    <w:p w14:paraId="2361ED5D" w14:textId="77777777" w:rsidR="00D420D2" w:rsidRPr="009E00F6" w:rsidRDefault="00D420D2" w:rsidP="009E00F6">
      <w:pPr>
        <w:spacing w:after="0" w:line="276" w:lineRule="auto"/>
        <w:ind w:right="-45"/>
        <w:jc w:val="center"/>
        <w:rPr>
          <w:rFonts w:ascii="Calibri Light" w:eastAsia="Times New Roman" w:hAnsi="Calibri Light" w:cs="Calibri Light"/>
          <w:b/>
          <w:bCs/>
          <w:sz w:val="10"/>
          <w:szCs w:val="10"/>
          <w:lang w:val="ro-RO" w:eastAsia="ru-RU"/>
        </w:rPr>
      </w:pPr>
    </w:p>
    <w:p w14:paraId="23D27C96" w14:textId="45354E41" w:rsidR="00D420D2" w:rsidRPr="007B39F0" w:rsidRDefault="00D420D2" w:rsidP="007B39F0">
      <w:pPr>
        <w:numPr>
          <w:ilvl w:val="0"/>
          <w:numId w:val="3"/>
        </w:numPr>
        <w:tabs>
          <w:tab w:val="left" w:pos="0"/>
        </w:tabs>
        <w:spacing w:after="0" w:line="276" w:lineRule="auto"/>
        <w:ind w:left="0" w:firstLine="426"/>
        <w:jc w:val="both"/>
        <w:rPr>
          <w:rFonts w:asciiTheme="majorHAnsi" w:eastAsia="Times New Roman" w:hAnsiTheme="majorHAnsi" w:cstheme="majorHAnsi"/>
          <w:sz w:val="24"/>
          <w:szCs w:val="24"/>
          <w:lang w:val="ro-RO" w:eastAsia="ru-RU"/>
        </w:rPr>
      </w:pPr>
      <w:r w:rsidRPr="009E00F6">
        <w:rPr>
          <w:rFonts w:asciiTheme="majorHAnsi" w:eastAsia="Times New Roman" w:hAnsiTheme="majorHAnsi" w:cstheme="majorHAnsi"/>
          <w:sz w:val="24"/>
          <w:szCs w:val="24"/>
          <w:lang w:val="ro-RO" w:eastAsia="ja-JP"/>
        </w:rPr>
        <w:t xml:space="preserve">Se aprobă </w:t>
      </w:r>
      <w:r w:rsidRPr="009E00F6">
        <w:rPr>
          <w:rFonts w:asciiTheme="majorHAnsi" w:eastAsia="Times New Roman" w:hAnsiTheme="majorHAnsi" w:cstheme="majorHAnsi"/>
          <w:sz w:val="24"/>
          <w:szCs w:val="24"/>
          <w:lang w:val="ro-RO" w:eastAsia="ru-RU"/>
        </w:rPr>
        <w:t xml:space="preserve">Raportul </w:t>
      </w:r>
      <w:r w:rsidR="007B39F0">
        <w:rPr>
          <w:rFonts w:asciiTheme="majorHAnsi" w:eastAsia="Times New Roman" w:hAnsiTheme="majorHAnsi" w:cstheme="majorHAnsi"/>
          <w:sz w:val="24"/>
          <w:szCs w:val="24"/>
          <w:lang w:val="ro-RO" w:eastAsia="ru-RU"/>
        </w:rPr>
        <w:t xml:space="preserve">auditului performanței </w:t>
      </w:r>
      <w:r w:rsidR="007B39F0" w:rsidRPr="007B39F0">
        <w:rPr>
          <w:rFonts w:asciiTheme="majorHAnsi" w:eastAsia="Times New Roman" w:hAnsiTheme="majorHAnsi" w:cstheme="majorHAnsi"/>
          <w:sz w:val="24"/>
          <w:szCs w:val="24"/>
          <w:lang w:val="ro-RO" w:eastAsia="ru-RU"/>
        </w:rPr>
        <w:t>„În ce mod activitățile realizate pentru crearea/elaborarea, implementarea și gestionarea sistemelor informaționale în sectorul public contribuie la utilizarea eficientă a resurselo</w:t>
      </w:r>
      <w:r w:rsidR="007B39F0">
        <w:rPr>
          <w:rFonts w:asciiTheme="majorHAnsi" w:eastAsia="Times New Roman" w:hAnsiTheme="majorHAnsi" w:cstheme="majorHAnsi"/>
          <w:sz w:val="24"/>
          <w:szCs w:val="24"/>
          <w:lang w:val="ro-RO" w:eastAsia="ru-RU"/>
        </w:rPr>
        <w:t>r alocate în acest scop?”</w:t>
      </w:r>
      <w:r w:rsidR="00091379">
        <w:rPr>
          <w:rFonts w:asciiTheme="majorHAnsi" w:eastAsia="Times New Roman" w:hAnsiTheme="majorHAnsi" w:cstheme="majorHAnsi"/>
          <w:sz w:val="24"/>
          <w:szCs w:val="24"/>
          <w:lang w:val="ro-RO" w:eastAsia="ru-RU"/>
        </w:rPr>
        <w:t>, anexat la prezenta Hotărâre.</w:t>
      </w:r>
    </w:p>
    <w:p w14:paraId="5D0240DC" w14:textId="2907EDD4" w:rsidR="00D420D2" w:rsidRPr="009E00F6" w:rsidRDefault="00D420D2" w:rsidP="007B39F0">
      <w:pPr>
        <w:numPr>
          <w:ilvl w:val="0"/>
          <w:numId w:val="3"/>
        </w:numPr>
        <w:tabs>
          <w:tab w:val="left" w:pos="0"/>
        </w:tabs>
        <w:spacing w:after="0" w:line="276" w:lineRule="auto"/>
        <w:ind w:left="0" w:firstLine="426"/>
        <w:jc w:val="both"/>
        <w:rPr>
          <w:rFonts w:asciiTheme="majorHAnsi" w:eastAsia="Times New Roman" w:hAnsiTheme="majorHAnsi" w:cstheme="majorHAnsi"/>
          <w:sz w:val="24"/>
          <w:szCs w:val="24"/>
          <w:lang w:val="ro-RO" w:eastAsia="ru-RU"/>
        </w:rPr>
      </w:pPr>
      <w:r w:rsidRPr="009E00F6">
        <w:rPr>
          <w:rFonts w:asciiTheme="majorHAnsi" w:eastAsia="Times New Roman" w:hAnsiTheme="majorHAnsi" w:cstheme="majorHAnsi"/>
          <w:sz w:val="24"/>
          <w:szCs w:val="24"/>
          <w:lang w:val="ro-RO" w:eastAsia="ru-RU"/>
        </w:rPr>
        <w:t xml:space="preserve">Prezenta Hotărâre și Raportul </w:t>
      </w:r>
      <w:r w:rsidR="00091379">
        <w:rPr>
          <w:rFonts w:asciiTheme="majorHAnsi" w:eastAsia="Times New Roman" w:hAnsiTheme="majorHAnsi" w:cstheme="majorHAnsi"/>
          <w:sz w:val="24"/>
          <w:szCs w:val="24"/>
          <w:lang w:val="ro-RO" w:eastAsia="ru-RU"/>
        </w:rPr>
        <w:t>de audit</w:t>
      </w:r>
      <w:r w:rsidRPr="009E00F6">
        <w:rPr>
          <w:rFonts w:asciiTheme="majorHAnsi" w:eastAsia="Times New Roman" w:hAnsiTheme="majorHAnsi" w:cstheme="majorHAnsi"/>
          <w:sz w:val="24"/>
          <w:szCs w:val="24"/>
          <w:lang w:val="ro-RO" w:eastAsia="ru-RU"/>
        </w:rPr>
        <w:t xml:space="preserve"> se remit:</w:t>
      </w:r>
    </w:p>
    <w:p w14:paraId="3A7F24DE" w14:textId="7C48B267" w:rsidR="00D420D2" w:rsidRPr="009E00F6" w:rsidRDefault="00D420D2" w:rsidP="009E00F6">
      <w:pPr>
        <w:pStyle w:val="NormalWeb"/>
        <w:spacing w:line="276" w:lineRule="auto"/>
        <w:rPr>
          <w:rFonts w:asciiTheme="majorHAnsi" w:hAnsiTheme="majorHAnsi" w:cstheme="majorHAnsi"/>
          <w:bCs/>
          <w:lang w:val="ro-RO"/>
        </w:rPr>
      </w:pPr>
      <w:r w:rsidRPr="009E00F6">
        <w:rPr>
          <w:rFonts w:asciiTheme="majorHAnsi" w:hAnsiTheme="majorHAnsi" w:cstheme="majorHAnsi"/>
          <w:b/>
          <w:lang w:val="ro-RO"/>
        </w:rPr>
        <w:t>2.1.</w:t>
      </w:r>
      <w:r w:rsidRPr="009E00F6">
        <w:rPr>
          <w:rFonts w:asciiTheme="majorHAnsi" w:hAnsiTheme="majorHAnsi" w:cstheme="majorHAnsi"/>
          <w:lang w:val="ro-RO"/>
        </w:rPr>
        <w:t xml:space="preserve"> </w:t>
      </w:r>
      <w:r w:rsidRPr="009E00F6">
        <w:rPr>
          <w:rFonts w:asciiTheme="majorHAnsi" w:hAnsiTheme="majorHAnsi" w:cstheme="majorHAnsi"/>
          <w:b/>
          <w:lang w:val="ro-RO"/>
        </w:rPr>
        <w:t>Guvernului Republicii Moldova,</w:t>
      </w:r>
      <w:r w:rsidRPr="009E00F6">
        <w:rPr>
          <w:rFonts w:asciiTheme="majorHAnsi" w:hAnsiTheme="majorHAnsi" w:cstheme="majorHAnsi"/>
          <w:lang w:val="ro-RO"/>
        </w:rPr>
        <w:t xml:space="preserve"> pentru</w:t>
      </w:r>
      <w:r w:rsidRPr="009E00F6">
        <w:rPr>
          <w:rFonts w:asciiTheme="majorHAnsi" w:hAnsiTheme="majorHAnsi" w:cstheme="majorHAnsi"/>
          <w:bCs/>
          <w:lang w:val="ro-RO"/>
        </w:rPr>
        <w:t xml:space="preserve"> informare și luare de atitudine în vederea asigurării implementării recomandărilor de audit</w:t>
      </w:r>
      <w:r w:rsidR="00F2279A">
        <w:rPr>
          <w:rFonts w:asciiTheme="majorHAnsi" w:hAnsiTheme="majorHAnsi" w:cstheme="majorHAnsi"/>
          <w:lang w:val="ro-RO"/>
        </w:rPr>
        <w:t xml:space="preserve">, </w:t>
      </w:r>
      <w:r w:rsidR="00F2279A" w:rsidRPr="009E00F6">
        <w:rPr>
          <w:rFonts w:asciiTheme="majorHAnsi" w:hAnsiTheme="majorHAnsi" w:cstheme="majorHAnsi"/>
          <w:lang w:val="ro-RO"/>
        </w:rPr>
        <w:t>precum și</w:t>
      </w:r>
      <w:r w:rsidR="00F2279A" w:rsidRPr="009E00F6">
        <w:rPr>
          <w:rFonts w:asciiTheme="majorHAnsi" w:hAnsiTheme="majorHAnsi" w:cstheme="majorHAnsi"/>
          <w:bCs/>
          <w:lang w:val="ro-RO"/>
        </w:rPr>
        <w:t xml:space="preserve"> posibila utilizare la luarea deciziilor aferente domeniului </w:t>
      </w:r>
      <w:r w:rsidR="00F2279A">
        <w:rPr>
          <w:rFonts w:asciiTheme="majorHAnsi" w:hAnsiTheme="majorHAnsi" w:cstheme="majorHAnsi"/>
          <w:bCs/>
          <w:lang w:val="ro-RO"/>
        </w:rPr>
        <w:t xml:space="preserve">tehnologiilor informaționale și </w:t>
      </w:r>
      <w:r w:rsidR="00F2279A" w:rsidRPr="009E00F6">
        <w:rPr>
          <w:rFonts w:asciiTheme="majorHAnsi" w:hAnsiTheme="majorHAnsi" w:cstheme="majorHAnsi"/>
          <w:bCs/>
          <w:lang w:val="ro-RO"/>
        </w:rPr>
        <w:t>comunicațiilor</w:t>
      </w:r>
      <w:r w:rsidR="00091379">
        <w:rPr>
          <w:rFonts w:asciiTheme="majorHAnsi" w:hAnsiTheme="majorHAnsi" w:cstheme="majorHAnsi"/>
          <w:bCs/>
          <w:lang w:val="ro-RO"/>
        </w:rPr>
        <w:t>,</w:t>
      </w:r>
      <w:r w:rsidR="00F2279A">
        <w:rPr>
          <w:rFonts w:asciiTheme="majorHAnsi" w:hAnsiTheme="majorHAnsi" w:cstheme="majorHAnsi"/>
          <w:lang w:val="ro-RO"/>
        </w:rPr>
        <w:t xml:space="preserve"> </w:t>
      </w:r>
      <w:r w:rsidR="007B39F0">
        <w:rPr>
          <w:rFonts w:asciiTheme="majorHAnsi" w:hAnsiTheme="majorHAnsi" w:cstheme="majorHAnsi"/>
          <w:lang w:val="ro-RO"/>
        </w:rPr>
        <w:t xml:space="preserve">intensificării </w:t>
      </w:r>
      <w:r w:rsidR="007B39F0" w:rsidRPr="009E00F6">
        <w:rPr>
          <w:rFonts w:asciiTheme="majorHAnsi" w:hAnsiTheme="majorHAnsi" w:cstheme="majorHAnsi"/>
          <w:bCs/>
          <w:lang w:val="ro-RO"/>
        </w:rPr>
        <w:t xml:space="preserve">monitorizării </w:t>
      </w:r>
      <w:r w:rsidR="007B39F0">
        <w:rPr>
          <w:rFonts w:asciiTheme="majorHAnsi" w:hAnsiTheme="majorHAnsi" w:cstheme="majorHAnsi"/>
          <w:bCs/>
          <w:lang w:val="ro-RO"/>
        </w:rPr>
        <w:t xml:space="preserve">modului de creare/elaborare și gestionare a proceselor de </w:t>
      </w:r>
      <w:r w:rsidR="00F2279A">
        <w:rPr>
          <w:rFonts w:asciiTheme="majorHAnsi" w:hAnsiTheme="majorHAnsi" w:cstheme="majorHAnsi"/>
          <w:bCs/>
          <w:lang w:val="ro-RO"/>
        </w:rPr>
        <w:t xml:space="preserve">digitalizare </w:t>
      </w:r>
      <w:r w:rsidR="00091379">
        <w:rPr>
          <w:rFonts w:asciiTheme="majorHAnsi" w:hAnsiTheme="majorHAnsi" w:cstheme="majorHAnsi"/>
          <w:bCs/>
          <w:lang w:val="ro-RO"/>
        </w:rPr>
        <w:t xml:space="preserve">a </w:t>
      </w:r>
      <w:r w:rsidR="00F2279A">
        <w:rPr>
          <w:rFonts w:asciiTheme="majorHAnsi" w:hAnsiTheme="majorHAnsi" w:cstheme="majorHAnsi"/>
          <w:bCs/>
          <w:lang w:val="ro-RO"/>
        </w:rPr>
        <w:t xml:space="preserve">sectorului public </w:t>
      </w:r>
      <w:r w:rsidR="007B39F0">
        <w:rPr>
          <w:rFonts w:asciiTheme="majorHAnsi" w:hAnsiTheme="majorHAnsi" w:cstheme="majorHAnsi"/>
          <w:bCs/>
          <w:lang w:val="ro-RO"/>
        </w:rPr>
        <w:t xml:space="preserve">și </w:t>
      </w:r>
      <w:r w:rsidR="00F2279A">
        <w:rPr>
          <w:rFonts w:asciiTheme="majorHAnsi" w:hAnsiTheme="majorHAnsi" w:cstheme="majorHAnsi"/>
          <w:bCs/>
          <w:lang w:val="ro-RO"/>
        </w:rPr>
        <w:t xml:space="preserve">asigurării </w:t>
      </w:r>
      <w:r w:rsidR="007B39F0">
        <w:rPr>
          <w:rFonts w:asciiTheme="majorHAnsi" w:hAnsiTheme="majorHAnsi" w:cstheme="majorHAnsi"/>
          <w:bCs/>
          <w:lang w:val="ro-RO"/>
        </w:rPr>
        <w:t>evidenței patrimoniului</w:t>
      </w:r>
      <w:r w:rsidR="00F2279A">
        <w:rPr>
          <w:rFonts w:asciiTheme="majorHAnsi" w:hAnsiTheme="majorHAnsi" w:cstheme="majorHAnsi"/>
          <w:bCs/>
          <w:lang w:val="ro-RO"/>
        </w:rPr>
        <w:t xml:space="preserve"> TIC</w:t>
      </w:r>
      <w:r w:rsidRPr="009E00F6">
        <w:rPr>
          <w:rFonts w:asciiTheme="majorHAnsi" w:hAnsiTheme="majorHAnsi" w:cstheme="majorHAnsi"/>
          <w:bCs/>
          <w:lang w:val="ro-RO"/>
        </w:rPr>
        <w:t>;</w:t>
      </w:r>
    </w:p>
    <w:p w14:paraId="3AB63689" w14:textId="77777777" w:rsidR="00D420D2" w:rsidRPr="009E00F6" w:rsidRDefault="00D420D2" w:rsidP="009E00F6">
      <w:pPr>
        <w:pStyle w:val="NormalWeb"/>
        <w:spacing w:line="276" w:lineRule="auto"/>
        <w:rPr>
          <w:rFonts w:asciiTheme="majorHAnsi" w:hAnsiTheme="majorHAnsi" w:cstheme="majorHAnsi"/>
          <w:bCs/>
          <w:lang w:val="ro-RO"/>
        </w:rPr>
      </w:pPr>
      <w:r w:rsidRPr="009E00F6">
        <w:rPr>
          <w:rFonts w:asciiTheme="majorHAnsi" w:hAnsiTheme="majorHAnsi" w:cstheme="majorHAnsi"/>
          <w:b/>
          <w:lang w:val="ro-RO"/>
        </w:rPr>
        <w:t xml:space="preserve">2.2. </w:t>
      </w:r>
      <w:r w:rsidRPr="009E00F6">
        <w:rPr>
          <w:rFonts w:asciiTheme="majorHAnsi" w:hAnsiTheme="majorHAnsi" w:cstheme="majorHAnsi"/>
          <w:b/>
          <w:bCs/>
          <w:lang w:val="ro-RO"/>
        </w:rPr>
        <w:t>Președintelui Republicii Moldova</w:t>
      </w:r>
      <w:r w:rsidRPr="009E00F6">
        <w:rPr>
          <w:rFonts w:asciiTheme="majorHAnsi" w:hAnsiTheme="majorHAnsi" w:cstheme="majorHAnsi"/>
          <w:bCs/>
          <w:lang w:val="ro-RO"/>
        </w:rPr>
        <w:t>, pentru informare;</w:t>
      </w:r>
    </w:p>
    <w:p w14:paraId="7B56F018" w14:textId="77777777" w:rsidR="00D420D2" w:rsidRPr="009E00F6" w:rsidRDefault="00D420D2" w:rsidP="009E00F6">
      <w:pPr>
        <w:pStyle w:val="NormalWeb"/>
        <w:spacing w:line="276" w:lineRule="auto"/>
        <w:rPr>
          <w:rFonts w:asciiTheme="majorHAnsi" w:hAnsiTheme="majorHAnsi" w:cstheme="majorHAnsi"/>
          <w:bCs/>
          <w:lang w:val="ro-RO"/>
        </w:rPr>
      </w:pPr>
      <w:r w:rsidRPr="009E00F6">
        <w:rPr>
          <w:rFonts w:asciiTheme="majorHAnsi" w:hAnsiTheme="majorHAnsi" w:cstheme="majorHAnsi"/>
          <w:b/>
          <w:bCs/>
          <w:lang w:val="ro-RO"/>
        </w:rPr>
        <w:t>2.3.</w:t>
      </w:r>
      <w:r w:rsidRPr="009E00F6">
        <w:rPr>
          <w:rFonts w:asciiTheme="majorHAnsi" w:hAnsiTheme="majorHAnsi" w:cstheme="majorHAnsi"/>
          <w:bCs/>
          <w:lang w:val="ro-RO"/>
        </w:rPr>
        <w:t xml:space="preserve"> </w:t>
      </w:r>
      <w:r w:rsidRPr="009E00F6">
        <w:rPr>
          <w:rFonts w:asciiTheme="majorHAnsi" w:hAnsiTheme="majorHAnsi" w:cstheme="majorHAnsi"/>
          <w:b/>
          <w:bCs/>
          <w:lang w:val="ro-RO"/>
        </w:rPr>
        <w:t>Parlamentului Republicii Moldova,</w:t>
      </w:r>
      <w:r w:rsidRPr="009E00F6">
        <w:rPr>
          <w:rFonts w:asciiTheme="majorHAnsi" w:hAnsiTheme="majorHAnsi" w:cstheme="majorHAnsi"/>
          <w:bCs/>
          <w:lang w:val="ro-RO"/>
        </w:rPr>
        <w:t xml:space="preserve"> pentru informare și examinare, după caz, în cadrul Comisiei parlamentare de control al finanțelor publice;</w:t>
      </w:r>
    </w:p>
    <w:p w14:paraId="7E4DCB10" w14:textId="5804ADC5" w:rsidR="00D420D2" w:rsidRPr="00745627" w:rsidRDefault="00D420D2" w:rsidP="00745627">
      <w:pPr>
        <w:pStyle w:val="NormalWeb"/>
        <w:tabs>
          <w:tab w:val="left" w:pos="567"/>
        </w:tabs>
        <w:spacing w:line="276" w:lineRule="auto"/>
        <w:rPr>
          <w:rFonts w:asciiTheme="majorHAnsi" w:eastAsiaTheme="minorHAnsi" w:hAnsiTheme="majorHAnsi" w:cstheme="majorHAnsi"/>
          <w:lang w:val="ro-RO"/>
        </w:rPr>
      </w:pPr>
      <w:r w:rsidRPr="009E00F6">
        <w:rPr>
          <w:rFonts w:asciiTheme="majorHAnsi" w:hAnsiTheme="majorHAnsi" w:cstheme="majorHAnsi"/>
          <w:b/>
          <w:bCs/>
          <w:lang w:val="ro-RO"/>
        </w:rPr>
        <w:t xml:space="preserve">2.4.  </w:t>
      </w:r>
      <w:r w:rsidR="00091379" w:rsidRPr="009E00F6">
        <w:rPr>
          <w:rFonts w:asciiTheme="majorHAnsi" w:hAnsiTheme="majorHAnsi" w:cstheme="majorHAnsi"/>
          <w:b/>
          <w:lang w:val="ro-RO"/>
        </w:rPr>
        <w:t xml:space="preserve">Cancelariei de Stat, </w:t>
      </w:r>
      <w:r w:rsidR="00F2279A">
        <w:rPr>
          <w:rFonts w:asciiTheme="majorHAnsi" w:hAnsiTheme="majorHAnsi" w:cstheme="majorHAnsi"/>
          <w:b/>
          <w:bCs/>
          <w:lang w:val="ro-RO"/>
        </w:rPr>
        <w:t xml:space="preserve">Ministerului Finanțelor, </w:t>
      </w:r>
      <w:r w:rsidRPr="009E00F6">
        <w:rPr>
          <w:rFonts w:asciiTheme="majorHAnsi" w:hAnsiTheme="majorHAnsi" w:cstheme="majorHAnsi"/>
          <w:b/>
          <w:lang w:val="ro-RO"/>
        </w:rPr>
        <w:t>Ministerului Economiei și Infrastructurii,</w:t>
      </w:r>
      <w:r w:rsidR="00F2279A">
        <w:rPr>
          <w:rFonts w:asciiTheme="majorHAnsi" w:hAnsiTheme="majorHAnsi" w:cstheme="majorHAnsi"/>
          <w:b/>
          <w:lang w:val="ro-RO"/>
        </w:rPr>
        <w:t xml:space="preserve"> Ministerului Afacerilor Interne, Ministerului Sănătății, Muncii și Protecției Sociale,</w:t>
      </w:r>
      <w:r w:rsidRPr="009E00F6">
        <w:rPr>
          <w:rFonts w:asciiTheme="majorHAnsi" w:hAnsiTheme="majorHAnsi" w:cstheme="majorHAnsi"/>
          <w:b/>
          <w:lang w:val="ro-RO"/>
        </w:rPr>
        <w:t xml:space="preserve"> Instituției Publice „Agenția de Guvernare Electronică”, Instituției Publice „Agenția Servicii Publice”, </w:t>
      </w:r>
      <w:r w:rsidR="00F2279A" w:rsidRPr="00F2279A">
        <w:rPr>
          <w:rFonts w:asciiTheme="majorHAnsi" w:hAnsiTheme="majorHAnsi" w:cstheme="majorHAnsi"/>
          <w:b/>
          <w:lang w:val="ro-RO"/>
        </w:rPr>
        <w:t>Biroului Migrație și Azil, Inspectoratului General al Situațiilor de Urgență, Serviciului Tehnologii Informaționale</w:t>
      </w:r>
      <w:r w:rsidR="00DD6A14">
        <w:rPr>
          <w:rFonts w:asciiTheme="majorHAnsi" w:hAnsiTheme="majorHAnsi" w:cstheme="majorHAnsi"/>
          <w:b/>
          <w:lang w:val="ro-RO"/>
        </w:rPr>
        <w:t xml:space="preserve"> al Ministerului Afacerilor Interne</w:t>
      </w:r>
      <w:r w:rsidR="00F2279A" w:rsidRPr="00F2279A">
        <w:rPr>
          <w:rFonts w:asciiTheme="majorHAnsi" w:hAnsiTheme="majorHAnsi" w:cstheme="majorHAnsi"/>
          <w:b/>
          <w:lang w:val="ro-RO"/>
        </w:rPr>
        <w:t>, Serviciului Vamal, Agenției Resurse Informaționale Juridice, Agenției Național</w:t>
      </w:r>
      <w:r w:rsidR="00091379">
        <w:rPr>
          <w:rFonts w:asciiTheme="majorHAnsi" w:hAnsiTheme="majorHAnsi" w:cstheme="majorHAnsi"/>
          <w:b/>
          <w:lang w:val="ro-RO"/>
        </w:rPr>
        <w:t>e</w:t>
      </w:r>
      <w:r w:rsidR="00F2279A" w:rsidRPr="00F2279A">
        <w:rPr>
          <w:rFonts w:asciiTheme="majorHAnsi" w:hAnsiTheme="majorHAnsi" w:cstheme="majorHAnsi"/>
          <w:b/>
          <w:lang w:val="ro-RO"/>
        </w:rPr>
        <w:t xml:space="preserve"> de Ocupare a Forței de Muncă, Î.S. Administrația de Stat a Drumurilor,</w:t>
      </w:r>
      <w:r w:rsidR="00F2279A">
        <w:rPr>
          <w:rFonts w:asciiTheme="majorHAnsi" w:hAnsiTheme="majorHAnsi" w:cstheme="majorHAnsi"/>
          <w:b/>
          <w:lang w:val="ro-RO"/>
        </w:rPr>
        <w:t xml:space="preserve"> precum și altor autorități și instituții publice </w:t>
      </w:r>
      <w:r w:rsidR="00F2279A" w:rsidRPr="00FE29AB">
        <w:rPr>
          <w:rFonts w:asciiTheme="majorHAnsi" w:hAnsiTheme="majorHAnsi" w:cstheme="majorHAnsi"/>
          <w:lang w:val="ro-RO"/>
        </w:rPr>
        <w:t>nominalizate în Anexa nr.1 la Raportul de audit</w:t>
      </w:r>
      <w:r w:rsidR="00F2279A" w:rsidRPr="006E2588">
        <w:rPr>
          <w:rFonts w:asciiTheme="majorHAnsi" w:hAnsiTheme="majorHAnsi" w:cstheme="majorHAnsi"/>
          <w:lang w:val="ro-RO"/>
        </w:rPr>
        <w:t>,</w:t>
      </w:r>
      <w:r w:rsidR="00F2279A">
        <w:rPr>
          <w:rFonts w:asciiTheme="majorHAnsi" w:hAnsiTheme="majorHAnsi" w:cstheme="majorHAnsi"/>
          <w:b/>
          <w:lang w:val="ro-RO"/>
        </w:rPr>
        <w:t xml:space="preserve"> </w:t>
      </w:r>
      <w:r w:rsidRPr="009E00F6">
        <w:rPr>
          <w:rFonts w:asciiTheme="majorHAnsi" w:hAnsiTheme="majorHAnsi" w:cstheme="majorHAnsi"/>
          <w:lang w:val="ro-RO"/>
        </w:rPr>
        <w:t>pentru implementarea recomandărilor expuse în Raportul de audit</w:t>
      </w:r>
      <w:r w:rsidR="001134D3" w:rsidRPr="009E00F6">
        <w:rPr>
          <w:rFonts w:asciiTheme="majorHAnsi" w:hAnsiTheme="majorHAnsi" w:cstheme="majorHAnsi"/>
          <w:lang w:val="ro-RO"/>
        </w:rPr>
        <w:t>.</w:t>
      </w:r>
    </w:p>
    <w:p w14:paraId="09741F8C" w14:textId="6EEE27CC" w:rsidR="00D420D2" w:rsidRPr="00FE29AB" w:rsidRDefault="00091379" w:rsidP="009E00F6">
      <w:pPr>
        <w:pStyle w:val="NormalWeb"/>
        <w:spacing w:line="276" w:lineRule="auto"/>
        <w:rPr>
          <w:rFonts w:asciiTheme="majorHAnsi" w:hAnsiTheme="majorHAnsi" w:cstheme="majorHAnsi"/>
          <w:lang w:val="ro-RO"/>
        </w:rPr>
      </w:pPr>
      <w:r>
        <w:rPr>
          <w:rFonts w:asciiTheme="majorHAnsi" w:hAnsiTheme="majorHAnsi" w:cstheme="majorHAnsi"/>
          <w:b/>
          <w:bCs/>
          <w:lang w:val="ro-RO"/>
        </w:rPr>
        <w:t>3</w:t>
      </w:r>
      <w:r w:rsidR="00D420D2" w:rsidRPr="009E00F6">
        <w:rPr>
          <w:rFonts w:asciiTheme="majorHAnsi" w:hAnsiTheme="majorHAnsi" w:cstheme="majorHAnsi"/>
          <w:b/>
          <w:bCs/>
          <w:lang w:val="ro-RO"/>
        </w:rPr>
        <w:t>.</w:t>
      </w:r>
      <w:r w:rsidR="00D420D2" w:rsidRPr="009E00F6">
        <w:rPr>
          <w:rFonts w:asciiTheme="majorHAnsi" w:eastAsia="Calibri" w:hAnsiTheme="majorHAnsi" w:cstheme="majorHAnsi"/>
          <w:bCs/>
          <w:lang w:val="ro-RO" w:eastAsia="x-none"/>
        </w:rPr>
        <w:t xml:space="preserve">  </w:t>
      </w:r>
      <w:r w:rsidR="00D420D2" w:rsidRPr="009E00F6">
        <w:rPr>
          <w:rFonts w:asciiTheme="majorHAnsi" w:hAnsiTheme="majorHAnsi" w:cstheme="majorHAnsi"/>
          <w:lang w:val="ro-RO"/>
        </w:rPr>
        <w:t>Prezenta Hotărâre intră în vigoare din data publicării în Monitorul Oficial al Republicii Moldova și poate fi contestată cu o cerere prealabilă la autoritatea emitentă în termen de 30 de zile de la data publicării. În ordine de contencios administrativ, Hotărârea poate fi contestată la Judecătoria Chișinău, sediul Râșcani (MD-2068, mun. Chișinău, str. Kiev nr.3), în termen de 30 de zile din data comunicării răspunsului cu privire la cererea prealabilă sau din data expirării termenului prevăzut pentru soluționarea acesteia.</w:t>
      </w:r>
    </w:p>
    <w:p w14:paraId="46EB05B7" w14:textId="06292E9C" w:rsidR="00D420D2" w:rsidRPr="009E00F6" w:rsidRDefault="00091379" w:rsidP="009E00F6">
      <w:pPr>
        <w:tabs>
          <w:tab w:val="left" w:pos="0"/>
          <w:tab w:val="left" w:pos="567"/>
        </w:tabs>
        <w:spacing w:after="0" w:line="276" w:lineRule="auto"/>
        <w:ind w:firstLine="567"/>
        <w:contextualSpacing/>
        <w:jc w:val="both"/>
        <w:rPr>
          <w:rFonts w:asciiTheme="majorHAnsi" w:eastAsia="Calibri" w:hAnsiTheme="majorHAnsi" w:cstheme="majorHAnsi"/>
          <w:bCs/>
          <w:sz w:val="24"/>
          <w:szCs w:val="24"/>
          <w:lang w:val="ro-RO" w:eastAsia="x-none"/>
        </w:rPr>
      </w:pPr>
      <w:r>
        <w:rPr>
          <w:rFonts w:asciiTheme="majorHAnsi" w:hAnsiTheme="majorHAnsi" w:cstheme="majorHAnsi"/>
          <w:b/>
          <w:sz w:val="24"/>
          <w:szCs w:val="24"/>
          <w:lang w:val="ro-RO"/>
        </w:rPr>
        <w:t>4</w:t>
      </w:r>
      <w:r w:rsidR="00D420D2" w:rsidRPr="009E00F6">
        <w:rPr>
          <w:rFonts w:asciiTheme="majorHAnsi" w:hAnsiTheme="majorHAnsi" w:cstheme="majorHAnsi"/>
          <w:b/>
          <w:sz w:val="24"/>
          <w:szCs w:val="24"/>
          <w:lang w:val="ro-RO"/>
        </w:rPr>
        <w:t>.</w:t>
      </w:r>
      <w:r w:rsidR="00D420D2" w:rsidRPr="009E00F6">
        <w:rPr>
          <w:rFonts w:asciiTheme="majorHAnsi" w:hAnsiTheme="majorHAnsi" w:cstheme="majorHAnsi"/>
          <w:sz w:val="24"/>
          <w:szCs w:val="24"/>
          <w:lang w:val="ro-RO"/>
        </w:rPr>
        <w:t xml:space="preserve">  </w:t>
      </w:r>
      <w:r w:rsidR="00D420D2" w:rsidRPr="009E00F6">
        <w:rPr>
          <w:rFonts w:asciiTheme="majorHAnsi" w:eastAsia="Calibri" w:hAnsiTheme="majorHAnsi" w:cstheme="majorHAnsi"/>
          <w:sz w:val="24"/>
          <w:szCs w:val="24"/>
          <w:lang w:val="ro-RO" w:eastAsia="x-none"/>
        </w:rPr>
        <w:t>Curtea de Conturi va fi informată</w:t>
      </w:r>
      <w:r>
        <w:rPr>
          <w:rFonts w:asciiTheme="majorHAnsi" w:eastAsia="Calibri" w:hAnsiTheme="majorHAnsi" w:cstheme="majorHAnsi"/>
          <w:sz w:val="24"/>
          <w:szCs w:val="24"/>
          <w:lang w:val="ro-RO" w:eastAsia="x-none"/>
        </w:rPr>
        <w:t xml:space="preserve"> </w:t>
      </w:r>
      <w:r w:rsidRPr="009E00F6">
        <w:rPr>
          <w:rFonts w:asciiTheme="majorHAnsi" w:eastAsia="Calibri" w:hAnsiTheme="majorHAnsi" w:cstheme="majorHAnsi"/>
          <w:sz w:val="24"/>
          <w:szCs w:val="24"/>
          <w:lang w:val="ro-RO" w:eastAsia="x-none"/>
        </w:rPr>
        <w:t>trimestrial</w:t>
      </w:r>
      <w:r w:rsidR="00D420D2" w:rsidRPr="009E00F6">
        <w:rPr>
          <w:rFonts w:asciiTheme="majorHAnsi" w:eastAsia="Calibri" w:hAnsiTheme="majorHAnsi" w:cstheme="majorHAnsi"/>
          <w:sz w:val="24"/>
          <w:szCs w:val="24"/>
          <w:lang w:val="ro-RO" w:eastAsia="x-none"/>
        </w:rPr>
        <w:t>, în termen de 12 luni din data publicării Hotărârii în Monitorul Oficial al Republicii Moldova, despre măsurile întreprinse pentru executar</w:t>
      </w:r>
      <w:r w:rsidR="00BD4086">
        <w:rPr>
          <w:rFonts w:asciiTheme="majorHAnsi" w:eastAsia="Calibri" w:hAnsiTheme="majorHAnsi" w:cstheme="majorHAnsi"/>
          <w:sz w:val="24"/>
          <w:szCs w:val="24"/>
          <w:lang w:val="ro-RO" w:eastAsia="x-none"/>
        </w:rPr>
        <w:t>ea subpunctul</w:t>
      </w:r>
      <w:r>
        <w:rPr>
          <w:rFonts w:asciiTheme="majorHAnsi" w:eastAsia="Calibri" w:hAnsiTheme="majorHAnsi" w:cstheme="majorHAnsi"/>
          <w:sz w:val="24"/>
          <w:szCs w:val="24"/>
          <w:lang w:val="ro-RO" w:eastAsia="x-none"/>
        </w:rPr>
        <w:t>ui</w:t>
      </w:r>
      <w:r w:rsidR="00D420D2" w:rsidRPr="009E00F6">
        <w:rPr>
          <w:rFonts w:asciiTheme="majorHAnsi" w:eastAsia="Calibri" w:hAnsiTheme="majorHAnsi" w:cstheme="majorHAnsi"/>
          <w:sz w:val="24"/>
          <w:szCs w:val="24"/>
          <w:lang w:val="ro-RO" w:eastAsia="x-none"/>
        </w:rPr>
        <w:t xml:space="preserve"> 2.4. din prezenta Hotărâre. </w:t>
      </w:r>
      <w:r w:rsidR="00D420D2" w:rsidRPr="009E00F6">
        <w:rPr>
          <w:rFonts w:asciiTheme="majorHAnsi" w:eastAsia="Calibri" w:hAnsiTheme="majorHAnsi" w:cstheme="majorHAnsi"/>
          <w:bCs/>
          <w:sz w:val="24"/>
          <w:szCs w:val="24"/>
          <w:lang w:val="ro-RO" w:eastAsia="x-none"/>
        </w:rPr>
        <w:t xml:space="preserve"> </w:t>
      </w:r>
    </w:p>
    <w:p w14:paraId="41471EBD" w14:textId="74EDD1A3" w:rsidR="00D420D2" w:rsidRPr="009E00F6" w:rsidRDefault="00091379" w:rsidP="006A541B">
      <w:pPr>
        <w:pStyle w:val="NormalWeb"/>
        <w:tabs>
          <w:tab w:val="left" w:pos="0"/>
          <w:tab w:val="left" w:pos="270"/>
        </w:tabs>
        <w:spacing w:line="276" w:lineRule="auto"/>
        <w:contextualSpacing/>
        <w:rPr>
          <w:rFonts w:asciiTheme="majorHAnsi" w:eastAsia="Calibri" w:hAnsiTheme="majorHAnsi" w:cstheme="majorHAnsi"/>
          <w:bCs/>
          <w:lang w:val="ro-RO" w:eastAsia="x-none"/>
        </w:rPr>
      </w:pPr>
      <w:r w:rsidRPr="003C2EDC">
        <w:rPr>
          <w:rFonts w:asciiTheme="majorHAnsi" w:eastAsia="Calibri" w:hAnsiTheme="majorHAnsi" w:cstheme="majorHAnsi"/>
          <w:b/>
          <w:bCs/>
          <w:lang w:val="ro-RO" w:eastAsia="x-none"/>
        </w:rPr>
        <w:t>5.</w:t>
      </w:r>
      <w:r>
        <w:rPr>
          <w:rFonts w:asciiTheme="majorHAnsi" w:eastAsia="Calibri" w:hAnsiTheme="majorHAnsi" w:cstheme="majorHAnsi"/>
          <w:bCs/>
          <w:lang w:val="ro-RO" w:eastAsia="x-none"/>
        </w:rPr>
        <w:t xml:space="preserve"> </w:t>
      </w:r>
      <w:r w:rsidR="00D420D2" w:rsidRPr="009E00F6">
        <w:rPr>
          <w:rFonts w:asciiTheme="majorHAnsi" w:eastAsia="Calibri" w:hAnsiTheme="majorHAnsi" w:cstheme="majorHAnsi"/>
          <w:bCs/>
          <w:lang w:val="ro-RO" w:eastAsia="x-none"/>
        </w:rPr>
        <w:t xml:space="preserve">Hotărârea și Raportul </w:t>
      </w:r>
      <w:r>
        <w:rPr>
          <w:rFonts w:asciiTheme="majorHAnsi" w:hAnsiTheme="majorHAnsi" w:cstheme="majorHAnsi"/>
          <w:lang w:val="ro-RO" w:eastAsia="ru-RU"/>
        </w:rPr>
        <w:t xml:space="preserve">auditului performanței </w:t>
      </w:r>
      <w:r w:rsidRPr="007B39F0">
        <w:rPr>
          <w:rFonts w:asciiTheme="majorHAnsi" w:hAnsiTheme="majorHAnsi" w:cstheme="majorHAnsi"/>
          <w:lang w:val="ro-RO" w:eastAsia="ru-RU"/>
        </w:rPr>
        <w:t>„În ce mod activitățile realizate pentru crearea/elaborarea, implementarea și gestionarea sistemelor informaționale în sectorul public contribuie la utilizarea eficientă a resurselo</w:t>
      </w:r>
      <w:r>
        <w:rPr>
          <w:rFonts w:asciiTheme="majorHAnsi" w:hAnsiTheme="majorHAnsi" w:cstheme="majorHAnsi"/>
          <w:lang w:val="ro-RO" w:eastAsia="ru-RU"/>
        </w:rPr>
        <w:t>r alocate în acest scop?”</w:t>
      </w:r>
      <w:r w:rsidR="00D420D2" w:rsidRPr="009E00F6">
        <w:rPr>
          <w:rFonts w:asciiTheme="majorHAnsi" w:eastAsia="Calibri" w:hAnsiTheme="majorHAnsi" w:cstheme="majorHAnsi"/>
          <w:bCs/>
          <w:lang w:val="ro-RO" w:eastAsia="x-none"/>
        </w:rPr>
        <w:t xml:space="preserve"> se plasează pe site-ul oficial al Curții de Conturi (</w:t>
      </w:r>
      <w:r w:rsidR="00D420D2" w:rsidRPr="003C2EDC">
        <w:rPr>
          <w:rFonts w:asciiTheme="majorHAnsi" w:eastAsia="Calibri" w:hAnsiTheme="majorHAnsi" w:cstheme="majorHAnsi"/>
          <w:bCs/>
          <w:color w:val="2E74B5" w:themeColor="accent1" w:themeShade="BF"/>
          <w:u w:val="single"/>
          <w:lang w:val="ro-RO" w:eastAsia="x-none"/>
        </w:rPr>
        <w:t>http://www.ccrm.md/hotariri-si-rapoarte-1-95</w:t>
      </w:r>
      <w:r w:rsidR="00D420D2" w:rsidRPr="009E00F6">
        <w:rPr>
          <w:rFonts w:asciiTheme="majorHAnsi" w:eastAsia="Calibri" w:hAnsiTheme="majorHAnsi" w:cstheme="majorHAnsi"/>
          <w:bCs/>
          <w:lang w:val="ro-RO" w:eastAsia="x-none"/>
        </w:rPr>
        <w:t>).</w:t>
      </w:r>
    </w:p>
    <w:p w14:paraId="56EE2EC4" w14:textId="77777777" w:rsidR="0001290E" w:rsidRPr="009E00F6" w:rsidRDefault="0001290E" w:rsidP="009E00F6">
      <w:pPr>
        <w:spacing w:after="0" w:line="276" w:lineRule="auto"/>
        <w:jc w:val="center"/>
        <w:rPr>
          <w:rFonts w:asciiTheme="majorHAnsi" w:hAnsiTheme="majorHAnsi" w:cstheme="majorHAnsi"/>
          <w:b/>
          <w:bCs/>
          <w:iCs/>
          <w:sz w:val="10"/>
          <w:szCs w:val="10"/>
          <w:lang w:val="ro-RO"/>
        </w:rPr>
      </w:pPr>
    </w:p>
    <w:p w14:paraId="1D9F2EE8" w14:textId="77777777" w:rsidR="006E0C85" w:rsidRPr="009E00F6" w:rsidRDefault="006E0C85" w:rsidP="009E00F6">
      <w:pPr>
        <w:tabs>
          <w:tab w:val="left" w:pos="567"/>
        </w:tabs>
        <w:spacing w:after="0" w:line="276" w:lineRule="auto"/>
        <w:ind w:right="-2"/>
        <w:jc w:val="right"/>
        <w:rPr>
          <w:rFonts w:ascii="Calibri Light" w:eastAsia="Times New Roman" w:hAnsi="Calibri Light" w:cs="Calibri Light"/>
          <w:b/>
          <w:sz w:val="24"/>
          <w:szCs w:val="24"/>
          <w:lang w:val="ro-RO" w:eastAsia="ru-RU"/>
        </w:rPr>
      </w:pPr>
    </w:p>
    <w:p w14:paraId="26B84D9C" w14:textId="78F6A38D" w:rsidR="006E5EF0" w:rsidRDefault="004E6CB6" w:rsidP="009E00F6">
      <w:pPr>
        <w:tabs>
          <w:tab w:val="left" w:pos="567"/>
        </w:tabs>
        <w:spacing w:after="0" w:line="276" w:lineRule="auto"/>
        <w:ind w:right="-2"/>
        <w:jc w:val="right"/>
        <w:rPr>
          <w:rFonts w:ascii="Calibri Light" w:eastAsia="Times New Roman" w:hAnsi="Calibri Light" w:cs="Calibri Light"/>
          <w:b/>
          <w:sz w:val="28"/>
          <w:szCs w:val="28"/>
          <w:lang w:val="ro-RO" w:eastAsia="ru-RU"/>
        </w:rPr>
      </w:pPr>
      <w:r w:rsidRPr="009E00F6">
        <w:rPr>
          <w:rFonts w:ascii="Calibri Light" w:eastAsia="Times New Roman" w:hAnsi="Calibri Light" w:cs="Calibri Light"/>
          <w:b/>
          <w:sz w:val="28"/>
          <w:szCs w:val="28"/>
          <w:lang w:val="ro-RO" w:eastAsia="ru-RU"/>
        </w:rPr>
        <w:t xml:space="preserve">                                                                                                                    </w:t>
      </w:r>
      <w:r w:rsidR="00706D3F">
        <w:rPr>
          <w:rFonts w:ascii="Calibri Light" w:eastAsia="Times New Roman" w:hAnsi="Calibri Light" w:cs="Calibri Light"/>
          <w:b/>
          <w:sz w:val="28"/>
          <w:szCs w:val="28"/>
          <w:lang w:val="ro-RO" w:eastAsia="ru-RU"/>
        </w:rPr>
        <w:t>Viorel CHETRARU</w:t>
      </w:r>
      <w:r w:rsidR="006E0C85" w:rsidRPr="009E00F6">
        <w:rPr>
          <w:rFonts w:ascii="Calibri Light" w:eastAsia="Times New Roman" w:hAnsi="Calibri Light" w:cs="Calibri Light"/>
          <w:b/>
          <w:sz w:val="28"/>
          <w:szCs w:val="28"/>
          <w:lang w:val="ro-RO" w:eastAsia="ru-RU"/>
        </w:rPr>
        <w:t xml:space="preserve">,                                                                                                                         </w:t>
      </w:r>
      <w:r w:rsidRPr="009E00F6">
        <w:rPr>
          <w:rFonts w:ascii="Calibri Light" w:eastAsia="Times New Roman" w:hAnsi="Calibri Light" w:cs="Calibri Light"/>
          <w:b/>
          <w:sz w:val="28"/>
          <w:szCs w:val="28"/>
          <w:lang w:val="ro-RO" w:eastAsia="ru-RU"/>
        </w:rPr>
        <w:t xml:space="preserve">      </w:t>
      </w:r>
      <w:r w:rsidR="00706D3F">
        <w:rPr>
          <w:rFonts w:ascii="Calibri Light" w:eastAsia="Times New Roman" w:hAnsi="Calibri Light" w:cs="Calibri Light"/>
          <w:b/>
          <w:sz w:val="28"/>
          <w:szCs w:val="28"/>
          <w:lang w:val="ro-RO" w:eastAsia="ru-RU"/>
        </w:rPr>
        <w:t>Vicep</w:t>
      </w:r>
      <w:r w:rsidR="006E0C85" w:rsidRPr="009E00F6">
        <w:rPr>
          <w:rFonts w:ascii="Calibri Light" w:eastAsia="Times New Roman" w:hAnsi="Calibri Light" w:cs="Calibri Light"/>
          <w:b/>
          <w:sz w:val="28"/>
          <w:szCs w:val="28"/>
          <w:lang w:val="ro-RO" w:eastAsia="ru-RU"/>
        </w:rPr>
        <w:t>reședinte</w:t>
      </w:r>
      <w:bookmarkStart w:id="1" w:name="_GoBack"/>
      <w:bookmarkEnd w:id="1"/>
    </w:p>
    <w:sectPr w:rsidR="006E5EF0" w:rsidSect="00497576">
      <w:pgSz w:w="11907" w:h="16840" w:code="9"/>
      <w:pgMar w:top="567" w:right="56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587DFF" w14:textId="77777777" w:rsidR="00A96DC0" w:rsidRDefault="00A96DC0" w:rsidP="0001290E">
      <w:pPr>
        <w:spacing w:after="0" w:line="240" w:lineRule="auto"/>
      </w:pPr>
      <w:r>
        <w:separator/>
      </w:r>
    </w:p>
  </w:endnote>
  <w:endnote w:type="continuationSeparator" w:id="0">
    <w:p w14:paraId="788DCB83" w14:textId="77777777" w:rsidR="00A96DC0" w:rsidRDefault="00A96DC0" w:rsidP="00012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98C42C" w14:textId="77777777" w:rsidR="00A96DC0" w:rsidRDefault="00A96DC0" w:rsidP="0001290E">
      <w:pPr>
        <w:spacing w:after="0" w:line="240" w:lineRule="auto"/>
      </w:pPr>
      <w:r>
        <w:separator/>
      </w:r>
    </w:p>
  </w:footnote>
  <w:footnote w:type="continuationSeparator" w:id="0">
    <w:p w14:paraId="0F139618" w14:textId="77777777" w:rsidR="00A96DC0" w:rsidRDefault="00A96DC0" w:rsidP="0001290E">
      <w:pPr>
        <w:spacing w:after="0" w:line="240" w:lineRule="auto"/>
      </w:pPr>
      <w:r>
        <w:continuationSeparator/>
      </w:r>
    </w:p>
  </w:footnote>
  <w:footnote w:id="1">
    <w:p w14:paraId="1447F2CC" w14:textId="77777777" w:rsidR="00ED59DD" w:rsidRPr="003C2EDC" w:rsidRDefault="00ED59DD" w:rsidP="00ED59DD">
      <w:pPr>
        <w:pStyle w:val="FootnoteText"/>
        <w:jc w:val="both"/>
        <w:rPr>
          <w:rFonts w:asciiTheme="majorHAnsi" w:hAnsiTheme="majorHAnsi" w:cstheme="majorHAnsi"/>
          <w:sz w:val="16"/>
          <w:szCs w:val="16"/>
          <w:lang w:val="ro-RO"/>
        </w:rPr>
      </w:pPr>
      <w:r w:rsidRPr="003C2EDC">
        <w:rPr>
          <w:rStyle w:val="FootnoteReference"/>
          <w:rFonts w:asciiTheme="majorHAnsi" w:hAnsiTheme="majorHAnsi" w:cstheme="majorHAnsi"/>
          <w:sz w:val="16"/>
          <w:szCs w:val="16"/>
          <w:lang w:val="ro-RO"/>
        </w:rPr>
        <w:footnoteRef/>
      </w:r>
      <w:r w:rsidRPr="003C2EDC">
        <w:rPr>
          <w:rFonts w:asciiTheme="majorHAnsi" w:hAnsiTheme="majorHAnsi" w:cstheme="majorHAnsi"/>
          <w:sz w:val="16"/>
          <w:szCs w:val="16"/>
          <w:lang w:val="ro-RO"/>
        </w:rPr>
        <w:t xml:space="preserve"> Hotărârea Curții de Conturi nr.10 din 16.03.2020 „Cu privire la aprobarea regimului de activitate al Curții de Conturi”; Hotărârile Comisiei Naționale de Sănătate Publică nr.10 din 15.05.2020, nr.15 din 12.06.2020 și nr.33 din 28.09.2020.</w:t>
      </w:r>
    </w:p>
  </w:footnote>
  <w:footnote w:id="2">
    <w:p w14:paraId="3F258D10" w14:textId="77777777" w:rsidR="007C6869" w:rsidRPr="003C2EDC" w:rsidRDefault="007C6869" w:rsidP="007C6869">
      <w:pPr>
        <w:spacing w:after="0"/>
        <w:jc w:val="both"/>
        <w:rPr>
          <w:rFonts w:asciiTheme="majorHAnsi" w:hAnsiTheme="majorHAnsi" w:cstheme="majorHAnsi"/>
          <w:i/>
          <w:iCs/>
          <w:sz w:val="16"/>
          <w:szCs w:val="16"/>
          <w:lang w:val="ro-RO"/>
        </w:rPr>
      </w:pPr>
      <w:r w:rsidRPr="003C2EDC">
        <w:rPr>
          <w:rStyle w:val="FootnoteReference"/>
          <w:rFonts w:asciiTheme="majorHAnsi" w:hAnsiTheme="majorHAnsi" w:cstheme="majorHAnsi"/>
          <w:sz w:val="16"/>
          <w:szCs w:val="16"/>
          <w:lang w:val="ro-RO"/>
        </w:rPr>
        <w:footnoteRef/>
      </w:r>
      <w:r w:rsidRPr="003C2EDC">
        <w:rPr>
          <w:rFonts w:asciiTheme="majorHAnsi" w:hAnsiTheme="majorHAnsi" w:cstheme="majorHAnsi"/>
          <w:sz w:val="16"/>
          <w:szCs w:val="16"/>
          <w:lang w:val="ro-RO"/>
        </w:rPr>
        <w:t xml:space="preserve"> Legea privind organizarea și funcționarea Curții de Conturi a Republicii Moldova nr.260 din 07.12.2017 (</w:t>
      </w:r>
      <w:r w:rsidRPr="003C2EDC">
        <w:rPr>
          <w:rFonts w:asciiTheme="majorHAnsi" w:hAnsiTheme="majorHAnsi" w:cstheme="majorHAnsi"/>
          <w:iCs/>
          <w:sz w:val="16"/>
          <w:szCs w:val="16"/>
          <w:lang w:val="ro-RO"/>
        </w:rPr>
        <w:t>în continuare – Legea nr.260 din 07.12.2017).</w:t>
      </w:r>
    </w:p>
  </w:footnote>
  <w:footnote w:id="3">
    <w:p w14:paraId="6449BEFC" w14:textId="18B5B7FB" w:rsidR="009E00F6" w:rsidRPr="003C2EDC" w:rsidRDefault="009E00F6" w:rsidP="003C2EDC">
      <w:pPr>
        <w:pStyle w:val="FootnoteText"/>
        <w:jc w:val="both"/>
        <w:rPr>
          <w:rFonts w:asciiTheme="majorHAnsi" w:hAnsiTheme="majorHAnsi" w:cstheme="majorHAnsi"/>
          <w:sz w:val="16"/>
          <w:szCs w:val="16"/>
          <w:lang w:val="ro-RO"/>
        </w:rPr>
      </w:pPr>
      <w:r w:rsidRPr="00964BFD">
        <w:rPr>
          <w:rStyle w:val="FootnoteReference"/>
          <w:rFonts w:asciiTheme="majorHAnsi" w:hAnsiTheme="majorHAnsi" w:cstheme="majorHAnsi"/>
          <w:sz w:val="16"/>
          <w:szCs w:val="16"/>
          <w:lang w:val="ro-RO"/>
        </w:rPr>
        <w:footnoteRef/>
      </w:r>
      <w:r w:rsidRPr="00964BFD">
        <w:rPr>
          <w:rFonts w:asciiTheme="majorHAnsi" w:hAnsiTheme="majorHAnsi" w:cstheme="majorHAnsi"/>
          <w:sz w:val="16"/>
          <w:szCs w:val="16"/>
          <w:lang w:val="ro-RO"/>
        </w:rPr>
        <w:t xml:space="preserve"> Hotărârea Curții de Conturi nr.100 din 29.12.2018 „Cu privire la aprobarea Programului activității de audit pe anul 2019”, cu modificările ulterioare</w:t>
      </w:r>
      <w:r w:rsidR="00964BFD" w:rsidRPr="003C2EDC">
        <w:rPr>
          <w:rFonts w:asciiTheme="majorHAnsi" w:hAnsiTheme="majorHAnsi" w:cstheme="majorHAnsi"/>
          <w:sz w:val="16"/>
          <w:szCs w:val="16"/>
          <w:lang w:val="ro-RO"/>
        </w:rPr>
        <w:t>,</w:t>
      </w:r>
      <w:r w:rsidRPr="00964BFD">
        <w:rPr>
          <w:rFonts w:asciiTheme="majorHAnsi" w:hAnsiTheme="majorHAnsi" w:cstheme="majorHAnsi"/>
          <w:sz w:val="16"/>
          <w:szCs w:val="16"/>
          <w:lang w:val="ro-RO"/>
        </w:rPr>
        <w:t xml:space="preserve"> și Hotărârea Curții de Conturi nr.77 din 27.12.2019 „Cu privire la aprobarea Programului activității de audit pe anul 2020”, cu modificările ulterioare.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773E3"/>
    <w:multiLevelType w:val="hybridMultilevel"/>
    <w:tmpl w:val="1E82A290"/>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1B4310DA"/>
    <w:multiLevelType w:val="multilevel"/>
    <w:tmpl w:val="39B4235C"/>
    <w:lvl w:ilvl="0">
      <w:start w:val="1"/>
      <w:numFmt w:val="decimal"/>
      <w:lvlText w:val="%1."/>
      <w:lvlJc w:val="left"/>
      <w:pPr>
        <w:ind w:left="786" w:hanging="360"/>
      </w:pPr>
      <w:rPr>
        <w:rFonts w:ascii="Calibri Light" w:eastAsia="Times New Roman" w:hAnsi="Calibri Light" w:cs="Calibri Light" w:hint="default"/>
        <w:b/>
      </w:rPr>
    </w:lvl>
    <w:lvl w:ilvl="1">
      <w:start w:val="1"/>
      <w:numFmt w:val="decimal"/>
      <w:isLgl/>
      <w:lvlText w:val="%1.%2."/>
      <w:lvlJc w:val="left"/>
      <w:pPr>
        <w:ind w:left="1070" w:hanging="720"/>
      </w:pPr>
      <w:rPr>
        <w:rFonts w:hint="default"/>
        <w:b/>
        <w:i w:val="0"/>
      </w:rPr>
    </w:lvl>
    <w:lvl w:ilvl="2">
      <w:start w:val="1"/>
      <w:numFmt w:val="decimal"/>
      <w:isLgl/>
      <w:lvlText w:val="%1.%2.%3."/>
      <w:lvlJc w:val="left"/>
      <w:pPr>
        <w:ind w:left="1354" w:hanging="720"/>
      </w:pPr>
      <w:rPr>
        <w:rFonts w:hint="default"/>
        <w:b/>
        <w:i w:val="0"/>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 w15:restartNumberingAfterBreak="0">
    <w:nsid w:val="5B951D2F"/>
    <w:multiLevelType w:val="hybridMultilevel"/>
    <w:tmpl w:val="300A6728"/>
    <w:lvl w:ilvl="0" w:tplc="CF5A4D52">
      <w:start w:val="6"/>
      <w:numFmt w:val="decimal"/>
      <w:lvlText w:val="%1."/>
      <w:lvlJc w:val="left"/>
      <w:pPr>
        <w:ind w:left="630" w:hanging="360"/>
      </w:pPr>
      <w:rPr>
        <w:b/>
        <w:color w:val="auto"/>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7"/>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6EF"/>
    <w:rsid w:val="0001290E"/>
    <w:rsid w:val="00020E6F"/>
    <w:rsid w:val="000240E1"/>
    <w:rsid w:val="00026856"/>
    <w:rsid w:val="000518BF"/>
    <w:rsid w:val="000547BD"/>
    <w:rsid w:val="0005497D"/>
    <w:rsid w:val="000551E0"/>
    <w:rsid w:val="000643AC"/>
    <w:rsid w:val="00091379"/>
    <w:rsid w:val="000C4940"/>
    <w:rsid w:val="000D2942"/>
    <w:rsid w:val="000E0D27"/>
    <w:rsid w:val="000F688F"/>
    <w:rsid w:val="00112951"/>
    <w:rsid w:val="00112CE5"/>
    <w:rsid w:val="001134D3"/>
    <w:rsid w:val="001208EC"/>
    <w:rsid w:val="00126CFA"/>
    <w:rsid w:val="00132C33"/>
    <w:rsid w:val="00144799"/>
    <w:rsid w:val="00153825"/>
    <w:rsid w:val="00155F02"/>
    <w:rsid w:val="001575DC"/>
    <w:rsid w:val="00180D27"/>
    <w:rsid w:val="00185CEA"/>
    <w:rsid w:val="001A0701"/>
    <w:rsid w:val="001A3EF3"/>
    <w:rsid w:val="001B0A2A"/>
    <w:rsid w:val="001B3E93"/>
    <w:rsid w:val="001C40FF"/>
    <w:rsid w:val="001C6CEC"/>
    <w:rsid w:val="001E0709"/>
    <w:rsid w:val="001E3AC7"/>
    <w:rsid w:val="001F1EE2"/>
    <w:rsid w:val="001F292D"/>
    <w:rsid w:val="002064F7"/>
    <w:rsid w:val="00224198"/>
    <w:rsid w:val="002A1F5E"/>
    <w:rsid w:val="002A451C"/>
    <w:rsid w:val="002B7DD9"/>
    <w:rsid w:val="002C0CF8"/>
    <w:rsid w:val="002C3231"/>
    <w:rsid w:val="002F0761"/>
    <w:rsid w:val="0031048E"/>
    <w:rsid w:val="003231C0"/>
    <w:rsid w:val="00326166"/>
    <w:rsid w:val="003421F4"/>
    <w:rsid w:val="00354623"/>
    <w:rsid w:val="003639C9"/>
    <w:rsid w:val="00386069"/>
    <w:rsid w:val="003870A5"/>
    <w:rsid w:val="00392AB2"/>
    <w:rsid w:val="0039303E"/>
    <w:rsid w:val="003C2EDC"/>
    <w:rsid w:val="003E204C"/>
    <w:rsid w:val="003F2A34"/>
    <w:rsid w:val="00401DEC"/>
    <w:rsid w:val="00405658"/>
    <w:rsid w:val="00417A16"/>
    <w:rsid w:val="004217A3"/>
    <w:rsid w:val="00422B29"/>
    <w:rsid w:val="00430ACA"/>
    <w:rsid w:val="0046156B"/>
    <w:rsid w:val="004729B5"/>
    <w:rsid w:val="00497576"/>
    <w:rsid w:val="004E6CB6"/>
    <w:rsid w:val="00512676"/>
    <w:rsid w:val="00524E53"/>
    <w:rsid w:val="005307C6"/>
    <w:rsid w:val="00537684"/>
    <w:rsid w:val="0055409E"/>
    <w:rsid w:val="00561EBB"/>
    <w:rsid w:val="005C450E"/>
    <w:rsid w:val="005E06AA"/>
    <w:rsid w:val="0060153C"/>
    <w:rsid w:val="00606B96"/>
    <w:rsid w:val="0061055D"/>
    <w:rsid w:val="006134D5"/>
    <w:rsid w:val="00665DA9"/>
    <w:rsid w:val="00671BE1"/>
    <w:rsid w:val="006A541B"/>
    <w:rsid w:val="006B6BCD"/>
    <w:rsid w:val="006C2DB3"/>
    <w:rsid w:val="006E0C85"/>
    <w:rsid w:val="006E2588"/>
    <w:rsid w:val="006E41B8"/>
    <w:rsid w:val="006E5EF0"/>
    <w:rsid w:val="006E7A8A"/>
    <w:rsid w:val="006F7ADB"/>
    <w:rsid w:val="007026EF"/>
    <w:rsid w:val="00706D3F"/>
    <w:rsid w:val="0071090A"/>
    <w:rsid w:val="0072215F"/>
    <w:rsid w:val="00737F70"/>
    <w:rsid w:val="00745627"/>
    <w:rsid w:val="00754E92"/>
    <w:rsid w:val="007837E0"/>
    <w:rsid w:val="00786C55"/>
    <w:rsid w:val="00796320"/>
    <w:rsid w:val="007A786B"/>
    <w:rsid w:val="007B39F0"/>
    <w:rsid w:val="007B4E09"/>
    <w:rsid w:val="007B5991"/>
    <w:rsid w:val="007C6869"/>
    <w:rsid w:val="007D2733"/>
    <w:rsid w:val="007F5DDE"/>
    <w:rsid w:val="00804B96"/>
    <w:rsid w:val="00805E68"/>
    <w:rsid w:val="00812C6D"/>
    <w:rsid w:val="00830862"/>
    <w:rsid w:val="008312B3"/>
    <w:rsid w:val="008661FF"/>
    <w:rsid w:val="008742A1"/>
    <w:rsid w:val="00874C8E"/>
    <w:rsid w:val="00886105"/>
    <w:rsid w:val="008915E7"/>
    <w:rsid w:val="008A4165"/>
    <w:rsid w:val="008A57F4"/>
    <w:rsid w:val="008A6B07"/>
    <w:rsid w:val="008B76A1"/>
    <w:rsid w:val="008C3339"/>
    <w:rsid w:val="008F3BC4"/>
    <w:rsid w:val="0090572E"/>
    <w:rsid w:val="00927C35"/>
    <w:rsid w:val="009618E5"/>
    <w:rsid w:val="00964BFD"/>
    <w:rsid w:val="00975B85"/>
    <w:rsid w:val="0098416B"/>
    <w:rsid w:val="009B228E"/>
    <w:rsid w:val="009B27EF"/>
    <w:rsid w:val="009B7402"/>
    <w:rsid w:val="009C7550"/>
    <w:rsid w:val="009D3247"/>
    <w:rsid w:val="009E00F6"/>
    <w:rsid w:val="009E62E4"/>
    <w:rsid w:val="009F5F8B"/>
    <w:rsid w:val="00A0130E"/>
    <w:rsid w:val="00A105F2"/>
    <w:rsid w:val="00A32432"/>
    <w:rsid w:val="00A4117F"/>
    <w:rsid w:val="00A5198E"/>
    <w:rsid w:val="00A55223"/>
    <w:rsid w:val="00A733D7"/>
    <w:rsid w:val="00A77CF9"/>
    <w:rsid w:val="00A96DC0"/>
    <w:rsid w:val="00AA27B6"/>
    <w:rsid w:val="00AA303B"/>
    <w:rsid w:val="00AB52EB"/>
    <w:rsid w:val="00AE48B9"/>
    <w:rsid w:val="00AE7A43"/>
    <w:rsid w:val="00B10D2F"/>
    <w:rsid w:val="00B12BFA"/>
    <w:rsid w:val="00B46A75"/>
    <w:rsid w:val="00B53F4F"/>
    <w:rsid w:val="00B87C0E"/>
    <w:rsid w:val="00BA1741"/>
    <w:rsid w:val="00BD4086"/>
    <w:rsid w:val="00BD5970"/>
    <w:rsid w:val="00BD5B26"/>
    <w:rsid w:val="00BD750C"/>
    <w:rsid w:val="00C0476D"/>
    <w:rsid w:val="00C3091B"/>
    <w:rsid w:val="00C63219"/>
    <w:rsid w:val="00C67635"/>
    <w:rsid w:val="00C74E11"/>
    <w:rsid w:val="00CC1F34"/>
    <w:rsid w:val="00CC791C"/>
    <w:rsid w:val="00CD4B74"/>
    <w:rsid w:val="00CE0B0F"/>
    <w:rsid w:val="00D02709"/>
    <w:rsid w:val="00D40FB2"/>
    <w:rsid w:val="00D420D2"/>
    <w:rsid w:val="00D5173E"/>
    <w:rsid w:val="00D56314"/>
    <w:rsid w:val="00D80BAB"/>
    <w:rsid w:val="00D83E30"/>
    <w:rsid w:val="00D85BDA"/>
    <w:rsid w:val="00D97CF8"/>
    <w:rsid w:val="00DA47C3"/>
    <w:rsid w:val="00DA6885"/>
    <w:rsid w:val="00DA6A65"/>
    <w:rsid w:val="00DB095E"/>
    <w:rsid w:val="00DB46C2"/>
    <w:rsid w:val="00DD6A14"/>
    <w:rsid w:val="00DE17BB"/>
    <w:rsid w:val="00E00C63"/>
    <w:rsid w:val="00E018A8"/>
    <w:rsid w:val="00E1584A"/>
    <w:rsid w:val="00E37F63"/>
    <w:rsid w:val="00E52374"/>
    <w:rsid w:val="00E71960"/>
    <w:rsid w:val="00E7332B"/>
    <w:rsid w:val="00E92C20"/>
    <w:rsid w:val="00E9492A"/>
    <w:rsid w:val="00EC6E9C"/>
    <w:rsid w:val="00EC7311"/>
    <w:rsid w:val="00ED1D7D"/>
    <w:rsid w:val="00ED59DD"/>
    <w:rsid w:val="00ED7260"/>
    <w:rsid w:val="00EF53FE"/>
    <w:rsid w:val="00F02FFE"/>
    <w:rsid w:val="00F04329"/>
    <w:rsid w:val="00F132EF"/>
    <w:rsid w:val="00F21340"/>
    <w:rsid w:val="00F2279A"/>
    <w:rsid w:val="00F229EF"/>
    <w:rsid w:val="00F30888"/>
    <w:rsid w:val="00F36040"/>
    <w:rsid w:val="00F51D1F"/>
    <w:rsid w:val="00F6236A"/>
    <w:rsid w:val="00F95A17"/>
    <w:rsid w:val="00FC66B3"/>
    <w:rsid w:val="00FD3453"/>
    <w:rsid w:val="00FE2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5786D"/>
  <w15:chartTrackingRefBased/>
  <w15:docId w15:val="{EB881C0B-715A-4413-AB07-8DE2B48C0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90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Char Char,Знак1 Char,Fußnote Char Char Char,Fußnote Char Char1,Fußnote Char Car Char Char Char,Fußnote Char Car Char Char Char Char Char Char Char Char Char Char Char,fn Char,single space Char"/>
    <w:basedOn w:val="DefaultParagraphFont"/>
    <w:link w:val="FootnoteText"/>
    <w:uiPriority w:val="99"/>
    <w:locked/>
    <w:rsid w:val="0001290E"/>
    <w:rPr>
      <w:sz w:val="20"/>
      <w:szCs w:val="20"/>
    </w:rPr>
  </w:style>
  <w:style w:type="paragraph" w:styleId="FootnoteText">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Normal"/>
    <w:link w:val="FootnoteTextChar"/>
    <w:uiPriority w:val="99"/>
    <w:unhideWhenUsed/>
    <w:qFormat/>
    <w:rsid w:val="0001290E"/>
    <w:pPr>
      <w:spacing w:after="0" w:line="240" w:lineRule="auto"/>
    </w:pPr>
    <w:rPr>
      <w:sz w:val="20"/>
      <w:szCs w:val="20"/>
    </w:rPr>
  </w:style>
  <w:style w:type="character" w:customStyle="1" w:styleId="FootnoteTextChar1">
    <w:name w:val="Footnote Text Char1"/>
    <w:basedOn w:val="DefaultParagraphFont"/>
    <w:uiPriority w:val="99"/>
    <w:semiHidden/>
    <w:rsid w:val="0001290E"/>
    <w:rPr>
      <w:sz w:val="20"/>
      <w:szCs w:val="20"/>
    </w:rPr>
  </w:style>
  <w:style w:type="paragraph" w:customStyle="1" w:styleId="cn">
    <w:name w:val="cn"/>
    <w:basedOn w:val="Normal"/>
    <w:uiPriority w:val="99"/>
    <w:rsid w:val="0001290E"/>
    <w:pPr>
      <w:spacing w:after="0" w:line="240" w:lineRule="auto"/>
      <w:jc w:val="center"/>
    </w:pPr>
    <w:rPr>
      <w:rFonts w:ascii="Times New Roman" w:eastAsia="Times New Roman" w:hAnsi="Times New Roman" w:cs="Times New Roman"/>
      <w:sz w:val="24"/>
      <w:szCs w:val="24"/>
    </w:rPr>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Normal"/>
    <w:link w:val="FootnoteReference1"/>
    <w:uiPriority w:val="99"/>
    <w:qFormat/>
    <w:rsid w:val="0001290E"/>
    <w:pPr>
      <w:spacing w:line="240" w:lineRule="exact"/>
    </w:pPr>
    <w:rPr>
      <w:vertAlign w:val="superscript"/>
      <w:lang w:val="ro-MD"/>
    </w:rPr>
  </w:style>
  <w:style w:type="character" w:customStyle="1" w:styleId="FootnoteReference1">
    <w:name w:val="Footnote Reference1"/>
    <w:aliases w:val="ftref,Times 10 Point,Exposant 3 Point,Footnote symbol,Footnote reference number,EN Footnote Reference,note TESI,16 Point,Superscript 6 Point,BVI fnr,Char Char1,FOOTNOTES Char1,fn Char1,single space Char1,ft Char1,Ref"/>
    <w:basedOn w:val="DefaultParagraphFont"/>
    <w:link w:val="FNRefeCharChar"/>
    <w:uiPriority w:val="99"/>
    <w:locked/>
    <w:rsid w:val="0001290E"/>
    <w:rPr>
      <w:vertAlign w:val="superscript"/>
      <w:lang w:val="ro-MD"/>
    </w:rPr>
  </w:style>
  <w:style w:type="character" w:styleId="FootnoteReference">
    <w:name w:val="footnote reference"/>
    <w:aliases w:val="Footnote Text Char2"/>
    <w:basedOn w:val="DefaultParagraphFont"/>
    <w:uiPriority w:val="99"/>
    <w:unhideWhenUsed/>
    <w:rsid w:val="0001290E"/>
    <w:rPr>
      <w:vertAlign w:val="superscript"/>
    </w:rPr>
  </w:style>
  <w:style w:type="paragraph" w:styleId="ListParagraph">
    <w:name w:val="List Paragraph"/>
    <w:basedOn w:val="Normal"/>
    <w:uiPriority w:val="34"/>
    <w:qFormat/>
    <w:rsid w:val="00F21340"/>
    <w:pPr>
      <w:ind w:left="720"/>
      <w:contextualSpacing/>
    </w:pPr>
  </w:style>
  <w:style w:type="character" w:styleId="CommentReference">
    <w:name w:val="annotation reference"/>
    <w:basedOn w:val="DefaultParagraphFont"/>
    <w:uiPriority w:val="99"/>
    <w:semiHidden/>
    <w:unhideWhenUsed/>
    <w:rsid w:val="00F21340"/>
    <w:rPr>
      <w:sz w:val="16"/>
      <w:szCs w:val="16"/>
    </w:rPr>
  </w:style>
  <w:style w:type="paragraph" w:styleId="CommentText">
    <w:name w:val="annotation text"/>
    <w:basedOn w:val="Normal"/>
    <w:link w:val="CommentTextChar"/>
    <w:uiPriority w:val="99"/>
    <w:semiHidden/>
    <w:unhideWhenUsed/>
    <w:rsid w:val="00F21340"/>
    <w:pPr>
      <w:spacing w:line="240" w:lineRule="auto"/>
    </w:pPr>
    <w:rPr>
      <w:sz w:val="20"/>
      <w:szCs w:val="20"/>
    </w:rPr>
  </w:style>
  <w:style w:type="character" w:customStyle="1" w:styleId="CommentTextChar">
    <w:name w:val="Comment Text Char"/>
    <w:basedOn w:val="DefaultParagraphFont"/>
    <w:link w:val="CommentText"/>
    <w:uiPriority w:val="99"/>
    <w:semiHidden/>
    <w:rsid w:val="00F21340"/>
    <w:rPr>
      <w:sz w:val="20"/>
      <w:szCs w:val="20"/>
    </w:rPr>
  </w:style>
  <w:style w:type="paragraph" w:styleId="CommentSubject">
    <w:name w:val="annotation subject"/>
    <w:basedOn w:val="CommentText"/>
    <w:next w:val="CommentText"/>
    <w:link w:val="CommentSubjectChar"/>
    <w:uiPriority w:val="99"/>
    <w:semiHidden/>
    <w:unhideWhenUsed/>
    <w:rsid w:val="00F21340"/>
    <w:rPr>
      <w:b/>
      <w:bCs/>
    </w:rPr>
  </w:style>
  <w:style w:type="character" w:customStyle="1" w:styleId="CommentSubjectChar">
    <w:name w:val="Comment Subject Char"/>
    <w:basedOn w:val="CommentTextChar"/>
    <w:link w:val="CommentSubject"/>
    <w:uiPriority w:val="99"/>
    <w:semiHidden/>
    <w:rsid w:val="00F21340"/>
    <w:rPr>
      <w:b/>
      <w:bCs/>
      <w:sz w:val="20"/>
      <w:szCs w:val="20"/>
    </w:rPr>
  </w:style>
  <w:style w:type="paragraph" w:styleId="BalloonText">
    <w:name w:val="Balloon Text"/>
    <w:basedOn w:val="Normal"/>
    <w:link w:val="BalloonTextChar"/>
    <w:uiPriority w:val="99"/>
    <w:semiHidden/>
    <w:unhideWhenUsed/>
    <w:rsid w:val="00F213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340"/>
    <w:rPr>
      <w:rFonts w:ascii="Segoe UI" w:hAnsi="Segoe UI" w:cs="Segoe UI"/>
      <w:sz w:val="18"/>
      <w:szCs w:val="18"/>
    </w:rPr>
  </w:style>
  <w:style w:type="paragraph" w:styleId="NormalWeb">
    <w:name w:val="Normal (Web)"/>
    <w:aliases w:val="Cha,Текст сноски1,Знак Знак1 Знак,Текст сноски11,Char1,Обычный (веб) Знак2,Обычный (веб) Знак1 Знак,Обычный (веб) Знак Знак Знак,Знак Знак Знак Знак,Обычный (веб) Знак Знак1,Знак Знак2,A Знак Знак"/>
    <w:basedOn w:val="Normal"/>
    <w:link w:val="NormalWebChar"/>
    <w:uiPriority w:val="99"/>
    <w:unhideWhenUsed/>
    <w:qFormat/>
    <w:rsid w:val="003421F4"/>
    <w:pPr>
      <w:spacing w:after="0" w:line="240" w:lineRule="auto"/>
      <w:ind w:firstLine="567"/>
      <w:jc w:val="both"/>
    </w:pPr>
    <w:rPr>
      <w:rFonts w:ascii="Times New Roman" w:eastAsia="Times New Roman" w:hAnsi="Times New Roman" w:cs="Times New Roman"/>
      <w:sz w:val="24"/>
      <w:szCs w:val="24"/>
    </w:rPr>
  </w:style>
  <w:style w:type="character" w:customStyle="1" w:styleId="NormalWebChar">
    <w:name w:val="Normal (Web) Char"/>
    <w:aliases w:val="Cha Char,Текст сноски1 Char,Знак Знак1 Знак Char,Текст сноски11 Char,Char1 Char,Обычный (веб) Знак2 Char,Обычный (веб) Знак1 Знак Char,Обычный (веб) Знак Знак Знак Char,Знак Знак Знак Знак Char,Обычный (веб) Знак Знак1 Char"/>
    <w:link w:val="NormalWeb"/>
    <w:uiPriority w:val="99"/>
    <w:locked/>
    <w:rsid w:val="003421F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67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7724C-A5E1-46F6-B495-3CFDAD2CC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1660</Words>
  <Characters>9468</Characters>
  <Application>Microsoft Office Word</Application>
  <DocSecurity>0</DocSecurity>
  <Lines>78</Lines>
  <Paragraphs>22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n_balaban</dc:creator>
  <cp:keywords/>
  <dc:description/>
  <cp:lastModifiedBy>Caraman Tatiana</cp:lastModifiedBy>
  <cp:revision>4</cp:revision>
  <cp:lastPrinted>2020-12-21T08:30:00Z</cp:lastPrinted>
  <dcterms:created xsi:type="dcterms:W3CDTF">2020-12-28T14:31:00Z</dcterms:created>
  <dcterms:modified xsi:type="dcterms:W3CDTF">2021-01-11T09:04:00Z</dcterms:modified>
</cp:coreProperties>
</file>